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54670">
      <w:pPr>
        <w:rPr>
          <w:rFonts w:hint="default" w:ascii="宋体" w:hAnsi="宋体"/>
          <w:color w:val="000000" w:themeColor="text1"/>
          <w:szCs w:val="21"/>
          <w:highlight w:val="none"/>
          <w14:textFill>
            <w14:solidFill>
              <w14:schemeClr w14:val="tx1"/>
            </w14:solidFill>
          </w14:textFill>
        </w:rPr>
      </w:pPr>
      <w:bookmarkStart w:id="0" w:name="_Toc114119681"/>
      <w:bookmarkEnd w:id="0"/>
      <w:bookmarkStart w:id="1" w:name="_Toc115711396"/>
      <w:bookmarkEnd w:id="1"/>
      <w:bookmarkStart w:id="2" w:name="_Toc115711029"/>
      <w:bookmarkEnd w:id="2"/>
      <w:bookmarkStart w:id="3" w:name="_Toc81802534"/>
      <w:bookmarkEnd w:id="3"/>
      <w:bookmarkStart w:id="4" w:name="_Toc82141020"/>
      <w:bookmarkEnd w:id="4"/>
      <w:bookmarkStart w:id="5" w:name="_Toc81802526"/>
      <w:bookmarkEnd w:id="5"/>
    </w:p>
    <w:p w14:paraId="4F898B15">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月发布</w:t>
      </w:r>
    </w:p>
    <w:p w14:paraId="55D9E005">
      <w:pPr>
        <w:pStyle w:val="8"/>
        <w:rPr>
          <w:color w:val="000000" w:themeColor="text1"/>
          <w:highlight w:val="none"/>
          <w14:textFill>
            <w14:solidFill>
              <w14:schemeClr w14:val="tx1"/>
            </w14:solidFill>
          </w14:textFill>
        </w:rPr>
      </w:pPr>
    </w:p>
    <w:p w14:paraId="4F390A25">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广州市农业农村科学院东涌基地建设项目勘察设计</w:t>
      </w:r>
    </w:p>
    <w:p w14:paraId="6607D9B7">
      <w:pPr>
        <w:spacing w:line="360" w:lineRule="auto"/>
        <w:jc w:val="center"/>
        <w:rPr>
          <w:rFonts w:hint="eastAsia" w:ascii="宋体" w:hAnsi="宋体"/>
          <w:b/>
          <w:color w:val="000000" w:themeColor="text1"/>
          <w:sz w:val="52"/>
          <w:szCs w:val="52"/>
          <w:highlight w:val="none"/>
          <w14:textFill>
            <w14:solidFill>
              <w14:schemeClr w14:val="tx1"/>
            </w14:solidFill>
          </w14:textFill>
        </w:rPr>
      </w:pPr>
      <w:bookmarkStart w:id="6" w:name="_Toc22127"/>
      <w:bookmarkStart w:id="7" w:name="_Toc23941"/>
    </w:p>
    <w:p w14:paraId="7EEA238E">
      <w:pPr>
        <w:pStyle w:val="8"/>
        <w:rPr>
          <w:color w:val="000000" w:themeColor="text1"/>
          <w:highlight w:val="none"/>
          <w14:textFill>
            <w14:solidFill>
              <w14:schemeClr w14:val="tx1"/>
            </w14:solidFill>
          </w14:textFill>
        </w:rPr>
      </w:pPr>
      <w:bookmarkStart w:id="150" w:name="_GoBack"/>
      <w:bookmarkEnd w:id="150"/>
    </w:p>
    <w:p w14:paraId="7EDA54BF">
      <w:pPr>
        <w:pStyle w:val="8"/>
        <w:rPr>
          <w:rFonts w:hint="eastAsia"/>
          <w:color w:val="000000" w:themeColor="text1"/>
          <w:highlight w:val="none"/>
          <w14:textFill>
            <w14:solidFill>
              <w14:schemeClr w14:val="tx1"/>
            </w14:solidFill>
          </w14:textFill>
        </w:rPr>
      </w:pPr>
    </w:p>
    <w:p w14:paraId="782D9C9B">
      <w:pPr>
        <w:pStyle w:val="8"/>
        <w:rPr>
          <w:color w:val="000000" w:themeColor="text1"/>
          <w:highlight w:val="none"/>
          <w14:textFill>
            <w14:solidFill>
              <w14:schemeClr w14:val="tx1"/>
            </w14:solidFill>
          </w14:textFill>
        </w:rPr>
      </w:pPr>
    </w:p>
    <w:p w14:paraId="385A926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color w:val="000000" w:themeColor="text1"/>
          <w:sz w:val="52"/>
          <w:szCs w:val="52"/>
          <w:highlight w:val="none"/>
          <w14:textFill>
            <w14:solidFill>
              <w14:schemeClr w14:val="tx1"/>
            </w14:solidFill>
          </w14:textFill>
        </w:rPr>
      </w:pPr>
      <w:bookmarkStart w:id="8" w:name="_Toc23843"/>
      <w:bookmarkStart w:id="9" w:name="_Toc18431"/>
      <w:bookmarkStart w:id="10" w:name="_Toc2270"/>
      <w:r>
        <w:rPr>
          <w:rFonts w:hint="eastAsia" w:ascii="宋体" w:hAnsi="宋体" w:cs="宋体"/>
          <w:b/>
          <w:color w:val="000000" w:themeColor="text1"/>
          <w:sz w:val="52"/>
          <w:szCs w:val="52"/>
          <w:highlight w:val="none"/>
          <w14:textFill>
            <w14:solidFill>
              <w14:schemeClr w14:val="tx1"/>
            </w14:solidFill>
          </w14:textFill>
        </w:rPr>
        <w:t>招标文件</w:t>
      </w:r>
      <w:bookmarkEnd w:id="6"/>
      <w:bookmarkEnd w:id="7"/>
      <w:bookmarkEnd w:id="8"/>
      <w:bookmarkEnd w:id="9"/>
      <w:bookmarkEnd w:id="10"/>
    </w:p>
    <w:p w14:paraId="0D42DC91">
      <w:pPr>
        <w:pStyle w:val="8"/>
        <w:rPr>
          <w:rFonts w:hint="eastAsia"/>
          <w:color w:val="000000" w:themeColor="text1"/>
          <w:highlight w:val="none"/>
          <w14:textFill>
            <w14:solidFill>
              <w14:schemeClr w14:val="tx1"/>
            </w14:solidFill>
          </w14:textFill>
        </w:rPr>
      </w:pPr>
    </w:p>
    <w:p w14:paraId="2F906BB2">
      <w:pPr>
        <w:pStyle w:val="8"/>
        <w:rPr>
          <w:color w:val="000000" w:themeColor="text1"/>
          <w:highlight w:val="none"/>
          <w14:textFill>
            <w14:solidFill>
              <w14:schemeClr w14:val="tx1"/>
            </w14:solidFill>
          </w14:textFill>
        </w:rPr>
      </w:pPr>
    </w:p>
    <w:p w14:paraId="798E0EF1">
      <w:pPr>
        <w:pStyle w:val="8"/>
        <w:rPr>
          <w:rFonts w:hint="eastAsia"/>
          <w:color w:val="000000" w:themeColor="text1"/>
          <w:highlight w:val="none"/>
          <w14:textFill>
            <w14:solidFill>
              <w14:schemeClr w14:val="tx1"/>
            </w14:solidFill>
          </w14:textFill>
        </w:rPr>
      </w:pPr>
    </w:p>
    <w:p w14:paraId="3F71A265">
      <w:pPr>
        <w:pStyle w:val="8"/>
        <w:rPr>
          <w:color w:val="000000" w:themeColor="text1"/>
          <w:highlight w:val="none"/>
          <w14:textFill>
            <w14:solidFill>
              <w14:schemeClr w14:val="tx1"/>
            </w14:solidFill>
          </w14:textFill>
        </w:rPr>
      </w:pPr>
    </w:p>
    <w:tbl>
      <w:tblPr>
        <w:tblStyle w:val="16"/>
        <w:tblW w:w="9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9"/>
        <w:gridCol w:w="4620"/>
      </w:tblGrid>
      <w:tr w14:paraId="4A1A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1894D31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招标人（章）：</w:t>
            </w:r>
            <w:r>
              <w:rPr>
                <w:rFonts w:hint="eastAsia" w:ascii="宋体" w:hAnsi="宋体" w:eastAsia="宋体" w:cs="宋体"/>
                <w:color w:val="000000" w:themeColor="text1"/>
                <w:szCs w:val="21"/>
                <w:highlight w:val="none"/>
                <w:u w:val="single"/>
                <w:lang w:bidi="ar"/>
                <w14:textFill>
                  <w14:solidFill>
                    <w14:schemeClr w14:val="tx1"/>
                  </w14:solidFill>
                </w14:textFill>
              </w:rPr>
              <w:t>广州市重点公共建设项目管理中心</w:t>
            </w:r>
          </w:p>
        </w:tc>
        <w:tc>
          <w:tcPr>
            <w:tcW w:w="4620" w:type="dxa"/>
            <w:vAlign w:val="center"/>
          </w:tcPr>
          <w:p w14:paraId="410EE1A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招标代理（章）：</w:t>
            </w:r>
            <w:r>
              <w:rPr>
                <w:rFonts w:hint="eastAsia" w:ascii="宋体" w:hAnsi="宋体" w:eastAsia="宋体" w:cs="宋体"/>
                <w:color w:val="000000" w:themeColor="text1"/>
                <w:spacing w:val="-6"/>
                <w:szCs w:val="21"/>
                <w:highlight w:val="none"/>
                <w:u w:val="single"/>
                <w:lang w:eastAsia="zh-CN" w:bidi="ar"/>
                <w14:textFill>
                  <w14:solidFill>
                    <w14:schemeClr w14:val="tx1"/>
                  </w14:solidFill>
                </w14:textFill>
              </w:rPr>
              <w:t>广州筑正工程建设管理有限公司</w:t>
            </w:r>
          </w:p>
        </w:tc>
      </w:tr>
      <w:tr w14:paraId="116B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2A386FA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eastAsia="zh-CN"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授权代表：</w:t>
            </w:r>
            <w:r>
              <w:rPr>
                <w:rFonts w:hint="eastAsia" w:ascii="宋体" w:hAnsi="宋体" w:eastAsia="宋体" w:cs="宋体"/>
                <w:color w:val="000000" w:themeColor="text1"/>
                <w:szCs w:val="21"/>
                <w:highlight w:val="none"/>
                <w:u w:val="single"/>
                <w:lang w:eastAsia="zh-CN" w:bidi="ar"/>
                <w14:textFill>
                  <w14:solidFill>
                    <w14:schemeClr w14:val="tx1"/>
                  </w14:solidFill>
                </w14:textFill>
              </w:rPr>
              <w:t>徐工</w:t>
            </w:r>
          </w:p>
        </w:tc>
        <w:tc>
          <w:tcPr>
            <w:tcW w:w="4620" w:type="dxa"/>
            <w:vAlign w:val="center"/>
          </w:tcPr>
          <w:p w14:paraId="558878D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val="en-US"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授权代表：</w:t>
            </w:r>
            <w:r>
              <w:rPr>
                <w:rFonts w:hint="eastAsia" w:ascii="宋体" w:hAnsi="宋体" w:eastAsia="宋体" w:cs="宋体"/>
                <w:color w:val="000000" w:themeColor="text1"/>
                <w:szCs w:val="21"/>
                <w:highlight w:val="none"/>
                <w:u w:val="single"/>
                <w:lang w:eastAsia="zh-CN"/>
                <w14:textFill>
                  <w14:solidFill>
                    <w14:schemeClr w14:val="tx1"/>
                  </w14:solidFill>
                </w14:textFill>
              </w:rPr>
              <w:t>刘工、余工、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庞工</w:t>
            </w:r>
          </w:p>
        </w:tc>
      </w:tr>
      <w:tr w14:paraId="7E33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07FA394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r>
              <w:rPr>
                <w:rFonts w:hint="eastAsia" w:ascii="宋体" w:hAnsi="宋体" w:eastAsia="宋体" w:cs="宋体"/>
                <w:color w:val="000000" w:themeColor="text1"/>
                <w:szCs w:val="21"/>
                <w:highlight w:val="none"/>
                <w:u w:val="single"/>
                <w:lang w:bidi="ar"/>
                <w14:textFill>
                  <w14:solidFill>
                    <w14:schemeClr w14:val="tx1"/>
                  </w14:solidFill>
                </w14:textFill>
              </w:rPr>
              <w:t>广州大学城内环东星运路1号</w:t>
            </w:r>
          </w:p>
        </w:tc>
        <w:tc>
          <w:tcPr>
            <w:tcW w:w="4620" w:type="dxa"/>
            <w:shd w:val="clear" w:color="auto" w:fill="auto"/>
            <w:vAlign w:val="center"/>
          </w:tcPr>
          <w:p w14:paraId="76C658C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r>
              <w:rPr>
                <w:rFonts w:hint="eastAsia" w:ascii="宋体" w:hAnsi="宋体" w:eastAsia="宋体" w:cs="宋体"/>
                <w:color w:val="000000" w:themeColor="text1"/>
                <w:szCs w:val="21"/>
                <w:highlight w:val="none"/>
                <w:u w:val="single"/>
                <w:lang w:eastAsia="zh-CN" w:bidi="ar"/>
                <w14:textFill>
                  <w14:solidFill>
                    <w14:schemeClr w14:val="tx1"/>
                  </w14:solidFill>
                </w14:textFill>
              </w:rPr>
              <w:t>广州市黄埔区水西路197号1801-1820房</w:t>
            </w:r>
          </w:p>
        </w:tc>
      </w:tr>
      <w:tr w14:paraId="70CA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7342092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邮政编码：</w:t>
            </w:r>
            <w:r>
              <w:rPr>
                <w:rFonts w:hint="eastAsia" w:ascii="宋体" w:hAnsi="宋体" w:eastAsia="宋体" w:cs="宋体"/>
                <w:color w:val="000000" w:themeColor="text1"/>
                <w:szCs w:val="21"/>
                <w:highlight w:val="none"/>
                <w:u w:val="single"/>
                <w:lang w:bidi="ar"/>
                <w14:textFill>
                  <w14:solidFill>
                    <w14:schemeClr w14:val="tx1"/>
                  </w14:solidFill>
                </w14:textFill>
              </w:rPr>
              <w:t>510006</w:t>
            </w:r>
          </w:p>
        </w:tc>
        <w:tc>
          <w:tcPr>
            <w:tcW w:w="4620" w:type="dxa"/>
            <w:shd w:val="clear" w:color="auto" w:fill="auto"/>
            <w:vAlign w:val="center"/>
          </w:tcPr>
          <w:p w14:paraId="1D72B95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邮政编码：</w:t>
            </w:r>
            <w:r>
              <w:rPr>
                <w:rFonts w:hint="eastAsia" w:ascii="宋体" w:hAnsi="宋体" w:eastAsia="宋体" w:cs="宋体"/>
                <w:color w:val="000000" w:themeColor="text1"/>
                <w:szCs w:val="21"/>
                <w:highlight w:val="none"/>
                <w:u w:val="single"/>
                <w:lang w:eastAsia="zh-CN" w:bidi="ar"/>
                <w14:textFill>
                  <w14:solidFill>
                    <w14:schemeClr w14:val="tx1"/>
                  </w14:solidFill>
                </w14:textFill>
              </w:rPr>
              <w:t>510530</w:t>
            </w:r>
          </w:p>
        </w:tc>
      </w:tr>
      <w:tr w14:paraId="560D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1D2A1AC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eastAsia="zh-CN"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电话：</w:t>
            </w:r>
            <w:r>
              <w:rPr>
                <w:rFonts w:hint="eastAsia" w:ascii="宋体" w:hAnsi="宋体" w:eastAsia="宋体" w:cs="宋体"/>
                <w:color w:val="000000" w:themeColor="text1"/>
                <w:szCs w:val="21"/>
                <w:highlight w:val="none"/>
                <w:u w:val="single"/>
                <w:lang w:bidi="ar"/>
                <w14:textFill>
                  <w14:solidFill>
                    <w14:schemeClr w14:val="tx1"/>
                  </w14:solidFill>
                </w14:textFill>
              </w:rPr>
              <w:t>020-2290568</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1</w:t>
            </w:r>
          </w:p>
        </w:tc>
        <w:tc>
          <w:tcPr>
            <w:tcW w:w="4620" w:type="dxa"/>
            <w:vAlign w:val="center"/>
          </w:tcPr>
          <w:p w14:paraId="3CF6BFE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电话：</w:t>
            </w:r>
            <w:r>
              <w:rPr>
                <w:rFonts w:hint="eastAsia" w:ascii="宋体" w:hAnsi="宋体" w:eastAsia="宋体" w:cs="宋体"/>
                <w:color w:val="000000" w:themeColor="text1"/>
                <w:szCs w:val="21"/>
                <w:highlight w:val="none"/>
                <w:u w:val="single"/>
                <w:lang w:eastAsia="zh-CN" w:bidi="ar"/>
                <w14:textFill>
                  <w14:solidFill>
                    <w14:schemeClr w14:val="tx1"/>
                  </w14:solidFill>
                </w14:textFill>
              </w:rPr>
              <w:t>020-82165699</w:t>
            </w:r>
          </w:p>
        </w:tc>
      </w:tr>
      <w:tr w14:paraId="0854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2862661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r>
              <w:rPr>
                <w:rFonts w:hint="eastAsia" w:ascii="宋体" w:hAnsi="宋体" w:eastAsia="宋体" w:cs="宋体"/>
                <w:color w:val="000000" w:themeColor="text1"/>
                <w:szCs w:val="21"/>
                <w:highlight w:val="none"/>
                <w:u w:val="single"/>
                <w:lang w:bidi="ar"/>
                <w14:textFill>
                  <w14:solidFill>
                    <w14:schemeClr w14:val="tx1"/>
                  </w14:solidFill>
                </w14:textFill>
              </w:rPr>
              <w:t>020-2290568</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1</w:t>
            </w:r>
          </w:p>
        </w:tc>
        <w:tc>
          <w:tcPr>
            <w:tcW w:w="4620" w:type="dxa"/>
            <w:vAlign w:val="center"/>
          </w:tcPr>
          <w:p w14:paraId="3F0BE89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020-82165652</w:t>
            </w:r>
          </w:p>
        </w:tc>
      </w:tr>
      <w:tr w14:paraId="64E4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300C008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电子邮箱：</w:t>
            </w:r>
            <w:r>
              <w:rPr>
                <w:rFonts w:hint="eastAsia" w:ascii="宋体" w:hAnsi="宋体" w:eastAsia="宋体" w:cs="宋体"/>
                <w:color w:val="000000" w:themeColor="text1"/>
                <w:szCs w:val="21"/>
                <w:highlight w:val="none"/>
                <w:u w:val="single"/>
                <w:lang w:bidi="ar"/>
                <w14:textFill>
                  <w14:solidFill>
                    <w14:schemeClr w14:val="tx1"/>
                  </w14:solidFill>
                </w14:textFill>
              </w:rPr>
              <w:t>/</w:t>
            </w:r>
          </w:p>
        </w:tc>
        <w:tc>
          <w:tcPr>
            <w:tcW w:w="4620" w:type="dxa"/>
            <w:vAlign w:val="center"/>
          </w:tcPr>
          <w:p w14:paraId="5379042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vertAlign w:val="baseli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电子邮箱：</w:t>
            </w:r>
            <w:r>
              <w:rPr>
                <w:rFonts w:hint="eastAsia" w:ascii="宋体" w:hAnsi="宋体" w:eastAsia="宋体" w:cs="宋体"/>
                <w:color w:val="000000" w:themeColor="text1"/>
                <w:szCs w:val="21"/>
                <w:highlight w:val="none"/>
                <w:u w:val="single"/>
                <w:lang w:eastAsia="zh-CN" w:bidi="ar"/>
                <w14:textFill>
                  <w14:solidFill>
                    <w14:schemeClr w14:val="tx1"/>
                  </w14:solidFill>
                </w14:textFill>
              </w:rPr>
              <w:t>truzem@163.com</w:t>
            </w:r>
          </w:p>
        </w:tc>
      </w:tr>
    </w:tbl>
    <w:p w14:paraId="7D1F7649">
      <w:pPr>
        <w:jc w:val="center"/>
        <w:outlineLvl w:val="9"/>
        <w:rPr>
          <w:rFonts w:hint="eastAsia" w:ascii="宋体" w:hAnsi="宋体" w:eastAsia="宋体" w:cs="Times New Roman"/>
          <w:b/>
          <w:color w:val="000000" w:themeColor="text1"/>
          <w:sz w:val="32"/>
          <w:szCs w:val="32"/>
          <w:highlight w:val="none"/>
          <w14:textFill>
            <w14:solidFill>
              <w14:schemeClr w14:val="tx1"/>
            </w14:solidFill>
          </w14:textFill>
        </w:rPr>
      </w:pPr>
      <w:bookmarkStart w:id="11" w:name="_Toc21674"/>
    </w:p>
    <w:p w14:paraId="699F8581">
      <w:pPr>
        <w:jc w:val="center"/>
        <w:outlineLvl w:val="1"/>
        <w:rPr>
          <w:rFonts w:hint="eastAsia" w:ascii="宋体" w:hAnsi="宋体" w:eastAsia="宋体" w:cs="Times New Roman"/>
          <w:b/>
          <w:color w:val="000000" w:themeColor="text1"/>
          <w:sz w:val="32"/>
          <w:szCs w:val="32"/>
          <w:highlight w:val="none"/>
          <w14:textFill>
            <w14:solidFill>
              <w14:schemeClr w14:val="tx1"/>
            </w14:solidFill>
          </w14:textFill>
        </w:rPr>
        <w:sectPr>
          <w:headerReference r:id="rId3" w:type="default"/>
          <w:footerReference r:id="rId4" w:type="default"/>
          <w:pgSz w:w="11906" w:h="16838"/>
          <w:pgMar w:top="1417" w:right="1417" w:bottom="1417" w:left="1417" w:header="851" w:footer="992" w:gutter="0"/>
          <w:pgNumType w:fmt="decimal" w:start="1"/>
          <w:cols w:space="0" w:num="1"/>
          <w:rtlGutter w:val="0"/>
          <w:docGrid w:type="lines" w:linePitch="312" w:charSpace="0"/>
        </w:sectPr>
      </w:pPr>
      <w:bookmarkStart w:id="12" w:name="_Toc31884"/>
    </w:p>
    <w:p w14:paraId="5E08284E">
      <w:pPr>
        <w:jc w:val="center"/>
        <w:outlineLvl w:val="1"/>
        <w:rPr>
          <w:rFonts w:ascii="宋体" w:hAnsi="宋体" w:eastAsia="宋体" w:cs="Times New Roman"/>
          <w:b/>
          <w:color w:val="000000" w:themeColor="text1"/>
          <w:sz w:val="32"/>
          <w:szCs w:val="32"/>
          <w:highlight w:val="none"/>
          <w14:textFill>
            <w14:solidFill>
              <w14:schemeClr w14:val="tx1"/>
            </w14:solidFill>
          </w14:textFill>
        </w:rPr>
      </w:pPr>
      <w:bookmarkStart w:id="13" w:name="_Toc2022"/>
      <w:r>
        <w:rPr>
          <w:rFonts w:hint="eastAsia" w:ascii="宋体" w:hAnsi="宋体" w:eastAsia="宋体" w:cs="Times New Roman"/>
          <w:b/>
          <w:color w:val="000000" w:themeColor="text1"/>
          <w:sz w:val="32"/>
          <w:szCs w:val="32"/>
          <w:highlight w:val="none"/>
          <w14:textFill>
            <w14:solidFill>
              <w14:schemeClr w14:val="tx1"/>
            </w14:solidFill>
          </w14:textFill>
        </w:rPr>
        <w:t>招标文件修改表</w:t>
      </w:r>
      <w:bookmarkEnd w:id="11"/>
      <w:bookmarkEnd w:id="12"/>
      <w:bookmarkEnd w:id="13"/>
    </w:p>
    <w:p w14:paraId="34FF1DD7">
      <w:pPr>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招标人（招标代理机构）一般应按照全过程电子化范本（房建类）格式编制招标文件。如果修改，范本被删除的内容应标注删除线，新增内容应标注下划线。需要修改的内容</w:t>
      </w:r>
      <w:r>
        <w:rPr>
          <w:rFonts w:hint="eastAsia" w:ascii="宋体" w:hAnsi="宋体" w:eastAsia="宋体" w:cs="宋体"/>
          <w:color w:val="000000" w:themeColor="text1"/>
          <w:szCs w:val="21"/>
          <w:highlight w:val="none"/>
          <w14:textFill>
            <w14:solidFill>
              <w14:schemeClr w14:val="tx1"/>
            </w14:solidFill>
          </w14:textFill>
        </w:rPr>
        <w:t>均在本表中列明，并以现文为准，原文不再有效。本招标文件中不再转录范本条款，请投标人自行到广州市住房和城乡建设局网站（网址：http://zfcj.gz.gov.cn/）下载查阅。</w:t>
      </w:r>
    </w:p>
    <w:p w14:paraId="1037D2E8">
      <w:pPr>
        <w:ind w:firstLine="420"/>
        <w:rPr>
          <w:rFonts w:ascii="Calibri" w:hAnsi="Calibri" w:eastAsia="宋体" w:cs="Times New Roman"/>
          <w:color w:val="000000" w:themeColor="text1"/>
          <w:szCs w:val="21"/>
          <w:highlight w:val="none"/>
          <w14:textFill>
            <w14:solidFill>
              <w14:schemeClr w14:val="tx1"/>
            </w14:solidFill>
          </w14:textFill>
        </w:rPr>
      </w:pPr>
    </w:p>
    <w:tbl>
      <w:tblPr>
        <w:tblStyle w:val="15"/>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48"/>
        <w:gridCol w:w="3610"/>
        <w:gridCol w:w="3717"/>
      </w:tblGrid>
      <w:tr w14:paraId="71B8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663" w:type="dxa"/>
            <w:vAlign w:val="center"/>
          </w:tcPr>
          <w:p w14:paraId="2765A7DA">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1248" w:type="dxa"/>
            <w:vAlign w:val="center"/>
          </w:tcPr>
          <w:p w14:paraId="2AEF5D8C">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章节、条目</w:t>
            </w:r>
          </w:p>
        </w:tc>
        <w:tc>
          <w:tcPr>
            <w:tcW w:w="3610" w:type="dxa"/>
            <w:vAlign w:val="center"/>
          </w:tcPr>
          <w:p w14:paraId="75E3A851">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范本原文</w:t>
            </w:r>
          </w:p>
        </w:tc>
        <w:tc>
          <w:tcPr>
            <w:tcW w:w="3717" w:type="dxa"/>
            <w:vAlign w:val="center"/>
          </w:tcPr>
          <w:p w14:paraId="7A32CF69">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拟删改的内容</w:t>
            </w:r>
          </w:p>
        </w:tc>
      </w:tr>
      <w:tr w14:paraId="67D2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5437B3E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248" w:type="dxa"/>
            <w:vAlign w:val="center"/>
          </w:tcPr>
          <w:p w14:paraId="3577582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第一章</w:t>
            </w:r>
          </w:p>
        </w:tc>
        <w:tc>
          <w:tcPr>
            <w:tcW w:w="3610" w:type="dxa"/>
            <w:vAlign w:val="center"/>
          </w:tcPr>
          <w:p w14:paraId="40D72CD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招标公告</w:t>
            </w:r>
          </w:p>
        </w:tc>
        <w:tc>
          <w:tcPr>
            <w:tcW w:w="3717" w:type="dxa"/>
            <w:vAlign w:val="center"/>
          </w:tcPr>
          <w:p w14:paraId="76DA4CD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修改详见《招标公告》</w:t>
            </w:r>
          </w:p>
        </w:tc>
      </w:tr>
      <w:tr w14:paraId="1AEF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0A0F3B4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248" w:type="dxa"/>
            <w:vAlign w:val="center"/>
          </w:tcPr>
          <w:p w14:paraId="3BFF49E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3610" w:type="dxa"/>
          </w:tcPr>
          <w:p w14:paraId="25E804F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    现场考察</w:t>
            </w:r>
          </w:p>
          <w:p w14:paraId="625DE0D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  招标人安排投标人代表对工程现场进行考察，目的是使每个投标人查看现场并获得编制投标文件所需要的一切资料。</w:t>
            </w:r>
          </w:p>
          <w:p w14:paraId="1BC5739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  每个投标人参加现场考察的人数不宜超过3人，外国投标人代表应自带中文翻译。</w:t>
            </w:r>
          </w:p>
          <w:p w14:paraId="42D4F10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3.1.3  现场考察期间招标人接受投标人代表的提问。</w:t>
            </w:r>
          </w:p>
        </w:tc>
        <w:tc>
          <w:tcPr>
            <w:tcW w:w="3717" w:type="dxa"/>
          </w:tcPr>
          <w:p w14:paraId="330A41B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    现场考察</w:t>
            </w:r>
          </w:p>
          <w:p w14:paraId="062232E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3.1.1  </w:t>
            </w:r>
            <w:r>
              <w:rPr>
                <w:rFonts w:hint="eastAsia" w:ascii="宋体" w:hAnsi="宋体" w:eastAsia="宋体" w:cs="宋体"/>
                <w:color w:val="000000" w:themeColor="text1"/>
                <w:szCs w:val="21"/>
                <w:highlight w:val="none"/>
                <w:u w:val="single"/>
                <w14:textFill>
                  <w14:solidFill>
                    <w14:schemeClr w14:val="tx1"/>
                  </w14:solidFill>
                </w14:textFill>
              </w:rPr>
              <w:t>现场考察由投标人自行考察，招标人不统一安排现场考察。</w:t>
            </w:r>
          </w:p>
          <w:p w14:paraId="16D778A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382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1DB1D30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248" w:type="dxa"/>
            <w:vAlign w:val="center"/>
          </w:tcPr>
          <w:p w14:paraId="42BC9E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w:t>
            </w:r>
          </w:p>
        </w:tc>
        <w:tc>
          <w:tcPr>
            <w:tcW w:w="3610" w:type="dxa"/>
            <w:vAlign w:val="center"/>
          </w:tcPr>
          <w:p w14:paraId="5CE8C81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投标人应认真审阅招标文件和有关资料，尽力澄清一切疑点，对工程现场和周围环境进行勘察，以获取编制投标文件和签署合同所需的所有资料。</w:t>
            </w:r>
          </w:p>
        </w:tc>
        <w:tc>
          <w:tcPr>
            <w:tcW w:w="3717" w:type="dxa"/>
            <w:vAlign w:val="center"/>
          </w:tcPr>
          <w:p w14:paraId="1F9F9909">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投标人应认真审阅招标文件和有关资料，尽力澄清一切疑点，</w:t>
            </w:r>
            <w:r>
              <w:rPr>
                <w:rFonts w:hint="eastAsia" w:ascii="宋体" w:hAnsi="宋体" w:eastAsia="宋体" w:cs="宋体"/>
                <w:b w:val="0"/>
                <w:bCs/>
                <w:color w:val="000000" w:themeColor="text1"/>
                <w:szCs w:val="21"/>
                <w:highlight w:val="none"/>
                <w:u w:val="single"/>
                <w14:textFill>
                  <w14:solidFill>
                    <w14:schemeClr w14:val="tx1"/>
                  </w14:solidFill>
                </w14:textFill>
              </w:rPr>
              <w:t>自行</w:t>
            </w:r>
            <w:r>
              <w:rPr>
                <w:rFonts w:hint="eastAsia" w:ascii="宋体" w:hAnsi="宋体" w:eastAsia="宋体" w:cs="宋体"/>
                <w:color w:val="000000" w:themeColor="text1"/>
                <w:szCs w:val="21"/>
                <w:highlight w:val="none"/>
                <w14:textFill>
                  <w14:solidFill>
                    <w14:schemeClr w14:val="tx1"/>
                  </w14:solidFill>
                </w14:textFill>
              </w:rPr>
              <w:t>对工程现场和周围环境进行勘察，以获取编制投标文件和签署合同所需的所有资料。</w:t>
            </w:r>
          </w:p>
        </w:tc>
      </w:tr>
      <w:tr w14:paraId="700B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4DB2DDC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248" w:type="dxa"/>
            <w:vAlign w:val="center"/>
          </w:tcPr>
          <w:p w14:paraId="1CEA865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w:t>
            </w:r>
          </w:p>
        </w:tc>
        <w:tc>
          <w:tcPr>
            <w:tcW w:w="3610" w:type="dxa"/>
            <w:vAlign w:val="center"/>
          </w:tcPr>
          <w:p w14:paraId="067CB07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17" w:type="dxa"/>
            <w:vAlign w:val="center"/>
          </w:tcPr>
          <w:p w14:paraId="603AB24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修改</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投标人需要澄清的问题应</w:t>
            </w:r>
            <w:r>
              <w:rPr>
                <w:rFonts w:hint="eastAsia" w:ascii="宋体" w:hAnsi="宋体" w:eastAsia="宋体" w:cs="宋体"/>
                <w:color w:val="000000" w:themeColor="text1"/>
                <w:szCs w:val="21"/>
                <w:highlight w:val="none"/>
                <w:u w:val="single"/>
                <w14:textFill>
                  <w14:solidFill>
                    <w14:schemeClr w14:val="tx1"/>
                  </w14:solidFill>
                </w14:textFill>
              </w:rPr>
              <w:t>在投标截止时间18个日历天前</w:t>
            </w:r>
            <w:r>
              <w:rPr>
                <w:rFonts w:hint="eastAsia" w:ascii="宋体" w:hAnsi="宋体" w:eastAsia="宋体" w:cs="宋体"/>
                <w:color w:val="000000" w:themeColor="text1"/>
                <w:szCs w:val="21"/>
                <w:highlight w:val="none"/>
                <w14:textFill>
                  <w14:solidFill>
                    <w14:schemeClr w14:val="tx1"/>
                  </w14:solidFill>
                </w14:textFill>
              </w:rPr>
              <w:t>，按交易平台的操作指引上传至交易平台网站。招标人应在递交投标文件截止时间</w:t>
            </w:r>
            <w:r>
              <w:rPr>
                <w:rFonts w:hint="eastAsia" w:ascii="宋体" w:hAnsi="宋体" w:eastAsia="宋体" w:cs="宋体"/>
                <w:color w:val="000000" w:themeColor="text1"/>
                <w:szCs w:val="21"/>
                <w:highlight w:val="none"/>
                <w:u w:val="single"/>
                <w14:textFill>
                  <w14:solidFill>
                    <w14:schemeClr w14:val="tx1"/>
                  </w14:solidFill>
                </w14:textFill>
              </w:rPr>
              <w:t>15个日历天前</w:t>
            </w:r>
            <w:r>
              <w:rPr>
                <w:rFonts w:hint="eastAsia" w:ascii="宋体" w:hAnsi="宋体" w:eastAsia="宋体" w:cs="宋体"/>
                <w:color w:val="000000" w:themeColor="text1"/>
                <w:szCs w:val="21"/>
                <w:highlight w:val="none"/>
                <w14:textFill>
                  <w14:solidFill>
                    <w14:schemeClr w14:val="tx1"/>
                  </w14:solidFill>
                </w14:textFill>
              </w:rPr>
              <w:t>解答投标人对招标文件提出的疑问，</w:t>
            </w:r>
            <w:r>
              <w:rPr>
                <w:rFonts w:hint="eastAsia" w:ascii="宋体" w:hAnsi="宋体" w:eastAsia="宋体" w:cs="宋体"/>
                <w:color w:val="000000" w:themeColor="text1"/>
                <w:szCs w:val="21"/>
                <w:highlight w:val="none"/>
                <w:u w:val="single"/>
                <w14:textFill>
                  <w14:solidFill>
                    <w14:schemeClr w14:val="tx1"/>
                  </w14:solidFill>
                </w14:textFill>
              </w:rPr>
              <w:t>形成答疑纪要，在</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网站项目查询中本项目详情页里面发布。</w:t>
            </w:r>
            <w:r>
              <w:rPr>
                <w:rFonts w:hint="eastAsia" w:ascii="宋体" w:hAnsi="宋体" w:eastAsia="宋体" w:cs="宋体"/>
                <w:color w:val="000000" w:themeColor="text1"/>
                <w:szCs w:val="21"/>
                <w:highlight w:val="none"/>
                <w14:textFill>
                  <w14:solidFill>
                    <w14:schemeClr w14:val="tx1"/>
                  </w14:solidFill>
                </w14:textFill>
              </w:rPr>
              <w:t>不足15日的，招标人应当顺延投标文件的</w:t>
            </w:r>
            <w:r>
              <w:rPr>
                <w:rFonts w:hint="eastAsia" w:ascii="宋体" w:hAnsi="宋体" w:eastAsia="宋体" w:cs="宋体"/>
                <w:color w:val="000000" w:themeColor="text1"/>
                <w:szCs w:val="21"/>
                <w:highlight w:val="none"/>
                <w:u w:val="single"/>
                <w:lang w:val="en-US" w:eastAsia="zh-CN"/>
                <w14:textFill>
                  <w14:solidFill>
                    <w14:schemeClr w14:val="tx1"/>
                  </w14:solidFill>
                </w14:textFill>
              </w:rPr>
              <w:t>递交</w:t>
            </w:r>
            <w:r>
              <w:rPr>
                <w:rFonts w:hint="eastAsia" w:ascii="宋体" w:hAnsi="宋体" w:eastAsia="宋体" w:cs="宋体"/>
                <w:color w:val="000000" w:themeColor="text1"/>
                <w:szCs w:val="21"/>
                <w:highlight w:val="none"/>
                <w14:textFill>
                  <w14:solidFill>
                    <w14:schemeClr w14:val="tx1"/>
                  </w14:solidFill>
                </w14:textFill>
              </w:rPr>
              <w:t>截止时间。</w:t>
            </w:r>
          </w:p>
        </w:tc>
      </w:tr>
      <w:tr w14:paraId="7729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3" w:type="dxa"/>
            <w:vAlign w:val="center"/>
          </w:tcPr>
          <w:p w14:paraId="73A7E9F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1248" w:type="dxa"/>
            <w:vAlign w:val="center"/>
          </w:tcPr>
          <w:p w14:paraId="4953F0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3.2.5</w:t>
            </w:r>
          </w:p>
        </w:tc>
        <w:tc>
          <w:tcPr>
            <w:tcW w:w="3610" w:type="dxa"/>
            <w:vAlign w:val="center"/>
          </w:tcPr>
          <w:p w14:paraId="068F244D">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网上答疑的具体操作详见交易平台发布的相关操作指引。</w:t>
            </w:r>
          </w:p>
        </w:tc>
        <w:tc>
          <w:tcPr>
            <w:tcW w:w="3717" w:type="dxa"/>
            <w:vAlign w:val="center"/>
          </w:tcPr>
          <w:p w14:paraId="36DA5AB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：网上答疑的具体操作详见交易平台发布的相关操作指引。</w:t>
            </w:r>
            <w:r>
              <w:rPr>
                <w:rFonts w:hint="eastAsia" w:ascii="宋体" w:hAnsi="宋体" w:eastAsia="宋体" w:cs="宋体"/>
                <w:color w:val="000000" w:themeColor="text1"/>
                <w:szCs w:val="21"/>
                <w:highlight w:val="none"/>
                <w:u w:val="single"/>
                <w14:textFill>
                  <w14:solidFill>
                    <w14:schemeClr w14:val="tx1"/>
                  </w14:solidFill>
                </w14:textFill>
              </w:rPr>
              <w:t>招标答疑纪要一经在</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网站发布，视作已发放给所有投标人。招标答疑纪要为招标文件的一部分。投标人可在</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网站浏览、下载招标答疑纪要。若招标答疑纪要与招标文件有矛盾时，以</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网站最后发布的答疑纪要为准。</w:t>
            </w:r>
          </w:p>
        </w:tc>
      </w:tr>
      <w:tr w14:paraId="1C95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CB52A2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1248" w:type="dxa"/>
            <w:vAlign w:val="center"/>
          </w:tcPr>
          <w:p w14:paraId="1E4A78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3.3.3</w:t>
            </w:r>
          </w:p>
        </w:tc>
        <w:tc>
          <w:tcPr>
            <w:tcW w:w="3610" w:type="dxa"/>
            <w:vAlign w:val="center"/>
          </w:tcPr>
          <w:p w14:paraId="166189CF">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17" w:type="dxa"/>
            <w:vAlign w:val="center"/>
          </w:tcPr>
          <w:p w14:paraId="649AFAE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：投标文件全部采用电子文档，投标文件所附证书证件均为</w:t>
            </w:r>
            <w:r>
              <w:rPr>
                <w:rFonts w:hint="eastAsia" w:ascii="宋体" w:hAnsi="宋体" w:eastAsia="宋体" w:cs="宋体"/>
                <w:color w:val="000000" w:themeColor="text1"/>
                <w:szCs w:val="21"/>
                <w:highlight w:val="none"/>
                <w:u w:val="single"/>
                <w14:textFill>
                  <w14:solidFill>
                    <w14:schemeClr w14:val="tx1"/>
                  </w14:solidFill>
                </w14:textFill>
              </w:rPr>
              <w:t>原件扫描件</w:t>
            </w:r>
            <w:r>
              <w:rPr>
                <w:rFonts w:hint="eastAsia" w:ascii="宋体" w:hAnsi="宋体" w:eastAsia="宋体" w:cs="宋体"/>
                <w:color w:val="000000" w:themeColor="text1"/>
                <w:szCs w:val="21"/>
                <w:highlight w:val="none"/>
                <w14:textFill>
                  <w14:solidFill>
                    <w14:schemeClr w14:val="tx1"/>
                  </w14:solidFill>
                </w14:textFill>
              </w:rPr>
              <w:t>，并采用单位数字证书，</w:t>
            </w:r>
            <w:r>
              <w:rPr>
                <w:rFonts w:hint="eastAsia" w:ascii="宋体" w:hAnsi="宋体" w:eastAsia="宋体" w:cs="宋体"/>
                <w:color w:val="000000" w:themeColor="text1"/>
                <w:szCs w:val="21"/>
                <w:highlight w:val="none"/>
                <w:u w:val="single"/>
                <w14:textFill>
                  <w14:solidFill>
                    <w14:schemeClr w14:val="tx1"/>
                  </w14:solidFill>
                </w14:textFill>
              </w:rPr>
              <w:t>对投标文件</w:t>
            </w:r>
            <w:r>
              <w:rPr>
                <w:rFonts w:hint="eastAsia" w:ascii="宋体" w:hAnsi="宋体" w:eastAsia="宋体" w:cs="宋体"/>
                <w:color w:val="000000" w:themeColor="text1"/>
                <w:szCs w:val="21"/>
                <w:highlight w:val="none"/>
                <w14:textFill>
                  <w14:solidFill>
                    <w14:schemeClr w14:val="tx1"/>
                  </w14:solidFill>
                </w14:textFill>
              </w:rPr>
              <w:t>加盖电子印章。投标文件中需个人签字或盖章的，</w:t>
            </w:r>
            <w:r>
              <w:rPr>
                <w:rFonts w:hint="eastAsia" w:ascii="宋体" w:hAnsi="宋体" w:eastAsia="宋体" w:cs="宋体"/>
                <w:color w:val="000000" w:themeColor="text1"/>
                <w:szCs w:val="21"/>
                <w:highlight w:val="none"/>
                <w:u w:val="single"/>
                <w14:textFill>
                  <w14:solidFill>
                    <w14:schemeClr w14:val="tx1"/>
                  </w14:solidFill>
                </w14:textFill>
              </w:rPr>
              <w:t>应加盖个人电子印章或在线下完成</w:t>
            </w:r>
            <w:r>
              <w:rPr>
                <w:rFonts w:hint="eastAsia" w:ascii="宋体" w:hAnsi="宋体" w:eastAsia="宋体" w:cs="宋体"/>
                <w:color w:val="000000" w:themeColor="text1"/>
                <w:szCs w:val="21"/>
                <w:highlight w:val="none"/>
                <w14:textFill>
                  <w14:solidFill>
                    <w14:schemeClr w14:val="tx1"/>
                  </w14:solidFill>
                </w14:textFill>
              </w:rPr>
              <w:t>后扫描上传。按照交易平台关于全流程电子化项目的相关指南进行操作</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none"/>
                <w14:textFill>
                  <w14:solidFill>
                    <w14:schemeClr w14:val="tx1"/>
                  </w14:solidFill>
                </w14:textFill>
              </w:rPr>
              <w:t>详见</w:t>
            </w:r>
            <w:r>
              <w:rPr>
                <w:rFonts w:hint="eastAsia" w:ascii="宋体" w:hAnsi="宋体" w:eastAsia="宋体" w:cs="宋体"/>
                <w:color w:val="000000" w:themeColor="text1"/>
                <w:szCs w:val="21"/>
                <w:highlight w:val="none"/>
                <w:u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广州交易集团有限公司（广州公共资源交易中心）网站发布的《建设工程全流程电子化项目操作指南》。</w:t>
            </w:r>
          </w:p>
          <w:p w14:paraId="739AA5D8">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注：投标文件电子文档需要投标人单位盖章的材料，投标人加盖电子印章即可，不得将投标人未对电子文档加盖实物印章作为否决投标的情形。</w:t>
            </w:r>
          </w:p>
        </w:tc>
      </w:tr>
      <w:tr w14:paraId="1A5D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078905C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1248" w:type="dxa"/>
            <w:vAlign w:val="center"/>
          </w:tcPr>
          <w:p w14:paraId="712C17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3.6.1</w:t>
            </w:r>
          </w:p>
        </w:tc>
        <w:tc>
          <w:tcPr>
            <w:tcW w:w="3610" w:type="dxa"/>
            <w:vAlign w:val="center"/>
          </w:tcPr>
          <w:p w14:paraId="5BB36774">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投标人通过下载招标文件的交易平台递交电子投标文件。</w:t>
            </w:r>
          </w:p>
        </w:tc>
        <w:tc>
          <w:tcPr>
            <w:tcW w:w="3717" w:type="dxa"/>
            <w:vAlign w:val="center"/>
          </w:tcPr>
          <w:p w14:paraId="48AB026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：投标人通过下载招标文件的</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14:textFill>
                  <w14:solidFill>
                    <w14:schemeClr w14:val="tx1"/>
                  </w14:solidFill>
                </w14:textFill>
              </w:rPr>
              <w:t>交易平台递交电子投标文件</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；投标人按招标公告第1.6.</w:t>
            </w:r>
            <w:r>
              <w:rPr>
                <w:rFonts w:hint="eastAsia" w:ascii="宋体" w:hAnsi="宋体" w:eastAsia="宋体" w:cs="宋体"/>
                <w:color w:val="000000" w:themeColor="text1"/>
                <w:kern w:val="2"/>
                <w:sz w:val="21"/>
                <w:szCs w:val="21"/>
                <w:highlight w:val="none"/>
                <w:u w:val="single"/>
                <w:lang w:eastAsia="zh-CN" w:bidi="ar"/>
                <w14:textFill>
                  <w14:solidFill>
                    <w14:schemeClr w14:val="tx1"/>
                  </w14:solidFill>
                </w14:textFill>
              </w:rPr>
              <w:t>3</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条规定的时间、地点，提交多媒体演示文件。</w:t>
            </w:r>
          </w:p>
        </w:tc>
      </w:tr>
      <w:tr w14:paraId="2F0D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06F22E0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1248" w:type="dxa"/>
            <w:vAlign w:val="center"/>
          </w:tcPr>
          <w:p w14:paraId="13F2DA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3.8.1</w:t>
            </w:r>
          </w:p>
        </w:tc>
        <w:tc>
          <w:tcPr>
            <w:tcW w:w="3610" w:type="dxa"/>
          </w:tcPr>
          <w:p w14:paraId="7FC507FC">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提交投标文件光盘备用</w:t>
            </w:r>
          </w:p>
          <w:p w14:paraId="7E539DCF">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17" w:type="dxa"/>
          </w:tcPr>
          <w:p w14:paraId="65B16514">
            <w:pPr>
              <w:keepNext w:val="0"/>
              <w:keepLines w:val="0"/>
              <w:suppressLineNumbers w:val="0"/>
              <w:spacing w:before="0" w:beforeAutospacing="0" w:after="0" w:afterAutospacing="0" w:line="240" w:lineRule="auto"/>
              <w:ind w:left="0" w:right="0" w:firstLine="0" w:firstLineChars="0"/>
              <w:jc w:val="both"/>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：提交投标文件光盘备用</w:t>
            </w:r>
          </w:p>
          <w:p w14:paraId="5A57FD81">
            <w:pPr>
              <w:keepNext w:val="0"/>
              <w:keepLines w:val="0"/>
              <w:suppressLineNumbers w:val="0"/>
              <w:autoSpaceDE w:val="0"/>
              <w:spacing w:before="0" w:beforeAutospacing="0" w:after="0" w:afterAutospacing="0"/>
              <w:ind w:left="0" w:right="0"/>
              <w:rPr>
                <w:rFonts w:hint="eastAsia" w:ascii="宋体" w:hAnsi="宋体" w:eastAsia="宋体" w:cs="宋体"/>
                <w:b/>
                <w:bCs/>
                <w:color w:val="000000" w:themeColor="text1"/>
                <w:szCs w:val="21"/>
                <w:highlight w:val="none"/>
                <w:u w:val="none"/>
                <w:lang w:bidi="ar"/>
                <w14:textFill>
                  <w14:solidFill>
                    <w14:schemeClr w14:val="tx1"/>
                  </w14:solidFill>
                </w14:textFill>
              </w:rPr>
            </w:pPr>
            <w:r>
              <w:rPr>
                <w:rFonts w:hint="eastAsia" w:ascii="宋体" w:hAnsi="宋体" w:eastAsia="宋体" w:cs="宋体"/>
                <w:color w:val="000000" w:themeColor="text1"/>
                <w:szCs w:val="21"/>
                <w:highlight w:val="none"/>
                <w:u w:val="none"/>
                <w:lang w:bidi="ar"/>
                <w14:textFill>
                  <w14:solidFill>
                    <w14:schemeClr w14:val="tx1"/>
                  </w14:solidFill>
                </w14:textFill>
              </w:rPr>
              <w:t>投标人可制作非加密的电子投标文件刻入光盘（总信封1份，内含4个光盘）</w:t>
            </w:r>
            <w:r>
              <w:rPr>
                <w:rFonts w:hint="eastAsia" w:ascii="宋体" w:hAnsi="宋体" w:eastAsia="宋体" w:cs="宋体"/>
                <w:b/>
                <w:bCs/>
                <w:color w:val="000000" w:themeColor="text1"/>
                <w:szCs w:val="21"/>
                <w:highlight w:val="none"/>
                <w:u w:val="none"/>
                <w:lang w:bidi="ar"/>
                <w14:textFill>
                  <w14:solidFill>
                    <w14:schemeClr w14:val="tx1"/>
                  </w14:solidFill>
                </w14:textFill>
              </w:rPr>
              <w:t>，光盘分类如下：</w:t>
            </w:r>
          </w:p>
          <w:p w14:paraId="37818993">
            <w:pPr>
              <w:keepNext w:val="0"/>
              <w:keepLines w:val="0"/>
              <w:suppressLineNumbers w:val="0"/>
              <w:autoSpaceDE w:val="0"/>
              <w:spacing w:before="0" w:beforeAutospacing="0" w:after="0" w:afterAutospacing="0"/>
              <w:ind w:left="0" w:right="0"/>
              <w:rPr>
                <w:rFonts w:hint="eastAsia" w:ascii="宋体" w:hAnsi="宋体" w:eastAsia="宋体" w:cs="宋体"/>
                <w:color w:val="000000" w:themeColor="text1"/>
                <w:szCs w:val="21"/>
                <w:highlight w:val="none"/>
                <w:u w:val="none"/>
                <w:lang w:bidi="ar"/>
                <w14:textFill>
                  <w14:solidFill>
                    <w14:schemeClr w14:val="tx1"/>
                  </w14:solidFill>
                </w14:textFill>
              </w:rPr>
            </w:pPr>
            <w:r>
              <w:rPr>
                <w:rFonts w:hint="eastAsia" w:ascii="宋体" w:hAnsi="宋体" w:eastAsia="宋体" w:cs="宋体"/>
                <w:color w:val="000000" w:themeColor="text1"/>
                <w:szCs w:val="21"/>
                <w:highlight w:val="none"/>
                <w:u w:val="none"/>
                <w:lang w:bidi="ar"/>
                <w14:textFill>
                  <w14:solidFill>
                    <w14:schemeClr w14:val="tx1"/>
                  </w14:solidFill>
                </w14:textFill>
              </w:rPr>
              <w:t>①设计方案（暗标</w:t>
            </w:r>
            <w:r>
              <w:rPr>
                <w:rFonts w:hint="eastAsia" w:ascii="宋体" w:hAnsi="宋体" w:eastAsia="宋体" w:cs="宋体"/>
                <w:color w:val="000000" w:themeColor="text1"/>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单独密封在密封袋中，不得标注或做任何可以辨认投标人及专业技术人员身份的名称、印章、商标、图形等）</w:t>
            </w:r>
            <w:r>
              <w:rPr>
                <w:rFonts w:hint="eastAsia" w:ascii="宋体" w:hAnsi="宋体" w:eastAsia="宋体" w:cs="宋体"/>
                <w:color w:val="000000" w:themeColor="text1"/>
                <w:szCs w:val="21"/>
                <w:highlight w:val="none"/>
                <w:u w:val="none"/>
                <w:lang w:eastAsia="zh-CN"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②用于揭晓设计方案的可识别投标人身份的</w:t>
            </w:r>
            <w:r>
              <w:rPr>
                <w:rFonts w:hint="eastAsia" w:ascii="宋体" w:hAnsi="宋体" w:eastAsia="宋体" w:cs="宋体"/>
                <w:color w:val="000000" w:themeColor="text1"/>
                <w:szCs w:val="21"/>
                <w:highlight w:val="none"/>
                <w:u w:val="none"/>
                <w:lang w:val="en-US" w:eastAsia="zh-CN" w:bidi="ar"/>
                <w14:textFill>
                  <w14:solidFill>
                    <w14:schemeClr w14:val="tx1"/>
                  </w14:solidFill>
                </w14:textFill>
              </w:rPr>
              <w:t>文件</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（如：投标人设计方案文件中其中任意一页扫描件加盖投标人公章）</w:t>
            </w:r>
            <w:r>
              <w:rPr>
                <w:rFonts w:hint="eastAsia" w:ascii="宋体" w:hAnsi="宋体" w:eastAsia="宋体" w:cs="宋体"/>
                <w:color w:val="000000" w:themeColor="text1"/>
                <w:szCs w:val="21"/>
                <w:highlight w:val="none"/>
                <w:u w:val="none"/>
                <w:lang w:eastAsia="zh-CN"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③开标信封</w:t>
            </w:r>
            <w:r>
              <w:rPr>
                <w:rFonts w:hint="eastAsia" w:ascii="宋体" w:hAnsi="宋体" w:eastAsia="宋体" w:cs="宋体"/>
                <w:b/>
                <w:bCs/>
                <w:color w:val="000000" w:themeColor="text1"/>
                <w:szCs w:val="21"/>
                <w:highlight w:val="none"/>
                <w:u w:val="none"/>
                <w14:textFill>
                  <w14:solidFill>
                    <w14:schemeClr w14:val="tx1"/>
                  </w14:solidFill>
                </w14:textFill>
              </w:rPr>
              <w:t>（开标信封需包含的内容详见备注）</w:t>
            </w:r>
            <w:r>
              <w:rPr>
                <w:rFonts w:hint="eastAsia" w:ascii="宋体" w:hAnsi="宋体" w:eastAsia="宋体" w:cs="宋体"/>
                <w:color w:val="000000" w:themeColor="text1"/>
                <w:szCs w:val="21"/>
                <w:highlight w:val="none"/>
                <w:u w:val="none"/>
                <w:lang w:bidi="ar"/>
                <w14:textFill>
                  <w14:solidFill>
                    <w14:schemeClr w14:val="tx1"/>
                  </w14:solidFill>
                </w14:textFill>
              </w:rPr>
              <w:t>、资格审查文件及其他文件（如有）、报价文件</w:t>
            </w:r>
            <w:r>
              <w:rPr>
                <w:rFonts w:hint="default" w:ascii="宋体" w:hAnsi="宋体" w:eastAsia="宋体" w:cs="宋体"/>
                <w:color w:val="000000" w:themeColor="text1"/>
                <w:kern w:val="2"/>
                <w:sz w:val="21"/>
                <w:szCs w:val="21"/>
                <w:highlight w:val="none"/>
                <w:u w:val="single"/>
                <w:lang w:eastAsia="zh-CN"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④定标文件。在招标公告规定的时间、地点凭法定代表人证明书原件、法定代表人授权委托证明书原件（非法定代表人办理手续时提供）、本人身份证原件提交备用。刻录好的投标文件光盘</w:t>
            </w:r>
            <w:r>
              <w:rPr>
                <w:rFonts w:hint="eastAsia" w:ascii="宋体" w:hAnsi="宋体" w:eastAsia="宋体" w:cs="宋体"/>
                <w:b/>
                <w:bCs/>
                <w:color w:val="000000" w:themeColor="text1"/>
                <w:szCs w:val="21"/>
                <w:highlight w:val="none"/>
                <w:u w:val="single"/>
                <w:lang w:val="en-US" w:eastAsia="zh-CN" w:bidi="ar"/>
                <w14:textFill>
                  <w14:solidFill>
                    <w14:schemeClr w14:val="tx1"/>
                  </w14:solidFill>
                </w14:textFill>
              </w:rPr>
              <w:t>先各自独立</w:t>
            </w:r>
            <w:r>
              <w:rPr>
                <w:rFonts w:hint="eastAsia" w:ascii="宋体" w:hAnsi="宋体" w:eastAsia="宋体" w:cs="宋体"/>
                <w:b/>
                <w:bCs/>
                <w:color w:val="000000" w:themeColor="text1"/>
                <w:szCs w:val="21"/>
                <w:highlight w:val="none"/>
                <w:u w:val="single"/>
                <w:lang w:bidi="ar"/>
                <w14:textFill>
                  <w14:solidFill>
                    <w14:schemeClr w14:val="tx1"/>
                  </w14:solidFill>
                </w14:textFill>
              </w:rPr>
              <w:t>密封</w:t>
            </w:r>
            <w:r>
              <w:rPr>
                <w:rFonts w:hint="eastAsia" w:ascii="宋体" w:hAnsi="宋体" w:eastAsia="宋体" w:cs="宋体"/>
                <w:color w:val="000000" w:themeColor="text1"/>
                <w:szCs w:val="21"/>
                <w:highlight w:val="none"/>
                <w:u w:val="none"/>
                <w:lang w:bidi="ar"/>
                <w14:textFill>
                  <w14:solidFill>
                    <w14:schemeClr w14:val="tx1"/>
                  </w14:solidFill>
                </w14:textFill>
              </w:rPr>
              <w:t>在密封袋中，</w:t>
            </w:r>
            <w:r>
              <w:rPr>
                <w:rFonts w:hint="eastAsia" w:ascii="宋体" w:hAnsi="宋体" w:eastAsia="宋体" w:cs="宋体"/>
                <w:b/>
                <w:bCs/>
                <w:color w:val="000000" w:themeColor="text1"/>
                <w:szCs w:val="21"/>
                <w:highlight w:val="none"/>
                <w:u w:val="single"/>
                <w:lang w:val="en-US" w:eastAsia="zh-CN" w:bidi="ar"/>
                <w14:textFill>
                  <w14:solidFill>
                    <w14:schemeClr w14:val="tx1"/>
                  </w14:solidFill>
                </w14:textFill>
              </w:rPr>
              <w:t>再密封在总信封中，</w:t>
            </w:r>
            <w:r>
              <w:rPr>
                <w:rFonts w:hint="eastAsia" w:ascii="宋体" w:hAnsi="宋体" w:eastAsia="宋体" w:cs="宋体"/>
                <w:color w:val="000000" w:themeColor="text1"/>
                <w:szCs w:val="21"/>
                <w:highlight w:val="none"/>
                <w:u w:val="none"/>
                <w:lang w:bidi="ar"/>
                <w14:textFill>
                  <w14:solidFill>
                    <w14:schemeClr w14:val="tx1"/>
                  </w14:solidFill>
                </w14:textFill>
              </w:rPr>
              <w:t>并在封口处加盖投标人单位公章</w:t>
            </w:r>
            <w:r>
              <w:rPr>
                <w:rFonts w:hint="eastAsia" w:ascii="宋体" w:hAnsi="宋体" w:eastAsia="宋体" w:cs="宋体"/>
                <w:b/>
                <w:bCs/>
                <w:color w:val="000000" w:themeColor="text1"/>
                <w:szCs w:val="21"/>
                <w:highlight w:val="none"/>
                <w:u w:val="none"/>
                <w:lang w:bidi="ar"/>
                <w14:textFill>
                  <w14:solidFill>
                    <w14:schemeClr w14:val="tx1"/>
                  </w14:solidFill>
                </w14:textFill>
              </w:rPr>
              <w:t>（</w:t>
            </w:r>
            <w:r>
              <w:rPr>
                <w:rFonts w:hint="eastAsia" w:ascii="宋体" w:hAnsi="宋体" w:eastAsia="宋体" w:cs="宋体"/>
                <w:b/>
                <w:bCs/>
                <w:color w:val="000000" w:themeColor="text1"/>
                <w:szCs w:val="21"/>
                <w:highlight w:val="none"/>
                <w:u w:val="none"/>
                <w:lang w:val="en-US" w:eastAsia="zh-CN" w:bidi="ar"/>
                <w14:textFill>
                  <w14:solidFill>
                    <w14:schemeClr w14:val="tx1"/>
                  </w14:solidFill>
                </w14:textFill>
              </w:rPr>
              <w:t>除</w:t>
            </w:r>
            <w:r>
              <w:rPr>
                <w:rFonts w:hint="eastAsia" w:ascii="宋体" w:hAnsi="宋体" w:eastAsia="宋体" w:cs="宋体"/>
                <w:b/>
                <w:bCs/>
                <w:color w:val="000000" w:themeColor="text1"/>
                <w:szCs w:val="21"/>
                <w:highlight w:val="none"/>
                <w:u w:val="none"/>
                <w:lang w:bidi="ar"/>
                <w14:textFill>
                  <w14:solidFill>
                    <w14:schemeClr w14:val="tx1"/>
                  </w14:solidFill>
                </w14:textFill>
              </w:rPr>
              <w:t>设计方案光盘外</w:t>
            </w:r>
            <w:r>
              <w:rPr>
                <w:rFonts w:hint="eastAsia" w:ascii="宋体" w:hAnsi="宋体" w:eastAsia="宋体" w:cs="宋体"/>
                <w:b/>
                <w:bCs/>
                <w:color w:val="000000" w:themeColor="text1"/>
                <w:szCs w:val="21"/>
                <w:highlight w:val="none"/>
                <w:u w:val="none"/>
                <w:lang w:eastAsia="zh-CN" w:bidi="ar"/>
                <w14:textFill>
                  <w14:solidFill>
                    <w14:schemeClr w14:val="tx1"/>
                  </w14:solidFill>
                </w14:textFill>
              </w:rPr>
              <w:t>，</w:t>
            </w:r>
            <w:r>
              <w:rPr>
                <w:rFonts w:hint="eastAsia" w:ascii="宋体" w:hAnsi="宋体" w:eastAsia="宋体" w:cs="宋体"/>
                <w:b/>
                <w:bCs/>
                <w:color w:val="000000" w:themeColor="text1"/>
                <w:szCs w:val="21"/>
                <w:highlight w:val="none"/>
                <w:u w:val="none"/>
                <w:lang w:val="en-US" w:eastAsia="zh-CN" w:bidi="ar"/>
                <w14:textFill>
                  <w14:solidFill>
                    <w14:schemeClr w14:val="tx1"/>
                  </w14:solidFill>
                </w14:textFill>
              </w:rPr>
              <w:t>总信封及各独立密封袋均须盖章</w:t>
            </w:r>
            <w:r>
              <w:rPr>
                <w:rFonts w:hint="eastAsia" w:ascii="宋体" w:hAnsi="宋体" w:eastAsia="宋体" w:cs="宋体"/>
                <w:b/>
                <w:bCs/>
                <w:color w:val="000000" w:themeColor="text1"/>
                <w:szCs w:val="21"/>
                <w:highlight w:val="none"/>
                <w:u w:val="none"/>
                <w:lang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。密封袋上应写明项目名称和招标人名称</w:t>
            </w:r>
            <w:r>
              <w:rPr>
                <w:rFonts w:hint="eastAsia" w:ascii="宋体" w:hAnsi="宋体" w:eastAsia="宋体" w:cs="宋体"/>
                <w:b/>
                <w:bCs/>
                <w:color w:val="000000" w:themeColor="text1"/>
                <w:szCs w:val="21"/>
                <w:highlight w:val="none"/>
                <w:u w:val="none"/>
                <w:lang w:bidi="ar"/>
                <w14:textFill>
                  <w14:solidFill>
                    <w14:schemeClr w14:val="tx1"/>
                  </w14:solidFill>
                </w14:textFill>
              </w:rPr>
              <w:t>（设计方案光盘除外）</w:t>
            </w:r>
            <w:r>
              <w:rPr>
                <w:rFonts w:hint="eastAsia" w:ascii="宋体" w:hAnsi="宋体" w:eastAsia="宋体" w:cs="宋体"/>
                <w:color w:val="000000" w:themeColor="text1"/>
                <w:szCs w:val="21"/>
                <w:highlight w:val="none"/>
                <w:u w:val="none"/>
                <w:lang w:bidi="ar"/>
                <w14:textFill>
                  <w14:solidFill>
                    <w14:schemeClr w14:val="tx1"/>
                  </w14:solidFill>
                </w14:textFill>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698C265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none"/>
                <w:lang w:bidi="ar"/>
                <w14:textFill>
                  <w14:solidFill>
                    <w14:schemeClr w14:val="tx1"/>
                  </w14:solidFill>
                </w14:textFill>
              </w:rPr>
              <w:t>注：</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光盘中的“开标信封”需包含的内容：填妥并签字盖章的《投标书》（格式见附录6），联合体同时附填妥并签字盖章的《联合体共同投标协议》（格式见附录7），《合作设计协议书》（如有）。</w:t>
            </w:r>
          </w:p>
        </w:tc>
      </w:tr>
      <w:tr w14:paraId="35E1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1EA7DBE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1248" w:type="dxa"/>
            <w:vAlign w:val="center"/>
          </w:tcPr>
          <w:p w14:paraId="129428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3.8.2.1</w:t>
            </w:r>
          </w:p>
        </w:tc>
        <w:tc>
          <w:tcPr>
            <w:tcW w:w="3610" w:type="dxa"/>
            <w:vAlign w:val="center"/>
          </w:tcPr>
          <w:p w14:paraId="746CB20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c>
          <w:tcPr>
            <w:tcW w:w="3717" w:type="dxa"/>
            <w:vAlign w:val="center"/>
          </w:tcPr>
          <w:p w14:paraId="49F6163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投标文件解密失败的补救方案：在规定时间内，因投标人之外原因（指网络瘫痪、服务器损坏、交易系统故障短期无法恢复）导致的电子投标文件解密失败，在开标现场读取光盘内容</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（设计方案</w:t>
            </w:r>
            <w:r>
              <w:rPr>
                <w:rFonts w:hint="eastAsia" w:ascii="宋体" w:hAnsi="宋体" w:eastAsia="宋体" w:cs="宋体"/>
                <w:color w:val="000000" w:themeColor="text1"/>
                <w:kern w:val="2"/>
                <w:sz w:val="21"/>
                <w:szCs w:val="21"/>
                <w:highlight w:val="none"/>
                <w:u w:val="single"/>
                <w:lang w:eastAsia="zh-CN" w:bidi="ar"/>
                <w14:textFill>
                  <w14:solidFill>
                    <w14:schemeClr w14:val="tx1"/>
                  </w14:solidFill>
                </w14:textFill>
              </w:rPr>
              <w:t>和</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用于揭晓设计方案的可识别投标人身份的</w:t>
            </w:r>
            <w:r>
              <w:rPr>
                <w:rFonts w:hint="default" w:ascii="宋体" w:hAnsi="宋体" w:eastAsia="宋体" w:cs="宋体"/>
                <w:color w:val="000000" w:themeColor="text1"/>
                <w:kern w:val="2"/>
                <w:sz w:val="21"/>
                <w:szCs w:val="21"/>
                <w:highlight w:val="none"/>
                <w:u w:val="single"/>
                <w:lang w:val="en-US" w:eastAsia="zh-CN" w:bidi="ar"/>
                <w14:textFill>
                  <w14:solidFill>
                    <w14:schemeClr w14:val="tx1"/>
                  </w14:solidFill>
                </w14:textFill>
              </w:rPr>
              <w:t>文件</w:t>
            </w:r>
            <w:r>
              <w:rPr>
                <w:rFonts w:hint="default" w:ascii="宋体" w:hAnsi="宋体" w:eastAsia="宋体" w:cs="宋体"/>
                <w:color w:val="000000" w:themeColor="text1"/>
                <w:kern w:val="2"/>
                <w:sz w:val="21"/>
                <w:szCs w:val="21"/>
                <w:highlight w:val="none"/>
                <w:u w:val="single"/>
                <w:lang w:eastAsia="zh-CN" w:bidi="ar"/>
                <w14:textFill>
                  <w14:solidFill>
                    <w14:schemeClr w14:val="tx1"/>
                  </w14:solidFill>
                </w14:textFill>
              </w:rPr>
              <w:t>除</w:t>
            </w:r>
            <w:r>
              <w:rPr>
                <w:rFonts w:hint="eastAsia" w:ascii="宋体" w:hAnsi="宋体" w:eastAsia="宋体" w:cs="宋体"/>
                <w:color w:val="000000" w:themeColor="text1"/>
                <w:kern w:val="2"/>
                <w:sz w:val="21"/>
                <w:szCs w:val="21"/>
                <w:highlight w:val="none"/>
                <w:u w:val="single"/>
                <w:lang w:eastAsia="zh-CN" w:bidi="ar"/>
                <w14:textFill>
                  <w14:solidFill>
                    <w14:schemeClr w14:val="tx1"/>
                  </w14:solidFill>
                </w14:textFill>
              </w:rPr>
              <w:t>外</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，继续开标程序。评标委员会对其投标文件的评审以光盘内容为准。因投标人之外原因解密失败且未递交电子光盘的，视为撤回投标文件。</w:t>
            </w:r>
          </w:p>
        </w:tc>
      </w:tr>
      <w:tr w14:paraId="099B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38D65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1248" w:type="dxa"/>
            <w:vAlign w:val="center"/>
          </w:tcPr>
          <w:p w14:paraId="6C3E39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3.8.2.2</w:t>
            </w:r>
          </w:p>
        </w:tc>
        <w:tc>
          <w:tcPr>
            <w:tcW w:w="3610" w:type="dxa"/>
            <w:vAlign w:val="center"/>
          </w:tcPr>
          <w:p w14:paraId="2C61BA7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c>
          <w:tcPr>
            <w:tcW w:w="3717" w:type="dxa"/>
            <w:vAlign w:val="center"/>
          </w:tcPr>
          <w:p w14:paraId="1D267F6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评标时突发情况的补救方案：若遇不可抗力发生（如：网络瘫痪、服务器损坏、交易系统故障短期无法恢复等因素），由评标委员会开启现场递交的全部投标文件光盘，并按光盘内容进行评审</w:t>
            </w:r>
            <w:r>
              <w:rPr>
                <w:rFonts w:hint="eastAsia" w:ascii="宋体" w:hAnsi="宋体" w:eastAsia="宋体" w:cs="宋体"/>
                <w:color w:val="000000" w:themeColor="text1"/>
                <w:kern w:val="2"/>
                <w:sz w:val="21"/>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评审完成后，方可开启保密信封，揭晓投标人身份。</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投标人未递交投标文件光盘（备用）的，视为撤回投标文件。</w:t>
            </w:r>
          </w:p>
        </w:tc>
      </w:tr>
      <w:tr w14:paraId="498A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B808C6C">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1248" w:type="dxa"/>
            <w:vAlign w:val="center"/>
          </w:tcPr>
          <w:p w14:paraId="26C481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3.9.1</w:t>
            </w:r>
          </w:p>
        </w:tc>
        <w:tc>
          <w:tcPr>
            <w:tcW w:w="3610" w:type="dxa"/>
            <w:vAlign w:val="center"/>
          </w:tcPr>
          <w:p w14:paraId="26EFD3A0">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tc>
        <w:tc>
          <w:tcPr>
            <w:tcW w:w="3717" w:type="dxa"/>
            <w:vAlign w:val="center"/>
          </w:tcPr>
          <w:p w14:paraId="276D706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在投标截止时间后</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一小时内</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，投标人通过递交投标文件的交易平台对已递交的电子投标文件进行解密。投标人完成解密后，再由招标人进行解密。解密完成后，</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公布招标项目名称、投标人名称和资格审查文件（如有）</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。未在规定时间内解密的投标文件不参与开标、评标。</w:t>
            </w:r>
          </w:p>
        </w:tc>
      </w:tr>
      <w:tr w14:paraId="36B0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F336108">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12</w:t>
            </w:r>
          </w:p>
        </w:tc>
        <w:tc>
          <w:tcPr>
            <w:tcW w:w="1248" w:type="dxa"/>
            <w:vAlign w:val="center"/>
          </w:tcPr>
          <w:p w14:paraId="36BF44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3.9.10</w:t>
            </w:r>
          </w:p>
        </w:tc>
        <w:tc>
          <w:tcPr>
            <w:tcW w:w="3610" w:type="dxa"/>
            <w:vAlign w:val="center"/>
          </w:tcPr>
          <w:p w14:paraId="154AA31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投标文件（设计方案）开标时不得开启，在评标时由交易平台随机编号后开启，交由评标委员会进行评审。编号所对应的投标人在投票结束前不得告知评标委员会、交易平台工作人员、招标人或招标代理机构</w:t>
            </w:r>
            <w:r>
              <w:rPr>
                <w:rFonts w:hint="eastAsia" w:ascii="宋体" w:hAnsi="宋体" w:eastAsia="宋体" w:cs="宋体"/>
                <w:color w:val="000000" w:themeColor="text1"/>
                <w:szCs w:val="21"/>
                <w:highlight w:val="none"/>
                <w14:textFill>
                  <w14:solidFill>
                    <w14:schemeClr w14:val="tx1"/>
                  </w14:solidFill>
                </w14:textFill>
              </w:rPr>
              <w:t>。</w:t>
            </w:r>
          </w:p>
        </w:tc>
        <w:tc>
          <w:tcPr>
            <w:tcW w:w="3717" w:type="dxa"/>
            <w:vAlign w:val="center"/>
          </w:tcPr>
          <w:p w14:paraId="6A2E883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2"/>
                <w:sz w:val="21"/>
                <w:szCs w:val="21"/>
                <w:highlight w:val="none"/>
                <w:u w:val="single"/>
                <w:lang w:val="en-US" w:eastAsia="zh-CN" w:bidi="ar"/>
                <w14:textFill>
                  <w14:solidFill>
                    <w14:schemeClr w14:val="tx1"/>
                  </w14:solidFill>
                </w14:textFill>
              </w:rPr>
              <w:t>交易系统上传的</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投标文件（设计方案）</w:t>
            </w:r>
            <w:r>
              <w:rPr>
                <w:rFonts w:hint="eastAsia" w:ascii="宋体" w:hAnsi="宋体" w:eastAsia="宋体" w:cs="宋体"/>
                <w:b w:val="0"/>
                <w:bCs/>
                <w:color w:val="000000" w:themeColor="text1"/>
                <w:kern w:val="2"/>
                <w:sz w:val="21"/>
                <w:szCs w:val="21"/>
                <w:highlight w:val="none"/>
                <w:u w:val="single"/>
                <w:lang w:val="en-US" w:eastAsia="zh-CN" w:bidi="ar"/>
                <w14:textFill>
                  <w14:solidFill>
                    <w14:schemeClr w14:val="tx1"/>
                  </w14:solidFill>
                </w14:textFill>
              </w:rPr>
              <w:t>电子文件，</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开标时不得开启，在评标时由交易平台随机编号后开启，交由评标委员会进行评审。编号所对应的投标人在</w:t>
            </w:r>
            <w:r>
              <w:rPr>
                <w:rFonts w:hint="eastAsia" w:ascii="宋体" w:hAnsi="宋体" w:eastAsia="宋体" w:cs="宋体"/>
                <w:b w:val="0"/>
                <w:bCs/>
                <w:color w:val="000000" w:themeColor="text1"/>
                <w:kern w:val="2"/>
                <w:sz w:val="21"/>
                <w:szCs w:val="21"/>
                <w:highlight w:val="none"/>
                <w:u w:val="single"/>
                <w:lang w:val="en-US" w:eastAsia="zh-CN" w:bidi="ar"/>
                <w14:textFill>
                  <w14:solidFill>
                    <w14:schemeClr w14:val="tx1"/>
                  </w14:solidFill>
                </w14:textFill>
              </w:rPr>
              <w:t>方案评审</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结束前不得告知评标委员会、交易平台工作人员、招标人或招标代理机构</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w:t>
            </w:r>
          </w:p>
        </w:tc>
      </w:tr>
      <w:tr w14:paraId="564B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3F3ED2CC">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w:t>
            </w:r>
          </w:p>
        </w:tc>
        <w:tc>
          <w:tcPr>
            <w:tcW w:w="1248" w:type="dxa"/>
            <w:vAlign w:val="center"/>
          </w:tcPr>
          <w:p w14:paraId="4CCE18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3.9.11</w:t>
            </w:r>
          </w:p>
        </w:tc>
        <w:tc>
          <w:tcPr>
            <w:tcW w:w="3610" w:type="dxa"/>
            <w:vAlign w:val="center"/>
          </w:tcPr>
          <w:p w14:paraId="09725F0B">
            <w:pPr>
              <w:keepNext w:val="0"/>
              <w:keepLines w:val="0"/>
              <w:suppressLineNumbers w:val="0"/>
              <w:spacing w:before="0" w:beforeAutospacing="0" w:after="0" w:afterAutospacing="0" w:line="276"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新增</w:t>
            </w:r>
          </w:p>
        </w:tc>
        <w:tc>
          <w:tcPr>
            <w:tcW w:w="3717" w:type="dxa"/>
            <w:shd w:val="clear" w:color="auto" w:fill="auto"/>
            <w:vAlign w:val="center"/>
          </w:tcPr>
          <w:p w14:paraId="47BA01AE">
            <w:pPr>
              <w:keepNext w:val="0"/>
              <w:keepLines w:val="0"/>
              <w:suppressLineNumbers w:val="0"/>
              <w:spacing w:before="0" w:beforeAutospacing="0" w:after="0" w:afterAutospacing="0" w:line="276" w:lineRule="auto"/>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365E63ED">
            <w:pPr>
              <w:keepNext w:val="0"/>
              <w:keepLines w:val="0"/>
              <w:widowControl w:val="0"/>
              <w:suppressLineNumbers w:val="0"/>
              <w:autoSpaceDE/>
              <w:autoSpaceDN/>
              <w:spacing w:before="0" w:beforeAutospacing="0" w:after="0" w:afterAutospacing="0"/>
              <w:ind w:left="0" w:leftChars="0" w:right="0" w:rightChars="0"/>
              <w:jc w:val="both"/>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3.9.11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多媒体演示文件开标时不得开启，在评标前由交易中心见证人员开启并编号，交由评标委员会进行评审。编号所对应的投标人在方案评审结束前不得告知评标委员会、招标人或招标代理机构。</w:t>
            </w:r>
          </w:p>
        </w:tc>
      </w:tr>
      <w:tr w14:paraId="7A51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36213ED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w:t>
            </w:r>
          </w:p>
        </w:tc>
        <w:tc>
          <w:tcPr>
            <w:tcW w:w="1248" w:type="dxa"/>
            <w:vAlign w:val="center"/>
          </w:tcPr>
          <w:p w14:paraId="1F94E4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3.10.1</w:t>
            </w:r>
          </w:p>
        </w:tc>
        <w:tc>
          <w:tcPr>
            <w:tcW w:w="3610" w:type="dxa"/>
            <w:vAlign w:val="center"/>
          </w:tcPr>
          <w:p w14:paraId="4889131F">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投标人不需要提交投标保证金，评标结果揭晓后，中标候选人所得投标补偿转作保证金，确定中标人后立即返还，其中中标人的保证金待签订合同后立即返还。如果重新招标，保证金立即返还。</w:t>
            </w:r>
          </w:p>
        </w:tc>
        <w:tc>
          <w:tcPr>
            <w:tcW w:w="3717" w:type="dxa"/>
            <w:vAlign w:val="center"/>
          </w:tcPr>
          <w:p w14:paraId="4B29635D">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：投标人不需要提交投标保证金。</w:t>
            </w:r>
            <w:r>
              <w:rPr>
                <w:rFonts w:hint="default" w:ascii="宋体" w:hAnsi="宋体" w:cs="宋体"/>
                <w:color w:val="000000" w:themeColor="text1"/>
                <w:szCs w:val="21"/>
                <w:highlight w:val="none"/>
                <w:u w:val="single"/>
                <w14:textFill>
                  <w14:solidFill>
                    <w14:schemeClr w14:val="tx1"/>
                  </w14:solidFill>
                </w14:textFill>
              </w:rPr>
              <w:t>未中标单位</w:t>
            </w:r>
            <w:r>
              <w:rPr>
                <w:rFonts w:hint="eastAsia" w:ascii="宋体" w:hAnsi="宋体" w:cs="宋体"/>
                <w:color w:val="000000" w:themeColor="text1"/>
                <w:szCs w:val="21"/>
                <w:highlight w:val="none"/>
                <w:u w:val="single"/>
                <w14:textFill>
                  <w14:solidFill>
                    <w14:schemeClr w14:val="tx1"/>
                  </w14:solidFill>
                </w14:textFill>
              </w:rPr>
              <w:t>经济补偿按招标公告规定支付。</w:t>
            </w:r>
          </w:p>
        </w:tc>
      </w:tr>
      <w:tr w14:paraId="6BD6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1897373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15</w:t>
            </w:r>
          </w:p>
        </w:tc>
        <w:tc>
          <w:tcPr>
            <w:tcW w:w="1248" w:type="dxa"/>
            <w:vAlign w:val="center"/>
          </w:tcPr>
          <w:p w14:paraId="5F5F8359">
            <w:pPr>
              <w:keepNext w:val="0"/>
              <w:keepLines w:val="0"/>
              <w:suppressLineNumbers w:val="0"/>
              <w:snapToGrid w:val="0"/>
              <w:spacing w:before="0" w:beforeAutospacing="0" w:after="0" w:afterAutospacing="0" w:line="360" w:lineRule="auto"/>
              <w:ind w:left="0" w:right="0"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3.10.2</w:t>
            </w:r>
          </w:p>
        </w:tc>
        <w:tc>
          <w:tcPr>
            <w:tcW w:w="3610" w:type="dxa"/>
            <w:vAlign w:val="center"/>
          </w:tcPr>
          <w:p w14:paraId="57B78D1D">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投标有效期90天，</w:t>
            </w:r>
            <w:r>
              <w:rPr>
                <w:rFonts w:hint="eastAsia" w:ascii="宋体" w:hAnsi="宋体" w:eastAsia="宋体" w:cs="宋体"/>
                <w:color w:val="000000" w:themeColor="text1"/>
                <w:szCs w:val="21"/>
                <w:highlight w:val="none"/>
                <w14:textFill>
                  <w14:solidFill>
                    <w14:schemeClr w14:val="tx1"/>
                  </w14:solidFill>
                </w14:textFill>
              </w:rPr>
              <w:t>从提交投标文件截止日起计算。在提交投标文件截止时间后到招标文件规定的投标有效期终止之前，投标人不得补充、修改或者撤回其投标文件，否则其保证金将被没收。</w:t>
            </w:r>
          </w:p>
        </w:tc>
        <w:tc>
          <w:tcPr>
            <w:tcW w:w="3717" w:type="dxa"/>
            <w:vAlign w:val="center"/>
          </w:tcPr>
          <w:p w14:paraId="2CBD04A5">
            <w:pPr>
              <w:keepNext w:val="0"/>
              <w:keepLines w:val="0"/>
              <w:suppressLineNumbers w:val="0"/>
              <w:snapToGrid w:val="0"/>
              <w:spacing w:before="0" w:beforeAutospacing="0" w:after="0" w:afterAutospacing="0" w:line="240"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：投标有效期90日历天，从提交投标文件截止日起计算</w:t>
            </w:r>
            <w:r>
              <w:rPr>
                <w:rFonts w:hint="eastAsia" w:ascii="宋体" w:hAnsi="宋体" w:eastAsia="宋体" w:cs="宋体"/>
                <w:color w:val="000000" w:themeColor="text1"/>
                <w:szCs w:val="21"/>
                <w:highlight w:val="none"/>
                <w:u w:val="single"/>
                <w14:textFill>
                  <w14:solidFill>
                    <w14:schemeClr w14:val="tx1"/>
                  </w14:solidFill>
                </w14:textFill>
              </w:rPr>
              <w:t>，如出现异议或投诉，则投标有效期自动延长至异议或投诉处理结束。</w:t>
            </w:r>
            <w:r>
              <w:rPr>
                <w:rFonts w:hint="eastAsia" w:ascii="宋体" w:hAnsi="宋体" w:eastAsia="宋体" w:cs="宋体"/>
                <w:color w:val="000000" w:themeColor="text1"/>
                <w:szCs w:val="21"/>
                <w:highlight w:val="none"/>
                <w14:textFill>
                  <w14:solidFill>
                    <w14:schemeClr w14:val="tx1"/>
                  </w14:solidFill>
                </w14:textFill>
              </w:rPr>
              <w:t>在提交投标文件截止时间后到招标文件规定的投标有效期终止之前，投标人不得补充、修改或者撤回其投标文件。</w:t>
            </w:r>
          </w:p>
        </w:tc>
      </w:tr>
      <w:tr w14:paraId="48C0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3F818B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0FE96F2F">
            <w:pPr>
              <w:keepNext w:val="0"/>
              <w:keepLines w:val="0"/>
              <w:suppressLineNumbers w:val="0"/>
              <w:snapToGrid w:val="0"/>
              <w:spacing w:before="0" w:beforeAutospacing="0" w:after="0" w:afterAutospacing="0" w:line="360" w:lineRule="auto"/>
              <w:ind w:left="0" w:right="0"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3.11</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14:paraId="75944E6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3.11</w:t>
            </w:r>
            <w:r>
              <w:rPr>
                <w:rFonts w:hint="eastAsia" w:ascii="宋体" w:hAnsi="宋体" w:eastAsia="宋体" w:cs="宋体"/>
                <w:b/>
                <w:color w:val="000000" w:themeColor="text1"/>
                <w:szCs w:val="21"/>
                <w:highlight w:val="none"/>
                <w:lang w:bidi="ar"/>
                <w14:textFill>
                  <w14:solidFill>
                    <w14:schemeClr w14:val="tx1"/>
                  </w14:solidFill>
                </w14:textFill>
              </w:rPr>
              <w:t>投标人不得存在下列情形之一：</w:t>
            </w:r>
          </w:p>
          <w:p w14:paraId="124B62F9">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（1）为招标人不具有独立法人资格的附属机构（单位）；</w:t>
            </w:r>
          </w:p>
          <w:p w14:paraId="0265BB0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（2）与招标人存在利害关系且可能影响招标公正性；</w:t>
            </w:r>
          </w:p>
          <w:p w14:paraId="26CA975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（3）与本招标项目的其他投标人为同一个单位负责人；</w:t>
            </w:r>
          </w:p>
          <w:p w14:paraId="76A461E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（4）与本招标项目的其他投标人存在控股、管理关系；</w:t>
            </w:r>
          </w:p>
          <w:p w14:paraId="0587312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（5）为本招标项目的代建人；</w:t>
            </w:r>
          </w:p>
          <w:p w14:paraId="6B61563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（6）为本招标项目的招标代理机构；</w:t>
            </w:r>
          </w:p>
          <w:p w14:paraId="3353948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（7）与本招标项目的代建人或招标代理机构同为一个法定代表人；</w:t>
            </w:r>
          </w:p>
          <w:p w14:paraId="2CD2903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（8）与本招标项目的代建人或招标代理机构存在控股或参股关系；</w:t>
            </w:r>
          </w:p>
          <w:p w14:paraId="7D2859F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（9）被依法暂停或者取消投标资格；</w:t>
            </w:r>
          </w:p>
          <w:p w14:paraId="228791B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（10）被责令停产停业、暂扣或者吊销许可证、暂扣或者吊销执照；</w:t>
            </w:r>
          </w:p>
          <w:p w14:paraId="7CDA663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（11）进入清算程序，或被宣告破产，或其他丧失履约能力的情形；</w:t>
            </w:r>
          </w:p>
          <w:p w14:paraId="1A9C166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（12）在最近三年内发生重大设计质量问题（以相关行业主管部门的行政处罚决定或司法机关出具的有关法律文书为准）；</w:t>
            </w:r>
          </w:p>
          <w:p w14:paraId="692C28E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（13）被工商行政管理机关在全国企业信用信息公示系统中列入严重违法失信企业名单；</w:t>
            </w:r>
          </w:p>
          <w:p w14:paraId="5D945159">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（14）被最高人民法院在“信用中国”网站（www.creditchina.gov.cn）或各级信用信息共享平台中列入失信被执行人名单；</w:t>
            </w:r>
          </w:p>
          <w:p w14:paraId="50888524">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（15）在近三年内投标人或其法定代表人、拟委任的项目负责人有行贿犯罪行为的。</w:t>
            </w: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14:paraId="3EC90B2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修改：</w:t>
            </w:r>
            <w:r>
              <w:rPr>
                <w:rFonts w:hint="eastAsia" w:ascii="宋体" w:hAnsi="宋体" w:eastAsia="宋体" w:cs="宋体"/>
                <w:color w:val="000000" w:themeColor="text1"/>
                <w:szCs w:val="21"/>
                <w:highlight w:val="none"/>
                <w:lang w:bidi="ar"/>
                <w14:textFill>
                  <w14:solidFill>
                    <w14:schemeClr w14:val="tx1"/>
                  </w14:solidFill>
                </w14:textFill>
              </w:rPr>
              <w:t>3.11</w:t>
            </w:r>
            <w:r>
              <w:rPr>
                <w:rFonts w:hint="eastAsia" w:ascii="宋体" w:hAnsi="宋体" w:eastAsia="宋体" w:cs="宋体"/>
                <w:b/>
                <w:color w:val="000000" w:themeColor="text1"/>
                <w:szCs w:val="21"/>
                <w:highlight w:val="none"/>
                <w:lang w:bidi="ar"/>
                <w14:textFill>
                  <w14:solidFill>
                    <w14:schemeClr w14:val="tx1"/>
                  </w14:solidFill>
                </w14:textFill>
              </w:rPr>
              <w:t>投标人不得存在下列情形之一：</w:t>
            </w:r>
          </w:p>
          <w:p w14:paraId="5C9519A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（1）为招标人不具有独立法人资格的附属机构（单位）；</w:t>
            </w:r>
          </w:p>
          <w:p w14:paraId="7BB1FE1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（2）与招标人存在利害关系且可能影响招标公正性；</w:t>
            </w:r>
          </w:p>
          <w:p w14:paraId="3CC1A72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（3）与本招标项目的其他投标人为同一个单位负责人；</w:t>
            </w:r>
          </w:p>
          <w:p w14:paraId="315238A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（4）与本招标项目的其他投标人存在控股、管理关系；</w:t>
            </w:r>
          </w:p>
          <w:p w14:paraId="0FDEF78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（5）为本招标项目的代建人；</w:t>
            </w:r>
          </w:p>
          <w:p w14:paraId="746D4DF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（6）为本招标项目的招标代理机构；</w:t>
            </w:r>
          </w:p>
          <w:p w14:paraId="4B8068F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（7）与本招标项目的代建人或招标代理机构同为一个法定代表人；</w:t>
            </w:r>
          </w:p>
          <w:p w14:paraId="2DC6CF6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（8）与本招标项目的代建人或招标代理机构存在控股或参股关系；</w:t>
            </w:r>
          </w:p>
          <w:p w14:paraId="23A235B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u w:val="singl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（9）被依法暂停或者取消投标资格；</w:t>
            </w:r>
            <w:r>
              <w:rPr>
                <w:rFonts w:hint="eastAsia" w:ascii="宋体" w:hAnsi="宋体" w:eastAsia="宋体" w:cs="宋体"/>
                <w:color w:val="000000" w:themeColor="text1"/>
                <w:szCs w:val="21"/>
                <w:highlight w:val="none"/>
                <w:u w:val="single"/>
                <w:lang w:bidi="ar"/>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5F4EB76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（10）被责令停产停业、暂扣或者吊销许可证、暂扣或者吊销执照</w:t>
            </w:r>
            <w:r>
              <w:rPr>
                <w:rFonts w:hint="eastAsia" w:ascii="宋体" w:hAnsi="宋体" w:eastAsia="宋体" w:cs="宋体"/>
                <w:color w:val="000000" w:themeColor="text1"/>
                <w:szCs w:val="21"/>
                <w:highlight w:val="none"/>
                <w:u w:val="single"/>
                <w:lang w:bidi="ar"/>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s="宋体"/>
                <w:color w:val="000000" w:themeColor="text1"/>
                <w:szCs w:val="21"/>
                <w:highlight w:val="none"/>
                <w:lang w:bidi="ar"/>
                <w14:textFill>
                  <w14:solidFill>
                    <w14:schemeClr w14:val="tx1"/>
                  </w14:solidFill>
                </w14:textFill>
              </w:rPr>
              <w:t>；</w:t>
            </w:r>
          </w:p>
          <w:p w14:paraId="2AD89C9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（11）进入清算程序，或被宣告破产，或其他丧失履约能力的情形；</w:t>
            </w:r>
          </w:p>
          <w:p w14:paraId="0710BCEF">
            <w:pPr>
              <w:keepNext w:val="0"/>
              <w:keepLines w:val="0"/>
              <w:suppressLineNumbers w:val="0"/>
              <w:snapToGrid w:val="0"/>
              <w:spacing w:before="0" w:beforeAutospacing="0" w:after="0" w:afterAutospacing="0" w:line="240"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（12）在最近三年内发生重大设计质量问题</w:t>
            </w:r>
            <w:r>
              <w:rPr>
                <w:rFonts w:hint="eastAsia" w:ascii="宋体" w:hAnsi="宋体" w:eastAsia="宋体" w:cs="宋体"/>
                <w:color w:val="000000" w:themeColor="text1"/>
                <w:szCs w:val="21"/>
                <w:highlight w:val="none"/>
                <w:u w:val="single"/>
                <w:lang w:bidi="ar"/>
                <w14:textFill>
                  <w14:solidFill>
                    <w14:schemeClr w14:val="tx1"/>
                  </w14:solidFill>
                </w14:textFill>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000000" w:themeColor="text1"/>
                <w:szCs w:val="21"/>
                <w:highlight w:val="none"/>
                <w:lang w:bidi="ar"/>
                <w14:textFill>
                  <w14:solidFill>
                    <w14:schemeClr w14:val="tx1"/>
                  </w14:solidFill>
                </w14:textFill>
              </w:rPr>
              <w:t>；</w:t>
            </w:r>
          </w:p>
        </w:tc>
      </w:tr>
      <w:tr w14:paraId="143C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CC31E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17</w:t>
            </w:r>
          </w:p>
        </w:tc>
        <w:tc>
          <w:tcPr>
            <w:tcW w:w="1248" w:type="dxa"/>
            <w:vAlign w:val="center"/>
          </w:tcPr>
          <w:p w14:paraId="6FFC39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4.1.2</w:t>
            </w:r>
          </w:p>
        </w:tc>
        <w:tc>
          <w:tcPr>
            <w:tcW w:w="3610" w:type="dxa"/>
            <w:vAlign w:val="center"/>
          </w:tcPr>
          <w:p w14:paraId="4939631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4.1.2  有下列情况之一的，评标委员会应当否决其投标：</w:t>
            </w:r>
          </w:p>
          <w:p w14:paraId="32470BC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(a) 《投标书》未加盖投标人公章，也未经法定代表人或者其授权代表签字；</w:t>
            </w:r>
          </w:p>
          <w:p w14:paraId="43FB51A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(b) 《投标书》包含有招标人不能接受的偏差，并且投标人拒绝书面撤回偏差；</w:t>
            </w:r>
          </w:p>
          <w:p w14:paraId="1BAAF2B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(c) 《投标人声明》未按规定格式填写或未加盖投标人公章（适用于未设资格审查环节的项目）；</w:t>
            </w:r>
          </w:p>
        </w:tc>
        <w:tc>
          <w:tcPr>
            <w:tcW w:w="3717" w:type="dxa"/>
            <w:vAlign w:val="center"/>
          </w:tcPr>
          <w:p w14:paraId="148C82A5">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4.1.2  有下列情况之一的，评标委员会应当否决其投标：</w:t>
            </w:r>
          </w:p>
          <w:p w14:paraId="6FDD8703">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000000" w:themeColor="text1"/>
                <w:kern w:val="2"/>
                <w:sz w:val="2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 xml:space="preserve">   (a) 《投标书》未加盖投标人</w:t>
            </w:r>
            <w:r>
              <w:rPr>
                <w:rFonts w:hint="eastAsia" w:ascii="宋体" w:hAnsi="宋体" w:eastAsia="宋体" w:cs="宋体"/>
                <w:b w:val="0"/>
                <w:color w:val="000000" w:themeColor="text1"/>
                <w:kern w:val="2"/>
                <w:sz w:val="21"/>
                <w:szCs w:val="21"/>
                <w:highlight w:val="none"/>
                <w:u w:val="single"/>
                <w:lang w:val="en-US" w:eastAsia="zh-CN" w:bidi="ar"/>
                <w14:textFill>
                  <w14:solidFill>
                    <w14:schemeClr w14:val="tx1"/>
                  </w14:solidFill>
                </w14:textFill>
              </w:rPr>
              <w:t>电子印章</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，也未经法定代表人或者其授权代表签字；</w:t>
            </w:r>
          </w:p>
          <w:p w14:paraId="33A0166D">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000000" w:themeColor="text1"/>
                <w:kern w:val="2"/>
                <w:sz w:val="2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 xml:space="preserve">   (b) 《投标书》包含有招标人不能接受的偏差，并且投标人拒绝书面撤回偏差；</w:t>
            </w:r>
          </w:p>
          <w:p w14:paraId="4C84744D">
            <w:pPr>
              <w:keepNext w:val="0"/>
              <w:keepLines w:val="0"/>
              <w:suppressLineNumbers w:val="0"/>
              <w:spacing w:before="0" w:beforeAutospacing="0" w:after="0" w:afterAutospacing="0" w:line="240"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 xml:space="preserve">   (c) 《投标人声明》未按规定格式填写</w:t>
            </w:r>
            <w:r>
              <w:rPr>
                <w:rFonts w:hint="eastAsia" w:ascii="宋体" w:hAnsi="宋体" w:eastAsia="宋体" w:cs="宋体"/>
                <w:b w:val="0"/>
                <w:strike/>
                <w:dstrike w:val="0"/>
                <w:color w:val="000000" w:themeColor="text1"/>
                <w:kern w:val="2"/>
                <w:sz w:val="21"/>
                <w:szCs w:val="21"/>
                <w:highlight w:val="none"/>
                <w:lang w:val="en-US" w:eastAsia="zh-CN" w:bidi="ar"/>
                <w14:textFill>
                  <w14:solidFill>
                    <w14:schemeClr w14:val="tx1"/>
                  </w14:solidFill>
                </w14:textFill>
              </w:rPr>
              <w:t>或未加盖投标人</w:t>
            </w:r>
            <w:r>
              <w:rPr>
                <w:rFonts w:hint="eastAsia" w:ascii="宋体" w:hAnsi="宋体" w:eastAsia="宋体" w:cs="宋体"/>
                <w:b w:val="0"/>
                <w:strike/>
                <w:dstrike w:val="0"/>
                <w:color w:val="000000" w:themeColor="text1"/>
                <w:kern w:val="2"/>
                <w:sz w:val="21"/>
                <w:szCs w:val="21"/>
                <w:highlight w:val="none"/>
                <w:u w:val="single"/>
                <w:lang w:val="en-US" w:eastAsia="zh-CN" w:bidi="ar"/>
                <w14:textFill>
                  <w14:solidFill>
                    <w14:schemeClr w14:val="tx1"/>
                  </w14:solidFill>
                </w14:textFill>
              </w:rPr>
              <w:t>电子印章</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（适用于未设资格审查环节的项目）；</w:t>
            </w:r>
          </w:p>
        </w:tc>
      </w:tr>
      <w:tr w14:paraId="22CB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6D2447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18</w:t>
            </w:r>
          </w:p>
        </w:tc>
        <w:tc>
          <w:tcPr>
            <w:tcW w:w="1248" w:type="dxa"/>
            <w:vAlign w:val="center"/>
          </w:tcPr>
          <w:p w14:paraId="57BB3A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4.1.3</w:t>
            </w:r>
          </w:p>
        </w:tc>
        <w:tc>
          <w:tcPr>
            <w:tcW w:w="3610" w:type="dxa"/>
            <w:vAlign w:val="top"/>
          </w:tcPr>
          <w:p w14:paraId="60743B2D">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4.1.3  投标文件有下列情况之一的，评标委员会应当否决其投标：</w:t>
            </w:r>
          </w:p>
          <w:p w14:paraId="5E569BF3">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(a) 投标人与其他投标人加密打包投标文件电脑机器特征码一致的；</w:t>
            </w:r>
          </w:p>
          <w:p w14:paraId="3BC9F84B">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(b) 投标人在设计方案内标注名称、印章、商标、图形等记认符号，使人辨认出投标人或其专业技术人员的身份；</w:t>
            </w:r>
          </w:p>
          <w:p w14:paraId="3DDCF151">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(c)投标人之间存在《广东省实施&lt;中华人民共和国招标投标法&gt;》第十六条所禁止的情形的；</w:t>
            </w:r>
          </w:p>
          <w:p w14:paraId="48FA213C">
            <w:pPr>
              <w:keepNext w:val="0"/>
              <w:keepLines w:val="0"/>
              <w:suppressLineNumbers w:val="0"/>
              <w:snapToGrid/>
              <w:spacing w:before="0" w:beforeAutospacing="0" w:after="0" w:afterAutospacing="0" w:line="240" w:lineRule="auto"/>
              <w:ind w:left="743" w:leftChars="0" w:right="0" w:hanging="743" w:hangingChars="354"/>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（d）投标报价高于最高投标限价的。</w:t>
            </w:r>
          </w:p>
        </w:tc>
        <w:tc>
          <w:tcPr>
            <w:tcW w:w="3717" w:type="dxa"/>
            <w:vAlign w:val="top"/>
          </w:tcPr>
          <w:p w14:paraId="0E50F497">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4.1.3  投标文件有下列情况之一的，评标委员会应当否决其投标：</w:t>
            </w:r>
          </w:p>
          <w:p w14:paraId="7859C857">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(a) 投标人与</w:t>
            </w:r>
            <w:r>
              <w:rPr>
                <w:rFonts w:hint="eastAsia" w:ascii="宋体" w:hAnsi="宋体" w:eastAsia="宋体" w:cs="宋体"/>
                <w:b w:val="0"/>
                <w:bCs w:val="0"/>
                <w:color w:val="000000" w:themeColor="text1"/>
                <w:kern w:val="0"/>
                <w:sz w:val="21"/>
                <w:szCs w:val="21"/>
                <w:highlight w:val="none"/>
                <w:u w:val="single"/>
                <w:lang w:val="en-US" w:eastAsia="zh-CN" w:bidi="ar"/>
                <w14:textFill>
                  <w14:solidFill>
                    <w14:schemeClr w14:val="tx1"/>
                  </w14:solidFill>
                </w14:textFill>
              </w:rPr>
              <w:t>本项目</w:t>
            </w:r>
            <w:r>
              <w:rPr>
                <w:rFonts w:hint="eastAsia" w:ascii="宋体" w:hAnsi="宋体" w:eastAsia="宋体" w:cs="宋体"/>
                <w:color w:val="000000" w:themeColor="text1"/>
                <w:kern w:val="0"/>
                <w:sz w:val="21"/>
                <w:szCs w:val="21"/>
                <w:highlight w:val="none"/>
                <w:lang w:bidi="ar"/>
                <w14:textFill>
                  <w14:solidFill>
                    <w14:schemeClr w14:val="tx1"/>
                  </w14:solidFill>
                </w14:textFill>
              </w:rPr>
              <w:t>其他投标人加密打包投标文件电脑机器特征码一致的；</w:t>
            </w:r>
          </w:p>
          <w:p w14:paraId="511D79CA">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(b) 投标人在设计方案内标注名称、印章、商标、图形等记认符号，使人辨认出投标人或其专业技术人员的身份；</w:t>
            </w:r>
          </w:p>
          <w:p w14:paraId="3AFE6A37">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(c)投标人之间存在《广东省实施&lt;中华人民共和国招标投标法&gt;》第十六条所禁止的情形的；</w:t>
            </w:r>
          </w:p>
          <w:p w14:paraId="6F52F250">
            <w:pPr>
              <w:keepNext w:val="0"/>
              <w:keepLines w:val="0"/>
              <w:suppressLineNumbers w:val="0"/>
              <w:snapToGrid/>
              <w:spacing w:before="0" w:beforeAutospacing="0" w:after="0" w:afterAutospacing="0" w:line="240" w:lineRule="auto"/>
              <w:ind w:left="708" w:right="0" w:hanging="743" w:hangingChars="354"/>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（d）投标报价高于最高投标限价的。</w:t>
            </w:r>
          </w:p>
        </w:tc>
      </w:tr>
      <w:tr w14:paraId="3E40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6FD89E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9</w:t>
            </w:r>
          </w:p>
        </w:tc>
        <w:tc>
          <w:tcPr>
            <w:tcW w:w="1248" w:type="dxa"/>
            <w:vAlign w:val="center"/>
          </w:tcPr>
          <w:p w14:paraId="520DAE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4.2.1</w:t>
            </w:r>
          </w:p>
        </w:tc>
        <w:tc>
          <w:tcPr>
            <w:tcW w:w="3610" w:type="dxa"/>
            <w:vAlign w:val="center"/>
          </w:tcPr>
          <w:p w14:paraId="1BB2F5F9">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17" w:type="dxa"/>
            <w:vAlign w:val="center"/>
          </w:tcPr>
          <w:p w14:paraId="31F0AE17">
            <w:pPr>
              <w:keepNext w:val="0"/>
              <w:keepLines w:val="0"/>
              <w:suppressLineNumbers w:val="0"/>
              <w:spacing w:before="0" w:beforeAutospacing="0" w:after="0" w:afterAutospacing="0" w:line="240"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评标委员会由招标人依法组建。</w:t>
            </w:r>
          </w:p>
        </w:tc>
      </w:tr>
      <w:tr w14:paraId="706B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666B6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w:t>
            </w:r>
          </w:p>
        </w:tc>
        <w:tc>
          <w:tcPr>
            <w:tcW w:w="1248" w:type="dxa"/>
            <w:vAlign w:val="center"/>
          </w:tcPr>
          <w:p w14:paraId="2A635B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4.4.4</w:t>
            </w:r>
          </w:p>
        </w:tc>
        <w:tc>
          <w:tcPr>
            <w:tcW w:w="3610" w:type="dxa"/>
            <w:vAlign w:val="center"/>
          </w:tcPr>
          <w:p w14:paraId="431A189A">
            <w:pPr>
              <w:keepNext w:val="0"/>
              <w:keepLines w:val="0"/>
              <w:suppressLineNumbers w:val="0"/>
              <w:spacing w:before="0" w:beforeAutospacing="0" w:after="0" w:afterAutospacing="0" w:line="24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17" w:type="dxa"/>
            <w:vAlign w:val="center"/>
          </w:tcPr>
          <w:p w14:paraId="6FC47DF5">
            <w:pPr>
              <w:keepNext w:val="0"/>
              <w:keepLines w:val="0"/>
              <w:suppressLineNumbers w:val="0"/>
              <w:spacing w:before="0" w:beforeAutospacing="0" w:after="0" w:afterAutospacing="0" w:line="24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5AD58C2F">
            <w:pPr>
              <w:keepNext w:val="0"/>
              <w:keepLines w:val="0"/>
              <w:suppressLineNumbers w:val="0"/>
              <w:spacing w:before="0" w:beforeAutospacing="0" w:after="0" w:afterAutospacing="0" w:line="240" w:lineRule="auto"/>
              <w:ind w:left="0" w:right="0" w:firstLine="420" w:firstLineChars="200"/>
              <w:rPr>
                <w:rFonts w:hint="default"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若在评标期间</w:t>
            </w:r>
            <w:r>
              <w:rPr>
                <w:rFonts w:hint="eastAsia" w:ascii="宋体" w:hAnsi="宋体" w:eastAsia="宋体" w:cs="宋体"/>
                <w:b/>
                <w:color w:val="000000" w:themeColor="text1"/>
                <w:szCs w:val="21"/>
                <w:highlight w:val="none"/>
                <w:u w:val="single"/>
                <w14:textFill>
                  <w14:solidFill>
                    <w14:schemeClr w14:val="tx1"/>
                  </w14:solidFill>
                </w14:textFill>
              </w:rPr>
              <w:t>（设计方案评审阶段除外）</w:t>
            </w:r>
            <w:r>
              <w:rPr>
                <w:rFonts w:hint="eastAsia" w:ascii="宋体" w:hAnsi="宋体" w:eastAsia="宋体" w:cs="宋体"/>
                <w:color w:val="000000" w:themeColor="text1"/>
                <w:szCs w:val="21"/>
                <w:highlight w:val="none"/>
                <w:u w:val="single"/>
                <w14:textFill>
                  <w14:solidFill>
                    <w14:schemeClr w14:val="tx1"/>
                  </w14:solidFill>
                </w14:textFill>
              </w:rPr>
              <w:t>，经评标委员会两人以上（含两人）以书面形式提出动议，评标委员会应当书面发出澄清通知，要求投标人对投标文件含义不明确的内容作出澄清。</w:t>
            </w:r>
          </w:p>
          <w:p w14:paraId="26D05369">
            <w:pPr>
              <w:keepNext w:val="0"/>
              <w:keepLines w:val="0"/>
              <w:suppressLineNumbers w:val="0"/>
              <w:spacing w:before="0" w:beforeAutospacing="0" w:after="0" w:afterAutospacing="0" w:line="240" w:lineRule="auto"/>
              <w:ind w:left="0" w:right="0" w:firstLine="420" w:firstLineChars="200"/>
              <w:rPr>
                <w:rFonts w:hint="default"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06B2A32">
            <w:pPr>
              <w:keepNext w:val="0"/>
              <w:keepLines w:val="0"/>
              <w:suppressLineNumbers w:val="0"/>
              <w:spacing w:before="0" w:beforeAutospacing="0" w:after="0" w:afterAutospacing="0" w:line="240" w:lineRule="auto"/>
              <w:ind w:left="0" w:right="0" w:firstLine="420" w:firstLineChars="200"/>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评标委员会均应当阅读投标人的澄清，但应独立参考澄清对投标文件进行评审。</w:t>
            </w:r>
          </w:p>
        </w:tc>
      </w:tr>
      <w:tr w14:paraId="52E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40AA610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21</w:t>
            </w:r>
          </w:p>
        </w:tc>
        <w:tc>
          <w:tcPr>
            <w:tcW w:w="1248" w:type="dxa"/>
            <w:vAlign w:val="center"/>
          </w:tcPr>
          <w:p w14:paraId="74D1687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4.4.7</w:t>
            </w:r>
          </w:p>
        </w:tc>
        <w:tc>
          <w:tcPr>
            <w:tcW w:w="3610" w:type="dxa"/>
            <w:vAlign w:val="center"/>
          </w:tcPr>
          <w:p w14:paraId="10395B6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增加</w:t>
            </w:r>
          </w:p>
        </w:tc>
        <w:tc>
          <w:tcPr>
            <w:tcW w:w="3717" w:type="dxa"/>
            <w:vAlign w:val="center"/>
          </w:tcPr>
          <w:p w14:paraId="76CA342F">
            <w:pPr>
              <w:keepNext w:val="0"/>
              <w:keepLines w:val="0"/>
              <w:suppressLineNumbers w:val="0"/>
              <w:spacing w:before="0" w:beforeAutospacing="0" w:after="0" w:afterAutospacing="0"/>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39A8D45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single"/>
                <w:lang w:val="en-US" w:eastAsia="zh-CN" w:bidi="ar"/>
                <w14:textFill>
                  <w14:solidFill>
                    <w14:schemeClr w14:val="tx1"/>
                  </w14:solidFill>
                </w14:textFill>
              </w:rPr>
              <w:t>4.4.7</w:t>
            </w:r>
            <w:r>
              <w:rPr>
                <w:rFonts w:hint="eastAsia" w:ascii="宋体" w:hAnsi="宋体" w:eastAsia="宋体" w:cs="宋体"/>
                <w:b/>
                <w:bCs/>
                <w:color w:val="000000" w:themeColor="text1"/>
                <w:szCs w:val="21"/>
                <w:highlight w:val="none"/>
                <w:u w:val="single"/>
                <w14:textFill>
                  <w14:solidFill>
                    <w14:schemeClr w14:val="tx1"/>
                  </w14:solidFill>
                </w14:textFill>
              </w:rPr>
              <w:t>评标委员会在开始评标前，应了解评标专家的职责及守则，认真阅读附录2</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b/>
                <w:bCs/>
                <w:color w:val="000000" w:themeColor="text1"/>
                <w:szCs w:val="21"/>
                <w:highlight w:val="none"/>
                <w:u w:val="single"/>
                <w14:textFill>
                  <w14:solidFill>
                    <w14:schemeClr w14:val="tx1"/>
                  </w14:solidFill>
                </w14:textFill>
              </w:rPr>
              <w:t>《评标委员会成员声明》的内容并签名，签字后方可进行评标</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p>
        </w:tc>
      </w:tr>
      <w:tr w14:paraId="1995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1449170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1248" w:type="dxa"/>
            <w:vAlign w:val="center"/>
          </w:tcPr>
          <w:p w14:paraId="00D3074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4.5.1</w:t>
            </w:r>
          </w:p>
        </w:tc>
        <w:tc>
          <w:tcPr>
            <w:tcW w:w="3610" w:type="dxa"/>
            <w:vAlign w:val="center"/>
          </w:tcPr>
          <w:p w14:paraId="32BE32A0">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4.5.1  是否采用评定分离：</w:t>
            </w:r>
          </w:p>
          <w:p w14:paraId="45D8C3DD">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□是，入围定标环节的投标人家数：</w:t>
            </w:r>
          </w:p>
          <w:p w14:paraId="583F5172">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名；</w:t>
            </w:r>
          </w:p>
          <w:p w14:paraId="7FFECA6D">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□否。</w:t>
            </w:r>
          </w:p>
        </w:tc>
        <w:tc>
          <w:tcPr>
            <w:tcW w:w="3717" w:type="dxa"/>
            <w:vAlign w:val="center"/>
          </w:tcPr>
          <w:p w14:paraId="11700CDB">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：4.5.1  是否采用评定分离：</w:t>
            </w:r>
          </w:p>
          <w:p w14:paraId="06A92257">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☑是，入围定标环节的投标人家数：</w:t>
            </w:r>
          </w:p>
          <w:p w14:paraId="431FFA1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通过资格审查及有效性审查的全部投标人进入定标环节；</w:t>
            </w:r>
          </w:p>
          <w:p w14:paraId="09856E82">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□否</w:t>
            </w:r>
          </w:p>
        </w:tc>
      </w:tr>
      <w:tr w14:paraId="26DA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D33830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1248" w:type="dxa"/>
            <w:vAlign w:val="center"/>
          </w:tcPr>
          <w:p w14:paraId="3A6E7A6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4.5.2</w:t>
            </w:r>
          </w:p>
        </w:tc>
        <w:tc>
          <w:tcPr>
            <w:tcW w:w="3610" w:type="dxa"/>
            <w:vAlign w:val="center"/>
          </w:tcPr>
          <w:p w14:paraId="16FF237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4.5.2  不采用评定分离项目的评标办法</w:t>
            </w:r>
          </w:p>
          <w:p w14:paraId="41538836">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4.5.2.1招标人（招标代理机构）在不透露投标人身份的前提下（资格审查文件除外）将投标文件交给评标委员会，除4.5.2.2(g)中规定，不需要投标人派代表介绍投标方案。</w:t>
            </w:r>
          </w:p>
          <w:p w14:paraId="5285749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4.5.2.2如果评标委员会成员在交易服务机构评标，将按方法    规定的步骤进行：</w:t>
            </w:r>
          </w:p>
          <w:p w14:paraId="1C7D92C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方法一（设有资格审查环节的一阶段评标法）：a、b、c、d、e、f、h、i、j</w:t>
            </w:r>
          </w:p>
          <w:p w14:paraId="6728FBE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方法二（设有资格审查环节的二阶段评标法）：a、b、c、d、e、f、g、h、i、j</w:t>
            </w:r>
          </w:p>
          <w:p w14:paraId="290F906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方法三（未设资格审查环节的一阶段评标法）：a、d、e、f、h、i、j</w:t>
            </w:r>
          </w:p>
          <w:p w14:paraId="0C6C736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方法四（未设资格审查环节的二阶段评标法）：a、d、e、f、g、h、i、j</w:t>
            </w:r>
          </w:p>
          <w:p w14:paraId="696B19D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 评标委员会成员依据招标文件规定，否决两个（含两个）以上的加密打包投标文件电脑机器特征码一致的投标人，不参与下一阶段评审。</w:t>
            </w:r>
          </w:p>
          <w:p w14:paraId="2C9C96B9">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 评标委员会成员依据招标文件规定，按附录12《资格审查表》对各投标人递交的投标文件进行资格审查。</w:t>
            </w:r>
          </w:p>
          <w:p w14:paraId="722A4ED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 评标委员会成员汇总资格审查结果，编写资格审查报告。</w:t>
            </w:r>
          </w:p>
          <w:p w14:paraId="7B30ACC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704C41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 以差额选举逐轮淘汰的记名投票方式选出所有投标方案的排序。（方案补偿费按(h)步骤确定的最终排序进行补偿）。</w:t>
            </w:r>
          </w:p>
          <w:p w14:paraId="7B1DADD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(f) 评标委员会揭晓投标人身份。</w:t>
            </w:r>
          </w:p>
          <w:p w14:paraId="613398C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01ABBFF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76C9E35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 编写、签署评标报告，并标明最终中标候选人的排列顺序，评标报告由评标委员会全体成员签字，对评标结论持有异议的评标委员会成员可以书面方式阐述其不同意见和理由。</w:t>
            </w:r>
          </w:p>
          <w:p w14:paraId="7E5E8F8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(j) 评标委员会向招标人提交书面评标报告后即告解散，评标过程中使用的文件、表格以及其他资料应当即时归还招标人（招标代理机构）。</w:t>
            </w:r>
          </w:p>
        </w:tc>
        <w:tc>
          <w:tcPr>
            <w:tcW w:w="3717" w:type="dxa"/>
            <w:vAlign w:val="center"/>
          </w:tcPr>
          <w:p w14:paraId="04E26F9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37E0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03CBC1E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4</w:t>
            </w:r>
          </w:p>
        </w:tc>
        <w:tc>
          <w:tcPr>
            <w:tcW w:w="1248" w:type="dxa"/>
            <w:vAlign w:val="center"/>
          </w:tcPr>
          <w:p w14:paraId="42DF0C1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w:t>
            </w:r>
          </w:p>
        </w:tc>
        <w:tc>
          <w:tcPr>
            <w:tcW w:w="3610" w:type="dxa"/>
            <w:vAlign w:val="center"/>
          </w:tcPr>
          <w:p w14:paraId="5621A6C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    采用评定分离项目的评标及定标办法</w:t>
            </w:r>
          </w:p>
          <w:p w14:paraId="147900E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4.5.3.1招标人（招标代理机构）在不透露投标人身份的前提下（资格审查文件除外）将投标文件交给评标委员会，不需要投标人派代表介绍投标方案。</w:t>
            </w:r>
          </w:p>
          <w:p w14:paraId="6B9C5C4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4.5.3.2如果评标委员会成员在交易服务机构评标，将按方法    规定的步骤进行：</w:t>
            </w:r>
          </w:p>
          <w:p w14:paraId="7C114DF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方法一（设有资格审查环节的一阶段评标法）：a、b、c、d、e、f、g、h、i、j</w:t>
            </w:r>
          </w:p>
          <w:p w14:paraId="1ECDB39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方法二（未设资格审查环节的一阶段评标法）：a、d、e、f、g、h、i、j</w:t>
            </w:r>
          </w:p>
          <w:p w14:paraId="44FF31C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(a)评标委员会成员依据招标文件规定，否决两个（含两个）以上的加密打包投标文件电脑机器特征码一致的投标人，不参与下一阶段评审。 </w:t>
            </w:r>
          </w:p>
          <w:p w14:paraId="03F5415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(b)评标委员会成员业主代表及专家依据招标文件规定，按附录12《资格审查表》对各投标人递交的投标文件进行资格审查。</w:t>
            </w:r>
          </w:p>
          <w:p w14:paraId="6958B77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 评标委员会成员汇总资格审查结果，编写资格审查报告。</w:t>
            </w:r>
          </w:p>
          <w:p w14:paraId="2CB5944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33EFBB6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50BFE2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(f) 评标委员会揭晓投标人身份。 </w:t>
            </w:r>
          </w:p>
          <w:p w14:paraId="6446FC1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6A138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 编写、签署评标报告，评标报告由评标委员会全体成员签字，对评标结论持有异议的评标委员会成员可以书面方式阐述其不同意见和理由。</w:t>
            </w:r>
          </w:p>
          <w:p w14:paraId="446837D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 评标委员会向招标人提交书面评标报告后即告解散，评标过程中使用的文件、表格以及其他资料应当即时归还招标人（招标代理机构）。</w:t>
            </w:r>
          </w:p>
          <w:p w14:paraId="5F8720D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（j）定标委员会定标。定标委员会按附录16《定标原则》确定    名（不多于3名）中标候选人（排序），也可直接确定中标人。</w:t>
            </w:r>
          </w:p>
        </w:tc>
        <w:tc>
          <w:tcPr>
            <w:tcW w:w="3717" w:type="dxa"/>
          </w:tcPr>
          <w:p w14:paraId="252F003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：4.5.3    采用评定分离项目的评标及定标办法</w:t>
            </w:r>
          </w:p>
          <w:p w14:paraId="2E1DFED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4.5.3.1招标人（招标代理机构）</w:t>
            </w:r>
            <w:r>
              <w:rPr>
                <w:rFonts w:hint="eastAsia" w:ascii="宋体" w:hAnsi="宋体" w:eastAsia="宋体" w:cs="宋体"/>
                <w:strike w:val="0"/>
                <w:color w:val="000000" w:themeColor="text1"/>
                <w:szCs w:val="21"/>
                <w:highlight w:val="none"/>
                <w14:textFill>
                  <w14:solidFill>
                    <w14:schemeClr w14:val="tx1"/>
                  </w14:solidFill>
                </w14:textFill>
              </w:rPr>
              <w:t>在不透露投标人身份的前提下（资格审查文件除外）</w:t>
            </w:r>
            <w:r>
              <w:rPr>
                <w:rFonts w:hint="eastAsia" w:ascii="宋体" w:hAnsi="宋体" w:eastAsia="宋体" w:cs="宋体"/>
                <w:color w:val="000000" w:themeColor="text1"/>
                <w:szCs w:val="21"/>
                <w:highlight w:val="none"/>
                <w14:textFill>
                  <w14:solidFill>
                    <w14:schemeClr w14:val="tx1"/>
                  </w14:solidFill>
                </w14:textFill>
              </w:rPr>
              <w:t>将投标文件交给评标委员会，不需要投标人派代表介绍投标方案。</w:t>
            </w:r>
          </w:p>
          <w:p w14:paraId="4F0802B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4.5.3.2如果评标委员会成员在交易服务机构评标，将按方法</w:t>
            </w:r>
            <w:r>
              <w:rPr>
                <w:rFonts w:hint="eastAsia" w:ascii="宋体" w:hAnsi="宋体" w:eastAsia="宋体" w:cs="宋体"/>
                <w:color w:val="000000" w:themeColor="text1"/>
                <w:szCs w:val="21"/>
                <w:highlight w:val="none"/>
                <w:u w:val="single"/>
                <w14:textFill>
                  <w14:solidFill>
                    <w14:schemeClr w14:val="tx1"/>
                  </w14:solidFill>
                </w14:textFill>
              </w:rPr>
              <w:t xml:space="preserve"> 一 </w:t>
            </w:r>
            <w:r>
              <w:rPr>
                <w:rFonts w:hint="eastAsia" w:ascii="宋体" w:hAnsi="宋体" w:eastAsia="宋体" w:cs="宋体"/>
                <w:color w:val="000000" w:themeColor="text1"/>
                <w:szCs w:val="21"/>
                <w:highlight w:val="none"/>
                <w14:textFill>
                  <w14:solidFill>
                    <w14:schemeClr w14:val="tx1"/>
                  </w14:solidFill>
                </w14:textFill>
              </w:rPr>
              <w:t>规定的步骤进行：</w:t>
            </w:r>
          </w:p>
          <w:p w14:paraId="5D601E0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方法一（设有资格审查环节的一阶段评标法）：a、b、c、d、e、f、g、h、i、j</w:t>
            </w:r>
          </w:p>
          <w:p w14:paraId="00D9124B">
            <w:pPr>
              <w:keepNext w:val="0"/>
              <w:keepLines w:val="0"/>
              <w:suppressLineNumbers w:val="0"/>
              <w:spacing w:before="0" w:beforeAutospacing="0" w:after="0" w:afterAutospacing="0"/>
              <w:ind w:left="0" w:right="0"/>
              <w:rPr>
                <w:rFonts w:hint="eastAsia"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strike/>
                <w:color w:val="000000" w:themeColor="text1"/>
                <w:szCs w:val="21"/>
                <w:highlight w:val="none"/>
                <w14:textFill>
                  <w14:solidFill>
                    <w14:schemeClr w14:val="tx1"/>
                  </w14:solidFill>
                </w14:textFill>
              </w:rPr>
              <w:t xml:space="preserve">   方法二（未设资格审查环节的一阶段评标法）：a、d、e、f、g、h、i、j</w:t>
            </w:r>
          </w:p>
          <w:p w14:paraId="6B8F118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评标委员会成员依据招标文件规定，否决两个（含两个）以上的加密打包投标文件电脑机器特征码一致的投标人，不参与下一阶段评审。</w:t>
            </w:r>
          </w:p>
          <w:p w14:paraId="14A3276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评标委员会成员业主代表及专家依据招标文件规定，按</w:t>
            </w:r>
            <w:r>
              <w:rPr>
                <w:rFonts w:hint="eastAsia" w:ascii="宋体" w:hAnsi="宋体" w:eastAsia="宋体" w:cs="宋体"/>
                <w:color w:val="000000" w:themeColor="text1"/>
                <w:szCs w:val="21"/>
                <w:highlight w:val="none"/>
                <w:u w:val="single"/>
                <w14:textFill>
                  <w14:solidFill>
                    <w14:schemeClr w14:val="tx1"/>
                  </w14:solidFill>
                </w14:textFill>
              </w:rPr>
              <w:t>附录9《资格审查表》</w:t>
            </w:r>
            <w:r>
              <w:rPr>
                <w:rFonts w:hint="eastAsia" w:ascii="宋体" w:hAnsi="宋体" w:eastAsia="宋体" w:cs="宋体"/>
                <w:color w:val="000000" w:themeColor="text1"/>
                <w:szCs w:val="21"/>
                <w:highlight w:val="none"/>
                <w14:textFill>
                  <w14:solidFill>
                    <w14:schemeClr w14:val="tx1"/>
                  </w14:solidFill>
                </w14:textFill>
              </w:rPr>
              <w:t>对各投标人递交的投标文件进行资格审查。</w:t>
            </w:r>
          </w:p>
          <w:p w14:paraId="0DC72ED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 评标委员会成员汇总资格审查结果，编写资格审查报告。</w:t>
            </w:r>
          </w:p>
          <w:p w14:paraId="20C563B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评标委员会专家依据招标文件规定，</w:t>
            </w:r>
            <w:r>
              <w:rPr>
                <w:rFonts w:hint="eastAsia" w:ascii="宋体" w:hAnsi="宋体" w:eastAsia="宋体" w:cs="宋体"/>
                <w:color w:val="000000" w:themeColor="text1"/>
                <w:szCs w:val="21"/>
                <w:highlight w:val="none"/>
                <w:u w:val="single"/>
                <w14:textFill>
                  <w14:solidFill>
                    <w14:schemeClr w14:val="tx1"/>
                  </w14:solidFill>
                </w14:textFill>
              </w:rPr>
              <w:t>按附录12《有效性审查表》、附录12-1《投标报价算术复核表》、附录13《</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勘察</w:t>
            </w:r>
            <w:r>
              <w:rPr>
                <w:rFonts w:hint="eastAsia" w:ascii="宋体" w:hAnsi="宋体" w:eastAsia="宋体" w:cs="宋体"/>
                <w:color w:val="000000" w:themeColor="text1"/>
                <w:szCs w:val="21"/>
                <w:highlight w:val="none"/>
                <w:u w:val="single"/>
                <w14:textFill>
                  <w14:solidFill>
                    <w14:schemeClr w14:val="tx1"/>
                  </w14:solidFill>
                </w14:textFill>
              </w:rPr>
              <w:t>设计工作方案评审记录表》、附录14《投标方案评语》对各投标人递交的投标文件进行评审。</w:t>
            </w:r>
            <w:r>
              <w:rPr>
                <w:rFonts w:hint="eastAsia" w:ascii="宋体" w:hAnsi="宋体" w:eastAsia="宋体" w:cs="宋体"/>
                <w:color w:val="000000" w:themeColor="text1"/>
                <w:szCs w:val="21"/>
                <w:highlight w:val="none"/>
                <w14:textFill>
                  <w14:solidFill>
                    <w14:schemeClr w14:val="tx1"/>
                  </w14:solidFill>
                </w14:textFill>
              </w:rPr>
              <w:t>如果有否决投标提议，则评标委员会成员共同表决，按照少数服从多数的原则决定是否否决。</w:t>
            </w:r>
          </w:p>
          <w:p w14:paraId="215593C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(e) </w:t>
            </w:r>
            <w:r>
              <w:rPr>
                <w:rFonts w:hint="eastAsia" w:ascii="宋体" w:hAnsi="宋体" w:eastAsia="宋体" w:cs="宋体"/>
                <w:color w:val="000000" w:themeColor="text1"/>
                <w:szCs w:val="21"/>
                <w:highlight w:val="none"/>
                <w:u w:val="single"/>
                <w14:textFill>
                  <w14:solidFill>
                    <w14:schemeClr w14:val="tx1"/>
                  </w14:solidFill>
                </w14:textFill>
              </w:rPr>
              <w:t>按照4.5.1约定推荐入围定标阶段中标候选人。</w:t>
            </w:r>
          </w:p>
          <w:p w14:paraId="22AA9E64">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(f) 评标委员会揭晓投标人身份。</w:t>
            </w:r>
          </w:p>
          <w:p w14:paraId="73BEFCF9">
            <w:pPr>
              <w:pStyle w:val="6"/>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 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eastAsia="宋体" w:cs="宋体"/>
                <w:color w:val="000000" w:themeColor="text1"/>
                <w:szCs w:val="21"/>
                <w:highlight w:val="none"/>
                <w:u w:val="single"/>
                <w14:textFill>
                  <w14:solidFill>
                    <w14:schemeClr w14:val="tx1"/>
                  </w14:solidFill>
                </w14:textFill>
              </w:rPr>
              <w:t>合格的中标候选人按其统一社会信用代码后4位（除校验码外</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如联合体投标的，以主办方为准</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从大到小进行排位，不排序</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如</w:t>
            </w:r>
            <w:r>
              <w:rPr>
                <w:rFonts w:hint="eastAsia" w:ascii="宋体" w:hAnsi="宋体" w:eastAsia="宋体" w:cs="宋体"/>
                <w:color w:val="000000" w:themeColor="text1"/>
                <w:sz w:val="21"/>
                <w:szCs w:val="21"/>
                <w:highlight w:val="none"/>
                <w:u w:val="single"/>
                <w14:textFill>
                  <w14:solidFill>
                    <w14:schemeClr w14:val="tx1"/>
                  </w14:solidFill>
                </w14:textFill>
              </w:rPr>
              <w:t>统一社会信用代码后</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4位出现字母情况的，字母以“0”进行代替大小排位；如出现</w:t>
            </w:r>
            <w:r>
              <w:rPr>
                <w:rFonts w:hint="eastAsia" w:ascii="宋体" w:hAnsi="宋体" w:eastAsia="宋体" w:cs="宋体"/>
                <w:color w:val="000000" w:themeColor="text1"/>
                <w:sz w:val="21"/>
                <w:szCs w:val="21"/>
                <w:highlight w:val="none"/>
                <w:u w:val="single"/>
                <w14:textFill>
                  <w14:solidFill>
                    <w14:schemeClr w14:val="tx1"/>
                  </w14:solidFill>
                </w14:textFill>
              </w:rPr>
              <w:t>后4位（除校验码外）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大小一致的，则随机排位</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。合格的中标候选人少于3家的，应当重新招标。</w:t>
            </w:r>
          </w:p>
          <w:p w14:paraId="727AD5B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h</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编写、签署评标报告，评标报告由评标委员会全体成员签字，对评标结论持有异议的评标委员会成员可以书面方式阐述其不同意见和理由。</w:t>
            </w:r>
          </w:p>
          <w:p w14:paraId="7ADE802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 评标委员会向招标人提交书面评标报告后即告解散，评标过程中使用的文件、表格以及其他资料应当即时归还招标人（招标代理机构）。</w:t>
            </w:r>
          </w:p>
          <w:p w14:paraId="427A1E2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（j）定标委员会定标。</w:t>
            </w:r>
            <w:r>
              <w:rPr>
                <w:rFonts w:hint="eastAsia" w:ascii="宋体" w:hAnsi="宋体" w:eastAsia="宋体" w:cs="宋体"/>
                <w:color w:val="000000" w:themeColor="text1"/>
                <w:szCs w:val="21"/>
                <w:highlight w:val="none"/>
                <w:u w:val="single"/>
                <w14:textFill>
                  <w14:solidFill>
                    <w14:schemeClr w14:val="tx1"/>
                  </w14:solidFill>
                </w14:textFill>
              </w:rPr>
              <w:t>定标委员会按附录16《定标原则》确定中标人。</w:t>
            </w:r>
            <w:bookmarkStart w:id="14" w:name="_Hlk114236270"/>
            <w:r>
              <w:rPr>
                <w:rFonts w:hint="eastAsia" w:ascii="宋体" w:hAnsi="宋体" w:eastAsia="宋体" w:cs="宋体"/>
                <w:color w:val="000000" w:themeColor="text1"/>
                <w:szCs w:val="21"/>
                <w:highlight w:val="none"/>
                <w:u w:val="single"/>
                <w14:textFill>
                  <w14:solidFill>
                    <w14:schemeClr w14:val="tx1"/>
                  </w14:solidFill>
                </w14:textFill>
              </w:rPr>
              <w:t>投标经济补偿费按定标综合评价最终排序进行补偿</w:t>
            </w:r>
            <w:bookmarkEnd w:id="14"/>
            <w:r>
              <w:rPr>
                <w:rFonts w:hint="eastAsia" w:ascii="宋体" w:hAnsi="宋体" w:eastAsia="宋体" w:cs="宋体"/>
                <w:color w:val="000000" w:themeColor="text1"/>
                <w:szCs w:val="21"/>
                <w:highlight w:val="none"/>
                <w:u w:val="single"/>
                <w14:textFill>
                  <w14:solidFill>
                    <w14:schemeClr w14:val="tx1"/>
                  </w14:solidFill>
                </w14:textFill>
              </w:rPr>
              <w:t>，具体补偿方案详见招标公告1.9.3款。</w:t>
            </w:r>
          </w:p>
        </w:tc>
      </w:tr>
      <w:tr w14:paraId="68BF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32CBFD8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p>
        </w:tc>
        <w:tc>
          <w:tcPr>
            <w:tcW w:w="1248" w:type="dxa"/>
            <w:vAlign w:val="center"/>
          </w:tcPr>
          <w:p w14:paraId="2C571BA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3610" w:type="dxa"/>
            <w:vAlign w:val="center"/>
          </w:tcPr>
          <w:p w14:paraId="722C4F08">
            <w:pPr>
              <w:keepNext w:val="0"/>
              <w:keepLines w:val="0"/>
              <w:suppressLineNumbers w:val="0"/>
              <w:spacing w:before="0" w:beforeAutospacing="0" w:after="0" w:afterAutospacing="0" w:line="276" w:lineRule="auto"/>
              <w:ind w:left="0" w:right="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5.1    确定中标人</w:t>
            </w:r>
          </w:p>
          <w:p w14:paraId="6EAC9961">
            <w:pPr>
              <w:keepNext w:val="0"/>
              <w:keepLines w:val="0"/>
              <w:suppressLineNumbers w:val="0"/>
              <w:spacing w:before="0" w:beforeAutospacing="0" w:after="0" w:afterAutospacing="0" w:line="276" w:lineRule="auto"/>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采用方式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确定中标人：</w:t>
            </w:r>
          </w:p>
          <w:p w14:paraId="17C03F0E">
            <w:pPr>
              <w:keepNext w:val="0"/>
              <w:keepLines w:val="0"/>
              <w:suppressLineNumbers w:val="0"/>
              <w:spacing w:before="0" w:beforeAutospacing="0" w:after="0" w:afterAutospacing="0" w:line="360" w:lineRule="auto"/>
              <w:ind w:left="0" w:right="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方式一（适用于设置资格审查环节的项目）：</w:t>
            </w:r>
          </w:p>
          <w:p w14:paraId="335E00B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  招标人在评标委员会或定标委员会推荐的中标候选人中确定中标人。</w:t>
            </w:r>
          </w:p>
          <w:p w14:paraId="0F92C27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5.1.2  招标人确定中标人：</w:t>
            </w:r>
          </w:p>
          <w:p w14:paraId="763CD7B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0768E45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5.1.3 在产生中标候选人后，招标人将中标候选人的投标文件商务部分（包括报价清单、人员、业绩、奖项等资料）在交易平台和广东省招标投标监管网公开。</w:t>
            </w:r>
          </w:p>
          <w:p w14:paraId="79B1ACCE">
            <w:pPr>
              <w:keepNext w:val="0"/>
              <w:keepLines w:val="0"/>
              <w:suppressLineNumbers w:val="0"/>
              <w:spacing w:before="0" w:beforeAutospacing="0" w:after="0" w:afterAutospacing="0" w:line="276"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方式二（适用于未设资格审查环节的项目）：</w:t>
            </w:r>
          </w:p>
          <w:p w14:paraId="0009720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10BEC0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2A4FBC9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5.1.3  定标委员会直接确定中标人，中标人未能通过资格复核的，招标失败。招标人应重新组织招标。</w:t>
            </w:r>
          </w:p>
          <w:p w14:paraId="5F92F81B">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5.1.4  在产生中标候选人后，招标人将中标候选人的投标文件商务部分（包括报价清单、人员、业绩、奖项等资料）在交易平台和广东省招标投标监管网公开。</w:t>
            </w:r>
          </w:p>
        </w:tc>
        <w:tc>
          <w:tcPr>
            <w:tcW w:w="3717" w:type="dxa"/>
            <w:vAlign w:val="top"/>
          </w:tcPr>
          <w:p w14:paraId="26ADA84E">
            <w:pPr>
              <w:keepNext w:val="0"/>
              <w:keepLines w:val="0"/>
              <w:suppressLineNumbers w:val="0"/>
              <w:spacing w:before="0" w:beforeAutospacing="0" w:after="0" w:afterAutospacing="0" w:line="276"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5.1    确定中标人</w:t>
            </w:r>
          </w:p>
          <w:p w14:paraId="3A990EE8">
            <w:pPr>
              <w:keepNext w:val="0"/>
              <w:keepLines w:val="0"/>
              <w:suppressLineNumbers w:val="0"/>
              <w:spacing w:before="0" w:beforeAutospacing="0" w:after="0" w:afterAutospacing="0" w:line="276"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采用方式</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一</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确定中标人：</w:t>
            </w:r>
          </w:p>
          <w:p w14:paraId="65845FBC">
            <w:pPr>
              <w:keepNext w:val="0"/>
              <w:keepLines w:val="0"/>
              <w:suppressLineNumbers w:val="0"/>
              <w:spacing w:before="0" w:beforeAutospacing="0" w:after="0" w:afterAutospacing="0" w:line="360"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方式一（适用于设置资格审查环节的项目）：</w:t>
            </w:r>
          </w:p>
          <w:p w14:paraId="6DF2E2D4">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5.1.1  评标委员会按照4.5.1约定推荐入围定标阶段中标候选人；定标委员会直接确定中标人。</w:t>
            </w:r>
          </w:p>
          <w:p w14:paraId="1E72626F">
            <w:pPr>
              <w:pStyle w:val="13"/>
              <w:keepNext w:val="0"/>
              <w:keepLines w:val="0"/>
              <w:widowControl w:val="0"/>
              <w:suppressLineNumbers w:val="0"/>
              <w:spacing w:beforeAutospacing="0" w:afterAutospacing="0"/>
              <w:ind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5.1.2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default" w:ascii="宋体" w:hAnsi="宋体" w:eastAsia="宋体" w:cs="宋体"/>
                <w:color w:val="000000" w:themeColor="text1"/>
                <w:sz w:val="21"/>
                <w:szCs w:val="21"/>
                <w:highlight w:val="none"/>
                <w14:textFill>
                  <w14:solidFill>
                    <w14:schemeClr w14:val="tx1"/>
                  </w14:solidFill>
                </w14:textFill>
              </w:rPr>
              <w:t xml:space="preserve"> （删除）</w:t>
            </w:r>
          </w:p>
          <w:p w14:paraId="0550C3A4">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5.1.3  在产生</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合格的</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中标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候选人</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后，招标人将</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合格的</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中标候选人的投标文件商务部分（包括人员、业绩、奖项等资料）在交易平台和广东省招标投标监管网公开。</w:t>
            </w:r>
          </w:p>
        </w:tc>
      </w:tr>
      <w:tr w14:paraId="716B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337EA0C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6</w:t>
            </w:r>
          </w:p>
        </w:tc>
        <w:tc>
          <w:tcPr>
            <w:tcW w:w="1248" w:type="dxa"/>
            <w:vAlign w:val="center"/>
          </w:tcPr>
          <w:p w14:paraId="66D326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5.2.6</w:t>
            </w:r>
          </w:p>
        </w:tc>
        <w:tc>
          <w:tcPr>
            <w:tcW w:w="3610" w:type="dxa"/>
            <w:vAlign w:val="center"/>
          </w:tcPr>
          <w:p w14:paraId="5133F655">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新增</w:t>
            </w:r>
          </w:p>
        </w:tc>
        <w:tc>
          <w:tcPr>
            <w:tcW w:w="3717" w:type="dxa"/>
            <w:vAlign w:val="center"/>
          </w:tcPr>
          <w:p w14:paraId="04D7CCC3">
            <w:pPr>
              <w:keepNext w:val="0"/>
              <w:keepLines w:val="0"/>
              <w:suppressLineNumbers w:val="0"/>
              <w:spacing w:before="0" w:beforeAutospacing="0" w:after="0" w:afterAutospacing="0" w:line="276" w:lineRule="auto"/>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02C9EF3D">
            <w:pPr>
              <w:keepNext w:val="0"/>
              <w:keepLines w:val="0"/>
              <w:widowControl w:val="0"/>
              <w:suppressLineNumbers w:val="0"/>
              <w:spacing w:before="0" w:beforeAutospacing="0" w:after="0" w:afterAutospacing="0" w:line="276" w:lineRule="auto"/>
              <w:ind w:left="0" w:right="0"/>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5.2.6</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中标人在中标公示后，签订合同前，</w:t>
            </w:r>
            <w:r>
              <w:rPr>
                <w:rFonts w:hint="eastAsia" w:ascii="宋体" w:hAnsi="宋体" w:cs="Times New Roman"/>
                <w:color w:val="000000" w:themeColor="text1"/>
                <w:highlight w:val="none"/>
                <w:u w:val="single"/>
                <w14:textFill>
                  <w14:solidFill>
                    <w14:schemeClr w14:val="tx1"/>
                  </w14:solidFill>
                </w14:textFill>
              </w:rPr>
              <w:t>须提供与所递交投标电子标书内容一致的电子文件二套</w:t>
            </w:r>
            <w:r>
              <w:rPr>
                <w:rFonts w:hint="eastAsia" w:ascii="宋体" w:hAnsi="宋体" w:cs="Times New Roman"/>
                <w:color w:val="000000" w:themeColor="text1"/>
                <w:highlight w:val="none"/>
                <w:u w:val="single"/>
                <w:lang w:eastAsia="zh-CN"/>
                <w14:textFill>
                  <w14:solidFill>
                    <w14:schemeClr w14:val="tx1"/>
                  </w14:solidFill>
                </w14:textFill>
              </w:rPr>
              <w:t>、</w:t>
            </w:r>
            <w:r>
              <w:rPr>
                <w:rFonts w:hint="default" w:ascii="宋体" w:hAnsi="宋体" w:eastAsia="宋体" w:cs="宋体"/>
                <w:color w:val="000000" w:themeColor="text1"/>
                <w:kern w:val="2"/>
                <w:sz w:val="21"/>
                <w:szCs w:val="21"/>
                <w:highlight w:val="none"/>
                <w:u w:val="single"/>
                <w14:textFill>
                  <w14:solidFill>
                    <w14:schemeClr w14:val="tx1"/>
                  </w14:solidFill>
                </w14:textFill>
              </w:rPr>
              <w:t>纸质文件二套</w:t>
            </w:r>
            <w:r>
              <w:rPr>
                <w:rFonts w:hint="eastAsia" w:ascii="宋体" w:hAnsi="宋体" w:cs="Times New Roman"/>
                <w:color w:val="000000" w:themeColor="text1"/>
                <w:highlight w:val="none"/>
                <w:u w:val="single"/>
                <w14:textFill>
                  <w14:solidFill>
                    <w14:schemeClr w14:val="tx1"/>
                  </w14:solidFill>
                </w14:textFill>
              </w:rPr>
              <w:t>（包括所递交投标电子标书内容一致的设计方案</w:t>
            </w:r>
            <w:r>
              <w:rPr>
                <w:rFonts w:hint="default" w:ascii="宋体" w:hAnsi="宋体" w:cs="Times New Roman"/>
                <w:color w:val="000000" w:themeColor="text1"/>
                <w:highlight w:val="none"/>
                <w:u w:val="single"/>
                <w14:textFill>
                  <w14:solidFill>
                    <w14:schemeClr w14:val="tx1"/>
                  </w14:solidFill>
                </w14:textFill>
              </w:rPr>
              <w:t>A3版及设计图纸、资格审查文件、定标文件等投标文件；补齐遗漏表格及相关内容或者无条件接受招标人给出的表格及相关内容</w:t>
            </w:r>
            <w:r>
              <w:rPr>
                <w:rFonts w:hint="eastAsia" w:ascii="宋体" w:hAnsi="宋体" w:cs="Times New Roman"/>
                <w:color w:val="000000" w:themeColor="text1"/>
                <w:highlight w:val="none"/>
                <w:u w:val="singl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电子文件介质使用CD-R光盘，所有电子文件不能采用压缩处理）给招标人。</w:t>
            </w:r>
          </w:p>
        </w:tc>
      </w:tr>
      <w:tr w14:paraId="68DC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20EFA4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1248" w:type="dxa"/>
            <w:vAlign w:val="center"/>
          </w:tcPr>
          <w:p w14:paraId="4A29933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5.3.5</w:t>
            </w:r>
          </w:p>
        </w:tc>
        <w:tc>
          <w:tcPr>
            <w:tcW w:w="3610" w:type="dxa"/>
            <w:vAlign w:val="center"/>
          </w:tcPr>
          <w:p w14:paraId="47F51C82">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新增</w:t>
            </w:r>
          </w:p>
        </w:tc>
        <w:tc>
          <w:tcPr>
            <w:tcW w:w="3717" w:type="dxa"/>
            <w:vAlign w:val="center"/>
          </w:tcPr>
          <w:p w14:paraId="23D94A90">
            <w:pPr>
              <w:keepNext w:val="0"/>
              <w:keepLines w:val="0"/>
              <w:suppressLineNumbers w:val="0"/>
              <w:spacing w:before="0" w:beforeAutospacing="0" w:after="0" w:afterAutospacing="0" w:line="276" w:lineRule="auto"/>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2CE30FE7">
            <w:pPr>
              <w:keepNext w:val="0"/>
              <w:keepLines w:val="0"/>
              <w:widowControl w:val="0"/>
              <w:suppressLineNumbers w:val="0"/>
              <w:spacing w:before="0" w:beforeAutospacing="0" w:after="0" w:afterAutospacing="0" w:line="276"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5.3.5 </w:t>
            </w:r>
            <w:r>
              <w:rPr>
                <w:rFonts w:hint="eastAsia" w:ascii="宋体" w:hAnsi="宋体" w:eastAsia="宋体" w:cs="宋体"/>
                <w:color w:val="000000" w:themeColor="text1"/>
                <w:szCs w:val="21"/>
                <w:highlight w:val="none"/>
                <w:u w:val="single"/>
                <w14:textFill>
                  <w14:solidFill>
                    <w14:schemeClr w14:val="tx1"/>
                  </w14:solidFill>
                </w14:textFill>
              </w:rPr>
              <w:t>中标人应按合同规定提交中标价款（人民币）10%的履约</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担保</w:t>
            </w:r>
            <w:r>
              <w:rPr>
                <w:rFonts w:hint="eastAsia" w:ascii="宋体" w:hAnsi="宋体" w:eastAsia="宋体" w:cs="宋体"/>
                <w:color w:val="000000" w:themeColor="text1"/>
                <w:szCs w:val="21"/>
                <w:highlight w:val="none"/>
                <w14:textFill>
                  <w14:solidFill>
                    <w14:schemeClr w14:val="tx1"/>
                  </w14:solidFill>
                </w14:textFill>
              </w:rPr>
              <w:t>。</w:t>
            </w:r>
          </w:p>
        </w:tc>
      </w:tr>
      <w:tr w14:paraId="1193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8E6FC3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1248" w:type="dxa"/>
            <w:vAlign w:val="center"/>
          </w:tcPr>
          <w:p w14:paraId="3374ADC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6.1.6</w:t>
            </w:r>
          </w:p>
        </w:tc>
        <w:tc>
          <w:tcPr>
            <w:tcW w:w="3610" w:type="dxa"/>
            <w:vAlign w:val="center"/>
          </w:tcPr>
          <w:p w14:paraId="443EC0B9">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新增</w:t>
            </w:r>
          </w:p>
        </w:tc>
        <w:tc>
          <w:tcPr>
            <w:tcW w:w="3717" w:type="dxa"/>
            <w:vAlign w:val="center"/>
          </w:tcPr>
          <w:p w14:paraId="31BD0221">
            <w:pPr>
              <w:keepNext w:val="0"/>
              <w:keepLines w:val="0"/>
              <w:suppressLineNumbers w:val="0"/>
              <w:spacing w:before="0" w:beforeAutospacing="0" w:after="0" w:afterAutospacing="0" w:line="276" w:lineRule="auto"/>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7AB9347D">
            <w:pPr>
              <w:keepNext w:val="0"/>
              <w:keepLines w:val="0"/>
              <w:suppressLineNumbers w:val="0"/>
              <w:spacing w:before="0" w:beforeAutospacing="0" w:after="0" w:afterAutospacing="0" w:line="276" w:lineRule="auto"/>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6.1.6</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中标通知书发出之日起30日内，中标人应按照招标文件和中标人的投标文件积极配合招标人完成合同签订工作。中标通知书发出之日起30日后，中标人无正当理由不与招标人订立合同的，招标人有权解除中标通知书，从其他合格的中标候选人中采用原定标办法，由原定标委员会确定中标人，也可以重新招标。</w:t>
            </w:r>
          </w:p>
        </w:tc>
      </w:tr>
      <w:tr w14:paraId="1C4C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EB0990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9</w:t>
            </w:r>
          </w:p>
        </w:tc>
        <w:tc>
          <w:tcPr>
            <w:tcW w:w="1248" w:type="dxa"/>
            <w:vAlign w:val="center"/>
          </w:tcPr>
          <w:p w14:paraId="4AE7F6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7.2.1</w:t>
            </w:r>
          </w:p>
        </w:tc>
        <w:tc>
          <w:tcPr>
            <w:tcW w:w="3610" w:type="dxa"/>
            <w:vAlign w:val="center"/>
          </w:tcPr>
          <w:p w14:paraId="12991B2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7.2.1  授予合同并支付定金后，中标方案的发表权、展览权、使用权归招标人和中标人共有。</w:t>
            </w:r>
          </w:p>
        </w:tc>
        <w:tc>
          <w:tcPr>
            <w:tcW w:w="3717" w:type="dxa"/>
            <w:vAlign w:val="center"/>
          </w:tcPr>
          <w:p w14:paraId="1CE4957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7.2.1  授予合同并支付</w:t>
            </w:r>
            <w:r>
              <w:rPr>
                <w:rFonts w:hint="eastAsia" w:ascii="宋体" w:hAnsi="宋体" w:eastAsia="宋体" w:cs="宋体"/>
                <w:color w:val="000000" w:themeColor="text1"/>
                <w:szCs w:val="21"/>
                <w:highlight w:val="none"/>
                <w:u w:val="single"/>
                <w14:textFill>
                  <w14:solidFill>
                    <w14:schemeClr w14:val="tx1"/>
                  </w14:solidFill>
                </w14:textFill>
              </w:rPr>
              <w:t>预付款</w:t>
            </w:r>
            <w:r>
              <w:rPr>
                <w:rFonts w:hint="eastAsia" w:ascii="宋体" w:hAnsi="宋体" w:eastAsia="宋体" w:cs="宋体"/>
                <w:color w:val="000000" w:themeColor="text1"/>
                <w:szCs w:val="21"/>
                <w:highlight w:val="none"/>
                <w14:textFill>
                  <w14:solidFill>
                    <w14:schemeClr w14:val="tx1"/>
                  </w14:solidFill>
                </w14:textFill>
              </w:rPr>
              <w:t>后，中标方案的发表权、展览权、使用权归招标人和中标人共有。</w:t>
            </w:r>
          </w:p>
        </w:tc>
      </w:tr>
      <w:tr w14:paraId="029B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33ED4A4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30</w:t>
            </w:r>
          </w:p>
        </w:tc>
        <w:tc>
          <w:tcPr>
            <w:tcW w:w="1248" w:type="dxa"/>
            <w:vAlign w:val="center"/>
          </w:tcPr>
          <w:p w14:paraId="6E6AFB60">
            <w:pPr>
              <w:keepNext w:val="0"/>
              <w:keepLines w:val="0"/>
              <w:suppressLineNumbers w:val="0"/>
              <w:spacing w:before="0" w:beforeAutospacing="0" w:after="0" w:afterAutospacing="0" w:line="360" w:lineRule="auto"/>
              <w:ind w:left="2"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7.2.2</w:t>
            </w:r>
          </w:p>
        </w:tc>
        <w:tc>
          <w:tcPr>
            <w:tcW w:w="3610" w:type="dxa"/>
            <w:vAlign w:val="center"/>
          </w:tcPr>
          <w:p w14:paraId="5A19AD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7.2.2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tc>
        <w:tc>
          <w:tcPr>
            <w:tcW w:w="3717" w:type="dxa"/>
            <w:vAlign w:val="center"/>
          </w:tcPr>
          <w:p w14:paraId="367251E4">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7.2.2</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授予合同并支付</w:t>
            </w:r>
            <w:r>
              <w:rPr>
                <w:rFonts w:hint="eastAsia" w:ascii="宋体" w:hAnsi="宋体" w:eastAsia="宋体" w:cs="宋体"/>
                <w:color w:val="000000" w:themeColor="text1"/>
                <w:szCs w:val="21"/>
                <w:highlight w:val="none"/>
                <w:u w:val="single"/>
                <w14:textFill>
                  <w14:solidFill>
                    <w14:schemeClr w14:val="tx1"/>
                  </w14:solidFill>
                </w14:textFill>
              </w:rPr>
              <w:t>预付款</w:t>
            </w:r>
            <w:r>
              <w:rPr>
                <w:rFonts w:hint="eastAsia" w:ascii="宋体" w:hAnsi="宋体" w:eastAsia="宋体" w:cs="宋体"/>
                <w:color w:val="000000" w:themeColor="text1"/>
                <w:szCs w:val="21"/>
                <w:highlight w:val="none"/>
                <w14:textFill>
                  <w14:solidFill>
                    <w14:schemeClr w14:val="tx1"/>
                  </w14:solidFill>
                </w14:textFill>
              </w:rPr>
              <w:t>后，招标人有权在招标标的中使用中标方案中中标人享有合法权利的著作权、专利权，对于中标方案中涉及的他人所有的知识产权，中标人有义务获得许可，否则招标人有权解除合同并要求退还已支付的费用，招标人因此</w:t>
            </w:r>
            <w:r>
              <w:rPr>
                <w:rFonts w:hint="eastAsia" w:ascii="宋体" w:hAnsi="宋体" w:eastAsia="宋体" w:cs="宋体"/>
                <w:color w:val="000000" w:themeColor="text1"/>
                <w:szCs w:val="21"/>
                <w:highlight w:val="none"/>
                <w:u w:val="none"/>
                <w14:textFill>
                  <w14:solidFill>
                    <w14:schemeClr w14:val="tx1"/>
                  </w14:solidFill>
                </w14:textFill>
              </w:rPr>
              <w:t>受到</w:t>
            </w:r>
            <w:r>
              <w:rPr>
                <w:rFonts w:hint="eastAsia" w:ascii="宋体" w:hAnsi="宋体" w:eastAsia="宋体" w:cs="宋体"/>
                <w:color w:val="000000" w:themeColor="text1"/>
                <w:szCs w:val="21"/>
                <w:highlight w:val="none"/>
                <w14:textFill>
                  <w14:solidFill>
                    <w14:schemeClr w14:val="tx1"/>
                  </w14:solidFill>
                </w14:textFill>
              </w:rPr>
              <w:t>损害的，有权要求中标人予以赔偿，如果招标人、中标人</w:t>
            </w:r>
            <w:r>
              <w:rPr>
                <w:rFonts w:hint="eastAsia" w:ascii="宋体" w:hAnsi="宋体" w:eastAsia="宋体" w:cs="宋体"/>
                <w:color w:val="000000" w:themeColor="text1"/>
                <w:szCs w:val="21"/>
                <w:highlight w:val="none"/>
                <w:u w:val="single"/>
                <w14:textFill>
                  <w14:solidFill>
                    <w14:schemeClr w14:val="tx1"/>
                  </w14:solidFill>
                </w14:textFill>
              </w:rPr>
              <w:t>参考使用获得补偿费用的投标方案成果的部分内容（且不另行支付费用），该参考部分内容的发表权、展览权、使用权归招标人所有。</w:t>
            </w:r>
          </w:p>
        </w:tc>
      </w:tr>
      <w:tr w14:paraId="155A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63" w:type="dxa"/>
            <w:vAlign w:val="center"/>
          </w:tcPr>
          <w:p w14:paraId="2B9EA1F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p>
        </w:tc>
        <w:tc>
          <w:tcPr>
            <w:tcW w:w="1248" w:type="dxa"/>
            <w:vAlign w:val="center"/>
          </w:tcPr>
          <w:p w14:paraId="240296C4">
            <w:pPr>
              <w:keepNext w:val="0"/>
              <w:keepLines w:val="0"/>
              <w:suppressLineNumbers w:val="0"/>
              <w:spacing w:before="0" w:beforeAutospacing="0" w:after="0" w:afterAutospacing="0" w:line="360" w:lineRule="auto"/>
              <w:ind w:left="2"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第八章</w:t>
            </w:r>
          </w:p>
        </w:tc>
        <w:tc>
          <w:tcPr>
            <w:tcW w:w="3610" w:type="dxa"/>
            <w:vAlign w:val="center"/>
          </w:tcPr>
          <w:p w14:paraId="2A24BB68">
            <w:pPr>
              <w:keepNext w:val="0"/>
              <w:keepLines w:val="0"/>
              <w:suppressLineNumbers w:val="0"/>
              <w:spacing w:before="0" w:beforeAutospacing="0" w:after="0" w:afterAutospacing="0" w:line="360" w:lineRule="auto"/>
              <w:ind w:left="2"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合同条款</w:t>
            </w:r>
          </w:p>
        </w:tc>
        <w:tc>
          <w:tcPr>
            <w:tcW w:w="3717" w:type="dxa"/>
            <w:vAlign w:val="center"/>
          </w:tcPr>
          <w:p w14:paraId="55CEC4B4">
            <w:pPr>
              <w:keepNext w:val="0"/>
              <w:keepLines w:val="0"/>
              <w:suppressLineNumbers w:val="0"/>
              <w:spacing w:before="0" w:beforeAutospacing="0" w:after="0" w:afterAutospacing="0" w:line="360" w:lineRule="auto"/>
              <w:ind w:left="2"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合同条款（另册）</w:t>
            </w:r>
          </w:p>
        </w:tc>
      </w:tr>
      <w:tr w14:paraId="6513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190D16C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w:t>
            </w:r>
          </w:p>
        </w:tc>
        <w:tc>
          <w:tcPr>
            <w:tcW w:w="1248" w:type="dxa"/>
            <w:vAlign w:val="center"/>
          </w:tcPr>
          <w:p w14:paraId="1EF15B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附录1</w:t>
            </w:r>
          </w:p>
        </w:tc>
        <w:tc>
          <w:tcPr>
            <w:tcW w:w="3610" w:type="dxa"/>
            <w:vAlign w:val="center"/>
          </w:tcPr>
          <w:p w14:paraId="294A8BD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投标申请表（投入人员承诺）</w:t>
            </w:r>
          </w:p>
        </w:tc>
        <w:tc>
          <w:tcPr>
            <w:tcW w:w="3717" w:type="dxa"/>
            <w:vAlign w:val="center"/>
          </w:tcPr>
          <w:p w14:paraId="5A8BCF5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744E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3ACF7D6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33</w:t>
            </w:r>
          </w:p>
        </w:tc>
        <w:tc>
          <w:tcPr>
            <w:tcW w:w="1248" w:type="dxa"/>
            <w:vAlign w:val="center"/>
          </w:tcPr>
          <w:p w14:paraId="4F6DC8C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附件2</w:t>
            </w:r>
          </w:p>
        </w:tc>
        <w:tc>
          <w:tcPr>
            <w:tcW w:w="3610" w:type="dxa"/>
            <w:vAlign w:val="center"/>
          </w:tcPr>
          <w:p w14:paraId="1E98F49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设计投标文件编制要求（见范本）</w:t>
            </w:r>
          </w:p>
        </w:tc>
        <w:tc>
          <w:tcPr>
            <w:tcW w:w="3717" w:type="dxa"/>
            <w:vAlign w:val="center"/>
          </w:tcPr>
          <w:p w14:paraId="144473CF">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设计投标文件编制要求</w:t>
            </w:r>
            <w:r>
              <w:rPr>
                <w:rFonts w:hint="eastAsia" w:ascii="宋体" w:hAnsi="宋体" w:eastAsia="宋体" w:cs="宋体"/>
                <w:color w:val="000000" w:themeColor="text1"/>
                <w:szCs w:val="21"/>
                <w:highlight w:val="none"/>
                <w:u w:val="single"/>
                <w14:textFill>
                  <w14:solidFill>
                    <w14:schemeClr w14:val="tx1"/>
                  </w14:solidFill>
                </w14:textFill>
              </w:rPr>
              <w:t>（详见附件2）</w:t>
            </w:r>
          </w:p>
        </w:tc>
      </w:tr>
      <w:tr w14:paraId="121E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3C3FA1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34</w:t>
            </w:r>
          </w:p>
        </w:tc>
        <w:tc>
          <w:tcPr>
            <w:tcW w:w="1248" w:type="dxa"/>
            <w:vAlign w:val="center"/>
          </w:tcPr>
          <w:p w14:paraId="5498D28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附表1</w:t>
            </w:r>
          </w:p>
        </w:tc>
        <w:tc>
          <w:tcPr>
            <w:tcW w:w="3610" w:type="dxa"/>
            <w:vAlign w:val="center"/>
          </w:tcPr>
          <w:p w14:paraId="5417DD4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106C9C92">
            <w:pPr>
              <w:keepNext w:val="0"/>
              <w:keepLines w:val="0"/>
              <w:suppressLineNumbers w:val="0"/>
              <w:spacing w:before="0" w:beforeAutospacing="0" w:after="0" w:afterAutospacing="0"/>
              <w:ind w:left="0" w:right="0"/>
              <w:jc w:val="left"/>
              <w:rPr>
                <w:rFonts w:hint="eastAsia" w:ascii="宋体" w:hAnsi="宋体" w:eastAsia="宋体" w:cs="宋体"/>
                <w:b w:val="0"/>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附表1</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设计方案主要技术指标响应情况一览表</w:t>
            </w:r>
          </w:p>
        </w:tc>
      </w:tr>
      <w:tr w14:paraId="63FA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08A1726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35</w:t>
            </w:r>
          </w:p>
        </w:tc>
        <w:tc>
          <w:tcPr>
            <w:tcW w:w="1248" w:type="dxa"/>
            <w:vAlign w:val="center"/>
          </w:tcPr>
          <w:p w14:paraId="2B8147C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附件3</w:t>
            </w:r>
          </w:p>
        </w:tc>
        <w:tc>
          <w:tcPr>
            <w:tcW w:w="3610" w:type="dxa"/>
            <w:vAlign w:val="center"/>
          </w:tcPr>
          <w:p w14:paraId="7DB2E95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勘察设计费报价表</w:t>
            </w:r>
          </w:p>
        </w:tc>
        <w:tc>
          <w:tcPr>
            <w:tcW w:w="3717" w:type="dxa"/>
            <w:vAlign w:val="center"/>
          </w:tcPr>
          <w:p w14:paraId="6115D33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color w:val="000000" w:themeColor="text1"/>
                <w:szCs w:val="21"/>
                <w:highlight w:val="none"/>
                <w:u w:val="single"/>
                <w14:textFill>
                  <w14:solidFill>
                    <w14:schemeClr w14:val="tx1"/>
                  </w14:solidFill>
                </w14:textFill>
              </w:rPr>
              <w:t>工程勘察设计费报价汇总表</w:t>
            </w:r>
          </w:p>
        </w:tc>
      </w:tr>
      <w:tr w14:paraId="39A3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3B42DB1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36</w:t>
            </w:r>
          </w:p>
        </w:tc>
        <w:tc>
          <w:tcPr>
            <w:tcW w:w="1248" w:type="dxa"/>
            <w:vAlign w:val="center"/>
          </w:tcPr>
          <w:p w14:paraId="352F08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1</w:t>
            </w:r>
          </w:p>
        </w:tc>
        <w:tc>
          <w:tcPr>
            <w:tcW w:w="3610" w:type="dxa"/>
            <w:vAlign w:val="center"/>
          </w:tcPr>
          <w:p w14:paraId="3340B1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5E7575F1">
            <w:pPr>
              <w:keepNext w:val="0"/>
              <w:keepLines w:val="0"/>
              <w:suppressLineNumbers w:val="0"/>
              <w:spacing w:before="0" w:beforeAutospacing="0" w:after="0" w:afterAutospacing="0" w:line="360" w:lineRule="auto"/>
              <w:ind w:left="0" w:right="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工程设计费计算表</w:t>
            </w:r>
          </w:p>
        </w:tc>
      </w:tr>
      <w:tr w14:paraId="7D8E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654DAE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37</w:t>
            </w:r>
          </w:p>
        </w:tc>
        <w:tc>
          <w:tcPr>
            <w:tcW w:w="1248" w:type="dxa"/>
            <w:vAlign w:val="center"/>
          </w:tcPr>
          <w:p w14:paraId="226439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2</w:t>
            </w:r>
          </w:p>
        </w:tc>
        <w:tc>
          <w:tcPr>
            <w:tcW w:w="3610" w:type="dxa"/>
            <w:vAlign w:val="center"/>
          </w:tcPr>
          <w:p w14:paraId="753FA7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0B529E53">
            <w:pPr>
              <w:keepNext w:val="0"/>
              <w:keepLines w:val="0"/>
              <w:suppressLineNumbers w:val="0"/>
              <w:spacing w:before="0" w:beforeAutospacing="0" w:after="0" w:afterAutospacing="0" w:line="360" w:lineRule="auto"/>
              <w:ind w:left="0" w:right="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工程勘察费计算表</w:t>
            </w:r>
          </w:p>
        </w:tc>
      </w:tr>
      <w:tr w14:paraId="4CD3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312C652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38</w:t>
            </w:r>
          </w:p>
        </w:tc>
        <w:tc>
          <w:tcPr>
            <w:tcW w:w="1248" w:type="dxa"/>
            <w:vAlign w:val="center"/>
          </w:tcPr>
          <w:p w14:paraId="45E7F58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-3</w:t>
            </w:r>
          </w:p>
        </w:tc>
        <w:tc>
          <w:tcPr>
            <w:tcW w:w="3610" w:type="dxa"/>
            <w:vAlign w:val="center"/>
          </w:tcPr>
          <w:p w14:paraId="59C95E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0E8624AB">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3</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设计方案报审（含修建性详细规划编制）费计算表</w:t>
            </w:r>
          </w:p>
        </w:tc>
      </w:tr>
      <w:tr w14:paraId="6341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672CF68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39</w:t>
            </w:r>
          </w:p>
        </w:tc>
        <w:tc>
          <w:tcPr>
            <w:tcW w:w="1248" w:type="dxa"/>
            <w:shd w:val="clear" w:color="auto" w:fill="auto"/>
            <w:vAlign w:val="center"/>
          </w:tcPr>
          <w:p w14:paraId="3F62FC3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p>
        </w:tc>
        <w:tc>
          <w:tcPr>
            <w:tcW w:w="3610" w:type="dxa"/>
            <w:shd w:val="clear" w:color="auto" w:fill="auto"/>
            <w:vAlign w:val="center"/>
          </w:tcPr>
          <w:p w14:paraId="3D284F0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510B6D8C">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附件3-4</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BIM正向设计技术应用费计算表</w:t>
            </w:r>
          </w:p>
        </w:tc>
      </w:tr>
      <w:tr w14:paraId="501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16F704E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40</w:t>
            </w:r>
          </w:p>
        </w:tc>
        <w:tc>
          <w:tcPr>
            <w:tcW w:w="1248" w:type="dxa"/>
            <w:vAlign w:val="center"/>
          </w:tcPr>
          <w:p w14:paraId="50DA4B2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附录4</w:t>
            </w:r>
          </w:p>
        </w:tc>
        <w:tc>
          <w:tcPr>
            <w:tcW w:w="3610" w:type="dxa"/>
            <w:vAlign w:val="center"/>
          </w:tcPr>
          <w:p w14:paraId="4F9FD58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建筑工程设计方案测试记录表</w:t>
            </w:r>
          </w:p>
        </w:tc>
        <w:tc>
          <w:tcPr>
            <w:tcW w:w="3717" w:type="dxa"/>
            <w:vAlign w:val="center"/>
          </w:tcPr>
          <w:p w14:paraId="7557353E">
            <w:pPr>
              <w:keepNext w:val="0"/>
              <w:keepLines w:val="0"/>
              <w:suppressLineNumbers w:val="0"/>
              <w:spacing w:before="0" w:beforeAutospacing="0" w:after="0" w:afterAutospacing="0"/>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7C88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0301320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41</w:t>
            </w:r>
          </w:p>
        </w:tc>
        <w:tc>
          <w:tcPr>
            <w:tcW w:w="1248" w:type="dxa"/>
            <w:vAlign w:val="center"/>
          </w:tcPr>
          <w:p w14:paraId="0C5A50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附件5</w:t>
            </w:r>
          </w:p>
        </w:tc>
        <w:tc>
          <w:tcPr>
            <w:tcW w:w="3610" w:type="dxa"/>
            <w:vAlign w:val="center"/>
          </w:tcPr>
          <w:p w14:paraId="4499406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勘察投标文件编制要求（见范本）</w:t>
            </w:r>
          </w:p>
        </w:tc>
        <w:tc>
          <w:tcPr>
            <w:tcW w:w="3717" w:type="dxa"/>
            <w:vAlign w:val="center"/>
          </w:tcPr>
          <w:p w14:paraId="4B36D48F">
            <w:pPr>
              <w:keepNext w:val="0"/>
              <w:keepLines w:val="0"/>
              <w:suppressLineNumbers w:val="0"/>
              <w:spacing w:before="0" w:beforeAutospacing="0" w:after="0" w:afterAutospacing="0"/>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3B81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shd w:val="clear" w:color="auto" w:fill="auto"/>
            <w:vAlign w:val="center"/>
          </w:tcPr>
          <w:p w14:paraId="2659262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42</w:t>
            </w:r>
          </w:p>
        </w:tc>
        <w:tc>
          <w:tcPr>
            <w:tcW w:w="1248" w:type="dxa"/>
            <w:vAlign w:val="center"/>
          </w:tcPr>
          <w:p w14:paraId="5AB47BE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附录6</w:t>
            </w:r>
          </w:p>
        </w:tc>
        <w:tc>
          <w:tcPr>
            <w:tcW w:w="3610" w:type="dxa"/>
            <w:vAlign w:val="center"/>
          </w:tcPr>
          <w:p w14:paraId="0A9D743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投标书（见范本）</w:t>
            </w:r>
          </w:p>
        </w:tc>
        <w:tc>
          <w:tcPr>
            <w:tcW w:w="3717" w:type="dxa"/>
            <w:vAlign w:val="center"/>
          </w:tcPr>
          <w:p w14:paraId="40039EE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附录6 投标书</w:t>
            </w:r>
            <w:r>
              <w:rPr>
                <w:rFonts w:hint="eastAsia" w:ascii="宋体" w:hAnsi="宋体" w:eastAsia="宋体" w:cs="宋体"/>
                <w:color w:val="000000" w:themeColor="text1"/>
                <w:szCs w:val="21"/>
                <w:highlight w:val="none"/>
                <w:u w:val="single"/>
                <w14:textFill>
                  <w14:solidFill>
                    <w14:schemeClr w14:val="tx1"/>
                  </w14:solidFill>
                </w14:textFill>
              </w:rPr>
              <w:t>（详见附录6）</w:t>
            </w:r>
          </w:p>
        </w:tc>
      </w:tr>
      <w:tr w14:paraId="7234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497505E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43</w:t>
            </w:r>
          </w:p>
        </w:tc>
        <w:tc>
          <w:tcPr>
            <w:tcW w:w="1248" w:type="dxa"/>
            <w:vAlign w:val="center"/>
          </w:tcPr>
          <w:p w14:paraId="3D1C6EA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附录7</w:t>
            </w:r>
          </w:p>
        </w:tc>
        <w:tc>
          <w:tcPr>
            <w:tcW w:w="3610" w:type="dxa"/>
            <w:vAlign w:val="center"/>
          </w:tcPr>
          <w:p w14:paraId="750337D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联合体共同投标协议（见范本）</w:t>
            </w:r>
          </w:p>
        </w:tc>
        <w:tc>
          <w:tcPr>
            <w:tcW w:w="3717" w:type="dxa"/>
            <w:vAlign w:val="center"/>
          </w:tcPr>
          <w:p w14:paraId="51C7FC35">
            <w:pPr>
              <w:keepNext w:val="0"/>
              <w:keepLines w:val="0"/>
              <w:suppressLineNumbers w:val="0"/>
              <w:spacing w:before="0" w:beforeAutospacing="0" w:after="0" w:afterAutospacing="0"/>
              <w:ind w:left="0" w:right="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附录7联合体共同投标协议</w:t>
            </w:r>
            <w:r>
              <w:rPr>
                <w:rFonts w:hint="eastAsia" w:ascii="宋体" w:hAnsi="宋体" w:eastAsia="宋体" w:cs="宋体"/>
                <w:color w:val="000000" w:themeColor="text1"/>
                <w:szCs w:val="21"/>
                <w:highlight w:val="none"/>
                <w:u w:val="single"/>
                <w14:textFill>
                  <w14:solidFill>
                    <w14:schemeClr w14:val="tx1"/>
                  </w14:solidFill>
                </w14:textFill>
              </w:rPr>
              <w:t>（详见附录7）</w:t>
            </w:r>
          </w:p>
        </w:tc>
      </w:tr>
      <w:tr w14:paraId="42D0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0B637E2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44</w:t>
            </w:r>
          </w:p>
        </w:tc>
        <w:tc>
          <w:tcPr>
            <w:tcW w:w="1248" w:type="dxa"/>
            <w:vAlign w:val="center"/>
          </w:tcPr>
          <w:p w14:paraId="7B36EED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附录7</w:t>
            </w: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3610" w:type="dxa"/>
            <w:vAlign w:val="center"/>
          </w:tcPr>
          <w:p w14:paraId="2FC3B891">
            <w:pPr>
              <w:pStyle w:val="6"/>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2CEDBCB8">
            <w:pPr>
              <w:keepNext w:val="0"/>
              <w:keepLines w:val="0"/>
              <w:suppressLineNumbers w:val="0"/>
              <w:spacing w:before="0" w:beforeAutospacing="0" w:after="0" w:afterAutospacing="0"/>
              <w:ind w:left="0" w:right="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附录7</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（适用于合作设计）合作设计协议书</w:t>
            </w:r>
          </w:p>
        </w:tc>
      </w:tr>
      <w:tr w14:paraId="30D2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412C3EF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45</w:t>
            </w:r>
          </w:p>
        </w:tc>
        <w:tc>
          <w:tcPr>
            <w:tcW w:w="1248" w:type="dxa"/>
            <w:vAlign w:val="center"/>
          </w:tcPr>
          <w:p w14:paraId="67F1538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附录8</w:t>
            </w:r>
          </w:p>
        </w:tc>
        <w:tc>
          <w:tcPr>
            <w:tcW w:w="3610" w:type="dxa"/>
            <w:vAlign w:val="center"/>
          </w:tcPr>
          <w:p w14:paraId="27B4151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投标人声明（见范本）</w:t>
            </w:r>
          </w:p>
        </w:tc>
        <w:tc>
          <w:tcPr>
            <w:tcW w:w="3717" w:type="dxa"/>
            <w:vAlign w:val="center"/>
          </w:tcPr>
          <w:p w14:paraId="088EFA9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附录8投标人声明</w:t>
            </w:r>
            <w:r>
              <w:rPr>
                <w:rFonts w:hint="eastAsia" w:ascii="宋体" w:hAnsi="宋体" w:eastAsia="宋体" w:cs="宋体"/>
                <w:color w:val="000000" w:themeColor="text1"/>
                <w:szCs w:val="21"/>
                <w:highlight w:val="none"/>
                <w:u w:val="single"/>
                <w14:textFill>
                  <w14:solidFill>
                    <w14:schemeClr w14:val="tx1"/>
                  </w14:solidFill>
                </w14:textFill>
              </w:rPr>
              <w:t>（详见附录8）</w:t>
            </w:r>
          </w:p>
        </w:tc>
      </w:tr>
      <w:tr w14:paraId="09CA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77A1D14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46</w:t>
            </w:r>
          </w:p>
        </w:tc>
        <w:tc>
          <w:tcPr>
            <w:tcW w:w="1248" w:type="dxa"/>
            <w:vAlign w:val="center"/>
          </w:tcPr>
          <w:p w14:paraId="16F789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附录9</w:t>
            </w:r>
          </w:p>
        </w:tc>
        <w:tc>
          <w:tcPr>
            <w:tcW w:w="3610" w:type="dxa"/>
            <w:vAlign w:val="center"/>
          </w:tcPr>
          <w:p w14:paraId="78DAB01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资格审查表（见范本）</w:t>
            </w:r>
          </w:p>
        </w:tc>
        <w:tc>
          <w:tcPr>
            <w:tcW w:w="3717" w:type="dxa"/>
            <w:vAlign w:val="center"/>
          </w:tcPr>
          <w:p w14:paraId="17DAD57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附录9资格审查表</w:t>
            </w:r>
            <w:r>
              <w:rPr>
                <w:rFonts w:hint="eastAsia" w:ascii="宋体" w:hAnsi="宋体" w:eastAsia="宋体" w:cs="宋体"/>
                <w:color w:val="000000" w:themeColor="text1"/>
                <w:szCs w:val="21"/>
                <w:highlight w:val="none"/>
                <w:u w:val="single"/>
                <w14:textFill>
                  <w14:solidFill>
                    <w14:schemeClr w14:val="tx1"/>
                  </w14:solidFill>
                </w14:textFill>
              </w:rPr>
              <w:t>（详见附录9）</w:t>
            </w:r>
          </w:p>
        </w:tc>
      </w:tr>
      <w:tr w14:paraId="6505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70096F0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47</w:t>
            </w:r>
          </w:p>
        </w:tc>
        <w:tc>
          <w:tcPr>
            <w:tcW w:w="1248" w:type="dxa"/>
            <w:vAlign w:val="center"/>
          </w:tcPr>
          <w:p w14:paraId="1D7612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附件10</w:t>
            </w:r>
          </w:p>
        </w:tc>
        <w:tc>
          <w:tcPr>
            <w:tcW w:w="3610" w:type="dxa"/>
            <w:vAlign w:val="center"/>
          </w:tcPr>
          <w:p w14:paraId="26F77CA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附件10 投票表格</w:t>
            </w:r>
          </w:p>
        </w:tc>
        <w:tc>
          <w:tcPr>
            <w:tcW w:w="3717" w:type="dxa"/>
            <w:vAlign w:val="center"/>
          </w:tcPr>
          <w:p w14:paraId="58D6AA74">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63DE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3BCC0FB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48</w:t>
            </w:r>
          </w:p>
        </w:tc>
        <w:tc>
          <w:tcPr>
            <w:tcW w:w="1248" w:type="dxa"/>
            <w:vAlign w:val="center"/>
          </w:tcPr>
          <w:p w14:paraId="155E375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附录11</w:t>
            </w:r>
          </w:p>
        </w:tc>
        <w:tc>
          <w:tcPr>
            <w:tcW w:w="3610" w:type="dxa"/>
            <w:vAlign w:val="center"/>
          </w:tcPr>
          <w:p w14:paraId="2CE7E0D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附录11投标汇总表格</w:t>
            </w:r>
          </w:p>
        </w:tc>
        <w:tc>
          <w:tcPr>
            <w:tcW w:w="3717" w:type="dxa"/>
            <w:vAlign w:val="center"/>
          </w:tcPr>
          <w:p w14:paraId="6ECB8BB4">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6776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40C0A97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49</w:t>
            </w:r>
          </w:p>
        </w:tc>
        <w:tc>
          <w:tcPr>
            <w:tcW w:w="1248" w:type="dxa"/>
            <w:vAlign w:val="center"/>
          </w:tcPr>
          <w:p w14:paraId="2363C309">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附录12</w:t>
            </w:r>
          </w:p>
        </w:tc>
        <w:tc>
          <w:tcPr>
            <w:tcW w:w="3610" w:type="dxa"/>
            <w:vAlign w:val="center"/>
          </w:tcPr>
          <w:p w14:paraId="42E2FE89">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增加</w:t>
            </w:r>
          </w:p>
        </w:tc>
        <w:tc>
          <w:tcPr>
            <w:tcW w:w="3717" w:type="dxa"/>
            <w:vAlign w:val="center"/>
          </w:tcPr>
          <w:p w14:paraId="31AA0DDD">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附录12</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《有效性审查表》</w:t>
            </w:r>
          </w:p>
        </w:tc>
      </w:tr>
      <w:tr w14:paraId="408A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37ABBA3A">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50</w:t>
            </w:r>
          </w:p>
        </w:tc>
        <w:tc>
          <w:tcPr>
            <w:tcW w:w="1248" w:type="dxa"/>
            <w:vAlign w:val="center"/>
          </w:tcPr>
          <w:p w14:paraId="5C3DD6F7">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附录12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p>
        </w:tc>
        <w:tc>
          <w:tcPr>
            <w:tcW w:w="3610" w:type="dxa"/>
            <w:vAlign w:val="center"/>
          </w:tcPr>
          <w:p w14:paraId="6111AB7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增加</w:t>
            </w:r>
          </w:p>
        </w:tc>
        <w:tc>
          <w:tcPr>
            <w:tcW w:w="3717" w:type="dxa"/>
            <w:vAlign w:val="center"/>
          </w:tcPr>
          <w:p w14:paraId="05AD7FBE">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附录12-1《投标报价算术复核表》</w:t>
            </w:r>
          </w:p>
        </w:tc>
      </w:tr>
      <w:tr w14:paraId="61F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40101E74">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51</w:t>
            </w:r>
          </w:p>
        </w:tc>
        <w:tc>
          <w:tcPr>
            <w:tcW w:w="1248" w:type="dxa"/>
            <w:vAlign w:val="center"/>
          </w:tcPr>
          <w:p w14:paraId="054A37BA">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附录13</w:t>
            </w:r>
          </w:p>
        </w:tc>
        <w:tc>
          <w:tcPr>
            <w:tcW w:w="3610" w:type="dxa"/>
            <w:vAlign w:val="center"/>
          </w:tcPr>
          <w:p w14:paraId="7A1DD4D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投标方案评语</w:t>
            </w:r>
          </w:p>
        </w:tc>
        <w:tc>
          <w:tcPr>
            <w:tcW w:w="3717" w:type="dxa"/>
            <w:vAlign w:val="center"/>
          </w:tcPr>
          <w:p w14:paraId="50B1CDF7">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附录13勘察设计工作方案评审记录表</w:t>
            </w:r>
            <w:r>
              <w:rPr>
                <w:rFonts w:hint="eastAsia" w:ascii="宋体" w:hAnsi="宋体" w:eastAsia="宋体" w:cs="宋体"/>
                <w:color w:val="000000" w:themeColor="text1"/>
                <w:szCs w:val="21"/>
                <w:highlight w:val="none"/>
                <w:u w:val="single"/>
                <w14:textFill>
                  <w14:solidFill>
                    <w14:schemeClr w14:val="tx1"/>
                  </w14:solidFill>
                </w14:textFill>
              </w:rPr>
              <w:t>（详见招标文件附录13）</w:t>
            </w:r>
          </w:p>
        </w:tc>
      </w:tr>
      <w:tr w14:paraId="2A11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2EB2B24A">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52</w:t>
            </w:r>
          </w:p>
        </w:tc>
        <w:tc>
          <w:tcPr>
            <w:tcW w:w="1248" w:type="dxa"/>
            <w:vAlign w:val="center"/>
          </w:tcPr>
          <w:p w14:paraId="144CEC3C">
            <w:pPr>
              <w:keepNext w:val="0"/>
              <w:keepLines w:val="0"/>
              <w:suppressLineNumbers w:val="0"/>
              <w:spacing w:before="0" w:beforeAutospacing="0" w:after="0" w:afterAutospacing="0" w:line="240" w:lineRule="auto"/>
              <w:ind w:left="2" w:leftChars="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附录14</w:t>
            </w:r>
          </w:p>
        </w:tc>
        <w:tc>
          <w:tcPr>
            <w:tcW w:w="3610" w:type="dxa"/>
            <w:vAlign w:val="center"/>
          </w:tcPr>
          <w:p w14:paraId="1CEC9F49">
            <w:pPr>
              <w:keepNext w:val="0"/>
              <w:keepLines w:val="0"/>
              <w:suppressLineNumbers w:val="0"/>
              <w:spacing w:before="0" w:beforeAutospacing="0" w:after="0" w:afterAutospacing="0" w:line="240" w:lineRule="auto"/>
              <w:ind w:left="2" w:leftChars="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基础资料和勘察设计任务书</w:t>
            </w:r>
          </w:p>
        </w:tc>
        <w:tc>
          <w:tcPr>
            <w:tcW w:w="3717" w:type="dxa"/>
            <w:vAlign w:val="center"/>
          </w:tcPr>
          <w:p w14:paraId="50E14C6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附录14投标方案评语</w:t>
            </w:r>
            <w:r>
              <w:rPr>
                <w:rFonts w:hint="eastAsia" w:ascii="宋体" w:hAnsi="宋体" w:eastAsia="宋体" w:cs="宋体"/>
                <w:color w:val="000000" w:themeColor="text1"/>
                <w:szCs w:val="21"/>
                <w:highlight w:val="none"/>
                <w:u w:val="single"/>
                <w14:textFill>
                  <w14:solidFill>
                    <w14:schemeClr w14:val="tx1"/>
                  </w14:solidFill>
                </w14:textFill>
              </w:rPr>
              <w:t>（详见招标文件附录14）</w:t>
            </w:r>
          </w:p>
        </w:tc>
      </w:tr>
      <w:tr w14:paraId="64ED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45A086F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53</w:t>
            </w:r>
          </w:p>
        </w:tc>
        <w:tc>
          <w:tcPr>
            <w:tcW w:w="1248" w:type="dxa"/>
            <w:vAlign w:val="center"/>
          </w:tcPr>
          <w:p w14:paraId="341AE81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附录15</w:t>
            </w:r>
          </w:p>
        </w:tc>
        <w:tc>
          <w:tcPr>
            <w:tcW w:w="3610" w:type="dxa"/>
            <w:vAlign w:val="center"/>
          </w:tcPr>
          <w:p w14:paraId="0A98DA0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定标委员会的组成</w:t>
            </w:r>
          </w:p>
        </w:tc>
        <w:tc>
          <w:tcPr>
            <w:tcW w:w="3717" w:type="dxa"/>
            <w:vAlign w:val="center"/>
          </w:tcPr>
          <w:p w14:paraId="6B5483F4">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w:t>
            </w:r>
            <w:r>
              <w:rPr>
                <w:rFonts w:hint="eastAsia" w:ascii="宋体" w:hAnsi="宋体" w:eastAsia="宋体" w:cs="宋体"/>
                <w:b w:val="0"/>
                <w:color w:val="000000" w:themeColor="text1"/>
                <w:szCs w:val="21"/>
                <w:highlight w:val="none"/>
                <w14:textFill>
                  <w14:solidFill>
                    <w14:schemeClr w14:val="tx1"/>
                  </w14:solidFill>
                </w14:textFill>
              </w:rPr>
              <w:t>改：</w:t>
            </w:r>
            <w:r>
              <w:rPr>
                <w:rFonts w:hint="eastAsia" w:ascii="宋体" w:hAnsi="宋体" w:eastAsia="宋体" w:cs="宋体"/>
                <w:color w:val="000000" w:themeColor="text1"/>
                <w:szCs w:val="21"/>
                <w:highlight w:val="none"/>
                <w14:textFill>
                  <w14:solidFill>
                    <w14:schemeClr w14:val="tx1"/>
                  </w14:solidFill>
                </w14:textFill>
              </w:rPr>
              <w:t>附录15定标委员会的组成</w:t>
            </w:r>
            <w:r>
              <w:rPr>
                <w:rFonts w:hint="eastAsia" w:ascii="宋体" w:hAnsi="宋体" w:eastAsia="宋体" w:cs="宋体"/>
                <w:color w:val="000000" w:themeColor="text1"/>
                <w:szCs w:val="21"/>
                <w:highlight w:val="none"/>
                <w:u w:val="single"/>
                <w14:textFill>
                  <w14:solidFill>
                    <w14:schemeClr w14:val="tx1"/>
                  </w14:solidFill>
                </w14:textFill>
              </w:rPr>
              <w:t>（详见附录15）</w:t>
            </w:r>
          </w:p>
        </w:tc>
      </w:tr>
      <w:tr w14:paraId="0434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3A171515">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54</w:t>
            </w:r>
          </w:p>
        </w:tc>
        <w:tc>
          <w:tcPr>
            <w:tcW w:w="1248" w:type="dxa"/>
            <w:vAlign w:val="center"/>
          </w:tcPr>
          <w:p w14:paraId="33E49B4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附录16</w:t>
            </w:r>
          </w:p>
        </w:tc>
        <w:tc>
          <w:tcPr>
            <w:tcW w:w="3610" w:type="dxa"/>
            <w:vAlign w:val="center"/>
          </w:tcPr>
          <w:p w14:paraId="14C5F7C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定标原则</w:t>
            </w:r>
          </w:p>
        </w:tc>
        <w:tc>
          <w:tcPr>
            <w:tcW w:w="3717" w:type="dxa"/>
            <w:vAlign w:val="center"/>
          </w:tcPr>
          <w:p w14:paraId="5BB7A462">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附录16定标原则</w:t>
            </w:r>
            <w:r>
              <w:rPr>
                <w:rFonts w:hint="eastAsia" w:ascii="宋体" w:hAnsi="宋体" w:eastAsia="宋体" w:cs="宋体"/>
                <w:color w:val="000000" w:themeColor="text1"/>
                <w:szCs w:val="21"/>
                <w:highlight w:val="none"/>
                <w:u w:val="single"/>
                <w14:textFill>
                  <w14:solidFill>
                    <w14:schemeClr w14:val="tx1"/>
                  </w14:solidFill>
                </w14:textFill>
              </w:rPr>
              <w:t>（详见附录16）</w:t>
            </w:r>
          </w:p>
        </w:tc>
      </w:tr>
      <w:tr w14:paraId="3A9C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16517B4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55</w:t>
            </w:r>
          </w:p>
        </w:tc>
        <w:tc>
          <w:tcPr>
            <w:tcW w:w="1248" w:type="dxa"/>
            <w:vAlign w:val="center"/>
          </w:tcPr>
          <w:p w14:paraId="7920303E">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附录16-1</w:t>
            </w:r>
          </w:p>
        </w:tc>
        <w:tc>
          <w:tcPr>
            <w:tcW w:w="3610" w:type="dxa"/>
            <w:vAlign w:val="center"/>
          </w:tcPr>
          <w:p w14:paraId="0475B94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增加</w:t>
            </w:r>
          </w:p>
        </w:tc>
        <w:tc>
          <w:tcPr>
            <w:tcW w:w="3717" w:type="dxa"/>
            <w:vAlign w:val="center"/>
          </w:tcPr>
          <w:p w14:paraId="3127B1E3">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附录16-1</w:t>
            </w:r>
            <w:r>
              <w:rPr>
                <w:rFonts w:hint="eastAsia" w:ascii="宋体" w:hAnsi="宋体" w:eastAsia="宋体" w:cs="宋体"/>
                <w:b/>
                <w:color w:val="000000" w:themeColor="text1"/>
                <w:szCs w:val="21"/>
                <w:highlight w:val="none"/>
                <w:u w:val="single"/>
                <w14:textFill>
                  <w14:solidFill>
                    <w14:schemeClr w14:val="tx1"/>
                  </w14:solidFill>
                </w14:textFill>
              </w:rPr>
              <w:t>《定标评语》</w:t>
            </w:r>
          </w:p>
        </w:tc>
      </w:tr>
      <w:tr w14:paraId="14CD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14DD190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56</w:t>
            </w:r>
          </w:p>
        </w:tc>
        <w:tc>
          <w:tcPr>
            <w:tcW w:w="1248" w:type="dxa"/>
            <w:vAlign w:val="center"/>
          </w:tcPr>
          <w:p w14:paraId="14562680">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附录16-2</w:t>
            </w:r>
          </w:p>
        </w:tc>
        <w:tc>
          <w:tcPr>
            <w:tcW w:w="3610" w:type="dxa"/>
            <w:vAlign w:val="center"/>
          </w:tcPr>
          <w:p w14:paraId="5E95912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增加</w:t>
            </w:r>
          </w:p>
        </w:tc>
        <w:tc>
          <w:tcPr>
            <w:tcW w:w="3717" w:type="dxa"/>
            <w:vAlign w:val="center"/>
          </w:tcPr>
          <w:p w14:paraId="479880F2">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附录16-2</w:t>
            </w:r>
            <w:r>
              <w:rPr>
                <w:rFonts w:hint="eastAsia" w:ascii="宋体" w:hAnsi="宋体" w:eastAsia="宋体" w:cs="宋体"/>
                <w:b/>
                <w:color w:val="000000" w:themeColor="text1"/>
                <w:szCs w:val="21"/>
                <w:highlight w:val="none"/>
                <w:u w:val="single"/>
                <w14:textFill>
                  <w14:solidFill>
                    <w14:schemeClr w14:val="tx1"/>
                  </w14:solidFill>
                </w14:textFill>
              </w:rPr>
              <w:t>《投票表格》</w:t>
            </w:r>
          </w:p>
        </w:tc>
      </w:tr>
      <w:tr w14:paraId="17EA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6AAE3A1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57</w:t>
            </w:r>
          </w:p>
        </w:tc>
        <w:tc>
          <w:tcPr>
            <w:tcW w:w="1248" w:type="dxa"/>
            <w:vAlign w:val="center"/>
          </w:tcPr>
          <w:p w14:paraId="632E122F">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附录17</w:t>
            </w:r>
          </w:p>
        </w:tc>
        <w:tc>
          <w:tcPr>
            <w:tcW w:w="3610" w:type="dxa"/>
            <w:vAlign w:val="center"/>
          </w:tcPr>
          <w:p w14:paraId="44B7477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37F33F80">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附录17</w:t>
            </w:r>
            <w:r>
              <w:rPr>
                <w:rFonts w:hint="eastAsia" w:ascii="宋体" w:hAnsi="宋体" w:eastAsia="宋体" w:cs="宋体"/>
                <w:color w:val="000000" w:themeColor="text1"/>
                <w:szCs w:val="21"/>
                <w:highlight w:val="none"/>
                <w14:textFill>
                  <w14:solidFill>
                    <w14:schemeClr w14:val="tx1"/>
                  </w14:solidFill>
                </w14:textFill>
              </w:rPr>
              <w:t>拟投入的人员基本情况及主要负责人简历表</w:t>
            </w:r>
          </w:p>
        </w:tc>
      </w:tr>
      <w:tr w14:paraId="73BE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shd w:val="clear" w:color="auto" w:fill="auto"/>
            <w:vAlign w:val="center"/>
          </w:tcPr>
          <w:p w14:paraId="1B95214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58</w:t>
            </w:r>
          </w:p>
        </w:tc>
        <w:tc>
          <w:tcPr>
            <w:tcW w:w="1248" w:type="dxa"/>
            <w:vAlign w:val="center"/>
          </w:tcPr>
          <w:p w14:paraId="50A1F881">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附录18</w:t>
            </w:r>
          </w:p>
        </w:tc>
        <w:tc>
          <w:tcPr>
            <w:tcW w:w="3610" w:type="dxa"/>
            <w:vAlign w:val="center"/>
          </w:tcPr>
          <w:p w14:paraId="7D9AA4A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639581A8">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附录18</w:t>
            </w:r>
            <w:r>
              <w:rPr>
                <w:rFonts w:hint="eastAsia" w:ascii="宋体" w:hAnsi="宋体" w:eastAsia="宋体" w:cs="宋体"/>
                <w:color w:val="000000" w:themeColor="text1"/>
                <w:szCs w:val="21"/>
                <w:highlight w:val="none"/>
                <w14:textFill>
                  <w14:solidFill>
                    <w14:schemeClr w14:val="tx1"/>
                  </w14:solidFill>
                </w14:textFill>
              </w:rPr>
              <w:t>投标人已完成项目及获奖情况</w:t>
            </w:r>
          </w:p>
        </w:tc>
      </w:tr>
      <w:tr w14:paraId="6615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shd w:val="clear" w:color="auto" w:fill="auto"/>
            <w:vAlign w:val="center"/>
          </w:tcPr>
          <w:p w14:paraId="50B6691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59</w:t>
            </w:r>
          </w:p>
        </w:tc>
        <w:tc>
          <w:tcPr>
            <w:tcW w:w="1248" w:type="dxa"/>
            <w:shd w:val="clear" w:color="auto" w:fill="auto"/>
            <w:vAlign w:val="center"/>
          </w:tcPr>
          <w:p w14:paraId="7D9842B3">
            <w:pPr>
              <w:keepNext w:val="0"/>
              <w:keepLines w:val="0"/>
              <w:widowControl/>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附录19</w:t>
            </w:r>
          </w:p>
        </w:tc>
        <w:tc>
          <w:tcPr>
            <w:tcW w:w="3610" w:type="dxa"/>
            <w:shd w:val="clear" w:color="auto" w:fill="auto"/>
            <w:vAlign w:val="center"/>
          </w:tcPr>
          <w:p w14:paraId="6909B041">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shd w:val="clear" w:color="auto" w:fill="auto"/>
            <w:vAlign w:val="center"/>
          </w:tcPr>
          <w:p w14:paraId="1E654362">
            <w:pPr>
              <w:keepNext w:val="0"/>
              <w:keepLines w:val="0"/>
              <w:suppressLineNumbers w:val="0"/>
              <w:spacing w:before="0" w:beforeAutospacing="0" w:after="0" w:afterAutospacing="0" w:line="240" w:lineRule="auto"/>
              <w:ind w:left="0" w:leftChars="0" w:right="0" w:rightChars="0"/>
              <w:jc w:val="left"/>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附录19基础资料和勘察设计任务书</w:t>
            </w:r>
          </w:p>
        </w:tc>
      </w:tr>
      <w:tr w14:paraId="3784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shd w:val="clear" w:color="auto" w:fill="auto"/>
            <w:vAlign w:val="center"/>
          </w:tcPr>
          <w:p w14:paraId="0F485AB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60</w:t>
            </w:r>
          </w:p>
        </w:tc>
        <w:tc>
          <w:tcPr>
            <w:tcW w:w="1248" w:type="dxa"/>
            <w:shd w:val="clear" w:color="auto" w:fill="auto"/>
            <w:vAlign w:val="center"/>
          </w:tcPr>
          <w:p w14:paraId="7FC6C3A3">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附录20</w:t>
            </w:r>
          </w:p>
        </w:tc>
        <w:tc>
          <w:tcPr>
            <w:tcW w:w="3610" w:type="dxa"/>
            <w:shd w:val="clear" w:color="auto" w:fill="auto"/>
            <w:vAlign w:val="center"/>
          </w:tcPr>
          <w:p w14:paraId="0FB0E6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shd w:val="clear" w:color="auto" w:fill="auto"/>
            <w:vAlign w:val="center"/>
          </w:tcPr>
          <w:p w14:paraId="69667FA1">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w:t>
            </w:r>
            <w:r>
              <w:rPr>
                <w:rFonts w:hint="eastAsia" w:ascii="宋体" w:hAnsi="宋体" w:eastAsia="宋体" w:cs="宋体"/>
                <w:b/>
                <w:bCs/>
                <w:color w:val="000000" w:themeColor="text1"/>
                <w:szCs w:val="21"/>
                <w:highlight w:val="none"/>
                <w:lang w:val="en-US" w:eastAsia="zh-CN"/>
                <w14:textFill>
                  <w14:solidFill>
                    <w14:schemeClr w14:val="tx1"/>
                  </w14:solidFill>
                </w14:textFill>
              </w:rPr>
              <w:t>20</w:t>
            </w:r>
            <w:r>
              <w:rPr>
                <w:rFonts w:hint="eastAsia" w:ascii="宋体" w:hAnsi="宋体" w:eastAsia="宋体" w:cs="宋体"/>
                <w:b/>
                <w:bCs/>
                <w:color w:val="000000" w:themeColor="text1"/>
                <w:szCs w:val="21"/>
                <w:highlight w:val="none"/>
                <w:u w:val="none"/>
                <w14:textFill>
                  <w14:solidFill>
                    <w14:schemeClr w14:val="tx1"/>
                  </w14:solidFill>
                </w14:textFill>
              </w:rPr>
              <w:t>评标委员会成员声明</w:t>
            </w:r>
          </w:p>
        </w:tc>
      </w:tr>
      <w:tr w14:paraId="2E2B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72571C9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61</w:t>
            </w:r>
          </w:p>
        </w:tc>
        <w:tc>
          <w:tcPr>
            <w:tcW w:w="1248" w:type="dxa"/>
            <w:vAlign w:val="center"/>
          </w:tcPr>
          <w:p w14:paraId="274B12F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附录21</w:t>
            </w:r>
          </w:p>
        </w:tc>
        <w:tc>
          <w:tcPr>
            <w:tcW w:w="3610" w:type="dxa"/>
            <w:vAlign w:val="center"/>
          </w:tcPr>
          <w:p w14:paraId="42CCAA6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增加</w:t>
            </w:r>
          </w:p>
        </w:tc>
        <w:tc>
          <w:tcPr>
            <w:tcW w:w="3717" w:type="dxa"/>
            <w:vAlign w:val="center"/>
          </w:tcPr>
          <w:p w14:paraId="1867950D">
            <w:pPr>
              <w:keepNext w:val="0"/>
              <w:keepLines w:val="0"/>
              <w:suppressLineNumbers w:val="0"/>
              <w:spacing w:before="0" w:beforeAutospacing="0" w:after="0" w:afterAutospacing="0"/>
              <w:ind w:left="0" w:right="0"/>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附录21</w:t>
            </w:r>
            <w:r>
              <w:rPr>
                <w:rFonts w:hint="eastAsia" w:ascii="宋体" w:hAnsi="宋体" w:eastAsia="宋体" w:cs="宋体"/>
                <w:b/>
                <w:bCs/>
                <w:color w:val="000000" w:themeColor="text1"/>
                <w:szCs w:val="21"/>
                <w:highlight w:val="none"/>
                <w14:textFill>
                  <w14:solidFill>
                    <w14:schemeClr w14:val="tx1"/>
                  </w14:solidFill>
                </w14:textFill>
              </w:rPr>
              <w:t>专业分包情况</w:t>
            </w:r>
          </w:p>
        </w:tc>
      </w:tr>
    </w:tbl>
    <w:p w14:paraId="3F344282">
      <w:pPr>
        <w:rPr>
          <w:rFonts w:ascii="宋体" w:hAnsi="宋体" w:eastAsia="宋体" w:cs="Times New Roman"/>
          <w:color w:val="000000" w:themeColor="text1"/>
          <w:highlight w:val="none"/>
          <w14:textFill>
            <w14:solidFill>
              <w14:schemeClr w14:val="tx1"/>
            </w14:solidFill>
          </w14:textFill>
        </w:rPr>
      </w:pPr>
    </w:p>
    <w:p w14:paraId="63513620">
      <w:pPr>
        <w:jc w:val="both"/>
        <w:outlineLvl w:val="9"/>
        <w:rPr>
          <w:rFonts w:ascii="Calibri" w:hAnsi="Calibri" w:eastAsia="宋体" w:cs="Times New Roman"/>
          <w:b/>
          <w:color w:val="000000" w:themeColor="text1"/>
          <w:sz w:val="32"/>
          <w:szCs w:val="32"/>
          <w:highlight w:val="none"/>
          <w:lang w:val="zh-CN"/>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6C284B7E">
      <w:pPr>
        <w:jc w:val="center"/>
        <w:outlineLvl w:val="1"/>
        <w:rPr>
          <w:rFonts w:ascii="Calibri" w:hAnsi="Calibri" w:eastAsia="宋体" w:cs="Times New Roman"/>
          <w:b/>
          <w:color w:val="000000" w:themeColor="text1"/>
          <w:sz w:val="32"/>
          <w:szCs w:val="32"/>
          <w:highlight w:val="none"/>
          <w:lang w:val="zh-CN"/>
          <w14:textFill>
            <w14:solidFill>
              <w14:schemeClr w14:val="tx1"/>
            </w14:solidFill>
          </w14:textFill>
        </w:rPr>
      </w:pPr>
      <w:bookmarkStart w:id="15" w:name="_Toc26387"/>
      <w:bookmarkStart w:id="16" w:name="_Toc8026"/>
      <w:bookmarkStart w:id="17" w:name="_Toc32063"/>
      <w:r>
        <w:rPr>
          <w:rFonts w:hint="eastAsia" w:ascii="Calibri" w:hAnsi="Calibri" w:eastAsia="宋体" w:cs="Times New Roman"/>
          <w:b/>
          <w:color w:val="000000" w:themeColor="text1"/>
          <w:sz w:val="24"/>
          <w:highlight w:val="none"/>
          <w:lang w:val="zh-CN"/>
          <w14:textFill>
            <w14:solidFill>
              <w14:schemeClr w14:val="tx1"/>
            </w14:solidFill>
          </w14:textFill>
        </w:rPr>
        <w:t>目</w:t>
      </w:r>
      <w:r>
        <w:rPr>
          <w:rFonts w:ascii="Calibri" w:hAnsi="Calibri" w:eastAsia="宋体" w:cs="Times New Roman"/>
          <w:b/>
          <w:color w:val="000000" w:themeColor="text1"/>
          <w:sz w:val="24"/>
          <w:highlight w:val="none"/>
          <w:lang w:val="zh-CN"/>
          <w14:textFill>
            <w14:solidFill>
              <w14:schemeClr w14:val="tx1"/>
            </w14:solidFill>
          </w14:textFill>
        </w:rPr>
        <w:t xml:space="preserve"> </w:t>
      </w:r>
      <w:r>
        <w:rPr>
          <w:rFonts w:hint="eastAsia" w:ascii="Calibri" w:hAnsi="Calibri" w:eastAsia="宋体" w:cs="Times New Roman"/>
          <w:b/>
          <w:color w:val="000000" w:themeColor="text1"/>
          <w:sz w:val="24"/>
          <w:highlight w:val="none"/>
          <w:lang w:val="zh-CN"/>
          <w14:textFill>
            <w14:solidFill>
              <w14:schemeClr w14:val="tx1"/>
            </w14:solidFill>
          </w14:textFill>
        </w:rPr>
        <w:t>录</w:t>
      </w:r>
      <w:bookmarkEnd w:id="15"/>
      <w:bookmarkEnd w:id="16"/>
      <w:bookmarkEnd w:id="17"/>
    </w:p>
    <w:p w14:paraId="5A76DE3A">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instrText xml:space="preserve"> TOC \o "1-3" \h \z \u </w:instrTex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_Toc2270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Cs w:val="52"/>
          <w:highlight w:val="none"/>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3DA262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_Toc2022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招标文件修改表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23F20F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_Toc8026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highlight w:val="none"/>
          <w:lang w:val="zh-CN"/>
          <w14:textFill>
            <w14:solidFill>
              <w14:schemeClr w14:val="tx1"/>
            </w14:solidFill>
          </w14:textFill>
        </w:rPr>
        <w:t>目 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_Toc8026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E484EC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_Toc1925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lang w:val="en-US" w:eastAsia="zh-CN" w:bidi="ar-SA"/>
          <w14:textFill>
            <w14:solidFill>
              <w14:schemeClr w14:val="tx1"/>
            </w14:solidFill>
          </w14:textFill>
        </w:rPr>
        <w:t>第一章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C4432C1">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_Toc16092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第二章  招标（范本原文）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_Toc16092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00E346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_Toc5888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第三章  投标（范本原文）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CA4CD2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_Toc27402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第四章  评标（范本原文）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_Toc27402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D3D577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_Toc5308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第五章  定标（范本原文）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_Toc5308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6DCB3B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_Toc13475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第六章  授予合同（范本原文）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_Toc13475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E99C3C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_Toc4776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第七章  知识产权（范本原文）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_Toc4776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355A1B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_Toc16737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第八章  合同条款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_Toc16737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4C9C3A3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_Toc5387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color w:val="000000" w:themeColor="text1"/>
          <w:kern w:val="44"/>
          <w:szCs w:val="30"/>
          <w:highlight w:val="none"/>
          <w14:textFill>
            <w14:solidFill>
              <w14:schemeClr w14:val="tx1"/>
            </w14:solidFill>
          </w14:textFill>
        </w:rPr>
        <w:t>附录1 投标申请表（投入人员承诺）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_Toc5387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EA72C0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_Toc3069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附件2 设计投标文件编制要求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BF28A5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_Toc23816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 工程勘察设计费报价汇总表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_Toc23816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99BDD2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_Toc25905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附件3-1 工程设计费计算表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_Toc25905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664BEB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_Toc17418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附件3-2 工程勘察费计算表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_Toc17418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CD63C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_Toc17900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附件3-3 设计方案报审（含修建性详细规划编制）费计算表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_Toc17900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4B12AC5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_Toc6064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附件3-4 BIM正向设计技术应用费计算表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_Toc6064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428ABC7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_Toc17434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dstrike w:val="0"/>
          <w:color w:val="000000" w:themeColor="text1"/>
          <w:kern w:val="44"/>
          <w:szCs w:val="30"/>
          <w:highlight w:val="none"/>
          <w:lang w:val="en-US" w:eastAsia="zh-CN" w:bidi="ar-SA"/>
          <w14:textFill>
            <w14:solidFill>
              <w14:schemeClr w14:val="tx1"/>
            </w14:solidFill>
          </w14:textFill>
        </w:rPr>
        <w:t>附录4 建筑工程设计方案测试记录表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_Toc17434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4292A76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_Toc8687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color w:val="000000" w:themeColor="text1"/>
          <w:kern w:val="44"/>
          <w:szCs w:val="30"/>
          <w:highlight w:val="none"/>
          <w:lang w:val="en-US" w:eastAsia="zh-CN" w:bidi="ar-SA"/>
          <w14:textFill>
            <w14:solidFill>
              <w14:schemeClr w14:val="tx1"/>
            </w14:solidFill>
          </w14:textFill>
        </w:rPr>
        <w:t>附件5勘察投标文件编制要求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_Toc8687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859C8E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_Toc18087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14:textFill>
            <w14:solidFill>
              <w14:schemeClr w14:val="tx1"/>
            </w14:solidFill>
          </w14:textFill>
        </w:rPr>
        <w:t>附录6 投标书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_Toc18087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D6B80E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_Toc10123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附录7 联合体共同投标协议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_Toc10123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7956EAA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_Toc15019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14:textFill>
            <w14:solidFill>
              <w14:schemeClr w14:val="tx1"/>
            </w14:solidFill>
          </w14:textFill>
        </w:rPr>
        <w:t>附录 7-1（适用于合作设计）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_Toc15019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23BBF2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_Toc14103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附录8 投标人声明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_Toc14103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5156AF5">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_Toc23263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14:textFill>
            <w14:solidFill>
              <w14:schemeClr w14:val="tx1"/>
            </w14:solidFill>
          </w14:textFill>
        </w:rPr>
        <w:t>附录9 资格审查表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_Toc23263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7CBBE7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_Toc13585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color w:val="000000" w:themeColor="text1"/>
          <w:kern w:val="44"/>
          <w:szCs w:val="30"/>
          <w:highlight w:val="none"/>
          <w:lang w:val="en-US" w:eastAsia="zh-CN" w:bidi="ar-SA"/>
          <w14:textFill>
            <w14:solidFill>
              <w14:schemeClr w14:val="tx1"/>
            </w14:solidFill>
          </w14:textFill>
        </w:rPr>
        <w:t>附件10 投票表格</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_Toc13585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7E44C0F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_Toc25545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color w:val="000000" w:themeColor="text1"/>
          <w:kern w:val="44"/>
          <w:szCs w:val="21"/>
          <w:highlight w:val="none"/>
          <w:lang w:val="en-US" w:eastAsia="zh-CN" w:bidi="ar-SA"/>
          <w14:textFill>
            <w14:solidFill>
              <w14:schemeClr w14:val="tx1"/>
            </w14:solidFill>
          </w14:textFill>
        </w:rPr>
        <w:t>附录11 投标汇总表格</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_Toc25545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320D78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_Toc13794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附录12有效性审查表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_Toc13794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D795A4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_Toc8774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附录12-1 投标报价算术复核表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_Toc8774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426425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_Toc31935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附录13 勘察设计工作方案评审记录表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_Toc31935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B74658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_Toc30549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附录14 投标方案评语</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_Toc30549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C07F3C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_Toc28356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附录15 定标委员会的组成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C8212A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_Toc850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附录16 定标原则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38EFADA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_Toc964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附录16-1 定标评语</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77EC84C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_Toc31753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附录16-2 投票表格</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_Toc31753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7A1276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_Toc19097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附录17 拟投入的人员基本情况及主要负责人简历表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_Toc19097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3F07F3D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_Toc3134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附录18 投标人已完成项目及获奖情况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C3FA0B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_Toc1278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 xml:space="preserve">附录19 </w:t>
      </w:r>
      <w:r>
        <w:rPr>
          <w:rFonts w:hint="eastAsia" w:ascii="宋体" w:hAnsi="宋体" w:eastAsia="宋体" w:cs="宋体"/>
          <w:bCs/>
          <w:color w:val="000000" w:themeColor="text1"/>
          <w:kern w:val="44"/>
          <w:szCs w:val="30"/>
          <w:highlight w:val="none"/>
          <w:lang w:eastAsia="zh-CN" w:bidi="ar-SA"/>
          <w14:textFill>
            <w14:solidFill>
              <w14:schemeClr w14:val="tx1"/>
            </w14:solidFill>
          </w14:textFill>
        </w:rPr>
        <w:t>基础资料和</w:t>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勘察设计任务书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1C4CC1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_Toc20643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附录20 评标委员会成员声明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_Toc20643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1A1534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_Toc16185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spacing w:val="0"/>
          <w:kern w:val="44"/>
          <w:szCs w:val="30"/>
          <w:highlight w:val="none"/>
          <w:lang w:eastAsia="zh-CN" w:bidi="ar-SA"/>
          <w14:textFill>
            <w14:solidFill>
              <w14:schemeClr w14:val="tx1"/>
            </w14:solidFill>
          </w14:textFill>
        </w:rPr>
        <w:t>附录</w:t>
      </w:r>
      <w:r>
        <w:rPr>
          <w:rFonts w:hint="eastAsia" w:ascii="宋体" w:hAnsi="宋体" w:eastAsia="宋体" w:cs="宋体"/>
          <w:bCs/>
          <w:color w:val="000000" w:themeColor="text1"/>
          <w:spacing w:val="0"/>
          <w:kern w:val="44"/>
          <w:szCs w:val="30"/>
          <w:highlight w:val="none"/>
          <w:lang w:val="en-US" w:eastAsia="zh-CN" w:bidi="ar-SA"/>
          <w14:textFill>
            <w14:solidFill>
              <w14:schemeClr w14:val="tx1"/>
            </w14:solidFill>
          </w14:textFill>
        </w:rPr>
        <w:t>21 专业分包情况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_Toc16185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1321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hAnsi="Times New Roman" w:eastAsia="宋体" w:cs="Times New Roman"/>
          <w:color w:val="000000" w:themeColor="text1"/>
          <w:kern w:val="0"/>
          <w:sz w:val="20"/>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r>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br w:type="page"/>
      </w:r>
    </w:p>
    <w:p w14:paraId="29B4EC2A">
      <w:pPr>
        <w:keepNext/>
        <w:keepLines/>
        <w:widowControl w:val="0"/>
        <w:spacing w:before="340" w:after="330" w:line="578" w:lineRule="auto"/>
        <w:jc w:val="center"/>
        <w:outlineLvl w:val="1"/>
        <w:rPr>
          <w:rFonts w:ascii="Times New Roman" w:hAnsi="Times New Roman" w:eastAsia="宋体" w:cs="Times New Roman"/>
          <w:b/>
          <w:bCs/>
          <w:color w:val="000000" w:themeColor="text1"/>
          <w:kern w:val="44"/>
          <w:sz w:val="36"/>
          <w:szCs w:val="36"/>
          <w:highlight w:val="none"/>
          <w:lang w:val="en-US" w:eastAsia="zh-CN" w:bidi="ar-SA"/>
          <w14:textFill>
            <w14:solidFill>
              <w14:schemeClr w14:val="tx1"/>
            </w14:solidFill>
          </w14:textFill>
        </w:rPr>
      </w:pPr>
      <w:bookmarkStart w:id="18" w:name="_Toc10198"/>
      <w:bookmarkStart w:id="19" w:name="_Toc1925"/>
      <w:bookmarkStart w:id="20" w:name="_Toc4397"/>
      <w:r>
        <w:rPr>
          <w:rFonts w:hint="eastAsia" w:ascii="Times New Roman" w:hAnsi="Times New Roman" w:eastAsia="宋体" w:cs="Times New Roman"/>
          <w:b/>
          <w:bCs/>
          <w:color w:val="000000" w:themeColor="text1"/>
          <w:kern w:val="44"/>
          <w:sz w:val="36"/>
          <w:szCs w:val="36"/>
          <w:highlight w:val="none"/>
          <w:lang w:val="en-US" w:eastAsia="zh-CN" w:bidi="ar-SA"/>
          <w14:textFill>
            <w14:solidFill>
              <w14:schemeClr w14:val="tx1"/>
            </w14:solidFill>
          </w14:textFill>
        </w:rPr>
        <w:t>第一章</w:t>
      </w:r>
      <w:r>
        <w:rPr>
          <w:rFonts w:ascii="Times New Roman" w:hAnsi="Times New Roman" w:eastAsia="宋体" w:cs="Times New Roman"/>
          <w:b/>
          <w:bCs/>
          <w:color w:val="000000" w:themeColor="text1"/>
          <w:kern w:val="44"/>
          <w:sz w:val="36"/>
          <w:szCs w:val="36"/>
          <w:highlight w:val="none"/>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kern w:val="44"/>
          <w:sz w:val="36"/>
          <w:szCs w:val="36"/>
          <w:highlight w:val="none"/>
          <w:lang w:val="en-US" w:eastAsia="zh-CN" w:bidi="ar-SA"/>
          <w14:textFill>
            <w14:solidFill>
              <w14:schemeClr w14:val="tx1"/>
            </w14:solidFill>
          </w14:textFill>
        </w:rPr>
        <w:t>招标公告</w:t>
      </w:r>
      <w:bookmarkEnd w:id="18"/>
      <w:bookmarkEnd w:id="19"/>
      <w:bookmarkEnd w:id="20"/>
    </w:p>
    <w:p w14:paraId="41C8DE5C">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u w:val="single"/>
          <w:lang w:eastAsia="zh-CN"/>
          <w14:textFill>
            <w14:solidFill>
              <w14:schemeClr w14:val="tx1"/>
            </w14:solidFill>
          </w14:textFill>
        </w:rPr>
        <w:t>（另册）</w:t>
      </w:r>
      <w:r>
        <w:rPr>
          <w:rFonts w:ascii="宋体" w:hAnsi="宋体" w:eastAsia="宋体" w:cs="Times New Roman"/>
          <w:color w:val="000000" w:themeColor="text1"/>
          <w:szCs w:val="21"/>
          <w:highlight w:val="none"/>
          <w14:textFill>
            <w14:solidFill>
              <w14:schemeClr w14:val="tx1"/>
            </w14:solidFill>
          </w14:textFill>
        </w:rPr>
        <w:t xml:space="preserve">   </w:t>
      </w:r>
    </w:p>
    <w:p w14:paraId="49AB740C">
      <w:pPr>
        <w:keepNext/>
        <w:keepLines/>
        <w:spacing w:before="340" w:after="330" w:line="578" w:lineRule="auto"/>
        <w:jc w:val="center"/>
        <w:outlineLvl w:val="1"/>
        <w:rPr>
          <w:rFonts w:ascii="宋体" w:hAnsi="宋体" w:eastAsia="宋体" w:cs="宋体"/>
          <w:bCs/>
          <w:color w:val="000000" w:themeColor="text1"/>
          <w:kern w:val="44"/>
          <w:sz w:val="24"/>
          <w:highlight w:val="none"/>
          <w14:textFill>
            <w14:solidFill>
              <w14:schemeClr w14:val="tx1"/>
            </w14:solidFill>
          </w14:textFill>
        </w:rPr>
      </w:pPr>
      <w:r>
        <w:rPr>
          <w:rFonts w:ascii="宋体" w:hAnsi="宋体" w:eastAsia="宋体" w:cs="Times New Roman"/>
          <w:b/>
          <w:color w:val="000000" w:themeColor="text1"/>
          <w:sz w:val="36"/>
          <w:szCs w:val="36"/>
          <w:highlight w:val="none"/>
          <w14:textFill>
            <w14:solidFill>
              <w14:schemeClr w14:val="tx1"/>
            </w14:solidFill>
          </w14:textFill>
        </w:rPr>
        <w:br w:type="page"/>
      </w:r>
      <w:bookmarkStart w:id="21" w:name="_Toc23613"/>
      <w:bookmarkStart w:id="22" w:name="_Toc16092"/>
      <w:bookmarkStart w:id="23" w:name="_Toc18945"/>
      <w:bookmarkStart w:id="24" w:name="_Toc97803958"/>
      <w:r>
        <w:rPr>
          <w:rFonts w:hint="eastAsia" w:ascii="宋体" w:hAnsi="宋体" w:eastAsia="宋体" w:cs="宋体"/>
          <w:b/>
          <w:bCs/>
          <w:color w:val="000000" w:themeColor="text1"/>
          <w:kern w:val="44"/>
          <w:sz w:val="36"/>
          <w:szCs w:val="36"/>
          <w:highlight w:val="none"/>
          <w14:textFill>
            <w14:solidFill>
              <w14:schemeClr w14:val="tx1"/>
            </w14:solidFill>
          </w14:textFill>
        </w:rPr>
        <w:t>第二章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招标</w:t>
      </w:r>
      <w:bookmarkStart w:id="25" w:name="_Hlk114498133"/>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21"/>
      <w:bookmarkEnd w:id="22"/>
      <w:bookmarkEnd w:id="23"/>
      <w:bookmarkEnd w:id="24"/>
    </w:p>
    <w:bookmarkEnd w:id="25"/>
    <w:p w14:paraId="4199E821">
      <w:pPr>
        <w:rPr>
          <w:rFonts w:ascii="宋体" w:hAnsi="宋体" w:eastAsia="宋体" w:cs="宋体"/>
          <w:color w:val="000000" w:themeColor="text1"/>
          <w:sz w:val="24"/>
          <w:highlight w:val="none"/>
          <w14:textFill>
            <w14:solidFill>
              <w14:schemeClr w14:val="tx1"/>
            </w14:solidFill>
          </w14:textFill>
        </w:rPr>
      </w:pPr>
    </w:p>
    <w:p w14:paraId="1EE2D895">
      <w:pPr>
        <w:spacing w:line="360" w:lineRule="auto"/>
        <w:ind w:left="824" w:hanging="820" w:hangingChars="34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2.1    </w:t>
      </w:r>
      <w:r>
        <w:rPr>
          <w:rFonts w:hint="eastAsia" w:ascii="宋体" w:hAnsi="宋体" w:eastAsia="宋体" w:cs="宋体"/>
          <w:b/>
          <w:color w:val="000000" w:themeColor="text1"/>
          <w:sz w:val="24"/>
          <w:highlight w:val="none"/>
          <w14:textFill>
            <w14:solidFill>
              <w14:schemeClr w14:val="tx1"/>
            </w14:solidFill>
          </w14:textFill>
        </w:rPr>
        <w:t>释义</w:t>
      </w:r>
    </w:p>
    <w:p w14:paraId="0FCAC545">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p>
    <w:p w14:paraId="59BB6321">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2.1.1  </w:t>
      </w:r>
      <w:r>
        <w:rPr>
          <w:rFonts w:hint="eastAsia" w:ascii="宋体" w:hAnsi="宋体" w:eastAsia="宋体" w:cs="宋体"/>
          <w:color w:val="000000" w:themeColor="text1"/>
          <w:sz w:val="24"/>
          <w:highlight w:val="none"/>
          <w14:textFill>
            <w14:solidFill>
              <w14:schemeClr w14:val="tx1"/>
            </w14:solidFill>
          </w14:textFill>
        </w:rPr>
        <w:t>“设计”是指根据建设工程的要求，对建设工程所需的技术、经济、资源、环境等条件进行综合分析、论证，编制建设工程设计文件的活动。</w:t>
      </w:r>
    </w:p>
    <w:p w14:paraId="3172B7B4">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2.1.2  </w:t>
      </w:r>
      <w:r>
        <w:rPr>
          <w:rFonts w:hint="eastAsia" w:ascii="宋体" w:hAnsi="宋体" w:eastAsia="宋体" w:cs="宋体"/>
          <w:color w:val="000000" w:themeColor="text1"/>
          <w:sz w:val="24"/>
          <w:highlight w:val="none"/>
          <w14:textFill>
            <w14:solidFill>
              <w14:schemeClr w14:val="tx1"/>
            </w14:solidFill>
          </w14:textFill>
        </w:rPr>
        <w:t>“勘察”是指根据建设工程的要求，查明、分析、评价建设场地的地质地理环境特征和岩土工程条件，编制建设工程勘察文件的活动。</w:t>
      </w:r>
    </w:p>
    <w:p w14:paraId="1B7B0C4D">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2.1.3  </w:t>
      </w:r>
      <w:r>
        <w:rPr>
          <w:rFonts w:hint="eastAsia" w:ascii="宋体" w:hAnsi="宋体" w:eastAsia="宋体" w:cs="宋体"/>
          <w:color w:val="000000" w:themeColor="text1"/>
          <w:sz w:val="24"/>
          <w:highlight w:val="none"/>
          <w14:textFill>
            <w14:solidFill>
              <w14:schemeClr w14:val="tx1"/>
            </w14:solidFill>
          </w14:textFill>
        </w:rPr>
        <w:t>“招标”是指发包人通过建设工程的勘察、设计等方案招标，将工程相应的任务发包给符合勘察设计资质条件的建设工程承包单位的行为。</w:t>
      </w:r>
    </w:p>
    <w:p w14:paraId="1462746B">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2.1.4  </w:t>
      </w:r>
      <w:r>
        <w:rPr>
          <w:rFonts w:hint="eastAsia" w:ascii="宋体" w:hAnsi="宋体" w:eastAsia="宋体" w:cs="宋体"/>
          <w:color w:val="000000" w:themeColor="text1"/>
          <w:sz w:val="24"/>
          <w:highlight w:val="none"/>
          <w14:textFill>
            <w14:solidFill>
              <w14:schemeClr w14:val="tx1"/>
            </w14:solidFill>
          </w14:textFill>
        </w:rPr>
        <w:t>“招标人”是指提出招标项目、进行招标的法人或者其他组织。</w:t>
      </w:r>
    </w:p>
    <w:p w14:paraId="3744D5F9">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2.1.5  </w:t>
      </w:r>
      <w:r>
        <w:rPr>
          <w:rFonts w:hint="eastAsia" w:ascii="宋体" w:hAnsi="宋体" w:eastAsia="宋体" w:cs="宋体"/>
          <w:color w:val="000000" w:themeColor="text1"/>
          <w:sz w:val="24"/>
          <w:highlight w:val="none"/>
          <w14:textFill>
            <w14:solidFill>
              <w14:schemeClr w14:val="tx1"/>
            </w14:solidFill>
          </w14:textFill>
        </w:rPr>
        <w:t>“招标代理机构”是指从事招标代理业务并提供相关服务的社会中介组织。</w:t>
      </w:r>
    </w:p>
    <w:p w14:paraId="1B7E2532">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2.1.6  </w:t>
      </w:r>
      <w:r>
        <w:rPr>
          <w:rFonts w:hint="eastAsia" w:ascii="宋体" w:hAnsi="宋体" w:eastAsia="宋体" w:cs="宋体"/>
          <w:color w:val="000000" w:themeColor="text1"/>
          <w:sz w:val="24"/>
          <w:highlight w:val="none"/>
          <w14:textFill>
            <w14:solidFill>
              <w14:schemeClr w14:val="tx1"/>
            </w14:solidFill>
          </w14:textFill>
        </w:rPr>
        <w:t>“投标人”是指响应招标、参加投标竞争的法人或者其他组织。</w:t>
      </w:r>
    </w:p>
    <w:p w14:paraId="4BFDC975">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2.1.7  </w:t>
      </w:r>
      <w:r>
        <w:rPr>
          <w:rFonts w:hint="eastAsia" w:ascii="宋体" w:hAnsi="宋体" w:eastAsia="宋体" w:cs="宋体"/>
          <w:color w:val="000000" w:themeColor="text1"/>
          <w:sz w:val="24"/>
          <w:highlight w:val="none"/>
          <w14:textFill>
            <w14:solidFill>
              <w14:schemeClr w14:val="tx1"/>
            </w14:solidFill>
          </w14:textFill>
        </w:rPr>
        <w:t>“监督机构”是指招标活动的监督机构。</w:t>
      </w:r>
    </w:p>
    <w:p w14:paraId="61727127">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2.1.8 </w:t>
      </w:r>
      <w:r>
        <w:rPr>
          <w:rFonts w:hint="eastAsia" w:ascii="宋体" w:hAnsi="宋体" w:eastAsia="宋体" w:cs="宋体"/>
          <w:color w:val="000000" w:themeColor="text1"/>
          <w:sz w:val="24"/>
          <w:highlight w:val="none"/>
          <w14:textFill>
            <w14:solidFill>
              <w14:schemeClr w14:val="tx1"/>
            </w14:solidFill>
          </w14:textFill>
        </w:rPr>
        <w:t>“招标管理机构”是指受监督机构委托管理招标活动的机构。</w:t>
      </w:r>
    </w:p>
    <w:p w14:paraId="79C4DFE0">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2.1.9 </w:t>
      </w:r>
      <w:r>
        <w:rPr>
          <w:rFonts w:hint="eastAsia" w:ascii="宋体" w:hAnsi="宋体" w:eastAsia="宋体" w:cs="宋体"/>
          <w:color w:val="000000" w:themeColor="text1"/>
          <w:sz w:val="24"/>
          <w:highlight w:val="none"/>
          <w14:textFill>
            <w14:solidFill>
              <w14:schemeClr w14:val="tx1"/>
            </w14:solidFill>
          </w14:textFill>
        </w:rPr>
        <w:t>“交易服务机构”是指为招标人和投标人提供场所、信息和咨询服务，见证招标过程，确认中标通知书的服务机构。</w:t>
      </w:r>
    </w:p>
    <w:p w14:paraId="12F1867D">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2.1.10 </w:t>
      </w:r>
      <w:r>
        <w:rPr>
          <w:rFonts w:hint="eastAsia" w:ascii="宋体" w:hAnsi="宋体" w:eastAsia="宋体" w:cs="宋体"/>
          <w:color w:val="000000" w:themeColor="text1"/>
          <w:sz w:val="24"/>
          <w:highlight w:val="none"/>
          <w14:textFill>
            <w14:solidFill>
              <w14:schemeClr w14:val="tx1"/>
            </w14:solidFill>
          </w14:textFill>
        </w:rPr>
        <w:t>“招标文件”是指招标人（招标代理机构）发出的包括招标预告、招标公告、招标程序和规则、技术规范、合同条件、附件、图表、说明、投资立项批准文件、建设用地批准文件及其它一切补充资料的书面文件和电子文件。</w:t>
      </w:r>
    </w:p>
    <w:p w14:paraId="106ABE3A">
      <w:pPr>
        <w:spacing w:line="360" w:lineRule="auto"/>
        <w:rPr>
          <w:rFonts w:ascii="宋体" w:hAnsi="宋体" w:eastAsia="宋体" w:cs="宋体"/>
          <w:color w:val="000000" w:themeColor="text1"/>
          <w:sz w:val="24"/>
          <w:highlight w:val="none"/>
          <w14:textFill>
            <w14:solidFill>
              <w14:schemeClr w14:val="tx1"/>
            </w14:solidFill>
          </w14:textFill>
        </w:rPr>
      </w:pPr>
    </w:p>
    <w:p w14:paraId="55A06382">
      <w:pPr>
        <w:spacing w:line="360" w:lineRule="auto"/>
        <w:jc w:val="left"/>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2.2    </w:t>
      </w:r>
      <w:r>
        <w:rPr>
          <w:rFonts w:hint="eastAsia" w:ascii="宋体" w:hAnsi="宋体" w:eastAsia="宋体" w:cs="宋体"/>
          <w:b/>
          <w:bCs/>
          <w:color w:val="000000" w:themeColor="text1"/>
          <w:sz w:val="24"/>
          <w:highlight w:val="none"/>
          <w14:textFill>
            <w14:solidFill>
              <w14:schemeClr w14:val="tx1"/>
            </w14:solidFill>
          </w14:textFill>
        </w:rPr>
        <w:t>免责条款</w:t>
      </w:r>
    </w:p>
    <w:p w14:paraId="21552903">
      <w:pPr>
        <w:spacing w:line="360" w:lineRule="auto"/>
        <w:rPr>
          <w:rFonts w:ascii="宋体" w:hAnsi="宋体" w:eastAsia="宋体" w:cs="宋体"/>
          <w:color w:val="000000" w:themeColor="text1"/>
          <w:sz w:val="24"/>
          <w:highlight w:val="none"/>
          <w14:textFill>
            <w14:solidFill>
              <w14:schemeClr w14:val="tx1"/>
            </w14:solidFill>
          </w14:textFill>
        </w:rPr>
      </w:pPr>
    </w:p>
    <w:p w14:paraId="0658AEC5">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2.2.1  </w:t>
      </w:r>
      <w:r>
        <w:rPr>
          <w:rFonts w:hint="eastAsia" w:ascii="宋体" w:hAnsi="宋体" w:eastAsia="宋体" w:cs="宋体"/>
          <w:color w:val="000000" w:themeColor="text1"/>
          <w:sz w:val="24"/>
          <w:highlight w:val="none"/>
          <w14:textFill>
            <w14:solidFill>
              <w14:schemeClr w14:val="tx1"/>
            </w14:solidFill>
          </w14:textFill>
        </w:rPr>
        <w:t>招标文件的解释权归招标人所有，招标人有权在法律允许范围内调整本次招标活动的细节及保留最终解释权。</w:t>
      </w:r>
    </w:p>
    <w:p w14:paraId="79611A72">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2.2.2  </w:t>
      </w:r>
      <w:r>
        <w:rPr>
          <w:rFonts w:hint="eastAsia" w:ascii="宋体" w:hAnsi="宋体" w:eastAsia="宋体" w:cs="宋体"/>
          <w:color w:val="000000" w:themeColor="text1"/>
          <w:sz w:val="24"/>
          <w:highlight w:val="none"/>
          <w14:textFill>
            <w14:solidFill>
              <w14:schemeClr w14:val="tx1"/>
            </w14:solidFill>
          </w14:textFill>
        </w:rPr>
        <w:t>招标人不受将合同授予任何投标人的约束，招标人有权接受任何一份投标文件的全部或部分内容。</w:t>
      </w:r>
    </w:p>
    <w:p w14:paraId="2EC60038">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2.2.3  </w:t>
      </w:r>
      <w:r>
        <w:rPr>
          <w:rFonts w:hint="eastAsia" w:ascii="宋体" w:hAnsi="宋体" w:eastAsia="宋体" w:cs="宋体"/>
          <w:color w:val="000000" w:themeColor="text1"/>
          <w:sz w:val="24"/>
          <w:highlight w:val="none"/>
          <w14:textFill>
            <w14:solidFill>
              <w14:schemeClr w14:val="tx1"/>
            </w14:solidFill>
          </w14:textFill>
        </w:rPr>
        <w:t>招标人向投标人提供的资料和数据，是招标人现有的能使投标人利用的资料，招标人对投标人由此而作出的推论、理解和结论概不负责。</w:t>
      </w:r>
    </w:p>
    <w:p w14:paraId="1FFAC222">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2.2.4  </w:t>
      </w:r>
      <w:r>
        <w:rPr>
          <w:rFonts w:hint="eastAsia" w:ascii="宋体" w:hAnsi="宋体" w:eastAsia="宋体" w:cs="宋体"/>
          <w:color w:val="000000" w:themeColor="text1"/>
          <w:kern w:val="0"/>
          <w:sz w:val="24"/>
          <w:highlight w:val="none"/>
          <w14:textFill>
            <w14:solidFill>
              <w14:schemeClr w14:val="tx1"/>
            </w14:solidFill>
          </w14:textFill>
        </w:rPr>
        <w:t>投标人应承担其现场考察、编制和提交投标文件有关的一切费用、损害和人身伤亡事故责任，不管投标结果如何，招标人对上述费用不负任何责任。</w:t>
      </w:r>
    </w:p>
    <w:p w14:paraId="64801D60">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2.2.5  </w:t>
      </w:r>
      <w:r>
        <w:rPr>
          <w:rFonts w:hint="eastAsia" w:ascii="宋体" w:hAnsi="宋体" w:eastAsia="宋体" w:cs="宋体"/>
          <w:color w:val="000000" w:themeColor="text1"/>
          <w:sz w:val="24"/>
          <w:highlight w:val="none"/>
          <w14:textFill>
            <w14:solidFill>
              <w14:schemeClr w14:val="tx1"/>
            </w14:solidFill>
          </w14:textFill>
        </w:rPr>
        <w:t>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65C40AEC">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2.2.6  </w:t>
      </w:r>
      <w:r>
        <w:rPr>
          <w:rFonts w:hint="eastAsia" w:ascii="宋体" w:hAnsi="宋体" w:eastAsia="宋体" w:cs="宋体"/>
          <w:color w:val="000000" w:themeColor="text1"/>
          <w:sz w:val="24"/>
          <w:highlight w:val="none"/>
          <w14:textFill>
            <w14:solidFill>
              <w14:schemeClr w14:val="tx1"/>
            </w14:solidFill>
          </w14:textFill>
        </w:rPr>
        <w:t>评标委员会成员应承担其参加评标有关的一切费用、损害和人身伤亡事故责任，招标人除提供评标酬金和差旅费用外，对其他费用不负任何责任。</w:t>
      </w:r>
    </w:p>
    <w:p w14:paraId="4C5F96E7">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2.2.7  </w:t>
      </w:r>
      <w:r>
        <w:rPr>
          <w:rFonts w:hint="eastAsia" w:ascii="宋体" w:hAnsi="宋体" w:eastAsia="宋体" w:cs="宋体"/>
          <w:color w:val="000000" w:themeColor="text1"/>
          <w:sz w:val="24"/>
          <w:highlight w:val="none"/>
          <w14:textFill>
            <w14:solidFill>
              <w14:schemeClr w14:val="tx1"/>
            </w14:solidFill>
          </w14:textFill>
        </w:rPr>
        <w:t>如果投标人实质上不符合投标资格，即使已购买招标文件、参加投标并缴纳各种费用，招标人可以随时取消其投标或中标资格，招标人对该投标人的一切损失不负任何责任。</w:t>
      </w:r>
    </w:p>
    <w:p w14:paraId="1D17C078">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p>
    <w:p w14:paraId="62C3EE61">
      <w:pPr>
        <w:spacing w:line="360" w:lineRule="auto"/>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2.3    </w:t>
      </w:r>
      <w:r>
        <w:rPr>
          <w:rFonts w:hint="eastAsia" w:ascii="宋体" w:hAnsi="宋体" w:eastAsia="宋体" w:cs="宋体"/>
          <w:b/>
          <w:color w:val="000000" w:themeColor="text1"/>
          <w:sz w:val="24"/>
          <w:highlight w:val="none"/>
          <w14:textFill>
            <w14:solidFill>
              <w14:schemeClr w14:val="tx1"/>
            </w14:solidFill>
          </w14:textFill>
        </w:rPr>
        <w:t>招标文件效力</w:t>
      </w:r>
    </w:p>
    <w:p w14:paraId="72FFF219">
      <w:pPr>
        <w:spacing w:line="360" w:lineRule="auto"/>
        <w:rPr>
          <w:rFonts w:ascii="宋体" w:hAnsi="宋体" w:eastAsia="宋体" w:cs="宋体"/>
          <w:color w:val="000000" w:themeColor="text1"/>
          <w:sz w:val="24"/>
          <w:highlight w:val="none"/>
          <w14:textFill>
            <w14:solidFill>
              <w14:schemeClr w14:val="tx1"/>
            </w14:solidFill>
          </w14:textFill>
        </w:rPr>
      </w:pPr>
    </w:p>
    <w:p w14:paraId="7E4FBC52">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2.3.1  </w:t>
      </w:r>
      <w:r>
        <w:rPr>
          <w:rFonts w:hint="eastAsia" w:ascii="宋体" w:hAnsi="宋体" w:eastAsia="宋体" w:cs="宋体"/>
          <w:color w:val="000000" w:themeColor="text1"/>
          <w:sz w:val="24"/>
          <w:highlight w:val="none"/>
          <w14:textFill>
            <w14:solidFill>
              <w14:schemeClr w14:val="tx1"/>
            </w14:solidFill>
          </w14:textFill>
        </w:rPr>
        <w:t>招标文件是招标人发出的要约寻求，投标人参加投标均视为承认招标公告、招标文件及附件的所有条款</w:t>
      </w:r>
      <w:r>
        <w:rPr>
          <w:rFonts w:ascii="宋体" w:hAnsi="宋体" w:eastAsia="宋体" w:cs="宋体"/>
          <w:color w:val="000000" w:themeColor="text1"/>
          <w:sz w:val="24"/>
          <w:highlight w:val="none"/>
          <w14:textFill>
            <w14:solidFill>
              <w14:schemeClr w14:val="tx1"/>
            </w14:solidFill>
          </w14:textFill>
        </w:rPr>
        <w:t>,并承诺一旦中标将按招标文件、投标文件、合同条款、技术规范要求的质量和进度完成全部委托任务。</w:t>
      </w:r>
    </w:p>
    <w:p w14:paraId="2BA2B115">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2.3.2  </w:t>
      </w:r>
      <w:r>
        <w:rPr>
          <w:rFonts w:hint="eastAsia" w:ascii="宋体" w:hAnsi="宋体" w:eastAsia="宋体" w:cs="宋体"/>
          <w:color w:val="000000" w:themeColor="text1"/>
          <w:sz w:val="24"/>
          <w:highlight w:val="none"/>
          <w14:textFill>
            <w14:solidFill>
              <w14:schemeClr w14:val="tx1"/>
            </w14:solidFill>
          </w14:textFill>
        </w:rPr>
        <w:t>招标人或招标代理机构与投标人之间使用电子邮箱传送的文件，与公开登载的文件或者盖章发出的文件一样具有同等效力。</w:t>
      </w:r>
    </w:p>
    <w:p w14:paraId="501630EA">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2.3.3  </w:t>
      </w:r>
      <w:r>
        <w:rPr>
          <w:rFonts w:hint="eastAsia" w:ascii="宋体" w:hAnsi="宋体" w:eastAsia="宋体" w:cs="宋体"/>
          <w:color w:val="000000" w:themeColor="text1"/>
          <w:sz w:val="24"/>
          <w:highlight w:val="none"/>
          <w14:textFill>
            <w14:solidFill>
              <w14:schemeClr w14:val="tx1"/>
            </w14:solidFill>
          </w14:textFill>
        </w:rPr>
        <w:t>招标人通过交易服务机构公开登载的文件，与盖章发出的文件一样具有同等效力。</w:t>
      </w:r>
    </w:p>
    <w:p w14:paraId="6C437473">
      <w:pPr>
        <w:keepNext/>
        <w:keepLines/>
        <w:spacing w:before="340" w:after="330" w:line="578" w:lineRule="auto"/>
        <w:jc w:val="center"/>
        <w:outlineLvl w:val="1"/>
        <w:rPr>
          <w:rFonts w:ascii="宋体" w:hAnsi="宋体" w:eastAsia="宋体" w:cs="宋体"/>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26" w:name="_Toc97803959"/>
      <w:bookmarkStart w:id="27" w:name="_Toc5888"/>
      <w:bookmarkStart w:id="28" w:name="_Toc23949"/>
      <w:bookmarkStart w:id="29" w:name="_Toc32498"/>
      <w:r>
        <w:rPr>
          <w:rFonts w:hint="eastAsia" w:ascii="宋体" w:hAnsi="宋体" w:eastAsia="宋体" w:cs="宋体"/>
          <w:b/>
          <w:bCs/>
          <w:color w:val="000000" w:themeColor="text1"/>
          <w:kern w:val="44"/>
          <w:sz w:val="36"/>
          <w:szCs w:val="36"/>
          <w:highlight w:val="none"/>
          <w14:textFill>
            <w14:solidFill>
              <w14:schemeClr w14:val="tx1"/>
            </w14:solidFill>
          </w14:textFill>
        </w:rPr>
        <w:t>第三章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投标</w:t>
      </w:r>
      <w:bookmarkEnd w:id="26"/>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27"/>
      <w:bookmarkEnd w:id="28"/>
      <w:bookmarkEnd w:id="29"/>
    </w:p>
    <w:p w14:paraId="777F0BED">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2DAABA52">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3.1    </w:t>
      </w:r>
      <w:r>
        <w:rPr>
          <w:rFonts w:hint="eastAsia" w:ascii="宋体" w:hAnsi="宋体" w:eastAsia="宋体" w:cs="宋体"/>
          <w:b/>
          <w:color w:val="000000" w:themeColor="text1"/>
          <w:sz w:val="24"/>
          <w:highlight w:val="none"/>
          <w14:textFill>
            <w14:solidFill>
              <w14:schemeClr w14:val="tx1"/>
            </w14:solidFill>
          </w14:textFill>
        </w:rPr>
        <w:t>现场考察</w:t>
      </w:r>
    </w:p>
    <w:p w14:paraId="34929650">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6602890E">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3.1.1  </w:t>
      </w:r>
      <w:r>
        <w:rPr>
          <w:rFonts w:hint="eastAsia" w:ascii="宋体" w:hAnsi="宋体" w:eastAsia="宋体" w:cs="宋体"/>
          <w:color w:val="000000" w:themeColor="text1"/>
          <w:sz w:val="24"/>
          <w:highlight w:val="none"/>
          <w14:textFill>
            <w14:solidFill>
              <w14:schemeClr w14:val="tx1"/>
            </w14:solidFill>
          </w14:textFill>
        </w:rPr>
        <w:t>招标人安排投标人代表对工程现场进行考察，目的是使每个投标人查看现场并获得编制投标文件所需要的一切资料。</w:t>
      </w:r>
    </w:p>
    <w:p w14:paraId="75BBAB34">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3.1.2  </w:t>
      </w:r>
      <w:r>
        <w:rPr>
          <w:rFonts w:hint="eastAsia" w:ascii="宋体" w:hAnsi="宋体" w:eastAsia="宋体" w:cs="宋体"/>
          <w:color w:val="000000" w:themeColor="text1"/>
          <w:sz w:val="24"/>
          <w:highlight w:val="none"/>
          <w14:textFill>
            <w14:solidFill>
              <w14:schemeClr w14:val="tx1"/>
            </w14:solidFill>
          </w14:textFill>
        </w:rPr>
        <w:t>每个投标人参加现场考察的人数不宜超过</w:t>
      </w:r>
      <w:r>
        <w:rPr>
          <w:rFonts w:ascii="宋体" w:hAnsi="宋体" w:eastAsia="宋体" w:cs="宋体"/>
          <w:color w:val="000000" w:themeColor="text1"/>
          <w:sz w:val="24"/>
          <w:highlight w:val="none"/>
          <w14:textFill>
            <w14:solidFill>
              <w14:schemeClr w14:val="tx1"/>
            </w14:solidFill>
          </w14:textFill>
        </w:rPr>
        <w:t>3人，外国投标人代表应自带中文翻译。</w:t>
      </w:r>
    </w:p>
    <w:p w14:paraId="254C1315">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3.1.3  </w:t>
      </w:r>
      <w:r>
        <w:rPr>
          <w:rFonts w:hint="eastAsia" w:ascii="宋体" w:hAnsi="宋体" w:eastAsia="宋体" w:cs="宋体"/>
          <w:color w:val="000000" w:themeColor="text1"/>
          <w:sz w:val="24"/>
          <w:highlight w:val="none"/>
          <w14:textFill>
            <w14:solidFill>
              <w14:schemeClr w14:val="tx1"/>
            </w14:solidFill>
          </w14:textFill>
        </w:rPr>
        <w:t>现场考察期间招标人将召开一次会议，接受投标人代表的提问。</w:t>
      </w:r>
    </w:p>
    <w:p w14:paraId="2567DBC9">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25B2A1FC">
      <w:pPr>
        <w:spacing w:line="360" w:lineRule="auto"/>
        <w:ind w:left="853"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3.2    </w:t>
      </w:r>
      <w:r>
        <w:rPr>
          <w:rFonts w:hint="eastAsia" w:ascii="宋体" w:hAnsi="宋体" w:eastAsia="宋体" w:cs="宋体"/>
          <w:b/>
          <w:bCs/>
          <w:color w:val="000000" w:themeColor="text1"/>
          <w:sz w:val="24"/>
          <w:highlight w:val="none"/>
          <w14:textFill>
            <w14:solidFill>
              <w14:schemeClr w14:val="tx1"/>
            </w14:solidFill>
          </w14:textFill>
        </w:rPr>
        <w:t>质疑和澄清</w:t>
      </w:r>
    </w:p>
    <w:p w14:paraId="2D1A07DA">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20E0A71E">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3.2.1  </w:t>
      </w:r>
      <w:r>
        <w:rPr>
          <w:rFonts w:hint="eastAsia" w:ascii="宋体" w:hAnsi="宋体" w:eastAsia="宋体" w:cs="宋体"/>
          <w:color w:val="000000" w:themeColor="text1"/>
          <w:sz w:val="24"/>
          <w:highlight w:val="none"/>
          <w14:textFill>
            <w14:solidFill>
              <w14:schemeClr w14:val="tx1"/>
            </w14:solidFill>
          </w14:textFill>
        </w:rPr>
        <w:t>投标人应认真审阅招标文件和有关资料，尽力澄清一切疑点，对工程现场和周围环境进行勘察，以获取编制投标文件和签署合同所需的所有资料。</w:t>
      </w:r>
    </w:p>
    <w:p w14:paraId="14282F14">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3.2.2  </w:t>
      </w:r>
      <w:r>
        <w:rPr>
          <w:rFonts w:hint="eastAsia" w:ascii="宋体" w:hAnsi="宋体" w:eastAsia="宋体" w:cs="宋体"/>
          <w:color w:val="000000" w:themeColor="text1"/>
          <w:sz w:val="24"/>
          <w:highlight w:val="none"/>
          <w14:textFill>
            <w14:solidFill>
              <w14:schemeClr w14:val="tx1"/>
            </w14:solidFill>
          </w14:textFill>
        </w:rPr>
        <w:t>投标人和其他利害关系人如对招标文件及随后收到的有关资料有任何异议的，应当在投标截止时间</w:t>
      </w:r>
      <w:r>
        <w:rPr>
          <w:rFonts w:ascii="宋体" w:hAnsi="宋体" w:eastAsia="宋体" w:cs="宋体"/>
          <w:color w:val="000000" w:themeColor="text1"/>
          <w:sz w:val="24"/>
          <w:highlight w:val="none"/>
          <w14:textFill>
            <w14:solidFill>
              <w14:schemeClr w14:val="tx1"/>
            </w14:solidFill>
          </w14:textFill>
        </w:rPr>
        <w:t>10日前向招标人提出。招标人应当自收到异议之日起3日内作出答复；作出答复前，应当暂停招标投标活动。</w:t>
      </w:r>
    </w:p>
    <w:p w14:paraId="61CB614C">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3.2.3  </w:t>
      </w:r>
      <w:r>
        <w:rPr>
          <w:rFonts w:hint="eastAsia" w:ascii="宋体" w:hAnsi="宋体" w:eastAsia="宋体" w:cs="宋体"/>
          <w:color w:val="000000" w:themeColor="text1"/>
          <w:sz w:val="24"/>
          <w:highlight w:val="none"/>
          <w14:textFill>
            <w14:solidFill>
              <w14:schemeClr w14:val="tx1"/>
            </w14:solidFill>
          </w14:textFill>
        </w:rPr>
        <w:t>投标人需要澄清的问题应在规定的时间内，按交易平台的操作指引上传至交易平台网站。招标人应在递交投标文件截止时间</w:t>
      </w:r>
      <w:r>
        <w:rPr>
          <w:rFonts w:ascii="宋体" w:hAnsi="宋体" w:eastAsia="宋体" w:cs="宋体"/>
          <w:color w:val="000000" w:themeColor="text1"/>
          <w:sz w:val="24"/>
          <w:highlight w:val="none"/>
          <w14:textFill>
            <w14:solidFill>
              <w14:schemeClr w14:val="tx1"/>
            </w14:solidFill>
          </w14:textFill>
        </w:rPr>
        <w:t>15日前解答投标人对招标文件提出的疑问，形成澄清或答疑纪要在交易平台发布。不足15日的，招标人应当顺延投标文件的截止时间。</w:t>
      </w:r>
    </w:p>
    <w:p w14:paraId="15A5AD70">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3.2.4  </w:t>
      </w:r>
      <w:r>
        <w:rPr>
          <w:rFonts w:hint="eastAsia" w:ascii="宋体" w:hAnsi="宋体" w:eastAsia="宋体" w:cs="宋体"/>
          <w:color w:val="000000" w:themeColor="text1"/>
          <w:sz w:val="24"/>
          <w:highlight w:val="none"/>
          <w14:textFill>
            <w14:solidFill>
              <w14:schemeClr w14:val="tx1"/>
            </w14:solidFill>
          </w14:textFill>
        </w:rPr>
        <w:t>澄清或答疑纪要是招标文件的组成部分，对投标人起约束作用。若招标答疑纪要或澄清与招标文件有矛盾时，以交易平台网站最后发布的答疑纪要或澄清为准。</w:t>
      </w:r>
    </w:p>
    <w:p w14:paraId="4EB18D41">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3.2.5  </w:t>
      </w:r>
      <w:r>
        <w:rPr>
          <w:rFonts w:hint="eastAsia" w:ascii="宋体" w:hAnsi="宋体" w:eastAsia="宋体" w:cs="宋体"/>
          <w:color w:val="000000" w:themeColor="text1"/>
          <w:sz w:val="24"/>
          <w:highlight w:val="none"/>
          <w14:textFill>
            <w14:solidFill>
              <w14:schemeClr w14:val="tx1"/>
            </w14:solidFill>
          </w14:textFill>
        </w:rPr>
        <w:t>网上答疑的具体操作详见交易平台发布的相关操作指引。</w:t>
      </w:r>
    </w:p>
    <w:p w14:paraId="419D614A">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49924667">
      <w:pPr>
        <w:spacing w:line="360" w:lineRule="auto"/>
        <w:ind w:left="853"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3.3    </w:t>
      </w:r>
      <w:r>
        <w:rPr>
          <w:rFonts w:hint="eastAsia" w:ascii="宋体" w:hAnsi="宋体" w:eastAsia="宋体" w:cs="宋体"/>
          <w:b/>
          <w:bCs/>
          <w:color w:val="000000" w:themeColor="text1"/>
          <w:sz w:val="24"/>
          <w:highlight w:val="none"/>
          <w14:textFill>
            <w14:solidFill>
              <w14:schemeClr w14:val="tx1"/>
            </w14:solidFill>
          </w14:textFill>
        </w:rPr>
        <w:t>投标文件编制要求</w:t>
      </w:r>
    </w:p>
    <w:p w14:paraId="2E2D50BA">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04F6F7F5">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3.3.1  </w:t>
      </w:r>
      <w:r>
        <w:rPr>
          <w:rFonts w:hint="eastAsia" w:ascii="宋体" w:hAnsi="宋体" w:eastAsia="宋体" w:cs="宋体"/>
          <w:color w:val="000000" w:themeColor="text1"/>
          <w:sz w:val="24"/>
          <w:highlight w:val="none"/>
          <w14:textFill>
            <w14:solidFill>
              <w14:schemeClr w14:val="tx1"/>
            </w14:solidFill>
          </w14:textFill>
        </w:rPr>
        <w:t>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444FF156">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3.3.2  </w:t>
      </w:r>
      <w:r>
        <w:rPr>
          <w:rFonts w:hint="eastAsia" w:ascii="宋体" w:hAnsi="宋体" w:eastAsia="宋体" w:cs="宋体"/>
          <w:color w:val="000000" w:themeColor="text1"/>
          <w:sz w:val="24"/>
          <w:highlight w:val="none"/>
          <w14:textFill>
            <w14:solidFill>
              <w14:schemeClr w14:val="tx1"/>
            </w14:solidFill>
          </w14:textFill>
        </w:rPr>
        <w:t>每个投标人报送一个投标方案，投标文件应达到招标文件规定的深度，满足评审需要。不响应招标文件要求的投标文件可能被拒绝，责任由投标人自负。</w:t>
      </w:r>
    </w:p>
    <w:p w14:paraId="7EC6F76F">
      <w:pPr>
        <w:spacing w:line="360" w:lineRule="auto"/>
        <w:ind w:left="850" w:hanging="849" w:hangingChars="354"/>
        <w:jc w:val="left"/>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3.3.3  </w:t>
      </w:r>
      <w:r>
        <w:rPr>
          <w:rFonts w:hint="eastAsia" w:ascii="宋体" w:hAnsi="宋体" w:eastAsia="宋体" w:cs="宋体"/>
          <w:color w:val="000000" w:themeColor="text1"/>
          <w:sz w:val="24"/>
          <w:highlight w:val="none"/>
          <w14:textFill>
            <w14:solidFill>
              <w14:schemeClr w14:val="tx1"/>
            </w14:solidFill>
          </w14:textFill>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297002A9">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3.3.4  </w:t>
      </w:r>
      <w:r>
        <w:rPr>
          <w:rFonts w:hint="eastAsia" w:ascii="宋体" w:hAnsi="宋体" w:eastAsia="宋体" w:cs="宋体"/>
          <w:color w:val="000000" w:themeColor="text1"/>
          <w:sz w:val="24"/>
          <w:highlight w:val="none"/>
          <w14:textFill>
            <w14:solidFill>
              <w14:schemeClr w14:val="tx1"/>
            </w14:solidFill>
          </w14:textFill>
        </w:rPr>
        <w:t>投标文件加密要求</w:t>
      </w:r>
    </w:p>
    <w:p w14:paraId="3B3612AC">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3.3.4.1递交的电子投标文件必须进行加密。具体操作详见交易平台发布的相关操作指引。</w:t>
      </w:r>
    </w:p>
    <w:p w14:paraId="1F7830A1">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3.3.4.2 </w:t>
      </w:r>
      <w:r>
        <w:rPr>
          <w:rFonts w:hint="eastAsia" w:ascii="宋体" w:hAnsi="宋体" w:eastAsia="宋体" w:cs="宋体"/>
          <w:color w:val="000000" w:themeColor="text1"/>
          <w:sz w:val="24"/>
          <w:highlight w:val="none"/>
          <w14:textFill>
            <w14:solidFill>
              <w14:schemeClr w14:val="tx1"/>
            </w14:solidFill>
          </w14:textFill>
        </w:rPr>
        <w:t>未按要求加密的投标文件，交易平台将予以拒收。</w:t>
      </w:r>
    </w:p>
    <w:p w14:paraId="14A40F82">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412C5DE9">
      <w:pPr>
        <w:spacing w:line="360" w:lineRule="auto"/>
        <w:ind w:left="853" w:hanging="849" w:hangingChars="354"/>
        <w:rPr>
          <w:rFonts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t xml:space="preserve">3.4    </w:t>
      </w:r>
      <w:r>
        <w:rPr>
          <w:rFonts w:hint="eastAsia" w:ascii="宋体" w:hAnsi="宋体" w:eastAsia="宋体" w:cs="宋体"/>
          <w:b/>
          <w:bCs/>
          <w:color w:val="000000" w:themeColor="text1"/>
          <w:kern w:val="0"/>
          <w:sz w:val="24"/>
          <w:highlight w:val="none"/>
          <w14:textFill>
            <w14:solidFill>
              <w14:schemeClr w14:val="tx1"/>
            </w14:solidFill>
          </w14:textFill>
        </w:rPr>
        <w:t>延期</w:t>
      </w:r>
    </w:p>
    <w:p w14:paraId="0F67E54D">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44EC5186">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3.4.1  </w:t>
      </w:r>
      <w:r>
        <w:rPr>
          <w:rFonts w:hint="eastAsia" w:ascii="宋体" w:hAnsi="宋体" w:eastAsia="宋体" w:cs="宋体"/>
          <w:color w:val="000000" w:themeColor="text1"/>
          <w:kern w:val="0"/>
          <w:sz w:val="24"/>
          <w:highlight w:val="none"/>
          <w14:textFill>
            <w14:solidFill>
              <w14:schemeClr w14:val="tx1"/>
            </w14:solidFill>
          </w14:textFill>
        </w:rPr>
        <w:t>如果招标过程出现监督机构、招标管理机构要求暂停、重新评标等意外情形，招标投标各项期限相应延长。</w:t>
      </w:r>
    </w:p>
    <w:p w14:paraId="6FB1959E">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3.4.2  </w:t>
      </w:r>
      <w:r>
        <w:rPr>
          <w:rFonts w:hint="eastAsia" w:ascii="宋体" w:hAnsi="宋体" w:eastAsia="宋体" w:cs="宋体"/>
          <w:color w:val="000000" w:themeColor="text1"/>
          <w:sz w:val="24"/>
          <w:highlight w:val="none"/>
          <w14:textFill>
            <w14:solidFill>
              <w14:schemeClr w14:val="tx1"/>
            </w14:solidFill>
          </w14:textFill>
        </w:rPr>
        <w:t>为使投标人在编制投标文件时把</w:t>
      </w:r>
      <w:r>
        <w:rPr>
          <w:rFonts w:hint="eastAsia" w:ascii="宋体" w:hAnsi="宋体" w:eastAsia="宋体" w:cs="宋体"/>
          <w:color w:val="000000" w:themeColor="text1"/>
          <w:kern w:val="0"/>
          <w:sz w:val="24"/>
          <w:highlight w:val="none"/>
          <w14:textFill>
            <w14:solidFill>
              <w14:schemeClr w14:val="tx1"/>
            </w14:solidFill>
          </w14:textFill>
        </w:rPr>
        <w:t>招标人对招标文件的澄清、修改和</w:t>
      </w:r>
      <w:r>
        <w:rPr>
          <w:rFonts w:hint="eastAsia" w:ascii="宋体" w:hAnsi="宋体" w:eastAsia="宋体" w:cs="宋体"/>
          <w:color w:val="000000" w:themeColor="text1"/>
          <w:sz w:val="24"/>
          <w:highlight w:val="none"/>
          <w14:textFill>
            <w14:solidFill>
              <w14:schemeClr w14:val="tx1"/>
            </w14:solidFill>
          </w14:textFill>
        </w:rPr>
        <w:t>补充内容考虑进去，招标人可以酌情延长提交投标文件的截止日期。</w:t>
      </w:r>
    </w:p>
    <w:p w14:paraId="74534029">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3.4.3  </w:t>
      </w:r>
      <w:r>
        <w:rPr>
          <w:rFonts w:hint="eastAsia" w:ascii="宋体" w:hAnsi="宋体" w:eastAsia="宋体" w:cs="宋体"/>
          <w:color w:val="000000" w:themeColor="text1"/>
          <w:kern w:val="0"/>
          <w:sz w:val="24"/>
          <w:highlight w:val="none"/>
          <w14:textFill>
            <w14:solidFill>
              <w14:schemeClr w14:val="tx1"/>
            </w14:solidFill>
          </w14:textFill>
        </w:rPr>
        <w:t>某几个投标人因无法控制的原因不能如期提交投标文件，影响到提交投标文件的人数少于三人，招标人可以决定展延截止日期。延长提交投标文件截标日期和截止时间的决定由招标人作出。</w:t>
      </w:r>
    </w:p>
    <w:p w14:paraId="180C9FC4">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12A85777">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3.5    </w:t>
      </w:r>
      <w:r>
        <w:rPr>
          <w:rFonts w:hint="eastAsia" w:ascii="宋体" w:hAnsi="宋体" w:eastAsia="宋体" w:cs="宋体"/>
          <w:b/>
          <w:bCs/>
          <w:color w:val="000000" w:themeColor="text1"/>
          <w:sz w:val="24"/>
          <w:highlight w:val="none"/>
          <w14:textFill>
            <w14:solidFill>
              <w14:schemeClr w14:val="tx1"/>
            </w14:solidFill>
          </w14:textFill>
        </w:rPr>
        <w:t>投标时间</w:t>
      </w:r>
    </w:p>
    <w:p w14:paraId="25D1EF98">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13622915">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3.5.1  </w:t>
      </w:r>
      <w:r>
        <w:rPr>
          <w:rFonts w:hint="eastAsia" w:ascii="宋体" w:hAnsi="宋体" w:eastAsia="宋体" w:cs="宋体"/>
          <w:color w:val="000000" w:themeColor="text1"/>
          <w:sz w:val="24"/>
          <w:highlight w:val="none"/>
          <w14:textFill>
            <w14:solidFill>
              <w14:schemeClr w14:val="tx1"/>
            </w14:solidFill>
          </w14:textFill>
        </w:rPr>
        <w:t>投标截止时间自本工程招标公告发布之日起计。</w:t>
      </w:r>
    </w:p>
    <w:p w14:paraId="121FF39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3.5.2  </w:t>
      </w:r>
      <w:r>
        <w:rPr>
          <w:rFonts w:hint="eastAsia" w:ascii="宋体" w:hAnsi="宋体" w:eastAsia="宋体" w:cs="宋体"/>
          <w:color w:val="000000" w:themeColor="text1"/>
          <w:sz w:val="24"/>
          <w:highlight w:val="none"/>
          <w14:textFill>
            <w14:solidFill>
              <w14:schemeClr w14:val="tx1"/>
            </w14:solidFill>
          </w14:textFill>
        </w:rPr>
        <w:t>具体投标截止时间以招标人（招标代理机构）的最新通知为准，请各投标人留意交易平台网站发布的本工程相关信息。</w:t>
      </w:r>
    </w:p>
    <w:p w14:paraId="17D385C4">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3.5.3  </w:t>
      </w:r>
      <w:r>
        <w:rPr>
          <w:rFonts w:hint="eastAsia" w:ascii="宋体" w:hAnsi="宋体" w:eastAsia="宋体" w:cs="宋体"/>
          <w:color w:val="000000" w:themeColor="text1"/>
          <w:sz w:val="24"/>
          <w:highlight w:val="none"/>
          <w14:textFill>
            <w14:solidFill>
              <w14:schemeClr w14:val="tx1"/>
            </w14:solidFill>
          </w14:textFill>
        </w:rPr>
        <w:t>到投标截止时间止，招标人收到的投标文件少于</w:t>
      </w:r>
      <w:r>
        <w:rPr>
          <w:rFonts w:ascii="宋体" w:hAnsi="宋体" w:eastAsia="宋体" w:cs="宋体"/>
          <w:color w:val="000000" w:themeColor="text1"/>
          <w:sz w:val="24"/>
          <w:highlight w:val="none"/>
          <w14:textFill>
            <w14:solidFill>
              <w14:schemeClr w14:val="tx1"/>
            </w14:solidFill>
          </w14:textFill>
        </w:rPr>
        <w:t>3家的，招标人将重新组织招标（当N个标段同时招标且不允许兼中时，若有效投标人不足N+2家，则重新组织招标）。</w:t>
      </w:r>
    </w:p>
    <w:p w14:paraId="73396A65">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7D0D35AA">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3.6    </w:t>
      </w:r>
      <w:r>
        <w:rPr>
          <w:rFonts w:hint="eastAsia" w:ascii="宋体" w:hAnsi="宋体" w:eastAsia="宋体" w:cs="宋体"/>
          <w:b/>
          <w:bCs/>
          <w:color w:val="000000" w:themeColor="text1"/>
          <w:sz w:val="24"/>
          <w:highlight w:val="none"/>
          <w14:textFill>
            <w14:solidFill>
              <w14:schemeClr w14:val="tx1"/>
            </w14:solidFill>
          </w14:textFill>
        </w:rPr>
        <w:t>投标文件的递交和接受</w:t>
      </w:r>
    </w:p>
    <w:p w14:paraId="6BFE33C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7B985242">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3.6.1  </w:t>
      </w:r>
      <w:r>
        <w:rPr>
          <w:rFonts w:hint="eastAsia" w:ascii="宋体" w:hAnsi="宋体" w:eastAsia="宋体" w:cs="宋体"/>
          <w:color w:val="000000" w:themeColor="text1"/>
          <w:sz w:val="24"/>
          <w:highlight w:val="none"/>
          <w14:textFill>
            <w14:solidFill>
              <w14:schemeClr w14:val="tx1"/>
            </w14:solidFill>
          </w14:textFill>
        </w:rPr>
        <w:t>投标人通过下载招标文件的交易平台递交电子投标文件。</w:t>
      </w:r>
    </w:p>
    <w:p w14:paraId="6ECED198">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3.6.2  </w:t>
      </w:r>
      <w:r>
        <w:rPr>
          <w:rFonts w:hint="eastAsia" w:ascii="宋体" w:hAnsi="宋体" w:eastAsia="宋体" w:cs="宋体"/>
          <w:color w:val="000000" w:themeColor="text1"/>
          <w:sz w:val="24"/>
          <w:highlight w:val="none"/>
          <w14:textFill>
            <w14:solidFill>
              <w14:schemeClr w14:val="tx1"/>
            </w14:solidFill>
          </w14:textFill>
        </w:rPr>
        <w:t>投标人完成电子投标文件上传后，交易平台即时向投标人发出递交回执通知。递交时间以递交回执通知载明的传输完成时间为准。</w:t>
      </w:r>
    </w:p>
    <w:p w14:paraId="7C53446E">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3.6.3  </w:t>
      </w:r>
      <w:r>
        <w:rPr>
          <w:rFonts w:hint="eastAsia" w:ascii="宋体" w:hAnsi="宋体" w:eastAsia="宋体" w:cs="宋体"/>
          <w:color w:val="000000" w:themeColor="text1"/>
          <w:sz w:val="24"/>
          <w:highlight w:val="none"/>
          <w14:textFill>
            <w14:solidFill>
              <w14:schemeClr w14:val="tx1"/>
            </w14:solidFill>
          </w14:textFill>
        </w:rPr>
        <w:t>如按招标公告要求需要提交投标文件光盘（备用），备用光盘不得加密。如使用投标文件光盘（备用）时无法读取或导入的，则视为未提交投标文件。</w:t>
      </w:r>
    </w:p>
    <w:p w14:paraId="05CD5707">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3.6.4  </w:t>
      </w:r>
      <w:r>
        <w:rPr>
          <w:rFonts w:hint="eastAsia" w:ascii="宋体" w:hAnsi="宋体" w:eastAsia="宋体" w:cs="宋体"/>
          <w:color w:val="000000" w:themeColor="text1"/>
          <w:sz w:val="24"/>
          <w:highlight w:val="none"/>
          <w14:textFill>
            <w14:solidFill>
              <w14:schemeClr w14:val="tx1"/>
            </w14:solidFill>
          </w14:textFill>
        </w:rPr>
        <w:t>逾期送达的投标文件，交易平台将予以拒收。</w:t>
      </w:r>
    </w:p>
    <w:p w14:paraId="60EE0E98">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1FE79A51">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3.7    </w:t>
      </w:r>
      <w:r>
        <w:rPr>
          <w:rFonts w:hint="eastAsia" w:ascii="宋体" w:hAnsi="宋体" w:eastAsia="宋体" w:cs="宋体"/>
          <w:b/>
          <w:color w:val="000000" w:themeColor="text1"/>
          <w:sz w:val="24"/>
          <w:highlight w:val="none"/>
          <w14:textFill>
            <w14:solidFill>
              <w14:schemeClr w14:val="tx1"/>
            </w14:solidFill>
          </w14:textFill>
        </w:rPr>
        <w:t>投标文件的修改与撤回</w:t>
      </w:r>
    </w:p>
    <w:p w14:paraId="5E2A3EF6">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p>
    <w:p w14:paraId="0530E663">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3.7.1  </w:t>
      </w:r>
      <w:r>
        <w:rPr>
          <w:rFonts w:hint="eastAsia" w:ascii="宋体" w:hAnsi="宋体" w:eastAsia="宋体" w:cs="宋体"/>
          <w:color w:val="000000" w:themeColor="text1"/>
          <w:sz w:val="24"/>
          <w:highlight w:val="none"/>
          <w14:textFill>
            <w14:solidFill>
              <w14:schemeClr w14:val="tx1"/>
            </w14:solidFill>
          </w14:textFill>
        </w:rPr>
        <w:t>在规定的投标截止时间前，投标人可以修改或撤回已递交的投标文件。</w:t>
      </w:r>
    </w:p>
    <w:p w14:paraId="7889A45C">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3.7.2  </w:t>
      </w:r>
      <w:r>
        <w:rPr>
          <w:rFonts w:hint="eastAsia" w:ascii="宋体" w:hAnsi="宋体" w:eastAsia="宋体" w:cs="宋体"/>
          <w:color w:val="000000" w:themeColor="text1"/>
          <w:sz w:val="24"/>
          <w:highlight w:val="none"/>
          <w14:textFill>
            <w14:solidFill>
              <w14:schemeClr w14:val="tx1"/>
            </w14:solidFill>
          </w14:textFill>
        </w:rPr>
        <w:t>投标人修改或撤回已递交的投标文件，需在交易平台发出撤回通知，并按要求加盖电子印章。电子招标投标交易平台收到通知后，即时向投标人发布确认回执通知。</w:t>
      </w:r>
    </w:p>
    <w:p w14:paraId="1A2D6C7F">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3.7.3  </w:t>
      </w:r>
      <w:r>
        <w:rPr>
          <w:rFonts w:hint="eastAsia" w:ascii="宋体" w:hAnsi="宋体" w:eastAsia="宋体" w:cs="宋体"/>
          <w:color w:val="000000" w:themeColor="text1"/>
          <w:sz w:val="24"/>
          <w:highlight w:val="none"/>
          <w14:textFill>
            <w14:solidFill>
              <w14:schemeClr w14:val="tx1"/>
            </w14:solidFill>
          </w14:textFill>
        </w:rPr>
        <w:t>修改后再次递交的，按</w:t>
      </w:r>
      <w:r>
        <w:rPr>
          <w:rFonts w:ascii="宋体" w:hAnsi="宋体" w:eastAsia="宋体" w:cs="宋体"/>
          <w:color w:val="000000" w:themeColor="text1"/>
          <w:sz w:val="24"/>
          <w:highlight w:val="none"/>
          <w14:textFill>
            <w14:solidFill>
              <w14:schemeClr w14:val="tx1"/>
            </w14:solidFill>
          </w14:textFill>
        </w:rPr>
        <w:t>3.6的规定执行。</w:t>
      </w:r>
    </w:p>
    <w:p w14:paraId="6063AD60">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3.7.4  </w:t>
      </w:r>
      <w:r>
        <w:rPr>
          <w:rFonts w:hint="eastAsia" w:ascii="宋体" w:hAnsi="宋体" w:eastAsia="宋体" w:cs="宋体"/>
          <w:color w:val="000000" w:themeColor="text1"/>
          <w:sz w:val="24"/>
          <w:highlight w:val="none"/>
          <w14:textFill>
            <w14:solidFill>
              <w14:schemeClr w14:val="tx1"/>
            </w14:solidFill>
          </w14:textFill>
        </w:rPr>
        <w:t>在投标截止时间后，投标人不得补充、修改或更换投标文件。</w:t>
      </w:r>
    </w:p>
    <w:p w14:paraId="39756E97">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2910BC08">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3.8    </w:t>
      </w:r>
      <w:r>
        <w:rPr>
          <w:rFonts w:hint="eastAsia" w:ascii="宋体" w:hAnsi="宋体" w:eastAsia="宋体" w:cs="宋体"/>
          <w:b/>
          <w:color w:val="000000" w:themeColor="text1"/>
          <w:sz w:val="24"/>
          <w:highlight w:val="none"/>
          <w14:textFill>
            <w14:solidFill>
              <w14:schemeClr w14:val="tx1"/>
            </w14:solidFill>
          </w14:textFill>
        </w:rPr>
        <w:t>电子招标投标解密失败及突发状况的补救</w:t>
      </w:r>
    </w:p>
    <w:p w14:paraId="11D0A007">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p>
    <w:p w14:paraId="2D35816D">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3.8.1  </w:t>
      </w:r>
      <w:r>
        <w:rPr>
          <w:rFonts w:hint="eastAsia" w:ascii="宋体" w:hAnsi="宋体" w:eastAsia="宋体" w:cs="宋体"/>
          <w:color w:val="000000" w:themeColor="text1"/>
          <w:sz w:val="24"/>
          <w:highlight w:val="none"/>
          <w14:textFill>
            <w14:solidFill>
              <w14:schemeClr w14:val="tx1"/>
            </w14:solidFill>
          </w14:textFill>
        </w:rPr>
        <w:t>提交投标文件光盘备用</w:t>
      </w:r>
    </w:p>
    <w:p w14:paraId="760413A3">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w:t>
      </w:r>
      <w:r>
        <w:rPr>
          <w:rFonts w:hint="eastAsia" w:ascii="宋体" w:hAnsi="宋体" w:eastAsia="宋体" w:cs="宋体"/>
          <w:color w:val="000000" w:themeColor="text1"/>
          <w:sz w:val="24"/>
          <w:highlight w:val="none"/>
          <w14:textFill>
            <w14:solidFill>
              <w14:schemeClr w14:val="tx1"/>
            </w14:solidFill>
          </w14:textFill>
        </w:rPr>
        <w:t>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2188DC98">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3.8.2  </w:t>
      </w:r>
      <w:r>
        <w:rPr>
          <w:rFonts w:hint="eastAsia" w:ascii="宋体" w:hAnsi="宋体" w:eastAsia="宋体" w:cs="宋体"/>
          <w:color w:val="000000" w:themeColor="text1"/>
          <w:sz w:val="24"/>
          <w:highlight w:val="none"/>
          <w14:textFill>
            <w14:solidFill>
              <w14:schemeClr w14:val="tx1"/>
            </w14:solidFill>
          </w14:textFill>
        </w:rPr>
        <w:t>补救方案</w:t>
      </w:r>
    </w:p>
    <w:p w14:paraId="63F8AF26">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599F643">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07C80693">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3.8.2.3除发生上述情况外，开标评标均以投标人通过交易平台网上递交的电子投标文件为准。</w:t>
      </w:r>
    </w:p>
    <w:p w14:paraId="4851319E">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568B1A27">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3.9    </w:t>
      </w:r>
      <w:r>
        <w:rPr>
          <w:rFonts w:hint="eastAsia" w:ascii="宋体" w:hAnsi="宋体" w:eastAsia="宋体" w:cs="宋体"/>
          <w:b/>
          <w:bCs/>
          <w:color w:val="000000" w:themeColor="text1"/>
          <w:sz w:val="24"/>
          <w:highlight w:val="none"/>
          <w14:textFill>
            <w14:solidFill>
              <w14:schemeClr w14:val="tx1"/>
            </w14:solidFill>
          </w14:textFill>
        </w:rPr>
        <w:t>开标及投标文件编号</w:t>
      </w:r>
    </w:p>
    <w:p w14:paraId="71FE928D">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3626023F">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3.9.1  </w:t>
      </w:r>
      <w:r>
        <w:rPr>
          <w:rFonts w:hint="eastAsia" w:ascii="宋体" w:hAnsi="宋体" w:eastAsia="宋体" w:cs="宋体"/>
          <w:color w:val="000000" w:themeColor="text1"/>
          <w:sz w:val="24"/>
          <w:highlight w:val="none"/>
          <w14:textFill>
            <w14:solidFill>
              <w14:schemeClr w14:val="tx1"/>
            </w14:solidFill>
          </w14:textFill>
        </w:rPr>
        <w:t>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B4C3C4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3.9.2  </w:t>
      </w:r>
      <w:r>
        <w:rPr>
          <w:rFonts w:hint="eastAsia" w:ascii="宋体" w:hAnsi="宋体" w:eastAsia="宋体" w:cs="宋体"/>
          <w:color w:val="000000" w:themeColor="text1"/>
          <w:sz w:val="24"/>
          <w:highlight w:val="none"/>
          <w14:textFill>
            <w14:solidFill>
              <w14:schemeClr w14:val="tx1"/>
            </w14:solidFill>
          </w14:textFill>
        </w:rPr>
        <w:t>截标后，开标开始时间因故推迟的，相关评标信息仍以原定的开标开始时间的信息为准。</w:t>
      </w:r>
    </w:p>
    <w:p w14:paraId="64755C3F">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3.9.3  </w:t>
      </w:r>
      <w:r>
        <w:rPr>
          <w:rFonts w:hint="eastAsia" w:ascii="宋体" w:hAnsi="宋体" w:eastAsia="宋体" w:cs="宋体"/>
          <w:color w:val="000000" w:themeColor="text1"/>
          <w:sz w:val="24"/>
          <w:highlight w:val="none"/>
          <w14:textFill>
            <w14:solidFill>
              <w14:schemeClr w14:val="tx1"/>
            </w14:solidFill>
          </w14:textFill>
        </w:rPr>
        <w:t>备用光盘的读取按</w:t>
      </w:r>
      <w:r>
        <w:rPr>
          <w:rFonts w:ascii="宋体" w:hAnsi="宋体" w:eastAsia="宋体" w:cs="宋体"/>
          <w:color w:val="000000" w:themeColor="text1"/>
          <w:sz w:val="24"/>
          <w:highlight w:val="none"/>
          <w14:textFill>
            <w14:solidFill>
              <w14:schemeClr w14:val="tx1"/>
            </w14:solidFill>
          </w14:textFill>
        </w:rPr>
        <w:t>3.8.2的规定执行。</w:t>
      </w:r>
    </w:p>
    <w:p w14:paraId="00465B18">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3.9.4  </w:t>
      </w:r>
      <w:r>
        <w:rPr>
          <w:rFonts w:hint="eastAsia" w:ascii="宋体" w:hAnsi="宋体" w:eastAsia="宋体" w:cs="宋体"/>
          <w:color w:val="000000" w:themeColor="text1"/>
          <w:sz w:val="24"/>
          <w:highlight w:val="none"/>
          <w14:textFill>
            <w14:solidFill>
              <w14:schemeClr w14:val="tx1"/>
            </w14:solidFill>
          </w14:textFill>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AB005E2">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3.9.5  </w:t>
      </w:r>
      <w:r>
        <w:rPr>
          <w:rFonts w:hint="eastAsia" w:ascii="宋体" w:hAnsi="宋体" w:eastAsia="宋体" w:cs="宋体"/>
          <w:color w:val="000000" w:themeColor="text1"/>
          <w:sz w:val="24"/>
          <w:highlight w:val="none"/>
          <w14:textFill>
            <w14:solidFill>
              <w14:schemeClr w14:val="tx1"/>
            </w14:solidFill>
          </w14:textFill>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C81994A">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3.9.6  </w:t>
      </w:r>
      <w:r>
        <w:rPr>
          <w:rFonts w:hint="eastAsia" w:ascii="宋体" w:hAnsi="宋体" w:eastAsia="宋体" w:cs="宋体"/>
          <w:color w:val="000000" w:themeColor="text1"/>
          <w:sz w:val="24"/>
          <w:highlight w:val="none"/>
          <w14:textFill>
            <w14:solidFill>
              <w14:schemeClr w14:val="tx1"/>
            </w14:solidFill>
          </w14:textFill>
        </w:rPr>
        <w:t>参加现场开标的投标人对开标结果有异议的，应当在开标现场提出，招标人应当当场作出答复，并制作记录。</w:t>
      </w:r>
    </w:p>
    <w:p w14:paraId="43D43BCB">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3.9.7  </w:t>
      </w:r>
      <w:r>
        <w:rPr>
          <w:rFonts w:hint="eastAsia" w:ascii="宋体" w:hAnsi="宋体" w:eastAsia="宋体" w:cs="宋体"/>
          <w:color w:val="000000" w:themeColor="text1"/>
          <w:sz w:val="24"/>
          <w:highlight w:val="none"/>
          <w14:textFill>
            <w14:solidFill>
              <w14:schemeClr w14:val="tx1"/>
            </w14:solidFill>
          </w14:textFill>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51F2877">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3.9.8  </w:t>
      </w:r>
      <w:r>
        <w:rPr>
          <w:rFonts w:hint="eastAsia" w:ascii="宋体" w:hAnsi="宋体" w:eastAsia="宋体" w:cs="宋体"/>
          <w:color w:val="000000" w:themeColor="text1"/>
          <w:sz w:val="24"/>
          <w:highlight w:val="none"/>
          <w14:textFill>
            <w14:solidFill>
              <w14:schemeClr w14:val="tx1"/>
            </w14:solidFill>
          </w14:textFill>
        </w:rPr>
        <w:t>投标人未参加开标或在规定的时间内未提出异议的，视为对开标无异议。</w:t>
      </w:r>
    </w:p>
    <w:p w14:paraId="29FD8892">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3.9.9  </w:t>
      </w:r>
      <w:r>
        <w:rPr>
          <w:rFonts w:hint="eastAsia" w:ascii="宋体" w:hAnsi="宋体" w:eastAsia="宋体" w:cs="宋体"/>
          <w:color w:val="000000" w:themeColor="text1"/>
          <w:sz w:val="24"/>
          <w:highlight w:val="none"/>
          <w14:textFill>
            <w14:solidFill>
              <w14:schemeClr w14:val="tx1"/>
            </w14:solidFill>
          </w14:textFill>
        </w:rPr>
        <w:t>开标时，两个（含两个）以上的投标人加密打包投标文件电脑机器特征码一致的，不参与下一程序，并由评标委员会否决其投标。</w:t>
      </w:r>
    </w:p>
    <w:p w14:paraId="61541AFE">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3.9.10 </w:t>
      </w:r>
      <w:r>
        <w:rPr>
          <w:rFonts w:hint="eastAsia" w:ascii="宋体" w:hAnsi="宋体" w:eastAsia="宋体" w:cs="宋体"/>
          <w:color w:val="000000" w:themeColor="text1"/>
          <w:sz w:val="24"/>
          <w:highlight w:val="none"/>
          <w14:textFill>
            <w14:solidFill>
              <w14:schemeClr w14:val="tx1"/>
            </w14:solidFill>
          </w14:textFill>
        </w:rPr>
        <w:t>投标文件（设计方案）开标时不得开启，在评标时由交易平台随机编号后开启，交由评标委员会进行评审。编号所对应的投标人在投票结束前不得告知评标委员会、交易平台工作人员、招标人或招标代理机构。</w:t>
      </w:r>
    </w:p>
    <w:p w14:paraId="2DE63366">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26822C27">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3.10   </w:t>
      </w:r>
      <w:r>
        <w:rPr>
          <w:rFonts w:hint="eastAsia" w:ascii="宋体" w:hAnsi="宋体" w:eastAsia="宋体" w:cs="宋体"/>
          <w:b/>
          <w:bCs/>
          <w:color w:val="000000" w:themeColor="text1"/>
          <w:sz w:val="24"/>
          <w:highlight w:val="none"/>
          <w14:textFill>
            <w14:solidFill>
              <w14:schemeClr w14:val="tx1"/>
            </w14:solidFill>
          </w14:textFill>
        </w:rPr>
        <w:t>投标保证</w:t>
      </w:r>
    </w:p>
    <w:p w14:paraId="109D3CEF">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681320A2">
      <w:pPr>
        <w:spacing w:line="360" w:lineRule="auto"/>
        <w:ind w:left="850" w:hanging="849" w:hangingChars="354"/>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3.10.1 </w:t>
      </w:r>
      <w:r>
        <w:rPr>
          <w:rFonts w:hint="eastAsia" w:ascii="宋体" w:hAnsi="宋体" w:eastAsia="宋体" w:cs="宋体"/>
          <w:color w:val="000000" w:themeColor="text1"/>
          <w:sz w:val="24"/>
          <w:highlight w:val="none"/>
          <w14:textFill>
            <w14:solidFill>
              <w14:schemeClr w14:val="tx1"/>
            </w14:solidFill>
          </w14:textFill>
        </w:rPr>
        <w:t>投标人不需要提交投标保证金，评标结果揭晓后，中标候选人所得投标补偿转</w:t>
      </w:r>
      <w:r>
        <w:rPr>
          <w:rFonts w:hint="eastAsia" w:ascii="宋体" w:hAnsi="宋体" w:eastAsia="宋体" w:cs="宋体"/>
          <w:color w:val="000000" w:themeColor="text1"/>
          <w:sz w:val="21"/>
          <w:szCs w:val="21"/>
          <w:highlight w:val="none"/>
          <w14:textFill>
            <w14:solidFill>
              <w14:schemeClr w14:val="tx1"/>
            </w14:solidFill>
          </w14:textFill>
        </w:rPr>
        <w:t>作保证金，确定中标人后立即返还，其中中标人的保证金待签订合同后立即返还。如果重新招标，保证金立即返还。</w:t>
      </w:r>
    </w:p>
    <w:p w14:paraId="5E7A3B22">
      <w:pPr>
        <w:spacing w:line="360" w:lineRule="auto"/>
        <w:ind w:left="850" w:hanging="743" w:hangingChars="354"/>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 xml:space="preserve">3.10.2 </w:t>
      </w:r>
      <w:r>
        <w:rPr>
          <w:rFonts w:hint="eastAsia" w:ascii="宋体" w:hAnsi="宋体" w:eastAsia="宋体" w:cs="宋体"/>
          <w:color w:val="000000" w:themeColor="text1"/>
          <w:kern w:val="0"/>
          <w:sz w:val="21"/>
          <w:szCs w:val="21"/>
          <w:highlight w:val="none"/>
          <w14:textFill>
            <w14:solidFill>
              <w14:schemeClr w14:val="tx1"/>
            </w14:solidFill>
          </w14:textFill>
        </w:rPr>
        <w:t>投标有效期</w:t>
      </w:r>
      <w:r>
        <w:rPr>
          <w:rFonts w:ascii="宋体" w:hAnsi="宋体" w:eastAsia="宋体" w:cs="宋体"/>
          <w:color w:val="000000" w:themeColor="text1"/>
          <w:kern w:val="0"/>
          <w:sz w:val="21"/>
          <w:szCs w:val="21"/>
          <w:highlight w:val="none"/>
          <w14:textFill>
            <w14:solidFill>
              <w14:schemeClr w14:val="tx1"/>
            </w14:solidFill>
          </w14:textFill>
        </w:rPr>
        <w:t>90天，</w:t>
      </w:r>
      <w:r>
        <w:rPr>
          <w:rFonts w:hint="eastAsia" w:ascii="宋体" w:hAnsi="宋体" w:eastAsia="宋体" w:cs="宋体"/>
          <w:color w:val="000000" w:themeColor="text1"/>
          <w:sz w:val="21"/>
          <w:szCs w:val="21"/>
          <w:highlight w:val="none"/>
          <w14:textFill>
            <w14:solidFill>
              <w14:schemeClr w14:val="tx1"/>
            </w14:solidFill>
          </w14:textFill>
        </w:rPr>
        <w:t>从提交投标文件截止日起计算。在提交投标文件截止时间后到招标文件规定的投标有效期终止之前，投标人不得补充、修改或者撤回其投标文件，否则其保证金将被没收。</w:t>
      </w:r>
    </w:p>
    <w:p w14:paraId="5D6FAEA4">
      <w:pPr>
        <w:spacing w:line="360" w:lineRule="auto"/>
        <w:ind w:left="850" w:hanging="743" w:hangingChars="354"/>
        <w:jc w:val="lef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 xml:space="preserve">3.10.3 </w:t>
      </w:r>
      <w:r>
        <w:rPr>
          <w:rFonts w:hint="eastAsia" w:ascii="宋体" w:hAnsi="宋体" w:eastAsia="宋体" w:cs="宋体"/>
          <w:color w:val="000000" w:themeColor="text1"/>
          <w:sz w:val="21"/>
          <w:szCs w:val="21"/>
          <w:highlight w:val="none"/>
          <w14:textFill>
            <w14:solidFill>
              <w14:schemeClr w14:val="tx1"/>
            </w14:solidFill>
          </w14:textFill>
        </w:rPr>
        <w:t>招标人因特殊情况需要延长提交投标文件截止时间，投标人可以拒绝投标，招标人对退出的投标人不作任何经济补偿。同意延长投标有效期的投标人，在延长期内本招标文件的规定仍然适用。</w:t>
      </w:r>
    </w:p>
    <w:p w14:paraId="08847D45">
      <w:pPr>
        <w:spacing w:line="360" w:lineRule="auto"/>
        <w:ind w:left="850" w:hanging="743" w:hangingChars="354"/>
        <w:rPr>
          <w:rFonts w:ascii="宋体" w:hAnsi="宋体" w:eastAsia="宋体" w:cs="宋体"/>
          <w:color w:val="000000" w:themeColor="text1"/>
          <w:kern w:val="0"/>
          <w:sz w:val="21"/>
          <w:szCs w:val="21"/>
          <w:highlight w:val="none"/>
          <w14:textFill>
            <w14:solidFill>
              <w14:schemeClr w14:val="tx1"/>
            </w14:solidFill>
          </w14:textFill>
        </w:rPr>
      </w:pPr>
    </w:p>
    <w:p w14:paraId="6C070221">
      <w:pPr>
        <w:spacing w:line="360" w:lineRule="auto"/>
        <w:ind w:left="853" w:hanging="743" w:hangingChars="354"/>
        <w:rPr>
          <w:rFonts w:ascii="宋体" w:hAnsi="宋体" w:eastAsia="宋体" w:cs="宋体"/>
          <w:b/>
          <w:bCs/>
          <w:color w:val="000000" w:themeColor="text1"/>
          <w:kern w:val="0"/>
          <w:sz w:val="21"/>
          <w:szCs w:val="21"/>
          <w:highlight w:val="none"/>
          <w14:textFill>
            <w14:solidFill>
              <w14:schemeClr w14:val="tx1"/>
            </w14:solidFill>
          </w14:textFill>
        </w:rPr>
      </w:pPr>
      <w:r>
        <w:rPr>
          <w:rFonts w:ascii="宋体" w:hAnsi="宋体" w:eastAsia="宋体" w:cs="宋体"/>
          <w:b/>
          <w:bCs/>
          <w:color w:val="000000" w:themeColor="text1"/>
          <w:kern w:val="0"/>
          <w:sz w:val="21"/>
          <w:szCs w:val="21"/>
          <w:highlight w:val="none"/>
          <w14:textFill>
            <w14:solidFill>
              <w14:schemeClr w14:val="tx1"/>
            </w14:solidFill>
          </w14:textFill>
        </w:rPr>
        <w:t xml:space="preserve">3.11    </w:t>
      </w:r>
      <w:r>
        <w:rPr>
          <w:rFonts w:hint="eastAsia" w:ascii="宋体" w:hAnsi="宋体" w:eastAsia="宋体" w:cs="宋体"/>
          <w:b/>
          <w:bCs/>
          <w:color w:val="000000" w:themeColor="text1"/>
          <w:kern w:val="0"/>
          <w:sz w:val="21"/>
          <w:szCs w:val="21"/>
          <w:highlight w:val="none"/>
          <w14:textFill>
            <w14:solidFill>
              <w14:schemeClr w14:val="tx1"/>
            </w14:solidFill>
          </w14:textFill>
        </w:rPr>
        <w:t>投标人不得存在下列情形之一：</w:t>
      </w:r>
    </w:p>
    <w:p w14:paraId="2DAF381A">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p>
    <w:p w14:paraId="3C7E658A">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1）为招标人不具有独立法人资格的附属机构（单位）；</w:t>
      </w:r>
    </w:p>
    <w:p w14:paraId="7008F776">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2）与招标人存在利害关系且可能影响招标公正性；</w:t>
      </w:r>
    </w:p>
    <w:p w14:paraId="46ED73E3">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3）与本招标项目的其他投标人为同一个单位负责人；</w:t>
      </w:r>
    </w:p>
    <w:p w14:paraId="6568772C">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4）与本招标项目的其他投标人存在控股、管理关系；</w:t>
      </w:r>
    </w:p>
    <w:p w14:paraId="58DCD172">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5）为本招标项目的代建人；</w:t>
      </w:r>
    </w:p>
    <w:p w14:paraId="4BD27900">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6）为本招标项目的招标代理机构；</w:t>
      </w:r>
    </w:p>
    <w:p w14:paraId="5678336C">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7）与本招标项目的代建人或招标代理机构同为一个法定代表人；</w:t>
      </w:r>
    </w:p>
    <w:p w14:paraId="0022D4DA">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8）与本招标项目的代建人或招标代理机构存在控股或参股关系；</w:t>
      </w:r>
    </w:p>
    <w:p w14:paraId="67704E1A">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9）被依法暂停或者取消投标资格；</w:t>
      </w:r>
    </w:p>
    <w:p w14:paraId="655AF49B">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10）被责令停产停业、暂扣或者吊销许可证、暂扣或者吊销执照；</w:t>
      </w:r>
    </w:p>
    <w:p w14:paraId="29C78C7C">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11）进入清算程序，或被宣告破产，或其他丧失履约能力的情形；</w:t>
      </w:r>
    </w:p>
    <w:p w14:paraId="6D3AC5E3">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12）在最近三年内发生重大设计质量问题（以相关行业主管部门的行政处罚决定或司法机关出具的有关法律文书为准）；</w:t>
      </w:r>
    </w:p>
    <w:p w14:paraId="3589ACA2">
      <w:pPr>
        <w:numPr>
          <w:ilvl w:val="0"/>
          <w:numId w:val="2"/>
        </w:num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被工商行政管理机关在全国企业信用信息公示系统中列入严重违法失信企业名单；</w:t>
      </w:r>
    </w:p>
    <w:p w14:paraId="780E8FAB">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14）被最高人民法院在“信用中国”网站（www.creditchina.gov.cn）或各级信用信息共享平台中列入失信被执行人名单；</w:t>
      </w:r>
    </w:p>
    <w:p w14:paraId="77F17B7E">
      <w:pPr>
        <w:spacing w:line="360" w:lineRule="auto"/>
        <w:ind w:left="850" w:hanging="849" w:hangingChars="354"/>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15）在近三年内投标人或其法定代表人、拟委任的项目负责人有行贿犯罪行为的。</w:t>
      </w:r>
    </w:p>
    <w:p w14:paraId="633F3D2C">
      <w:pPr>
        <w:keepNext/>
        <w:keepLines/>
        <w:spacing w:before="340" w:after="330" w:line="578" w:lineRule="auto"/>
        <w:jc w:val="center"/>
        <w:outlineLvl w:val="1"/>
        <w:rPr>
          <w:rFonts w:ascii="宋体" w:hAnsi="宋体" w:eastAsia="宋体" w:cs="宋体"/>
          <w:b/>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30" w:name="_Toc97803960"/>
      <w:bookmarkStart w:id="31" w:name="_Toc32382"/>
      <w:bookmarkStart w:id="32" w:name="_Toc27402"/>
      <w:bookmarkStart w:id="33" w:name="_Toc450"/>
      <w:r>
        <w:rPr>
          <w:rFonts w:hint="eastAsia" w:ascii="宋体" w:hAnsi="宋体" w:eastAsia="宋体" w:cs="宋体"/>
          <w:b/>
          <w:bCs/>
          <w:color w:val="000000" w:themeColor="text1"/>
          <w:kern w:val="44"/>
          <w:sz w:val="36"/>
          <w:szCs w:val="36"/>
          <w:highlight w:val="none"/>
          <w14:textFill>
            <w14:solidFill>
              <w14:schemeClr w14:val="tx1"/>
            </w14:solidFill>
          </w14:textFill>
        </w:rPr>
        <w:t>第四章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评标</w:t>
      </w:r>
      <w:bookmarkEnd w:id="30"/>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31"/>
      <w:bookmarkEnd w:id="32"/>
      <w:bookmarkEnd w:id="33"/>
    </w:p>
    <w:p w14:paraId="045F659C">
      <w:pPr>
        <w:spacing w:line="360" w:lineRule="auto"/>
        <w:ind w:left="425" w:hanging="424" w:hangingChars="177"/>
        <w:rPr>
          <w:rFonts w:ascii="宋体" w:hAnsi="宋体" w:eastAsia="宋体" w:cs="宋体"/>
          <w:color w:val="000000" w:themeColor="text1"/>
          <w:kern w:val="0"/>
          <w:sz w:val="24"/>
          <w:highlight w:val="none"/>
          <w14:textFill>
            <w14:solidFill>
              <w14:schemeClr w14:val="tx1"/>
            </w14:solidFill>
          </w14:textFill>
        </w:rPr>
      </w:pPr>
    </w:p>
    <w:p w14:paraId="56061AC1">
      <w:pPr>
        <w:spacing w:line="360" w:lineRule="auto"/>
        <w:ind w:left="426" w:hanging="424" w:hangingChars="177"/>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4.1    </w:t>
      </w:r>
      <w:r>
        <w:rPr>
          <w:rFonts w:hint="eastAsia" w:ascii="宋体" w:hAnsi="宋体" w:eastAsia="宋体" w:cs="宋体"/>
          <w:b/>
          <w:bCs/>
          <w:color w:val="000000" w:themeColor="text1"/>
          <w:sz w:val="24"/>
          <w:highlight w:val="none"/>
          <w14:textFill>
            <w14:solidFill>
              <w14:schemeClr w14:val="tx1"/>
            </w14:solidFill>
          </w14:textFill>
        </w:rPr>
        <w:t>否决投标</w:t>
      </w:r>
    </w:p>
    <w:p w14:paraId="6635738D">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p>
    <w:p w14:paraId="627A1D82">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4.1.1  </w:t>
      </w:r>
      <w:r>
        <w:rPr>
          <w:rFonts w:hint="eastAsia" w:ascii="宋体" w:hAnsi="宋体" w:eastAsia="宋体" w:cs="宋体"/>
          <w:color w:val="000000" w:themeColor="text1"/>
          <w:sz w:val="24"/>
          <w:highlight w:val="none"/>
          <w14:textFill>
            <w14:solidFill>
              <w14:schemeClr w14:val="tx1"/>
            </w14:solidFill>
          </w14:textFill>
        </w:rPr>
        <w:t>投标人有下列情况之一的，评标委员会应当否决其投标：</w:t>
      </w:r>
    </w:p>
    <w:p w14:paraId="7E350144">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投标人与招标人、评标委员会成员或者其他投标人串通投标；</w:t>
      </w:r>
    </w:p>
    <w:p w14:paraId="24947EA9">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投标人之间存在《广东省实施&lt;</w:t>
      </w:r>
      <w:r>
        <w:rPr>
          <w:rFonts w:hint="eastAsia" w:ascii="宋体" w:hAnsi="宋体" w:eastAsia="宋体" w:cs="宋体"/>
          <w:color w:val="000000" w:themeColor="text1"/>
          <w:sz w:val="24"/>
          <w:highlight w:val="none"/>
          <w14:textFill>
            <w14:solidFill>
              <w14:schemeClr w14:val="tx1"/>
            </w14:solidFill>
          </w14:textFill>
        </w:rPr>
        <w:t>中华人民共和国招标投标法</w:t>
      </w:r>
      <w:r>
        <w:rPr>
          <w:rFonts w:ascii="宋体" w:hAnsi="宋体" w:eastAsia="宋体" w:cs="宋体"/>
          <w:color w:val="000000" w:themeColor="text1"/>
          <w:sz w:val="24"/>
          <w:highlight w:val="none"/>
          <w14:textFill>
            <w14:solidFill>
              <w14:schemeClr w14:val="tx1"/>
            </w14:solidFill>
          </w14:textFill>
        </w:rPr>
        <w:t>&gt;</w:t>
      </w:r>
      <w:r>
        <w:rPr>
          <w:rFonts w:hint="eastAsia" w:ascii="宋体" w:hAnsi="宋体" w:eastAsia="宋体" w:cs="宋体"/>
          <w:color w:val="000000" w:themeColor="text1"/>
          <w:sz w:val="24"/>
          <w:highlight w:val="none"/>
          <w14:textFill>
            <w14:solidFill>
              <w14:schemeClr w14:val="tx1"/>
            </w14:solidFill>
          </w14:textFill>
        </w:rPr>
        <w:t>》第十六条所禁止的情形的；</w:t>
      </w:r>
    </w:p>
    <w:p w14:paraId="3C069E81">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4.1.2  </w:t>
      </w:r>
      <w:r>
        <w:rPr>
          <w:rFonts w:hint="eastAsia" w:ascii="宋体" w:hAnsi="宋体" w:eastAsia="宋体" w:cs="宋体"/>
          <w:color w:val="000000" w:themeColor="text1"/>
          <w:sz w:val="24"/>
          <w:highlight w:val="none"/>
          <w14:textFill>
            <w14:solidFill>
              <w14:schemeClr w14:val="tx1"/>
            </w14:solidFill>
          </w14:textFill>
        </w:rPr>
        <w:t>有下列情况之一的，评标委员会应当否决其投标：</w:t>
      </w:r>
    </w:p>
    <w:p w14:paraId="711D9EDE">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《投标书》未加盖投标人公章，也未经法定代表人或者其授权代表签字；</w:t>
      </w:r>
    </w:p>
    <w:p w14:paraId="6E96B5D2">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《投标书》包含有招标人不能接受的偏差，并且投标人拒绝书面撤回偏差；</w:t>
      </w:r>
    </w:p>
    <w:p w14:paraId="23C28DB3">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《投标人声明》未按规定格式填写或未加盖投标人公章（适用于未设资格审查环节的项目）；</w:t>
      </w:r>
    </w:p>
    <w:p w14:paraId="4C43085A">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4.1.3  </w:t>
      </w:r>
      <w:r>
        <w:rPr>
          <w:rFonts w:hint="eastAsia" w:ascii="宋体" w:hAnsi="宋体" w:eastAsia="宋体" w:cs="宋体"/>
          <w:color w:val="000000" w:themeColor="text1"/>
          <w:sz w:val="24"/>
          <w:highlight w:val="none"/>
          <w14:textFill>
            <w14:solidFill>
              <w14:schemeClr w14:val="tx1"/>
            </w14:solidFill>
          </w14:textFill>
        </w:rPr>
        <w:t>投标文件有下列情况之一的，评标委员会应当否决其投标：</w:t>
      </w:r>
    </w:p>
    <w:p w14:paraId="62B3FD56">
      <w:pPr>
        <w:spacing w:line="360" w:lineRule="auto"/>
        <w:ind w:left="425" w:hanging="424" w:hangingChars="177"/>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投标人与其他投标人加密打包投标文件电脑机器特征码一致的；</w:t>
      </w:r>
    </w:p>
    <w:p w14:paraId="65D999E8">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投标人在设计方案内标注名称、印章、商标、图形等记认符号，使人辨认出投标人或其专业技术人员的身份；</w:t>
      </w:r>
    </w:p>
    <w:p w14:paraId="3D3A2B76">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(c)投标人之间存在《广东省实施&lt;</w:t>
      </w:r>
      <w:r>
        <w:rPr>
          <w:rFonts w:hint="eastAsia" w:ascii="宋体" w:hAnsi="宋体" w:eastAsia="宋体" w:cs="宋体"/>
          <w:color w:val="000000" w:themeColor="text1"/>
          <w:sz w:val="24"/>
          <w:highlight w:val="none"/>
          <w14:textFill>
            <w14:solidFill>
              <w14:schemeClr w14:val="tx1"/>
            </w14:solidFill>
          </w14:textFill>
        </w:rPr>
        <w:t>中华人民共和国招标投标法</w:t>
      </w:r>
      <w:r>
        <w:rPr>
          <w:rFonts w:ascii="宋体" w:hAnsi="宋体" w:eastAsia="宋体" w:cs="宋体"/>
          <w:color w:val="000000" w:themeColor="text1"/>
          <w:sz w:val="24"/>
          <w:highlight w:val="none"/>
          <w14:textFill>
            <w14:solidFill>
              <w14:schemeClr w14:val="tx1"/>
            </w14:solidFill>
          </w14:textFill>
        </w:rPr>
        <w:t>&gt;</w:t>
      </w:r>
      <w:r>
        <w:rPr>
          <w:rFonts w:hint="eastAsia" w:ascii="宋体" w:hAnsi="宋体" w:eastAsia="宋体" w:cs="宋体"/>
          <w:color w:val="000000" w:themeColor="text1"/>
          <w:sz w:val="24"/>
          <w:highlight w:val="none"/>
          <w14:textFill>
            <w14:solidFill>
              <w14:schemeClr w14:val="tx1"/>
            </w14:solidFill>
          </w14:textFill>
        </w:rPr>
        <w:t>》第十六条所禁止的情形的；</w:t>
      </w:r>
    </w:p>
    <w:p w14:paraId="6DA7F81B">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（d）投标报价高于最高投标限价的。</w:t>
      </w:r>
    </w:p>
    <w:p w14:paraId="675EFF74">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4.1.4  </w:t>
      </w:r>
      <w:r>
        <w:rPr>
          <w:rFonts w:hint="eastAsia" w:ascii="宋体" w:hAnsi="宋体" w:eastAsia="宋体" w:cs="宋体"/>
          <w:color w:val="000000" w:themeColor="text1"/>
          <w:sz w:val="24"/>
          <w:highlight w:val="none"/>
          <w14:textFill>
            <w14:solidFill>
              <w14:schemeClr w14:val="tx1"/>
            </w14:solidFill>
          </w14:textFill>
        </w:rPr>
        <w:t>投标人有下列情况之一的，视为串通投标：</w:t>
      </w:r>
    </w:p>
    <w:p w14:paraId="28EF81B9">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递交投标文件前，投标人私下向招标人或其雇员出示或告知投标文件内容；</w:t>
      </w:r>
    </w:p>
    <w:p w14:paraId="5C11AFA6">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评标表决结束前，投标人私下向评标委员会成员出示或告知投标文件内容；</w:t>
      </w:r>
    </w:p>
    <w:p w14:paraId="2943A755">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评标结果揭晓前，投标人与招标人就投标价格、投标方案等实质性内容进行谈判。</w:t>
      </w:r>
    </w:p>
    <w:p w14:paraId="1203004B">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4.1.5  </w:t>
      </w:r>
      <w:r>
        <w:rPr>
          <w:rFonts w:hint="eastAsia" w:ascii="宋体" w:hAnsi="宋体" w:eastAsia="宋体" w:cs="宋体"/>
          <w:color w:val="000000" w:themeColor="text1"/>
          <w:sz w:val="24"/>
          <w:highlight w:val="none"/>
          <w14:textFill>
            <w14:solidFill>
              <w14:schemeClr w14:val="tx1"/>
            </w14:solidFill>
          </w14:textFill>
        </w:rPr>
        <w:t>发生下列情形之一的，招标人应当重新组织招标：</w:t>
      </w:r>
    </w:p>
    <w:p w14:paraId="39FE2395">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递交投标文件或通过资格审查的投标人不足三人；</w:t>
      </w:r>
    </w:p>
    <w:p w14:paraId="5B0FF217">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所有投标被否决，或者经评议有效投标的投标人少于三人；</w:t>
      </w:r>
    </w:p>
    <w:p w14:paraId="0991A5D4">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经项目审批部门会同行业主管部门裁定招标投标结果无效；</w:t>
      </w:r>
    </w:p>
    <w:p w14:paraId="348A7153">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4.1.6  </w:t>
      </w:r>
      <w:r>
        <w:rPr>
          <w:rFonts w:hint="eastAsia" w:ascii="宋体" w:hAnsi="宋体" w:eastAsia="宋体" w:cs="宋体"/>
          <w:color w:val="000000" w:themeColor="text1"/>
          <w:sz w:val="24"/>
          <w:highlight w:val="none"/>
          <w14:textFill>
            <w14:solidFill>
              <w14:schemeClr w14:val="tx1"/>
            </w14:solidFill>
          </w14:textFill>
        </w:rPr>
        <w:t>否决投标的决定由评标委员会作出，其他投标人无权干涉。</w:t>
      </w:r>
    </w:p>
    <w:p w14:paraId="473785E7">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4.1.7  </w:t>
      </w:r>
      <w:r>
        <w:rPr>
          <w:rFonts w:hint="eastAsia" w:ascii="宋体" w:hAnsi="宋体" w:eastAsia="宋体" w:cs="宋体"/>
          <w:color w:val="000000" w:themeColor="text1"/>
          <w:sz w:val="24"/>
          <w:highlight w:val="none"/>
          <w14:textFill>
            <w14:solidFill>
              <w14:schemeClr w14:val="tx1"/>
            </w14:solidFill>
          </w14:textFill>
        </w:rPr>
        <w:t>投标文件如果隐瞒不符合评审标准的事实，一切法律责任由投标人承担。</w:t>
      </w:r>
    </w:p>
    <w:p w14:paraId="6FB8A219">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p>
    <w:p w14:paraId="6BE6E46C">
      <w:pPr>
        <w:spacing w:line="360" w:lineRule="auto"/>
        <w:ind w:left="426" w:hanging="424" w:hangingChars="177"/>
        <w:rPr>
          <w:rFonts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t xml:space="preserve">4.2    </w:t>
      </w:r>
      <w:r>
        <w:rPr>
          <w:rFonts w:hint="eastAsia" w:ascii="宋体" w:hAnsi="宋体" w:eastAsia="宋体" w:cs="宋体"/>
          <w:b/>
          <w:bCs/>
          <w:color w:val="000000" w:themeColor="text1"/>
          <w:kern w:val="0"/>
          <w:sz w:val="24"/>
          <w:highlight w:val="none"/>
          <w14:textFill>
            <w14:solidFill>
              <w14:schemeClr w14:val="tx1"/>
            </w14:solidFill>
          </w14:textFill>
        </w:rPr>
        <w:t>评标委员会</w:t>
      </w:r>
    </w:p>
    <w:p w14:paraId="1197984F">
      <w:pPr>
        <w:spacing w:line="360" w:lineRule="auto"/>
        <w:ind w:left="425" w:hanging="424" w:hangingChars="177"/>
        <w:rPr>
          <w:rFonts w:ascii="宋体" w:hAnsi="宋体" w:eastAsia="宋体" w:cs="宋体"/>
          <w:color w:val="000000" w:themeColor="text1"/>
          <w:kern w:val="0"/>
          <w:sz w:val="24"/>
          <w:highlight w:val="none"/>
          <w14:textFill>
            <w14:solidFill>
              <w14:schemeClr w14:val="tx1"/>
            </w14:solidFill>
          </w14:textFill>
        </w:rPr>
      </w:pPr>
    </w:p>
    <w:p w14:paraId="45E5D516">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4.2.1  </w:t>
      </w:r>
      <w:r>
        <w:rPr>
          <w:rFonts w:hint="eastAsia" w:ascii="宋体" w:hAnsi="宋体" w:eastAsia="宋体" w:cs="宋体"/>
          <w:color w:val="000000" w:themeColor="text1"/>
          <w:kern w:val="0"/>
          <w:sz w:val="24"/>
          <w:highlight w:val="none"/>
          <w14:textFill>
            <w14:solidFill>
              <w14:schemeClr w14:val="tx1"/>
            </w14:solidFill>
          </w14:textFill>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6025D35">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4.2.2  </w:t>
      </w:r>
      <w:r>
        <w:rPr>
          <w:rFonts w:hint="eastAsia" w:ascii="宋体" w:hAnsi="宋体" w:eastAsia="宋体" w:cs="宋体"/>
          <w:color w:val="000000" w:themeColor="text1"/>
          <w:kern w:val="0"/>
          <w:sz w:val="24"/>
          <w:highlight w:val="none"/>
          <w14:textFill>
            <w14:solidFill>
              <w14:schemeClr w14:val="tx1"/>
            </w14:solidFill>
          </w14:textFill>
        </w:rPr>
        <w:t>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4EB8A69D">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4.2.3  </w:t>
      </w:r>
      <w:r>
        <w:rPr>
          <w:rFonts w:hint="eastAsia" w:ascii="宋体" w:hAnsi="宋体" w:eastAsia="宋体" w:cs="宋体"/>
          <w:color w:val="000000" w:themeColor="text1"/>
          <w:kern w:val="0"/>
          <w:sz w:val="24"/>
          <w:highlight w:val="none"/>
          <w14:textFill>
            <w14:solidFill>
              <w14:schemeClr w14:val="tx1"/>
            </w14:solidFill>
          </w14:textFill>
        </w:rPr>
        <w:t>评标委员会成员至少应了解和熟悉招标的目标、范围、性质、主要技术要求和标准、商务条款、评标标准、评标方法和在评标过程中考虑的相关因素，并对所提出的评审意见承担个人责任。</w:t>
      </w:r>
    </w:p>
    <w:p w14:paraId="0CE8B3D4">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4.2.4  </w:t>
      </w:r>
      <w:r>
        <w:rPr>
          <w:rFonts w:hint="eastAsia" w:ascii="宋体" w:hAnsi="宋体" w:eastAsia="宋体" w:cs="宋体"/>
          <w:color w:val="000000" w:themeColor="text1"/>
          <w:kern w:val="0"/>
          <w:sz w:val="24"/>
          <w:highlight w:val="none"/>
          <w14:textFill>
            <w14:solidFill>
              <w14:schemeClr w14:val="tx1"/>
            </w14:solidFill>
          </w14:textFill>
        </w:rPr>
        <w:t>下列人员不得担任评标委员会成员：</w:t>
      </w:r>
    </w:p>
    <w:p w14:paraId="096F0558">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(a) 从事相关领域工作不满八年（招标人代表除外）；</w:t>
      </w:r>
    </w:p>
    <w:p w14:paraId="3A672DDA">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(b) 不具有高级职称或者同等专业水平（招标人代表除外）；</w:t>
      </w:r>
    </w:p>
    <w:p w14:paraId="5162AA95">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(c) 不熟悉评审本项目所必须的专业知识（招标人代表除外）；</w:t>
      </w:r>
    </w:p>
    <w:p w14:paraId="38637D22">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(d) 评标前浏览过本项目的某个投标文件；</w:t>
      </w:r>
    </w:p>
    <w:p w14:paraId="4DC9403F">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(e) 与投标人有利害关系；</w:t>
      </w:r>
    </w:p>
    <w:p w14:paraId="7F7FB2F7">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(f) 招标代理机构的工作人员。</w:t>
      </w:r>
    </w:p>
    <w:p w14:paraId="4C57FBDC">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4.2.5  </w:t>
      </w:r>
      <w:r>
        <w:rPr>
          <w:rFonts w:hint="eastAsia" w:ascii="宋体" w:hAnsi="宋体" w:eastAsia="宋体" w:cs="宋体"/>
          <w:color w:val="000000" w:themeColor="text1"/>
          <w:kern w:val="0"/>
          <w:sz w:val="24"/>
          <w:highlight w:val="none"/>
          <w14:textFill>
            <w14:solidFill>
              <w14:schemeClr w14:val="tx1"/>
            </w14:solidFill>
          </w14:textFill>
        </w:rPr>
        <w:t>如果评标专家到达评标地点后发现不符合本项目评标资格，酬金或交通费用按相关规定执行。</w:t>
      </w:r>
    </w:p>
    <w:p w14:paraId="6C5D1F01">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4.2.6  </w:t>
      </w:r>
      <w:r>
        <w:rPr>
          <w:rFonts w:hint="eastAsia" w:ascii="宋体" w:hAnsi="宋体" w:eastAsia="宋体" w:cs="宋体"/>
          <w:color w:val="000000" w:themeColor="text1"/>
          <w:kern w:val="0"/>
          <w:sz w:val="24"/>
          <w:highlight w:val="none"/>
          <w14:textFill>
            <w14:solidFill>
              <w14:schemeClr w14:val="tx1"/>
            </w14:solidFill>
          </w14:textFill>
        </w:rPr>
        <w:t>评标委员会成员不得私下接触投标人，不得收受投标人的财物或者其他好处。</w:t>
      </w:r>
    </w:p>
    <w:p w14:paraId="27D54622">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4.2.7  </w:t>
      </w:r>
      <w:r>
        <w:rPr>
          <w:rFonts w:hint="eastAsia" w:ascii="宋体" w:hAnsi="宋体" w:eastAsia="宋体" w:cs="宋体"/>
          <w:color w:val="000000" w:themeColor="text1"/>
          <w:sz w:val="24"/>
          <w:highlight w:val="none"/>
          <w14:textFill>
            <w14:solidFill>
              <w14:schemeClr w14:val="tx1"/>
            </w14:solidFill>
          </w14:textFill>
        </w:rPr>
        <w:t>评标委员会开展工作期间发生的费用和劳务报酬由招标人承担，若招标人与招标代理机构另有协议，按协议执行。</w:t>
      </w:r>
    </w:p>
    <w:p w14:paraId="152BABB5">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4.2.8  </w:t>
      </w:r>
      <w:r>
        <w:rPr>
          <w:rFonts w:hint="eastAsia" w:ascii="宋体" w:hAnsi="宋体" w:eastAsia="宋体" w:cs="宋体"/>
          <w:color w:val="000000" w:themeColor="text1"/>
          <w:kern w:val="0"/>
          <w:sz w:val="24"/>
          <w:highlight w:val="none"/>
          <w14:textFill>
            <w14:solidFill>
              <w14:schemeClr w14:val="tx1"/>
            </w14:solidFill>
          </w14:textFill>
        </w:rPr>
        <w:t>评标结果在评标结束后公示，接受公众监督。</w:t>
      </w:r>
    </w:p>
    <w:p w14:paraId="7917B02B">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p>
    <w:p w14:paraId="68B0D72F">
      <w:pPr>
        <w:spacing w:line="360" w:lineRule="auto"/>
        <w:ind w:left="853" w:hanging="849" w:hangingChars="354"/>
        <w:rPr>
          <w:rFonts w:ascii="宋体" w:hAnsi="宋体" w:eastAsia="宋体" w:cs="宋体"/>
          <w:b/>
          <w:color w:val="000000" w:themeColor="text1"/>
          <w:kern w:val="0"/>
          <w:sz w:val="24"/>
          <w:highlight w:val="none"/>
          <w14:textFill>
            <w14:solidFill>
              <w14:schemeClr w14:val="tx1"/>
            </w14:solidFill>
          </w14:textFill>
        </w:rPr>
      </w:pPr>
      <w:r>
        <w:rPr>
          <w:rFonts w:ascii="宋体" w:hAnsi="宋体" w:eastAsia="宋体" w:cs="宋体"/>
          <w:b/>
          <w:color w:val="000000" w:themeColor="text1"/>
          <w:kern w:val="0"/>
          <w:sz w:val="24"/>
          <w:highlight w:val="none"/>
          <w14:textFill>
            <w14:solidFill>
              <w14:schemeClr w14:val="tx1"/>
            </w14:solidFill>
          </w14:textFill>
        </w:rPr>
        <w:t xml:space="preserve">4.3    </w:t>
      </w:r>
      <w:r>
        <w:rPr>
          <w:rFonts w:hint="eastAsia" w:ascii="宋体" w:hAnsi="宋体" w:eastAsia="宋体" w:cs="宋体"/>
          <w:b/>
          <w:color w:val="000000" w:themeColor="text1"/>
          <w:kern w:val="0"/>
          <w:sz w:val="24"/>
          <w:highlight w:val="none"/>
          <w14:textFill>
            <w14:solidFill>
              <w14:schemeClr w14:val="tx1"/>
            </w14:solidFill>
          </w14:textFill>
        </w:rPr>
        <w:t>定标委员会（如有）</w:t>
      </w:r>
    </w:p>
    <w:p w14:paraId="1CFA4349">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4.3.1  </w:t>
      </w:r>
      <w:r>
        <w:rPr>
          <w:rFonts w:hint="eastAsia" w:ascii="宋体" w:hAnsi="宋体" w:eastAsia="宋体" w:cs="宋体"/>
          <w:color w:val="000000" w:themeColor="text1"/>
          <w:kern w:val="0"/>
          <w:sz w:val="24"/>
          <w:highlight w:val="none"/>
          <w14:textFill>
            <w14:solidFill>
              <w14:schemeClr w14:val="tx1"/>
            </w14:solidFill>
          </w14:textFill>
        </w:rPr>
        <w:t>定标委员会由招标人组建。组建办法详见附表</w:t>
      </w:r>
      <w:r>
        <w:rPr>
          <w:rFonts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5</w:t>
      </w:r>
      <w:r>
        <w:rPr>
          <w:rFonts w:ascii="宋体" w:hAnsi="宋体" w:eastAsia="宋体" w:cs="宋体"/>
          <w:color w:val="000000" w:themeColor="text1"/>
          <w:kern w:val="0"/>
          <w:sz w:val="24"/>
          <w:highlight w:val="none"/>
          <w14:textFill>
            <w14:solidFill>
              <w14:schemeClr w14:val="tx1"/>
            </w14:solidFill>
          </w14:textFill>
        </w:rPr>
        <w:t>《定标委员会的组成》</w:t>
      </w:r>
    </w:p>
    <w:p w14:paraId="24BADB87">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p>
    <w:p w14:paraId="497A4C7A">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4.4    </w:t>
      </w:r>
      <w:r>
        <w:rPr>
          <w:rFonts w:hint="eastAsia" w:ascii="宋体" w:hAnsi="宋体" w:eastAsia="宋体" w:cs="宋体"/>
          <w:b/>
          <w:bCs/>
          <w:color w:val="000000" w:themeColor="text1"/>
          <w:sz w:val="24"/>
          <w:highlight w:val="none"/>
          <w14:textFill>
            <w14:solidFill>
              <w14:schemeClr w14:val="tx1"/>
            </w14:solidFill>
          </w14:textFill>
        </w:rPr>
        <w:t>评标原则</w:t>
      </w:r>
    </w:p>
    <w:p w14:paraId="0EBAEC06">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08581E92">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4.4.1  </w:t>
      </w:r>
      <w:r>
        <w:rPr>
          <w:rFonts w:hint="eastAsia" w:ascii="宋体" w:hAnsi="宋体" w:eastAsia="宋体" w:cs="宋体"/>
          <w:color w:val="000000" w:themeColor="text1"/>
          <w:sz w:val="24"/>
          <w:highlight w:val="none"/>
          <w14:textFill>
            <w14:solidFill>
              <w14:schemeClr w14:val="tx1"/>
            </w14:solidFill>
          </w14:textFill>
        </w:rPr>
        <w:t>评标委员会根据招标文件规定的评标标准和方法，对投标文件进行评审和比较，招标文件中没有规定的标准和方法不得作为评标的依据。</w:t>
      </w:r>
    </w:p>
    <w:p w14:paraId="3F2B732A">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4.4.2  </w:t>
      </w:r>
      <w:r>
        <w:rPr>
          <w:rFonts w:hint="eastAsia" w:ascii="宋体" w:hAnsi="宋体" w:eastAsia="宋体" w:cs="宋体"/>
          <w:color w:val="000000" w:themeColor="text1"/>
          <w:sz w:val="24"/>
          <w:highlight w:val="none"/>
          <w14:textFill>
            <w14:solidFill>
              <w14:schemeClr w14:val="tx1"/>
            </w14:solidFill>
          </w14:textFill>
        </w:rPr>
        <w:t>在符合招标文件规定的前提下，评标委员会主要对投标方案的经济性、独创性、优越性、功能和造型、运行和维护费用、对环境的影响等进行比选、评价和裁定，确定方案的优劣。</w:t>
      </w:r>
    </w:p>
    <w:p w14:paraId="36CED8A9">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4.4.3  </w:t>
      </w:r>
      <w:r>
        <w:rPr>
          <w:rFonts w:hint="eastAsia" w:ascii="宋体" w:hAnsi="宋体" w:eastAsia="宋体" w:cs="宋体"/>
          <w:color w:val="000000" w:themeColor="text1"/>
          <w:sz w:val="24"/>
          <w:highlight w:val="none"/>
          <w14:textFill>
            <w14:solidFill>
              <w14:schemeClr w14:val="tx1"/>
            </w14:solidFill>
          </w14:textFill>
        </w:rPr>
        <w:t>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7D8B5317">
      <w:pPr>
        <w:spacing w:line="360" w:lineRule="auto"/>
        <w:ind w:left="850" w:hanging="849" w:hangingChars="354"/>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4.4.4  </w:t>
      </w:r>
      <w:r>
        <w:rPr>
          <w:rFonts w:hint="eastAsia" w:ascii="宋体" w:hAnsi="宋体" w:eastAsia="宋体" w:cs="宋体"/>
          <w:bCs/>
          <w:color w:val="000000" w:themeColor="text1"/>
          <w:sz w:val="24"/>
          <w:highlight w:val="none"/>
          <w14:textFill>
            <w14:solidFill>
              <w14:schemeClr w14:val="tx1"/>
            </w14:solidFill>
          </w14:textFill>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08E6FC82">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4.4.5  </w:t>
      </w:r>
      <w:r>
        <w:rPr>
          <w:rFonts w:hint="eastAsia" w:ascii="宋体" w:hAnsi="宋体" w:eastAsia="宋体" w:cs="宋体"/>
          <w:color w:val="000000" w:themeColor="text1"/>
          <w:sz w:val="24"/>
          <w:highlight w:val="none"/>
          <w14:textFill>
            <w14:solidFill>
              <w14:schemeClr w14:val="tx1"/>
            </w14:solidFill>
          </w14:textFill>
        </w:rPr>
        <w:t>如果少数投标人超越招标文件要求提交了模型、演示动画或发生其他特殊情况，评标委员会对超越招标文件要求的内容不进行评审，只评审该投标文件符合要求的内容。</w:t>
      </w:r>
    </w:p>
    <w:p w14:paraId="15B0D4AE">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4.4.6  </w:t>
      </w:r>
      <w:r>
        <w:rPr>
          <w:rFonts w:hint="eastAsia" w:ascii="宋体" w:hAnsi="宋体" w:eastAsia="宋体" w:cs="宋体"/>
          <w:color w:val="000000" w:themeColor="text1"/>
          <w:sz w:val="24"/>
          <w:highlight w:val="none"/>
          <w14:textFill>
            <w14:solidFill>
              <w14:schemeClr w14:val="tx1"/>
            </w14:solidFill>
          </w14:textFill>
        </w:rPr>
        <w:t>评标委员会经评审，认为所有投标都不符合招标文件要求的，可以否决所有投标。如果所有投标被否决而重新招标，评标委员会成员及其从业机构不得参加投标。</w:t>
      </w:r>
    </w:p>
    <w:p w14:paraId="35C68F95">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351E6803">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4.5    </w:t>
      </w:r>
      <w:r>
        <w:rPr>
          <w:rFonts w:hint="eastAsia" w:ascii="宋体" w:hAnsi="宋体" w:eastAsia="宋体" w:cs="宋体"/>
          <w:b/>
          <w:bCs/>
          <w:color w:val="000000" w:themeColor="text1"/>
          <w:sz w:val="24"/>
          <w:highlight w:val="none"/>
          <w14:textFill>
            <w14:solidFill>
              <w14:schemeClr w14:val="tx1"/>
            </w14:solidFill>
          </w14:textFill>
        </w:rPr>
        <w:t>评标办法</w:t>
      </w:r>
    </w:p>
    <w:p w14:paraId="625DE907">
      <w:pPr>
        <w:spacing w:line="360" w:lineRule="auto"/>
        <w:ind w:left="850"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[注释] </w:t>
      </w:r>
      <w:r>
        <w:rPr>
          <w:rFonts w:hint="eastAsia" w:ascii="宋体" w:hAnsi="宋体" w:eastAsia="宋体" w:cs="宋体"/>
          <w:color w:val="000000" w:themeColor="text1"/>
          <w:sz w:val="24"/>
          <w:highlight w:val="none"/>
          <w14:textFill>
            <w14:solidFill>
              <w14:schemeClr w14:val="tx1"/>
            </w14:solidFill>
          </w14:textFill>
        </w:rPr>
        <w:t>招标人应在招标文件修改表中明确适用于本项目的评标方法。</w:t>
      </w:r>
    </w:p>
    <w:p w14:paraId="506949AD">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70C0AF7F">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4.5.1  </w:t>
      </w:r>
      <w:r>
        <w:rPr>
          <w:rFonts w:hint="eastAsia" w:ascii="宋体" w:hAnsi="宋体" w:eastAsia="宋体" w:cs="宋体"/>
          <w:color w:val="000000" w:themeColor="text1"/>
          <w:sz w:val="24"/>
          <w:highlight w:val="none"/>
          <w14:textFill>
            <w14:solidFill>
              <w14:schemeClr w14:val="tx1"/>
            </w14:solidFill>
          </w14:textFill>
        </w:rPr>
        <w:t>是否采用评定分离：□是，入围定标环节的投标人家数：</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名；</w:t>
      </w:r>
      <w:r>
        <w:rPr>
          <w:rFonts w:ascii="宋体" w:hAnsi="宋体" w:eastAsia="宋体" w:cs="宋体"/>
          <w:color w:val="000000" w:themeColor="text1"/>
          <w:sz w:val="24"/>
          <w:highlight w:val="none"/>
          <w14:textFill>
            <w14:solidFill>
              <w14:schemeClr w14:val="tx1"/>
            </w14:solidFill>
          </w14:textFill>
        </w:rPr>
        <w:t xml:space="preserve"> </w:t>
      </w:r>
    </w:p>
    <w:p w14:paraId="4390242D">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□否。</w:t>
      </w:r>
    </w:p>
    <w:p w14:paraId="45DCDD83">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4.5.2  </w:t>
      </w:r>
      <w:r>
        <w:rPr>
          <w:rFonts w:hint="eastAsia" w:ascii="宋体" w:hAnsi="宋体" w:eastAsia="宋体" w:cs="宋体"/>
          <w:color w:val="000000" w:themeColor="text1"/>
          <w:sz w:val="24"/>
          <w:highlight w:val="none"/>
          <w14:textFill>
            <w14:solidFill>
              <w14:schemeClr w14:val="tx1"/>
            </w14:solidFill>
          </w14:textFill>
        </w:rPr>
        <w:t>不采用评定分离项目的评标办法</w:t>
      </w:r>
    </w:p>
    <w:p w14:paraId="4B8A32FE">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4.5.2.1招标人（招标代理机构）在不透露投标人身份的前提下（资格审查文件除外）将投标文件交给评标委员会，除4.5.2.2(g)中规定，不需要投标人派代表介绍投标方案。</w:t>
      </w:r>
    </w:p>
    <w:p w14:paraId="748FA619">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4.5.2.2如果评标委员会成员在交易服务机构评标，将按方法</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规定的步骤进行：</w:t>
      </w:r>
    </w:p>
    <w:p w14:paraId="532AB462">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方法一（设有资格审查环节的一阶段评标法）：a、b、c、d、e、f、h、i、j</w:t>
      </w:r>
    </w:p>
    <w:p w14:paraId="6043F563">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方法二（设有资格审查环节的二阶段评标法）：a、b、c、d、e、f、g、h、i、j</w:t>
      </w:r>
    </w:p>
    <w:p w14:paraId="6E28AF94">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方法三（未设资格审查环节的一阶段评标法）：a、d、e、f、h、i、j</w:t>
      </w:r>
    </w:p>
    <w:p w14:paraId="02368BB5">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方法四（未设资格审查环节的二阶段评标法）：a、d、e、f、g、h、i、j</w:t>
      </w:r>
    </w:p>
    <w:p w14:paraId="1544CF01">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(a) </w:t>
      </w:r>
      <w:r>
        <w:rPr>
          <w:rFonts w:hint="eastAsia" w:ascii="宋体" w:hAnsi="宋体" w:eastAsia="宋体" w:cs="宋体"/>
          <w:color w:val="000000" w:themeColor="text1"/>
          <w:sz w:val="24"/>
          <w:highlight w:val="none"/>
          <w14:textFill>
            <w14:solidFill>
              <w14:schemeClr w14:val="tx1"/>
            </w14:solidFill>
          </w14:textFill>
        </w:rPr>
        <w:t>评标委员会成员依据招标文件规定，否决两个（含两个）以上的加密打包投标文件电脑机器特征码一致的投标人，不参与下一阶段评审。</w:t>
      </w:r>
    </w:p>
    <w:p w14:paraId="3ED463F2">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(b) </w:t>
      </w:r>
      <w:r>
        <w:rPr>
          <w:rFonts w:hint="eastAsia" w:ascii="宋体" w:hAnsi="宋体" w:eastAsia="宋体" w:cs="宋体"/>
          <w:color w:val="000000" w:themeColor="text1"/>
          <w:sz w:val="24"/>
          <w:highlight w:val="none"/>
          <w14:textFill>
            <w14:solidFill>
              <w14:schemeClr w14:val="tx1"/>
            </w14:solidFill>
          </w14:textFill>
        </w:rPr>
        <w:t>评标委员会成员依据招标文件规定，按附录</w:t>
      </w:r>
      <w:r>
        <w:rPr>
          <w:rFonts w:ascii="宋体" w:hAnsi="宋体" w:eastAsia="宋体" w:cs="宋体"/>
          <w:color w:val="000000" w:themeColor="text1"/>
          <w:sz w:val="24"/>
          <w:highlight w:val="none"/>
          <w14:textFill>
            <w14:solidFill>
              <w14:schemeClr w14:val="tx1"/>
            </w14:solidFill>
          </w14:textFill>
        </w:rPr>
        <w:t>12《资格审查表》对各投标人递交的投标文件进行资格审查。</w:t>
      </w:r>
    </w:p>
    <w:p w14:paraId="03F1505C">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(c) </w:t>
      </w:r>
      <w:r>
        <w:rPr>
          <w:rFonts w:hint="eastAsia" w:ascii="宋体" w:hAnsi="宋体" w:eastAsia="宋体" w:cs="宋体"/>
          <w:color w:val="000000" w:themeColor="text1"/>
          <w:sz w:val="24"/>
          <w:highlight w:val="none"/>
          <w14:textFill>
            <w14:solidFill>
              <w14:schemeClr w14:val="tx1"/>
            </w14:solidFill>
          </w14:textFill>
        </w:rPr>
        <w:t>评标委员会成员汇总资格审查结果，编写资格审查报告。</w:t>
      </w:r>
    </w:p>
    <w:p w14:paraId="6A54F0EC">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(d) </w:t>
      </w:r>
      <w:r>
        <w:rPr>
          <w:rFonts w:hint="eastAsia" w:ascii="宋体" w:hAnsi="宋体" w:eastAsia="宋体" w:cs="宋体"/>
          <w:color w:val="000000" w:themeColor="text1"/>
          <w:sz w:val="24"/>
          <w:highlight w:val="none"/>
          <w14:textFill>
            <w14:solidFill>
              <w14:schemeClr w14:val="tx1"/>
            </w14:solidFill>
          </w14:textFill>
        </w:rPr>
        <w:t>评标委员会专家依据招标文件规定，按附录</w:t>
      </w:r>
      <w:r>
        <w:rPr>
          <w:rFonts w:ascii="宋体" w:hAnsi="宋体" w:eastAsia="宋体" w:cs="宋体"/>
          <w:color w:val="000000" w:themeColor="text1"/>
          <w:sz w:val="24"/>
          <w:highlight w:val="none"/>
          <w14:textFill>
            <w14:solidFill>
              <w14:schemeClr w14:val="tx1"/>
            </w14:solidFill>
          </w14:textFill>
        </w:rPr>
        <w:t>15《设计方案评审记录表》、附录17《投标方案评语》对各投标人递交的投标文件进行评审。如果有否决投标提议，则评标委员会成员共同表决，按照少数服从多数的原则决定是否否决。</w:t>
      </w:r>
    </w:p>
    <w:p w14:paraId="778B2308">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(e) </w:t>
      </w:r>
      <w:r>
        <w:rPr>
          <w:rFonts w:hint="eastAsia" w:ascii="宋体" w:hAnsi="宋体" w:eastAsia="宋体" w:cs="宋体"/>
          <w:color w:val="000000" w:themeColor="text1"/>
          <w:sz w:val="24"/>
          <w:highlight w:val="none"/>
          <w14:textFill>
            <w14:solidFill>
              <w14:schemeClr w14:val="tx1"/>
            </w14:solidFill>
          </w14:textFill>
        </w:rPr>
        <w:t>以差额选举逐轮淘汰的记名投票方式选出所有投标方案的排序。（方案补偿费按</w:t>
      </w:r>
      <w:r>
        <w:rPr>
          <w:rFonts w:ascii="宋体" w:hAnsi="宋体" w:eastAsia="宋体" w:cs="宋体"/>
          <w:color w:val="000000" w:themeColor="text1"/>
          <w:sz w:val="24"/>
          <w:highlight w:val="none"/>
          <w14:textFill>
            <w14:solidFill>
              <w14:schemeClr w14:val="tx1"/>
            </w14:solidFill>
          </w14:textFill>
        </w:rPr>
        <w:t>(h)步骤确定的最终排序进行补偿）。</w:t>
      </w:r>
    </w:p>
    <w:p w14:paraId="34853B92">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(f) </w:t>
      </w:r>
      <w:r>
        <w:rPr>
          <w:rFonts w:hint="eastAsia" w:ascii="宋体" w:hAnsi="宋体" w:eastAsia="宋体" w:cs="宋体"/>
          <w:color w:val="000000" w:themeColor="text1"/>
          <w:sz w:val="24"/>
          <w:highlight w:val="none"/>
          <w14:textFill>
            <w14:solidFill>
              <w14:schemeClr w14:val="tx1"/>
            </w14:solidFill>
          </w14:textFill>
        </w:rPr>
        <w:t>评标委员会揭晓投标人身份。</w:t>
      </w:r>
    </w:p>
    <w:p w14:paraId="7FF385DC">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(g) </w:t>
      </w:r>
      <w:r>
        <w:rPr>
          <w:rFonts w:hint="eastAsia" w:ascii="宋体" w:hAnsi="宋体" w:eastAsia="宋体" w:cs="宋体"/>
          <w:color w:val="000000" w:themeColor="text1"/>
          <w:sz w:val="24"/>
          <w:highlight w:val="none"/>
          <w14:textFill>
            <w14:solidFill>
              <w14:schemeClr w14:val="tx1"/>
            </w14:solidFill>
          </w14:textFill>
        </w:rPr>
        <w:t>采用二阶段评标法的，由方案排序前</w:t>
      </w:r>
      <w:r>
        <w:rPr>
          <w:rFonts w:ascii="宋体" w:hAnsi="宋体" w:eastAsia="宋体" w:cs="宋体"/>
          <w:color w:val="000000" w:themeColor="text1"/>
          <w:sz w:val="24"/>
          <w:highlight w:val="none"/>
          <w14:textFill>
            <w14:solidFill>
              <w14:schemeClr w14:val="tx1"/>
            </w14:solidFill>
          </w14:textFill>
        </w:rPr>
        <w:t>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w:t>
      </w:r>
      <w:r>
        <w:rPr>
          <w:rFonts w:hint="eastAsia" w:ascii="宋体" w:hAnsi="宋体" w:eastAsia="宋体" w:cs="宋体"/>
          <w:color w:val="000000" w:themeColor="text1"/>
          <w:sz w:val="24"/>
          <w:highlight w:val="none"/>
          <w14:textFill>
            <w14:solidFill>
              <w14:schemeClr w14:val="tx1"/>
            </w14:solidFill>
          </w14:textFill>
        </w:rPr>
        <w:t>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33C8013C">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(h) </w:t>
      </w:r>
      <w:r>
        <w:rPr>
          <w:rFonts w:hint="eastAsia" w:ascii="宋体" w:hAnsi="宋体" w:eastAsia="宋体" w:cs="宋体"/>
          <w:color w:val="000000" w:themeColor="text1"/>
          <w:sz w:val="24"/>
          <w:highlight w:val="none"/>
          <w14:textFill>
            <w14:solidFill>
              <w14:schemeClr w14:val="tx1"/>
            </w14:solidFill>
          </w14:textFill>
        </w:rPr>
        <w:t>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w:t>
      </w:r>
      <w:r>
        <w:rPr>
          <w:rFonts w:ascii="宋体" w:hAnsi="宋体" w:eastAsia="宋体" w:cs="宋体"/>
          <w:color w:val="000000" w:themeColor="text1"/>
          <w:sz w:val="24"/>
          <w:highlight w:val="none"/>
          <w14:textFill>
            <w14:solidFill>
              <w14:schemeClr w14:val="tx1"/>
            </w14:solidFill>
          </w14:textFill>
        </w:rPr>
        <w:t>3名中标候选人。投标经济补偿费按投标方案的最终排序确定进行补偿。</w:t>
      </w:r>
    </w:p>
    <w:p w14:paraId="21468333">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(i) </w:t>
      </w:r>
      <w:r>
        <w:rPr>
          <w:rFonts w:hint="eastAsia" w:ascii="宋体" w:hAnsi="宋体" w:eastAsia="宋体" w:cs="宋体"/>
          <w:color w:val="000000" w:themeColor="text1"/>
          <w:sz w:val="24"/>
          <w:highlight w:val="none"/>
          <w14:textFill>
            <w14:solidFill>
              <w14:schemeClr w14:val="tx1"/>
            </w14:solidFill>
          </w14:textFill>
        </w:rPr>
        <w:t>编写、签署评标报告，并标明最终中标候选人的排列顺序，评标报告由评标委员会全体成员签字，对评标结论持有异议的评标委员会成员可以书面方式阐述其不同意见和理由。</w:t>
      </w:r>
    </w:p>
    <w:p w14:paraId="72C4DD39">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(j) </w:t>
      </w:r>
      <w:r>
        <w:rPr>
          <w:rFonts w:hint="eastAsia" w:ascii="宋体" w:hAnsi="宋体" w:eastAsia="宋体" w:cs="宋体"/>
          <w:color w:val="000000" w:themeColor="text1"/>
          <w:sz w:val="24"/>
          <w:highlight w:val="none"/>
          <w14:textFill>
            <w14:solidFill>
              <w14:schemeClr w14:val="tx1"/>
            </w14:solidFill>
          </w14:textFill>
        </w:rPr>
        <w:t>评标委员会向招标人提交书面评标报告后即告解散，评标过程中使用的文件、表格以及其他资料应当即时归还招标人（招标代理机构）。</w:t>
      </w:r>
    </w:p>
    <w:p w14:paraId="17463AE3">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p>
    <w:p w14:paraId="2A16A604">
      <w:pPr>
        <w:spacing w:line="360" w:lineRule="auto"/>
        <w:ind w:left="850"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采用评定分离项目的评标及定标办法</w:t>
      </w:r>
    </w:p>
    <w:p w14:paraId="2A9192BB">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4.5.3.1招标人（招标代理机构）在不透露投标人身份的前提下（资格审查文件除外）将投标文件交给评标委员会，不需要投标人派代表介绍投标方案。</w:t>
      </w:r>
    </w:p>
    <w:p w14:paraId="2A9A8D74">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4.5.3.2如果评标委员会成员在交易服务机构评标，将按方法</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规定的步骤进行：</w:t>
      </w:r>
    </w:p>
    <w:p w14:paraId="5AAF5CFA">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pacing w:val="-6"/>
          <w:sz w:val="24"/>
          <w:highlight w:val="none"/>
          <w14:textFill>
            <w14:solidFill>
              <w14:schemeClr w14:val="tx1"/>
            </w14:solidFill>
          </w14:textFill>
        </w:rPr>
        <w:t>方法一（设有资格审查环节的一阶段评标法）：a、b、c、d、e、f、g、h、i、j</w:t>
      </w:r>
    </w:p>
    <w:p w14:paraId="1D61516E">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方法二（未设资格审查环节的一阶段评标法）：a、d、e、f、g、h、i、j</w:t>
      </w:r>
    </w:p>
    <w:p w14:paraId="1525B8A6">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评标委员会成员依据招标文件规定，否决两个（含两个）以上的加密打包投标文件电脑机器特征码一致的投标人，不参与下一阶段评审。 </w:t>
      </w:r>
    </w:p>
    <w:p w14:paraId="75465E6F">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评标委员会成员业主代表及专家依据招标文件规定，按附录12《资格审查表》对各投标人递交的投标文件进行资格审查。</w:t>
      </w:r>
    </w:p>
    <w:p w14:paraId="57C5F545">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w:t>
      </w:r>
      <w:r>
        <w:rPr>
          <w:rFonts w:hint="eastAsia" w:ascii="宋体" w:hAnsi="宋体" w:eastAsia="宋体" w:cs="宋体"/>
          <w:color w:val="000000" w:themeColor="text1"/>
          <w:sz w:val="24"/>
          <w:highlight w:val="none"/>
          <w14:textFill>
            <w14:solidFill>
              <w14:schemeClr w14:val="tx1"/>
            </w14:solidFill>
          </w14:textFill>
        </w:rPr>
        <w:t>评标委员会成员汇总资格审查结果，编写资格审查报告。</w:t>
      </w:r>
    </w:p>
    <w:p w14:paraId="60D61820">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(d) 评标委员会专家依据招标文件规定，按附录15《设计方案评审记录表》、附录17</w:t>
      </w:r>
      <w:r>
        <w:rPr>
          <w:rFonts w:hint="eastAsia" w:ascii="宋体" w:hAnsi="宋体" w:eastAsia="宋体" w:cs="宋体"/>
          <w:color w:val="000000" w:themeColor="text1"/>
          <w:sz w:val="24"/>
          <w:highlight w:val="none"/>
          <w14:textFill>
            <w14:solidFill>
              <w14:schemeClr w14:val="tx1"/>
            </w14:solidFill>
          </w14:textFill>
        </w:rPr>
        <w:t>《投标方案评语》对各投标人递交的投标文件进行评审。如果有否决投标提议，则评标委员会成员共同表决，按照少数服从多数的原则决定是否否决。</w:t>
      </w:r>
    </w:p>
    <w:p w14:paraId="2F6DD191">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(e) </w:t>
      </w:r>
      <w:r>
        <w:rPr>
          <w:rFonts w:hint="eastAsia" w:ascii="宋体" w:hAnsi="宋体" w:eastAsia="宋体" w:cs="宋体"/>
          <w:color w:val="000000" w:themeColor="text1"/>
          <w:sz w:val="24"/>
          <w:highlight w:val="none"/>
          <w14:textFill>
            <w14:solidFill>
              <w14:schemeClr w14:val="tx1"/>
            </w14:solidFill>
          </w14:textFill>
        </w:rPr>
        <w:t>以差额选举逐轮淘汰的记名投票方式选出所有投标方案的排序，并按照</w:t>
      </w:r>
      <w:r>
        <w:rPr>
          <w:rFonts w:ascii="宋体" w:hAnsi="宋体" w:eastAsia="宋体" w:cs="宋体"/>
          <w:color w:val="000000" w:themeColor="text1"/>
          <w:sz w:val="24"/>
          <w:highlight w:val="none"/>
          <w14:textFill>
            <w14:solidFill>
              <w14:schemeClr w14:val="tx1"/>
            </w14:solidFill>
          </w14:textFill>
        </w:rPr>
        <w:t>4.5.1约定的家数入围定标阶段（该排序不作为定标的依据）；或以差额选举逐轮淘汰的记名投票方式直接确定入围定标阶段的投标人。（方案补偿费按(g)步骤确定的方式进行补偿）。</w:t>
      </w:r>
    </w:p>
    <w:p w14:paraId="44204EFC">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(f) 评标委员会揭晓投标人身份。 </w:t>
      </w:r>
    </w:p>
    <w:p w14:paraId="20AE3FB8">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(g) </w:t>
      </w:r>
      <w:r>
        <w:rPr>
          <w:rFonts w:hint="eastAsia" w:ascii="宋体" w:hAnsi="宋体" w:eastAsia="宋体" w:cs="宋体"/>
          <w:color w:val="000000" w:themeColor="text1"/>
          <w:sz w:val="24"/>
          <w:highlight w:val="none"/>
          <w14:textFill>
            <w14:solidFill>
              <w14:schemeClr w14:val="tx1"/>
            </w14:solidFill>
          </w14:textFill>
        </w:rPr>
        <w:t>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。评标委员会按上述方式推荐入围定标阶段的投标人。投标经济补偿费按投标方案的最终排序（采取排序方式的）或</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（采取直接确定入围方式的）确定进行补偿。</w:t>
      </w:r>
    </w:p>
    <w:p w14:paraId="1B61C5F6">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(h) </w:t>
      </w:r>
      <w:r>
        <w:rPr>
          <w:rFonts w:hint="eastAsia" w:ascii="宋体" w:hAnsi="宋体" w:eastAsia="宋体" w:cs="宋体"/>
          <w:color w:val="000000" w:themeColor="text1"/>
          <w:sz w:val="24"/>
          <w:highlight w:val="none"/>
          <w14:textFill>
            <w14:solidFill>
              <w14:schemeClr w14:val="tx1"/>
            </w14:solidFill>
          </w14:textFill>
        </w:rPr>
        <w:t>编写、签署评标报告，评标报告由评标委员会全体成员签字，对评标结论持有异议的评标委员会成员可以书面方式阐述其不同意见和理由。</w:t>
      </w:r>
    </w:p>
    <w:p w14:paraId="6210655B">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(i) </w:t>
      </w:r>
      <w:r>
        <w:rPr>
          <w:rFonts w:hint="eastAsia" w:ascii="宋体" w:hAnsi="宋体" w:eastAsia="宋体" w:cs="宋体"/>
          <w:color w:val="000000" w:themeColor="text1"/>
          <w:sz w:val="24"/>
          <w:highlight w:val="none"/>
          <w14:textFill>
            <w14:solidFill>
              <w14:schemeClr w14:val="tx1"/>
            </w14:solidFill>
          </w14:textFill>
        </w:rPr>
        <w:t>评标委员会向招标人提交书面评标报告后即告解散，评标过程中使用的文件、表格以及其他资料应当即时归还招标人（招标代理机构）。</w:t>
      </w:r>
    </w:p>
    <w:p w14:paraId="2F5AA1F0">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j）定标委员会定标。定标委员会按附录16《定标原则》确定</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名（不多于</w:t>
      </w:r>
      <w:r>
        <w:rPr>
          <w:rFonts w:ascii="宋体" w:hAnsi="宋体" w:eastAsia="宋体" w:cs="宋体"/>
          <w:color w:val="000000" w:themeColor="text1"/>
          <w:sz w:val="24"/>
          <w:highlight w:val="none"/>
          <w14:textFill>
            <w14:solidFill>
              <w14:schemeClr w14:val="tx1"/>
            </w14:solidFill>
          </w14:textFill>
        </w:rPr>
        <w:t>3名）中标候选人（排序），也可直接确定中标人。</w:t>
      </w:r>
    </w:p>
    <w:p w14:paraId="32DDF737">
      <w:pPr>
        <w:spacing w:line="360" w:lineRule="auto"/>
        <w:ind w:left="844" w:leftChars="201" w:hanging="422" w:hangingChars="176"/>
        <w:rPr>
          <w:rFonts w:ascii="宋体" w:hAnsi="宋体" w:eastAsia="宋体" w:cs="宋体"/>
          <w:color w:val="000000" w:themeColor="text1"/>
          <w:sz w:val="24"/>
          <w:highlight w:val="none"/>
          <w14:textFill>
            <w14:solidFill>
              <w14:schemeClr w14:val="tx1"/>
            </w14:solidFill>
          </w14:textFill>
        </w:rPr>
      </w:pPr>
    </w:p>
    <w:p w14:paraId="65667372">
      <w:pPr>
        <w:keepNext/>
        <w:keepLines/>
        <w:spacing w:before="340" w:after="330" w:line="360" w:lineRule="auto"/>
        <w:ind w:left="844" w:leftChars="201" w:hanging="422" w:hangingChars="176"/>
        <w:jc w:val="center"/>
        <w:outlineLvl w:val="1"/>
        <w:rPr>
          <w:rFonts w:ascii="宋体" w:hAnsi="宋体" w:eastAsia="宋体" w:cs="宋体"/>
          <w:b/>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34" w:name="_Toc2019"/>
      <w:bookmarkStart w:id="35" w:name="_Toc30837"/>
      <w:bookmarkStart w:id="36" w:name="_Toc5308"/>
      <w:bookmarkStart w:id="37" w:name="_Toc97803961"/>
      <w:r>
        <w:rPr>
          <w:rFonts w:hint="eastAsia" w:ascii="宋体" w:hAnsi="宋体" w:eastAsia="宋体" w:cs="宋体"/>
          <w:b/>
          <w:bCs/>
          <w:color w:val="000000" w:themeColor="text1"/>
          <w:kern w:val="44"/>
          <w:sz w:val="36"/>
          <w:szCs w:val="36"/>
          <w:highlight w:val="none"/>
          <w14:textFill>
            <w14:solidFill>
              <w14:schemeClr w14:val="tx1"/>
            </w14:solidFill>
          </w14:textFill>
        </w:rPr>
        <w:t>第五章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定标</w:t>
      </w:r>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34"/>
      <w:bookmarkEnd w:id="35"/>
      <w:bookmarkEnd w:id="36"/>
      <w:bookmarkEnd w:id="37"/>
    </w:p>
    <w:p w14:paraId="6476C34A">
      <w:pPr>
        <w:rPr>
          <w:rFonts w:ascii="宋体" w:hAnsi="宋体" w:eastAsia="宋体" w:cs="宋体"/>
          <w:color w:val="000000" w:themeColor="text1"/>
          <w:sz w:val="24"/>
          <w:highlight w:val="none"/>
          <w14:textFill>
            <w14:solidFill>
              <w14:schemeClr w14:val="tx1"/>
            </w14:solidFill>
          </w14:textFill>
        </w:rPr>
      </w:pPr>
    </w:p>
    <w:p w14:paraId="6C9AA4BD">
      <w:pPr>
        <w:spacing w:line="360" w:lineRule="auto"/>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5.1    </w:t>
      </w:r>
      <w:r>
        <w:rPr>
          <w:rFonts w:hint="eastAsia" w:ascii="宋体" w:hAnsi="宋体" w:eastAsia="宋体" w:cs="宋体"/>
          <w:b/>
          <w:color w:val="000000" w:themeColor="text1"/>
          <w:sz w:val="24"/>
          <w:highlight w:val="none"/>
          <w14:textFill>
            <w14:solidFill>
              <w14:schemeClr w14:val="tx1"/>
            </w14:solidFill>
          </w14:textFill>
        </w:rPr>
        <w:t>确定中标人</w:t>
      </w:r>
    </w:p>
    <w:p w14:paraId="2159C518">
      <w:pPr>
        <w:spacing w:line="360" w:lineRule="auto"/>
        <w:jc w:val="left"/>
        <w:rPr>
          <w:rFonts w:ascii="宋体" w:hAnsi="宋体" w:eastAsia="宋体" w:cs="宋体"/>
          <w:color w:val="000000" w:themeColor="text1"/>
          <w:sz w:val="24"/>
          <w:highlight w:val="none"/>
          <w14:textFill>
            <w14:solidFill>
              <w14:schemeClr w14:val="tx1"/>
            </w14:solidFill>
          </w14:textFill>
        </w:rPr>
      </w:pPr>
    </w:p>
    <w:p w14:paraId="5490D038">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采用方式</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确定中标人：</w:t>
      </w:r>
    </w:p>
    <w:p w14:paraId="471298C7">
      <w:pPr>
        <w:spacing w:line="360" w:lineRule="auto"/>
        <w:jc w:val="left"/>
        <w:rPr>
          <w:rFonts w:ascii="宋体" w:hAnsi="宋体" w:eastAsia="宋体" w:cs="宋体"/>
          <w:color w:val="000000" w:themeColor="text1"/>
          <w:sz w:val="24"/>
          <w:highlight w:val="none"/>
          <w14:textFill>
            <w14:solidFill>
              <w14:schemeClr w14:val="tx1"/>
            </w14:solidFill>
          </w14:textFill>
        </w:rPr>
      </w:pPr>
    </w:p>
    <w:p w14:paraId="05415DD8">
      <w:pPr>
        <w:spacing w:line="360" w:lineRule="auto"/>
        <w:jc w:val="left"/>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方式一（适用于设置资格审查环节的项目）：</w:t>
      </w:r>
    </w:p>
    <w:p w14:paraId="6F4F1F2D">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5.1.1  </w:t>
      </w:r>
      <w:r>
        <w:rPr>
          <w:rFonts w:hint="eastAsia" w:ascii="宋体" w:hAnsi="宋体" w:eastAsia="宋体" w:cs="宋体"/>
          <w:color w:val="000000" w:themeColor="text1"/>
          <w:sz w:val="24"/>
          <w:highlight w:val="none"/>
          <w14:textFill>
            <w14:solidFill>
              <w14:schemeClr w14:val="tx1"/>
            </w14:solidFill>
          </w14:textFill>
        </w:rPr>
        <w:t>招标人在评标委员会或定标委员会推荐的中标候选人中确定中标人。</w:t>
      </w:r>
    </w:p>
    <w:p w14:paraId="162C5248">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5.1.2  </w:t>
      </w:r>
      <w:r>
        <w:rPr>
          <w:rFonts w:hint="eastAsia" w:ascii="宋体" w:hAnsi="宋体" w:eastAsia="宋体" w:cs="宋体"/>
          <w:color w:val="000000" w:themeColor="text1"/>
          <w:sz w:val="24"/>
          <w:highlight w:val="none"/>
          <w14:textFill>
            <w14:solidFill>
              <w14:schemeClr w14:val="tx1"/>
            </w14:solidFill>
          </w14:textFill>
        </w:rPr>
        <w:t>招标人确定中标人：</w:t>
      </w:r>
    </w:p>
    <w:p w14:paraId="76D843DC">
      <w:pPr>
        <w:keepNext w:val="0"/>
        <w:keepLines w:val="0"/>
        <w:pageBreakBefore w:val="0"/>
        <w:widowControl w:val="0"/>
        <w:kinsoku/>
        <w:wordWrap/>
        <w:overflowPunct/>
        <w:topLinePunct w:val="0"/>
        <w:autoSpaceDE/>
        <w:autoSpaceDN/>
        <w:bidi w:val="0"/>
        <w:adjustRightInd/>
        <w:snapToGrid/>
        <w:spacing w:line="360" w:lineRule="auto"/>
        <w:ind w:left="840" w:leftChars="400"/>
        <w:jc w:val="lef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14F2744B">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5.1.3  </w:t>
      </w:r>
      <w:r>
        <w:rPr>
          <w:rFonts w:hint="eastAsia" w:ascii="宋体" w:hAnsi="宋体" w:eastAsia="宋体" w:cs="宋体"/>
          <w:color w:val="000000" w:themeColor="text1"/>
          <w:sz w:val="24"/>
          <w:highlight w:val="none"/>
          <w14:textFill>
            <w14:solidFill>
              <w14:schemeClr w14:val="tx1"/>
            </w14:solidFill>
          </w14:textFill>
        </w:rPr>
        <w:t>在产生中标候选人后，招标人将中标候选人的投标文件商务部分（包括报价清单、人员、业绩、奖项等资料）在交易平台和广东省招标投标监管网公开。</w:t>
      </w:r>
    </w:p>
    <w:p w14:paraId="258F76E0">
      <w:pPr>
        <w:spacing w:line="360" w:lineRule="auto"/>
        <w:jc w:val="left"/>
        <w:rPr>
          <w:rFonts w:ascii="宋体" w:hAnsi="宋体" w:eastAsia="宋体" w:cs="宋体"/>
          <w:color w:val="000000" w:themeColor="text1"/>
          <w:sz w:val="24"/>
          <w:highlight w:val="none"/>
          <w14:textFill>
            <w14:solidFill>
              <w14:schemeClr w14:val="tx1"/>
            </w14:solidFill>
          </w14:textFill>
        </w:rPr>
      </w:pPr>
    </w:p>
    <w:p w14:paraId="32345407">
      <w:pPr>
        <w:spacing w:line="360" w:lineRule="auto"/>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方式二（适用于未设资格审查环节的项目）：</w:t>
      </w:r>
    </w:p>
    <w:p w14:paraId="4F8A1C0E">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5.1.1  </w:t>
      </w:r>
      <w:r>
        <w:rPr>
          <w:rFonts w:hint="eastAsia" w:ascii="宋体" w:hAnsi="宋体" w:eastAsia="宋体" w:cs="宋体"/>
          <w:color w:val="000000" w:themeColor="text1"/>
          <w:sz w:val="24"/>
          <w:highlight w:val="none"/>
          <w14:textFill>
            <w14:solidFill>
              <w14:schemeClr w14:val="tx1"/>
            </w14:solidFill>
          </w14:textFill>
        </w:rPr>
        <w:t>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BF6F376">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5.1.2  </w:t>
      </w:r>
      <w:r>
        <w:rPr>
          <w:rFonts w:hint="eastAsia" w:ascii="宋体" w:hAnsi="宋体" w:eastAsia="宋体" w:cs="宋体"/>
          <w:color w:val="000000" w:themeColor="text1"/>
          <w:sz w:val="24"/>
          <w:highlight w:val="none"/>
          <w14:textFill>
            <w14:solidFill>
              <w14:schemeClr w14:val="tx1"/>
            </w14:solidFill>
          </w14:textFill>
        </w:rPr>
        <w:t>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79F52B6C">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5.1.3  </w:t>
      </w:r>
      <w:r>
        <w:rPr>
          <w:rFonts w:hint="eastAsia" w:ascii="宋体" w:hAnsi="宋体" w:eastAsia="宋体" w:cs="宋体"/>
          <w:color w:val="000000" w:themeColor="text1"/>
          <w:sz w:val="24"/>
          <w:highlight w:val="none"/>
          <w14:textFill>
            <w14:solidFill>
              <w14:schemeClr w14:val="tx1"/>
            </w14:solidFill>
          </w14:textFill>
        </w:rPr>
        <w:t>定标委员会直接确定中标人，中标人未能通过资格复核的，招标失败。招标人应重新组织招标。</w:t>
      </w:r>
    </w:p>
    <w:p w14:paraId="72AFFDC9">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5.1.4  </w:t>
      </w:r>
      <w:r>
        <w:rPr>
          <w:rFonts w:hint="eastAsia" w:ascii="宋体" w:hAnsi="宋体" w:eastAsia="宋体" w:cs="宋体"/>
          <w:color w:val="000000" w:themeColor="text1"/>
          <w:sz w:val="24"/>
          <w:highlight w:val="none"/>
          <w14:textFill>
            <w14:solidFill>
              <w14:schemeClr w14:val="tx1"/>
            </w14:solidFill>
          </w14:textFill>
        </w:rPr>
        <w:t>在产生中标候选人后，招标人将中标候选人的投标文件商务部分（包括报价清单、人员、业绩、奖项等资料）在交易平台和广东省招标投标监管网公开。</w:t>
      </w:r>
    </w:p>
    <w:p w14:paraId="54DCEC82">
      <w:pPr>
        <w:spacing w:line="360" w:lineRule="auto"/>
        <w:ind w:left="840" w:hanging="840" w:hangingChars="350"/>
        <w:rPr>
          <w:rFonts w:ascii="宋体" w:hAnsi="宋体" w:eastAsia="宋体" w:cs="宋体"/>
          <w:color w:val="000000" w:themeColor="text1"/>
          <w:sz w:val="24"/>
          <w:highlight w:val="none"/>
          <w14:textFill>
            <w14:solidFill>
              <w14:schemeClr w14:val="tx1"/>
            </w14:solidFill>
          </w14:textFill>
        </w:rPr>
      </w:pPr>
    </w:p>
    <w:p w14:paraId="7E662073">
      <w:pPr>
        <w:spacing w:line="360" w:lineRule="auto"/>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5.2    </w:t>
      </w:r>
      <w:r>
        <w:rPr>
          <w:rFonts w:hint="eastAsia" w:ascii="宋体" w:hAnsi="宋体" w:eastAsia="宋体" w:cs="宋体"/>
          <w:b/>
          <w:color w:val="000000" w:themeColor="text1"/>
          <w:sz w:val="24"/>
          <w:highlight w:val="none"/>
          <w14:textFill>
            <w14:solidFill>
              <w14:schemeClr w14:val="tx1"/>
            </w14:solidFill>
          </w14:textFill>
        </w:rPr>
        <w:t>中标资格审核及中标通知</w:t>
      </w:r>
    </w:p>
    <w:p w14:paraId="5FDB2C21">
      <w:pPr>
        <w:spacing w:line="360" w:lineRule="auto"/>
        <w:rPr>
          <w:rFonts w:ascii="宋体" w:hAnsi="宋体" w:eastAsia="宋体" w:cs="宋体"/>
          <w:color w:val="000000" w:themeColor="text1"/>
          <w:sz w:val="24"/>
          <w:highlight w:val="none"/>
          <w14:textFill>
            <w14:solidFill>
              <w14:schemeClr w14:val="tx1"/>
            </w14:solidFill>
          </w14:textFill>
        </w:rPr>
      </w:pPr>
    </w:p>
    <w:p w14:paraId="00D6EF6B">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5.2.1  </w:t>
      </w:r>
      <w:r>
        <w:rPr>
          <w:rFonts w:hint="eastAsia" w:ascii="宋体" w:hAnsi="宋体" w:eastAsia="宋体" w:cs="宋体"/>
          <w:color w:val="000000" w:themeColor="text1"/>
          <w:sz w:val="24"/>
          <w:highlight w:val="none"/>
          <w14:textFill>
            <w14:solidFill>
              <w14:schemeClr w14:val="tx1"/>
            </w14:solidFill>
          </w14:textFill>
        </w:rPr>
        <w:t>招标人发出中标通知书前，与中标人落实以下事项：</w:t>
      </w:r>
    </w:p>
    <w:p w14:paraId="6F477445">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投标文件是否有明显抄袭行为；</w:t>
      </w:r>
    </w:p>
    <w:p w14:paraId="3BAC725E">
      <w:pPr>
        <w:spacing w:line="360" w:lineRule="auto"/>
        <w:ind w:firstLine="240" w:firstLineChars="1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投标文件是否有侵犯他人著作权和特许权；</w:t>
      </w:r>
    </w:p>
    <w:p w14:paraId="086A0A18">
      <w:pPr>
        <w:spacing w:line="360" w:lineRule="auto"/>
        <w:ind w:firstLine="240" w:firstLineChars="1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投标文件是否有参加过其他竞赛，或在其他竞赛中获奖的作品。</w:t>
      </w:r>
    </w:p>
    <w:p w14:paraId="060AD6F1">
      <w:pPr>
        <w:spacing w:line="360" w:lineRule="auto"/>
        <w:ind w:left="849" w:leftChars="404" w:hanging="1"/>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中标人出现以上情形的，中标无效。招标人按照《中华人民共和国招标投标法实施条例》第五十五条的规定依次确定中标人或重新招标。</w:t>
      </w:r>
    </w:p>
    <w:p w14:paraId="75837F61">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5.2.2  </w:t>
      </w:r>
      <w:r>
        <w:rPr>
          <w:rFonts w:hint="eastAsia" w:ascii="宋体" w:hAnsi="宋体" w:eastAsia="宋体" w:cs="宋体"/>
          <w:color w:val="000000" w:themeColor="text1"/>
          <w:sz w:val="24"/>
          <w:highlight w:val="none"/>
          <w14:textFill>
            <w14:solidFill>
              <w14:schemeClr w14:val="tx1"/>
            </w14:solidFill>
          </w14:textFill>
        </w:rPr>
        <w:t>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6460B0AA">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5.2.3  </w:t>
      </w:r>
      <w:r>
        <w:rPr>
          <w:rFonts w:hint="eastAsia" w:ascii="宋体" w:hAnsi="宋体" w:eastAsia="宋体" w:cs="宋体"/>
          <w:color w:val="000000" w:themeColor="text1"/>
          <w:sz w:val="24"/>
          <w:highlight w:val="none"/>
          <w14:textFill>
            <w14:solidFill>
              <w14:schemeClr w14:val="tx1"/>
            </w14:solidFill>
          </w14:textFill>
        </w:rPr>
        <w:t>如果中标候选人的报价不符合招标文件规定，招标人有权作出修正，招标人的修正备忘录在得到中标候选人的同意后向其颁发中标通知书。</w:t>
      </w:r>
    </w:p>
    <w:p w14:paraId="6963CB6E">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5.2.4  </w:t>
      </w:r>
      <w:r>
        <w:rPr>
          <w:rFonts w:hint="eastAsia" w:ascii="宋体" w:hAnsi="宋体" w:eastAsia="宋体" w:cs="宋体"/>
          <w:color w:val="000000" w:themeColor="text1"/>
          <w:sz w:val="24"/>
          <w:highlight w:val="none"/>
          <w14:textFill>
            <w14:solidFill>
              <w14:schemeClr w14:val="tx1"/>
            </w14:solidFill>
          </w14:textFill>
        </w:rPr>
        <w:t>中标人确定后，招标人（招标代理机构）通过交易平台和广东省招标投标监管网公示中标结果。</w:t>
      </w:r>
    </w:p>
    <w:p w14:paraId="103DDDCB">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5.2.5  </w:t>
      </w:r>
      <w:r>
        <w:rPr>
          <w:rFonts w:hint="eastAsia" w:ascii="宋体" w:hAnsi="宋体" w:eastAsia="宋体" w:cs="宋体"/>
          <w:color w:val="000000" w:themeColor="text1"/>
          <w:sz w:val="24"/>
          <w:highlight w:val="none"/>
          <w14:textFill>
            <w14:solidFill>
              <w14:schemeClr w14:val="tx1"/>
            </w14:solidFill>
          </w14:textFill>
        </w:rPr>
        <w:t>招标人自确定中标人之日起十五日内向招标管理机构提交招标投标情况的书面报告。</w:t>
      </w:r>
    </w:p>
    <w:p w14:paraId="786A1581">
      <w:pPr>
        <w:spacing w:line="360" w:lineRule="auto"/>
        <w:rPr>
          <w:rFonts w:ascii="宋体" w:hAnsi="宋体" w:eastAsia="宋体" w:cs="宋体"/>
          <w:color w:val="000000" w:themeColor="text1"/>
          <w:sz w:val="24"/>
          <w:highlight w:val="none"/>
          <w14:textFill>
            <w14:solidFill>
              <w14:schemeClr w14:val="tx1"/>
            </w14:solidFill>
          </w14:textFill>
        </w:rPr>
      </w:pPr>
    </w:p>
    <w:p w14:paraId="4F24F389">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5.3    </w:t>
      </w:r>
      <w:r>
        <w:rPr>
          <w:rFonts w:hint="eastAsia" w:ascii="宋体" w:hAnsi="宋体" w:eastAsia="宋体" w:cs="宋体"/>
          <w:b/>
          <w:bCs/>
          <w:color w:val="000000" w:themeColor="text1"/>
          <w:sz w:val="24"/>
          <w:highlight w:val="none"/>
          <w14:textFill>
            <w14:solidFill>
              <w14:schemeClr w14:val="tx1"/>
            </w14:solidFill>
          </w14:textFill>
        </w:rPr>
        <w:t>其他</w:t>
      </w:r>
    </w:p>
    <w:p w14:paraId="7B3E3E9A">
      <w:pPr>
        <w:spacing w:line="360" w:lineRule="auto"/>
        <w:rPr>
          <w:rFonts w:ascii="宋体" w:hAnsi="宋体" w:eastAsia="宋体" w:cs="宋体"/>
          <w:color w:val="000000" w:themeColor="text1"/>
          <w:sz w:val="24"/>
          <w:highlight w:val="none"/>
          <w14:textFill>
            <w14:solidFill>
              <w14:schemeClr w14:val="tx1"/>
            </w14:solidFill>
          </w14:textFill>
        </w:rPr>
      </w:pPr>
    </w:p>
    <w:p w14:paraId="5CFB0DC6">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5.3.1  </w:t>
      </w:r>
      <w:r>
        <w:rPr>
          <w:rFonts w:hint="eastAsia" w:ascii="宋体" w:hAnsi="宋体" w:eastAsia="宋体" w:cs="宋体"/>
          <w:color w:val="000000" w:themeColor="text1"/>
          <w:sz w:val="24"/>
          <w:highlight w:val="none"/>
          <w14:textFill>
            <w14:solidFill>
              <w14:schemeClr w14:val="tx1"/>
            </w14:solidFill>
          </w14:textFill>
        </w:rPr>
        <w:t>凡是以他人名义投标，或者投标人允许其他单位或者个人以投标人的名义投标承揽业务的，均属违法行为，招标人对这些单位或个人的损失概不负责，对这些单位或个人的投诉概不受理。</w:t>
      </w:r>
    </w:p>
    <w:p w14:paraId="0DDB1826">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5.3.2  </w:t>
      </w:r>
      <w:r>
        <w:rPr>
          <w:rFonts w:hint="eastAsia" w:ascii="宋体" w:hAnsi="宋体" w:eastAsia="宋体" w:cs="宋体"/>
          <w:color w:val="000000" w:themeColor="text1"/>
          <w:sz w:val="24"/>
          <w:highlight w:val="none"/>
          <w14:textFill>
            <w14:solidFill>
              <w14:schemeClr w14:val="tx1"/>
            </w14:solidFill>
          </w14:textFill>
        </w:rPr>
        <w:t>本次招标由交易服务机构对各投标人提交的成果和评标过程、评标结果予以见证，若有纠纷，将按现行法律、法规通过友好协商或诉讼程序解决。</w:t>
      </w:r>
    </w:p>
    <w:p w14:paraId="740DF9E7">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5.3.3  </w:t>
      </w:r>
      <w:r>
        <w:rPr>
          <w:rFonts w:hint="eastAsia" w:ascii="宋体" w:hAnsi="宋体" w:eastAsia="宋体" w:cs="宋体"/>
          <w:color w:val="000000" w:themeColor="text1"/>
          <w:sz w:val="24"/>
          <w:highlight w:val="none"/>
          <w14:textFill>
            <w14:solidFill>
              <w14:schemeClr w14:val="tx1"/>
            </w14:solidFill>
          </w14:textFill>
        </w:rPr>
        <w:t>腐败与欺诈行为</w:t>
      </w:r>
    </w:p>
    <w:p w14:paraId="0FF14569">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在招标和合同实施期间，招标人要求投标人和承包人遵守最高的道德标准。</w:t>
      </w:r>
    </w:p>
    <w:p w14:paraId="790A476E">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5.3.3.1对本条款的规定，特定义如下词汇：</w:t>
      </w:r>
    </w:p>
    <w:p w14:paraId="5E7C2A85">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1）、“腐败行为”是指在招标或合同执行期间，通过提供、给予、接受或索要任何有价值的东西，从而影响招标人有关人员工作的行为；</w:t>
      </w:r>
    </w:p>
    <w:p w14:paraId="0E730B0B">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E827686">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5.3.3.2如果投标人被认定在本招标的竞争中有腐败或欺诈行为，则会被取消投标资格。</w:t>
      </w:r>
    </w:p>
    <w:p w14:paraId="0E11BE15">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5.3.3.3投标人如在本项目中存在串通投标、弄虚作假、行贿情形的，中标无效，行政监督部门将对其违法行为进行政处罚并通报。该投标人将被招标人列入黑名单并限制其参与招标人后续项目的投标。</w:t>
      </w:r>
    </w:p>
    <w:p w14:paraId="713E7BC4">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5.3.4  </w:t>
      </w:r>
      <w:r>
        <w:rPr>
          <w:rFonts w:hint="eastAsia" w:ascii="宋体" w:hAnsi="宋体" w:eastAsia="宋体" w:cs="宋体"/>
          <w:color w:val="000000" w:themeColor="text1"/>
          <w:sz w:val="24"/>
          <w:highlight w:val="none"/>
          <w14:textFill>
            <w14:solidFill>
              <w14:schemeClr w14:val="tx1"/>
            </w14:solidFill>
          </w14:textFill>
        </w:rPr>
        <w:t>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138D01F8">
      <w:pPr>
        <w:keepNext/>
        <w:keepLines/>
        <w:spacing w:before="340" w:after="330" w:line="360" w:lineRule="auto"/>
        <w:jc w:val="center"/>
        <w:outlineLvl w:val="1"/>
        <w:rPr>
          <w:rFonts w:ascii="宋体" w:hAnsi="宋体" w:eastAsia="宋体" w:cs="宋体"/>
          <w:b/>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38" w:name="_Toc13475"/>
      <w:bookmarkStart w:id="39" w:name="_Toc5926"/>
      <w:bookmarkStart w:id="40" w:name="_Toc27198"/>
      <w:bookmarkStart w:id="41" w:name="_Toc97803962"/>
      <w:r>
        <w:rPr>
          <w:rFonts w:hint="eastAsia" w:ascii="宋体" w:hAnsi="宋体" w:eastAsia="宋体" w:cs="宋体"/>
          <w:b/>
          <w:bCs/>
          <w:color w:val="000000" w:themeColor="text1"/>
          <w:kern w:val="44"/>
          <w:sz w:val="36"/>
          <w:szCs w:val="36"/>
          <w:highlight w:val="none"/>
          <w14:textFill>
            <w14:solidFill>
              <w14:schemeClr w14:val="tx1"/>
            </w14:solidFill>
          </w14:textFill>
        </w:rPr>
        <w:t>第六章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授予合同</w:t>
      </w:r>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38"/>
      <w:bookmarkEnd w:id="39"/>
      <w:bookmarkEnd w:id="40"/>
      <w:bookmarkEnd w:id="41"/>
    </w:p>
    <w:p w14:paraId="71F8E1DA">
      <w:pPr>
        <w:spacing w:line="360" w:lineRule="auto"/>
        <w:rPr>
          <w:rFonts w:ascii="宋体" w:hAnsi="宋体" w:eastAsia="宋体" w:cs="宋体"/>
          <w:color w:val="000000" w:themeColor="text1"/>
          <w:sz w:val="24"/>
          <w:highlight w:val="none"/>
          <w14:textFill>
            <w14:solidFill>
              <w14:schemeClr w14:val="tx1"/>
            </w14:solidFill>
          </w14:textFill>
        </w:rPr>
      </w:pPr>
    </w:p>
    <w:p w14:paraId="1C78BFB6">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6.1    </w:t>
      </w:r>
      <w:r>
        <w:rPr>
          <w:rFonts w:hint="eastAsia" w:ascii="宋体" w:hAnsi="宋体" w:eastAsia="宋体" w:cs="宋体"/>
          <w:b/>
          <w:bCs/>
          <w:color w:val="000000" w:themeColor="text1"/>
          <w:sz w:val="24"/>
          <w:highlight w:val="none"/>
          <w14:textFill>
            <w14:solidFill>
              <w14:schemeClr w14:val="tx1"/>
            </w14:solidFill>
          </w14:textFill>
        </w:rPr>
        <w:t>授予合同</w:t>
      </w:r>
    </w:p>
    <w:p w14:paraId="6DEB05C5">
      <w:pPr>
        <w:spacing w:line="360" w:lineRule="auto"/>
        <w:rPr>
          <w:rFonts w:ascii="宋体" w:hAnsi="宋体" w:eastAsia="宋体" w:cs="宋体"/>
          <w:color w:val="000000" w:themeColor="text1"/>
          <w:sz w:val="24"/>
          <w:highlight w:val="none"/>
          <w14:textFill>
            <w14:solidFill>
              <w14:schemeClr w14:val="tx1"/>
            </w14:solidFill>
          </w14:textFill>
        </w:rPr>
      </w:pPr>
    </w:p>
    <w:p w14:paraId="44697C14">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6.1.1  招标人一般将合同授予中标人，合同必须在投标有效期或投标人接受的延长期内授出。</w:t>
      </w:r>
    </w:p>
    <w:p w14:paraId="25946E50">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6.1.2  中标通知书是合同的组成部分，任何单位和个人不得采取有碍合同生效或履行的行动。</w:t>
      </w:r>
    </w:p>
    <w:p w14:paraId="54B6A1E6">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2C511004">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8DA9A22">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6.1.5  招标人提供证据证明中标人有下列行为之一的，经有关行政监督部门确认，该中标无效，招标人不与中标人签订合同：</w:t>
      </w:r>
    </w:p>
    <w:p w14:paraId="11645F91">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不能兑现投标承诺；</w:t>
      </w:r>
    </w:p>
    <w:p w14:paraId="59A6D80E">
      <w:pPr>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弄虚作假骗取中标；</w:t>
      </w:r>
    </w:p>
    <w:p w14:paraId="0A0ED0A0">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（c）在招标、投标、评标、定标以及授予合同过程中，对招标人、代理机构、其他投标人、评标委员会成员、</w:t>
      </w:r>
      <w:r>
        <w:rPr>
          <w:rFonts w:hint="eastAsia" w:ascii="宋体" w:hAnsi="宋体" w:eastAsia="宋体" w:cs="宋体"/>
          <w:color w:val="000000" w:themeColor="text1"/>
          <w:kern w:val="0"/>
          <w:sz w:val="24"/>
          <w:highlight w:val="none"/>
          <w14:textFill>
            <w14:solidFill>
              <w14:schemeClr w14:val="tx1"/>
            </w14:solidFill>
          </w14:textFill>
        </w:rPr>
        <w:t>交易服务机构的</w:t>
      </w:r>
      <w:r>
        <w:rPr>
          <w:rFonts w:hint="eastAsia" w:ascii="宋体" w:hAnsi="宋体" w:eastAsia="宋体" w:cs="宋体"/>
          <w:color w:val="000000" w:themeColor="text1"/>
          <w:sz w:val="24"/>
          <w:highlight w:val="none"/>
          <w14:textFill>
            <w14:solidFill>
              <w14:schemeClr w14:val="tx1"/>
            </w14:solidFill>
          </w14:textFill>
        </w:rPr>
        <w:t>工作人员行贿、</w:t>
      </w:r>
      <w:r>
        <w:rPr>
          <w:rFonts w:hint="eastAsia" w:ascii="宋体" w:hAnsi="宋体" w:eastAsia="宋体" w:cs="宋体"/>
          <w:color w:val="000000" w:themeColor="text1"/>
          <w:kern w:val="0"/>
          <w:sz w:val="24"/>
          <w:highlight w:val="none"/>
          <w14:textFill>
            <w14:solidFill>
              <w14:schemeClr w14:val="tx1"/>
            </w14:solidFill>
          </w14:textFill>
        </w:rPr>
        <w:t>利诱、</w:t>
      </w:r>
      <w:r>
        <w:rPr>
          <w:rFonts w:hint="eastAsia" w:ascii="宋体" w:hAnsi="宋体" w:eastAsia="宋体" w:cs="宋体"/>
          <w:color w:val="000000" w:themeColor="text1"/>
          <w:sz w:val="24"/>
          <w:highlight w:val="none"/>
          <w14:textFill>
            <w14:solidFill>
              <w14:schemeClr w14:val="tx1"/>
            </w14:solidFill>
          </w14:textFill>
        </w:rPr>
        <w:t>欺诈或者施加影响；</w:t>
      </w:r>
    </w:p>
    <w:p w14:paraId="02C83BDF">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(d) 擅自将任务转包其他单位；</w:t>
      </w:r>
    </w:p>
    <w:p w14:paraId="50F1828C">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(e) 中标人实质上不符合投标资格；</w:t>
      </w:r>
    </w:p>
    <w:p w14:paraId="12E40034">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(f) 法律、法规规定的其他损害招标人利益和社会公共利益的情形。</w:t>
      </w:r>
    </w:p>
    <w:p w14:paraId="51ABC2ED">
      <w:pPr>
        <w:keepNext/>
        <w:keepLines/>
        <w:spacing w:before="340" w:after="330" w:line="360" w:lineRule="auto"/>
        <w:jc w:val="center"/>
        <w:outlineLvl w:val="1"/>
        <w:rPr>
          <w:rFonts w:ascii="宋体" w:hAnsi="宋体" w:eastAsia="宋体" w:cs="宋体"/>
          <w:b/>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42" w:name="_Toc15867"/>
      <w:bookmarkStart w:id="43" w:name="_Toc29222"/>
      <w:bookmarkStart w:id="44" w:name="_Toc97803963"/>
      <w:bookmarkStart w:id="45" w:name="_Toc4776"/>
      <w:r>
        <w:rPr>
          <w:rFonts w:hint="eastAsia" w:ascii="宋体" w:hAnsi="宋体" w:eastAsia="宋体" w:cs="宋体"/>
          <w:b/>
          <w:bCs/>
          <w:color w:val="000000" w:themeColor="text1"/>
          <w:kern w:val="44"/>
          <w:sz w:val="36"/>
          <w:szCs w:val="36"/>
          <w:highlight w:val="none"/>
          <w14:textFill>
            <w14:solidFill>
              <w14:schemeClr w14:val="tx1"/>
            </w14:solidFill>
          </w14:textFill>
        </w:rPr>
        <w:t>第七章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知识产权</w:t>
      </w:r>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42"/>
      <w:bookmarkEnd w:id="43"/>
      <w:bookmarkEnd w:id="44"/>
      <w:bookmarkEnd w:id="45"/>
    </w:p>
    <w:p w14:paraId="1279BA02">
      <w:pPr>
        <w:spacing w:line="360" w:lineRule="auto"/>
        <w:rPr>
          <w:rFonts w:ascii="宋体" w:hAnsi="宋体" w:eastAsia="宋体" w:cs="宋体"/>
          <w:color w:val="000000" w:themeColor="text1"/>
          <w:sz w:val="24"/>
          <w:highlight w:val="none"/>
          <w14:textFill>
            <w14:solidFill>
              <w14:schemeClr w14:val="tx1"/>
            </w14:solidFill>
          </w14:textFill>
        </w:rPr>
      </w:pPr>
    </w:p>
    <w:p w14:paraId="15EF1E8C">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7.1    </w:t>
      </w:r>
      <w:r>
        <w:rPr>
          <w:rFonts w:hint="eastAsia" w:ascii="宋体" w:hAnsi="宋体" w:eastAsia="宋体" w:cs="宋体"/>
          <w:b/>
          <w:bCs/>
          <w:color w:val="000000" w:themeColor="text1"/>
          <w:sz w:val="24"/>
          <w:highlight w:val="none"/>
          <w14:textFill>
            <w14:solidFill>
              <w14:schemeClr w14:val="tx1"/>
            </w14:solidFill>
          </w14:textFill>
        </w:rPr>
        <w:t>公开展示</w:t>
      </w:r>
    </w:p>
    <w:p w14:paraId="4A1908B5">
      <w:pPr>
        <w:spacing w:line="360" w:lineRule="auto"/>
        <w:rPr>
          <w:rFonts w:ascii="宋体" w:hAnsi="宋体" w:eastAsia="宋体" w:cs="宋体"/>
          <w:color w:val="000000" w:themeColor="text1"/>
          <w:sz w:val="24"/>
          <w:highlight w:val="none"/>
          <w14:textFill>
            <w14:solidFill>
              <w14:schemeClr w14:val="tx1"/>
            </w14:solidFill>
          </w14:textFill>
        </w:rPr>
      </w:pPr>
    </w:p>
    <w:p w14:paraId="217B0C54">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7.1.1  </w:t>
      </w:r>
      <w:r>
        <w:rPr>
          <w:rFonts w:hint="eastAsia" w:ascii="宋体" w:hAnsi="宋体" w:eastAsia="宋体" w:cs="宋体"/>
          <w:color w:val="000000" w:themeColor="text1"/>
          <w:sz w:val="24"/>
          <w:highlight w:val="none"/>
          <w14:textFill>
            <w14:solidFill>
              <w14:schemeClr w14:val="tx1"/>
            </w14:solidFill>
          </w14:textFill>
        </w:rPr>
        <w:t>按招标文件规定获得补偿的投标文件，评标后不予退回。</w:t>
      </w:r>
    </w:p>
    <w:p w14:paraId="7C54602E">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7.1.2  </w:t>
      </w:r>
      <w:r>
        <w:rPr>
          <w:rFonts w:hint="eastAsia" w:ascii="宋体" w:hAnsi="宋体" w:eastAsia="宋体" w:cs="宋体"/>
          <w:color w:val="000000" w:themeColor="text1"/>
          <w:sz w:val="24"/>
          <w:highlight w:val="none"/>
          <w14:textFill>
            <w14:solidFill>
              <w14:schemeClr w14:val="tx1"/>
            </w14:solidFill>
          </w14:textFill>
        </w:rPr>
        <w:t>招标人有权在评标结束后公开展示获得补偿费用的所有投标方案成果，并通过传播媒介、杂志、书刊或其它形式介绍、展示及评价该方案成果，所有展示、推介、广告均不再向投标人支付费用。</w:t>
      </w:r>
    </w:p>
    <w:p w14:paraId="5BB15577">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p>
    <w:p w14:paraId="18D202A6">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7.2    </w:t>
      </w:r>
      <w:r>
        <w:rPr>
          <w:rFonts w:hint="eastAsia" w:ascii="宋体" w:hAnsi="宋体" w:eastAsia="宋体" w:cs="宋体"/>
          <w:b/>
          <w:bCs/>
          <w:color w:val="000000" w:themeColor="text1"/>
          <w:sz w:val="24"/>
          <w:highlight w:val="none"/>
          <w14:textFill>
            <w14:solidFill>
              <w14:schemeClr w14:val="tx1"/>
            </w14:solidFill>
          </w14:textFill>
        </w:rPr>
        <w:t>知识产权转移</w:t>
      </w:r>
    </w:p>
    <w:p w14:paraId="7CE20DDB">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p>
    <w:p w14:paraId="6710CF52">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7.2.1  </w:t>
      </w:r>
      <w:r>
        <w:rPr>
          <w:rFonts w:hint="eastAsia" w:ascii="宋体" w:hAnsi="宋体" w:eastAsia="宋体" w:cs="宋体"/>
          <w:color w:val="000000" w:themeColor="text1"/>
          <w:sz w:val="24"/>
          <w:highlight w:val="none"/>
          <w14:textFill>
            <w14:solidFill>
              <w14:schemeClr w14:val="tx1"/>
            </w14:solidFill>
          </w14:textFill>
        </w:rPr>
        <w:t>授予合同并支付定金后，中标方案的发表权、展览权、使用权归招标人和中标人共有。</w:t>
      </w:r>
    </w:p>
    <w:p w14:paraId="53EEFA87">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7.2.2  </w:t>
      </w:r>
      <w:r>
        <w:rPr>
          <w:rFonts w:hint="eastAsia" w:ascii="宋体" w:hAnsi="宋体" w:eastAsia="宋体" w:cs="宋体"/>
          <w:color w:val="000000" w:themeColor="text1"/>
          <w:sz w:val="24"/>
          <w:highlight w:val="none"/>
          <w14:textFill>
            <w14:solidFill>
              <w14:schemeClr w14:val="tx1"/>
            </w14:solidFill>
          </w14:textFill>
        </w:rPr>
        <w:t>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w:t>
      </w:r>
      <w:r>
        <w:rPr>
          <w:rFonts w:hint="eastAsia" w:ascii="宋体" w:hAnsi="宋体" w:eastAsia="宋体" w:cs="宋体"/>
          <w:color w:val="000000" w:themeColor="text1"/>
          <w:sz w:val="24"/>
          <w:highlight w:val="none"/>
          <w:lang w:val="en-US" w:eastAsia="zh-CN"/>
          <w14:textFill>
            <w14:solidFill>
              <w14:schemeClr w14:val="tx1"/>
            </w14:solidFill>
          </w14:textFill>
        </w:rPr>
        <w:t>收到</w:t>
      </w:r>
      <w:r>
        <w:rPr>
          <w:rFonts w:hint="eastAsia" w:ascii="宋体" w:hAnsi="宋体" w:eastAsia="宋体" w:cs="宋体"/>
          <w:color w:val="000000" w:themeColor="text1"/>
          <w:sz w:val="24"/>
          <w:highlight w:val="none"/>
          <w14:textFill>
            <w14:solidFill>
              <w14:schemeClr w14:val="tx1"/>
            </w14:solidFill>
          </w14:textFill>
        </w:rPr>
        <w:t>损害的，有权要求中标人予以赔偿，如果招标人、中标人使用未中标方案作为本项目实施方案，招标人按招标文件规定向提交方案的投标人付给使用费后，该方案的发表权、展览权、使用权归招标人和中标人共有。</w:t>
      </w:r>
    </w:p>
    <w:p w14:paraId="4033DED6">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p>
    <w:p w14:paraId="041CF9AD">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7.3    </w:t>
      </w:r>
      <w:r>
        <w:rPr>
          <w:rFonts w:hint="eastAsia" w:ascii="宋体" w:hAnsi="宋体" w:eastAsia="宋体" w:cs="宋体"/>
          <w:b/>
          <w:bCs/>
          <w:color w:val="000000" w:themeColor="text1"/>
          <w:sz w:val="24"/>
          <w:highlight w:val="none"/>
          <w14:textFill>
            <w14:solidFill>
              <w14:schemeClr w14:val="tx1"/>
            </w14:solidFill>
          </w14:textFill>
        </w:rPr>
        <w:t>其他</w:t>
      </w:r>
    </w:p>
    <w:p w14:paraId="3FE8392A">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p>
    <w:p w14:paraId="0B4CC12B">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7.3.1  </w:t>
      </w:r>
      <w:r>
        <w:rPr>
          <w:rFonts w:hint="eastAsia" w:ascii="宋体" w:hAnsi="宋体" w:eastAsia="宋体" w:cs="宋体"/>
          <w:color w:val="000000" w:themeColor="text1"/>
          <w:sz w:val="24"/>
          <w:highlight w:val="none"/>
          <w14:textFill>
            <w14:solidFill>
              <w14:schemeClr w14:val="tx1"/>
            </w14:solidFill>
          </w14:textFill>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01E49774">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7.3.2  </w:t>
      </w:r>
      <w:r>
        <w:rPr>
          <w:rFonts w:hint="eastAsia" w:ascii="宋体" w:hAnsi="宋体" w:eastAsia="宋体" w:cs="宋体"/>
          <w:color w:val="000000" w:themeColor="text1"/>
          <w:sz w:val="24"/>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p>
    <w:p w14:paraId="55017753">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7.3.3  </w:t>
      </w:r>
      <w:r>
        <w:rPr>
          <w:rFonts w:hint="eastAsia" w:ascii="宋体" w:hAnsi="宋体" w:eastAsia="宋体" w:cs="宋体"/>
          <w:color w:val="000000" w:themeColor="text1"/>
          <w:sz w:val="24"/>
          <w:highlight w:val="none"/>
          <w14:textFill>
            <w14:solidFill>
              <w14:schemeClr w14:val="tx1"/>
            </w14:solidFill>
          </w14:textFill>
        </w:rPr>
        <w:t>中标人未经招标人许可，不得将中标方案成果整体用于其他相同或类似项目的投标和设计（专利权除外）。</w:t>
      </w:r>
    </w:p>
    <w:p w14:paraId="0DEDA253">
      <w:pPr>
        <w:spacing w:line="360" w:lineRule="auto"/>
        <w:ind w:left="840" w:hanging="840" w:hangingChars="35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7.3.4  </w:t>
      </w:r>
      <w:r>
        <w:rPr>
          <w:rFonts w:hint="eastAsia" w:ascii="宋体" w:hAnsi="宋体" w:eastAsia="宋体" w:cs="宋体"/>
          <w:color w:val="000000" w:themeColor="text1"/>
          <w:sz w:val="24"/>
          <w:highlight w:val="none"/>
          <w14:textFill>
            <w14:solidFill>
              <w14:schemeClr w14:val="tx1"/>
            </w14:solidFill>
          </w14:textFill>
        </w:rPr>
        <w:t>招标人有权无须事先征求中标人的同意而披露关于中标人的名称、地址、合同条款。</w:t>
      </w:r>
    </w:p>
    <w:p w14:paraId="0947ACC9">
      <w:pPr>
        <w:spacing w:line="360" w:lineRule="auto"/>
        <w:rPr>
          <w:rFonts w:ascii="宋体" w:hAnsi="宋体" w:eastAsia="宋体" w:cs="Times New Roman"/>
          <w:color w:val="000000" w:themeColor="text1"/>
          <w:sz w:val="24"/>
          <w:highlight w:val="none"/>
          <w14:textFill>
            <w14:solidFill>
              <w14:schemeClr w14:val="tx1"/>
            </w14:solidFill>
          </w14:textFill>
        </w:rPr>
      </w:pPr>
    </w:p>
    <w:p w14:paraId="4C97DF41">
      <w:pPr>
        <w:spacing w:line="360" w:lineRule="auto"/>
        <w:rPr>
          <w:rFonts w:ascii="宋体" w:hAnsi="宋体" w:eastAsia="宋体" w:cs="Times New Roman"/>
          <w:color w:val="000000" w:themeColor="text1"/>
          <w:sz w:val="24"/>
          <w:highlight w:val="none"/>
          <w14:textFill>
            <w14:solidFill>
              <w14:schemeClr w14:val="tx1"/>
            </w14:solidFill>
          </w14:textFill>
        </w:rPr>
      </w:pPr>
    </w:p>
    <w:p w14:paraId="254DAE66">
      <w:pPr>
        <w:rPr>
          <w:rFonts w:ascii="宋体" w:hAnsi="宋体" w:eastAsia="宋体" w:cs="Times New Roman"/>
          <w:color w:val="000000" w:themeColor="text1"/>
          <w:highlight w:val="none"/>
          <w14:textFill>
            <w14:solidFill>
              <w14:schemeClr w14:val="tx1"/>
            </w14:solidFill>
          </w14:textFill>
        </w:rPr>
      </w:pPr>
    </w:p>
    <w:p w14:paraId="1F773806">
      <w:pPr>
        <w:keepNext/>
        <w:keepLines/>
        <w:spacing w:line="360" w:lineRule="auto"/>
        <w:jc w:val="center"/>
        <w:outlineLvl w:val="1"/>
        <w:rPr>
          <w:rFonts w:ascii="Calibri" w:hAnsi="Calibri" w:eastAsia="宋体" w:cs="Times New Roman"/>
          <w:b/>
          <w:bCs/>
          <w:color w:val="000000" w:themeColor="text1"/>
          <w:kern w:val="44"/>
          <w:sz w:val="36"/>
          <w:szCs w:val="36"/>
          <w:highlight w:val="none"/>
          <w14:textFill>
            <w14:solidFill>
              <w14:schemeClr w14:val="tx1"/>
            </w14:solidFill>
          </w14:textFill>
        </w:rPr>
      </w:pPr>
      <w:r>
        <w:rPr>
          <w:rFonts w:ascii="Calibri" w:hAnsi="Calibri" w:eastAsia="宋体" w:cs="Times New Roman"/>
          <w:color w:val="000000" w:themeColor="text1"/>
          <w:highlight w:val="none"/>
          <w14:textFill>
            <w14:solidFill>
              <w14:schemeClr w14:val="tx1"/>
            </w14:solidFill>
          </w14:textFill>
        </w:rPr>
        <w:br w:type="page"/>
      </w:r>
      <w:bookmarkStart w:id="46" w:name="_Toc15768"/>
      <w:bookmarkStart w:id="47" w:name="_Toc12039"/>
      <w:bookmarkStart w:id="48" w:name="_Toc27067"/>
      <w:bookmarkStart w:id="49" w:name="_Toc16737"/>
      <w:r>
        <w:rPr>
          <w:rFonts w:hint="eastAsia" w:ascii="Calibri" w:hAnsi="Calibri" w:eastAsia="宋体" w:cs="Times New Roman"/>
          <w:b/>
          <w:bCs/>
          <w:color w:val="000000" w:themeColor="text1"/>
          <w:kern w:val="44"/>
          <w:sz w:val="36"/>
          <w:szCs w:val="36"/>
          <w:highlight w:val="none"/>
          <w14:textFill>
            <w14:solidFill>
              <w14:schemeClr w14:val="tx1"/>
            </w14:solidFill>
          </w14:textFill>
        </w:rPr>
        <w:t>第八章</w:t>
      </w:r>
      <w:r>
        <w:rPr>
          <w:rFonts w:ascii="Calibri" w:hAnsi="Calibri" w:eastAsia="宋体" w:cs="Times New Roman"/>
          <w:b/>
          <w:bCs/>
          <w:color w:val="000000" w:themeColor="text1"/>
          <w:kern w:val="44"/>
          <w:sz w:val="36"/>
          <w:szCs w:val="36"/>
          <w:highlight w:val="none"/>
          <w14:textFill>
            <w14:solidFill>
              <w14:schemeClr w14:val="tx1"/>
            </w14:solidFill>
          </w14:textFill>
        </w:rPr>
        <w:t xml:space="preserve">  </w:t>
      </w:r>
      <w:r>
        <w:rPr>
          <w:rFonts w:hint="eastAsia" w:ascii="Calibri" w:hAnsi="Calibri" w:eastAsia="宋体" w:cs="Times New Roman"/>
          <w:b/>
          <w:bCs/>
          <w:color w:val="000000" w:themeColor="text1"/>
          <w:kern w:val="44"/>
          <w:sz w:val="36"/>
          <w:szCs w:val="36"/>
          <w:highlight w:val="none"/>
          <w14:textFill>
            <w14:solidFill>
              <w14:schemeClr w14:val="tx1"/>
            </w14:solidFill>
          </w14:textFill>
        </w:rPr>
        <w:t>合同条款</w:t>
      </w:r>
      <w:bookmarkEnd w:id="46"/>
      <w:bookmarkEnd w:id="47"/>
      <w:bookmarkEnd w:id="48"/>
      <w:bookmarkEnd w:id="49"/>
    </w:p>
    <w:p w14:paraId="75E36BC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（另册）</w:t>
      </w:r>
    </w:p>
    <w:p w14:paraId="26AC7B0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4BF8E6F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424E689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AndChars" w:linePitch="312" w:charSpace="0"/>
        </w:sectPr>
      </w:pPr>
    </w:p>
    <w:p w14:paraId="3BAEA4A0">
      <w:pPr>
        <w:keepNext/>
        <w:keepLines/>
        <w:spacing w:line="360" w:lineRule="auto"/>
        <w:outlineLvl w:val="1"/>
        <w:rPr>
          <w:rFonts w:hint="eastAsia" w:ascii="宋体" w:hAnsi="宋体" w:eastAsia="宋体" w:cs="宋体"/>
          <w:b/>
          <w:bCs/>
          <w:strike/>
          <w:color w:val="000000" w:themeColor="text1"/>
          <w:kern w:val="44"/>
          <w:sz w:val="30"/>
          <w:szCs w:val="30"/>
          <w:highlight w:val="none"/>
          <w14:textFill>
            <w14:solidFill>
              <w14:schemeClr w14:val="tx1"/>
            </w14:solidFill>
          </w14:textFill>
        </w:rPr>
      </w:pPr>
      <w:bookmarkStart w:id="50" w:name="_Toc221"/>
      <w:bookmarkStart w:id="51" w:name="_Toc5387"/>
      <w:bookmarkStart w:id="52" w:name="_Toc16652"/>
      <w:bookmarkStart w:id="53" w:name="_Toc9307"/>
      <w:r>
        <w:rPr>
          <w:rFonts w:hint="eastAsia" w:ascii="宋体" w:hAnsi="宋体" w:eastAsia="宋体" w:cs="宋体"/>
          <w:b/>
          <w:bCs/>
          <w:strike/>
          <w:color w:val="000000" w:themeColor="text1"/>
          <w:kern w:val="44"/>
          <w:sz w:val="30"/>
          <w:szCs w:val="30"/>
          <w:highlight w:val="none"/>
          <w14:textFill>
            <w14:solidFill>
              <w14:schemeClr w14:val="tx1"/>
            </w14:solidFill>
          </w14:textFill>
        </w:rPr>
        <w:t>附录1 投标申请表（投入人员承诺）</w:t>
      </w:r>
      <w:bookmarkEnd w:id="50"/>
      <w:bookmarkEnd w:id="51"/>
      <w:bookmarkEnd w:id="52"/>
      <w:bookmarkEnd w:id="53"/>
    </w:p>
    <w:p w14:paraId="7BC90758">
      <w:pPr>
        <w:spacing w:line="360" w:lineRule="auto"/>
        <w:jc w:val="center"/>
        <w:rPr>
          <w:rFonts w:ascii="宋体" w:hAnsi="宋体" w:eastAsia="宋体" w:cs="Times New Roman"/>
          <w:b/>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sz w:val="28"/>
          <w:szCs w:val="28"/>
          <w:highlight w:val="none"/>
          <w14:textFill>
            <w14:solidFill>
              <w14:schemeClr w14:val="tx1"/>
            </w14:solidFill>
          </w14:textFill>
        </w:rPr>
        <w:t>投标申请表</w:t>
      </w:r>
      <w:r>
        <w:rPr>
          <w:rFonts w:hint="eastAsia" w:ascii="宋体" w:hAnsi="宋体" w:eastAsia="宋体" w:cs="Times New Roman"/>
          <w:b/>
          <w:bCs/>
          <w:strike/>
          <w:color w:val="000000" w:themeColor="text1"/>
          <w:sz w:val="28"/>
          <w:szCs w:val="28"/>
          <w:highlight w:val="none"/>
          <w14:textFill>
            <w14:solidFill>
              <w14:schemeClr w14:val="tx1"/>
            </w14:solidFill>
          </w14:textFill>
        </w:rPr>
        <w:t>（投入人员承诺）</w:t>
      </w:r>
    </w:p>
    <w:tbl>
      <w:tblPr>
        <w:tblStyle w:val="15"/>
        <w:tblW w:w="14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6C67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7E77A4D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r>
              <w:rPr>
                <w:rFonts w:hint="eastAsia" w:ascii="宋体" w:hAnsi="宋体" w:eastAsia="宋体" w:cs="Times New Roman"/>
                <w:strike/>
                <w:color w:val="000000" w:themeColor="text1"/>
                <w:szCs w:val="21"/>
                <w:highlight w:val="none"/>
                <w14:textFill>
                  <w14:solidFill>
                    <w14:schemeClr w14:val="tx1"/>
                  </w14:solidFill>
                </w14:textFill>
              </w:rPr>
              <w:t>序号</w:t>
            </w:r>
          </w:p>
        </w:tc>
        <w:tc>
          <w:tcPr>
            <w:tcW w:w="1074" w:type="dxa"/>
            <w:vAlign w:val="center"/>
          </w:tcPr>
          <w:p w14:paraId="3EF5307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姓名</w:t>
            </w:r>
          </w:p>
        </w:tc>
        <w:tc>
          <w:tcPr>
            <w:tcW w:w="2748" w:type="dxa"/>
            <w:vAlign w:val="center"/>
          </w:tcPr>
          <w:p w14:paraId="35F2D01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专业分工</w:t>
            </w:r>
          </w:p>
        </w:tc>
        <w:tc>
          <w:tcPr>
            <w:tcW w:w="3013" w:type="dxa"/>
            <w:vAlign w:val="center"/>
          </w:tcPr>
          <w:p w14:paraId="58A24C2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专业职称</w:t>
            </w:r>
          </w:p>
        </w:tc>
        <w:tc>
          <w:tcPr>
            <w:tcW w:w="1221" w:type="dxa"/>
            <w:vAlign w:val="center"/>
          </w:tcPr>
          <w:p w14:paraId="3D69123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工龄（年）</w:t>
            </w:r>
          </w:p>
        </w:tc>
        <w:tc>
          <w:tcPr>
            <w:tcW w:w="5397" w:type="dxa"/>
            <w:vAlign w:val="center"/>
          </w:tcPr>
          <w:p w14:paraId="7309CCE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Calibri" w:hAnsi="宋体" w:eastAsia="宋体" w:cs="Times New Roman"/>
                <w:strike/>
                <w:color w:val="000000" w:themeColor="text1"/>
                <w:highlight w:val="none"/>
                <w14:textFill>
                  <w14:solidFill>
                    <w14:schemeClr w14:val="tx1"/>
                  </w14:solidFill>
                </w14:textFill>
              </w:rPr>
              <w:t>主要作品、业绩、著作名称</w:t>
            </w:r>
          </w:p>
        </w:tc>
      </w:tr>
      <w:tr w14:paraId="7EF3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4BB3EF4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378A959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2748" w:type="dxa"/>
            <w:vAlign w:val="center"/>
          </w:tcPr>
          <w:p w14:paraId="215117E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总负责人</w:t>
            </w:r>
          </w:p>
        </w:tc>
        <w:tc>
          <w:tcPr>
            <w:tcW w:w="3013" w:type="dxa"/>
            <w:vAlign w:val="center"/>
          </w:tcPr>
          <w:p w14:paraId="0B2A219D">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职务：</w:t>
            </w:r>
          </w:p>
        </w:tc>
        <w:tc>
          <w:tcPr>
            <w:tcW w:w="1221" w:type="dxa"/>
            <w:vAlign w:val="center"/>
          </w:tcPr>
          <w:p w14:paraId="41757EA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5397" w:type="dxa"/>
            <w:vAlign w:val="center"/>
          </w:tcPr>
          <w:p w14:paraId="3C1A89F6">
            <w:pPr>
              <w:keepNext w:val="0"/>
              <w:keepLines w:val="0"/>
              <w:suppressLineNumbers w:val="0"/>
              <w:spacing w:before="0" w:beforeAutospacing="0" w:after="0" w:afterAutospacing="0" w:line="360" w:lineRule="auto"/>
              <w:ind w:left="0" w:right="0"/>
              <w:jc w:val="center"/>
              <w:rPr>
                <w:rFonts w:hint="default" w:ascii="Calibri" w:hAnsi="宋体" w:eastAsia="宋体" w:cs="Times New Roman"/>
                <w:strike/>
                <w:color w:val="000000" w:themeColor="text1"/>
                <w:highlight w:val="none"/>
                <w14:textFill>
                  <w14:solidFill>
                    <w14:schemeClr w14:val="tx1"/>
                  </w14:solidFill>
                </w14:textFill>
              </w:rPr>
            </w:pPr>
          </w:p>
        </w:tc>
      </w:tr>
      <w:tr w14:paraId="5A16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4475E900">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strike/>
                <w:color w:val="000000" w:themeColor="text1"/>
                <w:sz w:val="32"/>
                <w:szCs w:val="21"/>
                <w:highlight w:val="none"/>
                <w14:textFill>
                  <w14:solidFill>
                    <w14:schemeClr w14:val="tx1"/>
                  </w14:solidFill>
                </w14:textFill>
              </w:rPr>
            </w:pPr>
          </w:p>
        </w:tc>
        <w:tc>
          <w:tcPr>
            <w:tcW w:w="1074" w:type="dxa"/>
            <w:vAlign w:val="center"/>
          </w:tcPr>
          <w:p w14:paraId="6045E8D5">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strike/>
                <w:color w:val="000000" w:themeColor="text1"/>
                <w:sz w:val="32"/>
                <w:szCs w:val="21"/>
                <w:highlight w:val="none"/>
                <w14:textFill>
                  <w14:solidFill>
                    <w14:schemeClr w14:val="tx1"/>
                  </w14:solidFill>
                </w14:textFill>
              </w:rPr>
            </w:pPr>
          </w:p>
        </w:tc>
        <w:tc>
          <w:tcPr>
            <w:tcW w:w="2748" w:type="dxa"/>
            <w:vAlign w:val="center"/>
          </w:tcPr>
          <w:p w14:paraId="59F2F13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项目负责人</w:t>
            </w:r>
          </w:p>
        </w:tc>
        <w:tc>
          <w:tcPr>
            <w:tcW w:w="3013" w:type="dxa"/>
            <w:vAlign w:val="center"/>
          </w:tcPr>
          <w:p w14:paraId="1015CE1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05B353F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092273B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645F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5BD1460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71CAEDC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65D5BA2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结构专业负责人</w:t>
            </w:r>
          </w:p>
        </w:tc>
        <w:tc>
          <w:tcPr>
            <w:tcW w:w="3013" w:type="dxa"/>
            <w:vAlign w:val="center"/>
          </w:tcPr>
          <w:p w14:paraId="258E84D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3A44027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73F3986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499C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5E14819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5235484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4F25892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建筑专业负责人</w:t>
            </w:r>
          </w:p>
        </w:tc>
        <w:tc>
          <w:tcPr>
            <w:tcW w:w="3013" w:type="dxa"/>
            <w:vAlign w:val="center"/>
          </w:tcPr>
          <w:p w14:paraId="02274AA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16D12C9A">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4BFB74B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219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7FED01B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355DCB1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44B2DB6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暖通专业负责人</w:t>
            </w:r>
          </w:p>
        </w:tc>
        <w:tc>
          <w:tcPr>
            <w:tcW w:w="3013" w:type="dxa"/>
            <w:vAlign w:val="center"/>
          </w:tcPr>
          <w:p w14:paraId="2F1B94B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19E5597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200D531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4692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752296F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25490D6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24EE6A8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园林专业负责人</w:t>
            </w:r>
          </w:p>
        </w:tc>
        <w:tc>
          <w:tcPr>
            <w:tcW w:w="3013" w:type="dxa"/>
            <w:vAlign w:val="center"/>
          </w:tcPr>
          <w:p w14:paraId="34AE4DD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52AAFB0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5A147A3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569A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44" w:type="dxa"/>
            <w:vAlign w:val="center"/>
          </w:tcPr>
          <w:p w14:paraId="359431A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2E2AB13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0493A848">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电气专业负责人</w:t>
            </w:r>
          </w:p>
        </w:tc>
        <w:tc>
          <w:tcPr>
            <w:tcW w:w="3013" w:type="dxa"/>
            <w:vAlign w:val="center"/>
          </w:tcPr>
          <w:p w14:paraId="153D348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409913E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32E8C5C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1D66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312776D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162B5BF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1C3D42CD">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智能化专业负责人</w:t>
            </w:r>
          </w:p>
        </w:tc>
        <w:tc>
          <w:tcPr>
            <w:tcW w:w="3013" w:type="dxa"/>
            <w:vAlign w:val="center"/>
          </w:tcPr>
          <w:p w14:paraId="0534C76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78CF14F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6505300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1844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1A165EF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057F617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48D188F3">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给排水专业负责人</w:t>
            </w:r>
          </w:p>
        </w:tc>
        <w:tc>
          <w:tcPr>
            <w:tcW w:w="3013" w:type="dxa"/>
            <w:vAlign w:val="center"/>
          </w:tcPr>
          <w:p w14:paraId="5AC461B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4F6BF50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1886B77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2BD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4257EDD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0A7E990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458B678D">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概预算专业负责人</w:t>
            </w:r>
          </w:p>
        </w:tc>
        <w:tc>
          <w:tcPr>
            <w:tcW w:w="3013" w:type="dxa"/>
            <w:vAlign w:val="center"/>
          </w:tcPr>
          <w:p w14:paraId="6E26067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166695E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514E416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5866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7BF69CE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1E48B5C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36E1C547">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勘察专业负责人</w:t>
            </w:r>
          </w:p>
        </w:tc>
        <w:tc>
          <w:tcPr>
            <w:tcW w:w="3013" w:type="dxa"/>
            <w:vAlign w:val="center"/>
          </w:tcPr>
          <w:p w14:paraId="1FB298B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0F28557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43C9BD8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363A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04F11B6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14E1A3B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2128F4F7">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default" w:ascii="宋体" w:hAnsi="宋体" w:eastAsia="宋体" w:cs="Courier New"/>
                <w:strike/>
                <w:color w:val="000000" w:themeColor="text1"/>
                <w:sz w:val="24"/>
                <w:szCs w:val="21"/>
                <w:highlight w:val="none"/>
                <w14:textFill>
                  <w14:solidFill>
                    <w14:schemeClr w14:val="tx1"/>
                  </w14:solidFill>
                </w14:textFill>
              </w:rPr>
              <w:t>……</w:t>
            </w:r>
          </w:p>
        </w:tc>
        <w:tc>
          <w:tcPr>
            <w:tcW w:w="3013" w:type="dxa"/>
            <w:vAlign w:val="center"/>
          </w:tcPr>
          <w:p w14:paraId="0812F97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6A6EB51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4AB9DB6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bl>
    <w:p w14:paraId="10BC69D9">
      <w:pPr>
        <w:spacing w:line="360" w:lineRule="auto"/>
        <w:jc w:val="left"/>
        <w:rPr>
          <w:rFonts w:ascii="宋体" w:hAnsi="宋体"/>
          <w:color w:val="000000" w:themeColor="text1"/>
          <w:highlight w:val="none"/>
          <w14:textFill>
            <w14:solidFill>
              <w14:schemeClr w14:val="tx1"/>
            </w14:solidFill>
          </w14:textFill>
        </w:rPr>
        <w:sectPr>
          <w:pgSz w:w="16838" w:h="11906" w:orient="landscape"/>
          <w:pgMar w:top="1440" w:right="1440" w:bottom="1466" w:left="14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Courier New"/>
          <w:strike/>
          <w:color w:val="000000" w:themeColor="text1"/>
          <w:sz w:val="24"/>
          <w:szCs w:val="21"/>
          <w:highlight w:val="none"/>
          <w14:textFill>
            <w14:solidFill>
              <w14:schemeClr w14:val="tx1"/>
            </w14:solidFill>
          </w14:textFill>
        </w:rPr>
        <w:t>注：按“</w:t>
      </w:r>
      <w:r>
        <w:rPr>
          <w:rFonts w:hint="eastAsia" w:ascii="宋体" w:hAnsi="宋体" w:eastAsia="宋体" w:cs="宋体"/>
          <w:strike/>
          <w:dstrike w:val="0"/>
          <w:color w:val="000000" w:themeColor="text1"/>
          <w:kern w:val="2"/>
          <w:sz w:val="24"/>
          <w:szCs w:val="24"/>
          <w:highlight w:val="none"/>
          <w:lang w:val="en-US" w:eastAsia="zh-CN" w:bidi="ar"/>
          <w14:textFill>
            <w14:solidFill>
              <w14:schemeClr w14:val="tx1"/>
            </w14:solidFill>
          </w14:textFill>
        </w:rPr>
        <w:t>基础资料和勘察设计任务书</w:t>
      </w:r>
      <w:r>
        <w:rPr>
          <w:rFonts w:hint="eastAsia" w:ascii="宋体" w:hAnsi="宋体" w:eastAsia="宋体" w:cs="Courier New"/>
          <w:strike/>
          <w:color w:val="000000" w:themeColor="text1"/>
          <w:sz w:val="24"/>
          <w:szCs w:val="21"/>
          <w:highlight w:val="none"/>
          <w14:textFill>
            <w14:solidFill>
              <w14:schemeClr w14:val="tx1"/>
            </w14:solidFill>
          </w14:textFill>
        </w:rPr>
        <w:t>”表《各专业设计人员投入要求》要求进行配备；本表除项目负责人外，其他人员均不作为资格审查的条件。</w:t>
      </w:r>
      <w:r>
        <w:rPr>
          <w:rFonts w:ascii="宋体" w:hAnsi="宋体" w:eastAsia="宋体" w:cs="Times New Roman"/>
          <w:color w:val="000000" w:themeColor="text1"/>
          <w:highlight w:val="none"/>
          <w14:textFill>
            <w14:solidFill>
              <w14:schemeClr w14:val="tx1"/>
            </w14:solidFill>
          </w14:textFill>
        </w:rPr>
        <w:t xml:space="preserve"> </w:t>
      </w:r>
    </w:p>
    <w:p w14:paraId="4BEAC748">
      <w:pPr>
        <w:keepNext/>
        <w:keepLines/>
        <w:widowControl w:val="0"/>
        <w:spacing w:before="157" w:beforeLines="50" w:after="157" w:afterLines="50" w:line="360" w:lineRule="auto"/>
        <w:jc w:val="both"/>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54" w:name="_Toc7598"/>
      <w:bookmarkStart w:id="55" w:name="_Toc3069"/>
      <w:bookmarkStart w:id="56" w:name="_Toc21872"/>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附件2 设计投标文件编制要求</w:t>
      </w:r>
      <w:bookmarkEnd w:id="54"/>
      <w:bookmarkEnd w:id="55"/>
      <w:bookmarkEnd w:id="56"/>
    </w:p>
    <w:p w14:paraId="2C30E06E">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设计投标文件编制要求</w:t>
      </w:r>
    </w:p>
    <w:p w14:paraId="7C0713F2">
      <w:pPr>
        <w:spacing w:line="360" w:lineRule="auto"/>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（适用于设计和勘察设计投标）</w:t>
      </w:r>
    </w:p>
    <w:p w14:paraId="7590DD65">
      <w:pPr>
        <w:spacing w:line="360" w:lineRule="auto"/>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 xml:space="preserve">1    </w:t>
      </w:r>
      <w:r>
        <w:rPr>
          <w:rFonts w:hint="eastAsia" w:ascii="宋体" w:hAnsi="宋体" w:eastAsia="宋体" w:cs="Times New Roman"/>
          <w:b/>
          <w:bCs/>
          <w:color w:val="000000" w:themeColor="text1"/>
          <w:sz w:val="24"/>
          <w:highlight w:val="none"/>
          <w14:textFill>
            <w14:solidFill>
              <w14:schemeClr w14:val="tx1"/>
            </w14:solidFill>
          </w14:textFill>
        </w:rPr>
        <w:t>投标文件</w:t>
      </w:r>
    </w:p>
    <w:p w14:paraId="788F5E4A">
      <w:pPr>
        <w:spacing w:line="360" w:lineRule="auto"/>
        <w:rPr>
          <w:rFonts w:ascii="宋体" w:hAnsi="宋体" w:eastAsia="宋体" w:cs="Times New Roman"/>
          <w:color w:val="000000" w:themeColor="text1"/>
          <w:sz w:val="24"/>
          <w:highlight w:val="none"/>
          <w14:textFill>
            <w14:solidFill>
              <w14:schemeClr w14:val="tx1"/>
            </w14:solidFill>
          </w14:textFill>
        </w:rPr>
      </w:pPr>
    </w:p>
    <w:p w14:paraId="7F829976">
      <w:pPr>
        <w:spacing w:line="360" w:lineRule="auto"/>
        <w:ind w:left="821" w:hanging="820" w:hangingChars="342"/>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1.1  </w:t>
      </w:r>
      <w:r>
        <w:rPr>
          <w:rFonts w:hint="eastAsia" w:ascii="宋体" w:hAnsi="宋体" w:eastAsia="宋体" w:cs="Times New Roman"/>
          <w:color w:val="000000" w:themeColor="text1"/>
          <w:sz w:val="24"/>
          <w:highlight w:val="none"/>
          <w14:textFill>
            <w14:solidFill>
              <w14:schemeClr w14:val="tx1"/>
            </w14:solidFill>
          </w14:textFill>
        </w:rPr>
        <w:t>投标文件由下列资料组成。</w:t>
      </w:r>
    </w:p>
    <w:p w14:paraId="56785925">
      <w:pPr>
        <w:spacing w:line="360" w:lineRule="auto"/>
        <w:ind w:firstLine="600" w:firstLineChars="250"/>
        <w:jc w:val="left"/>
        <w:rPr>
          <w:rFonts w:ascii="Calibri" w:hAnsi="宋体" w:eastAsia="宋体" w:cs="Times New Roman"/>
          <w:color w:val="000000" w:themeColor="text1"/>
          <w:sz w:val="24"/>
          <w:highlight w:val="none"/>
          <w14:textFill>
            <w14:solidFill>
              <w14:schemeClr w14:val="tx1"/>
            </w14:solidFill>
          </w14:textFill>
        </w:rPr>
      </w:pPr>
      <w:r>
        <w:rPr>
          <w:rFonts w:ascii="宋体" w:hAnsi="宋体" w:eastAsia="宋体" w:cs="Times New Roman"/>
          <w:strike/>
          <w:dstrike w:val="0"/>
          <w:color w:val="000000" w:themeColor="text1"/>
          <w:sz w:val="24"/>
          <w:highlight w:val="none"/>
          <w14:textFill>
            <w14:solidFill>
              <w14:schemeClr w14:val="tx1"/>
            </w14:solidFill>
          </w14:textFill>
        </w:rPr>
        <w:t>(a) 开标信封。</w:t>
      </w:r>
    </w:p>
    <w:p w14:paraId="57693BD5">
      <w:pPr>
        <w:spacing w:line="360" w:lineRule="auto"/>
        <w:ind w:firstLine="600" w:firstLineChars="250"/>
        <w:jc w:val="left"/>
        <w:rPr>
          <w:rFonts w:ascii="Calibri"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(b) </w:t>
      </w:r>
      <w:r>
        <w:rPr>
          <w:rFonts w:hint="eastAsia" w:ascii="宋体" w:hAnsi="宋体" w:eastAsia="宋体" w:cs="Times New Roman"/>
          <w:color w:val="000000" w:themeColor="text1"/>
          <w:sz w:val="24"/>
          <w:highlight w:val="none"/>
          <w14:textFill>
            <w14:solidFill>
              <w14:schemeClr w14:val="tx1"/>
            </w14:solidFill>
          </w14:textFill>
        </w:rPr>
        <w:t>设计方案。</w:t>
      </w:r>
    </w:p>
    <w:p w14:paraId="4F91E82B">
      <w:pPr>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(c) </w:t>
      </w:r>
      <w:r>
        <w:rPr>
          <w:rFonts w:hint="eastAsia" w:ascii="宋体" w:hAnsi="宋体" w:eastAsia="宋体" w:cs="Times New Roman"/>
          <w:color w:val="000000" w:themeColor="text1"/>
          <w:sz w:val="24"/>
          <w:highlight w:val="none"/>
          <w14:textFill>
            <w14:solidFill>
              <w14:schemeClr w14:val="tx1"/>
            </w14:solidFill>
          </w14:textFill>
        </w:rPr>
        <w:t>资格审查文件</w:t>
      </w:r>
      <w:r>
        <w:rPr>
          <w:rFonts w:hint="eastAsia" w:ascii="宋体" w:hAnsi="宋体" w:eastAsia="宋体" w:cs="Times New Roman"/>
          <w:strike/>
          <w:color w:val="000000" w:themeColor="text1"/>
          <w:sz w:val="24"/>
          <w:highlight w:val="none"/>
          <w14:textFill>
            <w14:solidFill>
              <w14:schemeClr w14:val="tx1"/>
            </w14:solidFill>
          </w14:textFill>
        </w:rPr>
        <w:t>（如果招标人要求提供）</w:t>
      </w:r>
      <w:r>
        <w:rPr>
          <w:rFonts w:hint="eastAsia" w:ascii="宋体" w:hAnsi="宋体" w:eastAsia="宋体" w:cs="Times New Roman"/>
          <w:color w:val="000000" w:themeColor="text1"/>
          <w:sz w:val="24"/>
          <w:highlight w:val="none"/>
          <w14:textFill>
            <w14:solidFill>
              <w14:schemeClr w14:val="tx1"/>
            </w14:solidFill>
          </w14:textFill>
        </w:rPr>
        <w:t>。</w:t>
      </w:r>
    </w:p>
    <w:p w14:paraId="300F7398">
      <w:pPr>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(d) </w:t>
      </w:r>
      <w:r>
        <w:rPr>
          <w:rFonts w:hint="eastAsia" w:ascii="宋体" w:hAnsi="宋体" w:eastAsia="宋体" w:cs="Times New Roman"/>
          <w:color w:val="000000" w:themeColor="text1"/>
          <w:sz w:val="24"/>
          <w:highlight w:val="none"/>
          <w:u w:val="single"/>
          <w14:textFill>
            <w14:solidFill>
              <w14:schemeClr w14:val="tx1"/>
            </w14:solidFill>
          </w14:textFill>
        </w:rPr>
        <w:t>报价文件</w:t>
      </w:r>
      <w:r>
        <w:rPr>
          <w:rFonts w:hint="eastAsia" w:ascii="宋体" w:hAnsi="宋体" w:eastAsia="宋体" w:cs="Times New Roman"/>
          <w:color w:val="000000" w:themeColor="text1"/>
          <w:sz w:val="24"/>
          <w:highlight w:val="none"/>
          <w14:textFill>
            <w14:solidFill>
              <w14:schemeClr w14:val="tx1"/>
            </w14:solidFill>
          </w14:textFill>
        </w:rPr>
        <w:t>。</w:t>
      </w:r>
    </w:p>
    <w:p w14:paraId="06A543AF">
      <w:pPr>
        <w:keepNext w:val="0"/>
        <w:keepLines w:val="0"/>
        <w:widowControl w:val="0"/>
        <w:suppressLineNumbers w:val="0"/>
        <w:spacing w:before="0" w:beforeAutospacing="0" w:after="0" w:afterAutospacing="0" w:line="360" w:lineRule="auto"/>
        <w:ind w:left="0" w:right="0" w:firstLine="600" w:firstLineChars="250"/>
        <w:jc w:val="both"/>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(e) </w:t>
      </w:r>
      <w:r>
        <w:rPr>
          <w:rFonts w:hint="eastAsia" w:ascii="宋体" w:hAnsi="宋体" w:eastAsia="宋体" w:cs="Times New Roman"/>
          <w:color w:val="000000" w:themeColor="text1"/>
          <w:sz w:val="24"/>
          <w:highlight w:val="none"/>
          <w:u w:val="single"/>
          <w14:textFill>
            <w14:solidFill>
              <w14:schemeClr w14:val="tx1"/>
            </w14:solidFill>
          </w14:textFill>
        </w:rPr>
        <w:t>定标文件</w:t>
      </w:r>
      <w:r>
        <w:rPr>
          <w:rFonts w:hint="eastAsia" w:ascii="宋体" w:hAnsi="宋体" w:eastAsia="宋体" w:cs="Times New Roman"/>
          <w:color w:val="000000" w:themeColor="text1"/>
          <w:kern w:val="2"/>
          <w:sz w:val="24"/>
          <w:szCs w:val="22"/>
          <w:highlight w:val="none"/>
          <w:u w:val="single"/>
          <w:lang w:val="en-US" w:eastAsia="zh-CN" w:bidi="ar"/>
          <w14:textFill>
            <w14:solidFill>
              <w14:schemeClr w14:val="tx1"/>
            </w14:solidFill>
          </w14:textFill>
        </w:rPr>
        <w:t>（定标文件无需重复提供设计方案）</w:t>
      </w:r>
      <w:r>
        <w:rPr>
          <w:rFonts w:hint="eastAsia" w:ascii="宋体" w:hAnsi="宋体" w:eastAsia="宋体" w:cs="Times New Roman"/>
          <w:color w:val="000000" w:themeColor="text1"/>
          <w:sz w:val="24"/>
          <w:highlight w:val="none"/>
          <w14:textFill>
            <w14:solidFill>
              <w14:schemeClr w14:val="tx1"/>
            </w14:solidFill>
          </w14:textFill>
        </w:rPr>
        <w:t>。</w:t>
      </w:r>
    </w:p>
    <w:p w14:paraId="063A066F">
      <w:pPr>
        <w:spacing w:line="360" w:lineRule="auto"/>
        <w:jc w:val="left"/>
        <w:rPr>
          <w:rFonts w:ascii="Calibri" w:hAnsi="宋体" w:eastAsia="宋体" w:cs="Times New Roman"/>
          <w:color w:val="000000" w:themeColor="text1"/>
          <w:sz w:val="24"/>
          <w:highlight w:val="none"/>
          <w14:textFill>
            <w14:solidFill>
              <w14:schemeClr w14:val="tx1"/>
            </w14:solidFill>
          </w14:textFill>
        </w:rPr>
      </w:pPr>
    </w:p>
    <w:p w14:paraId="6F2D8899">
      <w:pPr>
        <w:spacing w:line="360" w:lineRule="auto"/>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 xml:space="preserve">2    </w:t>
      </w:r>
      <w:r>
        <w:rPr>
          <w:rFonts w:hint="eastAsia" w:ascii="宋体" w:hAnsi="宋体" w:eastAsia="宋体" w:cs="Times New Roman"/>
          <w:b/>
          <w:bCs/>
          <w:color w:val="000000" w:themeColor="text1"/>
          <w:sz w:val="24"/>
          <w:highlight w:val="none"/>
          <w14:textFill>
            <w14:solidFill>
              <w14:schemeClr w14:val="tx1"/>
            </w14:solidFill>
          </w14:textFill>
        </w:rPr>
        <w:t>保密要求</w:t>
      </w:r>
    </w:p>
    <w:p w14:paraId="4C16F69A">
      <w:pPr>
        <w:spacing w:line="360" w:lineRule="auto"/>
        <w:rPr>
          <w:rFonts w:ascii="宋体" w:hAnsi="宋体" w:eastAsia="宋体" w:cs="Times New Roman"/>
          <w:color w:val="000000" w:themeColor="text1"/>
          <w:sz w:val="24"/>
          <w:highlight w:val="none"/>
          <w14:textFill>
            <w14:solidFill>
              <w14:schemeClr w14:val="tx1"/>
            </w14:solidFill>
          </w14:textFill>
        </w:rPr>
      </w:pPr>
    </w:p>
    <w:p w14:paraId="1D44A444">
      <w:pPr>
        <w:spacing w:line="360" w:lineRule="auto"/>
        <w:ind w:left="600" w:leftChars="0" w:hanging="600" w:hangingChars="250"/>
        <w:jc w:val="left"/>
        <w:rPr>
          <w:rFonts w:ascii="宋体" w:hAnsi="宋体" w:eastAsia="宋体" w:cs="Times New Roman"/>
          <w:strike w:val="0"/>
          <w:color w:val="000000" w:themeColor="text1"/>
          <w:sz w:val="24"/>
          <w:highlight w:val="none"/>
          <w14:textFill>
            <w14:solidFill>
              <w14:schemeClr w14:val="tx1"/>
            </w14:solidFill>
          </w14:textFill>
        </w:rPr>
      </w:pPr>
      <w:r>
        <w:rPr>
          <w:rFonts w:ascii="宋体" w:hAnsi="宋体" w:eastAsia="宋体" w:cs="Times New Roman"/>
          <w:strike w:val="0"/>
          <w:color w:val="000000" w:themeColor="text1"/>
          <w:sz w:val="24"/>
          <w:highlight w:val="none"/>
          <w14:textFill>
            <w14:solidFill>
              <w14:schemeClr w14:val="tx1"/>
            </w14:solidFill>
          </w14:textFill>
        </w:rPr>
        <w:t xml:space="preserve">2.1  </w:t>
      </w:r>
      <w:r>
        <w:rPr>
          <w:rFonts w:hint="eastAsia" w:ascii="宋体" w:hAnsi="宋体" w:eastAsia="宋体" w:cs="Times New Roman"/>
          <w:strike w:val="0"/>
          <w:color w:val="000000" w:themeColor="text1"/>
          <w:sz w:val="24"/>
          <w:highlight w:val="none"/>
          <w14:textFill>
            <w14:solidFill>
              <w14:schemeClr w14:val="tx1"/>
            </w14:solidFill>
          </w14:textFill>
        </w:rPr>
        <w:t>投标文件必须隐匿投标人及专业技术人员的名称，除了《投标书》（格式见附录</w:t>
      </w:r>
      <w:r>
        <w:rPr>
          <w:rFonts w:ascii="宋体" w:hAnsi="宋体" w:eastAsia="宋体" w:cs="Times New Roman"/>
          <w:strike w:val="0"/>
          <w:color w:val="000000" w:themeColor="text1"/>
          <w:sz w:val="24"/>
          <w:highlight w:val="none"/>
          <w14:textFill>
            <w14:solidFill>
              <w14:schemeClr w14:val="tx1"/>
            </w14:solidFill>
          </w14:textFill>
        </w:rPr>
        <w:t>6）、</w:t>
      </w:r>
      <w:r>
        <w:rPr>
          <w:rFonts w:hint="eastAsia" w:ascii="宋体" w:hAnsi="宋体" w:eastAsia="宋体" w:cs="Times New Roman"/>
          <w:strike w:val="0"/>
          <w:color w:val="000000" w:themeColor="text1"/>
          <w:sz w:val="24"/>
          <w:highlight w:val="none"/>
          <w:u w:val="single"/>
          <w14:textFill>
            <w14:solidFill>
              <w14:schemeClr w14:val="tx1"/>
            </w14:solidFill>
          </w14:textFill>
        </w:rPr>
        <w:t>《联合体共同投标协议》</w:t>
      </w:r>
      <w:r>
        <w:rPr>
          <w:rFonts w:hint="eastAsia" w:ascii="宋体" w:hAnsi="宋体" w:eastAsia="宋体" w:cs="Times New Roman"/>
          <w:strike w:val="0"/>
          <w:color w:val="000000" w:themeColor="text1"/>
          <w:sz w:val="24"/>
          <w:highlight w:val="none"/>
          <w14:textFill>
            <w14:solidFill>
              <w14:schemeClr w14:val="tx1"/>
            </w14:solidFill>
          </w14:textFill>
        </w:rPr>
        <w:t>（格式见附录</w:t>
      </w:r>
      <w:r>
        <w:rPr>
          <w:rFonts w:ascii="宋体" w:hAnsi="宋体" w:eastAsia="宋体" w:cs="Times New Roman"/>
          <w:strike w:val="0"/>
          <w:color w:val="000000" w:themeColor="text1"/>
          <w:sz w:val="24"/>
          <w:highlight w:val="none"/>
          <w14:textFill>
            <w14:solidFill>
              <w14:schemeClr w14:val="tx1"/>
            </w14:solidFill>
          </w14:textFill>
        </w:rPr>
        <w:t>7）、《投标人声明》（格式见附录8）和资格审查文件</w:t>
      </w:r>
      <w:r>
        <w:rPr>
          <w:rFonts w:ascii="宋体" w:hAnsi="宋体" w:eastAsia="宋体" w:cs="Times New Roman"/>
          <w:strike/>
          <w:dstrike w:val="0"/>
          <w:color w:val="000000" w:themeColor="text1"/>
          <w:sz w:val="24"/>
          <w:highlight w:val="none"/>
          <w14:textFill>
            <w14:solidFill>
              <w14:schemeClr w14:val="tx1"/>
            </w14:solidFill>
          </w14:textFill>
        </w:rPr>
        <w:t>（如有）</w:t>
      </w:r>
      <w:r>
        <w:rPr>
          <w:rFonts w:ascii="宋体" w:hAnsi="宋体" w:eastAsia="宋体" w:cs="Times New Roman"/>
          <w:strike w:val="0"/>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报价文件、</w:t>
      </w:r>
      <w:r>
        <w:rPr>
          <w:rFonts w:hint="eastAsia" w:ascii="宋体" w:hAnsi="宋体" w:eastAsia="宋体" w:cs="Times New Roman"/>
          <w:strike w:val="0"/>
          <w:color w:val="000000" w:themeColor="text1"/>
          <w:sz w:val="24"/>
          <w:highlight w:val="none"/>
          <w:u w:val="single"/>
          <w14:textFill>
            <w14:solidFill>
              <w14:schemeClr w14:val="tx1"/>
            </w14:solidFill>
          </w14:textFill>
        </w:rPr>
        <w:t>定标文件</w:t>
      </w:r>
      <w:r>
        <w:rPr>
          <w:rFonts w:hint="eastAsia" w:ascii="宋体" w:hAnsi="宋体" w:eastAsia="宋体" w:cs="Times New Roman"/>
          <w:strike w:val="0"/>
          <w:color w:val="000000" w:themeColor="text1"/>
          <w:sz w:val="24"/>
          <w:highlight w:val="none"/>
          <w14:textFill>
            <w14:solidFill>
              <w14:schemeClr w14:val="tx1"/>
            </w14:solidFill>
          </w14:textFill>
        </w:rPr>
        <w:t>外，投标人不得在设计方案上标注或做任何可以辨认投标人及专业技术人员身份的名称、印章、商标、图形等。</w:t>
      </w:r>
    </w:p>
    <w:p w14:paraId="7453161E">
      <w:pPr>
        <w:spacing w:line="360" w:lineRule="auto"/>
        <w:rPr>
          <w:rFonts w:ascii="宋体" w:hAnsi="宋体" w:eastAsia="宋体" w:cs="Times New Roman"/>
          <w:color w:val="000000" w:themeColor="text1"/>
          <w:sz w:val="24"/>
          <w:highlight w:val="none"/>
          <w14:textFill>
            <w14:solidFill>
              <w14:schemeClr w14:val="tx1"/>
            </w14:solidFill>
          </w14:textFill>
        </w:rPr>
      </w:pPr>
    </w:p>
    <w:p w14:paraId="32D82EF0">
      <w:pPr>
        <w:spacing w:line="360" w:lineRule="auto"/>
        <w:jc w:val="left"/>
        <w:rPr>
          <w:rFonts w:ascii="宋体" w:hAnsi="宋体" w:eastAsia="宋体" w:cs="Times New Roman"/>
          <w:b/>
          <w:bCs/>
          <w:strike/>
          <w:dstrike w:val="0"/>
          <w:color w:val="000000" w:themeColor="text1"/>
          <w:sz w:val="24"/>
          <w:highlight w:val="none"/>
          <w14:textFill>
            <w14:solidFill>
              <w14:schemeClr w14:val="tx1"/>
            </w14:solidFill>
          </w14:textFill>
        </w:rPr>
      </w:pPr>
      <w:r>
        <w:rPr>
          <w:rFonts w:ascii="宋体" w:hAnsi="宋体" w:eastAsia="宋体" w:cs="Times New Roman"/>
          <w:b/>
          <w:bCs/>
          <w:strike/>
          <w:dstrike w:val="0"/>
          <w:color w:val="000000" w:themeColor="text1"/>
          <w:sz w:val="24"/>
          <w:highlight w:val="none"/>
          <w14:textFill>
            <w14:solidFill>
              <w14:schemeClr w14:val="tx1"/>
            </w14:solidFill>
          </w14:textFill>
        </w:rPr>
        <w:t>3</w:t>
      </w:r>
      <w:r>
        <w:rPr>
          <w:rFonts w:hint="eastAsia" w:ascii="宋体" w:hAnsi="宋体" w:eastAsia="宋体" w:cs="Times New Roman"/>
          <w:b/>
          <w:bCs/>
          <w:strike/>
          <w:dstrike w:val="0"/>
          <w:color w:val="000000" w:themeColor="text1"/>
          <w:sz w:val="24"/>
          <w:highlight w:val="none"/>
          <w14:textFill>
            <w14:solidFill>
              <w14:schemeClr w14:val="tx1"/>
            </w14:solidFill>
          </w14:textFill>
        </w:rPr>
        <w:t xml:space="preserve">    开标信封</w:t>
      </w:r>
    </w:p>
    <w:p w14:paraId="65BE3B68">
      <w:pPr>
        <w:spacing w:line="360" w:lineRule="auto"/>
        <w:rPr>
          <w:rFonts w:ascii="宋体" w:hAnsi="宋体" w:eastAsia="宋体" w:cs="Times New Roman"/>
          <w:strike/>
          <w:dstrike w:val="0"/>
          <w:color w:val="000000" w:themeColor="text1"/>
          <w:sz w:val="24"/>
          <w:highlight w:val="none"/>
          <w14:textFill>
            <w14:solidFill>
              <w14:schemeClr w14:val="tx1"/>
            </w14:solidFill>
          </w14:textFill>
        </w:rPr>
      </w:pPr>
    </w:p>
    <w:p w14:paraId="6C8085FF">
      <w:pPr>
        <w:spacing w:line="360" w:lineRule="auto"/>
        <w:ind w:left="600" w:hanging="600" w:hangingChars="250"/>
        <w:jc w:val="left"/>
        <w:rPr>
          <w:rFonts w:ascii="宋体" w:hAnsi="宋体" w:eastAsia="宋体" w:cs="Times New Roman"/>
          <w:strike/>
          <w:dstrike w:val="0"/>
          <w:color w:val="000000" w:themeColor="text1"/>
          <w:sz w:val="24"/>
          <w:highlight w:val="none"/>
          <w14:textFill>
            <w14:solidFill>
              <w14:schemeClr w14:val="tx1"/>
            </w14:solidFill>
          </w14:textFill>
        </w:rPr>
      </w:pPr>
      <w:r>
        <w:rPr>
          <w:rFonts w:ascii="宋体" w:hAnsi="宋体" w:eastAsia="宋体" w:cs="Times New Roman"/>
          <w:strike/>
          <w:dstrike w:val="0"/>
          <w:color w:val="000000" w:themeColor="text1"/>
          <w:sz w:val="24"/>
          <w:highlight w:val="none"/>
          <w14:textFill>
            <w14:solidFill>
              <w14:schemeClr w14:val="tx1"/>
            </w14:solidFill>
          </w14:textFill>
        </w:rPr>
        <w:t xml:space="preserve">3.1  </w:t>
      </w:r>
      <w:r>
        <w:rPr>
          <w:rFonts w:hint="eastAsia" w:ascii="宋体" w:hAnsi="宋体" w:eastAsia="宋体" w:cs="Times New Roman"/>
          <w:strike/>
          <w:dstrike w:val="0"/>
          <w:color w:val="000000" w:themeColor="text1"/>
          <w:sz w:val="24"/>
          <w:highlight w:val="none"/>
          <w14:textFill>
            <w14:solidFill>
              <w14:schemeClr w14:val="tx1"/>
            </w14:solidFill>
          </w14:textFill>
        </w:rPr>
        <w:t>开标信封内附填妥并签字盖章的《投标书》（格式见附录</w:t>
      </w:r>
      <w:r>
        <w:rPr>
          <w:rFonts w:ascii="宋体" w:hAnsi="宋体" w:eastAsia="宋体" w:cs="Times New Roman"/>
          <w:strike/>
          <w:dstrike w:val="0"/>
          <w:color w:val="000000" w:themeColor="text1"/>
          <w:sz w:val="24"/>
          <w:highlight w:val="none"/>
          <w14:textFill>
            <w14:solidFill>
              <w14:schemeClr w14:val="tx1"/>
            </w14:solidFill>
          </w14:textFill>
        </w:rPr>
        <w:t>6），联合体同时附填妥并签字盖章的</w:t>
      </w:r>
      <w:r>
        <w:rPr>
          <w:rFonts w:hint="eastAsia" w:ascii="宋体" w:hAnsi="宋体" w:eastAsia="宋体" w:cs="Times New Roman"/>
          <w:strike/>
          <w:dstrike w:val="0"/>
          <w:color w:val="000000" w:themeColor="text1"/>
          <w:sz w:val="24"/>
          <w:highlight w:val="none"/>
          <w:u w:val="single"/>
          <w14:textFill>
            <w14:solidFill>
              <w14:schemeClr w14:val="tx1"/>
            </w14:solidFill>
          </w14:textFill>
        </w:rPr>
        <w:t>《联合体共同投标协议》</w:t>
      </w:r>
      <w:r>
        <w:rPr>
          <w:rFonts w:hint="eastAsia" w:ascii="宋体" w:hAnsi="宋体" w:eastAsia="宋体" w:cs="Times New Roman"/>
          <w:strike/>
          <w:dstrike w:val="0"/>
          <w:color w:val="000000" w:themeColor="text1"/>
          <w:sz w:val="24"/>
          <w:highlight w:val="none"/>
          <w14:textFill>
            <w14:solidFill>
              <w14:schemeClr w14:val="tx1"/>
            </w14:solidFill>
          </w14:textFill>
        </w:rPr>
        <w:t>（格式见附录</w:t>
      </w:r>
      <w:r>
        <w:rPr>
          <w:rFonts w:ascii="宋体" w:hAnsi="宋体" w:eastAsia="宋体" w:cs="Times New Roman"/>
          <w:strike/>
          <w:dstrike w:val="0"/>
          <w:color w:val="000000" w:themeColor="text1"/>
          <w:sz w:val="24"/>
          <w:highlight w:val="none"/>
          <w14:textFill>
            <w14:solidFill>
              <w14:schemeClr w14:val="tx1"/>
            </w14:solidFill>
          </w14:textFill>
        </w:rPr>
        <w:t>7）。未设资格审查环节的项目，还应提供填妥并盖章的《投标人声明》（格式见附录8</w:t>
      </w:r>
      <w:r>
        <w:rPr>
          <w:rFonts w:hint="eastAsia" w:ascii="宋体" w:hAnsi="宋体" w:eastAsia="宋体" w:cs="Times New Roman"/>
          <w:strike/>
          <w:dstrike w:val="0"/>
          <w:color w:val="000000" w:themeColor="text1"/>
          <w:sz w:val="24"/>
          <w:highlight w:val="none"/>
          <w14:textFill>
            <w14:solidFill>
              <w14:schemeClr w14:val="tx1"/>
            </w14:solidFill>
          </w14:textFill>
        </w:rPr>
        <w:t>）。</w:t>
      </w:r>
    </w:p>
    <w:p w14:paraId="051BD126">
      <w:pPr>
        <w:spacing w:line="360" w:lineRule="auto"/>
        <w:rPr>
          <w:rFonts w:ascii="宋体" w:hAnsi="宋体" w:eastAsia="宋体" w:cs="Times New Roman"/>
          <w:color w:val="000000" w:themeColor="text1"/>
          <w:sz w:val="24"/>
          <w:highlight w:val="none"/>
          <w14:textFill>
            <w14:solidFill>
              <w14:schemeClr w14:val="tx1"/>
            </w14:solidFill>
          </w14:textFill>
        </w:rPr>
      </w:pPr>
    </w:p>
    <w:p w14:paraId="65B59169">
      <w:pPr>
        <w:spacing w:line="360" w:lineRule="auto"/>
        <w:rPr>
          <w:rFonts w:ascii="宋体" w:hAnsi="宋体" w:eastAsia="宋体" w:cs="Times New Roman"/>
          <w:color w:val="000000" w:themeColor="text1"/>
          <w:sz w:val="24"/>
          <w:highlight w:val="none"/>
          <w14:textFill>
            <w14:solidFill>
              <w14:schemeClr w14:val="tx1"/>
            </w14:solidFill>
          </w14:textFill>
        </w:rPr>
      </w:pPr>
    </w:p>
    <w:p w14:paraId="6214E683">
      <w:pPr>
        <w:spacing w:line="360" w:lineRule="auto"/>
        <w:rPr>
          <w:rFonts w:ascii="宋体" w:hAnsi="宋体" w:eastAsia="宋体" w:cs="Times New Roman"/>
          <w:color w:val="000000" w:themeColor="text1"/>
          <w:sz w:val="24"/>
          <w:highlight w:val="none"/>
          <w14:textFill>
            <w14:solidFill>
              <w14:schemeClr w14:val="tx1"/>
            </w14:solidFill>
          </w14:textFill>
        </w:rPr>
      </w:pPr>
    </w:p>
    <w:p w14:paraId="67704D26">
      <w:pPr>
        <w:spacing w:line="360" w:lineRule="auto"/>
        <w:rPr>
          <w:rFonts w:ascii="宋体" w:hAnsi="宋体" w:eastAsia="宋体" w:cs="Times New Roman"/>
          <w:color w:val="000000" w:themeColor="text1"/>
          <w:sz w:val="24"/>
          <w:highlight w:val="none"/>
          <w14:textFill>
            <w14:solidFill>
              <w14:schemeClr w14:val="tx1"/>
            </w14:solidFill>
          </w14:textFill>
        </w:rPr>
      </w:pPr>
    </w:p>
    <w:p w14:paraId="5AD6DBD8">
      <w:pPr>
        <w:keepNext w:val="0"/>
        <w:keepLines w:val="0"/>
        <w:widowControl w:val="0"/>
        <w:suppressLineNumbers w:val="0"/>
        <w:spacing w:before="0" w:beforeAutospacing="0" w:after="0" w:afterAutospacing="0" w:line="360" w:lineRule="auto"/>
        <w:ind w:left="602" w:leftChars="0" w:right="0" w:hanging="602" w:hangingChars="250"/>
        <w:jc w:val="both"/>
        <w:rPr>
          <w:rFonts w:hint="eastAsia" w:ascii="宋体" w:hAnsi="宋体" w:eastAsia="宋体" w:cs="Times New Roman"/>
          <w:b/>
          <w:bCs/>
          <w:strike w:val="0"/>
          <w:dstrike w:val="0"/>
          <w:color w:val="000000" w:themeColor="text1"/>
          <w:sz w:val="24"/>
          <w:highlight w:val="none"/>
          <w:u w:val="single"/>
          <w14:textFill>
            <w14:solidFill>
              <w14:schemeClr w14:val="tx1"/>
            </w14:solidFill>
          </w14:textFill>
        </w:rPr>
      </w:pPr>
      <w:r>
        <w:rPr>
          <w:rFonts w:ascii="宋体" w:hAnsi="宋体" w:eastAsia="宋体" w:cs="Times New Roman"/>
          <w:b/>
          <w:color w:val="000000" w:themeColor="text1"/>
          <w:sz w:val="24"/>
          <w:highlight w:val="none"/>
          <w14:textFill>
            <w14:solidFill>
              <w14:schemeClr w14:val="tx1"/>
            </w14:solidFill>
          </w14:textFill>
        </w:rPr>
        <w:t>4</w:t>
      </w:r>
      <w:r>
        <w:rPr>
          <w:rFonts w:ascii="宋体" w:hAnsi="宋体" w:eastAsia="宋体" w:cs="Times New Roman"/>
          <w:b/>
          <w:bCs/>
          <w:color w:val="000000" w:themeColor="text1"/>
          <w:sz w:val="24"/>
          <w:highlight w:val="none"/>
          <w14:textFill>
            <w14:solidFill>
              <w14:schemeClr w14:val="tx1"/>
            </w14:solidFill>
          </w14:textFill>
        </w:rPr>
        <w:t xml:space="preserve">    </w:t>
      </w:r>
      <w:r>
        <w:rPr>
          <w:rFonts w:hint="eastAsia" w:ascii="宋体" w:hAnsi="宋体" w:eastAsia="宋体" w:cs="Times New Roman"/>
          <w:b/>
          <w:bCs/>
          <w:strike w:val="0"/>
          <w:dstrike w:val="0"/>
          <w:color w:val="000000" w:themeColor="text1"/>
          <w:sz w:val="24"/>
          <w:highlight w:val="none"/>
          <w14:textFill>
            <w14:solidFill>
              <w14:schemeClr w14:val="tx1"/>
            </w14:solidFill>
          </w14:textFill>
        </w:rPr>
        <w:t>设计方案</w:t>
      </w:r>
      <w:r>
        <w:rPr>
          <w:rFonts w:hint="eastAsia" w:ascii="宋体" w:hAnsi="宋体" w:eastAsia="宋体" w:cs="Times New Roman"/>
          <w:b/>
          <w:bCs/>
          <w:strike w:val="0"/>
          <w:dstrike w:val="0"/>
          <w:color w:val="000000" w:themeColor="text1"/>
          <w:sz w:val="24"/>
          <w:highlight w:val="none"/>
          <w:u w:val="single"/>
          <w14:textFill>
            <w14:solidFill>
              <w14:schemeClr w14:val="tx1"/>
            </w14:solidFill>
          </w14:textFill>
        </w:rPr>
        <w:t>（暗标，不得标注或做任何可以辨认投标人及专业技术人员身份的名称、印章、商标、图形等</w:t>
      </w:r>
      <w:r>
        <w:rPr>
          <w:rFonts w:hint="eastAsia" w:ascii="宋体" w:hAnsi="宋体" w:eastAsia="宋体" w:cs="宋体"/>
          <w:b/>
          <w:color w:val="000000" w:themeColor="text1"/>
          <w:sz w:val="24"/>
          <w:szCs w:val="24"/>
          <w:highlight w:val="none"/>
          <w:u w:val="single"/>
          <w14:textFill>
            <w14:solidFill>
              <w14:schemeClr w14:val="tx1"/>
            </w14:solidFill>
          </w14:textFill>
        </w:rPr>
        <w:t>，上传交易平台网站</w:t>
      </w:r>
      <w:r>
        <w:rPr>
          <w:rFonts w:hint="eastAsia" w:ascii="宋体" w:hAnsi="宋体" w:eastAsia="宋体" w:cs="Times New Roman"/>
          <w:b/>
          <w:bCs/>
          <w:strike w:val="0"/>
          <w:dstrike w:val="0"/>
          <w:color w:val="000000" w:themeColor="text1"/>
          <w:sz w:val="24"/>
          <w:highlight w:val="none"/>
          <w:u w:val="single"/>
          <w14:textFill>
            <w14:solidFill>
              <w14:schemeClr w14:val="tx1"/>
            </w14:solidFill>
          </w14:textFill>
        </w:rPr>
        <w:t>）</w:t>
      </w:r>
      <w:r>
        <w:rPr>
          <w:rFonts w:hint="default" w:ascii="宋体" w:hAnsi="宋体" w:eastAsia="宋体" w:cs="宋体"/>
          <w:b/>
          <w:bCs w:val="0"/>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b/>
          <w:color w:val="000000" w:themeColor="text1"/>
          <w:kern w:val="2"/>
          <w:sz w:val="24"/>
          <w:szCs w:val="24"/>
          <w:highlight w:val="none"/>
          <w:u w:val="single"/>
          <w:lang w:val="en-US" w:eastAsia="zh-CN" w:bidi="ar"/>
          <w14:textFill>
            <w14:solidFill>
              <w14:schemeClr w14:val="tx1"/>
            </w14:solidFill>
          </w14:textFill>
        </w:rPr>
        <w:t>多媒体演示文件（以U盘为媒介</w:t>
      </w:r>
      <w:r>
        <w:rPr>
          <w:rFonts w:hint="default" w:ascii="宋体" w:hAnsi="宋体" w:eastAsia="宋体" w:cs="宋体"/>
          <w:b/>
          <w:color w:val="000000" w:themeColor="text1"/>
          <w:kern w:val="2"/>
          <w:sz w:val="24"/>
          <w:szCs w:val="24"/>
          <w:highlight w:val="none"/>
          <w:u w:val="single"/>
          <w:lang w:eastAsia="zh-CN" w:bidi="ar"/>
          <w14:textFill>
            <w14:solidFill>
              <w14:schemeClr w14:val="tx1"/>
            </w14:solidFill>
          </w14:textFill>
        </w:rPr>
        <w:t>递交</w:t>
      </w:r>
      <w:r>
        <w:rPr>
          <w:rFonts w:hint="eastAsia" w:ascii="宋体" w:hAnsi="宋体" w:eastAsia="宋体" w:cs="宋体"/>
          <w:b/>
          <w:color w:val="000000" w:themeColor="text1"/>
          <w:kern w:val="2"/>
          <w:sz w:val="24"/>
          <w:szCs w:val="24"/>
          <w:highlight w:val="none"/>
          <w:u w:val="single"/>
          <w:lang w:val="en-US" w:eastAsia="zh-CN" w:bidi="ar"/>
          <w14:textFill>
            <w14:solidFill>
              <w14:schemeClr w14:val="tx1"/>
            </w14:solidFill>
          </w14:textFill>
        </w:rPr>
        <w:t>）</w:t>
      </w:r>
      <w:r>
        <w:rPr>
          <w:rFonts w:hint="default" w:ascii="宋体" w:hAnsi="宋体" w:eastAsia="宋体" w:cs="宋体"/>
          <w:b/>
          <w:color w:val="000000" w:themeColor="text1"/>
          <w:kern w:val="2"/>
          <w:sz w:val="24"/>
          <w:szCs w:val="24"/>
          <w:highlight w:val="none"/>
          <w:u w:val="single"/>
          <w:lang w:eastAsia="zh-CN" w:bidi="ar"/>
          <w14:textFill>
            <w14:solidFill>
              <w14:schemeClr w14:val="tx1"/>
            </w14:solidFill>
          </w14:textFill>
        </w:rPr>
        <w:t>。</w:t>
      </w:r>
    </w:p>
    <w:p w14:paraId="73626F22">
      <w:pPr>
        <w:widowControl w:val="0"/>
        <w:spacing w:line="360" w:lineRule="auto"/>
        <w:ind w:firstLine="0" w:firstLineChars="0"/>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4.1  设计方案内容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（文件大小不得超过500M</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，篇幅不得超过</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200</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页</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3023557B">
      <w:pPr>
        <w:widowControl w:val="0"/>
        <w:spacing w:line="360" w:lineRule="auto"/>
        <w:ind w:firstLine="600" w:firstLineChars="250"/>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t>(a) 封面：写明项目名称、设计作品主题（不宜超过20个字）、编制年月。</w:t>
      </w:r>
    </w:p>
    <w:p w14:paraId="7AC09BF5">
      <w:pPr>
        <w:widowControl w:val="0"/>
        <w:spacing w:line="360" w:lineRule="auto"/>
        <w:ind w:firstLine="600" w:firstLineChars="250"/>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(b) 目录；</w:t>
      </w:r>
    </w:p>
    <w:p w14:paraId="2EF6B1E1">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(c) 勘察设计文件：</w:t>
      </w:r>
    </w:p>
    <w:p w14:paraId="5949DC71">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设计说明书，</w:t>
      </w:r>
      <w:r>
        <w:rPr>
          <w:rFonts w:hint="eastAsia" w:ascii="宋体" w:hAnsi="宋体" w:eastAsia="宋体" w:cs="宋体"/>
          <w:color w:val="000000" w:themeColor="text1"/>
          <w:sz w:val="24"/>
          <w:szCs w:val="24"/>
          <w:highlight w:val="none"/>
          <w:u w:val="single"/>
          <w14:textFill>
            <w14:solidFill>
              <w14:schemeClr w14:val="tx1"/>
            </w14:solidFill>
          </w14:textFill>
        </w:rPr>
        <w:t>内容包括：项目概况</w:t>
      </w:r>
      <w:r>
        <w:rPr>
          <w:rFonts w:hint="eastAsia" w:ascii="宋体" w:hAnsi="宋体" w:eastAsia="宋体" w:cs="宋体"/>
          <w:color w:val="000000" w:themeColor="text1"/>
          <w:sz w:val="24"/>
          <w:highlight w:val="none"/>
          <w:u w:val="single"/>
          <w14:textFill>
            <w14:solidFill>
              <w14:schemeClr w14:val="tx1"/>
            </w14:solidFill>
          </w14:textFill>
        </w:rPr>
        <w:t>《设计方案主要技术指标响应情况一览表》（详见附表1）</w:t>
      </w:r>
      <w:r>
        <w:rPr>
          <w:rFonts w:hint="eastAsia" w:ascii="宋体" w:hAnsi="宋体" w:eastAsia="宋体" w:cs="宋体"/>
          <w:color w:val="000000" w:themeColor="text1"/>
          <w:sz w:val="24"/>
          <w:szCs w:val="24"/>
          <w:highlight w:val="none"/>
          <w:u w:val="single"/>
          <w14:textFill>
            <w14:solidFill>
              <w14:schemeClr w14:val="tx1"/>
            </w14:solidFill>
          </w14:textFill>
        </w:rPr>
        <w:t>；现状及存在问题的分析；方案设计理念及推导；设计总说明；</w:t>
      </w:r>
      <w:r>
        <w:rPr>
          <w:rFonts w:hint="eastAsia" w:ascii="宋体" w:hAnsi="宋体" w:eastAsia="宋体" w:cs="宋体"/>
          <w:color w:val="000000" w:themeColor="text1"/>
          <w:sz w:val="24"/>
          <w:highlight w:val="none"/>
          <w:u w:val="single"/>
          <w14:textFill>
            <w14:solidFill>
              <w14:schemeClr w14:val="tx1"/>
            </w14:solidFill>
          </w14:textFill>
        </w:rPr>
        <w:t>构思与方案说明，结构造型方案说明，</w:t>
      </w:r>
      <w:r>
        <w:rPr>
          <w:rFonts w:hint="eastAsia" w:ascii="宋体" w:hAnsi="宋体" w:eastAsia="宋体" w:cs="宋体"/>
          <w:color w:val="000000" w:themeColor="text1"/>
          <w:sz w:val="24"/>
          <w:highlight w:val="none"/>
          <w:u w:val="single"/>
          <w:lang w:val="en-US" w:eastAsia="zh-CN"/>
          <w14:textFill>
            <w14:solidFill>
              <w14:schemeClr w14:val="tx1"/>
            </w14:solidFill>
          </w14:textFill>
        </w:rPr>
        <w:t>各专业及配套工程</w:t>
      </w:r>
      <w:r>
        <w:rPr>
          <w:rFonts w:hint="eastAsia" w:ascii="宋体" w:hAnsi="宋体" w:eastAsia="宋体" w:cs="宋体"/>
          <w:color w:val="000000" w:themeColor="text1"/>
          <w:sz w:val="24"/>
          <w:highlight w:val="none"/>
          <w:u w:val="single"/>
          <w14:textFill>
            <w14:solidFill>
              <w14:schemeClr w14:val="tx1"/>
            </w14:solidFill>
          </w14:textFill>
        </w:rPr>
        <w:t>说明，交通规划说明，主要技术经济指标、面积分配等的说明，</w:t>
      </w:r>
      <w:r>
        <w:rPr>
          <w:rFonts w:hint="eastAsia" w:ascii="宋体" w:hAnsi="宋体" w:eastAsia="宋体" w:cs="宋体"/>
          <w:color w:val="000000" w:themeColor="text1"/>
          <w:sz w:val="24"/>
          <w:szCs w:val="24"/>
          <w:highlight w:val="none"/>
          <w:u w:val="single"/>
          <w14:textFill>
            <w14:solidFill>
              <w14:schemeClr w14:val="tx1"/>
            </w14:solidFill>
          </w14:textFill>
        </w:rPr>
        <w:t>相关技术重点难点说明；BIM技术正向设计说明；</w:t>
      </w:r>
      <w:r>
        <w:rPr>
          <w:rFonts w:hint="eastAsia" w:ascii="宋体" w:hAnsi="宋体" w:eastAsia="宋体" w:cs="宋体"/>
          <w:color w:val="000000" w:themeColor="text1"/>
          <w:sz w:val="24"/>
          <w:highlight w:val="none"/>
          <w:u w:val="single"/>
          <w14:textFill>
            <w14:solidFill>
              <w14:schemeClr w14:val="tx1"/>
            </w14:solidFill>
          </w14:textFill>
        </w:rPr>
        <w:t>其他必要说明（含绿色建筑和节能专篇、海绵城市专篇、古树名木及大树保护</w:t>
      </w:r>
      <w:r>
        <w:rPr>
          <w:rFonts w:hint="eastAsia" w:hAnsi="宋体" w:cs="Courier New"/>
          <w:color w:val="000000" w:themeColor="text1"/>
          <w:sz w:val="24"/>
          <w:szCs w:val="21"/>
          <w:highlight w:val="none"/>
          <w:u w:val="single"/>
          <w14:textFill>
            <w14:solidFill>
              <w14:schemeClr w14:val="tx1"/>
            </w14:solidFill>
          </w14:textFill>
        </w:rPr>
        <w:t>专篇</w:t>
      </w:r>
      <w:r>
        <w:rPr>
          <w:rFonts w:hint="eastAsia" w:ascii="宋体" w:hAnsi="宋体" w:eastAsia="宋体" w:cs="宋体"/>
          <w:color w:val="000000" w:themeColor="text1"/>
          <w:sz w:val="24"/>
          <w:highlight w:val="none"/>
          <w:u w:val="single"/>
          <w14:textFill>
            <w14:solidFill>
              <w14:schemeClr w14:val="tx1"/>
            </w14:solidFill>
          </w14:textFill>
        </w:rPr>
        <w:t>、历史文化风貌保护</w:t>
      </w:r>
      <w:r>
        <w:rPr>
          <w:rFonts w:hint="eastAsia" w:hAnsi="宋体" w:cs="Courier New"/>
          <w:color w:val="000000" w:themeColor="text1"/>
          <w:sz w:val="24"/>
          <w:szCs w:val="21"/>
          <w:highlight w:val="none"/>
          <w:u w:val="single"/>
          <w14:textFill>
            <w14:solidFill>
              <w14:schemeClr w14:val="tx1"/>
            </w14:solidFill>
          </w14:textFill>
        </w:rPr>
        <w:t>专篇</w:t>
      </w:r>
      <w:r>
        <w:rPr>
          <w:rFonts w:hint="eastAsia" w:ascii="宋体" w:hAnsi="宋体" w:eastAsia="宋体" w:cs="宋体"/>
          <w:color w:val="000000" w:themeColor="text1"/>
          <w:sz w:val="24"/>
          <w:highlight w:val="none"/>
          <w:u w:val="single"/>
          <w14:textFill>
            <w14:solidFill>
              <w14:schemeClr w14:val="tx1"/>
            </w14:solidFill>
          </w14:textFill>
        </w:rPr>
        <w:t>、防范大规模拆建专篇</w:t>
      </w:r>
      <w:r>
        <w:rPr>
          <w:rFonts w:hint="eastAsia" w:hAnsi="宋体" w:cs="Courier New"/>
          <w:color w:val="000000" w:themeColor="text1"/>
          <w:sz w:val="24"/>
          <w:szCs w:val="21"/>
          <w:highlight w:val="none"/>
          <w:u w:val="single"/>
          <w14:textFill>
            <w14:solidFill>
              <w14:schemeClr w14:val="tx1"/>
            </w14:solidFill>
          </w14:textFill>
        </w:rPr>
        <w:t>等内容</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投资估算等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1A4E6DEC">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(d) </w:t>
      </w:r>
      <w:r>
        <w:rPr>
          <w:rFonts w:hint="eastAsia" w:ascii="宋体" w:hAnsi="宋体" w:eastAsia="宋体" w:cs="宋体"/>
          <w:color w:val="000000" w:themeColor="text1"/>
          <w:sz w:val="24"/>
          <w:highlight w:val="none"/>
          <w:lang w:bidi="ar"/>
          <w14:textFill>
            <w14:solidFill>
              <w14:schemeClr w14:val="tx1"/>
            </w14:solidFill>
          </w14:textFill>
        </w:rPr>
        <w:t>设计方案图纸中的内容应包括</w:t>
      </w:r>
      <w:r>
        <w:rPr>
          <w:rFonts w:hint="eastAsia" w:ascii="宋体" w:hAnsi="宋体"/>
          <w:color w:val="000000" w:themeColor="text1"/>
          <w:sz w:val="24"/>
          <w:highlight w:val="none"/>
          <w:lang w:bidi="ar"/>
          <w14:textFill>
            <w14:solidFill>
              <w14:schemeClr w14:val="tx1"/>
            </w14:solidFill>
          </w14:textFill>
        </w:rPr>
        <w:t>新建工程、</w:t>
      </w:r>
      <w:r>
        <w:rPr>
          <w:rFonts w:hint="eastAsia" w:ascii="宋体" w:hAnsi="宋体" w:eastAsia="宋体" w:cs="宋体"/>
          <w:color w:val="000000" w:themeColor="text1"/>
          <w:sz w:val="24"/>
          <w:highlight w:val="none"/>
          <w:lang w:val="en-US" w:eastAsia="zh-CN" w:bidi="ar"/>
          <w14:textFill>
            <w14:solidFill>
              <w14:schemeClr w14:val="tx1"/>
            </w14:solidFill>
          </w14:textFill>
        </w:rPr>
        <w:t>勘察</w:t>
      </w:r>
      <w:r>
        <w:rPr>
          <w:rFonts w:hint="eastAsia" w:ascii="宋体" w:hAnsi="宋体" w:eastAsia="宋体" w:cs="宋体"/>
          <w:color w:val="000000" w:themeColor="text1"/>
          <w:sz w:val="24"/>
          <w:highlight w:val="none"/>
          <w:lang w:bidi="ar"/>
          <w14:textFill>
            <w14:solidFill>
              <w14:schemeClr w14:val="tx1"/>
            </w14:solidFill>
          </w14:textFill>
        </w:rPr>
        <w:t>设计任务书所要求的内容，</w:t>
      </w:r>
      <w:r>
        <w:rPr>
          <w:rFonts w:hint="eastAsia" w:ascii="宋体" w:hAnsi="宋体" w:eastAsia="宋体" w:cs="宋体"/>
          <w:color w:val="000000" w:themeColor="text1"/>
          <w:sz w:val="24"/>
          <w:szCs w:val="24"/>
          <w:highlight w:val="none"/>
          <w14:textFill>
            <w14:solidFill>
              <w14:schemeClr w14:val="tx1"/>
            </w14:solidFill>
          </w14:textFill>
        </w:rPr>
        <w:t>且不限于以下内容：（设计图纸应充分考虑可实施性）。</w:t>
      </w:r>
    </w:p>
    <w:p w14:paraId="000796D8">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——总平面设计图；</w:t>
      </w:r>
    </w:p>
    <w:p w14:paraId="7F7392DC">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——鸟瞰效果图、主要空间节点透视图；</w:t>
      </w:r>
    </w:p>
    <w:p w14:paraId="42497068">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——各层平面图、主要剖面和立面图；</w:t>
      </w:r>
    </w:p>
    <w:p w14:paraId="1B0FD37B">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——地下空间利用平面图；</w:t>
      </w:r>
    </w:p>
    <w:p w14:paraId="6EFE12F6">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——景观节点设计平面图与透视图；</w:t>
      </w:r>
    </w:p>
    <w:p w14:paraId="194F3408">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——相关竖向设计图；</w:t>
      </w:r>
    </w:p>
    <w:p w14:paraId="52F86AB3">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——交通系统分析图；</w:t>
      </w:r>
    </w:p>
    <w:p w14:paraId="2B5DFEC2">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——其他投标人认为应该补充的图纸。</w:t>
      </w:r>
    </w:p>
    <w:p w14:paraId="6AF205DD">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(e) 《工期计划表》（方案修改、初步设计、施工图设计的总工时和工期）；</w:t>
      </w:r>
    </w:p>
    <w:p w14:paraId="638B9C06">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(f) 投标人提出的建议、工程创新和替代方案（如果有）；</w:t>
      </w:r>
    </w:p>
    <w:p w14:paraId="481A4818">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(g) 完成本项目的难点，保障工期、质量的主要措施、方案计划；</w:t>
      </w:r>
    </w:p>
    <w:p w14:paraId="6C236B9A">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(h) 针对项目场地采用的原位试验种类。勘察方案（勘察手段、方法及工艺）及建议，本次勘察的难点及建议</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7EE1DD5E">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(i) 勘察工作流程和相应的工期进度计划</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F5E856F">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(j) 投入本项目的人数、工种、设备</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05F08875">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(k) 勘察报告综合评价深度，勘察成果文件内容目录</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0AEDB4E8">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(l) 投标人掌握的勘察工作有关的法律法规、标准、规范一览表</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030D34CA">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(m) 需要建设单位、设计单位配合的事项</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3800AFCF">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(n) 发生追记行为的相应赔偿办法</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38B6F01">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(o) 投标人参与施工验槽，解决工程设计和施工中与勘察工作有关问题的服务承诺、响应时间、相关费用；(适用于含勘察内容的项目)；</w:t>
      </w:r>
    </w:p>
    <w:p w14:paraId="177446A5">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(p) 技术培训和职业道德教育情况(</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48038E5D">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b w:val="0"/>
          <w:bCs w:val="0"/>
          <w:color w:val="000000" w:themeColor="text1"/>
          <w:kern w:val="2"/>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sz w:val="24"/>
          <w:szCs w:val="24"/>
          <w:highlight w:val="none"/>
          <w:lang w:bidi="ar"/>
          <w14:textFill>
            <w14:solidFill>
              <w14:schemeClr w14:val="tx1"/>
            </w14:solidFill>
          </w14:textFill>
        </w:rPr>
        <w:t>q</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以往完工项目的资料分类编目、装订、归档保存的情况</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EC76392">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r</w:t>
      </w:r>
      <w:r>
        <w:rPr>
          <w:rFonts w:hint="eastAsia" w:ascii="宋体" w:hAnsi="宋体" w:eastAsia="宋体" w:cs="宋体"/>
          <w:color w:val="000000" w:themeColor="text1"/>
          <w:sz w:val="24"/>
          <w:szCs w:val="24"/>
          <w:highlight w:val="none"/>
          <w:lang w:bidi="ar"/>
          <w14:textFill>
            <w14:solidFill>
              <w14:schemeClr w14:val="tx1"/>
            </w14:solidFill>
          </w14:textFill>
        </w:rPr>
        <w:t>) 投标人认为有必要提供的其他资料；</w:t>
      </w:r>
    </w:p>
    <w:p w14:paraId="3D6DD8EB">
      <w:pPr>
        <w:keepNext w:val="0"/>
        <w:keepLines w:val="0"/>
        <w:widowControl w:val="0"/>
        <w:suppressLineNumbers w:val="0"/>
        <w:spacing w:before="0" w:beforeAutospacing="0" w:after="0" w:afterAutospacing="0" w:line="360" w:lineRule="auto"/>
        <w:ind w:left="0" w:right="0" w:firstLine="602" w:firstLineChars="250"/>
        <w:jc w:val="both"/>
        <w:rPr>
          <w:rFonts w:hint="eastAsia" w:ascii="宋体" w:hAnsi="宋体" w:eastAsia="宋体" w:cs="宋体"/>
          <w:b/>
          <w:bCs/>
          <w:color w:val="000000" w:themeColor="text1"/>
          <w:sz w:val="24"/>
          <w:szCs w:val="24"/>
          <w:highlight w:val="none"/>
          <w:u w:val="single"/>
          <w:lang w:bidi="ar"/>
          <w14:textFill>
            <w14:solidFill>
              <w14:schemeClr w14:val="tx1"/>
            </w14:solidFill>
          </w14:textFill>
        </w:rPr>
      </w:pPr>
      <w:r>
        <w:rPr>
          <w:rFonts w:hint="eastAsia" w:ascii="宋体" w:hAnsi="宋体" w:eastAsia="宋体" w:cs="宋体"/>
          <w:b/>
          <w:bCs/>
          <w:color w:val="000000" w:themeColor="text1"/>
          <w:sz w:val="24"/>
          <w:szCs w:val="24"/>
          <w:highlight w:val="none"/>
          <w:u w:val="single"/>
          <w:lang w:bidi="ar"/>
          <w14:textFill>
            <w14:solidFill>
              <w14:schemeClr w14:val="tx1"/>
            </w14:solidFill>
          </w14:textFill>
        </w:rPr>
        <w:t>特别说明：设计方案不能有涉及投标报价相关内容文件。</w:t>
      </w:r>
    </w:p>
    <w:p w14:paraId="455CB226">
      <w:pPr>
        <w:spacing w:line="240" w:lineRule="auto"/>
        <w:rPr>
          <w:rFonts w:ascii="宋体" w:hAnsi="宋体" w:eastAsia="宋体" w:cs="Times New Roman"/>
          <w:color w:val="000000" w:themeColor="text1"/>
          <w:sz w:val="24"/>
          <w:highlight w:val="none"/>
          <w14:textFill>
            <w14:solidFill>
              <w14:schemeClr w14:val="tx1"/>
            </w14:solidFill>
          </w14:textFill>
        </w:rPr>
      </w:pPr>
    </w:p>
    <w:p w14:paraId="0B42E1C2">
      <w:pPr>
        <w:spacing w:line="360" w:lineRule="auto"/>
        <w:ind w:firstLine="0" w:firstLineChars="0"/>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 xml:space="preserve">4.2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设计方案多媒体演示文件详见“9多媒体演示文件”。</w:t>
      </w:r>
    </w:p>
    <w:p w14:paraId="2D0138CF">
      <w:pPr>
        <w:spacing w:line="240" w:lineRule="auto"/>
        <w:rPr>
          <w:rFonts w:ascii="宋体" w:hAnsi="宋体" w:eastAsia="宋体" w:cs="Times New Roman"/>
          <w:color w:val="000000" w:themeColor="text1"/>
          <w:sz w:val="24"/>
          <w:highlight w:val="none"/>
          <w14:textFill>
            <w14:solidFill>
              <w14:schemeClr w14:val="tx1"/>
            </w14:solidFill>
          </w14:textFill>
        </w:rPr>
      </w:pPr>
    </w:p>
    <w:p w14:paraId="52856A9D">
      <w:pPr>
        <w:spacing w:line="360" w:lineRule="auto"/>
        <w:rPr>
          <w:rFonts w:ascii="宋体" w:hAnsi="宋体" w:eastAsia="宋体" w:cs="Times New Roman"/>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highlight w:val="none"/>
          <w14:textFill>
            <w14:solidFill>
              <w14:schemeClr w14:val="tx1"/>
            </w14:solidFill>
          </w14:textFill>
        </w:rPr>
        <w:t>5</w:t>
      </w:r>
      <w:r>
        <w:rPr>
          <w:rFonts w:ascii="宋体" w:hAnsi="宋体" w:eastAsia="宋体" w:cs="Times New Roman"/>
          <w:b/>
          <w:bCs/>
          <w:color w:val="000000" w:themeColor="text1"/>
          <w:sz w:val="24"/>
          <w:highlight w:val="none"/>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深度要求</w:t>
      </w:r>
    </w:p>
    <w:p w14:paraId="65B884AD">
      <w:pPr>
        <w:spacing w:line="240" w:lineRule="auto"/>
        <w:rPr>
          <w:rFonts w:ascii="宋体" w:hAnsi="宋体" w:eastAsia="宋体" w:cs="Times New Roman"/>
          <w:color w:val="000000" w:themeColor="text1"/>
          <w:sz w:val="24"/>
          <w:highlight w:val="none"/>
          <w14:textFill>
            <w14:solidFill>
              <w14:schemeClr w14:val="tx1"/>
            </w14:solidFill>
          </w14:textFill>
        </w:rPr>
      </w:pPr>
    </w:p>
    <w:p w14:paraId="758093D6">
      <w:pPr>
        <w:spacing w:line="360" w:lineRule="auto"/>
        <w:ind w:left="821" w:hanging="820" w:hangingChars="342"/>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5.1  </w:t>
      </w:r>
      <w:r>
        <w:rPr>
          <w:rFonts w:hint="eastAsia" w:ascii="宋体" w:hAnsi="宋体" w:eastAsia="宋体" w:cs="Times New Roman"/>
          <w:color w:val="000000" w:themeColor="text1"/>
          <w:sz w:val="24"/>
          <w:highlight w:val="none"/>
          <w14:textFill>
            <w14:solidFill>
              <w14:schemeClr w14:val="tx1"/>
            </w14:solidFill>
          </w14:textFill>
        </w:rPr>
        <w:t>投标深度要求：</w:t>
      </w:r>
    </w:p>
    <w:p w14:paraId="5971CD21">
      <w:pPr>
        <w:widowControl/>
        <w:spacing w:line="360" w:lineRule="auto"/>
        <w:ind w:left="0"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(a) </w:t>
      </w:r>
      <w:r>
        <w:rPr>
          <w:rFonts w:hint="eastAsia" w:ascii="宋体" w:hAnsi="宋体" w:eastAsia="宋体" w:cs="Times New Roman"/>
          <w:color w:val="000000" w:themeColor="text1"/>
          <w:sz w:val="24"/>
          <w:highlight w:val="none"/>
          <w14:textFill>
            <w14:solidFill>
              <w14:schemeClr w14:val="tx1"/>
            </w14:solidFill>
          </w14:textFill>
        </w:rPr>
        <w:t>建筑工程设计投标文件宜达到建设部《建筑工程设计文件编制深度规定》（</w:t>
      </w:r>
      <w:r>
        <w:rPr>
          <w:rFonts w:ascii="宋体" w:hAnsi="宋体" w:eastAsia="宋体" w:cs="Times New Roman"/>
          <w:color w:val="000000" w:themeColor="text1"/>
          <w:sz w:val="24"/>
          <w:highlight w:val="none"/>
          <w14:textFill>
            <w14:solidFill>
              <w14:schemeClr w14:val="tx1"/>
            </w14:solidFill>
          </w14:textFill>
        </w:rPr>
        <w:t>2016年版）相应设计阶段的要求。</w:t>
      </w:r>
    </w:p>
    <w:p w14:paraId="6A5054B1">
      <w:pPr>
        <w:widowControl/>
        <w:spacing w:line="360" w:lineRule="auto"/>
        <w:ind w:left="0" w:firstLine="600" w:firstLineChars="250"/>
        <w:jc w:val="left"/>
        <w:rPr>
          <w:rFonts w:ascii="宋体" w:hAnsi="宋体" w:eastAsia="宋体" w:cs="Times New Roman"/>
          <w:strike/>
          <w:color w:val="000000" w:themeColor="text1"/>
          <w:sz w:val="24"/>
          <w:highlight w:val="none"/>
          <w:u w:val="singl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(b)</w:t>
      </w:r>
      <w:r>
        <w:rPr>
          <w:rFonts w:ascii="宋体" w:hAnsi="宋体" w:eastAsia="宋体" w:cs="Times New Roman"/>
          <w:strike/>
          <w:color w:val="000000" w:themeColor="text1"/>
          <w:sz w:val="24"/>
          <w:highlight w:val="none"/>
          <w:u w:val="single"/>
          <w14:textFill>
            <w14:solidFill>
              <w14:schemeClr w14:val="tx1"/>
            </w14:solidFill>
          </w14:textFill>
        </w:rPr>
        <w:t xml:space="preserve"> 市政工程设计投标文件宜达到建设部《市政公用工程设计文件编制深度规定》相应设计阶段的要求。</w:t>
      </w:r>
    </w:p>
    <w:p w14:paraId="620F7114">
      <w:pPr>
        <w:widowControl/>
        <w:spacing w:line="360" w:lineRule="auto"/>
        <w:ind w:left="0" w:firstLine="600" w:firstLineChars="250"/>
        <w:jc w:val="left"/>
        <w:rPr>
          <w:rFonts w:hint="default" w:ascii="宋体" w:hAnsi="宋体" w:eastAsia="宋体" w:cs="Times New Roman"/>
          <w:strike/>
          <w:color w:val="000000" w:themeColor="text1"/>
          <w:sz w:val="24"/>
          <w:szCs w:val="22"/>
          <w:highlight w:val="none"/>
          <w:lang w:bidi="ar"/>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(c) 装饰工程设计投标文件，应提供效果图、平面布置图、天花平面图、立</w:t>
      </w:r>
      <w:r>
        <w:rPr>
          <w:rFonts w:ascii="宋体" w:hAnsi="宋体" w:eastAsia="宋体" w:cs="Times New Roman"/>
          <w:strike/>
          <w:color w:val="000000" w:themeColor="text1"/>
          <w:sz w:val="24"/>
          <w:highlight w:val="none"/>
          <w14:textFill>
            <w14:solidFill>
              <w14:schemeClr w14:val="tx1"/>
            </w14:solidFill>
          </w14:textFill>
        </w:rPr>
        <w:t>面图，以及《材料表》和《投资估算表》。《投资估算表》应列出明细表，豪华灯具、地毯、洁具、重要设备应列出品牌、型号、数量和价格，所有活动家具不包括在工程造价估算以内。</w:t>
      </w:r>
    </w:p>
    <w:p w14:paraId="00DD9C8F">
      <w:pPr>
        <w:widowControl/>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(d) 设计独特具有独创性的节点位置，应该提供示意图。</w:t>
      </w:r>
    </w:p>
    <w:p w14:paraId="4E6DA64F">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p>
    <w:p w14:paraId="55BD3071">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p>
    <w:p w14:paraId="179FA38B">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p>
    <w:p w14:paraId="46809846">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p>
    <w:p w14:paraId="559671FE">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6    资格审查文件</w:t>
      </w:r>
      <w:r>
        <w:rPr>
          <w:rFonts w:hint="eastAsia" w:ascii="宋体" w:hAnsi="宋体" w:eastAsia="宋体" w:cs="Times New Roman"/>
          <w:b/>
          <w:bCs/>
          <w:strike/>
          <w:color w:val="000000" w:themeColor="text1"/>
          <w:sz w:val="24"/>
          <w:highlight w:val="none"/>
          <w14:textFill>
            <w14:solidFill>
              <w14:schemeClr w14:val="tx1"/>
            </w14:solidFill>
          </w14:textFill>
        </w:rPr>
        <w:t>（如有）</w:t>
      </w:r>
    </w:p>
    <w:p w14:paraId="6166266A">
      <w:pPr>
        <w:spacing w:line="360" w:lineRule="auto"/>
        <w:rPr>
          <w:rFonts w:ascii="宋体" w:hAnsi="宋体" w:eastAsia="宋体" w:cs="Times New Roman"/>
          <w:color w:val="000000" w:themeColor="text1"/>
          <w:sz w:val="24"/>
          <w:highlight w:val="none"/>
          <w14:textFill>
            <w14:solidFill>
              <w14:schemeClr w14:val="tx1"/>
            </w14:solidFill>
          </w14:textFill>
        </w:rPr>
      </w:pPr>
      <w:bookmarkStart w:id="57" w:name="_Hlk114219858"/>
    </w:p>
    <w:p w14:paraId="5961499E">
      <w:pPr>
        <w:spacing w:line="360" w:lineRule="auto"/>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6.1  </w:t>
      </w:r>
      <w:r>
        <w:rPr>
          <w:rFonts w:hint="eastAsia" w:ascii="宋体" w:hAnsi="宋体" w:eastAsia="宋体" w:cs="Times New Roman"/>
          <w:color w:val="000000" w:themeColor="text1"/>
          <w:sz w:val="24"/>
          <w:highlight w:val="none"/>
          <w14:textFill>
            <w14:solidFill>
              <w14:schemeClr w14:val="tx1"/>
            </w14:solidFill>
          </w14:textFill>
        </w:rPr>
        <w:t>资格审查文件内容：</w:t>
      </w:r>
    </w:p>
    <w:bookmarkEnd w:id="57"/>
    <w:p w14:paraId="48BCC12C">
      <w:pPr>
        <w:widowControl/>
        <w:spacing w:line="360" w:lineRule="auto"/>
        <w:ind w:firstLine="600" w:firstLineChars="250"/>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(a) 目录；</w:t>
      </w:r>
    </w:p>
    <w:p w14:paraId="06042A3D">
      <w:pPr>
        <w:widowControl/>
        <w:spacing w:line="360" w:lineRule="auto"/>
        <w:ind w:left="0" w:leftChars="0"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 填妥并签字盖章的《投标书》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bidi="ar"/>
          <w14:textFill>
            <w14:solidFill>
              <w14:schemeClr w14:val="tx1"/>
            </w14:solidFill>
          </w14:textFill>
        </w:rPr>
        <w:t>如需使用投标文件光盘备用评审的，评标委员会根据投标文件光盘备用“③开标信封”中的《投标书》进行评审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42E6BBD0">
      <w:pPr>
        <w:widowControl/>
        <w:spacing w:line="360" w:lineRule="auto"/>
        <w:ind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 填妥</w:t>
      </w:r>
      <w:r>
        <w:rPr>
          <w:rFonts w:hint="eastAsia" w:ascii="宋体" w:hAnsi="宋体" w:eastAsia="宋体" w:cs="宋体"/>
          <w:dstrike/>
          <w:color w:val="000000" w:themeColor="text1"/>
          <w:sz w:val="24"/>
          <w:highlight w:val="none"/>
          <w14:textFill>
            <w14:solidFill>
              <w14:schemeClr w14:val="tx1"/>
            </w14:solidFill>
          </w14:textFill>
        </w:rPr>
        <w:t>并盖章</w:t>
      </w:r>
      <w:r>
        <w:rPr>
          <w:rFonts w:hint="eastAsia" w:ascii="宋体" w:hAnsi="宋体" w:eastAsia="宋体" w:cs="宋体"/>
          <w:color w:val="000000" w:themeColor="text1"/>
          <w:sz w:val="24"/>
          <w:highlight w:val="none"/>
          <w14:textFill>
            <w14:solidFill>
              <w14:schemeClr w14:val="tx1"/>
            </w14:solidFill>
          </w14:textFill>
        </w:rPr>
        <w:t>的《投标人声明》（格式见附录8）；</w:t>
      </w:r>
    </w:p>
    <w:p w14:paraId="4F4FF835">
      <w:pPr>
        <w:widowControl/>
        <w:spacing w:line="360" w:lineRule="auto"/>
        <w:ind w:left="0"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(d) 填妥并签字盖章的《联合体共同投标协议》（联合体投标人提供）</w:t>
      </w:r>
      <w:r>
        <w:rPr>
          <w:rFonts w:hint="eastAsia" w:ascii="宋体" w:hAnsi="宋体" w:eastAsia="宋体" w:cs="宋体"/>
          <w:strike w:val="0"/>
          <w:color w:val="000000" w:themeColor="text1"/>
          <w:sz w:val="24"/>
          <w:highlight w:val="none"/>
          <w:lang w:bidi="ar"/>
          <w14:textFill>
            <w14:solidFill>
              <w14:schemeClr w14:val="tx1"/>
            </w14:solidFill>
          </w14:textFill>
        </w:rPr>
        <w:t>（如需</w:t>
      </w:r>
      <w:r>
        <w:rPr>
          <w:rFonts w:hint="eastAsia" w:ascii="宋体" w:hAnsi="宋体" w:eastAsia="宋体" w:cs="宋体"/>
          <w:strike w:val="0"/>
          <w:color w:val="000000" w:themeColor="text1"/>
          <w:sz w:val="24"/>
          <w:szCs w:val="24"/>
          <w:highlight w:val="none"/>
          <w:lang w:bidi="ar"/>
          <w14:textFill>
            <w14:solidFill>
              <w14:schemeClr w14:val="tx1"/>
            </w14:solidFill>
          </w14:textFill>
        </w:rPr>
        <w:t>使用</w:t>
      </w:r>
      <w:r>
        <w:rPr>
          <w:rFonts w:hint="eastAsia" w:ascii="宋体" w:hAnsi="宋体" w:eastAsia="宋体" w:cs="宋体"/>
          <w:strike w:val="0"/>
          <w:color w:val="000000" w:themeColor="text1"/>
          <w:sz w:val="24"/>
          <w:highlight w:val="none"/>
          <w:lang w:bidi="ar"/>
          <w14:textFill>
            <w14:solidFill>
              <w14:schemeClr w14:val="tx1"/>
            </w14:solidFill>
          </w14:textFill>
        </w:rPr>
        <w:t>投标文件光盘备用评审的，评标委员会根据投标文件光盘备用“③开标信封”中的《</w:t>
      </w:r>
      <w:r>
        <w:rPr>
          <w:rFonts w:hint="eastAsia" w:ascii="宋体" w:hAnsi="宋体" w:eastAsia="宋体" w:cs="宋体"/>
          <w:strike w:val="0"/>
          <w:color w:val="000000" w:themeColor="text1"/>
          <w:sz w:val="24"/>
          <w:highlight w:val="none"/>
          <w:lang w:eastAsia="zh-CN" w:bidi="ar"/>
          <w14:textFill>
            <w14:solidFill>
              <w14:schemeClr w14:val="tx1"/>
            </w14:solidFill>
          </w14:textFill>
        </w:rPr>
        <w:t>联合体</w:t>
      </w:r>
      <w:r>
        <w:rPr>
          <w:rFonts w:hint="eastAsia" w:ascii="宋体" w:hAnsi="宋体" w:eastAsia="宋体" w:cs="宋体"/>
          <w:strike w:val="0"/>
          <w:color w:val="000000" w:themeColor="text1"/>
          <w:sz w:val="24"/>
          <w:highlight w:val="none"/>
          <w:lang w:bidi="ar"/>
          <w14:textFill>
            <w14:solidFill>
              <w14:schemeClr w14:val="tx1"/>
            </w14:solidFill>
          </w14:textFill>
        </w:rPr>
        <w:t>共同投标协议》进行评审）</w:t>
      </w:r>
      <w:r>
        <w:rPr>
          <w:rFonts w:hint="eastAsia" w:ascii="宋体" w:hAnsi="宋体" w:eastAsia="宋体" w:cs="宋体"/>
          <w:color w:val="000000" w:themeColor="text1"/>
          <w:sz w:val="24"/>
          <w:highlight w:val="none"/>
          <w14:textFill>
            <w14:solidFill>
              <w14:schemeClr w14:val="tx1"/>
            </w14:solidFill>
          </w14:textFill>
        </w:rPr>
        <w:t>；</w:t>
      </w:r>
    </w:p>
    <w:p w14:paraId="628A385A">
      <w:pPr>
        <w:widowControl/>
        <w:spacing w:line="360" w:lineRule="auto"/>
        <w:ind w:left="0" w:firstLine="600" w:firstLineChars="250"/>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(e) 填妥并签字盖章的《合作设计协议</w:t>
      </w:r>
      <w:r>
        <w:rPr>
          <w:rFonts w:hint="eastAsia" w:ascii="宋体" w:hAnsi="宋体" w:eastAsia="宋体" w:cs="宋体"/>
          <w:color w:val="000000" w:themeColor="text1"/>
          <w:sz w:val="24"/>
          <w:highlight w:val="none"/>
          <w:lang w:val="en-US" w:eastAsia="zh-CN"/>
          <w14:textFill>
            <w14:solidFill>
              <w14:schemeClr w14:val="tx1"/>
            </w14:solidFill>
          </w14:textFill>
        </w:rPr>
        <w:t>书</w:t>
      </w:r>
      <w:r>
        <w:rPr>
          <w:rFonts w:hint="eastAsia" w:ascii="宋体" w:hAnsi="宋体" w:eastAsia="宋体" w:cs="宋体"/>
          <w:color w:val="000000" w:themeColor="text1"/>
          <w:sz w:val="24"/>
          <w:highlight w:val="none"/>
          <w14:textFill>
            <w14:solidFill>
              <w14:schemeClr w14:val="tx1"/>
            </w14:solidFill>
          </w14:textFill>
        </w:rPr>
        <w:t>》（外国或香港、澳门、台湾的设计企业提供）（格式见附录 7-1）；</w:t>
      </w:r>
    </w:p>
    <w:p w14:paraId="7FCB2926">
      <w:pPr>
        <w:widowControl/>
        <w:spacing w:line="360" w:lineRule="auto"/>
        <w:ind w:left="0"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(f) 投标人资质证书</w:t>
      </w:r>
      <w:r>
        <w:rPr>
          <w:rFonts w:hint="eastAsia" w:ascii="宋体" w:hAnsi="宋体" w:eastAsia="宋体" w:cs="宋体"/>
          <w:color w:val="000000" w:themeColor="text1"/>
          <w:sz w:val="24"/>
          <w:szCs w:val="24"/>
          <w:highlight w:val="none"/>
          <w14:textFill>
            <w14:solidFill>
              <w14:schemeClr w14:val="tx1"/>
            </w14:solidFill>
          </w14:textFill>
        </w:rPr>
        <w:t>扫描件或电子证照</w:t>
      </w:r>
      <w:r>
        <w:rPr>
          <w:rFonts w:hint="eastAsia" w:ascii="宋体" w:hAnsi="宋体" w:eastAsia="宋体" w:cs="宋体"/>
          <w:color w:val="000000" w:themeColor="text1"/>
          <w:sz w:val="24"/>
          <w:highlight w:val="none"/>
          <w14:textFill>
            <w14:solidFill>
              <w14:schemeClr w14:val="tx1"/>
            </w14:solidFill>
          </w14:textFill>
        </w:rPr>
        <w:t>；</w:t>
      </w:r>
    </w:p>
    <w:p w14:paraId="736CEE3D">
      <w:pPr>
        <w:widowControl/>
        <w:spacing w:line="360" w:lineRule="auto"/>
        <w:ind w:left="0" w:leftChars="0"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(g) 申请人（如为联合体，则联合体各方）已在广州市住房和城乡建设局建立企业信用档案，拟委派的项目负责人须是本企业信用档案中的在册人员。</w:t>
      </w:r>
    </w:p>
    <w:p w14:paraId="43E297F6">
      <w:pPr>
        <w:widowControl/>
        <w:spacing w:line="360" w:lineRule="auto"/>
        <w:ind w:left="0" w:leftChars="0" w:firstLine="600" w:firstLineChars="250"/>
        <w:jc w:val="left"/>
        <w:rPr>
          <w:rFonts w:hint="eastAsia" w:ascii="宋体" w:hAnsi="宋体" w:eastAsia="宋体" w:cs="宋体"/>
          <w:dstrike/>
          <w:color w:val="000000" w:themeColor="text1"/>
          <w:sz w:val="24"/>
          <w:highlight w:val="none"/>
          <w14:textFill>
            <w14:solidFill>
              <w14:schemeClr w14:val="tx1"/>
            </w14:solidFill>
          </w14:textFill>
        </w:rPr>
      </w:pPr>
      <w:r>
        <w:rPr>
          <w:rFonts w:hint="eastAsia" w:ascii="宋体" w:hAnsi="宋体" w:eastAsia="宋体" w:cs="宋体"/>
          <w:dstrike/>
          <w:color w:val="000000" w:themeColor="text1"/>
          <w:sz w:val="24"/>
          <w:highlight w:val="none"/>
          <w14:textFill>
            <w14:solidFill>
              <w14:schemeClr w14:val="tx1"/>
            </w14:solidFill>
          </w14:textFill>
        </w:rPr>
        <w:t>(h) 投标申请表（附录1）；</w:t>
      </w:r>
    </w:p>
    <w:p w14:paraId="73CF8216">
      <w:pPr>
        <w:widowControl/>
        <w:spacing w:line="360" w:lineRule="auto"/>
        <w:ind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(i) 拟派项目负责人注册执业资格证书</w:t>
      </w:r>
      <w:r>
        <w:rPr>
          <w:rFonts w:hint="eastAsia" w:ascii="宋体" w:hAnsi="宋体" w:eastAsia="宋体" w:cs="宋体"/>
          <w:strike/>
          <w:color w:val="000000" w:themeColor="text1"/>
          <w:sz w:val="24"/>
          <w:highlight w:val="none"/>
          <w14:textFill>
            <w14:solidFill>
              <w14:schemeClr w14:val="tx1"/>
            </w14:solidFill>
          </w14:textFill>
        </w:rPr>
        <w:t>或职称证书</w:t>
      </w:r>
      <w:r>
        <w:rPr>
          <w:rFonts w:hint="eastAsia" w:ascii="宋体" w:hAnsi="宋体" w:eastAsia="宋体" w:cs="宋体"/>
          <w:color w:val="000000" w:themeColor="text1"/>
          <w:sz w:val="24"/>
          <w:highlight w:val="none"/>
          <w14:textFill>
            <w14:solidFill>
              <w14:schemeClr w14:val="tx1"/>
            </w14:solidFill>
          </w14:textFill>
        </w:rPr>
        <w:t>或符合本招标项目对项目负责人要求的香港专业人士的相关证书；</w:t>
      </w:r>
    </w:p>
    <w:p w14:paraId="3E7B9FF3">
      <w:pPr>
        <w:widowControl/>
        <w:spacing w:line="360" w:lineRule="auto"/>
        <w:ind w:firstLine="600" w:firstLineChars="250"/>
        <w:jc w:val="left"/>
        <w:rPr>
          <w:rFonts w:hint="eastAsia" w:ascii="宋体" w:hAnsi="宋体" w:eastAsia="宋体" w:cs="宋体"/>
          <w:strike/>
          <w:color w:val="000000" w:themeColor="text1"/>
          <w:sz w:val="24"/>
          <w:highlight w:val="none"/>
          <w14:textFill>
            <w14:solidFill>
              <w14:schemeClr w14:val="tx1"/>
            </w14:solidFill>
          </w14:textFill>
        </w:rPr>
      </w:pPr>
      <w:r>
        <w:rPr>
          <w:rFonts w:hint="eastAsia" w:ascii="宋体" w:hAnsi="宋体" w:eastAsia="宋体" w:cs="宋体"/>
          <w:strike/>
          <w:color w:val="000000" w:themeColor="text1"/>
          <w:sz w:val="24"/>
          <w:highlight w:val="none"/>
          <w14:textFill>
            <w14:solidFill>
              <w14:schemeClr w14:val="tx1"/>
            </w14:solidFill>
          </w14:textFill>
        </w:rPr>
        <w:t>(j) 拟派各专业负责人注册执业资格证书或职称证书及工作简历；</w:t>
      </w:r>
    </w:p>
    <w:p w14:paraId="5E9F8611">
      <w:pPr>
        <w:widowControl/>
        <w:spacing w:line="360" w:lineRule="auto"/>
        <w:ind w:left="0" w:leftChars="0" w:firstLine="600" w:firstLineChars="250"/>
        <w:jc w:val="left"/>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(k) 投标人认为有必要提供的其他资料。</w:t>
      </w:r>
    </w:p>
    <w:p w14:paraId="5464CDCA">
      <w:pPr>
        <w:widowControl/>
        <w:spacing w:line="360" w:lineRule="auto"/>
        <w:ind w:left="1147" w:leftChars="342" w:hanging="429" w:hangingChars="178"/>
        <w:jc w:val="left"/>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注：1.相关电子注册证书按规定需打印后手写本人签名的，应按照规定手写本人签名后再扫描提交。</w:t>
      </w:r>
    </w:p>
    <w:p w14:paraId="778A00C0">
      <w:pPr>
        <w:widowControl/>
        <w:spacing w:line="360" w:lineRule="auto"/>
        <w:ind w:left="1144" w:leftChars="545" w:firstLine="0" w:firstLineChars="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2.</w:t>
      </w: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申请人</w:t>
      </w:r>
      <w:r>
        <w:rPr>
          <w:rFonts w:hint="eastAsia" w:ascii="宋体" w:hAnsi="宋体" w:eastAsia="宋体" w:cs="宋体"/>
          <w:b/>
          <w:bCs/>
          <w:color w:val="000000" w:themeColor="text1"/>
          <w:kern w:val="2"/>
          <w:sz w:val="24"/>
          <w:szCs w:val="24"/>
          <w:highlight w:val="none"/>
          <w:u w:val="single"/>
          <w14:textFill>
            <w14:solidFill>
              <w14:schemeClr w14:val="tx1"/>
            </w14:solidFill>
          </w14:textFill>
        </w:rPr>
        <w:t>在投标登记时选择了拟投入本项目的项目负责人即已满足</w:t>
      </w: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“申请人（如为联合体，则联合体各方）已在广州市住房和城乡建设局建立企业信用档案，拟委派的项目负责人须是本企业信用档案中的在册人员”</w:t>
      </w:r>
      <w:r>
        <w:rPr>
          <w:rFonts w:hint="eastAsia" w:ascii="宋体" w:hAnsi="宋体" w:eastAsia="宋体" w:cs="宋体"/>
          <w:b/>
          <w:bCs/>
          <w:color w:val="000000" w:themeColor="text1"/>
          <w:kern w:val="2"/>
          <w:sz w:val="24"/>
          <w:szCs w:val="24"/>
          <w:highlight w:val="none"/>
          <w:u w:val="single"/>
          <w14:textFill>
            <w14:solidFill>
              <w14:schemeClr w14:val="tx1"/>
            </w14:solidFill>
          </w14:textFill>
        </w:rPr>
        <w:t>的要求，</w:t>
      </w: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申请人</w:t>
      </w:r>
      <w:r>
        <w:rPr>
          <w:rFonts w:hint="eastAsia" w:ascii="宋体" w:hAnsi="宋体" w:eastAsia="宋体" w:cs="宋体"/>
          <w:b/>
          <w:bCs/>
          <w:color w:val="000000" w:themeColor="text1"/>
          <w:kern w:val="2"/>
          <w:sz w:val="24"/>
          <w:szCs w:val="24"/>
          <w:highlight w:val="none"/>
          <w:u w:val="single"/>
          <w14:textFill>
            <w14:solidFill>
              <w14:schemeClr w14:val="tx1"/>
            </w14:solidFill>
          </w14:textFill>
        </w:rPr>
        <w:t>无需提供证明材料。</w:t>
      </w:r>
    </w:p>
    <w:p w14:paraId="69E69269">
      <w:pPr>
        <w:widowControl w:val="0"/>
        <w:ind w:firstLine="400" w:firstLineChars="200"/>
        <w:jc w:val="both"/>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pPr>
    </w:p>
    <w:p w14:paraId="5E64A4FC">
      <w:pPr>
        <w:spacing w:line="360" w:lineRule="auto"/>
        <w:ind w:left="361" w:hanging="361" w:hangingChars="150"/>
        <w:rPr>
          <w:rFonts w:ascii="宋体" w:hAnsi="宋体" w:eastAsia="宋体" w:cs="Times New Roman"/>
          <w:b/>
          <w:bCs/>
          <w:color w:val="000000" w:themeColor="text1"/>
          <w:sz w:val="24"/>
          <w:highlight w:val="none"/>
          <w14:textFill>
            <w14:solidFill>
              <w14:schemeClr w14:val="tx1"/>
            </w14:solidFill>
          </w14:textFill>
        </w:rPr>
      </w:pPr>
    </w:p>
    <w:p w14:paraId="00FE5EA0">
      <w:pPr>
        <w:spacing w:line="360" w:lineRule="auto"/>
        <w:ind w:left="361" w:hanging="361" w:hangingChars="150"/>
        <w:rPr>
          <w:rFonts w:ascii="宋体" w:hAnsi="宋体" w:eastAsia="宋体" w:cs="Times New Roman"/>
          <w:b/>
          <w:bCs/>
          <w:color w:val="000000" w:themeColor="text1"/>
          <w:sz w:val="24"/>
          <w:highlight w:val="none"/>
          <w14:textFill>
            <w14:solidFill>
              <w14:schemeClr w14:val="tx1"/>
            </w14:solidFill>
          </w14:textFill>
        </w:rPr>
      </w:pPr>
    </w:p>
    <w:p w14:paraId="21DF0B34">
      <w:pPr>
        <w:spacing w:line="360" w:lineRule="auto"/>
        <w:ind w:left="361" w:hanging="361" w:hangingChars="150"/>
        <w:rPr>
          <w:rFonts w:ascii="宋体" w:hAnsi="宋体" w:eastAsia="宋体" w:cs="Times New Roman"/>
          <w:b/>
          <w:bCs/>
          <w:color w:val="000000" w:themeColor="text1"/>
          <w:sz w:val="24"/>
          <w:highlight w:val="none"/>
          <w14:textFill>
            <w14:solidFill>
              <w14:schemeClr w14:val="tx1"/>
            </w14:solidFill>
          </w14:textFill>
        </w:rPr>
      </w:pPr>
    </w:p>
    <w:p w14:paraId="7281C9E7">
      <w:pPr>
        <w:spacing w:line="360" w:lineRule="auto"/>
        <w:ind w:left="361" w:hanging="361" w:hangingChars="150"/>
        <w:rPr>
          <w:rFonts w:ascii="宋体" w:hAnsi="宋体" w:eastAsia="宋体" w:cs="Times New Roman"/>
          <w:b/>
          <w:bCs/>
          <w:color w:val="000000" w:themeColor="text1"/>
          <w:sz w:val="24"/>
          <w:highlight w:val="non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 xml:space="preserve">7    </w:t>
      </w:r>
      <w:r>
        <w:rPr>
          <w:rFonts w:hint="eastAsia" w:ascii="宋体" w:hAnsi="宋体" w:eastAsia="宋体" w:cs="Times New Roman"/>
          <w:b/>
          <w:bCs/>
          <w:color w:val="000000" w:themeColor="text1"/>
          <w:sz w:val="24"/>
          <w:highlight w:val="none"/>
          <w:u w:val="single"/>
          <w14:textFill>
            <w14:solidFill>
              <w14:schemeClr w14:val="tx1"/>
            </w14:solidFill>
          </w14:textFill>
        </w:rPr>
        <w:t>报价文件</w:t>
      </w:r>
    </w:p>
    <w:p w14:paraId="36408C6A">
      <w:pPr>
        <w:widowControl/>
        <w:numPr>
          <w:ilvl w:val="0"/>
          <w:numId w:val="3"/>
        </w:numPr>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《工程勘察设计费报价汇总表》（见附件3）；</w:t>
      </w:r>
    </w:p>
    <w:p w14:paraId="268402C2">
      <w:pPr>
        <w:widowControl/>
        <w:numPr>
          <w:ilvl w:val="0"/>
          <w:numId w:val="3"/>
        </w:numPr>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《工程设计费计算表》（见附件3－1）；</w:t>
      </w:r>
    </w:p>
    <w:p w14:paraId="6D5342F7">
      <w:pPr>
        <w:widowControl/>
        <w:numPr>
          <w:ilvl w:val="0"/>
          <w:numId w:val="3"/>
        </w:numPr>
        <w:spacing w:line="360" w:lineRule="auto"/>
        <w:ind w:firstLine="600" w:firstLineChars="250"/>
        <w:jc w:val="left"/>
        <w:rPr>
          <w:rFonts w:hint="eastAsia" w:ascii="宋体" w:hAnsi="宋体" w:eastAsia="宋体" w:cs="Times New Roman"/>
          <w:color w:val="000000" w:themeColor="text1"/>
          <w:sz w:val="24"/>
          <w:highlight w:val="none"/>
          <w:u w:val="single"/>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《工程勘察费计算表》（见附件3－2）</w:t>
      </w:r>
      <w:r>
        <w:rPr>
          <w:rFonts w:hint="eastAsia" w:ascii="宋体" w:hAnsi="宋体" w:eastAsia="宋体" w:cs="Times New Roman"/>
          <w:color w:val="000000" w:themeColor="text1"/>
          <w:sz w:val="24"/>
          <w:highlight w:val="none"/>
          <w:u w:val="single"/>
          <w:lang w:eastAsia="zh-CN"/>
          <w14:textFill>
            <w14:solidFill>
              <w14:schemeClr w14:val="tx1"/>
            </w14:solidFill>
          </w14:textFill>
        </w:rPr>
        <w:t>；</w:t>
      </w:r>
      <w:r>
        <w:rPr>
          <w:rFonts w:ascii="宋体" w:hAnsi="宋体" w:eastAsia="宋体" w:cs="Times New Roman"/>
          <w:color w:val="000000" w:themeColor="text1"/>
          <w:sz w:val="24"/>
          <w:highlight w:val="none"/>
          <w:u w:val="single"/>
          <w14:textFill>
            <w14:solidFill>
              <w14:schemeClr w14:val="tx1"/>
            </w14:solidFill>
          </w14:textFill>
        </w:rPr>
        <w:t>岩土工程勘察综合单价应包含全</w:t>
      </w:r>
      <w:r>
        <w:rPr>
          <w:rFonts w:hint="eastAsia" w:ascii="宋体" w:hAnsi="宋体" w:eastAsia="宋体" w:cs="Times New Roman"/>
          <w:color w:val="000000" w:themeColor="text1"/>
          <w:sz w:val="24"/>
          <w:highlight w:val="none"/>
          <w:u w:val="single"/>
          <w14:textFill>
            <w14:solidFill>
              <w14:schemeClr w14:val="tx1"/>
            </w14:solidFill>
          </w14:textFill>
        </w:rPr>
        <w:t>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r>
        <w:rPr>
          <w:rFonts w:hint="default" w:ascii="宋体" w:hAnsi="宋体" w:eastAsia="宋体" w:cs="Times New Roman"/>
          <w:color w:val="000000" w:themeColor="text1"/>
          <w:sz w:val="24"/>
          <w:highlight w:val="none"/>
          <w:u w:val="single"/>
          <w14:textFill>
            <w14:solidFill>
              <w14:schemeClr w14:val="tx1"/>
            </w14:solidFill>
          </w14:textFill>
        </w:rPr>
        <w:t>；</w:t>
      </w:r>
    </w:p>
    <w:p w14:paraId="182DCB0B">
      <w:pPr>
        <w:widowControl/>
        <w:spacing w:line="360" w:lineRule="auto"/>
        <w:ind w:firstLine="600" w:firstLineChars="250"/>
        <w:jc w:val="left"/>
        <w:rPr>
          <w:rFonts w:hint="eastAsia" w:ascii="宋体" w:hAnsi="宋体" w:eastAsia="宋体" w:cs="Times New Roman"/>
          <w:color w:val="000000" w:themeColor="text1"/>
          <w:sz w:val="24"/>
          <w:highlight w:val="none"/>
          <w:u w:val="single"/>
          <w:lang w:eastAsia="zh-CN"/>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（d）</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Times New Roman"/>
          <w:color w:val="000000" w:themeColor="text1"/>
          <w:spacing w:val="-6"/>
          <w:sz w:val="24"/>
          <w:highlight w:val="none"/>
          <w:u w:val="single"/>
          <w14:textFill>
            <w14:solidFill>
              <w14:schemeClr w14:val="tx1"/>
            </w14:solidFill>
          </w14:textFill>
        </w:rPr>
        <w:t>《</w:t>
      </w:r>
      <w:r>
        <w:rPr>
          <w:rFonts w:hint="eastAsia" w:ascii="宋体" w:hAnsi="宋体" w:eastAsia="宋体" w:cs="Times New Roman"/>
          <w:color w:val="000000" w:themeColor="text1"/>
          <w:spacing w:val="-6"/>
          <w:sz w:val="24"/>
          <w:highlight w:val="none"/>
          <w:u w:val="single"/>
          <w14:textFill>
            <w14:solidFill>
              <w14:schemeClr w14:val="tx1"/>
            </w14:solidFill>
          </w14:textFill>
        </w:rPr>
        <w:t>设计方案报审（含修建性详细规划编制）</w:t>
      </w:r>
      <w:r>
        <w:rPr>
          <w:rFonts w:hint="default" w:ascii="宋体" w:hAnsi="宋体" w:eastAsia="宋体" w:cs="Times New Roman"/>
          <w:color w:val="000000" w:themeColor="text1"/>
          <w:spacing w:val="-6"/>
          <w:sz w:val="24"/>
          <w:highlight w:val="none"/>
          <w:u w:val="single"/>
          <w14:textFill>
            <w14:solidFill>
              <w14:schemeClr w14:val="tx1"/>
            </w14:solidFill>
          </w14:textFill>
        </w:rPr>
        <w:t>费计算表》</w:t>
      </w:r>
      <w:r>
        <w:rPr>
          <w:rFonts w:hint="default" w:ascii="宋体" w:hAnsi="宋体" w:eastAsia="宋体" w:cs="Times New Roman"/>
          <w:color w:val="000000" w:themeColor="text1"/>
          <w:sz w:val="24"/>
          <w:highlight w:val="none"/>
          <w:u w:val="single"/>
          <w14:textFill>
            <w14:solidFill>
              <w14:schemeClr w14:val="tx1"/>
            </w14:solidFill>
          </w14:textFill>
        </w:rPr>
        <w:t>（见附件3－3）</w:t>
      </w:r>
      <w:r>
        <w:rPr>
          <w:rFonts w:hint="eastAsia" w:ascii="宋体" w:hAnsi="宋体" w:eastAsia="宋体" w:cs="Times New Roman"/>
          <w:color w:val="000000" w:themeColor="text1"/>
          <w:sz w:val="24"/>
          <w:highlight w:val="none"/>
          <w:u w:val="single"/>
          <w:lang w:eastAsia="zh-CN"/>
          <w14:textFill>
            <w14:solidFill>
              <w14:schemeClr w14:val="tx1"/>
            </w14:solidFill>
          </w14:textFill>
        </w:rPr>
        <w:t>；</w:t>
      </w:r>
    </w:p>
    <w:p w14:paraId="610D3F6C">
      <w:pPr>
        <w:widowControl/>
        <w:spacing w:line="360" w:lineRule="auto"/>
        <w:ind w:firstLine="600" w:firstLineChars="250"/>
        <w:jc w:val="left"/>
        <w:rPr>
          <w:rFonts w:hint="default" w:ascii="宋体" w:hAnsi="宋体" w:eastAsia="宋体" w:cs="Times New Roman"/>
          <w:color w:val="000000" w:themeColor="text1"/>
          <w:sz w:val="24"/>
          <w:highlight w:val="none"/>
          <w:u w:val="single"/>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e</w:t>
      </w:r>
      <w:r>
        <w:rPr>
          <w:rFonts w:ascii="宋体" w:hAnsi="宋体" w:eastAsia="宋体" w:cs="Times New Roman"/>
          <w:color w:val="000000" w:themeColor="text1"/>
          <w:sz w:val="24"/>
          <w:highlight w:val="none"/>
          <w:u w:val="single"/>
          <w14:textFill>
            <w14:solidFill>
              <w14:schemeClr w14:val="tx1"/>
            </w14:solidFill>
          </w14:textFill>
        </w:rPr>
        <w:t>）</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Times New Roman"/>
          <w:color w:val="000000" w:themeColor="text1"/>
          <w:sz w:val="24"/>
          <w:highlight w:val="none"/>
          <w:u w:val="single"/>
          <w14:textFill>
            <w14:solidFill>
              <w14:schemeClr w14:val="tx1"/>
            </w14:solidFill>
          </w14:textFill>
        </w:rPr>
        <w:t>《BIM正向设计技术应用费计算表》</w:t>
      </w:r>
      <w:r>
        <w:rPr>
          <w:rFonts w:hint="default" w:ascii="宋体" w:hAnsi="宋体" w:eastAsia="宋体" w:cs="Times New Roman"/>
          <w:color w:val="000000" w:themeColor="text1"/>
          <w:spacing w:val="-6"/>
          <w:sz w:val="24"/>
          <w:highlight w:val="none"/>
          <w:u w:val="single"/>
          <w14:textFill>
            <w14:solidFill>
              <w14:schemeClr w14:val="tx1"/>
            </w14:solidFill>
          </w14:textFill>
        </w:rPr>
        <w:t>（见附件3－</w:t>
      </w:r>
      <w:r>
        <w:rPr>
          <w:rFonts w:hint="eastAsia" w:ascii="宋体" w:hAnsi="宋体" w:eastAsia="宋体" w:cs="Times New Roman"/>
          <w:color w:val="000000" w:themeColor="text1"/>
          <w:spacing w:val="-6"/>
          <w:sz w:val="24"/>
          <w:highlight w:val="none"/>
          <w:u w:val="single"/>
          <w:lang w:val="en-US" w:eastAsia="zh-CN"/>
          <w14:textFill>
            <w14:solidFill>
              <w14:schemeClr w14:val="tx1"/>
            </w14:solidFill>
          </w14:textFill>
        </w:rPr>
        <w:t>4</w:t>
      </w:r>
      <w:r>
        <w:rPr>
          <w:rFonts w:hint="default" w:ascii="宋体" w:hAnsi="宋体" w:eastAsia="宋体" w:cs="Times New Roman"/>
          <w:color w:val="000000" w:themeColor="text1"/>
          <w:spacing w:val="-6"/>
          <w:sz w:val="24"/>
          <w:highlight w:val="none"/>
          <w:u w:val="single"/>
          <w14:textFill>
            <w14:solidFill>
              <w14:schemeClr w14:val="tx1"/>
            </w14:solidFill>
          </w14:textFill>
        </w:rPr>
        <w:t>）。</w:t>
      </w:r>
    </w:p>
    <w:p w14:paraId="369D78A7">
      <w:pPr>
        <w:spacing w:line="360" w:lineRule="auto"/>
        <w:rPr>
          <w:rFonts w:ascii="宋体" w:hAnsi="宋体" w:eastAsia="宋体" w:cs="Times New Roman"/>
          <w:color w:val="000000" w:themeColor="text1"/>
          <w:sz w:val="24"/>
          <w:highlight w:val="none"/>
          <w14:textFill>
            <w14:solidFill>
              <w14:schemeClr w14:val="tx1"/>
            </w14:solidFill>
          </w14:textFill>
        </w:rPr>
      </w:pPr>
    </w:p>
    <w:p w14:paraId="20F00FDA">
      <w:pPr>
        <w:rPr>
          <w:rFonts w:hint="eastAsia" w:ascii="宋体" w:hAnsi="宋体" w:eastAsia="宋体" w:cs="Times New Roman"/>
          <w:b/>
          <w:bCs/>
          <w:color w:val="000000" w:themeColor="text1"/>
          <w:sz w:val="24"/>
          <w:highlight w:val="none"/>
          <w:u w:val="singl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 xml:space="preserve">8    </w:t>
      </w:r>
      <w:r>
        <w:rPr>
          <w:rFonts w:hint="eastAsia" w:ascii="宋体" w:hAnsi="宋体" w:eastAsia="宋体" w:cs="Times New Roman"/>
          <w:b/>
          <w:bCs/>
          <w:color w:val="000000" w:themeColor="text1"/>
          <w:sz w:val="24"/>
          <w:highlight w:val="none"/>
          <w:u w:val="single"/>
          <w14:textFill>
            <w14:solidFill>
              <w14:schemeClr w14:val="tx1"/>
            </w14:solidFill>
          </w14:textFill>
        </w:rPr>
        <w:t>定标文件（定标文件中不需要重复提供设计方案）</w:t>
      </w:r>
    </w:p>
    <w:p w14:paraId="06980E78">
      <w:pPr>
        <w:spacing w:line="360" w:lineRule="auto"/>
        <w:rPr>
          <w:rFonts w:ascii="宋体" w:hAnsi="宋体" w:eastAsia="宋体" w:cs="Times New Roman"/>
          <w:color w:val="000000" w:themeColor="text1"/>
          <w:sz w:val="24"/>
          <w:highlight w:val="none"/>
          <w14:textFill>
            <w14:solidFill>
              <w14:schemeClr w14:val="tx1"/>
            </w14:solidFill>
          </w14:textFill>
        </w:rPr>
      </w:pPr>
    </w:p>
    <w:p w14:paraId="75F2E646">
      <w:pPr>
        <w:spacing w:line="360" w:lineRule="auto"/>
        <w:rPr>
          <w:rFonts w:ascii="宋体" w:hAnsi="宋体" w:eastAsia="宋体" w:cs="Times New Roman"/>
          <w:color w:val="000000" w:themeColor="text1"/>
          <w:sz w:val="24"/>
          <w:highlight w:val="none"/>
          <w:u w:val="singl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8.1  </w:t>
      </w:r>
      <w:r>
        <w:rPr>
          <w:rFonts w:hint="eastAsia" w:ascii="宋体" w:hAnsi="宋体" w:eastAsia="宋体" w:cs="Times New Roman"/>
          <w:color w:val="000000" w:themeColor="text1"/>
          <w:sz w:val="24"/>
          <w:highlight w:val="none"/>
          <w:u w:val="single"/>
          <w14:textFill>
            <w14:solidFill>
              <w14:schemeClr w14:val="tx1"/>
            </w14:solidFill>
          </w14:textFill>
        </w:rPr>
        <w:t>定标文件内容：</w:t>
      </w:r>
    </w:p>
    <w:p w14:paraId="42B288ED">
      <w:pPr>
        <w:widowControl/>
        <w:spacing w:line="360" w:lineRule="auto"/>
        <w:ind w:firstLine="600" w:firstLineChars="250"/>
        <w:jc w:val="left"/>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(a)</w:t>
      </w:r>
      <w:r>
        <w:rPr>
          <w:rFonts w:hint="default"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目录；</w:t>
      </w:r>
    </w:p>
    <w:p w14:paraId="06673789">
      <w:pPr>
        <w:widowControl/>
        <w:spacing w:line="360" w:lineRule="auto"/>
        <w:ind w:firstLine="600" w:firstLineChars="250"/>
        <w:jc w:val="left"/>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(b)</w:t>
      </w:r>
      <w:r>
        <w:rPr>
          <w:rFonts w:hint="default"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拟投入的人员基本情况及主要人员简历表（格式见附录17</w:t>
      </w:r>
      <w:r>
        <w:rPr>
          <w:rFonts w:hint="eastAsia" w:ascii="宋体" w:hAnsi="宋体" w:eastAsia="宋体" w:cs="宋体"/>
          <w:color w:val="000000" w:themeColor="text1"/>
          <w:sz w:val="24"/>
          <w:highlight w:val="none"/>
          <w:u w:val="single"/>
          <w14:textFill>
            <w14:solidFill>
              <w14:schemeClr w14:val="tx1"/>
            </w14:solidFill>
          </w14:textFill>
        </w:rPr>
        <w:t>）；</w:t>
      </w:r>
    </w:p>
    <w:p w14:paraId="7ACDA3AF">
      <w:pPr>
        <w:widowControl/>
        <w:spacing w:line="360" w:lineRule="auto"/>
        <w:ind w:firstLine="600" w:firstLineChars="250"/>
        <w:jc w:val="left"/>
        <w:rPr>
          <w:rFonts w:hint="default" w:ascii="宋体" w:hAnsi="宋体" w:eastAsia="宋体" w:cs="宋体"/>
          <w:color w:val="000000" w:themeColor="text1"/>
          <w:sz w:val="24"/>
          <w:szCs w:val="22"/>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 xml:space="preserve">(c) </w:t>
      </w:r>
      <w:r>
        <w:rPr>
          <w:rFonts w:hint="eastAsia" w:ascii="宋体" w:hAnsi="宋体" w:eastAsia="宋体" w:cs="宋体"/>
          <w:color w:val="000000" w:themeColor="text1"/>
          <w:sz w:val="24"/>
          <w:highlight w:val="none"/>
          <w:u w:val="single"/>
          <w14:textFill>
            <w14:solidFill>
              <w14:schemeClr w14:val="tx1"/>
            </w14:solidFill>
          </w14:textFill>
        </w:rPr>
        <w:t>投标人已完成项目及获奖情况（格式见附录</w:t>
      </w:r>
      <w:r>
        <w:rPr>
          <w:rFonts w:ascii="宋体" w:hAnsi="宋体" w:eastAsia="宋体" w:cs="宋体"/>
          <w:color w:val="000000" w:themeColor="text1"/>
          <w:sz w:val="24"/>
          <w:highlight w:val="none"/>
          <w:u w:val="single"/>
          <w14:textFill>
            <w14:solidFill>
              <w14:schemeClr w14:val="tx1"/>
            </w14:solidFill>
          </w14:textFill>
        </w:rPr>
        <w:t>18</w:t>
      </w:r>
      <w:r>
        <w:rPr>
          <w:rFonts w:hint="eastAsia" w:ascii="宋体" w:hAnsi="宋体" w:eastAsia="宋体" w:cs="宋体"/>
          <w:color w:val="000000" w:themeColor="text1"/>
          <w:sz w:val="24"/>
          <w:highlight w:val="none"/>
          <w:u w:val="single"/>
          <w14:textFill>
            <w14:solidFill>
              <w14:schemeClr w14:val="tx1"/>
            </w14:solidFill>
          </w14:textFill>
        </w:rPr>
        <w:t>）；</w:t>
      </w:r>
    </w:p>
    <w:p w14:paraId="414A964E">
      <w:pPr>
        <w:widowControl/>
        <w:spacing w:line="360" w:lineRule="auto"/>
        <w:ind w:firstLine="600" w:firstLineChars="250"/>
        <w:jc w:val="left"/>
        <w:rPr>
          <w:rFonts w:hint="default"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d</w:t>
      </w:r>
      <w:r>
        <w:rPr>
          <w:rFonts w:ascii="宋体" w:hAnsi="宋体" w:eastAsia="宋体" w:cs="宋体"/>
          <w:color w:val="000000" w:themeColor="text1"/>
          <w:sz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2"/>
          <w:highlight w:val="none"/>
          <w:u w:val="single"/>
          <w14:textFill>
            <w14:solidFill>
              <w14:schemeClr w14:val="tx1"/>
            </w14:solidFill>
          </w14:textFill>
        </w:rPr>
        <w:t>投标人的</w:t>
      </w:r>
      <w:r>
        <w:rPr>
          <w:rFonts w:hint="default" w:ascii="宋体" w:hAnsi="宋体" w:eastAsia="宋体" w:cs="宋体"/>
          <w:color w:val="000000" w:themeColor="text1"/>
          <w:sz w:val="24"/>
          <w:szCs w:val="22"/>
          <w:highlight w:val="none"/>
          <w:u w:val="single"/>
          <w:lang w:eastAsia="zh-CN"/>
          <w14:textFill>
            <w14:solidFill>
              <w14:schemeClr w14:val="tx1"/>
            </w14:solidFill>
          </w14:textFill>
        </w:rPr>
        <w:t>专业分包情况</w:t>
      </w:r>
      <w:r>
        <w:rPr>
          <w:rFonts w:hint="default" w:ascii="宋体" w:hAnsi="宋体" w:eastAsia="宋体" w:cs="宋体"/>
          <w:color w:val="000000" w:themeColor="text1"/>
          <w:sz w:val="24"/>
          <w:szCs w:val="22"/>
          <w:highlight w:val="none"/>
          <w:u w:val="single"/>
          <w14:textFill>
            <w14:solidFill>
              <w14:schemeClr w14:val="tx1"/>
            </w14:solidFill>
          </w14:textFill>
        </w:rPr>
        <w:t>（格式见附录19）；</w:t>
      </w:r>
    </w:p>
    <w:p w14:paraId="17075FB6">
      <w:pPr>
        <w:widowControl/>
        <w:spacing w:line="360" w:lineRule="auto"/>
        <w:ind w:firstLine="600" w:firstLineChars="250"/>
        <w:jc w:val="left"/>
        <w:rPr>
          <w:rFonts w:hint="default"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w:t>
      </w:r>
      <w:r>
        <w:rPr>
          <w:rFonts w:hint="default" w:ascii="宋体" w:hAnsi="宋体" w:eastAsia="宋体" w:cs="宋体"/>
          <w:color w:val="000000" w:themeColor="text1"/>
          <w:sz w:val="24"/>
          <w:highlight w:val="none"/>
          <w:u w:val="single"/>
          <w:lang w:val="en-US" w:eastAsia="zh-CN"/>
          <w14:textFill>
            <w14:solidFill>
              <w14:schemeClr w14:val="tx1"/>
            </w14:solidFill>
          </w14:textFill>
        </w:rPr>
        <w:t>e</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投标人认为有必要提供的其他资料</w:t>
      </w:r>
      <w:r>
        <w:rPr>
          <w:rFonts w:hint="default" w:ascii="宋体" w:hAnsi="宋体" w:eastAsia="宋体" w:cs="宋体"/>
          <w:color w:val="000000" w:themeColor="text1"/>
          <w:sz w:val="24"/>
          <w:highlight w:val="none"/>
          <w:u w:val="single"/>
          <w14:textFill>
            <w14:solidFill>
              <w14:schemeClr w14:val="tx1"/>
            </w14:solidFill>
          </w14:textFill>
        </w:rPr>
        <w:t>。</w:t>
      </w:r>
    </w:p>
    <w:p w14:paraId="212CC3E0">
      <w:pPr>
        <w:spacing w:line="360" w:lineRule="auto"/>
        <w:rPr>
          <w:rFonts w:ascii="宋体" w:hAnsi="宋体" w:eastAsia="宋体" w:cs="Times New Roman"/>
          <w:color w:val="000000" w:themeColor="text1"/>
          <w:sz w:val="24"/>
          <w:highlight w:val="none"/>
          <w14:textFill>
            <w14:solidFill>
              <w14:schemeClr w14:val="tx1"/>
            </w14:solidFill>
          </w14:textFill>
        </w:rPr>
      </w:pPr>
    </w:p>
    <w:p w14:paraId="7F659126">
      <w:pPr>
        <w:rPr>
          <w:rFonts w:hint="eastAsia" w:ascii="宋体" w:hAnsi="宋体" w:eastAsia="宋体" w:cs="Times New Roman"/>
          <w:b/>
          <w:bCs/>
          <w:color w:val="000000" w:themeColor="text1"/>
          <w:sz w:val="24"/>
          <w:highlight w:val="none"/>
          <w:u w:val="single"/>
          <w14:textFill>
            <w14:solidFill>
              <w14:schemeClr w14:val="tx1"/>
            </w14:solidFill>
          </w14:textFill>
        </w:rPr>
      </w:pPr>
      <w:r>
        <w:rPr>
          <w:rFonts w:hint="eastAsia" w:ascii="宋体" w:hAnsi="宋体" w:eastAsia="宋体" w:cs="Times New Roman"/>
          <w:b/>
          <w:bCs/>
          <w:color w:val="000000" w:themeColor="text1"/>
          <w:sz w:val="24"/>
          <w:highlight w:val="none"/>
          <w:lang w:val="en-US" w:eastAsia="zh-CN"/>
          <w14:textFill>
            <w14:solidFill>
              <w14:schemeClr w14:val="tx1"/>
            </w14:solidFill>
          </w14:textFill>
        </w:rPr>
        <w:t>9</w:t>
      </w:r>
      <w:r>
        <w:rPr>
          <w:rFonts w:ascii="宋体" w:hAnsi="宋体" w:eastAsia="宋体" w:cs="Times New Roman"/>
          <w:b/>
          <w:bCs/>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kern w:val="2"/>
          <w:sz w:val="24"/>
          <w:szCs w:val="24"/>
          <w:highlight w:val="none"/>
          <w:u w:val="single"/>
          <w:lang w:val="en-US" w:eastAsia="zh-CN" w:bidi="ar"/>
          <w14:textFill>
            <w14:solidFill>
              <w14:schemeClr w14:val="tx1"/>
            </w14:solidFill>
          </w14:textFill>
        </w:rPr>
        <w:t>多媒体演示文件</w:t>
      </w:r>
    </w:p>
    <w:p w14:paraId="5AE11369">
      <w:pPr>
        <w:keepNext w:val="0"/>
        <w:keepLines w:val="0"/>
        <w:widowControl w:val="0"/>
        <w:suppressLineNumbers w:val="0"/>
        <w:autoSpaceDE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（1）多媒体要求（时长不少于5分钟，</w:t>
      </w:r>
      <w:r>
        <w:rPr>
          <w:rFonts w:hint="default" w:ascii="宋体" w:hAnsi="宋体" w:eastAsia="宋体" w:cs="宋体"/>
          <w:color w:val="000000" w:themeColor="text1"/>
          <w:kern w:val="2"/>
          <w:sz w:val="24"/>
          <w:szCs w:val="24"/>
          <w:highlight w:val="none"/>
          <w:u w:val="single"/>
          <w:lang w:eastAsia="zh-CN" w:bidi="ar"/>
          <w14:textFill>
            <w14:solidFill>
              <w14:schemeClr w14:val="tx1"/>
            </w14:solidFill>
          </w14:textFill>
        </w:rPr>
        <w:t>不大于15分钟</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w:t>
      </w:r>
    </w:p>
    <w:p w14:paraId="73D17800">
      <w:pPr>
        <w:keepNext w:val="0"/>
        <w:keepLines w:val="0"/>
        <w:widowControl w:val="0"/>
        <w:suppressLineNumbers w:val="0"/>
        <w:autoSpaceDE w:val="0"/>
        <w:spacing w:before="0" w:beforeAutospacing="0" w:after="0" w:afterAutospacing="0" w:line="360" w:lineRule="auto"/>
        <w:ind w:left="0" w:right="0" w:firstLine="480" w:firstLineChars="200"/>
        <w:jc w:val="both"/>
        <w:rPr>
          <w:rFonts w:hint="default"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（2）分辨率不低于1024*576，格式采用MP4或者AVI</w:t>
      </w:r>
      <w:r>
        <w:rPr>
          <w:rFonts w:hint="default" w:ascii="宋体" w:hAnsi="宋体" w:eastAsia="宋体" w:cs="宋体"/>
          <w:color w:val="000000" w:themeColor="text1"/>
          <w:kern w:val="2"/>
          <w:sz w:val="24"/>
          <w:szCs w:val="24"/>
          <w:highlight w:val="none"/>
          <w:u w:val="single"/>
          <w:lang w:eastAsia="zh-CN" w:bidi="ar"/>
          <w14:textFill>
            <w14:solidFill>
              <w14:schemeClr w14:val="tx1"/>
            </w14:solidFill>
          </w14:textFill>
        </w:rPr>
        <w:t>。</w:t>
      </w:r>
    </w:p>
    <w:p w14:paraId="11044C86">
      <w:pPr>
        <w:autoSpaceDE w:val="0"/>
        <w:spacing w:line="360" w:lineRule="auto"/>
        <w:ind w:firstLine="482" w:firstLineChars="200"/>
        <w:jc w:val="both"/>
        <w:rPr>
          <w:rFonts w:hint="eastAsia" w:ascii="宋体" w:hAnsi="宋体" w:eastAsia="宋体" w:cs="宋体"/>
          <w:b/>
          <w:bCs/>
          <w:color w:val="000000" w:themeColor="text1"/>
          <w:sz w:val="24"/>
          <w:szCs w:val="24"/>
          <w:highlight w:val="none"/>
          <w:u w:val="single"/>
          <w:lang w:bidi="ar"/>
          <w14:textFill>
            <w14:solidFill>
              <w14:schemeClr w14:val="tx1"/>
            </w14:solidFill>
          </w14:textFill>
        </w:rPr>
      </w:pPr>
      <w:r>
        <w:rPr>
          <w:rFonts w:hint="eastAsia" w:ascii="宋体" w:hAnsi="宋体" w:eastAsia="宋体" w:cs="宋体"/>
          <w:b/>
          <w:bCs/>
          <w:color w:val="000000" w:themeColor="text1"/>
          <w:sz w:val="24"/>
          <w:szCs w:val="24"/>
          <w:highlight w:val="none"/>
          <w:u w:val="single"/>
          <w:lang w:bidi="ar"/>
          <w14:textFill>
            <w14:solidFill>
              <w14:schemeClr w14:val="tx1"/>
            </w14:solidFill>
          </w14:textFill>
        </w:rPr>
        <w:t>（3）多媒体演示文件密封要求</w:t>
      </w:r>
    </w:p>
    <w:p w14:paraId="451B9200">
      <w:pPr>
        <w:autoSpaceDE w:val="0"/>
        <w:spacing w:line="360" w:lineRule="auto"/>
        <w:ind w:firstLine="480" w:firstLineChars="200"/>
        <w:jc w:val="both"/>
        <w:rPr>
          <w:rFonts w:hint="eastAsia" w:ascii="宋体" w:hAnsi="宋体" w:eastAsia="宋体" w:cs="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1）多媒体演示文件（暗标）：以U盘为媒介存储，单独用内、外两个不透明包装物包装密封。其中，</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外信封</w:t>
      </w:r>
      <w:r>
        <w:rPr>
          <w:rFonts w:hint="eastAsia" w:ascii="宋体" w:hAnsi="宋体" w:eastAsia="宋体" w:cs="宋体"/>
          <w:color w:val="000000" w:themeColor="text1"/>
          <w:sz w:val="24"/>
          <w:szCs w:val="24"/>
          <w:highlight w:val="none"/>
          <w:u w:val="single"/>
          <w:lang w:bidi="ar"/>
          <w14:textFill>
            <w14:solidFill>
              <w14:schemeClr w14:val="tx1"/>
            </w14:solidFill>
          </w14:textFill>
        </w:rPr>
        <w:t>密封袋上应写明多媒体演示文件、项目名称、招标人名称，并在封口处加盖投标人公章。</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内信封</w:t>
      </w:r>
      <w:r>
        <w:rPr>
          <w:rFonts w:hint="eastAsia" w:ascii="宋体" w:hAnsi="宋体" w:eastAsia="宋体" w:cs="宋体"/>
          <w:color w:val="000000" w:themeColor="text1"/>
          <w:sz w:val="24"/>
          <w:szCs w:val="24"/>
          <w:highlight w:val="none"/>
          <w:u w:val="single"/>
          <w:lang w:bidi="ar"/>
          <w14:textFill>
            <w14:solidFill>
              <w14:schemeClr w14:val="tx1"/>
            </w14:solidFill>
          </w14:textFill>
        </w:rPr>
        <w:t>包封仅需注明“广州市农业农村科学院东涌基地建设项目勘察设计多媒体演示文件”字样，投标人不得在多媒体演示文件包装上标注或做任何可以辨认投标人及专业技术人员身份的名称、印章、商标、图形等。</w:t>
      </w:r>
    </w:p>
    <w:p w14:paraId="537E2E88">
      <w:pPr>
        <w:autoSpaceDE w:val="0"/>
        <w:spacing w:line="360" w:lineRule="auto"/>
        <w:ind w:firstLine="480" w:firstLineChars="200"/>
        <w:jc w:val="both"/>
        <w:rPr>
          <w:rFonts w:hint="eastAsia" w:ascii="宋体" w:hAnsi="宋体" w:eastAsia="宋体" w:cs="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2）多媒体演示文件保密信封：可以U盘或纸质文件加盖投标人公章的形式制作，单独用不透明包装物包装密封，密封袋上应写明“广州市农业农村科学院东涌基地建设项目勘察设计保密信封”，并在封口处加盖投标人单位公章。保密信封用于揭晓多媒体演示文件的可识别投标人身份的文件，为投标人多媒体演示文件中任意一秒截图加盖投标人公章。</w:t>
      </w:r>
    </w:p>
    <w:p w14:paraId="22DE08F8">
      <w:pPr>
        <w:autoSpaceDE w:val="0"/>
        <w:spacing w:line="360" w:lineRule="auto"/>
        <w:ind w:firstLine="480" w:firstLineChars="200"/>
        <w:jc w:val="both"/>
        <w:rPr>
          <w:rFonts w:hint="eastAsia" w:ascii="宋体" w:hAnsi="宋体" w:eastAsia="宋体" w:cs="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3）多媒体演示文件开标时不得开启，在评标前由交易中心见证人员开启并编号，交由评标委员会进行评审。编号所对应的投标人在方案评审结束前不得告知评标委员会、招标人或招标代理机构。</w:t>
      </w:r>
    </w:p>
    <w:p w14:paraId="7F68BA31">
      <w:pPr>
        <w:autoSpaceDE w:val="0"/>
        <w:spacing w:line="360" w:lineRule="auto"/>
        <w:ind w:firstLine="480" w:firstLineChars="200"/>
        <w:jc w:val="both"/>
        <w:rPr>
          <w:rFonts w:hint="eastAsia" w:ascii="宋体" w:hAnsi="宋体" w:eastAsia="宋体" w:cs="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4）未按要求密封的多媒体演示文件，招标人将予以拒收。</w:t>
      </w:r>
    </w:p>
    <w:p w14:paraId="314D01B0">
      <w:pPr>
        <w:autoSpaceDE w:val="0"/>
        <w:spacing w:line="360" w:lineRule="auto"/>
        <w:ind w:firstLine="480" w:firstLineChars="200"/>
        <w:jc w:val="both"/>
        <w:rPr>
          <w:rFonts w:hint="eastAsia" w:ascii="宋体" w:hAnsi="宋体" w:eastAsia="宋体" w:cs="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u w:val="single"/>
          <w:lang w:bidi="ar"/>
          <w14:textFill>
            <w14:solidFill>
              <w14:schemeClr w14:val="tx1"/>
            </w14:solidFill>
          </w14:textFill>
        </w:rPr>
        <w:t>）未递交多媒体演示文件不作为否决性条款，但会影响评标委员会和定标委员会对其设计方案的评价。</w:t>
      </w:r>
    </w:p>
    <w:p w14:paraId="6C45ED05">
      <w:pPr>
        <w:spacing w:line="360" w:lineRule="auto"/>
        <w:ind w:firstLine="420" w:firstLineChars="20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05A88910">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附表1</w:t>
      </w:r>
    </w:p>
    <w:p w14:paraId="020D181D">
      <w:pPr>
        <w:jc w:val="center"/>
        <w:rPr>
          <w:rFonts w:ascii="Calibri" w:hAnsi="Calibri" w:eastAsia="宋体" w:cs="Times New Roman"/>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设计方案主要技术指标响应情况一览表</w:t>
      </w:r>
    </w:p>
    <w:tbl>
      <w:tblPr>
        <w:tblStyle w:val="15"/>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51"/>
        <w:gridCol w:w="2315"/>
        <w:gridCol w:w="2267"/>
        <w:gridCol w:w="1386"/>
      </w:tblGrid>
      <w:tr w14:paraId="7C66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09D0FE4">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序号</w:t>
            </w:r>
          </w:p>
        </w:tc>
        <w:tc>
          <w:tcPr>
            <w:tcW w:w="2351" w:type="dxa"/>
            <w:tcBorders>
              <w:top w:val="single" w:color="auto" w:sz="4" w:space="0"/>
              <w:left w:val="single" w:color="auto" w:sz="4" w:space="0"/>
              <w:bottom w:val="single" w:color="auto" w:sz="4" w:space="0"/>
              <w:right w:val="single" w:color="auto" w:sz="4" w:space="0"/>
            </w:tcBorders>
            <w:vAlign w:val="center"/>
          </w:tcPr>
          <w:p w14:paraId="6886857F">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lang w:eastAsia="zh-CN"/>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项目</w:t>
            </w:r>
            <w:r>
              <w:rPr>
                <w:rFonts w:hint="eastAsia" w:ascii="宋体" w:hAnsi="宋体" w:eastAsia="宋体" w:cs="Times New Roman"/>
                <w:b/>
                <w:color w:val="000000" w:themeColor="text1"/>
                <w:sz w:val="24"/>
                <w:highlight w:val="none"/>
                <w:lang w:eastAsia="zh-CN"/>
                <w14:textFill>
                  <w14:solidFill>
                    <w14:schemeClr w14:val="tx1"/>
                  </w14:solidFill>
                </w14:textFill>
              </w:rPr>
              <w:t>（</w:t>
            </w:r>
            <w:r>
              <w:rPr>
                <w:rFonts w:hint="eastAsia" w:ascii="宋体" w:hAnsi="宋体" w:eastAsia="宋体" w:cs="Times New Roman"/>
                <w:b/>
                <w:color w:val="000000" w:themeColor="text1"/>
                <w:sz w:val="24"/>
                <w:highlight w:val="none"/>
                <w:lang w:val="en-US" w:eastAsia="zh-CN"/>
                <w14:textFill>
                  <w14:solidFill>
                    <w14:schemeClr w14:val="tx1"/>
                  </w14:solidFill>
                </w14:textFill>
              </w:rPr>
              <w:t>内容</w:t>
            </w:r>
            <w:r>
              <w:rPr>
                <w:rFonts w:hint="eastAsia" w:ascii="宋体" w:hAnsi="宋体" w:eastAsia="宋体" w:cs="Times New Roman"/>
                <w:b/>
                <w:color w:val="000000" w:themeColor="text1"/>
                <w:sz w:val="24"/>
                <w:highlight w:val="none"/>
                <w:lang w:eastAsia="zh-CN"/>
                <w14:textFill>
                  <w14:solidFill>
                    <w14:schemeClr w14:val="tx1"/>
                  </w14:solidFill>
                </w14:textFill>
              </w:rPr>
              <w:t>）</w:t>
            </w:r>
          </w:p>
        </w:tc>
        <w:tc>
          <w:tcPr>
            <w:tcW w:w="2315" w:type="dxa"/>
            <w:tcBorders>
              <w:top w:val="single" w:color="auto" w:sz="4" w:space="0"/>
              <w:left w:val="single" w:color="auto" w:sz="4" w:space="0"/>
              <w:bottom w:val="single" w:color="auto" w:sz="4" w:space="0"/>
              <w:right w:val="single" w:color="auto" w:sz="4" w:space="0"/>
            </w:tcBorders>
            <w:vAlign w:val="center"/>
          </w:tcPr>
          <w:p w14:paraId="0BA9AE53">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设计任务书要求</w:t>
            </w:r>
          </w:p>
        </w:tc>
        <w:tc>
          <w:tcPr>
            <w:tcW w:w="2267" w:type="dxa"/>
            <w:tcBorders>
              <w:top w:val="single" w:color="auto" w:sz="4" w:space="0"/>
              <w:left w:val="single" w:color="auto" w:sz="4" w:space="0"/>
              <w:bottom w:val="single" w:color="auto" w:sz="4" w:space="0"/>
              <w:right w:val="single" w:color="auto" w:sz="4" w:space="0"/>
            </w:tcBorders>
            <w:vAlign w:val="center"/>
          </w:tcPr>
          <w:p w14:paraId="382685E7">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设计方案响应情况（填写具体数值）</w:t>
            </w:r>
          </w:p>
        </w:tc>
        <w:tc>
          <w:tcPr>
            <w:tcW w:w="1386" w:type="dxa"/>
            <w:tcBorders>
              <w:top w:val="single" w:color="auto" w:sz="4" w:space="0"/>
              <w:left w:val="single" w:color="auto" w:sz="4" w:space="0"/>
              <w:bottom w:val="single" w:color="auto" w:sz="4" w:space="0"/>
              <w:right w:val="single" w:color="auto" w:sz="4" w:space="0"/>
            </w:tcBorders>
            <w:vAlign w:val="center"/>
          </w:tcPr>
          <w:p w14:paraId="6F1AB6A4">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备注</w:t>
            </w:r>
          </w:p>
        </w:tc>
      </w:tr>
      <w:tr w14:paraId="19F9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64E86FC8">
            <w:pPr>
              <w:keepNext w:val="0"/>
              <w:keepLines w:val="0"/>
              <w:suppressLineNumbers w:val="0"/>
              <w:spacing w:before="0" w:beforeAutospacing="0" w:after="0" w:afterAutospacing="0"/>
              <w:ind w:left="0" w:right="0"/>
              <w:jc w:val="center"/>
              <w:rPr>
                <w:rFonts w:hint="default" w:ascii="宋体" w:hAnsi="宋体" w:eastAsia="宋体" w:cs="Times New Roman"/>
                <w:b w:val="0"/>
                <w:bCs/>
                <w:color w:val="000000" w:themeColor="text1"/>
                <w:sz w:val="24"/>
                <w:highlight w:val="none"/>
                <w:lang w:val="en-US" w:eastAsia="zh-CN"/>
                <w14:textFill>
                  <w14:solidFill>
                    <w14:schemeClr w14:val="tx1"/>
                  </w14:solidFill>
                </w14:textFill>
              </w:rPr>
            </w:pPr>
            <w:r>
              <w:rPr>
                <w:rFonts w:hint="eastAsia" w:ascii="宋体" w:hAnsi="宋体" w:eastAsia="宋体" w:cs="Times New Roman"/>
                <w:b w:val="0"/>
                <w:bCs/>
                <w:color w:val="000000" w:themeColor="text1"/>
                <w:sz w:val="24"/>
                <w:highlight w:val="none"/>
                <w:lang w:val="en-US" w:eastAsia="zh-CN"/>
                <w14:textFill>
                  <w14:solidFill>
                    <w14:schemeClr w14:val="tx1"/>
                  </w14:solidFill>
                </w14:textFill>
              </w:rPr>
              <w:t>1</w:t>
            </w: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4F8555EC">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
                <w14:textFill>
                  <w14:solidFill>
                    <w14:schemeClr w14:val="tx1"/>
                  </w14:solidFill>
                </w14:textFill>
              </w:rPr>
              <w:t>总建筑面积</w:t>
            </w:r>
          </w:p>
        </w:tc>
        <w:tc>
          <w:tcPr>
            <w:tcW w:w="2315" w:type="dxa"/>
            <w:tcBorders>
              <w:top w:val="single" w:color="auto" w:sz="4" w:space="0"/>
              <w:left w:val="single" w:color="auto" w:sz="4" w:space="0"/>
              <w:bottom w:val="single" w:color="auto" w:sz="4" w:space="0"/>
              <w:right w:val="single" w:color="auto" w:sz="4" w:space="0"/>
            </w:tcBorders>
            <w:shd w:val="clear" w:color="auto" w:fill="auto"/>
            <w:vAlign w:val="center"/>
          </w:tcPr>
          <w:p w14:paraId="67A14BFA">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50483平方米</w:t>
            </w:r>
          </w:p>
        </w:tc>
        <w:tc>
          <w:tcPr>
            <w:tcW w:w="2267" w:type="dxa"/>
            <w:tcBorders>
              <w:top w:val="single" w:color="auto" w:sz="4" w:space="0"/>
              <w:left w:val="single" w:color="auto" w:sz="4" w:space="0"/>
              <w:bottom w:val="single" w:color="auto" w:sz="4" w:space="0"/>
              <w:right w:val="single" w:color="auto" w:sz="4" w:space="0"/>
            </w:tcBorders>
            <w:vAlign w:val="center"/>
          </w:tcPr>
          <w:p w14:paraId="39C3F212">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vAlign w:val="center"/>
          </w:tcPr>
          <w:p w14:paraId="1BFC6677">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val="0"/>
                <w:bCs/>
                <w:color w:val="000000" w:themeColor="text1"/>
                <w:sz w:val="24"/>
                <w:highlight w:val="none"/>
                <w14:textFill>
                  <w14:solidFill>
                    <w14:schemeClr w14:val="tx1"/>
                  </w14:solidFill>
                </w14:textFill>
              </w:rPr>
              <w:t>原则不超设计任务书要求</w:t>
            </w:r>
          </w:p>
        </w:tc>
      </w:tr>
    </w:tbl>
    <w:p w14:paraId="6732480A">
      <w:pPr>
        <w:keepNext w:val="0"/>
        <w:keepLines w:val="0"/>
        <w:widowControl w:val="0"/>
        <w:suppressLineNumbers w:val="0"/>
        <w:spacing w:before="0" w:beforeAutospacing="0" w:after="0" w:afterAutospacing="0" w:line="360" w:lineRule="auto"/>
        <w:ind w:left="630" w:right="0" w:hanging="630" w:hangingChars="300"/>
        <w:jc w:val="both"/>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注：</w:t>
      </w:r>
      <w:r>
        <w:rPr>
          <w:rFonts w:hint="default" w:ascii="宋体" w:hAnsi="宋体" w:eastAsia="宋体" w:cs="宋体"/>
          <w:b/>
          <w:bCs/>
          <w:color w:val="000000" w:themeColor="text1"/>
          <w:kern w:val="2"/>
          <w:sz w:val="21"/>
          <w:szCs w:val="21"/>
          <w:highlight w:val="none"/>
          <w:lang w:eastAsia="zh-CN" w:bidi="ar"/>
          <w14:textFill>
            <w14:solidFill>
              <w14:schemeClr w14:val="tx1"/>
            </w14:solidFill>
          </w14:textFill>
        </w:rPr>
        <w:t>1.</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投标人在本表填写的数据作为评标委员会对方案评审的依据之一，本表不作为废标条件，由评标委员会在方案评审时综合考虑。</w:t>
      </w:r>
    </w:p>
    <w:p w14:paraId="7664C9E9">
      <w:pPr>
        <w:keepNext w:val="0"/>
        <w:keepLines w:val="0"/>
        <w:widowControl w:val="0"/>
        <w:suppressLineNumbers w:val="0"/>
        <w:spacing w:before="0" w:beforeAutospacing="0" w:after="0" w:afterAutospacing="0" w:line="360" w:lineRule="auto"/>
        <w:ind w:left="631" w:leftChars="200" w:right="0" w:hanging="211" w:hangingChars="100"/>
        <w:jc w:val="both"/>
        <w:rPr>
          <w:rFonts w:hint="eastAsia" w:ascii="宋体" w:hAnsi="宋体" w:eastAsia="宋体" w:cs="宋体"/>
          <w:b/>
          <w:bCs/>
          <w:color w:val="000000" w:themeColor="text1"/>
          <w:kern w:val="2"/>
          <w:sz w:val="21"/>
          <w:szCs w:val="21"/>
          <w:highlight w:val="none"/>
          <w:u w:val="none"/>
          <w:lang w:bidi="ar"/>
          <w14:textFill>
            <w14:solidFill>
              <w14:schemeClr w14:val="tx1"/>
            </w14:solidFill>
          </w14:textFill>
        </w:rPr>
      </w:pPr>
      <w:r>
        <w:rPr>
          <w:rFonts w:hint="default" w:ascii="宋体" w:hAnsi="宋体" w:eastAsia="宋体" w:cs="宋体"/>
          <w:b/>
          <w:bCs/>
          <w:color w:val="000000" w:themeColor="text1"/>
          <w:kern w:val="2"/>
          <w:sz w:val="21"/>
          <w:szCs w:val="21"/>
          <w:highlight w:val="none"/>
          <w:lang w:eastAsia="zh-CN" w:bidi="ar"/>
          <w14:textFill>
            <w14:solidFill>
              <w14:schemeClr w14:val="tx1"/>
            </w14:solidFill>
          </w14:textFill>
        </w:rPr>
        <w:t>2.</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投标人</w:t>
      </w:r>
      <w:r>
        <w:rPr>
          <w:rFonts w:hint="default" w:ascii="宋体" w:hAnsi="宋体" w:eastAsia="宋体" w:cs="宋体"/>
          <w:b/>
          <w:bCs/>
          <w:color w:val="000000" w:themeColor="text1"/>
          <w:kern w:val="2"/>
          <w:sz w:val="21"/>
          <w:szCs w:val="21"/>
          <w:highlight w:val="none"/>
          <w:lang w:eastAsia="zh-CN" w:bidi="ar"/>
          <w14:textFill>
            <w14:solidFill>
              <w14:schemeClr w14:val="tx1"/>
            </w14:solidFill>
          </w14:textFill>
        </w:rPr>
        <w:t>的</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设计方案主要技术指标</w:t>
      </w:r>
      <w:r>
        <w:rPr>
          <w:rFonts w:hint="eastAsia" w:ascii="宋体" w:hAnsi="宋体" w:eastAsia="宋体" w:cs="宋体"/>
          <w:b/>
          <w:bCs/>
          <w:color w:val="000000" w:themeColor="text1"/>
          <w:kern w:val="2"/>
          <w:sz w:val="21"/>
          <w:szCs w:val="21"/>
          <w:highlight w:val="none"/>
          <w:u w:val="none"/>
          <w:lang w:eastAsia="zh-CN" w:bidi="ar"/>
          <w14:textFill>
            <w14:solidFill>
              <w14:schemeClr w14:val="tx1"/>
            </w14:solidFill>
          </w14:textFill>
        </w:rPr>
        <w:t>应结合已批复的控规成果及规划条件要求和设计任务书要求结合实际情况填报，</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原则不超设计任务书要求</w:t>
      </w:r>
      <w:r>
        <w:rPr>
          <w:rFonts w:hint="eastAsia" w:ascii="宋体" w:hAnsi="宋体" w:eastAsia="宋体" w:cs="宋体"/>
          <w:b/>
          <w:bCs/>
          <w:color w:val="000000" w:themeColor="text1"/>
          <w:kern w:val="2"/>
          <w:sz w:val="21"/>
          <w:szCs w:val="21"/>
          <w:highlight w:val="none"/>
          <w:u w:val="none"/>
          <w:lang w:eastAsia="zh-CN" w:bidi="ar"/>
          <w14:textFill>
            <w14:solidFill>
              <w14:schemeClr w14:val="tx1"/>
            </w14:solidFill>
          </w14:textFill>
        </w:rPr>
        <w:t>。</w:t>
      </w:r>
    </w:p>
    <w:p w14:paraId="75A8E68F">
      <w:pPr>
        <w:spacing w:before="157" w:beforeLines="50" w:line="360" w:lineRule="auto"/>
        <w:ind w:left="0" w:hanging="360" w:hangingChars="150"/>
        <w:rPr>
          <w:rFonts w:ascii="宋体" w:hAnsi="宋体" w:eastAsia="宋体" w:cs="Times New Roman"/>
          <w:strike/>
          <w:color w:val="000000" w:themeColor="text1"/>
          <w:sz w:val="24"/>
          <w:highlight w:val="none"/>
          <w14:textFill>
            <w14:solidFill>
              <w14:schemeClr w14:val="tx1"/>
            </w14:solidFill>
          </w14:textFill>
        </w:rPr>
      </w:pPr>
    </w:p>
    <w:p w14:paraId="2200BAF3">
      <w:pPr>
        <w:keepNext/>
        <w:keepLines/>
        <w:spacing w:before="95" w:beforeLines="30" w:after="95" w:afterLines="3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r>
        <w:rPr>
          <w:rFonts w:ascii="宋体" w:hAnsi="宋体" w:eastAsia="宋体" w:cs="Times New Roman"/>
          <w:b/>
          <w:bCs/>
          <w:color w:val="000000" w:themeColor="text1"/>
          <w:kern w:val="44"/>
          <w:sz w:val="24"/>
          <w:szCs w:val="44"/>
          <w:highlight w:val="none"/>
          <w:lang w:val="en-US" w:eastAsia="zh-CN" w:bidi="ar-SA"/>
          <w14:textFill>
            <w14:solidFill>
              <w14:schemeClr w14:val="tx1"/>
            </w14:solidFill>
          </w14:textFill>
        </w:rPr>
        <w:br w:type="page"/>
      </w:r>
      <w:bookmarkStart w:id="58" w:name="_Toc18728"/>
      <w:bookmarkStart w:id="59" w:name="_Toc23816"/>
      <w:bookmarkStart w:id="60" w:name="_Toc3842"/>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 工程勘察设计费报价汇总表</w:t>
      </w:r>
      <w:bookmarkEnd w:id="58"/>
      <w:bookmarkEnd w:id="59"/>
      <w:bookmarkEnd w:id="60"/>
    </w:p>
    <w:p w14:paraId="6EC5B455">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61" w:name="_Toc1493"/>
      <w:bookmarkStart w:id="62" w:name="_Toc114493758"/>
      <w:r>
        <w:rPr>
          <w:rFonts w:hint="eastAsia" w:ascii="宋体" w:hAnsi="宋体" w:eastAsia="宋体" w:cs="宋体"/>
          <w:b/>
          <w:bCs/>
          <w:color w:val="000000" w:themeColor="text1"/>
          <w:sz w:val="28"/>
          <w:szCs w:val="28"/>
          <w:highlight w:val="none"/>
          <w14:textFill>
            <w14:solidFill>
              <w14:schemeClr w14:val="tx1"/>
            </w14:solidFill>
          </w14:textFill>
        </w:rPr>
        <w:t>工程勘察设计费报价汇总表</w:t>
      </w:r>
      <w:bookmarkEnd w:id="61"/>
      <w:bookmarkEnd w:id="62"/>
    </w:p>
    <w:tbl>
      <w:tblPr>
        <w:tblStyle w:val="1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776"/>
        <w:gridCol w:w="1534"/>
        <w:gridCol w:w="3905"/>
      </w:tblGrid>
      <w:tr w14:paraId="711B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24" w:type="dxa"/>
            <w:vAlign w:val="center"/>
          </w:tcPr>
          <w:p w14:paraId="48CD4158">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序号</w:t>
            </w:r>
          </w:p>
        </w:tc>
        <w:tc>
          <w:tcPr>
            <w:tcW w:w="2776" w:type="dxa"/>
            <w:vAlign w:val="center"/>
          </w:tcPr>
          <w:p w14:paraId="2E9E7597">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计费项目</w:t>
            </w:r>
          </w:p>
        </w:tc>
        <w:tc>
          <w:tcPr>
            <w:tcW w:w="1534" w:type="dxa"/>
            <w:vAlign w:val="center"/>
          </w:tcPr>
          <w:p w14:paraId="2409C2EE">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金额（万元）</w:t>
            </w:r>
          </w:p>
        </w:tc>
        <w:tc>
          <w:tcPr>
            <w:tcW w:w="3905" w:type="dxa"/>
            <w:vAlign w:val="center"/>
          </w:tcPr>
          <w:p w14:paraId="70231CE2">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备注</w:t>
            </w:r>
          </w:p>
        </w:tc>
      </w:tr>
      <w:tr w14:paraId="206B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37F8C5CD">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sz w:val="21"/>
                <w:szCs w:val="21"/>
                <w:highlight w:val="none"/>
                <w14:textFill>
                  <w14:solidFill>
                    <w14:schemeClr w14:val="tx1"/>
                  </w14:solidFill>
                </w14:textFill>
              </w:rPr>
              <w:t>1）</w:t>
            </w:r>
          </w:p>
        </w:tc>
        <w:tc>
          <w:tcPr>
            <w:tcW w:w="2776" w:type="dxa"/>
            <w:vAlign w:val="center"/>
          </w:tcPr>
          <w:p w14:paraId="31F742FC">
            <w:pPr>
              <w:keepNext w:val="0"/>
              <w:keepLines w:val="0"/>
              <w:suppressLineNumbers w:val="0"/>
              <w:spacing w:before="0" w:beforeAutospacing="0" w:after="0" w:afterAutospacing="0" w:line="336" w:lineRule="auto"/>
              <w:ind w:left="0" w:right="0"/>
              <w:jc w:val="both"/>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工程设计费投标报价</w:t>
            </w:r>
          </w:p>
        </w:tc>
        <w:tc>
          <w:tcPr>
            <w:tcW w:w="1534" w:type="dxa"/>
            <w:vAlign w:val="center"/>
          </w:tcPr>
          <w:p w14:paraId="1C974CC0">
            <w:pPr>
              <w:keepNext w:val="0"/>
              <w:keepLines w:val="0"/>
              <w:suppressLineNumbers w:val="0"/>
              <w:spacing w:before="0" w:beforeAutospacing="0" w:after="0" w:afterAutospacing="0" w:line="336" w:lineRule="auto"/>
              <w:ind w:left="0" w:right="0"/>
              <w:jc w:val="center"/>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p>
        </w:tc>
        <w:tc>
          <w:tcPr>
            <w:tcW w:w="3905" w:type="dxa"/>
            <w:vAlign w:val="center"/>
          </w:tcPr>
          <w:p w14:paraId="14AED34A">
            <w:pPr>
              <w:keepNext w:val="0"/>
              <w:keepLines w:val="0"/>
              <w:suppressLineNumbers w:val="0"/>
              <w:spacing w:before="0" w:beforeAutospacing="0" w:after="0" w:afterAutospacing="0" w:line="336" w:lineRule="auto"/>
              <w:ind w:left="0" w:right="0" w:firstLine="315" w:firstLineChars="150"/>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取自附件3-1《工程设计费计算表》第（1）项，</w:t>
            </w:r>
            <w:r>
              <w:rPr>
                <w:rFonts w:hint="eastAsia" w:ascii="宋体" w:hAnsi="宋体" w:eastAsia="宋体" w:cs="宋体"/>
                <w:bCs/>
                <w:color w:val="000000" w:themeColor="text1"/>
                <w:sz w:val="21"/>
                <w:szCs w:val="21"/>
                <w:highlight w:val="none"/>
                <w14:textFill>
                  <w14:solidFill>
                    <w14:schemeClr w14:val="tx1"/>
                  </w14:solidFill>
                </w14:textFill>
              </w:rPr>
              <w:t>对应报价金额不得超过最高投标限价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915.377685</w:t>
            </w:r>
            <w:r>
              <w:rPr>
                <w:rFonts w:hint="eastAsia" w:ascii="宋体" w:hAnsi="宋体" w:eastAsia="宋体" w:cs="宋体"/>
                <w:bCs/>
                <w:color w:val="000000" w:themeColor="text1"/>
                <w:sz w:val="21"/>
                <w:szCs w:val="21"/>
                <w:highlight w:val="none"/>
                <w14:textFill>
                  <w14:solidFill>
                    <w14:schemeClr w14:val="tx1"/>
                  </w14:solidFill>
                </w14:textFill>
              </w:rPr>
              <w:t>万元。</w:t>
            </w:r>
          </w:p>
        </w:tc>
      </w:tr>
      <w:tr w14:paraId="17DA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2707CEDA">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sz w:val="21"/>
                <w:szCs w:val="21"/>
                <w:highlight w:val="none"/>
                <w14:textFill>
                  <w14:solidFill>
                    <w14:schemeClr w14:val="tx1"/>
                  </w14:solidFill>
                </w14:textFill>
              </w:rPr>
              <w:t>2）</w:t>
            </w:r>
          </w:p>
        </w:tc>
        <w:tc>
          <w:tcPr>
            <w:tcW w:w="2776" w:type="dxa"/>
            <w:vAlign w:val="center"/>
          </w:tcPr>
          <w:p w14:paraId="3FA092EF">
            <w:pPr>
              <w:keepNext w:val="0"/>
              <w:keepLines w:val="0"/>
              <w:suppressLineNumbers w:val="0"/>
              <w:spacing w:before="0" w:beforeAutospacing="0" w:after="0" w:afterAutospacing="0" w:line="336" w:lineRule="auto"/>
              <w:ind w:left="0" w:right="0"/>
              <w:jc w:val="both"/>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工程勘察费投标报价</w:t>
            </w:r>
          </w:p>
        </w:tc>
        <w:tc>
          <w:tcPr>
            <w:tcW w:w="1534" w:type="dxa"/>
            <w:vAlign w:val="center"/>
          </w:tcPr>
          <w:p w14:paraId="0185F91E">
            <w:pPr>
              <w:keepNext w:val="0"/>
              <w:keepLines w:val="0"/>
              <w:suppressLineNumbers w:val="0"/>
              <w:spacing w:before="0" w:beforeAutospacing="0" w:after="0" w:afterAutospacing="0" w:line="336" w:lineRule="auto"/>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p>
        </w:tc>
        <w:tc>
          <w:tcPr>
            <w:tcW w:w="3905" w:type="dxa"/>
            <w:vAlign w:val="center"/>
          </w:tcPr>
          <w:p w14:paraId="66987223">
            <w:pPr>
              <w:keepNext w:val="0"/>
              <w:keepLines w:val="0"/>
              <w:suppressLineNumbers w:val="0"/>
              <w:spacing w:before="0" w:beforeAutospacing="0" w:after="0" w:afterAutospacing="0" w:line="336" w:lineRule="auto"/>
              <w:ind w:left="0" w:right="0" w:firstLine="315" w:firstLineChars="15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取自附件3-2《工程勘察费计算表》第（3）项，</w:t>
            </w:r>
            <w:r>
              <w:rPr>
                <w:rFonts w:hint="eastAsia" w:ascii="宋体" w:hAnsi="宋体" w:eastAsia="宋体" w:cs="宋体"/>
                <w:bCs/>
                <w:color w:val="000000" w:themeColor="text1"/>
                <w:sz w:val="21"/>
                <w:szCs w:val="21"/>
                <w:highlight w:val="none"/>
                <w14:textFill>
                  <w14:solidFill>
                    <w14:schemeClr w14:val="tx1"/>
                  </w14:solidFill>
                </w14:textFill>
              </w:rPr>
              <w:t>对应报价金额不得超过最高投标限价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214.63</w:t>
            </w:r>
            <w:r>
              <w:rPr>
                <w:rFonts w:hint="eastAsia" w:ascii="宋体" w:hAnsi="宋体" w:eastAsia="宋体" w:cs="宋体"/>
                <w:bCs/>
                <w:color w:val="000000" w:themeColor="text1"/>
                <w:sz w:val="21"/>
                <w:szCs w:val="21"/>
                <w:highlight w:val="none"/>
                <w:u w:val="none"/>
                <w14:textFill>
                  <w14:solidFill>
                    <w14:schemeClr w14:val="tx1"/>
                  </w14:solidFill>
                </w14:textFill>
              </w:rPr>
              <w:t>万</w:t>
            </w:r>
            <w:r>
              <w:rPr>
                <w:rFonts w:hint="eastAsia" w:ascii="宋体" w:hAnsi="宋体" w:eastAsia="宋体" w:cs="宋体"/>
                <w:bCs/>
                <w:color w:val="000000" w:themeColor="text1"/>
                <w:sz w:val="21"/>
                <w:szCs w:val="21"/>
                <w:highlight w:val="none"/>
                <w14:textFill>
                  <w14:solidFill>
                    <w14:schemeClr w14:val="tx1"/>
                  </w14:solidFill>
                </w14:textFill>
              </w:rPr>
              <w:t>元。</w:t>
            </w:r>
          </w:p>
        </w:tc>
      </w:tr>
      <w:tr w14:paraId="09D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764C9A40">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（3）</w:t>
            </w:r>
          </w:p>
        </w:tc>
        <w:tc>
          <w:tcPr>
            <w:tcW w:w="2776" w:type="dxa"/>
            <w:shd w:val="clear" w:color="auto" w:fill="auto"/>
            <w:vAlign w:val="center"/>
          </w:tcPr>
          <w:p w14:paraId="30C5C7A8">
            <w:pPr>
              <w:keepNext w:val="0"/>
              <w:keepLines w:val="0"/>
              <w:widowControl w:val="0"/>
              <w:suppressLineNumbers w:val="0"/>
              <w:spacing w:before="0" w:beforeAutospacing="0" w:after="0" w:afterAutospacing="0" w:line="336" w:lineRule="auto"/>
              <w:ind w:left="0" w:leftChars="0" w:right="0" w:rightChars="0"/>
              <w:jc w:val="both"/>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设计方案报审（含修建性详细规划编制）</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费</w:t>
            </w:r>
            <w:r>
              <w:rPr>
                <w:rFonts w:hint="eastAsia" w:ascii="宋体" w:hAnsi="宋体" w:eastAsia="宋体" w:cs="Times New Roman"/>
                <w:color w:val="000000" w:themeColor="text1"/>
                <w:sz w:val="21"/>
                <w:szCs w:val="21"/>
                <w:highlight w:val="none"/>
                <w14:textFill>
                  <w14:solidFill>
                    <w14:schemeClr w14:val="tx1"/>
                  </w14:solidFill>
                </w14:textFill>
              </w:rPr>
              <w:t>投标报价</w:t>
            </w:r>
          </w:p>
        </w:tc>
        <w:tc>
          <w:tcPr>
            <w:tcW w:w="1534" w:type="dxa"/>
            <w:shd w:val="clear" w:color="auto" w:fill="auto"/>
            <w:vAlign w:val="center"/>
          </w:tcPr>
          <w:p w14:paraId="4F59EBA2">
            <w:pPr>
              <w:keepNext w:val="0"/>
              <w:keepLines w:val="0"/>
              <w:suppressLineNumbers w:val="0"/>
              <w:spacing w:before="0" w:beforeAutospacing="0" w:after="0" w:afterAutospacing="0" w:line="336"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905" w:type="dxa"/>
            <w:shd w:val="clear" w:color="auto" w:fill="auto"/>
            <w:vAlign w:val="center"/>
          </w:tcPr>
          <w:p w14:paraId="3E7796EA">
            <w:pPr>
              <w:keepNext w:val="0"/>
              <w:keepLines w:val="0"/>
              <w:widowControl w:val="0"/>
              <w:suppressLineNumbers w:val="0"/>
              <w:spacing w:before="0" w:beforeAutospacing="0" w:after="0" w:afterAutospacing="0" w:line="336" w:lineRule="auto"/>
              <w:ind w:left="0" w:leftChars="0" w:right="0" w:rightChars="0" w:firstLine="315" w:firstLineChars="15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取自附件3-</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设计方案报审（含修建性详细规划编制）</w:t>
            </w:r>
            <w:r>
              <w:rPr>
                <w:rFonts w:hint="eastAsia" w:ascii="宋体" w:hAnsi="宋体" w:eastAsia="宋体" w:cs="宋体"/>
                <w:color w:val="000000" w:themeColor="text1"/>
                <w:sz w:val="21"/>
                <w:szCs w:val="21"/>
                <w:highlight w:val="none"/>
                <w14:textFill>
                  <w14:solidFill>
                    <w14:schemeClr w14:val="tx1"/>
                  </w14:solidFill>
                </w14:textFill>
              </w:rPr>
              <w:t>费计算表》第（3）项，对应报价金额不得超过最高投标限价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10.6666</w:t>
            </w:r>
            <w:r>
              <w:rPr>
                <w:rFonts w:hint="eastAsia" w:ascii="宋体" w:hAnsi="宋体" w:eastAsia="宋体" w:cs="宋体"/>
                <w:color w:val="000000" w:themeColor="text1"/>
                <w:sz w:val="21"/>
                <w:szCs w:val="21"/>
                <w:highlight w:val="none"/>
                <w14:textFill>
                  <w14:solidFill>
                    <w14:schemeClr w14:val="tx1"/>
                  </w14:solidFill>
                </w14:textFill>
              </w:rPr>
              <w:t>万元。</w:t>
            </w:r>
          </w:p>
        </w:tc>
      </w:tr>
      <w:tr w14:paraId="6643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663206DA">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default" w:ascii="宋体" w:hAnsi="宋体" w:eastAsia="宋体" w:cs="宋体"/>
                <w:color w:val="000000" w:themeColor="text1"/>
                <w:sz w:val="21"/>
                <w:szCs w:val="21"/>
                <w:highlight w:val="none"/>
                <w14:textFill>
                  <w14:solidFill>
                    <w14:schemeClr w14:val="tx1"/>
                  </w14:solidFill>
                </w14:textFill>
              </w:rPr>
              <w:t>）</w:t>
            </w:r>
          </w:p>
        </w:tc>
        <w:tc>
          <w:tcPr>
            <w:tcW w:w="2776" w:type="dxa"/>
            <w:shd w:val="clear" w:color="auto" w:fill="auto"/>
            <w:vAlign w:val="center"/>
          </w:tcPr>
          <w:p w14:paraId="43B77C28">
            <w:pPr>
              <w:keepNext w:val="0"/>
              <w:keepLines w:val="0"/>
              <w:widowControl w:val="0"/>
              <w:suppressLineNumbers w:val="0"/>
              <w:spacing w:before="0" w:beforeAutospacing="0" w:after="0" w:afterAutospacing="0" w:line="336" w:lineRule="auto"/>
              <w:ind w:left="0" w:leftChars="0" w:right="0" w:rightChars="0"/>
              <w:jc w:val="both"/>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BIM正向设计技术应用费投标报价</w:t>
            </w:r>
          </w:p>
        </w:tc>
        <w:tc>
          <w:tcPr>
            <w:tcW w:w="1534" w:type="dxa"/>
            <w:shd w:val="clear" w:color="auto" w:fill="auto"/>
            <w:vAlign w:val="center"/>
          </w:tcPr>
          <w:p w14:paraId="63BD568C">
            <w:pPr>
              <w:keepNext w:val="0"/>
              <w:keepLines w:val="0"/>
              <w:suppressLineNumbers w:val="0"/>
              <w:spacing w:before="0" w:beforeAutospacing="0" w:after="0" w:afterAutospacing="0" w:line="336"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905" w:type="dxa"/>
            <w:shd w:val="clear" w:color="auto" w:fill="auto"/>
            <w:vAlign w:val="center"/>
          </w:tcPr>
          <w:p w14:paraId="1A29CA68">
            <w:pPr>
              <w:keepNext w:val="0"/>
              <w:keepLines w:val="0"/>
              <w:widowControl w:val="0"/>
              <w:suppressLineNumbers w:val="0"/>
              <w:spacing w:before="0" w:beforeAutospacing="0" w:after="0" w:afterAutospacing="0" w:line="336" w:lineRule="auto"/>
              <w:ind w:left="0" w:leftChars="0" w:right="0" w:rightChars="0" w:firstLine="315" w:firstLineChars="15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取自附件3-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《BIM正向设计技术应用费计算表》第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项，对应报价金额不得超过最高投标限价</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70.6762</w:t>
            </w:r>
            <w:r>
              <w:rPr>
                <w:rFonts w:hint="eastAsia" w:ascii="宋体" w:hAnsi="宋体" w:eastAsia="宋体" w:cs="宋体"/>
                <w:color w:val="000000" w:themeColor="text1"/>
                <w:sz w:val="21"/>
                <w:szCs w:val="21"/>
                <w:highlight w:val="none"/>
                <w14:textFill>
                  <w14:solidFill>
                    <w14:schemeClr w14:val="tx1"/>
                  </w14:solidFill>
                </w14:textFill>
              </w:rPr>
              <w:t>万元。</w:t>
            </w:r>
          </w:p>
        </w:tc>
      </w:tr>
      <w:tr w14:paraId="0EEA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56310DCC">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default" w:ascii="宋体" w:hAnsi="宋体" w:eastAsia="宋体" w:cs="宋体"/>
                <w:color w:val="000000" w:themeColor="text1"/>
                <w:sz w:val="21"/>
                <w:szCs w:val="21"/>
                <w:highlight w:val="none"/>
                <w14:textFill>
                  <w14:solidFill>
                    <w14:schemeClr w14:val="tx1"/>
                  </w14:solidFill>
                </w14:textFill>
              </w:rPr>
              <w:t>）</w:t>
            </w:r>
          </w:p>
        </w:tc>
        <w:tc>
          <w:tcPr>
            <w:tcW w:w="2776" w:type="dxa"/>
            <w:vAlign w:val="center"/>
          </w:tcPr>
          <w:p w14:paraId="19ECC228">
            <w:pPr>
              <w:keepNext w:val="0"/>
              <w:keepLines w:val="0"/>
              <w:suppressLineNumbers w:val="0"/>
              <w:spacing w:before="0" w:beforeAutospacing="0" w:after="0" w:afterAutospacing="0" w:line="336" w:lineRule="auto"/>
              <w:ind w:left="0" w:right="0"/>
              <w:jc w:val="both"/>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工程勘察设计费投标总报价</w:t>
            </w:r>
          </w:p>
        </w:tc>
        <w:tc>
          <w:tcPr>
            <w:tcW w:w="1534" w:type="dxa"/>
            <w:vAlign w:val="center"/>
          </w:tcPr>
          <w:p w14:paraId="4DABFA8D">
            <w:pPr>
              <w:keepNext w:val="0"/>
              <w:keepLines w:val="0"/>
              <w:suppressLineNumbers w:val="0"/>
              <w:spacing w:before="0" w:beforeAutospacing="0" w:after="0" w:afterAutospacing="0" w:line="336" w:lineRule="auto"/>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p>
        </w:tc>
        <w:tc>
          <w:tcPr>
            <w:tcW w:w="3905" w:type="dxa"/>
            <w:vAlign w:val="center"/>
          </w:tcPr>
          <w:p w14:paraId="3E1A7747">
            <w:pPr>
              <w:keepNext w:val="0"/>
              <w:keepLines w:val="0"/>
              <w:suppressLineNumbers w:val="0"/>
              <w:spacing w:before="0" w:beforeAutospacing="0" w:after="0" w:afterAutospacing="0" w:line="336" w:lineRule="auto"/>
              <w:ind w:left="0" w:right="0"/>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）=（1）+（2）+（3）+（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），对应报价金额不得超过最高投标限价</w:t>
            </w:r>
            <w:r>
              <w:rPr>
                <w:rFonts w:hint="eastAsia" w:ascii="宋体" w:hAnsi="宋体" w:eastAsia="宋体" w:cs="Times New Roman"/>
                <w:b/>
                <w:bCs/>
                <w:color w:val="000000" w:themeColor="text1"/>
                <w:sz w:val="21"/>
                <w:szCs w:val="21"/>
                <w:highlight w:val="none"/>
                <w:u w:val="single"/>
                <w:lang w:eastAsia="zh-CN"/>
                <w14:textFill>
                  <w14:solidFill>
                    <w14:schemeClr w14:val="tx1"/>
                  </w14:solidFill>
                </w14:textFill>
              </w:rPr>
              <w:t>1211.350485</w:t>
            </w:r>
            <w:r>
              <w:rPr>
                <w:rFonts w:hint="eastAsia" w:ascii="宋体" w:hAnsi="宋体" w:eastAsia="宋体" w:cs="宋体"/>
                <w:bCs/>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14:textFill>
                  <w14:solidFill>
                    <w14:schemeClr w14:val="tx1"/>
                  </w14:solidFill>
                </w14:textFill>
              </w:rPr>
              <w:t>。</w:t>
            </w:r>
          </w:p>
        </w:tc>
      </w:tr>
    </w:tbl>
    <w:p w14:paraId="0EA8C9A4">
      <w:pPr>
        <w:spacing w:line="360" w:lineRule="auto"/>
        <w:ind w:firstLine="422" w:firstLineChars="200"/>
        <w:rPr>
          <w:rFonts w:hint="eastAsia"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注：</w:t>
      </w:r>
      <w:r>
        <w:rPr>
          <w:rFonts w:ascii="宋体" w:hAnsi="宋体" w:eastAsia="宋体" w:cs="Times New Roman"/>
          <w:color w:val="000000" w:themeColor="text1"/>
          <w:sz w:val="21"/>
          <w:szCs w:val="21"/>
          <w:highlight w:val="none"/>
          <w14:textFill>
            <w14:solidFill>
              <w14:schemeClr w14:val="tx1"/>
            </w14:solidFill>
          </w14:textFill>
        </w:rPr>
        <w:t>1</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14:textFill>
            <w14:solidFill>
              <w14:schemeClr w14:val="tx1"/>
            </w14:solidFill>
          </w14:textFill>
        </w:rPr>
        <w:t>）工程勘察设计费投标总报价”不得超过最高投标限价</w:t>
      </w:r>
      <w:r>
        <w:rPr>
          <w:rFonts w:hint="eastAsia" w:ascii="宋体" w:hAnsi="宋体" w:eastAsia="宋体" w:cs="宋体"/>
          <w:b/>
          <w:bCs w:val="0"/>
          <w:color w:val="000000" w:themeColor="text1"/>
          <w:sz w:val="21"/>
          <w:szCs w:val="21"/>
          <w:highlight w:val="none"/>
          <w:u w:val="single"/>
          <w:lang w:eastAsia="zh-CN"/>
          <w14:textFill>
            <w14:solidFill>
              <w14:schemeClr w14:val="tx1"/>
            </w14:solidFill>
          </w14:textFill>
        </w:rPr>
        <w:t>1211.350485</w:t>
      </w:r>
      <w:r>
        <w:rPr>
          <w:rFonts w:hint="eastAsia" w:ascii="宋体" w:hAnsi="宋体" w:eastAsia="宋体" w:cs="宋体"/>
          <w:bCs/>
          <w:color w:val="000000" w:themeColor="text1"/>
          <w:sz w:val="21"/>
          <w:szCs w:val="21"/>
          <w:highlight w:val="none"/>
          <w14:textFill>
            <w14:solidFill>
              <w14:schemeClr w14:val="tx1"/>
            </w14:solidFill>
          </w14:textFill>
        </w:rPr>
        <w:t>万元</w:t>
      </w:r>
      <w:r>
        <w:rPr>
          <w:rFonts w:hint="eastAsia" w:ascii="宋体" w:hAnsi="宋体" w:eastAsia="宋体" w:cs="Times New Roman"/>
          <w:color w:val="000000" w:themeColor="text1"/>
          <w:sz w:val="21"/>
          <w:szCs w:val="21"/>
          <w:highlight w:val="none"/>
          <w14:textFill>
            <w14:solidFill>
              <w14:schemeClr w14:val="tx1"/>
            </w14:solidFill>
          </w14:textFill>
        </w:rPr>
        <w:t>，其中：“（</w:t>
      </w:r>
      <w:r>
        <w:rPr>
          <w:rFonts w:ascii="宋体" w:hAnsi="宋体" w:eastAsia="宋体" w:cs="Times New Roman"/>
          <w:color w:val="000000" w:themeColor="text1"/>
          <w:sz w:val="21"/>
          <w:szCs w:val="21"/>
          <w:highlight w:val="none"/>
          <w14:textFill>
            <w14:solidFill>
              <w14:schemeClr w14:val="tx1"/>
            </w14:solidFill>
          </w14:textFill>
        </w:rPr>
        <w:t>1</w:t>
      </w:r>
      <w:r>
        <w:rPr>
          <w:rFonts w:hint="eastAsia" w:ascii="宋体" w:hAnsi="宋体" w:eastAsia="宋体" w:cs="Times New Roman"/>
          <w:color w:val="000000" w:themeColor="text1"/>
          <w:sz w:val="21"/>
          <w:szCs w:val="21"/>
          <w:highlight w:val="none"/>
          <w14:textFill>
            <w14:solidFill>
              <w14:schemeClr w14:val="tx1"/>
            </w14:solidFill>
          </w14:textFill>
        </w:rPr>
        <w:t>）工程设计费投标报价”不得超过最高投标限价</w:t>
      </w:r>
      <w:r>
        <w:rPr>
          <w:rFonts w:hint="eastAsia" w:ascii="宋体" w:hAnsi="宋体" w:eastAsia="宋体" w:cs="宋体"/>
          <w:b/>
          <w:bCs w:val="0"/>
          <w:color w:val="000000" w:themeColor="text1"/>
          <w:sz w:val="21"/>
          <w:szCs w:val="21"/>
          <w:highlight w:val="none"/>
          <w:u w:val="single"/>
          <w:lang w:eastAsia="zh-CN"/>
          <w14:textFill>
            <w14:solidFill>
              <w14:schemeClr w14:val="tx1"/>
            </w14:solidFill>
          </w14:textFill>
        </w:rPr>
        <w:t>915.377685</w:t>
      </w:r>
      <w:r>
        <w:rPr>
          <w:rFonts w:hint="eastAsia" w:ascii="宋体" w:hAnsi="宋体" w:eastAsia="宋体" w:cs="宋体"/>
          <w:bCs/>
          <w:color w:val="000000" w:themeColor="text1"/>
          <w:sz w:val="21"/>
          <w:szCs w:val="21"/>
          <w:highlight w:val="none"/>
          <w14:textFill>
            <w14:solidFill>
              <w14:schemeClr w14:val="tx1"/>
            </w14:solidFill>
          </w14:textFill>
        </w:rPr>
        <w:t>万元</w:t>
      </w:r>
      <w:r>
        <w:rPr>
          <w:rFonts w:hint="eastAsia" w:ascii="宋体" w:hAnsi="宋体" w:eastAsia="宋体" w:cs="Times New Roman"/>
          <w:color w:val="000000" w:themeColor="text1"/>
          <w:sz w:val="21"/>
          <w:szCs w:val="21"/>
          <w:highlight w:val="none"/>
          <w14:textFill>
            <w14:solidFill>
              <w14:schemeClr w14:val="tx1"/>
            </w14:solidFill>
          </w14:textFill>
        </w:rPr>
        <w:t>，“（</w:t>
      </w:r>
      <w:r>
        <w:rPr>
          <w:rFonts w:ascii="宋体" w:hAnsi="宋体" w:eastAsia="宋体" w:cs="Times New Roman"/>
          <w:color w:val="000000" w:themeColor="text1"/>
          <w:sz w:val="21"/>
          <w:szCs w:val="21"/>
          <w:highlight w:val="none"/>
          <w14:textFill>
            <w14:solidFill>
              <w14:schemeClr w14:val="tx1"/>
            </w14:solidFill>
          </w14:textFill>
        </w:rPr>
        <w:t>2）工程勘察费投标报价”不得超过最高投标限价</w:t>
      </w:r>
      <w:r>
        <w:rPr>
          <w:rFonts w:hint="eastAsia" w:ascii="宋体" w:hAnsi="宋体" w:eastAsia="宋体" w:cs="Times New Roman"/>
          <w:b/>
          <w:bCs/>
          <w:color w:val="000000" w:themeColor="text1"/>
          <w:sz w:val="21"/>
          <w:szCs w:val="21"/>
          <w:highlight w:val="none"/>
          <w:u w:val="single"/>
          <w:lang w:val="en-US" w:eastAsia="zh-CN"/>
          <w14:textFill>
            <w14:solidFill>
              <w14:schemeClr w14:val="tx1"/>
            </w14:solidFill>
          </w14:textFill>
        </w:rPr>
        <w:t>214.63</w:t>
      </w:r>
      <w:r>
        <w:rPr>
          <w:rFonts w:hint="eastAsia" w:ascii="宋体" w:hAnsi="宋体" w:eastAsia="宋体" w:cs="Times New Roman"/>
          <w:color w:val="000000" w:themeColor="text1"/>
          <w:sz w:val="21"/>
          <w:szCs w:val="21"/>
          <w:highlight w:val="none"/>
          <w14:textFill>
            <w14:solidFill>
              <w14:schemeClr w14:val="tx1"/>
            </w14:solidFill>
          </w14:textFill>
        </w:rPr>
        <w:t>万元</w:t>
      </w:r>
      <w:r>
        <w:rPr>
          <w:rFonts w:hint="default"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设计方案报审（含修建性详细规划编制）</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费</w:t>
      </w:r>
      <w:r>
        <w:rPr>
          <w:rFonts w:hint="eastAsia" w:ascii="宋体" w:hAnsi="宋体" w:eastAsia="宋体" w:cs="Times New Roman"/>
          <w:color w:val="000000" w:themeColor="text1"/>
          <w:sz w:val="21"/>
          <w:szCs w:val="21"/>
          <w:highlight w:val="none"/>
          <w14:textFill>
            <w14:solidFill>
              <w14:schemeClr w14:val="tx1"/>
            </w14:solidFill>
          </w14:textFill>
        </w:rPr>
        <w:t>投标报价</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ascii="宋体" w:hAnsi="宋体" w:eastAsia="宋体" w:cs="Times New Roman"/>
          <w:color w:val="000000" w:themeColor="text1"/>
          <w:sz w:val="21"/>
          <w:szCs w:val="21"/>
          <w:highlight w:val="none"/>
          <w14:textFill>
            <w14:solidFill>
              <w14:schemeClr w14:val="tx1"/>
            </w14:solidFill>
          </w14:textFill>
        </w:rPr>
        <w:t>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10.6666</w:t>
      </w:r>
      <w:r>
        <w:rPr>
          <w:rFonts w:hint="eastAsia" w:ascii="宋体" w:hAnsi="宋体" w:eastAsia="宋体" w:cs="Times New Roman"/>
          <w:color w:val="000000" w:themeColor="text1"/>
          <w:sz w:val="21"/>
          <w:szCs w:val="21"/>
          <w:highlight w:val="none"/>
          <w14:textFill>
            <w14:solidFill>
              <w14:schemeClr w14:val="tx1"/>
            </w14:solidFill>
          </w14:textFill>
        </w:rPr>
        <w:t>万元</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default"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4</w:t>
      </w:r>
      <w:r>
        <w:rPr>
          <w:rFonts w:hint="default"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BIM正向设计技术应用费投标报价</w:t>
      </w:r>
      <w:r>
        <w:rPr>
          <w:rFonts w:hint="default" w:ascii="宋体" w:hAnsi="宋体" w:eastAsia="宋体" w:cs="Times New Roman"/>
          <w:color w:val="000000" w:themeColor="text1"/>
          <w:sz w:val="21"/>
          <w:szCs w:val="21"/>
          <w:highlight w:val="none"/>
          <w14:textFill>
            <w14:solidFill>
              <w14:schemeClr w14:val="tx1"/>
            </w14:solidFill>
          </w14:textFill>
        </w:rPr>
        <w:t>”</w:t>
      </w:r>
      <w:r>
        <w:rPr>
          <w:rFonts w:ascii="宋体" w:hAnsi="宋体" w:eastAsia="宋体" w:cs="Times New Roman"/>
          <w:color w:val="000000" w:themeColor="text1"/>
          <w:sz w:val="21"/>
          <w:szCs w:val="21"/>
          <w:highlight w:val="none"/>
          <w14:textFill>
            <w14:solidFill>
              <w14:schemeClr w14:val="tx1"/>
            </w14:solidFill>
          </w14:textFill>
        </w:rPr>
        <w:t>不得超过最高投标限价</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70.6762</w:t>
      </w:r>
      <w:r>
        <w:rPr>
          <w:rFonts w:hint="eastAsia" w:ascii="宋体" w:hAnsi="宋体" w:eastAsia="宋体" w:cs="Times New Roman"/>
          <w:color w:val="000000" w:themeColor="text1"/>
          <w:sz w:val="21"/>
          <w:szCs w:val="21"/>
          <w:highlight w:val="none"/>
          <w14:textFill>
            <w14:solidFill>
              <w14:schemeClr w14:val="tx1"/>
            </w14:solidFill>
          </w14:textFill>
        </w:rPr>
        <w:t>万元</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p>
    <w:p w14:paraId="03FF8DC1">
      <w:pPr>
        <w:spacing w:line="360" w:lineRule="auto"/>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2、经算术复核的投标人报价与其投标报价不一致时，按就低不就高原则确定其最终报价。如修正后的投标报价超出相应的最高投标限价，则由评标委员会</w:t>
      </w:r>
      <w:r>
        <w:rPr>
          <w:rFonts w:hint="eastAsia" w:ascii="宋体" w:hAnsi="宋体" w:eastAsia="宋体" w:cs="Times New Roman"/>
          <w:color w:val="000000" w:themeColor="text1"/>
          <w:szCs w:val="21"/>
          <w:highlight w:val="none"/>
          <w14:textFill>
            <w14:solidFill>
              <w14:schemeClr w14:val="tx1"/>
            </w14:solidFill>
          </w14:textFill>
        </w:rPr>
        <w:t>否决其投标</w:t>
      </w:r>
      <w:r>
        <w:rPr>
          <w:rFonts w:ascii="宋体" w:hAnsi="宋体" w:eastAsia="宋体" w:cs="Times New Roman"/>
          <w:color w:val="000000" w:themeColor="text1"/>
          <w:szCs w:val="21"/>
          <w:highlight w:val="none"/>
          <w14:textFill>
            <w14:solidFill>
              <w14:schemeClr w14:val="tx1"/>
            </w14:solidFill>
          </w14:textFill>
        </w:rPr>
        <w:t>。</w:t>
      </w:r>
    </w:p>
    <w:p w14:paraId="46532F0F">
      <w:pPr>
        <w:spacing w:line="360" w:lineRule="auto"/>
        <w:ind w:firstLine="735" w:firstLineChars="350"/>
        <w:rPr>
          <w:rFonts w:ascii="宋体" w:hAnsi="宋体" w:eastAsia="宋体" w:cs="Times New Roman"/>
          <w:b/>
          <w:bCs/>
          <w:color w:val="000000" w:themeColor="text1"/>
          <w:sz w:val="2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3、按上述修正错误的原则及方法调整或修正投标文件的投标报价，调整后的投标报价对投标人起约束作用。如果投标人不接受修正后的报价，则取消其中标资格。</w:t>
      </w:r>
    </w:p>
    <w:p w14:paraId="048FE69A">
      <w:pPr>
        <w:widowControl/>
        <w:jc w:val="left"/>
        <w:rPr>
          <w:rFonts w:ascii="Calibri" w:hAnsi="Calibri" w:eastAsia="宋体" w:cs="Times New Roman"/>
          <w:color w:val="000000" w:themeColor="text1"/>
          <w:highlight w:val="none"/>
          <w14:textFill>
            <w14:solidFill>
              <w14:schemeClr w14:val="tx1"/>
            </w14:solidFill>
          </w14:textFill>
        </w:rPr>
      </w:pPr>
      <w:bookmarkStart w:id="63" w:name="_Toc114493759"/>
      <w:r>
        <w:rPr>
          <w:rFonts w:ascii="Calibri" w:hAnsi="Calibri" w:eastAsia="宋体" w:cs="Times New Roman"/>
          <w:color w:val="000000" w:themeColor="text1"/>
          <w:highlight w:val="none"/>
          <w14:textFill>
            <w14:solidFill>
              <w14:schemeClr w14:val="tx1"/>
            </w14:solidFill>
          </w14:textFill>
        </w:rPr>
        <w:br w:type="page"/>
      </w:r>
    </w:p>
    <w:p w14:paraId="2D8BA375">
      <w:pPr>
        <w:keepNext/>
        <w:keepLines/>
        <w:spacing w:before="95" w:beforeLines="30" w:after="95" w:afterLines="3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64" w:name="_Toc17691"/>
      <w:bookmarkStart w:id="65" w:name="_Toc22089"/>
      <w:bookmarkStart w:id="66" w:name="_Toc25905"/>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附件3-1 工程设计费计算表</w:t>
      </w:r>
      <w:bookmarkEnd w:id="63"/>
      <w:bookmarkEnd w:id="64"/>
      <w:bookmarkEnd w:id="65"/>
      <w:bookmarkEnd w:id="66"/>
    </w:p>
    <w:p w14:paraId="3AB0056B">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67" w:name="_Toc114493760"/>
      <w:bookmarkStart w:id="68" w:name="_Toc28664"/>
      <w:r>
        <w:rPr>
          <w:rFonts w:hint="eastAsia" w:ascii="宋体" w:hAnsi="宋体" w:eastAsia="宋体" w:cs="宋体"/>
          <w:b/>
          <w:bCs/>
          <w:color w:val="000000" w:themeColor="text1"/>
          <w:sz w:val="28"/>
          <w:szCs w:val="28"/>
          <w:highlight w:val="none"/>
          <w14:textFill>
            <w14:solidFill>
              <w14:schemeClr w14:val="tx1"/>
            </w14:solidFill>
          </w14:textFill>
        </w:rPr>
        <w:t>工程设计费计算表</w:t>
      </w:r>
      <w:bookmarkEnd w:id="67"/>
      <w:bookmarkEnd w:id="68"/>
    </w:p>
    <w:tbl>
      <w:tblPr>
        <w:tblStyle w:val="15"/>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24"/>
        <w:gridCol w:w="1386"/>
        <w:gridCol w:w="1018"/>
        <w:gridCol w:w="3234"/>
      </w:tblGrid>
      <w:tr w14:paraId="085A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16" w:type="dxa"/>
            <w:vAlign w:val="center"/>
          </w:tcPr>
          <w:p w14:paraId="75AD8EB3">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2224" w:type="dxa"/>
            <w:vAlign w:val="center"/>
          </w:tcPr>
          <w:p w14:paraId="2BFE832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费用名称</w:t>
            </w:r>
          </w:p>
        </w:tc>
        <w:tc>
          <w:tcPr>
            <w:tcW w:w="1386" w:type="dxa"/>
            <w:vAlign w:val="center"/>
          </w:tcPr>
          <w:p w14:paraId="7F555DB1">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金额（万元）</w:t>
            </w:r>
          </w:p>
        </w:tc>
        <w:tc>
          <w:tcPr>
            <w:tcW w:w="1018" w:type="dxa"/>
            <w:vAlign w:val="center"/>
          </w:tcPr>
          <w:p w14:paraId="6468C2AF">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000000" w:themeColor="text1"/>
                <w:szCs w:val="21"/>
                <w:highlight w:val="none"/>
                <w:u w:val="singl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费率（</w:t>
            </w:r>
            <w:r>
              <w:rPr>
                <w:rFonts w:hint="default"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Times New Roman"/>
                <w:bCs/>
                <w:color w:val="000000" w:themeColor="text1"/>
                <w:szCs w:val="21"/>
                <w:highlight w:val="none"/>
                <w14:textFill>
                  <w14:solidFill>
                    <w14:schemeClr w14:val="tx1"/>
                  </w14:solidFill>
                </w14:textFill>
              </w:rPr>
              <w:t>）</w:t>
            </w:r>
          </w:p>
        </w:tc>
        <w:tc>
          <w:tcPr>
            <w:tcW w:w="3234" w:type="dxa"/>
            <w:vAlign w:val="center"/>
          </w:tcPr>
          <w:p w14:paraId="76579B09">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备注</w:t>
            </w:r>
          </w:p>
        </w:tc>
      </w:tr>
      <w:tr w14:paraId="7B8B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816" w:type="dxa"/>
            <w:vAlign w:val="center"/>
          </w:tcPr>
          <w:p w14:paraId="299FDF0C">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default"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w:t>
            </w:r>
          </w:p>
        </w:tc>
        <w:tc>
          <w:tcPr>
            <w:tcW w:w="2224" w:type="dxa"/>
            <w:vAlign w:val="center"/>
          </w:tcPr>
          <w:p w14:paraId="23F518CF">
            <w:pPr>
              <w:keepNext w:val="0"/>
              <w:keepLines w:val="0"/>
              <w:suppressLineNumbers w:val="0"/>
              <w:spacing w:before="0" w:beforeAutospacing="0" w:after="0" w:afterAutospacing="0" w:line="240" w:lineRule="auto"/>
              <w:ind w:left="0" w:right="0"/>
              <w:jc w:val="both"/>
              <w:rPr>
                <w:rFonts w:hint="default"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工程设计费投标报价</w:t>
            </w:r>
          </w:p>
        </w:tc>
        <w:tc>
          <w:tcPr>
            <w:tcW w:w="1386" w:type="dxa"/>
            <w:vAlign w:val="center"/>
          </w:tcPr>
          <w:p w14:paraId="4375FA57">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18" w:type="dxa"/>
            <w:vAlign w:val="center"/>
          </w:tcPr>
          <w:p w14:paraId="0A3388F9">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3234" w:type="dxa"/>
            <w:vAlign w:val="center"/>
          </w:tcPr>
          <w:p w14:paraId="7AD20413">
            <w:pPr>
              <w:keepNext w:val="0"/>
              <w:keepLines w:val="0"/>
              <w:numPr>
                <w:ilvl w:val="-1"/>
                <w:numId w:val="0"/>
              </w:numPr>
              <w:suppressLineNumbers w:val="0"/>
              <w:spacing w:before="0" w:beforeAutospacing="0" w:after="0" w:afterAutospacing="0" w:line="240" w:lineRule="auto"/>
              <w:ind w:left="0" w:right="0"/>
              <w:rPr>
                <w:rFonts w:hint="default" w:ascii="宋体" w:hAnsi="宋体" w:eastAsia="宋体" w:cs="Times New Roman"/>
                <w:bCs/>
                <w:snapToGrid w:val="0"/>
                <w:color w:val="000000" w:themeColor="text1"/>
                <w:spacing w:val="4"/>
                <w:kern w:val="0"/>
                <w:szCs w:val="21"/>
                <w:highlight w:val="none"/>
                <w14:textFill>
                  <w14:solidFill>
                    <w14:schemeClr w14:val="tx1"/>
                  </w14:solidFill>
                </w14:textFill>
              </w:rPr>
            </w:pPr>
            <w:r>
              <w:rPr>
                <w:rFonts w:hint="eastAsia" w:ascii="宋体" w:hAnsi="宋体" w:eastAsia="宋体" w:cs="Times New Roman"/>
                <w:bCs/>
                <w:snapToGrid w:val="0"/>
                <w:color w:val="000000" w:themeColor="text1"/>
                <w:spacing w:val="4"/>
                <w:kern w:val="0"/>
                <w:szCs w:val="21"/>
                <w:highlight w:val="none"/>
                <w:lang w:val="en-US" w:eastAsia="zh-CN"/>
                <w14:textFill>
                  <w14:solidFill>
                    <w14:schemeClr w14:val="tx1"/>
                  </w14:solidFill>
                </w14:textFill>
              </w:rPr>
              <w:t>1.</w:t>
            </w:r>
            <w:r>
              <w:rPr>
                <w:rFonts w:hint="eastAsia" w:ascii="宋体" w:hAnsi="宋体" w:eastAsia="宋体" w:cs="Times New Roman"/>
                <w:bCs/>
                <w:snapToGrid w:val="0"/>
                <w:color w:val="000000" w:themeColor="text1"/>
                <w:spacing w:val="4"/>
                <w:kern w:val="0"/>
                <w:szCs w:val="21"/>
                <w:highlight w:val="none"/>
                <w14:textFill>
                  <w14:solidFill>
                    <w14:schemeClr w14:val="tx1"/>
                  </w14:solidFill>
                </w14:textFill>
              </w:rPr>
              <w:t>工程设计费费率</w:t>
            </w:r>
            <w:r>
              <w:rPr>
                <w:rFonts w:hint="default" w:ascii="宋体" w:hAnsi="宋体" w:eastAsia="宋体" w:cs="Times New Roman"/>
                <w:bCs/>
                <w:snapToGrid w:val="0"/>
                <w:color w:val="000000" w:themeColor="text1"/>
                <w:spacing w:val="4"/>
                <w:kern w:val="0"/>
                <w:szCs w:val="21"/>
                <w:highlight w:val="none"/>
                <w14:textFill>
                  <w14:solidFill>
                    <w14:schemeClr w14:val="tx1"/>
                  </w14:solidFill>
                </w14:textFill>
              </w:rPr>
              <w:t>=</w:t>
            </w:r>
            <w:r>
              <w:rPr>
                <w:rFonts w:hint="eastAsia" w:ascii="宋体" w:hAnsi="宋体" w:eastAsia="宋体" w:cs="Times New Roman"/>
                <w:bCs/>
                <w:snapToGrid w:val="0"/>
                <w:color w:val="000000" w:themeColor="text1"/>
                <w:spacing w:val="4"/>
                <w:kern w:val="0"/>
                <w:szCs w:val="21"/>
                <w:highlight w:val="none"/>
                <w14:textFill>
                  <w14:solidFill>
                    <w14:schemeClr w14:val="tx1"/>
                  </w14:solidFill>
                </w14:textFill>
              </w:rPr>
              <w:t>【工程设计费÷暂定工程费限额】×</w:t>
            </w:r>
            <w:r>
              <w:rPr>
                <w:rFonts w:hint="default" w:ascii="宋体" w:hAnsi="宋体" w:eastAsia="宋体" w:cs="Times New Roman"/>
                <w:bCs/>
                <w:snapToGrid w:val="0"/>
                <w:color w:val="000000" w:themeColor="text1"/>
                <w:spacing w:val="4"/>
                <w:kern w:val="0"/>
                <w:szCs w:val="21"/>
                <w:highlight w:val="none"/>
                <w14:textFill>
                  <w14:solidFill>
                    <w14:schemeClr w14:val="tx1"/>
                  </w14:solidFill>
                </w14:textFill>
              </w:rPr>
              <w:t>100%</w:t>
            </w:r>
            <w:r>
              <w:rPr>
                <w:rFonts w:hint="eastAsia" w:ascii="宋体" w:hAnsi="宋体" w:eastAsia="宋体" w:cs="Times New Roman"/>
                <w:bCs/>
                <w:snapToGrid w:val="0"/>
                <w:color w:val="000000" w:themeColor="text1"/>
                <w:spacing w:val="4"/>
                <w:kern w:val="0"/>
                <w:szCs w:val="21"/>
                <w:highlight w:val="none"/>
                <w14:textFill>
                  <w14:solidFill>
                    <w14:schemeClr w14:val="tx1"/>
                  </w14:solidFill>
                </w14:textFill>
              </w:rPr>
              <w:t>；暂定工程费限额为</w:t>
            </w:r>
            <w:r>
              <w:rPr>
                <w:rFonts w:hint="eastAsia" w:ascii="宋体" w:hAnsi="宋体" w:eastAsia="宋体" w:cs="Times New Roman"/>
                <w:b/>
                <w:bCs/>
                <w:color w:val="000000" w:themeColor="text1"/>
                <w:sz w:val="21"/>
                <w:szCs w:val="21"/>
                <w:highlight w:val="none"/>
                <w:u w:val="single"/>
                <w:lang w:val="en-US" w:eastAsia="zh-CN"/>
                <w14:textFill>
                  <w14:solidFill>
                    <w14:schemeClr w14:val="tx1"/>
                  </w14:solidFill>
                </w14:textFill>
              </w:rPr>
              <w:t>42925.38</w:t>
            </w:r>
            <w:r>
              <w:rPr>
                <w:rFonts w:hint="eastAsia" w:ascii="宋体" w:hAnsi="宋体" w:eastAsia="宋体" w:cs="Times New Roman"/>
                <w:bCs/>
                <w:snapToGrid w:val="0"/>
                <w:color w:val="000000" w:themeColor="text1"/>
                <w:spacing w:val="4"/>
                <w:kern w:val="0"/>
                <w:szCs w:val="21"/>
                <w:highlight w:val="none"/>
                <w14:textFill>
                  <w14:solidFill>
                    <w14:schemeClr w14:val="tx1"/>
                  </w14:solidFill>
                </w14:textFill>
              </w:rPr>
              <w:t>万元。</w:t>
            </w:r>
          </w:p>
          <w:p w14:paraId="5C26E152">
            <w:pPr>
              <w:keepNext w:val="0"/>
              <w:keepLines w:val="0"/>
              <w:suppressLineNumbers w:val="0"/>
              <w:spacing w:before="0" w:beforeAutospacing="0" w:after="0" w:afterAutospacing="0" w:line="240" w:lineRule="auto"/>
              <w:ind w:left="0" w:right="0"/>
              <w:rPr>
                <w:rFonts w:hint="default" w:ascii="宋体" w:hAnsi="宋体" w:eastAsia="宋体" w:cs="Times New Roman"/>
                <w:b/>
                <w:color w:val="000000" w:themeColor="text1"/>
                <w:szCs w:val="21"/>
                <w:highlight w:val="none"/>
                <w:u w:val="single"/>
                <w14:textFill>
                  <w14:solidFill>
                    <w14:schemeClr w14:val="tx1"/>
                  </w14:solidFill>
                </w14:textFill>
              </w:rPr>
            </w:pPr>
            <w:r>
              <w:rPr>
                <w:rFonts w:hint="default" w:ascii="宋体" w:hAnsi="宋体" w:eastAsia="宋体" w:cs="Times New Roman"/>
                <w:bCs/>
                <w:snapToGrid w:val="0"/>
                <w:color w:val="000000" w:themeColor="text1"/>
                <w:spacing w:val="4"/>
                <w:kern w:val="0"/>
                <w:szCs w:val="21"/>
                <w:highlight w:val="none"/>
                <w14:textFill>
                  <w14:solidFill>
                    <w14:schemeClr w14:val="tx1"/>
                  </w14:solidFill>
                </w14:textFill>
              </w:rPr>
              <w:t>2.</w:t>
            </w:r>
            <w:r>
              <w:rPr>
                <w:rFonts w:hint="eastAsia" w:ascii="宋体" w:hAnsi="宋体" w:eastAsia="宋体" w:cs="Times New Roman"/>
                <w:bCs/>
                <w:color w:val="000000" w:themeColor="text1"/>
                <w:szCs w:val="21"/>
                <w:highlight w:val="none"/>
                <w14:textFill>
                  <w14:solidFill>
                    <w14:schemeClr w14:val="tx1"/>
                  </w14:solidFill>
                </w14:textFill>
              </w:rPr>
              <w:t>对应报价金额不得超过最高投标限价</w:t>
            </w:r>
            <w:r>
              <w:rPr>
                <w:rFonts w:hint="eastAsia" w:ascii="宋体" w:hAnsi="宋体" w:eastAsia="宋体" w:cs="宋体"/>
                <w:b/>
                <w:bCs w:val="0"/>
                <w:color w:val="000000" w:themeColor="text1"/>
                <w:szCs w:val="21"/>
                <w:highlight w:val="none"/>
                <w:u w:val="single"/>
                <w:lang w:eastAsia="zh-CN"/>
                <w14:textFill>
                  <w14:solidFill>
                    <w14:schemeClr w14:val="tx1"/>
                  </w14:solidFill>
                </w14:textFill>
              </w:rPr>
              <w:t>915.377685</w:t>
            </w:r>
            <w:r>
              <w:rPr>
                <w:rFonts w:hint="eastAsia" w:ascii="宋体" w:hAnsi="宋体" w:eastAsia="宋体" w:cs="Times New Roman"/>
                <w:bCs/>
                <w:color w:val="000000" w:themeColor="text1"/>
                <w:szCs w:val="21"/>
                <w:highlight w:val="none"/>
                <w14:textFill>
                  <w14:solidFill>
                    <w14:schemeClr w14:val="tx1"/>
                  </w14:solidFill>
                </w14:textFill>
              </w:rPr>
              <w:t>万元。</w:t>
            </w:r>
          </w:p>
        </w:tc>
      </w:tr>
      <w:tr w14:paraId="0587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16" w:type="dxa"/>
            <w:vMerge w:val="restart"/>
            <w:vAlign w:val="center"/>
          </w:tcPr>
          <w:p w14:paraId="696B105F">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其中</w:t>
            </w:r>
          </w:p>
        </w:tc>
        <w:tc>
          <w:tcPr>
            <w:tcW w:w="2224" w:type="dxa"/>
            <w:vAlign w:val="center"/>
          </w:tcPr>
          <w:p w14:paraId="6BD2C452">
            <w:pPr>
              <w:keepNext w:val="0"/>
              <w:keepLines w:val="0"/>
              <w:suppressLineNumbers w:val="0"/>
              <w:spacing w:before="0" w:beforeAutospacing="0" w:after="0" w:afterAutospacing="0" w:line="240" w:lineRule="auto"/>
              <w:ind w:left="0" w:right="0"/>
              <w:jc w:val="both"/>
              <w:rPr>
                <w:rFonts w:hint="default"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14:textFill>
                  <w14:solidFill>
                    <w14:schemeClr w14:val="tx1"/>
                  </w14:solidFill>
                </w14:textFill>
              </w:rPr>
              <w:t>造价预算</w:t>
            </w:r>
            <w:r>
              <w:rPr>
                <w:rFonts w:hint="eastAsia" w:ascii="宋体" w:hAnsi="宋体" w:eastAsia="宋体" w:cs="Times New Roman"/>
                <w:color w:val="000000" w:themeColor="text1"/>
                <w:szCs w:val="21"/>
                <w:highlight w:val="none"/>
                <w14:textFill>
                  <w14:solidFill>
                    <w14:schemeClr w14:val="tx1"/>
                  </w14:solidFill>
                </w14:textFill>
              </w:rPr>
              <w:t>编制费</w:t>
            </w:r>
            <w:r>
              <w:rPr>
                <w:rFonts w:hint="eastAsia" w:ascii="宋体" w:hAnsi="宋体" w:eastAsia="宋体" w:cs="宋体"/>
                <w:color w:val="000000" w:themeColor="text1"/>
                <w:szCs w:val="21"/>
                <w:highlight w:val="none"/>
                <w14:textFill>
                  <w14:solidFill>
                    <w14:schemeClr w14:val="tx1"/>
                  </w14:solidFill>
                </w14:textFill>
              </w:rPr>
              <w:t>投标报价</w:t>
            </w:r>
            <w:r>
              <w:rPr>
                <w:rFonts w:hint="default"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bCs/>
                <w:color w:val="000000" w:themeColor="text1"/>
                <w:szCs w:val="21"/>
                <w:highlight w:val="none"/>
                <w14:textFill>
                  <w14:solidFill>
                    <w14:schemeClr w14:val="tx1"/>
                  </w14:solidFill>
                </w14:textFill>
              </w:rPr>
              <w:t>×</w:t>
            </w:r>
            <w:r>
              <w:rPr>
                <w:rFonts w:hint="default" w:ascii="宋体" w:hAnsi="宋体" w:eastAsia="宋体" w:cs="Times New Roman"/>
                <w:bCs/>
                <w:color w:val="000000" w:themeColor="text1"/>
                <w:szCs w:val="21"/>
                <w:highlight w:val="none"/>
                <w14:textFill>
                  <w14:solidFill>
                    <w14:schemeClr w14:val="tx1"/>
                  </w14:solidFill>
                </w14:textFill>
              </w:rPr>
              <w:t>10%</w:t>
            </w:r>
          </w:p>
        </w:tc>
        <w:tc>
          <w:tcPr>
            <w:tcW w:w="1386" w:type="dxa"/>
            <w:vAlign w:val="center"/>
          </w:tcPr>
          <w:p w14:paraId="080459F9">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18" w:type="dxa"/>
            <w:vAlign w:val="center"/>
          </w:tcPr>
          <w:p w14:paraId="55B99449">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14:textFill>
                  <w14:solidFill>
                    <w14:schemeClr w14:val="tx1"/>
                  </w14:solidFill>
                </w14:textFill>
              </w:rPr>
              <w:t>/</w:t>
            </w:r>
          </w:p>
        </w:tc>
        <w:tc>
          <w:tcPr>
            <w:tcW w:w="3234" w:type="dxa"/>
            <w:vAlign w:val="center"/>
          </w:tcPr>
          <w:p w14:paraId="758865D2">
            <w:pPr>
              <w:keepNext w:val="0"/>
              <w:keepLines w:val="0"/>
              <w:suppressLineNumbers w:val="0"/>
              <w:spacing w:before="0" w:beforeAutospacing="0" w:after="0" w:afterAutospacing="0" w:line="240" w:lineRule="auto"/>
              <w:ind w:left="0" w:right="0"/>
              <w:rPr>
                <w:rFonts w:hint="default"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pacing w:val="4"/>
                <w:kern w:val="0"/>
                <w:szCs w:val="21"/>
                <w:highlight w:val="none"/>
                <w14:textFill>
                  <w14:solidFill>
                    <w14:schemeClr w14:val="tx1"/>
                  </w14:solidFill>
                </w14:textFill>
              </w:rPr>
              <w:t>如投标人未按该规定进行填报，则以该规定进行修正。</w:t>
            </w:r>
          </w:p>
        </w:tc>
      </w:tr>
      <w:tr w14:paraId="0F6F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16" w:type="dxa"/>
            <w:vMerge w:val="continue"/>
            <w:vAlign w:val="center"/>
          </w:tcPr>
          <w:p w14:paraId="0A4F39A2">
            <w:pPr>
              <w:keepNext w:val="0"/>
              <w:keepLines w:val="0"/>
              <w:suppressLineNumbers w:val="0"/>
              <w:snapToGrid/>
              <w:spacing w:before="0" w:beforeAutospacing="0" w:after="0" w:afterAutospacing="0" w:line="240" w:lineRule="auto"/>
              <w:ind w:left="0" w:right="0" w:firstLine="700"/>
              <w:rPr>
                <w:rFonts w:hint="default" w:ascii="宋体" w:hAnsi="宋体" w:eastAsia="宋体" w:cs="Times New Roman"/>
                <w:color w:val="000000" w:themeColor="text1"/>
                <w:szCs w:val="21"/>
                <w:highlight w:val="none"/>
                <w14:textFill>
                  <w14:solidFill>
                    <w14:schemeClr w14:val="tx1"/>
                  </w14:solidFill>
                </w14:textFill>
              </w:rPr>
            </w:pPr>
          </w:p>
        </w:tc>
        <w:tc>
          <w:tcPr>
            <w:tcW w:w="2224" w:type="dxa"/>
            <w:vAlign w:val="center"/>
          </w:tcPr>
          <w:p w14:paraId="123D6802">
            <w:pPr>
              <w:keepNext w:val="0"/>
              <w:keepLines w:val="0"/>
              <w:suppressLineNumbers w:val="0"/>
              <w:snapToGrid/>
              <w:spacing w:before="0" w:beforeAutospacing="0" w:after="0" w:afterAutospacing="0" w:line="240" w:lineRule="auto"/>
              <w:ind w:left="0" w:right="0"/>
              <w:jc w:val="both"/>
              <w:rPr>
                <w:rFonts w:hint="default"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14:textFill>
                  <w14:solidFill>
                    <w14:schemeClr w14:val="tx1"/>
                  </w14:solidFill>
                </w14:textFill>
              </w:rPr>
              <w:t>技术设计费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（不含投标经济补偿）</w:t>
            </w:r>
            <w:r>
              <w:rPr>
                <w:rFonts w:hint="eastAsia" w:ascii="宋体" w:hAnsi="宋体" w:eastAsia="宋体" w:cs="宋体"/>
                <w:color w:val="000000" w:themeColor="text1"/>
                <w:szCs w:val="21"/>
                <w:highlight w:val="none"/>
                <w14:textFill>
                  <w14:solidFill>
                    <w14:schemeClr w14:val="tx1"/>
                  </w14:solidFill>
                </w14:textFill>
              </w:rPr>
              <w:t>投标报价</w:t>
            </w:r>
          </w:p>
          <w:p w14:paraId="7DFF7F30">
            <w:pPr>
              <w:keepNext w:val="0"/>
              <w:keepLines w:val="0"/>
              <w:suppressLineNumbers w:val="0"/>
              <w:snapToGrid/>
              <w:spacing w:before="0" w:beforeAutospacing="0" w:after="0" w:afterAutospacing="0" w:line="240" w:lineRule="auto"/>
              <w:ind w:left="0" w:right="0"/>
              <w:jc w:val="both"/>
              <w:rPr>
                <w:rFonts w:hint="default"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14:textFill>
                  <w14:solidFill>
                    <w14:schemeClr w14:val="tx1"/>
                  </w14:solidFill>
                </w14:textFill>
              </w:rPr>
              <w:t>=（1）×90%</w:t>
            </w:r>
          </w:p>
        </w:tc>
        <w:tc>
          <w:tcPr>
            <w:tcW w:w="1386" w:type="dxa"/>
            <w:vAlign w:val="center"/>
          </w:tcPr>
          <w:p w14:paraId="75A37A4A">
            <w:pPr>
              <w:keepNext w:val="0"/>
              <w:keepLines w:val="0"/>
              <w:suppressLineNumbers w:val="0"/>
              <w:snapToGrid/>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18" w:type="dxa"/>
            <w:vAlign w:val="center"/>
          </w:tcPr>
          <w:p w14:paraId="47954D07">
            <w:pPr>
              <w:keepNext w:val="0"/>
              <w:keepLines w:val="0"/>
              <w:suppressLineNumbers w:val="0"/>
              <w:snapToGrid/>
              <w:spacing w:before="0" w:beforeAutospacing="0" w:after="0" w:afterAutospacing="0" w:line="240" w:lineRule="auto"/>
              <w:ind w:left="0" w:right="0" w:firstLine="315" w:firstLineChars="150"/>
              <w:rPr>
                <w:rFonts w:hint="default"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14:textFill>
                  <w14:solidFill>
                    <w14:schemeClr w14:val="tx1"/>
                  </w14:solidFill>
                </w14:textFill>
              </w:rPr>
              <w:t>/</w:t>
            </w:r>
          </w:p>
        </w:tc>
        <w:tc>
          <w:tcPr>
            <w:tcW w:w="3234" w:type="dxa"/>
            <w:vAlign w:val="center"/>
          </w:tcPr>
          <w:p w14:paraId="35062CA5">
            <w:pPr>
              <w:keepNext w:val="0"/>
              <w:keepLines w:val="0"/>
              <w:suppressLineNumbers w:val="0"/>
              <w:snapToGrid/>
              <w:spacing w:before="0" w:beforeAutospacing="0" w:after="0" w:afterAutospacing="0" w:line="240" w:lineRule="auto"/>
              <w:ind w:left="0" w:right="0"/>
              <w:rPr>
                <w:rFonts w:hint="default"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pacing w:val="4"/>
                <w:kern w:val="0"/>
                <w:szCs w:val="21"/>
                <w:highlight w:val="none"/>
                <w14:textFill>
                  <w14:solidFill>
                    <w14:schemeClr w14:val="tx1"/>
                  </w14:solidFill>
                </w14:textFill>
              </w:rPr>
              <w:t>如投标人未按该规定进行填报，则以该规定进行修正。</w:t>
            </w:r>
          </w:p>
        </w:tc>
      </w:tr>
    </w:tbl>
    <w:p w14:paraId="6880A58E">
      <w:pPr>
        <w:widowControl/>
        <w:topLinePunct/>
        <w:adjustRightInd w:val="0"/>
        <w:snapToGrid w:val="0"/>
        <w:spacing w:before="157" w:beforeLines="50" w:line="360" w:lineRule="auto"/>
        <w:ind w:firstLine="0" w:firstLineChars="0"/>
        <w:jc w:val="left"/>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eastAsia="宋体" w:cs="宋体"/>
          <w:snapToGrid w:val="0"/>
          <w:color w:val="000000" w:themeColor="text1"/>
          <w:spacing w:val="4"/>
          <w:kern w:val="0"/>
          <w:szCs w:val="21"/>
          <w:highlight w:val="none"/>
          <w14:textFill>
            <w14:solidFill>
              <w14:schemeClr w14:val="tx1"/>
            </w14:solidFill>
          </w14:textFill>
        </w:rPr>
        <w:t>注：</w:t>
      </w:r>
      <w:r>
        <w:rPr>
          <w:rFonts w:ascii="宋体" w:hAnsi="宋体" w:eastAsia="宋体" w:cs="宋体"/>
          <w:color w:val="000000" w:themeColor="text1"/>
          <w:spacing w:val="4"/>
          <w:kern w:val="0"/>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工程设计费投标报价不得超过最高投标限价</w:t>
      </w:r>
      <w:r>
        <w:rPr>
          <w:rFonts w:hint="eastAsia" w:ascii="宋体" w:hAnsi="宋体" w:eastAsia="宋体" w:cs="宋体"/>
          <w:b/>
          <w:bCs w:val="0"/>
          <w:color w:val="000000" w:themeColor="text1"/>
          <w:szCs w:val="21"/>
          <w:highlight w:val="none"/>
          <w:u w:val="single"/>
          <w:lang w:eastAsia="zh-CN"/>
          <w14:textFill>
            <w14:solidFill>
              <w14:schemeClr w14:val="tx1"/>
            </w14:solidFill>
          </w14:textFill>
        </w:rPr>
        <w:t>915.377685</w:t>
      </w:r>
      <w:r>
        <w:rPr>
          <w:rFonts w:hint="eastAsia" w:ascii="宋体" w:hAnsi="宋体" w:eastAsia="宋体" w:cs="Times New Roman"/>
          <w:bCs/>
          <w:color w:val="000000" w:themeColor="text1"/>
          <w:szCs w:val="21"/>
          <w:highlight w:val="none"/>
          <w:u w:val="none"/>
          <w14:textFill>
            <w14:solidFill>
              <w14:schemeClr w14:val="tx1"/>
            </w14:solidFill>
          </w14:textFill>
        </w:rPr>
        <w:t>万元</w:t>
      </w:r>
      <w:r>
        <w:rPr>
          <w:rFonts w:hint="eastAsia" w:ascii="宋体" w:hAnsi="宋体" w:eastAsia="宋体" w:cs="宋体"/>
          <w:color w:val="000000" w:themeColor="text1"/>
          <w:szCs w:val="21"/>
          <w:highlight w:val="none"/>
          <w14:textFill>
            <w14:solidFill>
              <w14:schemeClr w14:val="tx1"/>
            </w14:solidFill>
          </w14:textFill>
        </w:rPr>
        <w:t>。</w:t>
      </w:r>
    </w:p>
    <w:p w14:paraId="3AB7CEB3">
      <w:pPr>
        <w:topLinePunct/>
        <w:adjustRightInd w:val="0"/>
        <w:snapToGrid w:val="0"/>
        <w:spacing w:line="360" w:lineRule="auto"/>
        <w:ind w:firstLine="436" w:firstLineChars="200"/>
        <w:rPr>
          <w:rFonts w:ascii="宋体" w:hAnsi="宋体" w:eastAsia="宋体" w:cs="宋体"/>
          <w:snapToGrid w:val="0"/>
          <w:color w:val="000000" w:themeColor="text1"/>
          <w:spacing w:val="4"/>
          <w:kern w:val="0"/>
          <w:szCs w:val="21"/>
          <w:highlight w:val="none"/>
          <w14:textFill>
            <w14:solidFill>
              <w14:schemeClr w14:val="tx1"/>
            </w14:solidFill>
          </w14:textFill>
        </w:rPr>
      </w:pPr>
      <w:r>
        <w:rPr>
          <w:rFonts w:ascii="宋体" w:hAnsi="宋体" w:eastAsia="宋体" w:cs="宋体"/>
          <w:snapToGrid w:val="0"/>
          <w:color w:val="000000" w:themeColor="text1"/>
          <w:spacing w:val="4"/>
          <w:kern w:val="0"/>
          <w:szCs w:val="21"/>
          <w:highlight w:val="none"/>
          <w14:textFill>
            <w14:solidFill>
              <w14:schemeClr w14:val="tx1"/>
            </w14:solidFill>
          </w14:textFill>
        </w:rPr>
        <w:t>2、工程设计费的具体结算原则详见合同条款的约定。项目实施过程中，中标的费率不作调整。</w:t>
      </w:r>
    </w:p>
    <w:p w14:paraId="2C9E84F4">
      <w:pPr>
        <w:topLinePunct/>
        <w:adjustRightInd w:val="0"/>
        <w:snapToGrid w:val="0"/>
        <w:spacing w:line="360" w:lineRule="auto"/>
        <w:ind w:firstLine="436"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snapToGrid w:val="0"/>
          <w:color w:val="000000" w:themeColor="text1"/>
          <w:spacing w:val="4"/>
          <w:kern w:val="0"/>
          <w:szCs w:val="21"/>
          <w:highlight w:val="none"/>
          <w14:textFill>
            <w14:solidFill>
              <w14:schemeClr w14:val="tx1"/>
            </w14:solidFill>
          </w14:textFill>
        </w:rPr>
        <w:t>3、经算术复核的投标人报价与其投标报价不一致时，按就低不就高原则确定其最终报价。如修正后</w:t>
      </w:r>
      <w:r>
        <w:rPr>
          <w:rFonts w:hint="eastAsia" w:ascii="宋体" w:hAnsi="宋体" w:eastAsia="宋体" w:cs="宋体"/>
          <w:color w:val="000000" w:themeColor="text1"/>
          <w:szCs w:val="21"/>
          <w:highlight w:val="none"/>
          <w14:textFill>
            <w14:solidFill>
              <w14:schemeClr w14:val="tx1"/>
            </w14:solidFill>
          </w14:textFill>
        </w:rPr>
        <w:t>的投标报价超出相应的最高投标限价，则由评标委员</w:t>
      </w:r>
      <w:r>
        <w:rPr>
          <w:rFonts w:hint="default" w:ascii="宋体" w:hAnsi="宋体" w:eastAsia="宋体" w:cs="宋体"/>
          <w:color w:val="000000" w:themeColor="text1"/>
          <w:szCs w:val="21"/>
          <w:highlight w:val="none"/>
          <w14:textFill>
            <w14:solidFill>
              <w14:schemeClr w14:val="tx1"/>
            </w14:solidFill>
          </w14:textFill>
        </w:rPr>
        <w:t>会</w:t>
      </w:r>
      <w:r>
        <w:rPr>
          <w:rFonts w:hint="eastAsia" w:ascii="宋体" w:hAnsi="宋体" w:eastAsia="宋体" w:cs="宋体"/>
          <w:color w:val="000000" w:themeColor="text1"/>
          <w:szCs w:val="21"/>
          <w:highlight w:val="none"/>
          <w14:textFill>
            <w14:solidFill>
              <w14:schemeClr w14:val="tx1"/>
            </w14:solidFill>
          </w14:textFill>
        </w:rPr>
        <w:t>否决其投标。</w:t>
      </w:r>
    </w:p>
    <w:p w14:paraId="2233BBD4">
      <w:pPr>
        <w:topLinePunct/>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4、按上述修正错误的原则及方法调整或修正投标文件的投标报价，调整后的投标报价对投标人起约束作用。如果投标人不接受修正后的报价，则取消其中标资格。</w:t>
      </w:r>
    </w:p>
    <w:p w14:paraId="53AEA05F">
      <w:pPr>
        <w:spacing w:line="360" w:lineRule="auto"/>
        <w:rPr>
          <w:rFonts w:ascii="宋体" w:hAnsi="宋体" w:eastAsia="宋体" w:cs="Times New Roman"/>
          <w:b/>
          <w:bCs/>
          <w:color w:val="000000" w:themeColor="text1"/>
          <w:highlight w:val="none"/>
          <w14:textFill>
            <w14:solidFill>
              <w14:schemeClr w14:val="tx1"/>
            </w14:solidFill>
          </w14:textFill>
        </w:rPr>
      </w:pPr>
    </w:p>
    <w:p w14:paraId="2E33657A">
      <w:pPr>
        <w:adjustRightInd w:val="0"/>
        <w:snapToGrid w:val="0"/>
        <w:spacing w:line="360" w:lineRule="auto"/>
        <w:ind w:firstLine="420" w:firstLineChars="200"/>
        <w:rPr>
          <w:rFonts w:ascii="宋体" w:hAnsi="宋体" w:eastAsia="宋体" w:cs="Times New Roman"/>
          <w:color w:val="000000" w:themeColor="text1"/>
          <w:highlight w:val="none"/>
          <w:u w:val="single"/>
          <w14:textFill>
            <w14:solidFill>
              <w14:schemeClr w14:val="tx1"/>
            </w14:solidFill>
          </w14:textFill>
        </w:rPr>
      </w:pPr>
    </w:p>
    <w:p w14:paraId="2D3E0E93">
      <w:pP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69" w:name="_Toc114493761"/>
      <w:bookmarkStart w:id="70" w:name="_Toc8271"/>
      <w:bookmarkStart w:id="71" w:name="_Toc17712"/>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br w:type="page"/>
      </w:r>
    </w:p>
    <w:p w14:paraId="63E3E538">
      <w:pPr>
        <w:keepNext/>
        <w:keepLines/>
        <w:spacing w:before="95" w:beforeLines="30" w:after="95" w:afterLines="3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72" w:name="_Toc17418"/>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附件3-2 工程勘察费计算表</w:t>
      </w:r>
      <w:bookmarkEnd w:id="69"/>
      <w:bookmarkEnd w:id="70"/>
      <w:bookmarkEnd w:id="71"/>
      <w:bookmarkEnd w:id="72"/>
    </w:p>
    <w:p w14:paraId="606AFECE">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73" w:name="_Toc114493762"/>
      <w:bookmarkStart w:id="74" w:name="_Toc11498"/>
      <w:r>
        <w:rPr>
          <w:rFonts w:hint="eastAsia" w:ascii="宋体" w:hAnsi="宋体" w:eastAsia="宋体" w:cs="宋体"/>
          <w:b/>
          <w:bCs/>
          <w:color w:val="000000" w:themeColor="text1"/>
          <w:sz w:val="28"/>
          <w:szCs w:val="28"/>
          <w:highlight w:val="none"/>
          <w14:textFill>
            <w14:solidFill>
              <w14:schemeClr w14:val="tx1"/>
            </w14:solidFill>
          </w14:textFill>
        </w:rPr>
        <w:t>工程勘察费计算表</w:t>
      </w:r>
      <w:bookmarkEnd w:id="73"/>
      <w:bookmarkEnd w:id="74"/>
    </w:p>
    <w:tbl>
      <w:tblPr>
        <w:tblStyle w:val="15"/>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526"/>
        <w:gridCol w:w="1742"/>
        <w:gridCol w:w="4080"/>
      </w:tblGrid>
      <w:tr w14:paraId="2AB8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7CE8C77A">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序号</w:t>
            </w:r>
          </w:p>
        </w:tc>
        <w:tc>
          <w:tcPr>
            <w:tcW w:w="2526" w:type="dxa"/>
            <w:vAlign w:val="center"/>
          </w:tcPr>
          <w:p w14:paraId="538CEECB">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费用名称</w:t>
            </w:r>
          </w:p>
        </w:tc>
        <w:tc>
          <w:tcPr>
            <w:tcW w:w="1742" w:type="dxa"/>
            <w:vAlign w:val="center"/>
          </w:tcPr>
          <w:p w14:paraId="1A065210">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投标值</w:t>
            </w:r>
          </w:p>
        </w:tc>
        <w:tc>
          <w:tcPr>
            <w:tcW w:w="4080" w:type="dxa"/>
            <w:vAlign w:val="center"/>
          </w:tcPr>
          <w:p w14:paraId="2E41550C">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备注</w:t>
            </w:r>
          </w:p>
        </w:tc>
      </w:tr>
      <w:tr w14:paraId="7D5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2242E4C8">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w:t>
            </w:r>
            <w:r>
              <w:rPr>
                <w:rFonts w:hint="default" w:ascii="宋体" w:hAnsi="宋体" w:eastAsia="宋体" w:cs="Times New Roman"/>
                <w:color w:val="000000" w:themeColor="text1"/>
                <w:highlight w:val="none"/>
                <w14:textFill>
                  <w14:solidFill>
                    <w14:schemeClr w14:val="tx1"/>
                  </w14:solidFill>
                </w14:textFill>
              </w:rPr>
              <w:t>1）</w:t>
            </w:r>
          </w:p>
        </w:tc>
        <w:tc>
          <w:tcPr>
            <w:tcW w:w="2526" w:type="dxa"/>
            <w:vAlign w:val="center"/>
          </w:tcPr>
          <w:p w14:paraId="477B50E6">
            <w:pPr>
              <w:keepNext w:val="0"/>
              <w:keepLines w:val="0"/>
              <w:suppressLineNumbers w:val="0"/>
              <w:spacing w:before="0" w:beforeAutospacing="0" w:after="0" w:afterAutospacing="0" w:line="360" w:lineRule="auto"/>
              <w:ind w:left="0" w:right="0"/>
              <w:jc w:val="both"/>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每米</w:t>
            </w:r>
            <w:r>
              <w:rPr>
                <w:rFonts w:hint="eastAsia" w:ascii="宋体" w:hAnsi="宋体" w:eastAsia="宋体" w:cs="Times New Roman"/>
                <w:color w:val="000000" w:themeColor="text1"/>
                <w:highlight w:val="none"/>
                <w14:textFill>
                  <w14:solidFill>
                    <w14:schemeClr w14:val="tx1"/>
                  </w14:solidFill>
                </w14:textFill>
              </w:rPr>
              <w:t>综合包干单价</w:t>
            </w:r>
            <w:r>
              <w:rPr>
                <w:rFonts w:hint="eastAsia" w:ascii="宋体" w:hAnsi="宋体" w:eastAsia="宋体" w:cs="Times New Roman"/>
                <w:b/>
                <w:color w:val="000000" w:themeColor="text1"/>
                <w:highlight w:val="none"/>
                <w14:textFill>
                  <w14:solidFill>
                    <w14:schemeClr w14:val="tx1"/>
                  </w14:solidFill>
                </w14:textFill>
              </w:rPr>
              <w:t>（元）</w:t>
            </w:r>
          </w:p>
        </w:tc>
        <w:tc>
          <w:tcPr>
            <w:tcW w:w="1742" w:type="dxa"/>
            <w:vAlign w:val="center"/>
          </w:tcPr>
          <w:p w14:paraId="1A451F71">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p>
        </w:tc>
        <w:tc>
          <w:tcPr>
            <w:tcW w:w="4080" w:type="dxa"/>
            <w:vAlign w:val="center"/>
          </w:tcPr>
          <w:p w14:paraId="097A2D53">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综合包干单价最高投标限价为</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125</w:t>
            </w:r>
            <w:r>
              <w:rPr>
                <w:rFonts w:hint="eastAsia" w:ascii="宋体" w:hAnsi="宋体" w:eastAsia="宋体" w:cs="Times New Roman"/>
                <w:b/>
                <w:bCs/>
                <w:color w:val="000000" w:themeColor="text1"/>
                <w:szCs w:val="21"/>
                <w:highlight w:val="none"/>
                <w:lang w:eastAsia="zh-CN"/>
                <w14:textFill>
                  <w14:solidFill>
                    <w14:schemeClr w14:val="tx1"/>
                  </w14:solidFill>
                </w14:textFill>
              </w:rPr>
              <w:t>元/米</w:t>
            </w:r>
            <w:r>
              <w:rPr>
                <w:rFonts w:hint="default" w:ascii="宋体" w:hAnsi="宋体" w:eastAsia="宋体" w:cs="Times New Roman"/>
                <w:color w:val="000000" w:themeColor="text1"/>
                <w:szCs w:val="21"/>
                <w:highlight w:val="none"/>
                <w14:textFill>
                  <w14:solidFill>
                    <w14:schemeClr w14:val="tx1"/>
                  </w14:solidFill>
                </w14:textFill>
              </w:rPr>
              <w:t>。</w:t>
            </w:r>
          </w:p>
        </w:tc>
      </w:tr>
      <w:tr w14:paraId="28DC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41716B96">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w:t>
            </w:r>
            <w:r>
              <w:rPr>
                <w:rFonts w:hint="default" w:ascii="宋体" w:hAnsi="宋体" w:eastAsia="宋体" w:cs="Times New Roman"/>
                <w:color w:val="000000" w:themeColor="text1"/>
                <w:highlight w:val="none"/>
                <w14:textFill>
                  <w14:solidFill>
                    <w14:schemeClr w14:val="tx1"/>
                  </w14:solidFill>
                </w14:textFill>
              </w:rPr>
              <w:t>2）</w:t>
            </w:r>
          </w:p>
        </w:tc>
        <w:tc>
          <w:tcPr>
            <w:tcW w:w="2526" w:type="dxa"/>
            <w:vAlign w:val="center"/>
          </w:tcPr>
          <w:p w14:paraId="1B7DDEC5">
            <w:pPr>
              <w:keepNext w:val="0"/>
              <w:keepLines w:val="0"/>
              <w:suppressLineNumbers w:val="0"/>
              <w:spacing w:before="0" w:beforeAutospacing="0" w:after="0" w:afterAutospacing="0" w:line="360" w:lineRule="auto"/>
              <w:ind w:left="0" w:right="0"/>
              <w:jc w:val="both"/>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暂定工程量（米）</w:t>
            </w:r>
          </w:p>
        </w:tc>
        <w:tc>
          <w:tcPr>
            <w:tcW w:w="1742" w:type="dxa"/>
            <w:vAlign w:val="center"/>
          </w:tcPr>
          <w:p w14:paraId="76CAF624">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1"/>
                <w:szCs w:val="21"/>
                <w:highlight w:val="none"/>
                <w:u w:val="single"/>
                <w:lang w:val="en-US" w:eastAsia="zh-CN"/>
                <w14:textFill>
                  <w14:solidFill>
                    <w14:schemeClr w14:val="tx1"/>
                  </w14:solidFill>
                </w14:textFill>
              </w:rPr>
              <w:t>17170.40</w:t>
            </w:r>
          </w:p>
        </w:tc>
        <w:tc>
          <w:tcPr>
            <w:tcW w:w="4080" w:type="dxa"/>
            <w:vAlign w:val="center"/>
          </w:tcPr>
          <w:p w14:paraId="5769CF31">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综合包干单价</w:t>
            </w:r>
          </w:p>
        </w:tc>
      </w:tr>
      <w:tr w14:paraId="50F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6B9B3E87">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w:t>
            </w:r>
            <w:r>
              <w:rPr>
                <w:rFonts w:hint="default" w:ascii="宋体" w:hAnsi="宋体" w:eastAsia="宋体" w:cs="Times New Roman"/>
                <w:color w:val="000000" w:themeColor="text1"/>
                <w:sz w:val="21"/>
                <w:szCs w:val="21"/>
                <w:highlight w:val="none"/>
                <w14:textFill>
                  <w14:solidFill>
                    <w14:schemeClr w14:val="tx1"/>
                  </w14:solidFill>
                </w14:textFill>
              </w:rPr>
              <w:t>3）</w:t>
            </w:r>
          </w:p>
        </w:tc>
        <w:tc>
          <w:tcPr>
            <w:tcW w:w="2526" w:type="dxa"/>
            <w:vAlign w:val="center"/>
          </w:tcPr>
          <w:p w14:paraId="5EB9FB89">
            <w:pPr>
              <w:keepNext w:val="0"/>
              <w:keepLines w:val="0"/>
              <w:suppressLineNumbers w:val="0"/>
              <w:spacing w:before="0" w:beforeAutospacing="0" w:after="0" w:afterAutospacing="0" w:line="360" w:lineRule="auto"/>
              <w:ind w:left="0" w:right="0"/>
              <w:jc w:val="both"/>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工程勘察费</w:t>
            </w:r>
            <w:r>
              <w:rPr>
                <w:rFonts w:hint="eastAsia" w:ascii="宋体" w:hAnsi="宋体" w:eastAsia="宋体" w:cs="Times New Roman"/>
                <w:b/>
                <w:color w:val="000000" w:themeColor="text1"/>
                <w:sz w:val="21"/>
                <w:szCs w:val="21"/>
                <w:highlight w:val="none"/>
                <w14:textFill>
                  <w14:solidFill>
                    <w14:schemeClr w14:val="tx1"/>
                  </w14:solidFill>
                </w14:textFill>
              </w:rPr>
              <w:t>（万元）</w:t>
            </w:r>
          </w:p>
        </w:tc>
        <w:tc>
          <w:tcPr>
            <w:tcW w:w="1742" w:type="dxa"/>
            <w:vAlign w:val="center"/>
          </w:tcPr>
          <w:p w14:paraId="1DA6EACF">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p>
        </w:tc>
        <w:tc>
          <w:tcPr>
            <w:tcW w:w="4080" w:type="dxa"/>
            <w:vAlign w:val="center"/>
          </w:tcPr>
          <w:p w14:paraId="25FB1ABA">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w:t>
            </w:r>
            <w:r>
              <w:rPr>
                <w:rFonts w:hint="default" w:ascii="宋体" w:hAnsi="宋体" w:eastAsia="宋体" w:cs="Times New Roman"/>
                <w:b/>
                <w:color w:val="000000" w:themeColor="text1"/>
                <w:sz w:val="21"/>
                <w:szCs w:val="21"/>
                <w:highlight w:val="none"/>
                <w14:textFill>
                  <w14:solidFill>
                    <w14:schemeClr w14:val="tx1"/>
                  </w14:solidFill>
                </w14:textFill>
              </w:rPr>
              <w:t>3）=（1）×（2）÷10000，</w:t>
            </w:r>
            <w:r>
              <w:rPr>
                <w:rFonts w:hint="eastAsia" w:ascii="宋体" w:hAnsi="宋体" w:eastAsia="宋体" w:cs="Times New Roman"/>
                <w:bCs/>
                <w:color w:val="000000" w:themeColor="text1"/>
                <w:sz w:val="21"/>
                <w:szCs w:val="21"/>
                <w:highlight w:val="none"/>
                <w14:textFill>
                  <w14:solidFill>
                    <w14:schemeClr w14:val="tx1"/>
                  </w14:solidFill>
                </w14:textFill>
              </w:rPr>
              <w:t>对应报价金额不得超过最高投标限价</w:t>
            </w:r>
            <w:r>
              <w:rPr>
                <w:rFonts w:hint="eastAsia" w:ascii="宋体" w:hAnsi="宋体" w:eastAsia="宋体" w:cs="Times New Roman"/>
                <w:b/>
                <w:bCs/>
                <w:color w:val="000000" w:themeColor="text1"/>
                <w:sz w:val="21"/>
                <w:szCs w:val="21"/>
                <w:highlight w:val="none"/>
                <w:u w:val="single"/>
                <w:lang w:val="en-US" w:eastAsia="zh-CN"/>
                <w14:textFill>
                  <w14:solidFill>
                    <w14:schemeClr w14:val="tx1"/>
                  </w14:solidFill>
                </w14:textFill>
              </w:rPr>
              <w:t>214.63</w:t>
            </w:r>
            <w:r>
              <w:rPr>
                <w:rFonts w:hint="default" w:ascii="宋体" w:hAnsi="宋体" w:eastAsia="宋体" w:cs="Times New Roman"/>
                <w:bCs/>
                <w:color w:val="000000" w:themeColor="text1"/>
                <w:sz w:val="21"/>
                <w:szCs w:val="21"/>
                <w:highlight w:val="none"/>
                <w14:textFill>
                  <w14:solidFill>
                    <w14:schemeClr w14:val="tx1"/>
                  </w14:solidFill>
                </w14:textFill>
              </w:rPr>
              <w:t>万元。</w:t>
            </w:r>
          </w:p>
        </w:tc>
      </w:tr>
    </w:tbl>
    <w:p w14:paraId="1A9C85BC">
      <w:pPr>
        <w:widowControl/>
        <w:topLinePunct/>
        <w:adjustRightInd w:val="0"/>
        <w:snapToGrid w:val="0"/>
        <w:spacing w:before="157" w:beforeLines="50"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snapToGrid w:val="0"/>
          <w:color w:val="000000" w:themeColor="text1"/>
          <w:spacing w:val="4"/>
          <w:kern w:val="0"/>
          <w:sz w:val="21"/>
          <w:szCs w:val="21"/>
          <w:highlight w:val="none"/>
          <w14:textFill>
            <w14:solidFill>
              <w14:schemeClr w14:val="tx1"/>
            </w14:solidFill>
          </w14:textFill>
        </w:rPr>
        <w:t>投标阶段，</w:t>
      </w:r>
      <w:r>
        <w:rPr>
          <w:rFonts w:hint="eastAsia" w:ascii="宋体" w:hAnsi="宋体" w:eastAsia="宋体" w:cs="宋体"/>
          <w:color w:val="000000" w:themeColor="text1"/>
          <w:sz w:val="21"/>
          <w:szCs w:val="21"/>
          <w:highlight w:val="none"/>
          <w14:textFill>
            <w14:solidFill>
              <w14:schemeClr w14:val="tx1"/>
            </w14:solidFill>
          </w14:textFill>
        </w:rPr>
        <w:t>岩土工程勘察费按招标文件给出的暂定工程量乘以每米综合包干单价计算。每米综合包干单价已包括所有实物工作收费、进出场费、技术工作收费、税金等全部费用。岩土工程勘察费综合包干单价最高投标限价为</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125</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元/米</w:t>
      </w: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工</w:t>
      </w:r>
      <w:r>
        <w:rPr>
          <w:rFonts w:hint="eastAsia" w:ascii="宋体" w:hAnsi="宋体" w:eastAsia="宋体" w:cs="宋体"/>
          <w:color w:val="000000" w:themeColor="text1"/>
          <w:sz w:val="21"/>
          <w:szCs w:val="22"/>
          <w:highlight w:val="none"/>
          <w14:textFill>
            <w14:solidFill>
              <w14:schemeClr w14:val="tx1"/>
            </w14:solidFill>
          </w14:textFill>
        </w:rPr>
        <w:t>程勘察费最高投标限价为</w:t>
      </w:r>
      <w:r>
        <w:rPr>
          <w:rFonts w:hint="eastAsia" w:ascii="宋体" w:hAnsi="宋体" w:eastAsia="宋体" w:cs="宋体"/>
          <w:b/>
          <w:bCs/>
          <w:color w:val="000000" w:themeColor="text1"/>
          <w:sz w:val="21"/>
          <w:szCs w:val="22"/>
          <w:highlight w:val="none"/>
          <w:u w:val="single"/>
          <w:lang w:val="en-US" w:eastAsia="zh-CN"/>
          <w14:textFill>
            <w14:solidFill>
              <w14:schemeClr w14:val="tx1"/>
            </w14:solidFill>
          </w14:textFill>
        </w:rPr>
        <w:t>214.63</w:t>
      </w:r>
      <w:r>
        <w:rPr>
          <w:rFonts w:hint="eastAsia" w:ascii="宋体" w:hAnsi="宋体" w:eastAsia="宋体" w:cs="宋体"/>
          <w:color w:val="000000" w:themeColor="text1"/>
          <w:sz w:val="21"/>
          <w:szCs w:val="22"/>
          <w:highlight w:val="none"/>
          <w14:textFill>
            <w14:solidFill>
              <w14:schemeClr w14:val="tx1"/>
            </w14:solidFill>
          </w14:textFill>
        </w:rPr>
        <w:t>万元</w:t>
      </w:r>
      <w:r>
        <w:rPr>
          <w:rFonts w:hint="eastAsia" w:ascii="宋体" w:hAnsi="宋体" w:eastAsia="宋体" w:cs="宋体"/>
          <w:b w:val="0"/>
          <w:color w:val="000000" w:themeColor="text1"/>
          <w:sz w:val="21"/>
          <w:szCs w:val="22"/>
          <w:highlight w:val="none"/>
          <w14:textFill>
            <w14:solidFill>
              <w14:schemeClr w14:val="tx1"/>
            </w14:solidFill>
          </w14:textFill>
        </w:rPr>
        <w:t>。</w:t>
      </w:r>
    </w:p>
    <w:p w14:paraId="66CB47D6">
      <w:pPr>
        <w:topLinePunct/>
        <w:adjustRightInd w:val="0"/>
        <w:snapToGrid w:val="0"/>
        <w:spacing w:line="360" w:lineRule="auto"/>
        <w:ind w:firstLine="436" w:firstLineChars="200"/>
        <w:rPr>
          <w:rFonts w:ascii="宋体" w:hAnsi="宋体" w:eastAsia="宋体" w:cs="宋体"/>
          <w:snapToGrid w:val="0"/>
          <w:color w:val="000000" w:themeColor="text1"/>
          <w:spacing w:val="4"/>
          <w:kern w:val="0"/>
          <w:szCs w:val="21"/>
          <w:highlight w:val="none"/>
          <w14:textFill>
            <w14:solidFill>
              <w14:schemeClr w14:val="tx1"/>
            </w14:solidFill>
          </w14:textFill>
        </w:rPr>
      </w:pPr>
      <w:r>
        <w:rPr>
          <w:rFonts w:ascii="宋体" w:hAnsi="宋体" w:eastAsia="宋体" w:cs="宋体"/>
          <w:snapToGrid w:val="0"/>
          <w:color w:val="000000" w:themeColor="text1"/>
          <w:spacing w:val="4"/>
          <w:kern w:val="0"/>
          <w:szCs w:val="21"/>
          <w:highlight w:val="none"/>
          <w14:textFill>
            <w14:solidFill>
              <w14:schemeClr w14:val="tx1"/>
            </w14:solidFill>
          </w14:textFill>
        </w:rPr>
        <w:t>2、当序号（1）序号（2）的乘积与序号（3）不一致时，按就低不就高原则确定其最终报价。如修正后的投标报价超出相应的最高投标限价，则由评标委员会</w:t>
      </w:r>
      <w:r>
        <w:rPr>
          <w:rFonts w:hint="default" w:ascii="宋体" w:hAnsi="宋体" w:eastAsia="宋体" w:cs="宋体"/>
          <w:snapToGrid w:val="0"/>
          <w:color w:val="000000" w:themeColor="text1"/>
          <w:spacing w:val="4"/>
          <w:kern w:val="0"/>
          <w:szCs w:val="21"/>
          <w:highlight w:val="none"/>
          <w14:textFill>
            <w14:solidFill>
              <w14:schemeClr w14:val="tx1"/>
            </w14:solidFill>
          </w14:textFill>
        </w:rPr>
        <w:t>否决其投标</w:t>
      </w:r>
      <w:r>
        <w:rPr>
          <w:rFonts w:ascii="宋体" w:hAnsi="宋体" w:eastAsia="宋体" w:cs="宋体"/>
          <w:snapToGrid w:val="0"/>
          <w:color w:val="000000" w:themeColor="text1"/>
          <w:spacing w:val="4"/>
          <w:kern w:val="0"/>
          <w:szCs w:val="21"/>
          <w:highlight w:val="none"/>
          <w14:textFill>
            <w14:solidFill>
              <w14:schemeClr w14:val="tx1"/>
            </w14:solidFill>
          </w14:textFill>
        </w:rPr>
        <w:t>。</w:t>
      </w:r>
    </w:p>
    <w:p w14:paraId="2335DC8C">
      <w:pPr>
        <w:topLinePunct/>
        <w:adjustRightInd w:val="0"/>
        <w:snapToGrid w:val="0"/>
        <w:spacing w:line="360" w:lineRule="auto"/>
        <w:ind w:firstLine="436" w:firstLineChars="200"/>
        <w:rPr>
          <w:rFonts w:ascii="宋体" w:hAnsi="宋体" w:eastAsia="宋体" w:cs="宋体"/>
          <w:snapToGrid w:val="0"/>
          <w:color w:val="000000" w:themeColor="text1"/>
          <w:spacing w:val="4"/>
          <w:kern w:val="0"/>
          <w:szCs w:val="21"/>
          <w:highlight w:val="none"/>
          <w14:textFill>
            <w14:solidFill>
              <w14:schemeClr w14:val="tx1"/>
            </w14:solidFill>
          </w14:textFill>
        </w:rPr>
      </w:pPr>
      <w:r>
        <w:rPr>
          <w:rFonts w:ascii="宋体" w:hAnsi="宋体" w:eastAsia="宋体" w:cs="宋体"/>
          <w:snapToGrid w:val="0"/>
          <w:color w:val="000000" w:themeColor="text1"/>
          <w:spacing w:val="4"/>
          <w:kern w:val="0"/>
          <w:szCs w:val="21"/>
          <w:highlight w:val="none"/>
          <w14:textFill>
            <w14:solidFill>
              <w14:schemeClr w14:val="tx1"/>
            </w14:solidFill>
          </w14:textFill>
        </w:rPr>
        <w:t>3、勘察费的结算原则具体详见合同条款的约定。</w:t>
      </w:r>
    </w:p>
    <w:p w14:paraId="7D24897F">
      <w:pPr>
        <w:spacing w:line="360" w:lineRule="auto"/>
        <w:ind w:firstLine="420" w:firstLineChars="200"/>
        <w:rPr>
          <w:rFonts w:ascii="宋体" w:hAnsi="宋体" w:eastAsia="宋体" w:cs="宋体"/>
          <w:color w:val="000000" w:themeColor="text1"/>
          <w:highlight w:val="none"/>
          <w14:textFill>
            <w14:solidFill>
              <w14:schemeClr w14:val="tx1"/>
            </w14:solidFill>
          </w14:textFill>
        </w:rPr>
      </w:pPr>
    </w:p>
    <w:p w14:paraId="0600C93F">
      <w:pPr>
        <w:spacing w:line="240" w:lineRule="auto"/>
        <w:ind w:firstLine="0" w:firstLineChars="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br w:type="page"/>
      </w:r>
    </w:p>
    <w:p w14:paraId="637085D7">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75" w:name="_Toc27746"/>
      <w:bookmarkStart w:id="76" w:name="_Toc17900"/>
      <w:bookmarkStart w:id="77" w:name="_Toc25466"/>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附件3-3 设计方案报审（含修建性详细规划编制）费计算表</w:t>
      </w:r>
      <w:bookmarkEnd w:id="75"/>
      <w:bookmarkEnd w:id="76"/>
      <w:bookmarkEnd w:id="77"/>
    </w:p>
    <w:p w14:paraId="41BC03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设计方案报审（含修建性详细规划编制）费计算表</w:t>
      </w:r>
    </w:p>
    <w:tbl>
      <w:tblPr>
        <w:tblStyle w:val="1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1"/>
        <w:gridCol w:w="2874"/>
        <w:gridCol w:w="1647"/>
        <w:gridCol w:w="3684"/>
      </w:tblGrid>
      <w:tr w14:paraId="36E6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78413169">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2874" w:type="dxa"/>
            <w:tcBorders>
              <w:top w:val="single" w:color="auto" w:sz="4" w:space="0"/>
              <w:left w:val="nil"/>
              <w:bottom w:val="single" w:color="auto" w:sz="4" w:space="0"/>
              <w:right w:val="single" w:color="auto" w:sz="4" w:space="0"/>
            </w:tcBorders>
            <w:shd w:val="clear" w:color="auto" w:fill="auto"/>
            <w:vAlign w:val="center"/>
          </w:tcPr>
          <w:p w14:paraId="1A79306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费用名称</w:t>
            </w:r>
          </w:p>
        </w:tc>
        <w:tc>
          <w:tcPr>
            <w:tcW w:w="1647" w:type="dxa"/>
            <w:tcBorders>
              <w:top w:val="single" w:color="auto" w:sz="4" w:space="0"/>
              <w:left w:val="nil"/>
              <w:bottom w:val="single" w:color="auto" w:sz="4" w:space="0"/>
              <w:right w:val="single" w:color="auto" w:sz="4" w:space="0"/>
            </w:tcBorders>
            <w:shd w:val="clear" w:color="auto" w:fill="auto"/>
            <w:vAlign w:val="center"/>
          </w:tcPr>
          <w:p w14:paraId="432116C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投标值</w:t>
            </w:r>
          </w:p>
        </w:tc>
        <w:tc>
          <w:tcPr>
            <w:tcW w:w="3684" w:type="dxa"/>
            <w:tcBorders>
              <w:top w:val="single" w:color="auto" w:sz="4" w:space="0"/>
              <w:left w:val="nil"/>
              <w:bottom w:val="single" w:color="auto" w:sz="4" w:space="0"/>
              <w:right w:val="single" w:color="auto" w:sz="4" w:space="0"/>
            </w:tcBorders>
            <w:shd w:val="clear" w:color="auto" w:fill="auto"/>
            <w:vAlign w:val="center"/>
          </w:tcPr>
          <w:p w14:paraId="4C8FB9A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0B2F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0A51A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2874" w:type="dxa"/>
            <w:tcBorders>
              <w:top w:val="single" w:color="auto" w:sz="4" w:space="0"/>
              <w:left w:val="nil"/>
              <w:bottom w:val="single" w:color="auto" w:sz="4" w:space="0"/>
              <w:right w:val="single" w:color="auto" w:sz="4" w:space="0"/>
            </w:tcBorders>
            <w:shd w:val="clear" w:color="auto" w:fill="auto"/>
            <w:vAlign w:val="center"/>
          </w:tcPr>
          <w:p w14:paraId="5EDC3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每公顷综合包干单价</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（万元）</w:t>
            </w:r>
          </w:p>
        </w:tc>
        <w:tc>
          <w:tcPr>
            <w:tcW w:w="1647" w:type="dxa"/>
            <w:tcBorders>
              <w:top w:val="single" w:color="auto" w:sz="4" w:space="0"/>
              <w:left w:val="nil"/>
              <w:bottom w:val="single" w:color="auto" w:sz="4" w:space="0"/>
              <w:right w:val="single" w:color="auto" w:sz="4" w:space="0"/>
            </w:tcBorders>
            <w:shd w:val="clear" w:color="auto" w:fill="auto"/>
            <w:vAlign w:val="center"/>
          </w:tcPr>
          <w:p w14:paraId="2DD127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3684" w:type="dxa"/>
            <w:tcBorders>
              <w:top w:val="single" w:color="auto" w:sz="4" w:space="0"/>
              <w:left w:val="nil"/>
              <w:bottom w:val="single" w:color="auto" w:sz="4" w:space="0"/>
              <w:right w:val="single" w:color="auto" w:sz="4" w:space="0"/>
            </w:tcBorders>
            <w:shd w:val="clear" w:color="auto" w:fill="auto"/>
            <w:vAlign w:val="center"/>
          </w:tcPr>
          <w:p w14:paraId="20204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综合包干单价最高投标限价为</w:t>
            </w:r>
            <w:r>
              <w:rPr>
                <w:rFonts w:hint="eastAsia" w:ascii="宋体" w:hAnsi="宋体" w:eastAsia="宋体" w:cs="宋体"/>
                <w:b/>
                <w:bCs/>
                <w:color w:val="000000" w:themeColor="text1"/>
                <w:kern w:val="2"/>
                <w:sz w:val="21"/>
                <w:szCs w:val="21"/>
                <w:highlight w:val="none"/>
                <w:u w:val="single"/>
                <w:lang w:val="en-US" w:eastAsia="zh-CN" w:bidi="ar"/>
                <w14:textFill>
                  <w14:solidFill>
                    <w14:schemeClr w14:val="tx1"/>
                  </w14:solidFill>
                </w14:textFill>
              </w:rPr>
              <w:t>2</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万元</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/公顷。</w:t>
            </w:r>
          </w:p>
        </w:tc>
      </w:tr>
      <w:tr w14:paraId="0C4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3A9ED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2874" w:type="dxa"/>
            <w:tcBorders>
              <w:top w:val="single" w:color="auto" w:sz="4" w:space="0"/>
              <w:left w:val="nil"/>
              <w:bottom w:val="single" w:color="auto" w:sz="4" w:space="0"/>
              <w:right w:val="single" w:color="auto" w:sz="4" w:space="0"/>
            </w:tcBorders>
            <w:shd w:val="clear" w:color="auto" w:fill="auto"/>
            <w:vAlign w:val="center"/>
          </w:tcPr>
          <w:p w14:paraId="21F28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暂定工程量（公顷）</w:t>
            </w:r>
          </w:p>
        </w:tc>
        <w:tc>
          <w:tcPr>
            <w:tcW w:w="1647" w:type="dxa"/>
            <w:tcBorders>
              <w:top w:val="single" w:color="auto" w:sz="4" w:space="0"/>
              <w:left w:val="nil"/>
              <w:bottom w:val="single" w:color="auto" w:sz="4" w:space="0"/>
              <w:right w:val="single" w:color="auto" w:sz="4" w:space="0"/>
            </w:tcBorders>
            <w:shd w:val="clear" w:color="auto" w:fill="auto"/>
            <w:vAlign w:val="center"/>
          </w:tcPr>
          <w:p w14:paraId="7772FF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Times New Roman"/>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1"/>
                <w:szCs w:val="21"/>
                <w:highlight w:val="none"/>
                <w:lang w:val="en-US" w:eastAsia="zh-CN"/>
                <w14:textFill>
                  <w14:solidFill>
                    <w14:schemeClr w14:val="tx1"/>
                  </w14:solidFill>
                </w14:textFill>
              </w:rPr>
              <w:t>5.3333</w:t>
            </w:r>
          </w:p>
        </w:tc>
        <w:tc>
          <w:tcPr>
            <w:tcW w:w="3684" w:type="dxa"/>
            <w:tcBorders>
              <w:top w:val="single" w:color="auto" w:sz="4" w:space="0"/>
              <w:left w:val="nil"/>
              <w:bottom w:val="single" w:color="auto" w:sz="4" w:space="0"/>
              <w:right w:val="single" w:color="auto" w:sz="4" w:space="0"/>
            </w:tcBorders>
            <w:shd w:val="clear" w:color="auto" w:fill="auto"/>
            <w:vAlign w:val="center"/>
          </w:tcPr>
          <w:p w14:paraId="2F7A2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p>
        </w:tc>
      </w:tr>
      <w:tr w14:paraId="1C9E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2510E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p>
        </w:tc>
        <w:tc>
          <w:tcPr>
            <w:tcW w:w="2874" w:type="dxa"/>
            <w:tcBorders>
              <w:top w:val="single" w:color="auto" w:sz="4" w:space="0"/>
              <w:left w:val="nil"/>
              <w:bottom w:val="single" w:color="auto" w:sz="4" w:space="0"/>
              <w:right w:val="single" w:color="auto" w:sz="4" w:space="0"/>
            </w:tcBorders>
            <w:shd w:val="clear" w:color="auto" w:fill="auto"/>
            <w:vAlign w:val="center"/>
          </w:tcPr>
          <w:p w14:paraId="4AFD9E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设计方案报审（含修建性详细规划编制）费</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（万元）</w:t>
            </w:r>
          </w:p>
        </w:tc>
        <w:tc>
          <w:tcPr>
            <w:tcW w:w="1647" w:type="dxa"/>
            <w:tcBorders>
              <w:top w:val="single" w:color="auto" w:sz="4" w:space="0"/>
              <w:left w:val="nil"/>
              <w:bottom w:val="single" w:color="auto" w:sz="4" w:space="0"/>
              <w:right w:val="single" w:color="auto" w:sz="4" w:space="0"/>
            </w:tcBorders>
            <w:shd w:val="clear" w:color="auto" w:fill="auto"/>
            <w:vAlign w:val="center"/>
          </w:tcPr>
          <w:p w14:paraId="2AD02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3684" w:type="dxa"/>
            <w:tcBorders>
              <w:top w:val="single" w:color="auto" w:sz="4" w:space="0"/>
              <w:left w:val="nil"/>
              <w:bottom w:val="single" w:color="auto" w:sz="4" w:space="0"/>
              <w:right w:val="single" w:color="auto" w:sz="4" w:space="0"/>
            </w:tcBorders>
            <w:shd w:val="clear" w:color="auto" w:fill="auto"/>
            <w:vAlign w:val="center"/>
          </w:tcPr>
          <w:p w14:paraId="54712E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（3）=（1）×（2），</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对应报价金额不得超过最高投标限价</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10.6666</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万元</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w:t>
            </w:r>
          </w:p>
        </w:tc>
      </w:tr>
    </w:tbl>
    <w:p w14:paraId="52906FF4">
      <w:pPr>
        <w:widowControl/>
        <w:adjustRightInd/>
        <w:snapToGrid/>
        <w:spacing w:beforeLines="0" w:line="240" w:lineRule="auto"/>
        <w:ind w:left="1139" w:leftChars="200" w:right="0" w:hanging="719" w:hangingChars="330"/>
        <w:jc w:val="left"/>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注：1</w:t>
      </w:r>
      <w:r>
        <w:rPr>
          <w:rFonts w:hint="eastAsia" w:ascii="宋体" w:hAnsi="宋体" w:eastAsia="宋体" w:cs="宋体"/>
          <w:snapToGrid w:val="0"/>
          <w:color w:val="000000" w:themeColor="text1"/>
          <w:spacing w:val="4"/>
          <w:kern w:val="0"/>
          <w:sz w:val="21"/>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设计方案报审（含修建性详细规划编制）</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费综合包干单价最高投标限价为</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2万元/公顷</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。设计方案报审（含修建性详细规划编制）费</w:t>
      </w:r>
      <w:r>
        <w:rPr>
          <w:rFonts w:hint="eastAsia" w:ascii="宋体" w:hAnsi="宋体" w:eastAsia="宋体" w:cs="宋体"/>
          <w:color w:val="000000" w:themeColor="text1"/>
          <w:sz w:val="21"/>
          <w:szCs w:val="21"/>
          <w:highlight w:val="none"/>
          <w:u w:val="none"/>
          <w14:textFill>
            <w14:solidFill>
              <w14:schemeClr w14:val="tx1"/>
            </w14:solidFill>
          </w14:textFill>
        </w:rPr>
        <w:t>最高投标限价为</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10.6666</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万元</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6A157E9B">
      <w:pPr>
        <w:keepNext w:val="0"/>
        <w:keepLines w:val="0"/>
        <w:widowControl/>
        <w:suppressLineNumbers w:val="0"/>
        <w:topLinePunct w:val="0"/>
        <w:adjustRightInd/>
        <w:snapToGrid/>
        <w:spacing w:before="0" w:beforeLines="0" w:beforeAutospacing="0" w:after="0" w:afterAutospacing="0" w:line="240" w:lineRule="auto"/>
        <w:ind w:left="399" w:leftChars="190" w:right="0" w:firstLine="436" w:firstLineChars="200"/>
        <w:jc w:val="left"/>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2、当序号（1）序号（2）的乘积与序号（3）不一致时，按就低不就高原则确定其最终报价。如修正后的投标报价超出相应的最高投标限价，则由评标委员会</w:t>
      </w:r>
      <w:r>
        <w:rPr>
          <w:rFonts w:hint="eastAsia" w:ascii="宋体" w:hAnsi="宋体" w:eastAsia="宋体" w:cs="宋体"/>
          <w:snapToGrid w:val="0"/>
          <w:color w:val="000000" w:themeColor="text1"/>
          <w:spacing w:val="4"/>
          <w:kern w:val="0"/>
          <w:szCs w:val="21"/>
          <w:highlight w:val="none"/>
          <w14:textFill>
            <w14:solidFill>
              <w14:schemeClr w14:val="tx1"/>
            </w14:solidFill>
          </w14:textFill>
        </w:rPr>
        <w:t>否决其投标</w:t>
      </w: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w:t>
      </w:r>
    </w:p>
    <w:p w14:paraId="6F69371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pPr>
    </w:p>
    <w:p w14:paraId="23D52375">
      <w:pPr>
        <w:pStyle w:val="14"/>
        <w:rPr>
          <w:rFonts w:hint="eastAsia"/>
          <w:color w:val="000000" w:themeColor="text1"/>
          <w:highlight w:val="none"/>
          <w14:textFill>
            <w14:solidFill>
              <w14:schemeClr w14:val="tx1"/>
            </w14:solidFill>
          </w14:textFill>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0AE7183">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78" w:name="_Toc6064"/>
      <w:bookmarkStart w:id="79" w:name="_Toc927"/>
      <w:bookmarkStart w:id="80" w:name="_Toc5961"/>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附件3-4 BIM正向设计技术应用费计算表</w:t>
      </w:r>
      <w:bookmarkEnd w:id="78"/>
    </w:p>
    <w:p w14:paraId="5E5A02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BIM正向设计技术应用费计算表</w:t>
      </w:r>
    </w:p>
    <w:tbl>
      <w:tblPr>
        <w:tblStyle w:val="1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7"/>
        <w:gridCol w:w="3337"/>
        <w:gridCol w:w="1516"/>
        <w:gridCol w:w="3580"/>
      </w:tblGrid>
      <w:tr w14:paraId="3E87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9"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7A2CAC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3337" w:type="dxa"/>
            <w:tcBorders>
              <w:top w:val="single" w:color="auto" w:sz="4" w:space="0"/>
              <w:left w:val="nil"/>
              <w:bottom w:val="single" w:color="auto" w:sz="4" w:space="0"/>
              <w:right w:val="single" w:color="auto" w:sz="4" w:space="0"/>
            </w:tcBorders>
            <w:shd w:val="clear" w:color="auto" w:fill="auto"/>
            <w:vAlign w:val="center"/>
          </w:tcPr>
          <w:p w14:paraId="77E038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费用名称</w:t>
            </w:r>
          </w:p>
        </w:tc>
        <w:tc>
          <w:tcPr>
            <w:tcW w:w="1516" w:type="dxa"/>
            <w:tcBorders>
              <w:top w:val="single" w:color="auto" w:sz="4" w:space="0"/>
              <w:left w:val="nil"/>
              <w:bottom w:val="single" w:color="auto" w:sz="4" w:space="0"/>
              <w:right w:val="single" w:color="auto" w:sz="4" w:space="0"/>
            </w:tcBorders>
            <w:shd w:val="clear" w:color="auto" w:fill="auto"/>
            <w:vAlign w:val="center"/>
          </w:tcPr>
          <w:p w14:paraId="437C543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投标值</w:t>
            </w:r>
          </w:p>
        </w:tc>
        <w:tc>
          <w:tcPr>
            <w:tcW w:w="3580" w:type="dxa"/>
            <w:tcBorders>
              <w:top w:val="single" w:color="auto" w:sz="4" w:space="0"/>
              <w:left w:val="nil"/>
              <w:bottom w:val="single" w:color="auto" w:sz="4" w:space="0"/>
              <w:right w:val="single" w:color="auto" w:sz="4" w:space="0"/>
            </w:tcBorders>
            <w:shd w:val="clear" w:color="auto" w:fill="auto"/>
            <w:vAlign w:val="center"/>
          </w:tcPr>
          <w:p w14:paraId="408F3D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430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9"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0458ED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337" w:type="dxa"/>
            <w:tcBorders>
              <w:top w:val="single" w:color="auto" w:sz="4" w:space="0"/>
              <w:left w:val="nil"/>
              <w:bottom w:val="single" w:color="auto" w:sz="4" w:space="0"/>
              <w:right w:val="single" w:color="auto" w:sz="4" w:space="0"/>
            </w:tcBorders>
            <w:shd w:val="clear" w:color="auto" w:fill="auto"/>
            <w:vAlign w:val="center"/>
          </w:tcPr>
          <w:p w14:paraId="7F04C8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每平方米综合包干单价</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（元）</w:t>
            </w:r>
          </w:p>
        </w:tc>
        <w:tc>
          <w:tcPr>
            <w:tcW w:w="1516" w:type="dxa"/>
            <w:tcBorders>
              <w:top w:val="single" w:color="auto" w:sz="4" w:space="0"/>
              <w:left w:val="nil"/>
              <w:bottom w:val="single" w:color="auto" w:sz="4" w:space="0"/>
              <w:right w:val="single" w:color="auto" w:sz="4" w:space="0"/>
            </w:tcBorders>
            <w:shd w:val="clear" w:color="auto" w:fill="auto"/>
            <w:vAlign w:val="center"/>
          </w:tcPr>
          <w:p w14:paraId="09FBB0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3580" w:type="dxa"/>
            <w:tcBorders>
              <w:top w:val="single" w:color="auto" w:sz="4" w:space="0"/>
              <w:left w:val="nil"/>
              <w:bottom w:val="single" w:color="auto" w:sz="4" w:space="0"/>
              <w:right w:val="single" w:color="auto" w:sz="4" w:space="0"/>
            </w:tcBorders>
            <w:shd w:val="clear" w:color="auto" w:fill="auto"/>
            <w:vAlign w:val="center"/>
          </w:tcPr>
          <w:p w14:paraId="402CB45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综合包干单价最高投标限价为</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14元</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/平方米。</w:t>
            </w:r>
          </w:p>
        </w:tc>
      </w:tr>
      <w:tr w14:paraId="3989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592A01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3337" w:type="dxa"/>
            <w:tcBorders>
              <w:top w:val="single" w:color="auto" w:sz="4" w:space="0"/>
              <w:left w:val="nil"/>
              <w:bottom w:val="single" w:color="auto" w:sz="4" w:space="0"/>
              <w:right w:val="single" w:color="auto" w:sz="4" w:space="0"/>
            </w:tcBorders>
            <w:shd w:val="clear" w:color="auto" w:fill="auto"/>
            <w:vAlign w:val="center"/>
          </w:tcPr>
          <w:p w14:paraId="6A79FFB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暂定工程量（平方米）</w:t>
            </w:r>
          </w:p>
        </w:tc>
        <w:tc>
          <w:tcPr>
            <w:tcW w:w="1516" w:type="dxa"/>
            <w:tcBorders>
              <w:top w:val="single" w:color="auto" w:sz="4" w:space="0"/>
              <w:left w:val="nil"/>
              <w:bottom w:val="single" w:color="auto" w:sz="4" w:space="0"/>
              <w:right w:val="single" w:color="auto" w:sz="4" w:space="0"/>
            </w:tcBorders>
            <w:shd w:val="clear" w:color="auto" w:fill="auto"/>
            <w:vAlign w:val="center"/>
          </w:tcPr>
          <w:p w14:paraId="1771FB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50483</w:t>
            </w:r>
          </w:p>
        </w:tc>
        <w:tc>
          <w:tcPr>
            <w:tcW w:w="3580" w:type="dxa"/>
            <w:tcBorders>
              <w:top w:val="single" w:color="auto" w:sz="4" w:space="0"/>
              <w:left w:val="nil"/>
              <w:bottom w:val="single" w:color="auto" w:sz="4" w:space="0"/>
              <w:right w:val="single" w:color="auto" w:sz="4" w:space="0"/>
            </w:tcBorders>
            <w:shd w:val="clear" w:color="auto" w:fill="auto"/>
            <w:vAlign w:val="center"/>
          </w:tcPr>
          <w:p w14:paraId="239D50F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r>
      <w:tr w14:paraId="0C92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5E6415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p>
        </w:tc>
        <w:tc>
          <w:tcPr>
            <w:tcW w:w="3337" w:type="dxa"/>
            <w:tcBorders>
              <w:top w:val="single" w:color="auto" w:sz="4" w:space="0"/>
              <w:left w:val="nil"/>
              <w:bottom w:val="single" w:color="auto" w:sz="4" w:space="0"/>
              <w:right w:val="single" w:color="auto" w:sz="4" w:space="0"/>
            </w:tcBorders>
            <w:shd w:val="clear" w:color="auto" w:fill="auto"/>
            <w:vAlign w:val="center"/>
          </w:tcPr>
          <w:p w14:paraId="28CA7E5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BIM</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正向设计技术应用费</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（万元）</w:t>
            </w:r>
          </w:p>
        </w:tc>
        <w:tc>
          <w:tcPr>
            <w:tcW w:w="1516" w:type="dxa"/>
            <w:tcBorders>
              <w:top w:val="single" w:color="auto" w:sz="4" w:space="0"/>
              <w:left w:val="nil"/>
              <w:bottom w:val="single" w:color="auto" w:sz="4" w:space="0"/>
              <w:right w:val="single" w:color="auto" w:sz="4" w:space="0"/>
            </w:tcBorders>
            <w:shd w:val="clear" w:color="auto" w:fill="auto"/>
            <w:vAlign w:val="center"/>
          </w:tcPr>
          <w:p w14:paraId="2649BF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3580" w:type="dxa"/>
            <w:tcBorders>
              <w:top w:val="single" w:color="auto" w:sz="4" w:space="0"/>
              <w:left w:val="nil"/>
              <w:bottom w:val="single" w:color="auto" w:sz="4" w:space="0"/>
              <w:right w:val="single" w:color="auto" w:sz="4" w:space="0"/>
            </w:tcBorders>
            <w:shd w:val="clear" w:color="auto" w:fill="auto"/>
            <w:vAlign w:val="center"/>
          </w:tcPr>
          <w:p w14:paraId="5323E5F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（3）=（1）×（2）÷10000，</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对应报价金额不得超过最高投标限价</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70.6762</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万元。</w:t>
            </w:r>
          </w:p>
        </w:tc>
      </w:tr>
    </w:tbl>
    <w:p w14:paraId="06602853">
      <w:pPr>
        <w:keepNext w:val="0"/>
        <w:keepLines w:val="0"/>
        <w:widowControl/>
        <w:suppressLineNumbers w:val="0"/>
        <w:topLinePunct/>
        <w:adjustRightInd w:val="0"/>
        <w:snapToGrid w:val="0"/>
        <w:spacing w:before="157" w:beforeLines="50" w:beforeAutospacing="0" w:after="0" w:afterAutospacing="0" w:line="360" w:lineRule="auto"/>
        <w:ind w:left="0" w:right="0"/>
        <w:jc w:val="left"/>
        <w:rPr>
          <w:rFonts w:hint="eastAsia" w:ascii="宋体" w:hAnsi="宋体" w:eastAsia="宋体" w:cs="宋体"/>
          <w:snapToGrid w:val="0"/>
          <w:color w:val="000000" w:themeColor="text1"/>
          <w:spacing w:val="4"/>
          <w:kern w:val="0"/>
          <w:sz w:val="21"/>
          <w:szCs w:val="21"/>
          <w:highlight w:val="none"/>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注：1、BIM正向设计技术应用费综合包干单价最高投标限价为</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14</w:t>
      </w:r>
      <w:r>
        <w:rPr>
          <w:rFonts w:hint="eastAsia" w:ascii="宋体" w:hAnsi="宋体" w:eastAsia="宋体" w:cs="宋体"/>
          <w:b/>
          <w:bCs/>
          <w:snapToGrid w:val="0"/>
          <w:color w:val="000000" w:themeColor="text1"/>
          <w:spacing w:val="4"/>
          <w:kern w:val="0"/>
          <w:sz w:val="21"/>
          <w:szCs w:val="21"/>
          <w:highlight w:val="none"/>
          <w:lang w:val="en-US" w:eastAsia="zh-CN" w:bidi="ar"/>
          <w14:textFill>
            <w14:solidFill>
              <w14:schemeClr w14:val="tx1"/>
            </w14:solidFill>
          </w14:textFill>
        </w:rPr>
        <w:t>元</w:t>
      </w: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/平方米，BIM正向设计技术应用费</w:t>
      </w:r>
      <w:r>
        <w:rPr>
          <w:rFonts w:hint="eastAsia" w:ascii="宋体" w:hAnsi="宋体" w:eastAsia="宋体" w:cs="宋体"/>
          <w:bCs w:val="0"/>
          <w:snapToGrid w:val="0"/>
          <w:color w:val="000000" w:themeColor="text1"/>
          <w:spacing w:val="4"/>
          <w:kern w:val="0"/>
          <w:sz w:val="21"/>
          <w:szCs w:val="21"/>
          <w:highlight w:val="none"/>
          <w:lang w:val="en-US" w:eastAsia="zh-CN" w:bidi="ar"/>
          <w14:textFill>
            <w14:solidFill>
              <w14:schemeClr w14:val="tx1"/>
            </w14:solidFill>
          </w14:textFill>
        </w:rPr>
        <w:t>最高投标限价为</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70.6762</w:t>
      </w:r>
      <w:r>
        <w:rPr>
          <w:rFonts w:hint="eastAsia" w:ascii="宋体" w:hAnsi="宋体" w:eastAsia="宋体" w:cs="宋体"/>
          <w:bCs w:val="0"/>
          <w:snapToGrid w:val="0"/>
          <w:color w:val="000000" w:themeColor="text1"/>
          <w:spacing w:val="4"/>
          <w:kern w:val="0"/>
          <w:sz w:val="21"/>
          <w:szCs w:val="21"/>
          <w:highlight w:val="none"/>
          <w:lang w:val="en-US" w:eastAsia="zh-CN" w:bidi="ar"/>
          <w14:textFill>
            <w14:solidFill>
              <w14:schemeClr w14:val="tx1"/>
            </w14:solidFill>
          </w14:textFill>
        </w:rPr>
        <w:t>万元</w:t>
      </w:r>
      <w:r>
        <w:rPr>
          <w:rFonts w:hint="eastAsia" w:ascii="宋体" w:hAnsi="宋体" w:eastAsia="宋体" w:cs="宋体"/>
          <w:b w:val="0"/>
          <w:bCs w:val="0"/>
          <w:snapToGrid w:val="0"/>
          <w:color w:val="000000" w:themeColor="text1"/>
          <w:spacing w:val="4"/>
          <w:kern w:val="0"/>
          <w:sz w:val="21"/>
          <w:szCs w:val="21"/>
          <w:highlight w:val="none"/>
          <w:lang w:val="en-US" w:eastAsia="zh-CN" w:bidi="ar"/>
          <w14:textFill>
            <w14:solidFill>
              <w14:schemeClr w14:val="tx1"/>
            </w14:solidFill>
          </w14:textFill>
        </w:rPr>
        <w:t>。</w:t>
      </w:r>
    </w:p>
    <w:p w14:paraId="651B4060">
      <w:pPr>
        <w:keepNext w:val="0"/>
        <w:keepLines w:val="0"/>
        <w:widowControl/>
        <w:suppressLineNumbers w:val="0"/>
        <w:topLinePunct/>
        <w:adjustRightInd w:val="0"/>
        <w:snapToGrid w:val="0"/>
        <w:spacing w:before="0" w:beforeAutospacing="0" w:after="0" w:afterAutospacing="0" w:line="360" w:lineRule="auto"/>
        <w:ind w:left="0" w:right="0" w:firstLine="436" w:firstLineChars="200"/>
        <w:jc w:val="left"/>
        <w:rPr>
          <w:rFonts w:hint="default"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pPr>
      <w:r>
        <w:rPr>
          <w:rFonts w:hint="default"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2、当序号（1）序号（2）的乘积与序号（3）不一致时，按就低不就高原则确定其最终报价。如修正后的投标报价超出相应的最高投标限价，则由评标委员会</w:t>
      </w:r>
      <w:r>
        <w:rPr>
          <w:rFonts w:hint="default" w:ascii="宋体" w:hAnsi="宋体" w:eastAsia="宋体" w:cs="宋体"/>
          <w:snapToGrid w:val="0"/>
          <w:color w:val="000000" w:themeColor="text1"/>
          <w:spacing w:val="4"/>
          <w:kern w:val="0"/>
          <w:szCs w:val="21"/>
          <w:highlight w:val="none"/>
          <w14:textFill>
            <w14:solidFill>
              <w14:schemeClr w14:val="tx1"/>
            </w14:solidFill>
          </w14:textFill>
        </w:rPr>
        <w:t>否决其投标</w:t>
      </w:r>
      <w:r>
        <w:rPr>
          <w:rFonts w:hint="default"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w:t>
      </w:r>
    </w:p>
    <w:p w14:paraId="32E97C37">
      <w:pPr>
        <w:spacing w:line="240" w:lineRule="auto"/>
        <w:ind w:firstLine="0" w:firstLineChars="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br w:type="page"/>
      </w:r>
    </w:p>
    <w:p w14:paraId="19B3771C">
      <w:pPr>
        <w:keepNext/>
        <w:keepLines/>
        <w:widowControl/>
        <w:suppressLineNumbers w:val="0"/>
        <w:spacing w:before="157" w:beforeLines="50" w:beforeAutospacing="0" w:after="157" w:afterLines="50" w:afterAutospacing="0" w:line="360" w:lineRule="auto"/>
        <w:ind w:left="0" w:right="0"/>
        <w:jc w:val="left"/>
        <w:outlineLvl w:val="1"/>
        <w:rPr>
          <w:rFonts w:hint="eastAsia" w:ascii="宋体" w:hAnsi="宋体" w:eastAsia="宋体" w:cs="宋体"/>
          <w:b/>
          <w:bCs/>
          <w:strike/>
          <w:dstrike w:val="0"/>
          <w:color w:val="000000" w:themeColor="text1"/>
          <w:kern w:val="44"/>
          <w:sz w:val="30"/>
          <w:szCs w:val="30"/>
          <w:highlight w:val="none"/>
          <w:lang w:val="en-US"/>
          <w14:textFill>
            <w14:solidFill>
              <w14:schemeClr w14:val="tx1"/>
            </w14:solidFill>
          </w14:textFill>
        </w:rPr>
      </w:pPr>
      <w:bookmarkStart w:id="81" w:name="_Toc17434"/>
      <w:r>
        <w:rPr>
          <w:rFonts w:hint="eastAsia" w:ascii="宋体" w:hAnsi="宋体" w:eastAsia="宋体" w:cs="宋体"/>
          <w:b/>
          <w:bCs/>
          <w:strike/>
          <w:dstrike w:val="0"/>
          <w:color w:val="000000" w:themeColor="text1"/>
          <w:kern w:val="44"/>
          <w:sz w:val="30"/>
          <w:szCs w:val="30"/>
          <w:highlight w:val="none"/>
          <w:lang w:val="en-US" w:eastAsia="zh-CN" w:bidi="ar-SA"/>
          <w14:textFill>
            <w14:solidFill>
              <w14:schemeClr w14:val="tx1"/>
            </w14:solidFill>
          </w14:textFill>
        </w:rPr>
        <w:t>附录4 建筑工程设计方案测试记录表</w:t>
      </w:r>
      <w:bookmarkEnd w:id="79"/>
      <w:bookmarkEnd w:id="81"/>
    </w:p>
    <w:p w14:paraId="168EE28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trike/>
          <w:dstrike w:val="0"/>
          <w:color w:val="000000" w:themeColor="text1"/>
          <w:sz w:val="28"/>
          <w:szCs w:val="28"/>
          <w:highlight w:val="none"/>
          <w:lang w:val="en-US"/>
          <w14:textFill>
            <w14:solidFill>
              <w14:schemeClr w14:val="tx1"/>
            </w14:solidFill>
          </w14:textFill>
        </w:rPr>
      </w:pPr>
      <w:r>
        <w:rPr>
          <w:rFonts w:hint="eastAsia" w:ascii="宋体" w:hAnsi="宋体" w:eastAsia="宋体" w:cs="宋体"/>
          <w:b/>
          <w:bCs/>
          <w:strike/>
          <w:dstrike w:val="0"/>
          <w:color w:val="000000" w:themeColor="text1"/>
          <w:kern w:val="2"/>
          <w:sz w:val="28"/>
          <w:szCs w:val="28"/>
          <w:highlight w:val="none"/>
          <w:lang w:val="en-US" w:eastAsia="zh-CN" w:bidi="ar"/>
          <w14:textFill>
            <w14:solidFill>
              <w14:schemeClr w14:val="tx1"/>
            </w14:solidFill>
          </w14:textFill>
        </w:rPr>
        <w:t>建筑工程设计方案测试记录表</w:t>
      </w:r>
    </w:p>
    <w:p w14:paraId="4531EBD0">
      <w:pPr>
        <w:keepNext w:val="0"/>
        <w:keepLines w:val="0"/>
        <w:widowControl w:val="0"/>
        <w:suppressLineNumbers w:val="0"/>
        <w:spacing w:before="0" w:beforeAutospacing="0" w:after="0" w:afterAutospacing="0"/>
        <w:ind w:left="0" w:right="0"/>
        <w:jc w:val="center"/>
        <w:rPr>
          <w:rFonts w:hint="eastAsia"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（本表宜装订放在设计投标文本文件的设计说明书前面）</w:t>
      </w:r>
    </w:p>
    <w:p w14:paraId="7C4F4D2D">
      <w:pPr>
        <w:keepNext w:val="0"/>
        <w:keepLines w:val="0"/>
        <w:widowControl w:val="0"/>
        <w:suppressLineNumbers w:val="0"/>
        <w:spacing w:before="0" w:beforeAutospacing="0" w:after="0" w:afterAutospacing="0"/>
        <w:ind w:left="0" w:right="0"/>
        <w:jc w:val="left"/>
        <w:rPr>
          <w:rFonts w:hint="eastAsia" w:ascii="宋体" w:hAnsi="宋体" w:eastAsia="宋体" w:cs="Times New Roman"/>
          <w:strike/>
          <w:dstrike w:val="0"/>
          <w:color w:val="000000" w:themeColor="text1"/>
          <w:highlight w:val="none"/>
          <w:lang w:val="en-US"/>
          <w14:textFill>
            <w14:solidFill>
              <w14:schemeClr w14:val="tx1"/>
            </w14:solidFill>
          </w14:textFill>
        </w:rPr>
      </w:pPr>
    </w:p>
    <w:tbl>
      <w:tblPr>
        <w:tblStyle w:val="15"/>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5"/>
        <w:gridCol w:w="4374"/>
        <w:gridCol w:w="1193"/>
        <w:gridCol w:w="2492"/>
      </w:tblGrid>
      <w:tr w14:paraId="363E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87040DF">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序号</w:t>
            </w: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4BC571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指标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30E987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单位</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BFB3A9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数值</w:t>
            </w:r>
          </w:p>
        </w:tc>
      </w:tr>
      <w:tr w14:paraId="7B98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68BF5C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4A6E7F36">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基地面积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64A8FE0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B35ED33">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38F0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4D6DF41C">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4BC87354">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建筑容积率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59E2491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343540DF">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FE9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2FCD925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5ECEDA4">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建筑密度</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E3AD0A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E01901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373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37D014F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5D8BFF1">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绿地率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F3DDEE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76B26AC">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588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2916EEB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63614DE7">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总建筑面积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9D9F35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3875BFF">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5503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4E45A0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8CDAC13">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地上建筑面积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C16281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5BEC44C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0483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7F1DB12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0417AA18">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地下建筑面积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B9F535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33D40EB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08C1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6ACC156C">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6D7DA6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室内停车位</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B502A4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BDB5184">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4CE2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5A3F11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DA3C62F">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室外停车位</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65DB662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3C3DE6F1">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5159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76180D68">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6821333C">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住宅总户数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499835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户</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88456A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7253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628B055C">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2D5C4AF">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90平方米以下户型住宅户数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5C55B5A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户</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346011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5D42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7BBA4C3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7C49208">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住宅</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47C5C8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3AF6E8F3">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4CF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2D20D86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DA6F0F7">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宾馆</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EA70D6F">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73DC6E3">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4ACF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2373D7D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69431747">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商业</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049AFFF">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5D98706C">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19D6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4A51FCB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A586216">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办公</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167CA9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A8A79D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1F4D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320FA0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565E403">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文教体卫</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A066F3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5584248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4F68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629000C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45852164">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工业仓储</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6AE041F8">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24F125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0A60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0BD5D3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298194B">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站场设施</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4B98AA3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CA8DD4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1EF0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264F6B8">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8B4AF3F">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18055E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306363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029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C4917C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4A34A9B">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A793DE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E87915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3E35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3A308A8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9DEE955">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2844C8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33C7D49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76AD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7676AAF">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4A15D8D4">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B528F4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8E5689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14AE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8D2D11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BD478BC">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942B22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467F1E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127A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088350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3C87D153">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建筑总高度</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CB00D0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4A12727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3AD8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74F6584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0D3F42B2">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地上层数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2CF99EC">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层</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73C9ECF">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4BA6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3DC7EA5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F90FE1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地下层数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1D80A5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层</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5EE52492">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0901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FC15D9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4B1B2493">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电梯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754E6C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台</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FFA089B">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AEB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73B7CB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0FAEFF00">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楼梯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E0FB41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樘</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8BE21DB">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5BFC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3E59F7DF">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0891974">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主入口朝向</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57D33D3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方向</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45F5E8B8">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6230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2B3DDAD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383DD3D6">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无日照采光的房间</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A2150D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F73D702">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6B8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B59EEB8">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EB1874F">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FA92BFE">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41846A37">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bl>
    <w:p w14:paraId="7240D461">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14:paraId="74F6151C">
      <w:pPr>
        <w:jc w:val="left"/>
        <w:rPr>
          <w:rFonts w:ascii="宋体" w:hAnsi="宋体" w:eastAsia="宋体" w:cs="Times New Roman"/>
          <w:strike w:val="0"/>
          <w:color w:val="000000" w:themeColor="text1"/>
          <w:highlight w:val="none"/>
          <w14:textFill>
            <w14:solidFill>
              <w14:schemeClr w14:val="tx1"/>
            </w14:solidFill>
          </w14:textFill>
        </w:rPr>
      </w:pPr>
    </w:p>
    <w:p w14:paraId="13010C75">
      <w:pPr>
        <w:jc w:val="center"/>
        <w:outlineLvl w:val="9"/>
        <w:rPr>
          <w:rFonts w:ascii="宋体" w:hAnsi="宋体" w:eastAsia="宋体" w:cs="Times New Roman"/>
          <w:b w:val="0"/>
          <w:bCs w:val="0"/>
          <w:color w:val="000000" w:themeColor="text1"/>
          <w:kern w:val="44"/>
          <w:sz w:val="44"/>
          <w:szCs w:val="44"/>
          <w:highlight w:val="none"/>
          <w:lang w:val="en-US" w:eastAsia="zh-CN" w:bidi="ar-SA"/>
          <w14:textFill>
            <w14:solidFill>
              <w14:schemeClr w14:val="tx1"/>
            </w14:solidFill>
          </w14:textFill>
        </w:rPr>
      </w:pPr>
      <w:r>
        <w:rPr>
          <w:rFonts w:ascii="宋体" w:hAnsi="宋体" w:eastAsia="宋体" w:cs="Times New Roman"/>
          <w:b w:val="0"/>
          <w:bCs w:val="0"/>
          <w:color w:val="000000" w:themeColor="text1"/>
          <w:kern w:val="44"/>
          <w:sz w:val="44"/>
          <w:szCs w:val="44"/>
          <w:highlight w:val="none"/>
          <w:lang w:val="en-US" w:eastAsia="zh-CN" w:bidi="ar-SA"/>
          <w14:textFill>
            <w14:solidFill>
              <w14:schemeClr w14:val="tx1"/>
            </w14:solidFill>
          </w14:textFill>
        </w:rPr>
        <w:br w:type="page"/>
      </w:r>
    </w:p>
    <w:p w14:paraId="0E4A6EF5">
      <w:pPr>
        <w:keepNext/>
        <w:keepLines/>
        <w:spacing w:before="157" w:beforeLines="50" w:after="157" w:afterLines="50" w:line="360" w:lineRule="auto"/>
        <w:outlineLvl w:val="1"/>
        <w:rPr>
          <w:rFonts w:hint="eastAsia" w:ascii="宋体" w:hAnsi="宋体" w:eastAsia="宋体" w:cs="宋体"/>
          <w:b/>
          <w:bCs/>
          <w:strike/>
          <w:color w:val="000000" w:themeColor="text1"/>
          <w:kern w:val="44"/>
          <w:sz w:val="30"/>
          <w:szCs w:val="30"/>
          <w:highlight w:val="none"/>
          <w:lang w:val="en-US" w:eastAsia="zh-CN" w:bidi="ar-SA"/>
          <w14:textFill>
            <w14:solidFill>
              <w14:schemeClr w14:val="tx1"/>
            </w14:solidFill>
          </w14:textFill>
        </w:rPr>
      </w:pPr>
      <w:bookmarkStart w:id="82" w:name="_Toc8687"/>
      <w:bookmarkStart w:id="83" w:name="_Toc28804"/>
      <w:r>
        <w:rPr>
          <w:rFonts w:hint="eastAsia" w:ascii="宋体" w:hAnsi="宋体" w:eastAsia="宋体" w:cs="宋体"/>
          <w:b/>
          <w:bCs/>
          <w:strike/>
          <w:color w:val="000000" w:themeColor="text1"/>
          <w:kern w:val="44"/>
          <w:sz w:val="30"/>
          <w:szCs w:val="30"/>
          <w:highlight w:val="none"/>
          <w:lang w:val="en-US" w:eastAsia="zh-CN" w:bidi="ar-SA"/>
          <w14:textFill>
            <w14:solidFill>
              <w14:schemeClr w14:val="tx1"/>
            </w14:solidFill>
          </w14:textFill>
        </w:rPr>
        <w:t>附件5勘察投标文件编制要求</w:t>
      </w:r>
      <w:bookmarkEnd w:id="80"/>
      <w:bookmarkEnd w:id="82"/>
      <w:bookmarkEnd w:id="83"/>
    </w:p>
    <w:p w14:paraId="7A351704">
      <w:pPr>
        <w:jc w:val="center"/>
        <w:rPr>
          <w:rFonts w:ascii="宋体" w:hAnsi="宋体" w:eastAsia="宋体" w:cs="Times New Roman"/>
          <w:b/>
          <w:bCs/>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sz w:val="28"/>
          <w:szCs w:val="28"/>
          <w:highlight w:val="none"/>
          <w14:textFill>
            <w14:solidFill>
              <w14:schemeClr w14:val="tx1"/>
            </w14:solidFill>
          </w14:textFill>
        </w:rPr>
        <w:t>勘察</w:t>
      </w:r>
      <w:r>
        <w:rPr>
          <w:rFonts w:hint="eastAsia" w:ascii="宋体" w:hAnsi="宋体" w:eastAsia="宋体" w:cs="Times New Roman"/>
          <w:b/>
          <w:bCs/>
          <w:strike/>
          <w:color w:val="000000" w:themeColor="text1"/>
          <w:sz w:val="28"/>
          <w:szCs w:val="28"/>
          <w:highlight w:val="none"/>
          <w14:textFill>
            <w14:solidFill>
              <w14:schemeClr w14:val="tx1"/>
            </w14:solidFill>
          </w14:textFill>
        </w:rPr>
        <w:t>投标文件编制要求</w:t>
      </w:r>
    </w:p>
    <w:p w14:paraId="41A5CDD6">
      <w:pPr>
        <w:spacing w:line="360" w:lineRule="auto"/>
        <w:jc w:val="center"/>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（只适用于勘察投标）</w:t>
      </w:r>
    </w:p>
    <w:p w14:paraId="177BEC81">
      <w:pPr>
        <w:spacing w:line="360" w:lineRule="auto"/>
        <w:jc w:val="center"/>
        <w:rPr>
          <w:rFonts w:ascii="宋体" w:hAnsi="宋体" w:eastAsia="宋体" w:cs="Times New Roman"/>
          <w:strike/>
          <w:color w:val="000000" w:themeColor="text1"/>
          <w:sz w:val="24"/>
          <w:highlight w:val="none"/>
          <w14:textFill>
            <w14:solidFill>
              <w14:schemeClr w14:val="tx1"/>
            </w14:solidFill>
          </w14:textFill>
        </w:rPr>
      </w:pPr>
    </w:p>
    <w:p w14:paraId="348CA0A8">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b/>
          <w:strike/>
          <w:color w:val="000000" w:themeColor="text1"/>
          <w:sz w:val="24"/>
          <w:highlight w:val="none"/>
          <w14:textFill>
            <w14:solidFill>
              <w14:schemeClr w14:val="tx1"/>
            </w14:solidFill>
          </w14:textFill>
        </w:rPr>
        <w:t>1</w:t>
      </w:r>
      <w:r>
        <w:rPr>
          <w:rFonts w:ascii="宋体" w:hAnsi="宋体" w:eastAsia="宋体" w:cs="Times New Roman"/>
          <w:b/>
          <w:bCs/>
          <w:strike/>
          <w:color w:val="000000" w:themeColor="text1"/>
          <w:sz w:val="24"/>
          <w:highlight w:val="none"/>
          <w14:textFill>
            <w14:solidFill>
              <w14:schemeClr w14:val="tx1"/>
            </w14:solidFill>
          </w14:textFill>
        </w:rPr>
        <w:t xml:space="preserve">      投标文件</w:t>
      </w:r>
    </w:p>
    <w:p w14:paraId="0BA1AC44">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0AC2E5B0">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1.1    </w:t>
      </w:r>
      <w:r>
        <w:rPr>
          <w:rFonts w:hint="eastAsia" w:ascii="宋体" w:hAnsi="宋体" w:eastAsia="宋体" w:cs="Times New Roman"/>
          <w:strike/>
          <w:color w:val="000000" w:themeColor="text1"/>
          <w:sz w:val="24"/>
          <w:highlight w:val="none"/>
          <w14:textFill>
            <w14:solidFill>
              <w14:schemeClr w14:val="tx1"/>
            </w14:solidFill>
          </w14:textFill>
        </w:rPr>
        <w:t>投标文件由下列资料组成。</w:t>
      </w:r>
    </w:p>
    <w:p w14:paraId="40D75905">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(a) 开标信封。</w:t>
      </w:r>
    </w:p>
    <w:p w14:paraId="47D208F5">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(b) 勘察方案。</w:t>
      </w:r>
    </w:p>
    <w:p w14:paraId="5722A83B">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(c) 资格审查文件（如果招标人要求提供）。</w:t>
      </w:r>
    </w:p>
    <w:p w14:paraId="2CCB0A85">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1E12E35E">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b/>
          <w:bCs/>
          <w:strike/>
          <w:color w:val="000000" w:themeColor="text1"/>
          <w:sz w:val="24"/>
          <w:highlight w:val="none"/>
          <w14:textFill>
            <w14:solidFill>
              <w14:schemeClr w14:val="tx1"/>
            </w14:solidFill>
          </w14:textFill>
        </w:rPr>
        <w:t xml:space="preserve">2      </w:t>
      </w:r>
      <w:r>
        <w:rPr>
          <w:rFonts w:hint="eastAsia" w:ascii="宋体" w:hAnsi="宋体" w:eastAsia="宋体" w:cs="Times New Roman"/>
          <w:b/>
          <w:bCs/>
          <w:strike/>
          <w:color w:val="000000" w:themeColor="text1"/>
          <w:sz w:val="24"/>
          <w:highlight w:val="none"/>
          <w14:textFill>
            <w14:solidFill>
              <w14:schemeClr w14:val="tx1"/>
            </w14:solidFill>
          </w14:textFill>
        </w:rPr>
        <w:t>保密要求</w:t>
      </w:r>
    </w:p>
    <w:p w14:paraId="7EC55A57">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07D860E1">
      <w:pPr>
        <w:spacing w:line="360" w:lineRule="auto"/>
        <w:ind w:left="821" w:hanging="820" w:hangingChars="342"/>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2.1    </w:t>
      </w:r>
      <w:r>
        <w:rPr>
          <w:rFonts w:hint="eastAsia" w:ascii="宋体" w:hAnsi="宋体" w:eastAsia="宋体" w:cs="Times New Roman"/>
          <w:strike/>
          <w:color w:val="000000" w:themeColor="text1"/>
          <w:sz w:val="24"/>
          <w:highlight w:val="none"/>
          <w14:textFill>
            <w14:solidFill>
              <w14:schemeClr w14:val="tx1"/>
            </w14:solidFill>
          </w14:textFill>
        </w:rPr>
        <w:t>投标文件必须隐匿投标人及专业技术人员的名称，除了《投标书》（格式见附录</w:t>
      </w:r>
      <w:r>
        <w:rPr>
          <w:rFonts w:ascii="宋体" w:hAnsi="宋体" w:eastAsia="宋体" w:cs="Times New Roman"/>
          <w:strike/>
          <w:color w:val="000000" w:themeColor="text1"/>
          <w:sz w:val="24"/>
          <w:highlight w:val="none"/>
          <w14:textFill>
            <w14:solidFill>
              <w14:schemeClr w14:val="tx1"/>
            </w14:solidFill>
          </w14:textFill>
        </w:rPr>
        <w:t>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72508CB5">
      <w:pPr>
        <w:spacing w:line="360" w:lineRule="auto"/>
        <w:ind w:left="410" w:hanging="410" w:hangingChars="171"/>
        <w:rPr>
          <w:rFonts w:ascii="宋体" w:hAnsi="宋体" w:eastAsia="宋体" w:cs="Times New Roman"/>
          <w:strike/>
          <w:color w:val="000000" w:themeColor="text1"/>
          <w:sz w:val="24"/>
          <w:highlight w:val="none"/>
          <w14:textFill>
            <w14:solidFill>
              <w14:schemeClr w14:val="tx1"/>
            </w14:solidFill>
          </w14:textFill>
        </w:rPr>
      </w:pPr>
    </w:p>
    <w:p w14:paraId="5E133337">
      <w:pPr>
        <w:spacing w:line="360" w:lineRule="auto"/>
        <w:jc w:val="left"/>
        <w:rPr>
          <w:rFonts w:ascii="宋体" w:hAnsi="宋体" w:eastAsia="宋体" w:cs="Times New Roman"/>
          <w:b/>
          <w:bCs/>
          <w:strike/>
          <w:color w:val="000000" w:themeColor="text1"/>
          <w:sz w:val="24"/>
          <w:highlight w:val="none"/>
          <w14:textFill>
            <w14:solidFill>
              <w14:schemeClr w14:val="tx1"/>
            </w14:solidFill>
          </w14:textFill>
        </w:rPr>
      </w:pPr>
      <w:r>
        <w:rPr>
          <w:rFonts w:ascii="宋体" w:hAnsi="宋体" w:eastAsia="宋体" w:cs="Times New Roman"/>
          <w:b/>
          <w:bCs/>
          <w:strike/>
          <w:color w:val="000000" w:themeColor="text1"/>
          <w:sz w:val="24"/>
          <w:highlight w:val="none"/>
          <w14:textFill>
            <w14:solidFill>
              <w14:schemeClr w14:val="tx1"/>
            </w14:solidFill>
          </w14:textFill>
        </w:rPr>
        <w:t xml:space="preserve">3      </w:t>
      </w:r>
      <w:r>
        <w:rPr>
          <w:rFonts w:hint="eastAsia" w:ascii="宋体" w:hAnsi="宋体" w:eastAsia="宋体" w:cs="Times New Roman"/>
          <w:b/>
          <w:bCs/>
          <w:strike/>
          <w:color w:val="000000" w:themeColor="text1"/>
          <w:sz w:val="24"/>
          <w:highlight w:val="none"/>
          <w14:textFill>
            <w14:solidFill>
              <w14:schemeClr w14:val="tx1"/>
            </w14:solidFill>
          </w14:textFill>
        </w:rPr>
        <w:t>开标信封</w:t>
      </w:r>
    </w:p>
    <w:p w14:paraId="23CB9294">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03E1D4EF">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3.1    </w:t>
      </w:r>
      <w:r>
        <w:rPr>
          <w:rFonts w:hint="eastAsia" w:ascii="宋体" w:hAnsi="宋体" w:eastAsia="宋体" w:cs="Times New Roman"/>
          <w:strike/>
          <w:color w:val="000000" w:themeColor="text1"/>
          <w:sz w:val="24"/>
          <w:highlight w:val="none"/>
          <w14:textFill>
            <w14:solidFill>
              <w14:schemeClr w14:val="tx1"/>
            </w14:solidFill>
          </w14:textFill>
        </w:rPr>
        <w:t>开标信封内附填妥并签字盖章的《投标书》（格式见附录</w:t>
      </w:r>
      <w:r>
        <w:rPr>
          <w:rFonts w:ascii="宋体" w:hAnsi="宋体" w:eastAsia="宋体" w:cs="Times New Roman"/>
          <w:strike/>
          <w:color w:val="000000" w:themeColor="text1"/>
          <w:sz w:val="24"/>
          <w:highlight w:val="none"/>
          <w14:textFill>
            <w14:solidFill>
              <w14:schemeClr w14:val="tx1"/>
            </w14:solidFill>
          </w14:textFill>
        </w:rPr>
        <w:t>6），联合体同时附填妥并签字盖章的《联合体投标协议》（格式见附录7）。未设资格审查环节的项目，还应提供填妥并盖章的《投标人声明》（格式见附录8</w:t>
      </w:r>
      <w:r>
        <w:rPr>
          <w:rFonts w:hint="eastAsia" w:ascii="宋体" w:hAnsi="宋体" w:eastAsia="宋体" w:cs="Times New Roman"/>
          <w:strike/>
          <w:color w:val="000000" w:themeColor="text1"/>
          <w:sz w:val="24"/>
          <w:highlight w:val="none"/>
          <w14:textFill>
            <w14:solidFill>
              <w14:schemeClr w14:val="tx1"/>
            </w14:solidFill>
          </w14:textFill>
        </w:rPr>
        <w:t>）。</w:t>
      </w:r>
    </w:p>
    <w:p w14:paraId="00FD12E2">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2B8A386C">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1FDEDEBC">
      <w:pPr>
        <w:spacing w:line="360" w:lineRule="auto"/>
        <w:rPr>
          <w:rFonts w:ascii="宋体" w:hAnsi="宋体" w:eastAsia="宋体" w:cs="Times New Roman"/>
          <w:b/>
          <w:strike/>
          <w:color w:val="000000" w:themeColor="text1"/>
          <w:sz w:val="24"/>
          <w:highlight w:val="none"/>
          <w14:textFill>
            <w14:solidFill>
              <w14:schemeClr w14:val="tx1"/>
            </w14:solidFill>
          </w14:textFill>
        </w:rPr>
      </w:pPr>
      <w:r>
        <w:rPr>
          <w:rFonts w:ascii="宋体" w:hAnsi="宋体" w:eastAsia="宋体" w:cs="Times New Roman"/>
          <w:b/>
          <w:strike/>
          <w:color w:val="000000" w:themeColor="text1"/>
          <w:sz w:val="24"/>
          <w:highlight w:val="none"/>
          <w14:textFill>
            <w14:solidFill>
              <w14:schemeClr w14:val="tx1"/>
            </w14:solidFill>
          </w14:textFill>
        </w:rPr>
        <w:t xml:space="preserve">4      </w:t>
      </w:r>
      <w:r>
        <w:rPr>
          <w:rFonts w:hint="eastAsia" w:ascii="宋体" w:hAnsi="宋体" w:eastAsia="宋体" w:cs="Times New Roman"/>
          <w:b/>
          <w:strike/>
          <w:color w:val="000000" w:themeColor="text1"/>
          <w:sz w:val="24"/>
          <w:highlight w:val="none"/>
          <w14:textFill>
            <w14:solidFill>
              <w14:schemeClr w14:val="tx1"/>
            </w14:solidFill>
          </w14:textFill>
        </w:rPr>
        <w:t>勘察方案</w:t>
      </w:r>
    </w:p>
    <w:p w14:paraId="1A834E5F">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432D9F3A">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4.1    </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勘察方案内容（文件</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大小不得超过500M）：</w:t>
      </w:r>
    </w:p>
    <w:p w14:paraId="2BDBC9EC">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(a) </w:t>
      </w:r>
      <w:r>
        <w:rPr>
          <w:rFonts w:hint="eastAsia" w:ascii="宋体" w:hAnsi="宋体" w:eastAsia="宋体" w:cs="Times New Roman"/>
          <w:strike/>
          <w:color w:val="000000" w:themeColor="text1"/>
          <w:sz w:val="24"/>
          <w:highlight w:val="none"/>
          <w14:textFill>
            <w14:solidFill>
              <w14:schemeClr w14:val="tx1"/>
            </w14:solidFill>
          </w14:textFill>
        </w:rPr>
        <w:t>首页：写明项目名称、编制年月；</w:t>
      </w:r>
    </w:p>
    <w:p w14:paraId="774AE684">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   (b) 目录；</w:t>
      </w:r>
    </w:p>
    <w:p w14:paraId="0340CE43">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（c）</w:t>
      </w:r>
      <w:r>
        <w:rPr>
          <w:rFonts w:hint="eastAsia" w:ascii="Calibri" w:hAnsi="宋体" w:eastAsia="宋体" w:cs="Times New Roman"/>
          <w:strike/>
          <w:color w:val="000000" w:themeColor="text1"/>
          <w:sz w:val="24"/>
          <w:highlight w:val="none"/>
          <w14:textFill>
            <w14:solidFill>
              <w14:schemeClr w14:val="tx1"/>
            </w14:solidFill>
          </w14:textFill>
        </w:rPr>
        <w:t>《勘察设计费报价表》（见附录</w:t>
      </w:r>
      <w:r>
        <w:rPr>
          <w:rFonts w:ascii="Calibri" w:hAnsi="宋体" w:eastAsia="宋体" w:cs="Times New Roman"/>
          <w:strike/>
          <w:color w:val="000000" w:themeColor="text1"/>
          <w:sz w:val="24"/>
          <w:highlight w:val="none"/>
          <w14:textFill>
            <w14:solidFill>
              <w14:schemeClr w14:val="tx1"/>
            </w14:solidFill>
          </w14:textFill>
        </w:rPr>
        <w:t>3</w:t>
      </w:r>
      <w:r>
        <w:rPr>
          <w:rFonts w:hint="eastAsia" w:ascii="Calibri" w:hAnsi="宋体" w:eastAsia="宋体" w:cs="Times New Roman"/>
          <w:strike/>
          <w:color w:val="000000" w:themeColor="text1"/>
          <w:sz w:val="24"/>
          <w:highlight w:val="none"/>
          <w14:textFill>
            <w14:solidFill>
              <w14:schemeClr w14:val="tx1"/>
            </w14:solidFill>
          </w14:textFill>
        </w:rPr>
        <w:t>）</w:t>
      </w:r>
      <w:r>
        <w:rPr>
          <w:rFonts w:hint="eastAsia" w:ascii="宋体" w:hAnsi="宋体" w:eastAsia="宋体" w:cs="Times New Roman"/>
          <w:strike/>
          <w:color w:val="000000" w:themeColor="text1"/>
          <w:sz w:val="24"/>
          <w:highlight w:val="none"/>
          <w14:textFill>
            <w14:solidFill>
              <w14:schemeClr w14:val="tx1"/>
            </w14:solidFill>
          </w14:textFill>
        </w:rPr>
        <w:t>；</w:t>
      </w:r>
      <w:r>
        <w:rPr>
          <w:rFonts w:ascii="宋体" w:hAnsi="宋体" w:eastAsia="宋体" w:cs="Times New Roman"/>
          <w:strike/>
          <w:color w:val="000000" w:themeColor="text1"/>
          <w:sz w:val="24"/>
          <w:highlight w:val="none"/>
          <w14:textFill>
            <w14:solidFill>
              <w14:schemeClr w14:val="tx1"/>
            </w14:solidFill>
          </w14:textFill>
        </w:rPr>
        <w:t xml:space="preserve"> </w:t>
      </w:r>
    </w:p>
    <w:p w14:paraId="180EDA4D">
      <w:pPr>
        <w:spacing w:line="360" w:lineRule="auto"/>
        <w:ind w:left="818" w:hanging="818" w:hangingChars="341"/>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(d) </w:t>
      </w:r>
      <w:r>
        <w:rPr>
          <w:rFonts w:hint="eastAsia" w:ascii="宋体" w:hAnsi="宋体" w:eastAsia="宋体" w:cs="Times New Roman"/>
          <w:strike/>
          <w:color w:val="000000" w:themeColor="text1"/>
          <w:sz w:val="24"/>
          <w:highlight w:val="none"/>
          <w14:textFill>
            <w14:solidFill>
              <w14:schemeClr w14:val="tx1"/>
            </w14:solidFill>
          </w14:textFill>
        </w:rPr>
        <w:t>除上述报价外，如果有另需付费的项目，应详细列明勘察工作和收费标准（内容、数量、单价、合价）；</w:t>
      </w:r>
      <w:r>
        <w:rPr>
          <w:rFonts w:ascii="宋体" w:hAnsi="宋体" w:eastAsia="宋体" w:cs="Times New Roman"/>
          <w:strike/>
          <w:color w:val="000000" w:themeColor="text1"/>
          <w:sz w:val="24"/>
          <w:highlight w:val="none"/>
          <w14:textFill>
            <w14:solidFill>
              <w14:schemeClr w14:val="tx1"/>
            </w14:solidFill>
          </w14:textFill>
        </w:rPr>
        <w:t xml:space="preserve"> </w:t>
      </w:r>
    </w:p>
    <w:p w14:paraId="0B14AD64">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(e) </w:t>
      </w:r>
      <w:r>
        <w:rPr>
          <w:rFonts w:hint="eastAsia" w:ascii="宋体" w:hAnsi="宋体" w:eastAsia="宋体" w:cs="Times New Roman"/>
          <w:strike/>
          <w:color w:val="000000" w:themeColor="text1"/>
          <w:sz w:val="24"/>
          <w:highlight w:val="none"/>
          <w14:textFill>
            <w14:solidFill>
              <w14:schemeClr w14:val="tx1"/>
            </w14:solidFill>
          </w14:textFill>
        </w:rPr>
        <w:t>针对项目场地采用的原位试验种类。勘察方案（勘察手段、方法及工艺）及建议，本次勘察的难点及建议；</w:t>
      </w:r>
    </w:p>
    <w:p w14:paraId="044B0D3D">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(f) </w:t>
      </w:r>
      <w:r>
        <w:rPr>
          <w:rFonts w:hint="eastAsia" w:ascii="宋体" w:hAnsi="宋体" w:eastAsia="宋体" w:cs="Times New Roman"/>
          <w:strike/>
          <w:color w:val="000000" w:themeColor="text1"/>
          <w:sz w:val="24"/>
          <w:highlight w:val="none"/>
          <w14:textFill>
            <w14:solidFill>
              <w14:schemeClr w14:val="tx1"/>
            </w14:solidFill>
          </w14:textFill>
        </w:rPr>
        <w:t>勘察工作流程和相应的工期进度计划；</w:t>
      </w:r>
    </w:p>
    <w:p w14:paraId="49B14867">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(g) </w:t>
      </w:r>
      <w:r>
        <w:rPr>
          <w:rFonts w:hint="eastAsia" w:ascii="宋体" w:hAnsi="宋体" w:eastAsia="宋体" w:cs="Times New Roman"/>
          <w:strike/>
          <w:color w:val="000000" w:themeColor="text1"/>
          <w:sz w:val="24"/>
          <w:highlight w:val="none"/>
          <w14:textFill>
            <w14:solidFill>
              <w14:schemeClr w14:val="tx1"/>
            </w14:solidFill>
          </w14:textFill>
        </w:rPr>
        <w:t>投入本项目的人数、工种、设备；</w:t>
      </w:r>
    </w:p>
    <w:p w14:paraId="20F2787B">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(h) </w:t>
      </w:r>
      <w:r>
        <w:rPr>
          <w:rFonts w:hint="eastAsia" w:ascii="宋体" w:hAnsi="宋体" w:eastAsia="宋体" w:cs="Times New Roman"/>
          <w:strike/>
          <w:color w:val="000000" w:themeColor="text1"/>
          <w:sz w:val="24"/>
          <w:highlight w:val="none"/>
          <w14:textFill>
            <w14:solidFill>
              <w14:schemeClr w14:val="tx1"/>
            </w14:solidFill>
          </w14:textFill>
        </w:rPr>
        <w:t>勘察报告综合评价深度，勘察成果文件内容目录；</w:t>
      </w:r>
    </w:p>
    <w:p w14:paraId="3854D54F">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(i) </w:t>
      </w:r>
      <w:r>
        <w:rPr>
          <w:rFonts w:hint="eastAsia" w:ascii="宋体" w:hAnsi="宋体" w:eastAsia="宋体" w:cs="Times New Roman"/>
          <w:strike/>
          <w:color w:val="000000" w:themeColor="text1"/>
          <w:sz w:val="24"/>
          <w:highlight w:val="none"/>
          <w14:textFill>
            <w14:solidFill>
              <w14:schemeClr w14:val="tx1"/>
            </w14:solidFill>
          </w14:textFill>
        </w:rPr>
        <w:t>投标人掌握的勘察工作有关的法律法规、标准、规范一览表；</w:t>
      </w:r>
    </w:p>
    <w:p w14:paraId="77507DDD">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(j) </w:t>
      </w:r>
      <w:r>
        <w:rPr>
          <w:rFonts w:hint="eastAsia" w:ascii="宋体" w:hAnsi="宋体" w:eastAsia="宋体" w:cs="Times New Roman"/>
          <w:strike/>
          <w:color w:val="000000" w:themeColor="text1"/>
          <w:sz w:val="24"/>
          <w:highlight w:val="none"/>
          <w14:textFill>
            <w14:solidFill>
              <w14:schemeClr w14:val="tx1"/>
            </w14:solidFill>
          </w14:textFill>
        </w:rPr>
        <w:t>需要建设单位、设计单位配合的事项；</w:t>
      </w:r>
    </w:p>
    <w:p w14:paraId="3B1A0011">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(k) </w:t>
      </w:r>
      <w:r>
        <w:rPr>
          <w:rFonts w:hint="eastAsia" w:ascii="宋体" w:hAnsi="宋体" w:eastAsia="宋体" w:cs="Times New Roman"/>
          <w:strike/>
          <w:color w:val="000000" w:themeColor="text1"/>
          <w:sz w:val="24"/>
          <w:highlight w:val="none"/>
          <w14:textFill>
            <w14:solidFill>
              <w14:schemeClr w14:val="tx1"/>
            </w14:solidFill>
          </w14:textFill>
        </w:rPr>
        <w:t>发生追记行为的相应赔偿办法；</w:t>
      </w:r>
    </w:p>
    <w:p w14:paraId="72AEE385">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(l) </w:t>
      </w:r>
      <w:r>
        <w:rPr>
          <w:rFonts w:hint="eastAsia" w:ascii="宋体" w:hAnsi="宋体" w:eastAsia="宋体" w:cs="Times New Roman"/>
          <w:strike/>
          <w:color w:val="000000" w:themeColor="text1"/>
          <w:sz w:val="24"/>
          <w:highlight w:val="none"/>
          <w14:textFill>
            <w14:solidFill>
              <w14:schemeClr w14:val="tx1"/>
            </w14:solidFill>
          </w14:textFill>
        </w:rPr>
        <w:t>投标人参与施工验槽，解决工程设计和施工中与勘察工作有关问题的服务承诺、响应时间、相关费用。</w:t>
      </w:r>
    </w:p>
    <w:p w14:paraId="2F65A5CC">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(m) </w:t>
      </w:r>
      <w:r>
        <w:rPr>
          <w:rFonts w:hint="eastAsia" w:ascii="宋体" w:hAnsi="宋体" w:eastAsia="宋体" w:cs="Times New Roman"/>
          <w:strike/>
          <w:color w:val="000000" w:themeColor="text1"/>
          <w:sz w:val="24"/>
          <w:highlight w:val="none"/>
          <w14:textFill>
            <w14:solidFill>
              <w14:schemeClr w14:val="tx1"/>
            </w14:solidFill>
          </w14:textFill>
        </w:rPr>
        <w:t>技术培训和职业道德教育情况。</w:t>
      </w:r>
    </w:p>
    <w:p w14:paraId="5CC59175">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(n) </w:t>
      </w:r>
      <w:r>
        <w:rPr>
          <w:rFonts w:hint="eastAsia" w:ascii="宋体" w:hAnsi="宋体" w:eastAsia="宋体" w:cs="Times New Roman"/>
          <w:strike/>
          <w:color w:val="000000" w:themeColor="text1"/>
          <w:sz w:val="24"/>
          <w:highlight w:val="none"/>
          <w14:textFill>
            <w14:solidFill>
              <w14:schemeClr w14:val="tx1"/>
            </w14:solidFill>
          </w14:textFill>
        </w:rPr>
        <w:t>以往完工项目的资料分类编目、装订、归档保存的情况。</w:t>
      </w:r>
    </w:p>
    <w:p w14:paraId="76944446">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46B11D00">
      <w:pPr>
        <w:spacing w:line="360" w:lineRule="auto"/>
        <w:jc w:val="left"/>
        <w:rPr>
          <w:rFonts w:ascii="宋体" w:hAnsi="宋体" w:eastAsia="宋体" w:cs="Times New Roman"/>
          <w:b/>
          <w:bCs/>
          <w:strike/>
          <w:color w:val="000000" w:themeColor="text1"/>
          <w:sz w:val="24"/>
          <w:highlight w:val="none"/>
          <w14:textFill>
            <w14:solidFill>
              <w14:schemeClr w14:val="tx1"/>
            </w14:solidFill>
          </w14:textFill>
        </w:rPr>
      </w:pPr>
      <w:r>
        <w:rPr>
          <w:rFonts w:ascii="宋体" w:hAnsi="宋体" w:eastAsia="宋体" w:cs="Times New Roman"/>
          <w:b/>
          <w:bCs/>
          <w:strike/>
          <w:color w:val="000000" w:themeColor="text1"/>
          <w:sz w:val="24"/>
          <w:highlight w:val="none"/>
          <w14:textFill>
            <w14:solidFill>
              <w14:schemeClr w14:val="tx1"/>
            </w14:solidFill>
          </w14:textFill>
        </w:rPr>
        <w:t xml:space="preserve">5   </w:t>
      </w:r>
      <w:r>
        <w:rPr>
          <w:rFonts w:hint="eastAsia" w:ascii="宋体" w:hAnsi="宋体" w:eastAsia="宋体" w:cs="Times New Roman"/>
          <w:b/>
          <w:bCs/>
          <w:strike/>
          <w:color w:val="000000" w:themeColor="text1"/>
          <w:sz w:val="24"/>
          <w:highlight w:val="none"/>
          <w14:textFill>
            <w14:solidFill>
              <w14:schemeClr w14:val="tx1"/>
            </w14:solidFill>
          </w14:textFill>
        </w:rPr>
        <w:t>资格审查文件（如有）</w:t>
      </w:r>
    </w:p>
    <w:p w14:paraId="50A3A8F0">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p>
    <w:p w14:paraId="22A7E0C5">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5.1   </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资格审查文件内容：</w:t>
      </w:r>
    </w:p>
    <w:p w14:paraId="1055E972">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   (a) 目录；</w:t>
      </w:r>
    </w:p>
    <w:p w14:paraId="7D935145">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   (b) 填妥并签字盖章的《投标书》（投标人无需提供，评标委员会根据</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“开标</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信封</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”中</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的《</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投标书</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进行</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评审</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投标人</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再次</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提供且不一致的，以</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“开标</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信封</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”中</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的《</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投标书</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为准）；</w:t>
      </w:r>
    </w:p>
    <w:p w14:paraId="5BEFB1C5">
      <w:pPr>
        <w:widowControl w:val="0"/>
        <w:spacing w:line="360" w:lineRule="auto"/>
        <w:ind w:firstLine="360" w:firstLineChars="15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(c) </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填妥并签字盖章的《投标人声明》（格式见附录</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8）；</w:t>
      </w:r>
    </w:p>
    <w:p w14:paraId="4F755476">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(d) 填妥并签字盖章的《联合体投标协议》（联合体投标人提供）（</w:t>
      </w:r>
      <w:r>
        <w:rPr>
          <w:rFonts w:hint="eastAsia" w:ascii="Calibri" w:hAnsi="宋体" w:eastAsia="宋体" w:cs="Times New Roman"/>
          <w:strike/>
          <w:color w:val="000000" w:themeColor="text1"/>
          <w:sz w:val="24"/>
          <w:highlight w:val="none"/>
          <w14:textFill>
            <w14:solidFill>
              <w14:schemeClr w14:val="tx1"/>
            </w14:solidFill>
          </w14:textFill>
        </w:rPr>
        <w:t>投标人无需</w:t>
      </w:r>
      <w:r>
        <w:rPr>
          <w:rFonts w:ascii="Calibri" w:hAnsi="宋体" w:eastAsia="宋体" w:cs="Times New Roman"/>
          <w:strike/>
          <w:color w:val="000000" w:themeColor="text1"/>
          <w:sz w:val="24"/>
          <w:highlight w:val="none"/>
          <w14:textFill>
            <w14:solidFill>
              <w14:schemeClr w14:val="tx1"/>
            </w14:solidFill>
          </w14:textFill>
        </w:rPr>
        <w:t>提供，评标委员会根据</w:t>
      </w:r>
      <w:r>
        <w:rPr>
          <w:rFonts w:hint="eastAsia" w:ascii="Calibri" w:hAnsi="宋体" w:eastAsia="宋体" w:cs="Times New Roman"/>
          <w:strike/>
          <w:color w:val="000000" w:themeColor="text1"/>
          <w:sz w:val="24"/>
          <w:highlight w:val="none"/>
          <w14:textFill>
            <w14:solidFill>
              <w14:schemeClr w14:val="tx1"/>
            </w14:solidFill>
          </w14:textFill>
        </w:rPr>
        <w:t>“开标</w:t>
      </w:r>
      <w:r>
        <w:rPr>
          <w:rFonts w:ascii="Calibri" w:hAnsi="宋体" w:eastAsia="宋体" w:cs="Times New Roman"/>
          <w:strike/>
          <w:color w:val="000000" w:themeColor="text1"/>
          <w:sz w:val="24"/>
          <w:highlight w:val="none"/>
          <w14:textFill>
            <w14:solidFill>
              <w14:schemeClr w14:val="tx1"/>
            </w14:solidFill>
          </w14:textFill>
        </w:rPr>
        <w:t>信封</w:t>
      </w:r>
      <w:r>
        <w:rPr>
          <w:rFonts w:hint="eastAsia" w:ascii="Calibri" w:hAnsi="宋体" w:eastAsia="宋体" w:cs="Times New Roman"/>
          <w:strike/>
          <w:color w:val="000000" w:themeColor="text1"/>
          <w:sz w:val="24"/>
          <w:highlight w:val="none"/>
          <w14:textFill>
            <w14:solidFill>
              <w14:schemeClr w14:val="tx1"/>
            </w14:solidFill>
          </w14:textFill>
        </w:rPr>
        <w:t>”中</w:t>
      </w:r>
      <w:r>
        <w:rPr>
          <w:rFonts w:ascii="Calibri" w:hAnsi="宋体" w:eastAsia="宋体" w:cs="Times New Roman"/>
          <w:strike/>
          <w:color w:val="000000" w:themeColor="text1"/>
          <w:sz w:val="24"/>
          <w:highlight w:val="none"/>
          <w14:textFill>
            <w14:solidFill>
              <w14:schemeClr w14:val="tx1"/>
            </w14:solidFill>
          </w14:textFill>
        </w:rPr>
        <w:t>的《</w:t>
      </w:r>
      <w:r>
        <w:rPr>
          <w:rFonts w:hint="eastAsia" w:ascii="宋体" w:hAnsi="宋体" w:eastAsia="宋体" w:cs="Times New Roman"/>
          <w:strike/>
          <w:color w:val="000000" w:themeColor="text1"/>
          <w:sz w:val="24"/>
          <w:highlight w:val="none"/>
          <w14:textFill>
            <w14:solidFill>
              <w14:schemeClr w14:val="tx1"/>
            </w14:solidFill>
          </w14:textFill>
        </w:rPr>
        <w:t>联合体投标协议</w:t>
      </w:r>
      <w:r>
        <w:rPr>
          <w:rFonts w:ascii="Calibri" w:hAnsi="宋体" w:eastAsia="宋体" w:cs="Times New Roman"/>
          <w:strike/>
          <w:color w:val="000000" w:themeColor="text1"/>
          <w:sz w:val="24"/>
          <w:highlight w:val="none"/>
          <w14:textFill>
            <w14:solidFill>
              <w14:schemeClr w14:val="tx1"/>
            </w14:solidFill>
          </w14:textFill>
        </w:rPr>
        <w:t>》</w:t>
      </w:r>
      <w:r>
        <w:rPr>
          <w:rFonts w:hint="eastAsia" w:ascii="Calibri" w:hAnsi="宋体" w:eastAsia="宋体" w:cs="Times New Roman"/>
          <w:strike/>
          <w:color w:val="000000" w:themeColor="text1"/>
          <w:sz w:val="24"/>
          <w:highlight w:val="none"/>
          <w14:textFill>
            <w14:solidFill>
              <w14:schemeClr w14:val="tx1"/>
            </w14:solidFill>
          </w14:textFill>
        </w:rPr>
        <w:t>进行</w:t>
      </w:r>
      <w:r>
        <w:rPr>
          <w:rFonts w:ascii="Calibri" w:hAnsi="宋体" w:eastAsia="宋体" w:cs="Times New Roman"/>
          <w:strike/>
          <w:color w:val="000000" w:themeColor="text1"/>
          <w:sz w:val="24"/>
          <w:highlight w:val="none"/>
          <w14:textFill>
            <w14:solidFill>
              <w14:schemeClr w14:val="tx1"/>
            </w14:solidFill>
          </w14:textFill>
        </w:rPr>
        <w:t>评审</w:t>
      </w:r>
      <w:r>
        <w:rPr>
          <w:rFonts w:hint="eastAsia" w:ascii="Calibri" w:hAnsi="宋体" w:eastAsia="宋体" w:cs="Times New Roman"/>
          <w:strike/>
          <w:color w:val="000000" w:themeColor="text1"/>
          <w:sz w:val="24"/>
          <w:highlight w:val="none"/>
          <w14:textFill>
            <w14:solidFill>
              <w14:schemeClr w14:val="tx1"/>
            </w14:solidFill>
          </w14:textFill>
        </w:rPr>
        <w:t>。</w:t>
      </w:r>
      <w:r>
        <w:rPr>
          <w:rFonts w:ascii="Calibri" w:hAnsi="宋体" w:eastAsia="宋体" w:cs="Times New Roman"/>
          <w:strike/>
          <w:color w:val="000000" w:themeColor="text1"/>
          <w:sz w:val="24"/>
          <w:highlight w:val="none"/>
          <w14:textFill>
            <w14:solidFill>
              <w14:schemeClr w14:val="tx1"/>
            </w14:solidFill>
          </w14:textFill>
        </w:rPr>
        <w:t>投标人</w:t>
      </w:r>
      <w:r>
        <w:rPr>
          <w:rFonts w:hint="eastAsia" w:ascii="Calibri" w:hAnsi="宋体" w:eastAsia="宋体" w:cs="Times New Roman"/>
          <w:strike/>
          <w:color w:val="000000" w:themeColor="text1"/>
          <w:sz w:val="24"/>
          <w:highlight w:val="none"/>
          <w14:textFill>
            <w14:solidFill>
              <w14:schemeClr w14:val="tx1"/>
            </w14:solidFill>
          </w14:textFill>
        </w:rPr>
        <w:t>再次</w:t>
      </w:r>
      <w:r>
        <w:rPr>
          <w:rFonts w:ascii="Calibri" w:hAnsi="宋体" w:eastAsia="宋体" w:cs="Times New Roman"/>
          <w:strike/>
          <w:color w:val="000000" w:themeColor="text1"/>
          <w:sz w:val="24"/>
          <w:highlight w:val="none"/>
          <w14:textFill>
            <w14:solidFill>
              <w14:schemeClr w14:val="tx1"/>
            </w14:solidFill>
          </w14:textFill>
        </w:rPr>
        <w:t>提供且不一致的，以</w:t>
      </w:r>
      <w:r>
        <w:rPr>
          <w:rFonts w:hint="eastAsia" w:ascii="Calibri" w:hAnsi="宋体" w:eastAsia="宋体" w:cs="Times New Roman"/>
          <w:strike/>
          <w:color w:val="000000" w:themeColor="text1"/>
          <w:sz w:val="24"/>
          <w:highlight w:val="none"/>
          <w14:textFill>
            <w14:solidFill>
              <w14:schemeClr w14:val="tx1"/>
            </w14:solidFill>
          </w14:textFill>
        </w:rPr>
        <w:t>“开标</w:t>
      </w:r>
      <w:r>
        <w:rPr>
          <w:rFonts w:ascii="Calibri" w:hAnsi="宋体" w:eastAsia="宋体" w:cs="Times New Roman"/>
          <w:strike/>
          <w:color w:val="000000" w:themeColor="text1"/>
          <w:sz w:val="24"/>
          <w:highlight w:val="none"/>
          <w14:textFill>
            <w14:solidFill>
              <w14:schemeClr w14:val="tx1"/>
            </w14:solidFill>
          </w14:textFill>
        </w:rPr>
        <w:t>信封</w:t>
      </w:r>
      <w:r>
        <w:rPr>
          <w:rFonts w:hint="eastAsia" w:ascii="Calibri" w:hAnsi="宋体" w:eastAsia="宋体" w:cs="Times New Roman"/>
          <w:strike/>
          <w:color w:val="000000" w:themeColor="text1"/>
          <w:sz w:val="24"/>
          <w:highlight w:val="none"/>
          <w14:textFill>
            <w14:solidFill>
              <w14:schemeClr w14:val="tx1"/>
            </w14:solidFill>
          </w14:textFill>
        </w:rPr>
        <w:t>”中</w:t>
      </w:r>
      <w:r>
        <w:rPr>
          <w:rFonts w:ascii="Calibri" w:hAnsi="宋体" w:eastAsia="宋体" w:cs="Times New Roman"/>
          <w:strike/>
          <w:color w:val="000000" w:themeColor="text1"/>
          <w:sz w:val="24"/>
          <w:highlight w:val="none"/>
          <w14:textFill>
            <w14:solidFill>
              <w14:schemeClr w14:val="tx1"/>
            </w14:solidFill>
          </w14:textFill>
        </w:rPr>
        <w:t>的《</w:t>
      </w:r>
      <w:r>
        <w:rPr>
          <w:rFonts w:hint="eastAsia" w:ascii="宋体" w:hAnsi="宋体" w:eastAsia="宋体" w:cs="Times New Roman"/>
          <w:strike/>
          <w:color w:val="000000" w:themeColor="text1"/>
          <w:sz w:val="24"/>
          <w:highlight w:val="none"/>
          <w14:textFill>
            <w14:solidFill>
              <w14:schemeClr w14:val="tx1"/>
            </w14:solidFill>
          </w14:textFill>
        </w:rPr>
        <w:t>联合体投标协议</w:t>
      </w:r>
      <w:r>
        <w:rPr>
          <w:rFonts w:ascii="Calibri" w:hAnsi="宋体" w:eastAsia="宋体" w:cs="Times New Roman"/>
          <w:strike/>
          <w:color w:val="000000" w:themeColor="text1"/>
          <w:sz w:val="24"/>
          <w:highlight w:val="none"/>
          <w14:textFill>
            <w14:solidFill>
              <w14:schemeClr w14:val="tx1"/>
            </w14:solidFill>
          </w14:textFill>
        </w:rPr>
        <w:t>》</w:t>
      </w:r>
      <w:r>
        <w:rPr>
          <w:rFonts w:hint="eastAsia" w:ascii="Calibri" w:hAnsi="宋体" w:eastAsia="宋体" w:cs="Times New Roman"/>
          <w:strike/>
          <w:color w:val="000000" w:themeColor="text1"/>
          <w:sz w:val="24"/>
          <w:highlight w:val="none"/>
          <w14:textFill>
            <w14:solidFill>
              <w14:schemeClr w14:val="tx1"/>
            </w14:solidFill>
          </w14:textFill>
        </w:rPr>
        <w:t>为准</w:t>
      </w:r>
      <w:r>
        <w:rPr>
          <w:rFonts w:hint="eastAsia" w:ascii="宋体" w:hAnsi="宋体" w:eastAsia="宋体" w:cs="Times New Roman"/>
          <w:strike/>
          <w:color w:val="000000" w:themeColor="text1"/>
          <w:sz w:val="24"/>
          <w:highlight w:val="none"/>
          <w14:textFill>
            <w14:solidFill>
              <w14:schemeClr w14:val="tx1"/>
            </w14:solidFill>
          </w14:textFill>
        </w:rPr>
        <w:t>）；</w:t>
      </w:r>
    </w:p>
    <w:p w14:paraId="11602C60">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(e) </w:t>
      </w:r>
      <w:r>
        <w:rPr>
          <w:rFonts w:hint="eastAsia" w:ascii="Calibri" w:hAnsi="宋体" w:eastAsia="宋体" w:cs="Times New Roman"/>
          <w:strike/>
          <w:color w:val="000000" w:themeColor="text1"/>
          <w:sz w:val="24"/>
          <w:highlight w:val="none"/>
          <w14:textFill>
            <w14:solidFill>
              <w14:schemeClr w14:val="tx1"/>
            </w14:solidFill>
          </w14:textFill>
        </w:rPr>
        <w:t>投标人</w:t>
      </w:r>
      <w:r>
        <w:rPr>
          <w:rFonts w:hint="eastAsia" w:ascii="宋体" w:hAnsi="宋体" w:eastAsia="宋体" w:cs="Times New Roman"/>
          <w:strike/>
          <w:color w:val="000000" w:themeColor="text1"/>
          <w:sz w:val="24"/>
          <w:highlight w:val="none"/>
          <w14:textFill>
            <w14:solidFill>
              <w14:schemeClr w14:val="tx1"/>
            </w14:solidFill>
          </w14:textFill>
        </w:rPr>
        <w:t>资质证书；</w:t>
      </w:r>
    </w:p>
    <w:p w14:paraId="12210954">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(f) </w:t>
      </w:r>
      <w:r>
        <w:rPr>
          <w:rFonts w:hint="eastAsia" w:ascii="宋体" w:hAnsi="宋体" w:eastAsia="宋体" w:cs="Times New Roman"/>
          <w:strike/>
          <w:color w:val="000000" w:themeColor="text1"/>
          <w:sz w:val="24"/>
          <w:highlight w:val="none"/>
          <w:lang w:bidi="ar"/>
          <w14:textFill>
            <w14:solidFill>
              <w14:schemeClr w14:val="tx1"/>
            </w14:solidFill>
          </w14:textFill>
        </w:rPr>
        <w:t>申请人已在广州市住房和城乡建设局建立企业信用档案，拟委派的项目负责人须是本企业信用档案中的在册人员；</w:t>
      </w:r>
    </w:p>
    <w:p w14:paraId="57ABA948">
      <w:pPr>
        <w:spacing w:line="360" w:lineRule="auto"/>
        <w:ind w:left="789" w:leftChars="67" w:hanging="648" w:hangingChars="270"/>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(g) </w:t>
      </w:r>
      <w:r>
        <w:rPr>
          <w:rFonts w:hint="eastAsia" w:ascii="Calibri" w:hAnsi="宋体" w:eastAsia="宋体" w:cs="Times New Roman"/>
          <w:strike/>
          <w:color w:val="000000" w:themeColor="text1"/>
          <w:sz w:val="24"/>
          <w:highlight w:val="none"/>
          <w14:textFill>
            <w14:solidFill>
              <w14:schemeClr w14:val="tx1"/>
            </w14:solidFill>
          </w14:textFill>
        </w:rPr>
        <w:t>投标申请表（附录</w:t>
      </w:r>
      <w:r>
        <w:rPr>
          <w:rFonts w:ascii="Calibri" w:hAnsi="宋体" w:eastAsia="宋体" w:cs="Times New Roman"/>
          <w:strike/>
          <w:color w:val="000000" w:themeColor="text1"/>
          <w:sz w:val="24"/>
          <w:highlight w:val="none"/>
          <w14:textFill>
            <w14:solidFill>
              <w14:schemeClr w14:val="tx1"/>
            </w14:solidFill>
          </w14:textFill>
        </w:rPr>
        <w:t>1</w:t>
      </w:r>
      <w:r>
        <w:rPr>
          <w:rFonts w:hint="eastAsia" w:ascii="Calibri" w:hAnsi="宋体" w:eastAsia="宋体" w:cs="Times New Roman"/>
          <w:strike/>
          <w:color w:val="000000" w:themeColor="text1"/>
          <w:sz w:val="24"/>
          <w:highlight w:val="none"/>
          <w14:textFill>
            <w14:solidFill>
              <w14:schemeClr w14:val="tx1"/>
            </w14:solidFill>
          </w14:textFill>
        </w:rPr>
        <w:t>）；</w:t>
      </w:r>
    </w:p>
    <w:p w14:paraId="0464B9B4">
      <w:pPr>
        <w:spacing w:line="360" w:lineRule="auto"/>
        <w:ind w:left="759" w:leftChars="167" w:hanging="408" w:hangingChars="170"/>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(h) </w:t>
      </w:r>
      <w:r>
        <w:rPr>
          <w:rFonts w:hint="eastAsia" w:ascii="Calibri" w:hAnsi="宋体" w:eastAsia="宋体" w:cs="Times New Roman"/>
          <w:strike/>
          <w:color w:val="000000" w:themeColor="text1"/>
          <w:sz w:val="24"/>
          <w:highlight w:val="none"/>
          <w14:textFill>
            <w14:solidFill>
              <w14:schemeClr w14:val="tx1"/>
            </w14:solidFill>
          </w14:textFill>
        </w:rPr>
        <w:t>拟派</w:t>
      </w:r>
      <w:r>
        <w:rPr>
          <w:rFonts w:hint="eastAsia" w:ascii="宋体" w:hAnsi="宋体" w:eastAsia="宋体" w:cs="Times New Roman"/>
          <w:strike/>
          <w:color w:val="000000" w:themeColor="text1"/>
          <w:sz w:val="24"/>
          <w:highlight w:val="none"/>
          <w14:textFill>
            <w14:solidFill>
              <w14:schemeClr w14:val="tx1"/>
            </w14:solidFill>
          </w14:textFill>
        </w:rPr>
        <w:t>项目负责人注册执业资格证书或职称证书；</w:t>
      </w:r>
    </w:p>
    <w:p w14:paraId="5F3D5DD7">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(i) </w:t>
      </w:r>
      <w:r>
        <w:rPr>
          <w:rFonts w:hint="eastAsia" w:ascii="Calibri" w:hAnsi="宋体" w:eastAsia="宋体" w:cs="Times New Roman"/>
          <w:strike/>
          <w:color w:val="000000" w:themeColor="text1"/>
          <w:sz w:val="24"/>
          <w:highlight w:val="none"/>
          <w14:textFill>
            <w14:solidFill>
              <w14:schemeClr w14:val="tx1"/>
            </w14:solidFill>
          </w14:textFill>
        </w:rPr>
        <w:t>拟派各专业负责人注册</w:t>
      </w:r>
      <w:r>
        <w:rPr>
          <w:rFonts w:hint="eastAsia" w:ascii="宋体" w:hAnsi="宋体" w:eastAsia="宋体" w:cs="Times New Roman"/>
          <w:strike/>
          <w:color w:val="000000" w:themeColor="text1"/>
          <w:sz w:val="24"/>
          <w:highlight w:val="none"/>
          <w14:textFill>
            <w14:solidFill>
              <w14:schemeClr w14:val="tx1"/>
            </w14:solidFill>
          </w14:textFill>
        </w:rPr>
        <w:t>执业资格证书或职称证书及工作简历；</w:t>
      </w:r>
    </w:p>
    <w:p w14:paraId="783DB820">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w:t>
      </w:r>
      <w:r>
        <w:rPr>
          <w:rFonts w:ascii="Calibri" w:hAnsi="宋体" w:eastAsia="宋体" w:cs="Times New Roman"/>
          <w:strike/>
          <w:color w:val="000000" w:themeColor="text1"/>
          <w:sz w:val="24"/>
          <w:highlight w:val="none"/>
          <w14:textFill>
            <w14:solidFill>
              <w14:schemeClr w14:val="tx1"/>
            </w14:solidFill>
          </w14:textFill>
        </w:rPr>
        <w:t xml:space="preserve">(j) </w:t>
      </w:r>
      <w:r>
        <w:rPr>
          <w:rFonts w:hint="eastAsia" w:ascii="宋体" w:hAnsi="宋体" w:eastAsia="宋体" w:cs="Times New Roman"/>
          <w:strike/>
          <w:color w:val="000000" w:themeColor="text1"/>
          <w:sz w:val="24"/>
          <w:highlight w:val="none"/>
          <w14:textFill>
            <w14:solidFill>
              <w14:schemeClr w14:val="tx1"/>
            </w14:solidFill>
          </w14:textFill>
        </w:rPr>
        <w:t>投标人认为有必要提供的其他资料。</w:t>
      </w:r>
    </w:p>
    <w:p w14:paraId="7B83A4DB">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w:t>
      </w:r>
    </w:p>
    <w:p w14:paraId="6B2C8A26">
      <w:pPr>
        <w:spacing w:line="360" w:lineRule="auto"/>
        <w:ind w:left="611" w:leftChars="15" w:hanging="580" w:hangingChars="242"/>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注：</w:t>
      </w:r>
      <w:r>
        <w:rPr>
          <w:rFonts w:hint="eastAsia" w:ascii="宋体" w:hAnsi="宋体" w:eastAsia="宋体" w:cs="Times New Roman"/>
          <w:strike/>
          <w:color w:val="000000" w:themeColor="text1"/>
          <w:sz w:val="24"/>
          <w:highlight w:val="none"/>
          <w:lang w:bidi="ar"/>
          <w14:textFill>
            <w14:solidFill>
              <w14:schemeClr w14:val="tx1"/>
            </w14:solidFill>
          </w14:textFill>
        </w:rPr>
        <w:t>资格审查文件中的</w:t>
      </w:r>
      <w:r>
        <w:rPr>
          <w:rFonts w:ascii="宋体" w:hAnsi="宋体" w:eastAsia="宋体" w:cs="Times New Roman"/>
          <w:strike/>
          <w:color w:val="000000" w:themeColor="text1"/>
          <w:sz w:val="24"/>
          <w:highlight w:val="none"/>
          <w:lang w:bidi="ar"/>
          <w14:textFill>
            <w14:solidFill>
              <w14:schemeClr w14:val="tx1"/>
            </w14:solidFill>
          </w14:textFill>
        </w:rPr>
        <w:t>(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1C02B7C1">
      <w:pPr>
        <w:spacing w:line="360" w:lineRule="auto"/>
        <w:ind w:left="361" w:hanging="361" w:hangingChars="150"/>
        <w:rPr>
          <w:rFonts w:ascii="宋体" w:hAnsi="宋体" w:eastAsia="宋体" w:cs="Times New Roman"/>
          <w:b/>
          <w:bCs/>
          <w:strike/>
          <w:color w:val="000000" w:themeColor="text1"/>
          <w:sz w:val="24"/>
          <w:highlight w:val="none"/>
          <w14:textFill>
            <w14:solidFill>
              <w14:schemeClr w14:val="tx1"/>
            </w14:solidFill>
          </w14:textFill>
        </w:rPr>
      </w:pPr>
      <w:r>
        <w:rPr>
          <w:rFonts w:ascii="宋体" w:hAnsi="宋体" w:eastAsia="宋体" w:cs="Times New Roman"/>
          <w:b/>
          <w:bCs/>
          <w:strike/>
          <w:color w:val="000000" w:themeColor="text1"/>
          <w:sz w:val="24"/>
          <w:highlight w:val="none"/>
          <w14:textFill>
            <w14:solidFill>
              <w14:schemeClr w14:val="tx1"/>
            </w14:solidFill>
          </w14:textFill>
        </w:rPr>
        <w:t xml:space="preserve">6    </w:t>
      </w:r>
      <w:r>
        <w:rPr>
          <w:rFonts w:hint="eastAsia" w:ascii="宋体" w:hAnsi="宋体" w:eastAsia="宋体" w:cs="Times New Roman"/>
          <w:b/>
          <w:bCs/>
          <w:strike/>
          <w:color w:val="000000" w:themeColor="text1"/>
          <w:sz w:val="24"/>
          <w:highlight w:val="none"/>
          <w14:textFill>
            <w14:solidFill>
              <w14:schemeClr w14:val="tx1"/>
            </w14:solidFill>
          </w14:textFill>
        </w:rPr>
        <w:t>定标资料（如有）</w:t>
      </w:r>
    </w:p>
    <w:p w14:paraId="7653E49C">
      <w:pPr>
        <w:spacing w:line="360" w:lineRule="auto"/>
        <w:ind w:left="360" w:hanging="360" w:hangingChars="150"/>
        <w:rPr>
          <w:rFonts w:ascii="宋体" w:hAnsi="宋体" w:eastAsia="宋体" w:cs="Times New Roman"/>
          <w:strike/>
          <w:color w:val="000000" w:themeColor="text1"/>
          <w:sz w:val="24"/>
          <w:highlight w:val="none"/>
          <w14:textFill>
            <w14:solidFill>
              <w14:schemeClr w14:val="tx1"/>
            </w14:solidFill>
          </w14:textFill>
        </w:rPr>
      </w:pPr>
    </w:p>
    <w:p w14:paraId="514C2D95">
      <w:pPr>
        <w:spacing w:line="360" w:lineRule="auto"/>
        <w:ind w:left="360" w:hanging="360" w:hangingChars="150"/>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（由招标人自定）</w:t>
      </w:r>
    </w:p>
    <w:p w14:paraId="4700900E">
      <w:pPr>
        <w:keepNext/>
        <w:keepLines/>
        <w:spacing w:line="360" w:lineRule="auto"/>
        <w:outlineLvl w:val="9"/>
        <w:rPr>
          <w:rFonts w:ascii="Calibri" w:hAnsi="Calibri" w:eastAsia="宋体" w:cs="Times New Roman"/>
          <w:color w:val="000000" w:themeColor="text1"/>
          <w:highlight w:val="none"/>
          <w14:textFill>
            <w14:solidFill>
              <w14:schemeClr w14:val="tx1"/>
            </w14:solidFill>
          </w14:textFill>
        </w:rPr>
      </w:pPr>
    </w:p>
    <w:p w14:paraId="5E7C0DE1">
      <w:pPr>
        <w:outlineLvl w:val="9"/>
        <w:rPr>
          <w:rFonts w:ascii="宋体" w:hAnsi="宋体" w:eastAsia="宋体" w:cs="Times New Roman"/>
          <w:b w:val="0"/>
          <w:bCs w:val="0"/>
          <w:color w:val="000000" w:themeColor="text1"/>
          <w:kern w:val="44"/>
          <w:sz w:val="44"/>
          <w:szCs w:val="44"/>
          <w:highlight w:val="none"/>
          <w:lang w:val="en-US" w:eastAsia="zh-CN" w:bidi="ar-SA"/>
          <w14:textFill>
            <w14:solidFill>
              <w14:schemeClr w14:val="tx1"/>
            </w14:solidFill>
          </w14:textFill>
        </w:rPr>
      </w:pPr>
    </w:p>
    <w:p w14:paraId="071C0A71">
      <w:pPr>
        <w:keepNext w:val="0"/>
        <w:keepLines w:val="0"/>
        <w:spacing w:line="240" w:lineRule="auto"/>
        <w:outlineLvl w:val="9"/>
        <w:rPr>
          <w:rFonts w:hint="eastAsia" w:ascii="宋体" w:hAnsi="宋体" w:eastAsia="宋体" w:cs="Times New Roman"/>
          <w:b/>
          <w:bCs/>
          <w:color w:val="000000" w:themeColor="text1"/>
          <w:kern w:val="44"/>
          <w:szCs w:val="21"/>
          <w:highlight w:val="none"/>
          <w14:textFill>
            <w14:solidFill>
              <w14:schemeClr w14:val="tx1"/>
            </w14:solidFill>
          </w14:textFill>
        </w:rPr>
      </w:pPr>
      <w:bookmarkStart w:id="84" w:name="_Toc15134"/>
      <w:bookmarkStart w:id="85" w:name="_Toc17410"/>
      <w:r>
        <w:rPr>
          <w:rFonts w:hint="eastAsia" w:ascii="宋体" w:hAnsi="宋体" w:eastAsia="宋体" w:cs="Times New Roman"/>
          <w:b/>
          <w:bCs/>
          <w:color w:val="000000" w:themeColor="text1"/>
          <w:kern w:val="44"/>
          <w:szCs w:val="21"/>
          <w:highlight w:val="none"/>
          <w14:textFill>
            <w14:solidFill>
              <w14:schemeClr w14:val="tx1"/>
            </w14:solidFill>
          </w14:textFill>
        </w:rPr>
        <w:br w:type="page"/>
      </w:r>
    </w:p>
    <w:p w14:paraId="431D1B8D">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14:textFill>
            <w14:solidFill>
              <w14:schemeClr w14:val="tx1"/>
            </w14:solidFill>
          </w14:textFill>
        </w:rPr>
      </w:pPr>
      <w:bookmarkStart w:id="86" w:name="_Toc18087"/>
      <w:bookmarkStart w:id="87" w:name="_Toc4611"/>
      <w:r>
        <w:rPr>
          <w:rFonts w:hint="eastAsia" w:ascii="宋体" w:hAnsi="宋体" w:eastAsia="宋体" w:cs="宋体"/>
          <w:b/>
          <w:bCs/>
          <w:color w:val="000000" w:themeColor="text1"/>
          <w:kern w:val="44"/>
          <w:sz w:val="30"/>
          <w:szCs w:val="30"/>
          <w:highlight w:val="none"/>
          <w14:textFill>
            <w14:solidFill>
              <w14:schemeClr w14:val="tx1"/>
            </w14:solidFill>
          </w14:textFill>
        </w:rPr>
        <w:t>附录6 投标书</w:t>
      </w:r>
      <w:bookmarkEnd w:id="84"/>
      <w:bookmarkEnd w:id="85"/>
      <w:bookmarkEnd w:id="86"/>
      <w:bookmarkEnd w:id="87"/>
    </w:p>
    <w:p w14:paraId="7B72454A">
      <w:pPr>
        <w:spacing w:line="240" w:lineRule="auto"/>
        <w:jc w:val="center"/>
        <w:rPr>
          <w:rFonts w:hint="eastAsia" w:ascii="宋体" w:hAnsi="宋体" w:eastAsia="宋体" w:cs="Times New Roman"/>
          <w:b/>
          <w:bCs w:val="0"/>
          <w:strike w:val="0"/>
          <w:color w:val="000000" w:themeColor="text1"/>
          <w:sz w:val="28"/>
          <w:szCs w:val="28"/>
          <w:highlight w:val="none"/>
          <w14:textFill>
            <w14:solidFill>
              <w14:schemeClr w14:val="tx1"/>
            </w14:solidFill>
          </w14:textFill>
        </w:rPr>
      </w:pPr>
      <w:r>
        <w:rPr>
          <w:rFonts w:hint="eastAsia" w:ascii="宋体" w:hAnsi="宋体" w:eastAsia="宋体" w:cs="Times New Roman"/>
          <w:b/>
          <w:bCs w:val="0"/>
          <w:strike w:val="0"/>
          <w:color w:val="000000" w:themeColor="text1"/>
          <w:sz w:val="28"/>
          <w:szCs w:val="28"/>
          <w:highlight w:val="none"/>
          <w14:textFill>
            <w14:solidFill>
              <w14:schemeClr w14:val="tx1"/>
            </w14:solidFill>
          </w14:textFill>
        </w:rPr>
        <w:t>投标书</w:t>
      </w:r>
    </w:p>
    <w:p w14:paraId="34D6927D">
      <w:pPr>
        <w:spacing w:line="360" w:lineRule="auto"/>
        <w:jc w:val="lef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项目名称：</w:t>
      </w:r>
      <w:r>
        <w:rPr>
          <w:rFonts w:hint="eastAsia" w:ascii="宋体" w:hAnsi="宋体" w:eastAsia="宋体" w:cs="Times New Roman"/>
          <w:color w:val="000000" w:themeColor="text1"/>
          <w:sz w:val="24"/>
          <w:highlight w:val="none"/>
          <w:u w:val="single"/>
          <w14:textFill>
            <w14:solidFill>
              <w14:schemeClr w14:val="tx1"/>
            </w14:solidFill>
          </w14:textFill>
        </w:rPr>
        <w:t>广州市农业农村科学院东涌基地建设项目勘察设计</w:t>
      </w:r>
    </w:p>
    <w:p w14:paraId="7BB0DD8C">
      <w:pPr>
        <w:spacing w:after="313" w:afterLines="100" w:line="360" w:lineRule="auto"/>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致：</w:t>
      </w:r>
      <w:r>
        <w:rPr>
          <w:rFonts w:hint="eastAsia" w:ascii="宋体" w:hAnsi="宋体" w:eastAsia="宋体" w:cs="Times New Roman"/>
          <w:color w:val="000000" w:themeColor="text1"/>
          <w:sz w:val="24"/>
          <w:highlight w:val="none"/>
          <w:u w:val="single"/>
          <w:lang w:val="zh-CN"/>
          <w14:textFill>
            <w14:solidFill>
              <w14:schemeClr w14:val="tx1"/>
            </w14:solidFill>
          </w14:textFill>
        </w:rPr>
        <w:t>广州市重点公共建设项目管理中心</w:t>
      </w:r>
      <w:r>
        <w:rPr>
          <w:rFonts w:hint="eastAsia" w:ascii="宋体" w:hAnsi="宋体" w:eastAsia="宋体" w:cs="Times New Roman"/>
          <w:color w:val="000000" w:themeColor="text1"/>
          <w:sz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广州筑正工程建设管理有限公司</w:t>
      </w:r>
      <w:r>
        <w:rPr>
          <w:rFonts w:hint="eastAsia" w:ascii="宋体" w:hAnsi="宋体" w:eastAsia="宋体" w:cs="Times New Roman"/>
          <w:color w:val="000000" w:themeColor="text1"/>
          <w:sz w:val="24"/>
          <w:highlight w:val="none"/>
          <w14:textFill>
            <w14:solidFill>
              <w14:schemeClr w14:val="tx1"/>
            </w14:solidFill>
          </w14:textFill>
        </w:rPr>
        <w:t>（招标人、招标代理机构名称）</w:t>
      </w:r>
    </w:p>
    <w:p w14:paraId="4513B4B7">
      <w:pPr>
        <w:spacing w:line="360" w:lineRule="auto"/>
        <w:ind w:firstLine="42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5FF23FED">
      <w:pPr>
        <w:spacing w:line="360" w:lineRule="auto"/>
        <w:ind w:firstLine="42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3BFA6C76">
      <w:pPr>
        <w:spacing w:line="360" w:lineRule="auto"/>
        <w:ind w:firstLine="42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我方认同招标文件规定的评审规则，遵守评标委员会的裁决结果，并且不会采取妨碍项目进展的行为。我方理解你方没有必须接受你方可能收到的最低标或任何投标的义务。</w:t>
      </w:r>
    </w:p>
    <w:p w14:paraId="7C5453AE">
      <w:pPr>
        <w:spacing w:line="360" w:lineRule="auto"/>
        <w:ind w:firstLine="420"/>
        <w:rPr>
          <w:rFonts w:ascii="宋体" w:hAnsi="宋体" w:eastAsia="宋体" w:cs="Times New Roman"/>
          <w:b/>
          <w:bCs/>
          <w:color w:val="000000" w:themeColor="text1"/>
          <w:sz w:val="24"/>
          <w:highlight w:val="none"/>
          <w:u w:val="single"/>
          <w14:textFill>
            <w14:solidFill>
              <w14:schemeClr w14:val="tx1"/>
            </w14:solidFill>
          </w14:textFill>
        </w:rPr>
      </w:pPr>
      <w:r>
        <w:rPr>
          <w:rFonts w:hint="eastAsia" w:ascii="宋体" w:hAnsi="宋体" w:eastAsia="宋体" w:cs="Times New Roman"/>
          <w:b/>
          <w:bCs/>
          <w:color w:val="000000" w:themeColor="text1"/>
          <w:sz w:val="24"/>
          <w:highlight w:val="none"/>
          <w:u w:val="single"/>
          <w14:textFill>
            <w14:solidFill>
              <w14:schemeClr w14:val="tx1"/>
            </w14:solidFill>
          </w14:textFill>
        </w:rPr>
        <w:t>如果我方中标，我方所配备的人员不满足本项目合同条款及</w:t>
      </w:r>
      <w:r>
        <w:rPr>
          <w:rFonts w:hint="eastAsia" w:ascii="宋体" w:hAnsi="宋体" w:eastAsia="宋体" w:cs="宋体"/>
          <w:b/>
          <w:bCs w:val="0"/>
          <w:color w:val="000000" w:themeColor="text1"/>
          <w:kern w:val="2"/>
          <w:sz w:val="24"/>
          <w:szCs w:val="24"/>
          <w:highlight w:val="none"/>
          <w:u w:val="single"/>
          <w:lang w:val="en-US" w:eastAsia="zh-CN" w:bidi="ar"/>
          <w14:textFill>
            <w14:solidFill>
              <w14:schemeClr w14:val="tx1"/>
            </w14:solidFill>
          </w14:textFill>
        </w:rPr>
        <w:t>基础资料和</w:t>
      </w:r>
      <w:r>
        <w:rPr>
          <w:rFonts w:hint="eastAsia" w:ascii="宋体" w:hAnsi="宋体" w:eastAsia="宋体" w:cs="Times New Roman"/>
          <w:b/>
          <w:bCs/>
          <w:color w:val="000000" w:themeColor="text1"/>
          <w:sz w:val="24"/>
          <w:highlight w:val="none"/>
          <w:u w:val="single"/>
          <w14:textFill>
            <w14:solidFill>
              <w14:schemeClr w14:val="tx1"/>
            </w14:solidFill>
          </w14:textFill>
        </w:rPr>
        <w:t>勘察设计任务书要求，我方承诺按合同约定承担违约责任。</w:t>
      </w:r>
      <w:r>
        <w:rPr>
          <w:rFonts w:hint="eastAsia" w:ascii="宋体" w:hAnsi="宋体" w:eastAsia="宋体" w:cs="Times New Roman"/>
          <w:color w:val="000000" w:themeColor="text1"/>
          <w:spacing w:val="4"/>
          <w:sz w:val="24"/>
          <w:highlight w:val="none"/>
          <w14:textFill>
            <w14:solidFill>
              <w14:schemeClr w14:val="tx1"/>
            </w14:solidFill>
          </w14:textFill>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65985A86">
      <w:pPr>
        <w:spacing w:line="360" w:lineRule="auto"/>
        <w:ind w:firstLine="42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如果我方中标，我方将提供规定的履约担保，将在合同规定的日期开工，并在竣工时间内，按照上述文件完成项目。</w:t>
      </w:r>
    </w:p>
    <w:p w14:paraId="325F0A88">
      <w:pPr>
        <w:spacing w:line="360" w:lineRule="auto"/>
        <w:ind w:firstLine="42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除非制订正式合同协议书并生效，本投标书以及你方中标通知书，应构成你我双方间具有约束力的合同。</w:t>
      </w:r>
    </w:p>
    <w:p w14:paraId="327736CC">
      <w:pPr>
        <w:spacing w:line="360" w:lineRule="auto"/>
        <w:ind w:firstLine="405"/>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本投标书同时作为法人证明书或法人授权委托书。</w:t>
      </w:r>
    </w:p>
    <w:p w14:paraId="78A57023">
      <w:pPr>
        <w:spacing w:line="360" w:lineRule="auto"/>
        <w:rPr>
          <w:rFonts w:ascii="宋体" w:hAnsi="宋体" w:eastAsia="宋体" w:cs="Times New Roman"/>
          <w:color w:val="000000" w:themeColor="text1"/>
          <w:sz w:val="24"/>
          <w:highlight w:val="none"/>
          <w14:textFill>
            <w14:solidFill>
              <w14:schemeClr w14:val="tx1"/>
            </w14:solidFill>
          </w14:textFill>
        </w:rPr>
      </w:pPr>
    </w:p>
    <w:p w14:paraId="7A93BE5E">
      <w:pPr>
        <w:spacing w:line="360" w:lineRule="auto"/>
        <w:ind w:firstLine="405"/>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投标人：</w:t>
      </w:r>
      <w:r>
        <w:rPr>
          <w:rFonts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highlight w:val="none"/>
          <w:u w:val="single"/>
          <w14:textFill>
            <w14:solidFill>
              <w14:schemeClr w14:val="tx1"/>
            </w14:solidFill>
          </w14:textFill>
        </w:rPr>
        <w:t xml:space="preserve">       </w:t>
      </w:r>
    </w:p>
    <w:p w14:paraId="755A11AD">
      <w:pPr>
        <w:spacing w:line="360" w:lineRule="auto"/>
        <w:ind w:firstLine="405"/>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szCs w:val="24"/>
          <w:highlight w:val="none"/>
          <w14:textFill>
            <w14:solidFill>
              <w14:schemeClr w14:val="tx1"/>
            </w14:solidFill>
          </w14:textFill>
        </w:rPr>
        <w:t>或委托代理人</w:t>
      </w:r>
      <w:r>
        <w:rPr>
          <w:rFonts w:hint="eastAsia" w:ascii="宋体" w:hAnsi="宋体" w:eastAsia="宋体" w:cs="Times New Roman"/>
          <w:color w:val="000000" w:themeColor="text1"/>
          <w:sz w:val="24"/>
          <w:highlight w:val="none"/>
          <w14:textFill>
            <w14:solidFill>
              <w14:schemeClr w14:val="tx1"/>
            </w14:solidFill>
          </w14:textFill>
        </w:rPr>
        <w:t>：（签字或盖章）</w:t>
      </w:r>
      <w:r>
        <w:rPr>
          <w:rFonts w:ascii="宋体" w:hAnsi="宋体" w:eastAsia="宋体" w:cs="Times New Roman"/>
          <w:color w:val="000000" w:themeColor="text1"/>
          <w:sz w:val="24"/>
          <w:highlight w:val="none"/>
          <w:u w:val="single"/>
          <w14:textFill>
            <w14:solidFill>
              <w14:schemeClr w14:val="tx1"/>
            </w14:solidFill>
          </w14:textFill>
        </w:rPr>
        <w:t xml:space="preserve">            </w:t>
      </w:r>
    </w:p>
    <w:p w14:paraId="768EEE17">
      <w:pPr>
        <w:spacing w:line="360" w:lineRule="auto"/>
        <w:ind w:firstLine="405"/>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地址：</w:t>
      </w:r>
      <w:r>
        <w:rPr>
          <w:rFonts w:ascii="宋体" w:hAnsi="宋体" w:eastAsia="宋体" w:cs="Times New Roman"/>
          <w:color w:val="000000" w:themeColor="text1"/>
          <w:sz w:val="24"/>
          <w:highlight w:val="none"/>
          <w:u w:val="single"/>
          <w14:textFill>
            <w14:solidFill>
              <w14:schemeClr w14:val="tx1"/>
            </w14:solidFill>
          </w14:textFill>
        </w:rPr>
        <w:t xml:space="preserve">                                           </w:t>
      </w:r>
    </w:p>
    <w:p w14:paraId="6E444A8F">
      <w:pPr>
        <w:spacing w:line="360" w:lineRule="auto"/>
        <w:ind w:firstLine="405"/>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邮政编码：</w:t>
      </w:r>
      <w:r>
        <w:rPr>
          <w:rFonts w:ascii="宋体" w:hAnsi="宋体" w:eastAsia="宋体" w:cs="Times New Roman"/>
          <w:color w:val="000000" w:themeColor="text1"/>
          <w:sz w:val="24"/>
          <w:highlight w:val="none"/>
          <w:u w:val="single"/>
          <w14:textFill>
            <w14:solidFill>
              <w14:schemeClr w14:val="tx1"/>
            </w14:solidFill>
          </w14:textFill>
        </w:rPr>
        <w:t xml:space="preserve">                                       </w:t>
      </w:r>
    </w:p>
    <w:p w14:paraId="55002937">
      <w:pPr>
        <w:spacing w:line="360" w:lineRule="auto"/>
        <w:ind w:firstLine="405"/>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电话</w:t>
      </w:r>
      <w:r>
        <w:rPr>
          <w:rFonts w:ascii="宋体" w:hAnsi="宋体" w:eastAsia="宋体" w:cs="Times New Roman"/>
          <w:color w:val="000000" w:themeColor="text1"/>
          <w:sz w:val="24"/>
          <w:highlight w:val="none"/>
          <w14:textFill>
            <w14:solidFill>
              <w14:schemeClr w14:val="tx1"/>
            </w14:solidFill>
          </w14:textFill>
        </w:rPr>
        <w:t>/传真：</w:t>
      </w:r>
      <w:r>
        <w:rPr>
          <w:rFonts w:ascii="宋体" w:hAnsi="宋体" w:eastAsia="宋体" w:cs="Times New Roman"/>
          <w:color w:val="000000" w:themeColor="text1"/>
          <w:sz w:val="24"/>
          <w:highlight w:val="none"/>
          <w:u w:val="single"/>
          <w14:textFill>
            <w14:solidFill>
              <w14:schemeClr w14:val="tx1"/>
            </w14:solidFill>
          </w14:textFill>
        </w:rPr>
        <w:t xml:space="preserve">                    /FAX              </w:t>
      </w:r>
    </w:p>
    <w:p w14:paraId="1854E706">
      <w:pPr>
        <w:spacing w:line="360" w:lineRule="auto"/>
        <w:ind w:firstLine="405"/>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电子邮箱：</w:t>
      </w:r>
      <w:r>
        <w:rPr>
          <w:rFonts w:ascii="宋体" w:hAnsi="宋体" w:eastAsia="宋体" w:cs="Times New Roman"/>
          <w:color w:val="000000" w:themeColor="text1"/>
          <w:sz w:val="24"/>
          <w:highlight w:val="none"/>
          <w:u w:val="single"/>
          <w14:textFill>
            <w14:solidFill>
              <w14:schemeClr w14:val="tx1"/>
            </w14:solidFill>
          </w14:textFill>
        </w:rPr>
        <w:t xml:space="preserve">                                       </w:t>
      </w:r>
    </w:p>
    <w:p w14:paraId="5E0A2C9C">
      <w:pPr>
        <w:spacing w:line="360" w:lineRule="auto"/>
        <w:ind w:firstLine="405"/>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开户银行名称、账号：</w:t>
      </w:r>
      <w:r>
        <w:rPr>
          <w:rFonts w:ascii="宋体" w:hAnsi="宋体" w:eastAsia="宋体" w:cs="Times New Roman"/>
          <w:color w:val="000000" w:themeColor="text1"/>
          <w:sz w:val="24"/>
          <w:highlight w:val="none"/>
          <w:u w:val="single"/>
          <w14:textFill>
            <w14:solidFill>
              <w14:schemeClr w14:val="tx1"/>
            </w14:solidFill>
          </w14:textFill>
        </w:rPr>
        <w:t xml:space="preserve">                             </w:t>
      </w:r>
    </w:p>
    <w:p w14:paraId="55C6FC05">
      <w:pPr>
        <w:spacing w:line="360" w:lineRule="auto"/>
        <w:ind w:firstLine="405"/>
        <w:rPr>
          <w:rFonts w:ascii="宋体" w:hAnsi="宋体" w:eastAsia="宋体" w:cs="Times New Roman"/>
          <w:color w:val="000000" w:themeColor="text1"/>
          <w:sz w:val="24"/>
          <w:highlight w:val="none"/>
          <w:u w:val="singl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开户行地址</w:t>
      </w:r>
      <w:r>
        <w:rPr>
          <w:rFonts w:ascii="宋体" w:hAnsi="宋体" w:eastAsia="宋体" w:cs="Times New Roman"/>
          <w:color w:val="000000" w:themeColor="text1"/>
          <w:sz w:val="24"/>
          <w:highlight w:val="none"/>
          <w14:textFill>
            <w14:solidFill>
              <w14:schemeClr w14:val="tx1"/>
            </w14:solidFill>
          </w14:textFill>
        </w:rPr>
        <w:t>/电话：</w:t>
      </w:r>
      <w:r>
        <w:rPr>
          <w:rFonts w:ascii="宋体" w:hAnsi="宋体" w:eastAsia="宋体" w:cs="Times New Roman"/>
          <w:color w:val="000000" w:themeColor="text1"/>
          <w:sz w:val="24"/>
          <w:highlight w:val="none"/>
          <w:u w:val="single"/>
          <w14:textFill>
            <w14:solidFill>
              <w14:schemeClr w14:val="tx1"/>
            </w14:solidFill>
          </w14:textFill>
        </w:rPr>
        <w:t xml:space="preserve">                                </w:t>
      </w:r>
    </w:p>
    <w:p w14:paraId="23DA5B08">
      <w:pPr>
        <w:spacing w:line="360" w:lineRule="auto"/>
        <w:ind w:firstLine="405"/>
        <w:jc w:val="right"/>
        <w:rPr>
          <w:rFonts w:ascii="宋体" w:hAnsi="宋体" w:eastAsia="宋体" w:cs="Times New Roman"/>
          <w:color w:val="000000" w:themeColor="text1"/>
          <w:sz w:val="24"/>
          <w:highlight w:val="none"/>
          <w14:textFill>
            <w14:solidFill>
              <w14:schemeClr w14:val="tx1"/>
            </w14:solidFill>
          </w14:textFill>
        </w:rPr>
      </w:pPr>
    </w:p>
    <w:p w14:paraId="0C1684CF">
      <w:pPr>
        <w:spacing w:line="360" w:lineRule="auto"/>
        <w:ind w:firstLine="405"/>
        <w:jc w:val="righ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日期：</w:t>
      </w:r>
      <w:r>
        <w:rPr>
          <w:rFonts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年</w:t>
      </w:r>
      <w:r>
        <w:rPr>
          <w:rFonts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月</w:t>
      </w:r>
      <w:r>
        <w:rPr>
          <w:rFonts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日</w:t>
      </w:r>
    </w:p>
    <w:p w14:paraId="0A8586C3">
      <w:pPr>
        <w:widowControl w:val="0"/>
        <w:ind w:firstLine="240" w:firstLineChars="100"/>
        <w:jc w:val="both"/>
        <w:rPr>
          <w:rFonts w:hint="eastAsia" w:ascii="宋体" w:hAnsi="宋体" w:eastAsia="宋体" w:cs="Times New Roman"/>
          <w:color w:val="000000" w:themeColor="text1"/>
          <w:kern w:val="2"/>
          <w:sz w:val="24"/>
          <w:szCs w:val="20"/>
          <w:highlight w:val="none"/>
          <w:lang w:val="en-US" w:eastAsia="zh-CN" w:bidi="ar-SA"/>
          <w14:textFill>
            <w14:solidFill>
              <w14:schemeClr w14:val="tx1"/>
            </w14:solidFill>
          </w14:textFill>
        </w:rPr>
      </w:pPr>
    </w:p>
    <w:p w14:paraId="0DF9037B">
      <w:pPr>
        <w:rPr>
          <w:rFonts w:hint="eastAsia" w:ascii="宋体" w:hAnsi="宋体" w:eastAsia="宋体" w:cs="Times New Roman"/>
          <w:color w:val="000000" w:themeColor="text1"/>
          <w:sz w:val="24"/>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E26F98A">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88" w:name="_Toc10123"/>
      <w:bookmarkStart w:id="89" w:name="_Toc17668"/>
      <w:bookmarkStart w:id="90" w:name="_Toc17518"/>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附录7 联合体共同投标协议</w:t>
      </w:r>
      <w:bookmarkEnd w:id="88"/>
      <w:bookmarkEnd w:id="89"/>
      <w:bookmarkEnd w:id="90"/>
    </w:p>
    <w:p w14:paraId="1D430DC6">
      <w:pPr>
        <w:spacing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bCs w:val="0"/>
          <w:color w:val="000000" w:themeColor="text1"/>
          <w:sz w:val="28"/>
          <w:szCs w:val="28"/>
          <w:highlight w:val="none"/>
          <w14:textFill>
            <w14:solidFill>
              <w14:schemeClr w14:val="tx1"/>
            </w14:solidFill>
          </w14:textFill>
        </w:rPr>
        <w:t>联合体共同投标协议</w:t>
      </w:r>
    </w:p>
    <w:p w14:paraId="1602D090">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投标项目名称：</w:t>
      </w:r>
      <w:r>
        <w:rPr>
          <w:rFonts w:hint="eastAsia" w:ascii="宋体" w:hAnsi="宋体" w:eastAsia="宋体" w:cs="宋体"/>
          <w:color w:val="000000" w:themeColor="text1"/>
          <w:sz w:val="24"/>
          <w:szCs w:val="24"/>
          <w:highlight w:val="none"/>
          <w:u w:val="single"/>
          <w14:textFill>
            <w14:solidFill>
              <w14:schemeClr w14:val="tx1"/>
            </w14:solidFill>
          </w14:textFill>
        </w:rPr>
        <w:t>广州市农业农村科学院东涌基地建设项目勘察设计</w:t>
      </w:r>
    </w:p>
    <w:p w14:paraId="5E4EA57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zh-CN"/>
          <w14:textFill>
            <w14:solidFill>
              <w14:schemeClr w14:val="tx1"/>
            </w14:solidFill>
          </w14:textFill>
        </w:rPr>
        <w:t>广州市重点公共建设项目管理中心</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广州筑正工程建设管理有限公司</w:t>
      </w:r>
      <w:r>
        <w:rPr>
          <w:rFonts w:hint="eastAsia" w:ascii="宋体" w:hAnsi="宋体" w:eastAsia="宋体" w:cs="宋体"/>
          <w:color w:val="000000" w:themeColor="text1"/>
          <w:sz w:val="24"/>
          <w:szCs w:val="24"/>
          <w:highlight w:val="none"/>
          <w14:textFill>
            <w14:solidFill>
              <w14:schemeClr w14:val="tx1"/>
            </w14:solidFill>
          </w14:textFill>
        </w:rPr>
        <w:t>（招标人、招标代理机构名称）</w:t>
      </w:r>
    </w:p>
    <w:p w14:paraId="0539BA16">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049DC0E4">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0D5364EE">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A49396F">
      <w:pPr>
        <w:spacing w:line="360" w:lineRule="auto"/>
        <w:ind w:firstLine="405"/>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本投标协议同时作为法人证明书或法人授权委托书。</w:t>
      </w:r>
    </w:p>
    <w:p w14:paraId="28A7DE1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BF6B3F3">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投标牵头人：（盖章）</w:t>
      </w:r>
    </w:p>
    <w:p w14:paraId="5A20E960">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法定代表人或委托代理人：（签字或盖章）</w:t>
      </w:r>
    </w:p>
    <w:p w14:paraId="61061990">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1EA4DD19">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邮政编码：电话/传真：</w:t>
      </w:r>
    </w:p>
    <w:p w14:paraId="0EC71E5B">
      <w:pPr>
        <w:spacing w:line="360" w:lineRule="auto"/>
        <w:ind w:firstLine="40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分工内容：</w:t>
      </w:r>
    </w:p>
    <w:p w14:paraId="7D909FD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313323F">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联合体成员：（盖章）</w:t>
      </w:r>
    </w:p>
    <w:p w14:paraId="62A1A09C">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法定代表人或委托代理人：（签字或盖章）</w:t>
      </w:r>
    </w:p>
    <w:p w14:paraId="5675BDF8">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097F7187">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邮政编码：电话/传真：</w:t>
      </w:r>
    </w:p>
    <w:p w14:paraId="6B19242D">
      <w:pPr>
        <w:spacing w:line="360" w:lineRule="auto"/>
        <w:ind w:firstLine="40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分工内容：</w:t>
      </w:r>
    </w:p>
    <w:p w14:paraId="0915FDC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签订日期：       年    月    日</w:t>
      </w:r>
    </w:p>
    <w:p w14:paraId="7E004885">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u w:val="single"/>
          <w14:textFill>
            <w14:solidFill>
              <w14:schemeClr w14:val="tx1"/>
            </w14:solidFill>
          </w14:textFill>
        </w:rPr>
      </w:pPr>
      <w:r>
        <w:rPr>
          <w:rFonts w:ascii="Calibri" w:hAnsi="Calibri" w:eastAsia="宋体" w:cs="Times New Roman"/>
          <w:color w:val="000000" w:themeColor="text1"/>
          <w:highlight w:val="none"/>
          <w14:textFill>
            <w14:solidFill>
              <w14:schemeClr w14:val="tx1"/>
            </w14:solidFill>
          </w14:textFill>
        </w:rPr>
        <w:br w:type="page"/>
      </w:r>
      <w:bookmarkStart w:id="91" w:name="_Toc15019"/>
      <w:r>
        <w:rPr>
          <w:rFonts w:hint="eastAsia" w:ascii="宋体" w:hAnsi="宋体" w:eastAsia="宋体" w:cs="宋体"/>
          <w:b/>
          <w:bCs/>
          <w:color w:val="000000" w:themeColor="text1"/>
          <w:kern w:val="44"/>
          <w:sz w:val="30"/>
          <w:szCs w:val="30"/>
          <w:highlight w:val="none"/>
          <w14:textFill>
            <w14:solidFill>
              <w14:schemeClr w14:val="tx1"/>
            </w14:solidFill>
          </w14:textFill>
        </w:rPr>
        <w:t>附录 7-1</w:t>
      </w:r>
      <w:r>
        <w:rPr>
          <w:rFonts w:hint="eastAsia" w:ascii="宋体" w:hAnsi="宋体" w:eastAsia="宋体" w:cs="宋体"/>
          <w:b/>
          <w:bCs/>
          <w:color w:val="000000" w:themeColor="text1"/>
          <w:kern w:val="44"/>
          <w:sz w:val="30"/>
          <w:szCs w:val="30"/>
          <w:highlight w:val="none"/>
          <w:u w:val="single"/>
          <w14:textFill>
            <w14:solidFill>
              <w14:schemeClr w14:val="tx1"/>
            </w14:solidFill>
          </w14:textFill>
        </w:rPr>
        <w:t>（适用于合作设计）</w:t>
      </w:r>
      <w:bookmarkEnd w:id="91"/>
    </w:p>
    <w:p w14:paraId="41476BAE">
      <w:pPr>
        <w:spacing w:line="360" w:lineRule="auto"/>
        <w:jc w:val="center"/>
        <w:rPr>
          <w:rFonts w:hint="eastAsia" w:ascii="宋体" w:hAnsi="宋体" w:eastAsia="宋体" w:cs="Times New Roman"/>
          <w:b/>
          <w:bCs w:val="0"/>
          <w:color w:val="000000" w:themeColor="text1"/>
          <w:sz w:val="28"/>
          <w:szCs w:val="28"/>
          <w:highlight w:val="none"/>
          <w14:textFill>
            <w14:solidFill>
              <w14:schemeClr w14:val="tx1"/>
            </w14:solidFill>
          </w14:textFill>
        </w:rPr>
      </w:pPr>
      <w:r>
        <w:rPr>
          <w:rFonts w:hint="eastAsia" w:ascii="宋体" w:hAnsi="宋体" w:eastAsia="宋体" w:cs="Times New Roman"/>
          <w:b/>
          <w:bCs w:val="0"/>
          <w:color w:val="000000" w:themeColor="text1"/>
          <w:sz w:val="28"/>
          <w:szCs w:val="28"/>
          <w:highlight w:val="none"/>
          <w14:textFill>
            <w14:solidFill>
              <w14:schemeClr w14:val="tx1"/>
            </w14:solidFill>
          </w14:textFill>
        </w:rPr>
        <w:t>合作设计协议书</w:t>
      </w:r>
    </w:p>
    <w:p w14:paraId="79B53F0B">
      <w:pPr>
        <w:spacing w:line="360" w:lineRule="auto"/>
        <w:rPr>
          <w:rFonts w:ascii="宋体" w:hAnsi="宋体" w:eastAsia="宋体" w:cs="Times New Roman"/>
          <w:color w:val="000000" w:themeColor="text1"/>
          <w:sz w:val="24"/>
          <w:highlight w:val="none"/>
          <w14:textFill>
            <w14:solidFill>
              <w14:schemeClr w14:val="tx1"/>
            </w14:solidFill>
          </w14:textFill>
        </w:rPr>
      </w:pPr>
    </w:p>
    <w:p w14:paraId="79021385">
      <w:pPr>
        <w:spacing w:line="360" w:lineRule="auto"/>
        <w:jc w:val="left"/>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投标项目名称：</w:t>
      </w:r>
      <w:r>
        <w:rPr>
          <w:rFonts w:ascii="宋体" w:hAnsi="宋体" w:eastAsia="宋体" w:cs="Times New Roman"/>
          <w:color w:val="000000" w:themeColor="text1"/>
          <w:highlight w:val="none"/>
          <w:u w:val="single"/>
          <w14:textFill>
            <w14:solidFill>
              <w14:schemeClr w14:val="tx1"/>
            </w14:solidFill>
          </w14:textFill>
        </w:rPr>
        <w:t xml:space="preserve">                             </w:t>
      </w:r>
    </w:p>
    <w:p w14:paraId="41F91979">
      <w:pPr>
        <w:spacing w:line="360" w:lineRule="auto"/>
        <w:rPr>
          <w:rFonts w:ascii="宋体" w:hAnsi="宋体" w:eastAsia="宋体" w:cs="Times New Roman"/>
          <w:color w:val="000000" w:themeColor="text1"/>
          <w:szCs w:val="20"/>
          <w:highlight w:val="none"/>
          <w14:textFill>
            <w14:solidFill>
              <w14:schemeClr w14:val="tx1"/>
            </w14:solidFill>
          </w14:textFill>
        </w:rPr>
      </w:pPr>
    </w:p>
    <w:p w14:paraId="5E6E23EF">
      <w:pPr>
        <w:spacing w:line="360" w:lineRule="auto"/>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致：</w:t>
      </w:r>
      <w:r>
        <w:rPr>
          <w:rFonts w:ascii="宋体" w:hAnsi="宋体" w:eastAsia="宋体" w:cs="Times New Roman"/>
          <w:color w:val="000000" w:themeColor="text1"/>
          <w:szCs w:val="20"/>
          <w:highlight w:val="none"/>
          <w:u w:val="single"/>
          <w14:textFill>
            <w14:solidFill>
              <w14:schemeClr w14:val="tx1"/>
            </w14:solidFill>
          </w14:textFill>
        </w:rPr>
        <w:t xml:space="preserve">                             </w:t>
      </w:r>
      <w:r>
        <w:rPr>
          <w:rFonts w:hint="eastAsia" w:ascii="宋体" w:hAnsi="宋体" w:eastAsia="宋体" w:cs="Times New Roman"/>
          <w:color w:val="000000" w:themeColor="text1"/>
          <w:szCs w:val="20"/>
          <w:highlight w:val="none"/>
          <w14:textFill>
            <w14:solidFill>
              <w14:schemeClr w14:val="tx1"/>
            </w14:solidFill>
          </w14:textFill>
        </w:rPr>
        <w:t>（招标人、招标代理机构名称）</w:t>
      </w:r>
    </w:p>
    <w:p w14:paraId="7E16C084">
      <w:pPr>
        <w:spacing w:line="360" w:lineRule="auto"/>
        <w:jc w:val="left"/>
        <w:rPr>
          <w:rFonts w:ascii="宋体" w:hAnsi="宋体" w:eastAsia="宋体" w:cs="Times New Roman"/>
          <w:color w:val="000000" w:themeColor="text1"/>
          <w:sz w:val="24"/>
          <w:highlight w:val="none"/>
          <w14:textFill>
            <w14:solidFill>
              <w14:schemeClr w14:val="tx1"/>
            </w14:solidFill>
          </w14:textFill>
        </w:rPr>
      </w:pPr>
    </w:p>
    <w:p w14:paraId="07C9812F">
      <w:pPr>
        <w:spacing w:line="360" w:lineRule="auto"/>
        <w:ind w:firstLine="42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按照招标公告的规定，</w:t>
      </w:r>
      <w:r>
        <w:rPr>
          <w:rFonts w:ascii="宋体" w:hAnsi="宋体" w:eastAsia="宋体" w:cs="Times New Roman"/>
          <w:color w:val="000000" w:themeColor="text1"/>
          <w:szCs w:val="20"/>
          <w:highlight w:val="none"/>
          <w:u w:val="single"/>
          <w14:textFill>
            <w14:solidFill>
              <w14:schemeClr w14:val="tx1"/>
            </w14:solidFill>
          </w14:textFill>
        </w:rPr>
        <w:t xml:space="preserve">                               </w:t>
      </w:r>
      <w:r>
        <w:rPr>
          <w:rFonts w:hint="eastAsia" w:ascii="宋体" w:hAnsi="宋体" w:eastAsia="宋体" w:cs="Times New Roman"/>
          <w:color w:val="000000" w:themeColor="text1"/>
          <w:szCs w:val="20"/>
          <w:highlight w:val="none"/>
          <w14:textFill>
            <w14:solidFill>
              <w14:schemeClr w14:val="tx1"/>
            </w14:solidFill>
          </w14:textFill>
        </w:rPr>
        <w:t>（外国或香港、澳门、台湾的设计企业）作为投标人（即“申请人”，下同）</w:t>
      </w:r>
      <w:r>
        <w:rPr>
          <w:rFonts w:ascii="宋体" w:hAnsi="宋体" w:eastAsia="宋体" w:cs="Times New Roman"/>
          <w:color w:val="000000" w:themeColor="text1"/>
          <w:szCs w:val="20"/>
          <w:highlight w:val="none"/>
          <w:u w:val="single"/>
          <w14:textFill>
            <w14:solidFill>
              <w14:schemeClr w14:val="tx1"/>
            </w14:solidFill>
          </w14:textFill>
        </w:rPr>
        <w:t xml:space="preserve">                         </w:t>
      </w:r>
      <w:r>
        <w:rPr>
          <w:rFonts w:hint="eastAsia" w:ascii="宋体" w:hAnsi="宋体" w:eastAsia="宋体" w:cs="Times New Roman"/>
          <w:color w:val="000000" w:themeColor="text1"/>
          <w:szCs w:val="20"/>
          <w:highlight w:val="none"/>
          <w14:textFill>
            <w14:solidFill>
              <w14:schemeClr w14:val="tx1"/>
            </w14:solidFill>
          </w14:textFill>
        </w:rPr>
        <w:t>（符合招标公告</w:t>
      </w:r>
      <w:r>
        <w:rPr>
          <w:rFonts w:hint="eastAsia" w:ascii="宋体" w:hAnsi="宋体" w:eastAsia="宋体" w:cs="Times New Roman"/>
          <w:color w:val="000000" w:themeColor="text1"/>
          <w:szCs w:val="21"/>
          <w:highlight w:val="none"/>
          <w14:textFill>
            <w14:solidFill>
              <w14:schemeClr w14:val="tx1"/>
            </w14:solidFill>
          </w14:textFill>
        </w:rPr>
        <w:t>第</w:t>
      </w:r>
      <w:r>
        <w:rPr>
          <w:rFonts w:ascii="宋体" w:hAnsi="宋体" w:eastAsia="宋体" w:cs="Times New Roman"/>
          <w:color w:val="000000" w:themeColor="text1"/>
          <w:szCs w:val="21"/>
          <w:highlight w:val="none"/>
          <w14:textFill>
            <w14:solidFill>
              <w14:schemeClr w14:val="tx1"/>
            </w14:solidFill>
          </w14:textFill>
        </w:rPr>
        <w:t>1.4.2条资质条件的企业</w:t>
      </w:r>
      <w:r>
        <w:rPr>
          <w:rFonts w:hint="eastAsia" w:ascii="宋体" w:hAnsi="宋体" w:eastAsia="宋体" w:cs="Times New Roman"/>
          <w:color w:val="000000" w:themeColor="text1"/>
          <w:szCs w:val="20"/>
          <w:highlight w:val="none"/>
          <w14:textFill>
            <w14:solidFill>
              <w14:schemeClr w14:val="tx1"/>
            </w14:solidFill>
          </w14:textFill>
        </w:rPr>
        <w:t>）的合作设计方，参与本项目进行合作设计。若中标，各成员向招标人承担连带责任</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0"/>
          <w:highlight w:val="none"/>
          <w14:textFill>
            <w14:solidFill>
              <w14:schemeClr w14:val="tx1"/>
            </w14:solidFill>
          </w14:textFill>
        </w:rPr>
        <w:t>合作设计方</w:t>
      </w:r>
      <w:r>
        <w:rPr>
          <w:rFonts w:hint="eastAsia" w:ascii="宋体" w:hAnsi="宋体" w:eastAsia="宋体" w:cs="Times New Roman"/>
          <w:color w:val="000000" w:themeColor="text1"/>
          <w:szCs w:val="21"/>
          <w:highlight w:val="none"/>
          <w14:textFill>
            <w14:solidFill>
              <w14:schemeClr w14:val="tx1"/>
            </w14:solidFill>
          </w14:textFill>
        </w:rPr>
        <w:t>授权委托</w:t>
      </w:r>
      <w:r>
        <w:rPr>
          <w:rFonts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0"/>
          <w:highlight w:val="none"/>
          <w14:textFill>
            <w14:solidFill>
              <w14:schemeClr w14:val="tx1"/>
            </w14:solidFill>
          </w14:textFill>
        </w:rPr>
        <w:t>符合招标公告</w:t>
      </w:r>
      <w:r>
        <w:rPr>
          <w:rFonts w:hint="eastAsia" w:ascii="宋体" w:hAnsi="宋体" w:eastAsia="宋体" w:cs="Times New Roman"/>
          <w:color w:val="000000" w:themeColor="text1"/>
          <w:szCs w:val="21"/>
          <w:highlight w:val="none"/>
          <w14:textFill>
            <w14:solidFill>
              <w14:schemeClr w14:val="tx1"/>
            </w14:solidFill>
          </w14:textFill>
        </w:rPr>
        <w:t>第</w:t>
      </w:r>
      <w:r>
        <w:rPr>
          <w:rFonts w:ascii="宋体" w:hAnsi="宋体" w:eastAsia="宋体" w:cs="Times New Roman"/>
          <w:color w:val="000000" w:themeColor="text1"/>
          <w:szCs w:val="21"/>
          <w:highlight w:val="none"/>
          <w14:textFill>
            <w14:solidFill>
              <w14:schemeClr w14:val="tx1"/>
            </w14:solidFill>
          </w14:textFill>
        </w:rPr>
        <w:t>1.4.2条资质条件的企业）代表所有合作成员参加投标、提交投标文件，以及与招标人签订合同，负责整个合同实施阶段的协调工作。</w:t>
      </w:r>
    </w:p>
    <w:p w14:paraId="602C7D08">
      <w:pPr>
        <w:spacing w:line="360" w:lineRule="auto"/>
        <w:ind w:firstLine="420"/>
        <w:rPr>
          <w:rFonts w:ascii="宋体" w:hAnsi="宋体" w:eastAsia="宋体" w:cs="Times New Roman"/>
          <w:color w:val="000000" w:themeColor="text1"/>
          <w:szCs w:val="20"/>
          <w:highlight w:val="none"/>
          <w14:textFill>
            <w14:solidFill>
              <w14:schemeClr w14:val="tx1"/>
            </w14:solidFill>
          </w14:textFill>
        </w:rPr>
      </w:pPr>
    </w:p>
    <w:p w14:paraId="56F853DF">
      <w:pPr>
        <w:spacing w:line="360" w:lineRule="auto"/>
        <w:ind w:left="735" w:hanging="735" w:hangingChars="350"/>
        <w:jc w:val="left"/>
        <w:rPr>
          <w:rFonts w:ascii="宋体" w:hAnsi="宋体" w:eastAsia="宋体" w:cs="Times New Roman"/>
          <w:color w:val="000000" w:themeColor="text1"/>
          <w:szCs w:val="21"/>
          <w:highlight w:val="none"/>
          <w14:textFill>
            <w14:solidFill>
              <w14:schemeClr w14:val="tx1"/>
            </w14:solidFill>
          </w14:textFill>
        </w:rPr>
      </w:pPr>
    </w:p>
    <w:p w14:paraId="51270B8C">
      <w:pPr>
        <w:spacing w:line="360" w:lineRule="auto"/>
        <w:rPr>
          <w:rFonts w:ascii="宋体" w:hAnsi="宋体" w:eastAsia="宋体" w:cs="Times New Roman"/>
          <w:color w:val="000000" w:themeColor="text1"/>
          <w:highlight w:val="none"/>
          <w14:textFill>
            <w14:solidFill>
              <w14:schemeClr w14:val="tx1"/>
            </w14:solidFill>
          </w14:textFill>
        </w:rPr>
      </w:pPr>
    </w:p>
    <w:p w14:paraId="06D84EB5">
      <w:pPr>
        <w:spacing w:line="360" w:lineRule="auto"/>
        <w:rPr>
          <w:rFonts w:ascii="宋体" w:hAnsi="宋体" w:eastAsia="宋体" w:cs="Times New Roman"/>
          <w:color w:val="000000" w:themeColor="text1"/>
          <w:szCs w:val="20"/>
          <w:highlight w:val="none"/>
          <w14:textFill>
            <w14:solidFill>
              <w14:schemeClr w14:val="tx1"/>
            </w14:solidFill>
          </w14:textFill>
        </w:rPr>
      </w:pPr>
    </w:p>
    <w:p w14:paraId="3D98CEA3">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合作设计方：（盖章）</w:t>
      </w:r>
    </w:p>
    <w:p w14:paraId="21CFC4C2">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代表人：（签字或盖章）</w:t>
      </w:r>
    </w:p>
    <w:p w14:paraId="42D668A2">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分工内容：</w:t>
      </w:r>
    </w:p>
    <w:p w14:paraId="3DAA3AFA">
      <w:pPr>
        <w:spacing w:line="360" w:lineRule="auto"/>
        <w:rPr>
          <w:rFonts w:ascii="宋体" w:hAnsi="宋体" w:eastAsia="宋体" w:cs="Times New Roman"/>
          <w:color w:val="000000" w:themeColor="text1"/>
          <w:szCs w:val="21"/>
          <w:highlight w:val="none"/>
          <w14:textFill>
            <w14:solidFill>
              <w14:schemeClr w14:val="tx1"/>
            </w14:solidFill>
          </w14:textFill>
        </w:rPr>
      </w:pPr>
    </w:p>
    <w:p w14:paraId="5BC506B5">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投标人：（盖章）</w:t>
      </w:r>
    </w:p>
    <w:p w14:paraId="14F59B49">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代表人</w:t>
      </w:r>
      <w:r>
        <w:rPr>
          <w:rFonts w:hint="eastAsia" w:ascii="宋体" w:hAnsi="宋体" w:eastAsia="宋体" w:cs="Times New Roman"/>
          <w:color w:val="000000" w:themeColor="text1"/>
          <w:szCs w:val="21"/>
          <w:highlight w:val="none"/>
          <w14:textFill>
            <w14:solidFill>
              <w14:schemeClr w14:val="tx1"/>
            </w14:solidFill>
          </w14:textFill>
        </w:rPr>
        <w:t>：（签字或盖章）</w:t>
      </w:r>
    </w:p>
    <w:p w14:paraId="590E5477">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分工内容：</w:t>
      </w:r>
    </w:p>
    <w:p w14:paraId="0DA9AEE5">
      <w:pPr>
        <w:widowControl w:val="0"/>
        <w:ind w:firstLine="420" w:firstLineChars="200"/>
        <w:jc w:val="both"/>
        <w:rPr>
          <w:rFonts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p w14:paraId="251DF15D">
      <w:pPr>
        <w:widowControl w:val="0"/>
        <w:ind w:firstLine="400" w:firstLineChars="200"/>
        <w:jc w:val="both"/>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pPr>
    </w:p>
    <w:p w14:paraId="7D9CC773">
      <w:pPr>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br w:type="page"/>
      </w:r>
    </w:p>
    <w:p w14:paraId="2B1A25EA">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92" w:name="_Toc14103"/>
      <w:bookmarkStart w:id="93" w:name="_Toc25716"/>
      <w:bookmarkStart w:id="94" w:name="_Toc14885"/>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附录8 投标人声明</w:t>
      </w:r>
      <w:bookmarkEnd w:id="92"/>
      <w:bookmarkEnd w:id="93"/>
      <w:bookmarkEnd w:id="94"/>
    </w:p>
    <w:p w14:paraId="70B0FA8C">
      <w:pPr>
        <w:spacing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投标人声明（适用于设资格审查环节的项目）</w:t>
      </w:r>
    </w:p>
    <w:p w14:paraId="7E16B6DF">
      <w:pPr>
        <w:widowControl w:val="0"/>
        <w:spacing w:line="360" w:lineRule="auto"/>
        <w:ind w:firstLine="0"/>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广州市住房和城乡建设局、本招标项目招标人及招标监管机构：</w:t>
      </w:r>
    </w:p>
    <w:p w14:paraId="77756990">
      <w:pPr>
        <w:widowControl w:val="0"/>
        <w:spacing w:line="360" w:lineRule="auto"/>
        <w:ind w:firstLine="629"/>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本公司就参加</w:t>
      </w:r>
      <w:r>
        <w:rPr>
          <w:rFonts w:hint="eastAsia" w:ascii="宋体" w:hAnsi="宋体" w:eastAsia="宋体" w:cs="Times New Roman"/>
          <w:color w:val="000000" w:themeColor="text1"/>
          <w:sz w:val="24"/>
          <w:highlight w:val="none"/>
          <w:u w:val="single"/>
          <w14:textFill>
            <w14:solidFill>
              <w14:schemeClr w14:val="tx1"/>
            </w14:solidFill>
          </w14:textFill>
        </w:rPr>
        <w:t>广州市农业农村科学院东涌基地建设项目勘察设计</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投标工作，作出郑重声明：我方与招标人过去</w:t>
      </w:r>
      <w:r>
        <w:rPr>
          <w:rFonts w:ascii="宋体" w:hAnsi="宋体" w:eastAsia="宋体" w:cs="Times New Roman"/>
          <w:color w:val="000000" w:themeColor="text1"/>
          <w:sz w:val="24"/>
          <w:szCs w:val="24"/>
          <w:highlight w:val="none"/>
          <w:lang w:val="en-US" w:eastAsia="zh-CN" w:bidi="ar-SA"/>
          <w14:textFill>
            <w14:solidFill>
              <w14:schemeClr w14:val="tx1"/>
            </w14:solidFill>
          </w14:textFill>
        </w:rPr>
        <w:t>3年内无合同履约纠纷，不存在第三章第3.11项规定的任何一种情形。</w:t>
      </w:r>
    </w:p>
    <w:p w14:paraId="3E797327">
      <w:pPr>
        <w:widowControl w:val="0"/>
        <w:spacing w:line="360" w:lineRule="auto"/>
        <w:ind w:firstLine="629"/>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特此声明。</w:t>
      </w:r>
    </w:p>
    <w:p w14:paraId="65CE2F6C">
      <w:pPr>
        <w:widowControl w:val="0"/>
        <w:spacing w:line="360" w:lineRule="auto"/>
        <w:ind w:firstLine="629"/>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p>
    <w:p w14:paraId="27285391">
      <w:pPr>
        <w:widowControl w:val="0"/>
        <w:spacing w:line="360" w:lineRule="auto"/>
        <w:ind w:left="0" w:right="1449" w:firstLine="3840" w:firstLineChars="1600"/>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投标人：</w:t>
      </w: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p>
    <w:p w14:paraId="03A1452B">
      <w:pPr>
        <w:widowControl w:val="0"/>
        <w:spacing w:line="360" w:lineRule="auto"/>
        <w:ind w:right="2079" w:firstLine="2160" w:firstLineChars="900"/>
        <w:jc w:val="right"/>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年</w:t>
      </w: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月</w:t>
      </w: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日</w:t>
      </w:r>
    </w:p>
    <w:p w14:paraId="338764A4">
      <w:pPr>
        <w:pStyle w:val="13"/>
        <w:widowControl w:val="0"/>
        <w:spacing w:beforeAutospacing="0" w:afterAutospacing="0" w:line="360" w:lineRule="auto"/>
        <w:jc w:val="both"/>
        <w:rPr>
          <w:rFonts w:cs="宋体"/>
          <w:b/>
          <w:color w:val="000000" w:themeColor="text1"/>
          <w:highlight w:val="none"/>
          <w:u w:val="single"/>
          <w14:textFill>
            <w14:solidFill>
              <w14:schemeClr w14:val="tx1"/>
            </w14:solidFill>
          </w14:textFill>
        </w:rPr>
      </w:pPr>
    </w:p>
    <w:p w14:paraId="33520602">
      <w:pPr>
        <w:pStyle w:val="13"/>
        <w:widowControl w:val="0"/>
        <w:spacing w:beforeAutospacing="0" w:afterAutospacing="0" w:line="360" w:lineRule="auto"/>
        <w:jc w:val="both"/>
        <w:rPr>
          <w:rFonts w:hint="default" w:hAnsi="Courier New"/>
          <w:color w:val="000000" w:themeColor="text1"/>
          <w:highlight w:val="none"/>
          <w:u w:val="none"/>
          <w14:textFill>
            <w14:solidFill>
              <w14:schemeClr w14:val="tx1"/>
            </w14:solidFill>
          </w14:textFill>
        </w:rPr>
      </w:pPr>
    </w:p>
    <w:p w14:paraId="6DA86404">
      <w:pPr>
        <w:widowControl w:val="0"/>
        <w:spacing w:line="360" w:lineRule="auto"/>
        <w:ind w:right="2079" w:firstLine="2160" w:firstLineChars="900"/>
        <w:jc w:val="right"/>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pPr>
    </w:p>
    <w:p w14:paraId="6C2FDFEF">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1B002139">
      <w:pPr>
        <w:rPr>
          <w:rFonts w:ascii="宋体" w:hAnsi="宋体" w:eastAsia="宋体" w:cs="Times New Roman"/>
          <w:color w:val="000000" w:themeColor="text1"/>
          <w:highlight w:val="none"/>
          <w14:textFill>
            <w14:solidFill>
              <w14:schemeClr w14:val="tx1"/>
            </w14:solidFill>
          </w14:textFill>
        </w:rPr>
      </w:pPr>
    </w:p>
    <w:p w14:paraId="5A443440">
      <w:pPr>
        <w:spacing w:line="360" w:lineRule="auto"/>
        <w:jc w:val="center"/>
        <w:rPr>
          <w:rFonts w:hint="eastAsia" w:ascii="宋体" w:hAnsi="宋体" w:eastAsia="宋体" w:cs="Times New Roman"/>
          <w:b/>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sz w:val="28"/>
          <w:szCs w:val="28"/>
          <w:highlight w:val="none"/>
          <w14:textFill>
            <w14:solidFill>
              <w14:schemeClr w14:val="tx1"/>
            </w14:solidFill>
          </w14:textFill>
        </w:rPr>
        <w:t>投标人声明（适用于未设资格审查环节的项目）</w:t>
      </w:r>
    </w:p>
    <w:p w14:paraId="017D94E0">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p>
    <w:p w14:paraId="1388DB50">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广州市住房和城乡建设局、本招标项目招标人及招标监管机构：</w:t>
      </w:r>
    </w:p>
    <w:p w14:paraId="17AA2750">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本公司就参加</w:t>
      </w:r>
      <w:r>
        <w:rPr>
          <w:rFonts w:ascii="宋体" w:hAnsi="宋体" w:eastAsia="宋体" w:cs="Times New Roman"/>
          <w:strike/>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投标工作，作出郑重声明：我方满足招标公告“</w:t>
      </w: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 xml:space="preserve">1.4 </w:t>
      </w: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投标资格”中的各项要求。如本公司成为本项目中标候选人的，将在招标人规定的时间内提交相关资料供招标人复核。本公司未按要求提交资料或经复核不满足资格条件的，视为放弃中标资格。</w:t>
      </w:r>
    </w:p>
    <w:p w14:paraId="66CBA378">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47557F6E">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特此声明。</w:t>
      </w:r>
    </w:p>
    <w:p w14:paraId="0660BD49">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p>
    <w:p w14:paraId="2F3D9876">
      <w:pPr>
        <w:widowControl w:val="0"/>
        <w:spacing w:line="360" w:lineRule="auto"/>
        <w:ind w:left="0" w:right="1449" w:firstLine="3840" w:firstLineChars="1600"/>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投标人：</w:t>
      </w: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(盖章)</w:t>
      </w:r>
    </w:p>
    <w:p w14:paraId="1CC7270F">
      <w:pPr>
        <w:widowControl w:val="0"/>
        <w:spacing w:line="360" w:lineRule="auto"/>
        <w:ind w:right="1449" w:firstLine="0"/>
        <w:jc w:val="cente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 xml:space="preserve">                                          </w:t>
      </w:r>
    </w:p>
    <w:p w14:paraId="5D016F3B">
      <w:pPr>
        <w:widowControl w:val="0"/>
        <w:spacing w:line="360" w:lineRule="auto"/>
        <w:ind w:right="2079" w:firstLine="2160" w:firstLineChars="900"/>
        <w:jc w:val="right"/>
        <w:rPr>
          <w:rFonts w:ascii="宋体" w:hAnsi="宋体" w:eastAsia="仿宋_GB2312"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年</w:t>
      </w: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月</w:t>
      </w: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日</w:t>
      </w:r>
    </w:p>
    <w:p w14:paraId="6C3840AD">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64D19AB4">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4E4203C7">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1F6E4EC1">
      <w:pPr>
        <w:spacing w:line="360" w:lineRule="auto"/>
        <w:rPr>
          <w:strike/>
          <w:color w:val="000000" w:themeColor="text1"/>
          <w:sz w:val="24"/>
          <w:szCs w:val="24"/>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Courier New" w:eastAsia="宋体" w:cs="Times New Roman"/>
          <w:b/>
          <w:strike/>
          <w:color w:val="000000" w:themeColor="text1"/>
          <w:kern w:val="0"/>
          <w:sz w:val="24"/>
          <w:szCs w:val="24"/>
          <w:highlight w:val="none"/>
          <w:u w:val="single"/>
          <w:lang w:val="en-US" w:eastAsia="zh-CN" w:bidi="ar-SA"/>
          <w14:textFill>
            <w14:solidFill>
              <w14:schemeClr w14:val="tx1"/>
            </w14:solidFill>
          </w14:textFill>
        </w:rPr>
        <w:t>（注：如联合体投标人，须由联合体主办方盖章。）</w:t>
      </w:r>
      <w:r>
        <w:rPr>
          <w:rFonts w:ascii="宋体" w:hAnsi="Courier New" w:eastAsia="宋体" w:cs="Times New Roman"/>
          <w:strike/>
          <w:color w:val="000000" w:themeColor="text1"/>
          <w:kern w:val="0"/>
          <w:sz w:val="24"/>
          <w:szCs w:val="24"/>
          <w:highlight w:val="none"/>
          <w:lang w:val="en-US" w:eastAsia="zh-CN" w:bidi="ar-SA"/>
          <w14:textFill>
            <w14:solidFill>
              <w14:schemeClr w14:val="tx1"/>
            </w14:solidFill>
          </w14:textFill>
        </w:rPr>
        <w:t xml:space="preserve">   </w:t>
      </w:r>
    </w:p>
    <w:p w14:paraId="066FE038">
      <w:pPr>
        <w:keepNext/>
        <w:keepLines/>
        <w:pageBreakBefore w:val="0"/>
        <w:widowControl/>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color w:val="000000" w:themeColor="text1"/>
          <w:kern w:val="44"/>
          <w:sz w:val="30"/>
          <w:szCs w:val="30"/>
          <w:highlight w:val="none"/>
          <w14:textFill>
            <w14:solidFill>
              <w14:schemeClr w14:val="tx1"/>
            </w14:solidFill>
          </w14:textFill>
        </w:rPr>
      </w:pPr>
      <w:bookmarkStart w:id="95" w:name="_Toc2175"/>
      <w:bookmarkStart w:id="96" w:name="_Toc23263"/>
      <w:bookmarkStart w:id="97" w:name="_Toc6829"/>
      <w:bookmarkStart w:id="98" w:name="_Toc32015"/>
      <w:r>
        <w:rPr>
          <w:rFonts w:hint="eastAsia" w:ascii="宋体" w:hAnsi="宋体" w:eastAsia="宋体" w:cs="宋体"/>
          <w:b/>
          <w:bCs/>
          <w:color w:val="000000" w:themeColor="text1"/>
          <w:kern w:val="44"/>
          <w:sz w:val="30"/>
          <w:szCs w:val="30"/>
          <w:highlight w:val="none"/>
          <w14:textFill>
            <w14:solidFill>
              <w14:schemeClr w14:val="tx1"/>
            </w14:solidFill>
          </w14:textFill>
        </w:rPr>
        <w:t>附录9 资格审查表</w:t>
      </w:r>
      <w:bookmarkEnd w:id="95"/>
      <w:bookmarkEnd w:id="96"/>
      <w:bookmarkEnd w:id="97"/>
      <w:bookmarkEnd w:id="98"/>
    </w:p>
    <w:p w14:paraId="00CF3F7A">
      <w:pPr>
        <w:spacing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资格审查表</w:t>
      </w:r>
    </w:p>
    <w:p w14:paraId="00EE3857">
      <w:pPr>
        <w:spacing w:line="360" w:lineRule="auto"/>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项目名称：</w:t>
      </w:r>
    </w:p>
    <w:tbl>
      <w:tblPr>
        <w:tblStyle w:val="15"/>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475"/>
        <w:gridCol w:w="911"/>
        <w:gridCol w:w="911"/>
        <w:gridCol w:w="911"/>
      </w:tblGrid>
      <w:tr w14:paraId="6543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54D95456">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序号</w:t>
            </w:r>
          </w:p>
        </w:tc>
        <w:tc>
          <w:tcPr>
            <w:tcW w:w="5475" w:type="dxa"/>
            <w:tcBorders>
              <w:top w:val="single" w:color="auto" w:sz="4" w:space="0"/>
              <w:left w:val="single" w:color="auto" w:sz="4" w:space="0"/>
              <w:bottom w:val="single" w:color="auto" w:sz="4" w:space="0"/>
              <w:right w:val="single" w:color="auto" w:sz="4" w:space="0"/>
              <w:tl2br w:val="single" w:color="auto" w:sz="4" w:space="0"/>
            </w:tcBorders>
          </w:tcPr>
          <w:p w14:paraId="0168015E">
            <w:pPr>
              <w:keepNext w:val="0"/>
              <w:keepLines w:val="0"/>
              <w:suppressLineNumbers w:val="0"/>
              <w:spacing w:before="0" w:beforeAutospacing="0" w:after="0" w:afterAutospacing="0" w:line="360" w:lineRule="auto"/>
              <w:ind w:left="0" w:right="0"/>
              <w:jc w:val="center"/>
              <w:rPr>
                <w:rFonts w:hint="default"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 xml:space="preserve">                      投标人名称</w:t>
            </w:r>
          </w:p>
          <w:p w14:paraId="218C1F9F">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审查项目</w:t>
            </w:r>
          </w:p>
        </w:tc>
        <w:tc>
          <w:tcPr>
            <w:tcW w:w="911" w:type="dxa"/>
            <w:tcBorders>
              <w:top w:val="single" w:color="auto" w:sz="4" w:space="0"/>
              <w:left w:val="single" w:color="auto" w:sz="4" w:space="0"/>
              <w:bottom w:val="single" w:color="auto" w:sz="4" w:space="0"/>
              <w:right w:val="single" w:color="auto" w:sz="4" w:space="0"/>
            </w:tcBorders>
          </w:tcPr>
          <w:p w14:paraId="02017A0C">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4F3A0913">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22A11E2">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1CD0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56BB98AB">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1</w:t>
            </w:r>
          </w:p>
        </w:tc>
        <w:tc>
          <w:tcPr>
            <w:tcW w:w="5475" w:type="dxa"/>
            <w:tcBorders>
              <w:top w:val="single" w:color="auto" w:sz="4" w:space="0"/>
              <w:left w:val="single" w:color="auto" w:sz="4" w:space="0"/>
              <w:bottom w:val="single" w:color="auto" w:sz="4" w:space="0"/>
              <w:right w:val="single" w:color="auto" w:sz="4" w:space="0"/>
            </w:tcBorders>
            <w:vAlign w:val="center"/>
          </w:tcPr>
          <w:p w14:paraId="3FBC1193">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申请人</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如为联合体，则联合体各方</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与招标人过去</w:t>
            </w:r>
            <w:r>
              <w:rPr>
                <w:rFonts w:hint="default" w:ascii="宋体" w:hAnsi="宋体" w:eastAsia="宋体" w:cs="Times New Roman"/>
                <w:color w:val="000000" w:themeColor="text1"/>
                <w:sz w:val="24"/>
                <w:highlight w:val="none"/>
                <w14:textFill>
                  <w14:solidFill>
                    <w14:schemeClr w14:val="tx1"/>
                  </w14:solidFill>
                </w14:textFill>
              </w:rPr>
              <w:t>3年内无合同履约纠纷。</w:t>
            </w:r>
            <w:r>
              <w:rPr>
                <w:rFonts w:hint="eastAsia" w:ascii="宋体" w:hAnsi="宋体" w:eastAsia="宋体" w:cs="Times New Roman"/>
                <w:color w:val="000000" w:themeColor="text1"/>
                <w:sz w:val="24"/>
                <w:highlight w:val="none"/>
                <w:u w:val="single"/>
                <w14:textFill>
                  <w14:solidFill>
                    <w14:schemeClr w14:val="tx1"/>
                  </w14:solidFill>
                </w14:textFill>
              </w:rPr>
              <w:t>（注：不得参加投标的情形详见招标文件第三章第</w:t>
            </w:r>
            <w:r>
              <w:rPr>
                <w:rFonts w:hint="default" w:ascii="宋体" w:hAnsi="宋体" w:eastAsia="宋体" w:cs="Times New Roman"/>
                <w:color w:val="000000" w:themeColor="text1"/>
                <w:sz w:val="24"/>
                <w:highlight w:val="none"/>
                <w:u w:val="single"/>
                <w14:textFill>
                  <w14:solidFill>
                    <w14:schemeClr w14:val="tx1"/>
                  </w14:solidFill>
                </w14:textFill>
              </w:rPr>
              <w:t>3.11项及根据投标人声明评审）</w:t>
            </w:r>
          </w:p>
        </w:tc>
        <w:tc>
          <w:tcPr>
            <w:tcW w:w="911" w:type="dxa"/>
            <w:tcBorders>
              <w:top w:val="single" w:color="auto" w:sz="4" w:space="0"/>
              <w:left w:val="single" w:color="auto" w:sz="4" w:space="0"/>
              <w:bottom w:val="single" w:color="auto" w:sz="4" w:space="0"/>
              <w:right w:val="single" w:color="auto" w:sz="4" w:space="0"/>
            </w:tcBorders>
          </w:tcPr>
          <w:p w14:paraId="73D237E1">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39E96E28">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4ABAD08">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2073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38066831">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2</w:t>
            </w:r>
          </w:p>
        </w:tc>
        <w:tc>
          <w:tcPr>
            <w:tcW w:w="5475" w:type="dxa"/>
            <w:tcBorders>
              <w:top w:val="single" w:color="auto" w:sz="4" w:space="0"/>
              <w:left w:val="single" w:color="auto" w:sz="4" w:space="0"/>
              <w:bottom w:val="single" w:color="auto" w:sz="4" w:space="0"/>
              <w:right w:val="single" w:color="auto" w:sz="4" w:space="0"/>
            </w:tcBorders>
            <w:vAlign w:val="center"/>
          </w:tcPr>
          <w:p w14:paraId="715B032F">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申请人的资质满足招标公告规定。</w:t>
            </w:r>
          </w:p>
        </w:tc>
        <w:tc>
          <w:tcPr>
            <w:tcW w:w="911" w:type="dxa"/>
            <w:tcBorders>
              <w:top w:val="single" w:color="auto" w:sz="4" w:space="0"/>
              <w:left w:val="single" w:color="auto" w:sz="4" w:space="0"/>
              <w:bottom w:val="single" w:color="auto" w:sz="4" w:space="0"/>
              <w:right w:val="single" w:color="auto" w:sz="4" w:space="0"/>
            </w:tcBorders>
          </w:tcPr>
          <w:p w14:paraId="303D99FB">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07C0259">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462FDD88">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0C88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DA7B3D1">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szCs w:val="20"/>
                <w:highlight w:val="none"/>
                <w14:textFill>
                  <w14:solidFill>
                    <w14:schemeClr w14:val="tx1"/>
                  </w14:solidFill>
                </w14:textFill>
              </w:rPr>
            </w:pPr>
            <w:r>
              <w:rPr>
                <w:rFonts w:hint="default" w:ascii="宋体" w:hAnsi="宋体" w:eastAsia="宋体" w:cs="Times New Roman"/>
                <w:color w:val="000000" w:themeColor="text1"/>
                <w:sz w:val="24"/>
                <w:szCs w:val="20"/>
                <w:highlight w:val="none"/>
                <w14:textFill>
                  <w14:solidFill>
                    <w14:schemeClr w14:val="tx1"/>
                  </w14:solidFill>
                </w14:textFill>
              </w:rPr>
              <w:t>3</w:t>
            </w:r>
          </w:p>
        </w:tc>
        <w:tc>
          <w:tcPr>
            <w:tcW w:w="5475" w:type="dxa"/>
            <w:tcBorders>
              <w:top w:val="single" w:color="auto" w:sz="4" w:space="0"/>
              <w:left w:val="single" w:color="auto" w:sz="4" w:space="0"/>
              <w:bottom w:val="single" w:color="auto" w:sz="4" w:space="0"/>
              <w:right w:val="single" w:color="auto" w:sz="4" w:space="0"/>
            </w:tcBorders>
            <w:vAlign w:val="center"/>
          </w:tcPr>
          <w:p w14:paraId="1D7C7FB4">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szCs w:val="20"/>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外国或澳门、台湾的设计企业必须选择一家符合上述条件的企业进行合作设计。香港企业如不单独参加投标，也必须选择一家符合上述条件的企业进行合作设计。</w:t>
            </w:r>
          </w:p>
        </w:tc>
        <w:tc>
          <w:tcPr>
            <w:tcW w:w="911" w:type="dxa"/>
            <w:tcBorders>
              <w:top w:val="single" w:color="auto" w:sz="4" w:space="0"/>
              <w:left w:val="single" w:color="auto" w:sz="4" w:space="0"/>
              <w:bottom w:val="single" w:color="auto" w:sz="4" w:space="0"/>
              <w:right w:val="single" w:color="auto" w:sz="4" w:space="0"/>
            </w:tcBorders>
          </w:tcPr>
          <w:p w14:paraId="76933C4F">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3262095A">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7BABF26">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72E0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57CCD7FC">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4</w:t>
            </w:r>
          </w:p>
        </w:tc>
        <w:tc>
          <w:tcPr>
            <w:tcW w:w="5475" w:type="dxa"/>
            <w:tcBorders>
              <w:top w:val="single" w:color="auto" w:sz="4" w:space="0"/>
              <w:left w:val="single" w:color="auto" w:sz="4" w:space="0"/>
              <w:bottom w:val="single" w:color="auto" w:sz="4" w:space="0"/>
              <w:right w:val="single" w:color="auto" w:sz="4" w:space="0"/>
            </w:tcBorders>
            <w:vAlign w:val="center"/>
          </w:tcPr>
          <w:p w14:paraId="38890E8C">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申请人（如为联合体，则联合体各方）已在广州市住房和城乡建设局建立企业信用档案，拟委派的项目负责人</w:t>
            </w:r>
            <w:r>
              <w:rPr>
                <w:rFonts w:hint="eastAsia" w:ascii="宋体" w:hAnsi="宋体" w:eastAsia="宋体" w:cs="Times New Roman"/>
                <w:color w:val="000000" w:themeColor="text1"/>
                <w:sz w:val="24"/>
                <w:highlight w:val="none"/>
                <w:lang w:eastAsia="zh-CN" w:bidi="ar"/>
                <w14:textFill>
                  <w14:solidFill>
                    <w14:schemeClr w14:val="tx1"/>
                  </w14:solidFill>
                </w14:textFill>
              </w:rPr>
              <w:t>（如为联合体，则联合体主办方）</w:t>
            </w:r>
            <w:r>
              <w:rPr>
                <w:rFonts w:hint="eastAsia" w:ascii="宋体" w:hAnsi="宋体" w:eastAsia="宋体" w:cs="Times New Roman"/>
                <w:color w:val="000000" w:themeColor="text1"/>
                <w:sz w:val="24"/>
                <w:szCs w:val="20"/>
                <w:highlight w:val="none"/>
                <w14:textFill>
                  <w14:solidFill>
                    <w14:schemeClr w14:val="tx1"/>
                  </w14:solidFill>
                </w14:textFill>
              </w:rPr>
              <w:t>须是本企业信用档案中的在册人员。（根据招标公告第1.4.4款进行评审）。</w:t>
            </w:r>
          </w:p>
        </w:tc>
        <w:tc>
          <w:tcPr>
            <w:tcW w:w="911" w:type="dxa"/>
            <w:tcBorders>
              <w:top w:val="single" w:color="auto" w:sz="4" w:space="0"/>
              <w:left w:val="single" w:color="auto" w:sz="4" w:space="0"/>
              <w:bottom w:val="single" w:color="auto" w:sz="4" w:space="0"/>
              <w:right w:val="single" w:color="auto" w:sz="4" w:space="0"/>
            </w:tcBorders>
          </w:tcPr>
          <w:p w14:paraId="01BB5394">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0201E84">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79E0E6C">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584D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5D97817">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5</w:t>
            </w:r>
          </w:p>
        </w:tc>
        <w:tc>
          <w:tcPr>
            <w:tcW w:w="5475" w:type="dxa"/>
            <w:tcBorders>
              <w:top w:val="single" w:color="auto" w:sz="4" w:space="0"/>
              <w:left w:val="single" w:color="auto" w:sz="4" w:space="0"/>
              <w:bottom w:val="single" w:color="auto" w:sz="4" w:space="0"/>
              <w:right w:val="single" w:color="auto" w:sz="4" w:space="0"/>
            </w:tcBorders>
            <w:vAlign w:val="center"/>
          </w:tcPr>
          <w:p w14:paraId="1523E03F">
            <w:pPr>
              <w:keepNext w:val="0"/>
              <w:keepLines w:val="0"/>
              <w:suppressLineNumbers w:val="0"/>
              <w:spacing w:before="0" w:beforeAutospacing="0" w:after="0" w:afterAutospacing="0" w:line="360" w:lineRule="auto"/>
              <w:ind w:left="0" w:right="0"/>
              <w:rPr>
                <w:rFonts w:hint="default" w:ascii="宋体" w:hAnsi="Courier New"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申请人</w:t>
            </w:r>
            <w:r>
              <w:rPr>
                <w:rFonts w:hint="eastAsia" w:ascii="宋体" w:hAnsi="宋体" w:eastAsia="宋体" w:cs="Times New Roman"/>
                <w:color w:val="000000" w:themeColor="text1"/>
                <w:sz w:val="24"/>
                <w:highlight w:val="none"/>
                <w:lang w:val="en-US" w:eastAsia="zh-CN"/>
                <w14:textFill>
                  <w14:solidFill>
                    <w14:schemeClr w14:val="tx1"/>
                  </w14:solidFill>
                </w14:textFill>
              </w:rPr>
              <w:t>委派的</w:t>
            </w:r>
            <w:r>
              <w:rPr>
                <w:rFonts w:hint="eastAsia" w:ascii="宋体" w:hAnsi="宋体" w:eastAsia="宋体" w:cs="Times New Roman"/>
                <w:color w:val="000000" w:themeColor="text1"/>
                <w:sz w:val="24"/>
                <w:highlight w:val="none"/>
                <w14:textFill>
                  <w14:solidFill>
                    <w14:schemeClr w14:val="tx1"/>
                  </w14:solidFill>
                </w14:textFill>
              </w:rPr>
              <w:t>项目负责人资格满足招标公告规定。</w:t>
            </w:r>
          </w:p>
        </w:tc>
        <w:tc>
          <w:tcPr>
            <w:tcW w:w="911" w:type="dxa"/>
            <w:tcBorders>
              <w:top w:val="single" w:color="auto" w:sz="4" w:space="0"/>
              <w:left w:val="single" w:color="auto" w:sz="4" w:space="0"/>
              <w:bottom w:val="single" w:color="auto" w:sz="4" w:space="0"/>
              <w:right w:val="single" w:color="auto" w:sz="4" w:space="0"/>
            </w:tcBorders>
          </w:tcPr>
          <w:p w14:paraId="1DEE9F26">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53C7B6D4">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52E9F109">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34F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AD810A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6</w:t>
            </w:r>
          </w:p>
        </w:tc>
        <w:tc>
          <w:tcPr>
            <w:tcW w:w="5475" w:type="dxa"/>
            <w:tcBorders>
              <w:top w:val="single" w:color="auto" w:sz="4" w:space="0"/>
              <w:left w:val="single" w:color="auto" w:sz="4" w:space="0"/>
              <w:bottom w:val="single" w:color="auto" w:sz="4" w:space="0"/>
              <w:right w:val="single" w:color="auto" w:sz="4" w:space="0"/>
            </w:tcBorders>
            <w:vAlign w:val="center"/>
          </w:tcPr>
          <w:p w14:paraId="0431D82B">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以联合体形式投标的，已按要求向招标人提交共同投标协议。</w:t>
            </w:r>
          </w:p>
        </w:tc>
        <w:tc>
          <w:tcPr>
            <w:tcW w:w="911" w:type="dxa"/>
            <w:tcBorders>
              <w:top w:val="single" w:color="auto" w:sz="4" w:space="0"/>
              <w:left w:val="single" w:color="auto" w:sz="4" w:space="0"/>
              <w:bottom w:val="single" w:color="auto" w:sz="4" w:space="0"/>
              <w:right w:val="single" w:color="auto" w:sz="4" w:space="0"/>
            </w:tcBorders>
          </w:tcPr>
          <w:p w14:paraId="60680B82">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D7647E1">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18D8C017">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418F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D6C7178">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7</w:t>
            </w:r>
          </w:p>
        </w:tc>
        <w:tc>
          <w:tcPr>
            <w:tcW w:w="5475" w:type="dxa"/>
            <w:tcBorders>
              <w:top w:val="single" w:color="auto" w:sz="4" w:space="0"/>
              <w:left w:val="single" w:color="auto" w:sz="4" w:space="0"/>
              <w:bottom w:val="single" w:color="auto" w:sz="4" w:space="0"/>
              <w:right w:val="single" w:color="auto" w:sz="4" w:space="0"/>
            </w:tcBorders>
            <w:vAlign w:val="center"/>
          </w:tcPr>
          <w:p w14:paraId="45D6243F">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申请人没有第三章第</w:t>
            </w:r>
            <w:r>
              <w:rPr>
                <w:rFonts w:hint="default" w:ascii="宋体" w:hAnsi="宋体" w:eastAsia="宋体" w:cs="Times New Roman"/>
                <w:color w:val="000000" w:themeColor="text1"/>
                <w:sz w:val="24"/>
                <w:highlight w:val="none"/>
                <w14:textFill>
                  <w14:solidFill>
                    <w14:schemeClr w14:val="tx1"/>
                  </w14:solidFill>
                </w14:textFill>
              </w:rPr>
              <w:t>3.11项规定的任何一种情形（根据《</w:t>
            </w:r>
            <w:r>
              <w:rPr>
                <w:rFonts w:hint="eastAsia" w:ascii="宋体" w:hAnsi="宋体" w:eastAsia="宋体" w:cs="Times New Roman"/>
                <w:color w:val="000000" w:themeColor="text1"/>
                <w:sz w:val="24"/>
                <w:highlight w:val="none"/>
                <w14:textFill>
                  <w14:solidFill>
                    <w14:schemeClr w14:val="tx1"/>
                  </w14:solidFill>
                </w14:textFill>
              </w:rPr>
              <w:t>投标人</w:t>
            </w:r>
            <w:r>
              <w:rPr>
                <w:rFonts w:hint="default" w:ascii="宋体" w:hAnsi="宋体" w:eastAsia="宋体" w:cs="Times New Roman"/>
                <w:color w:val="000000" w:themeColor="text1"/>
                <w:sz w:val="24"/>
                <w:highlight w:val="none"/>
                <w14:textFill>
                  <w14:solidFill>
                    <w14:schemeClr w14:val="tx1"/>
                  </w14:solidFill>
                </w14:textFill>
              </w:rPr>
              <w:t>声明》</w:t>
            </w:r>
            <w:r>
              <w:rPr>
                <w:rFonts w:hint="eastAsia" w:ascii="宋体" w:hAnsi="宋体" w:eastAsia="宋体" w:cs="Times New Roman"/>
                <w:color w:val="000000" w:themeColor="text1"/>
                <w:sz w:val="24"/>
                <w:highlight w:val="none"/>
                <w14:textFill>
                  <w14:solidFill>
                    <w14:schemeClr w14:val="tx1"/>
                  </w14:solidFill>
                </w14:textFill>
              </w:rPr>
              <w:t>进行</w:t>
            </w:r>
            <w:r>
              <w:rPr>
                <w:rFonts w:hint="default" w:ascii="宋体" w:hAnsi="宋体" w:eastAsia="宋体" w:cs="Times New Roman"/>
                <w:color w:val="000000" w:themeColor="text1"/>
                <w:sz w:val="24"/>
                <w:highlight w:val="none"/>
                <w14:textFill>
                  <w14:solidFill>
                    <w14:schemeClr w14:val="tx1"/>
                  </w14:solidFill>
                </w14:textFill>
              </w:rPr>
              <w:t>评审</w:t>
            </w:r>
            <w:r>
              <w:rPr>
                <w:rFonts w:hint="eastAsia" w:ascii="宋体" w:hAnsi="宋体" w:eastAsia="宋体" w:cs="Times New Roman"/>
                <w:color w:val="000000" w:themeColor="text1"/>
                <w:sz w:val="24"/>
                <w:highlight w:val="none"/>
                <w14:textFill>
                  <w14:solidFill>
                    <w14:schemeClr w14:val="tx1"/>
                  </w14:solidFill>
                </w14:textFill>
              </w:rPr>
              <w:t>）。</w:t>
            </w:r>
          </w:p>
        </w:tc>
        <w:tc>
          <w:tcPr>
            <w:tcW w:w="911" w:type="dxa"/>
            <w:tcBorders>
              <w:top w:val="single" w:color="auto" w:sz="4" w:space="0"/>
              <w:left w:val="single" w:color="auto" w:sz="4" w:space="0"/>
              <w:bottom w:val="single" w:color="auto" w:sz="4" w:space="0"/>
              <w:right w:val="single" w:color="auto" w:sz="4" w:space="0"/>
            </w:tcBorders>
          </w:tcPr>
          <w:p w14:paraId="5BE71EDD">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14476686">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9B7E60A">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7977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ACF2CD8">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8</w:t>
            </w:r>
          </w:p>
        </w:tc>
        <w:tc>
          <w:tcPr>
            <w:tcW w:w="5475" w:type="dxa"/>
            <w:tcBorders>
              <w:top w:val="single" w:color="auto" w:sz="4" w:space="0"/>
              <w:left w:val="single" w:color="auto" w:sz="4" w:space="0"/>
              <w:bottom w:val="single" w:color="auto" w:sz="4" w:space="0"/>
              <w:right w:val="single" w:color="auto" w:sz="4" w:space="0"/>
            </w:tcBorders>
            <w:vAlign w:val="center"/>
          </w:tcPr>
          <w:p w14:paraId="0F227659">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u w:val="single"/>
                <w14:textFill>
                  <w14:solidFill>
                    <w14:schemeClr w14:val="tx1"/>
                  </w14:solidFill>
                </w14:textFill>
              </w:rPr>
              <w:t>申请人（如为联合体，则联合体各方）未在以往工程中因不充分履约行为被本项目招标人书面拒绝投标的（被招标人拒绝投标的名单详见招标公告附件一）。</w:t>
            </w:r>
          </w:p>
        </w:tc>
        <w:tc>
          <w:tcPr>
            <w:tcW w:w="911" w:type="dxa"/>
            <w:tcBorders>
              <w:top w:val="single" w:color="auto" w:sz="4" w:space="0"/>
              <w:left w:val="single" w:color="auto" w:sz="4" w:space="0"/>
              <w:bottom w:val="single" w:color="auto" w:sz="4" w:space="0"/>
              <w:right w:val="single" w:color="auto" w:sz="4" w:space="0"/>
            </w:tcBorders>
          </w:tcPr>
          <w:p w14:paraId="6528CE0D">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BB99292">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2807C7E">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218A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5CDF8F2B">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9</w:t>
            </w:r>
          </w:p>
        </w:tc>
        <w:tc>
          <w:tcPr>
            <w:tcW w:w="5475" w:type="dxa"/>
            <w:tcBorders>
              <w:top w:val="single" w:color="auto" w:sz="4" w:space="0"/>
              <w:left w:val="single" w:color="auto" w:sz="4" w:space="0"/>
              <w:bottom w:val="single" w:color="auto" w:sz="4" w:space="0"/>
              <w:right w:val="single" w:color="auto" w:sz="4" w:space="0"/>
            </w:tcBorders>
            <w:vAlign w:val="center"/>
          </w:tcPr>
          <w:p w14:paraId="7FE7184C">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b w:val="0"/>
                <w:bCs w:val="0"/>
                <w:color w:val="000000" w:themeColor="text1"/>
                <w:sz w:val="24"/>
                <w:highlight w:val="none"/>
                <w:u w:val="single"/>
                <w14:textFill>
                  <w14:solidFill>
                    <w14:schemeClr w14:val="tx1"/>
                  </w14:solidFill>
                </w14:textFill>
              </w:rPr>
              <w:t>申请人</w:t>
            </w:r>
            <w:r>
              <w:rPr>
                <w:rFonts w:hint="eastAsia" w:ascii="宋体" w:hAnsi="宋体" w:eastAsia="宋体" w:cs="Times New Roman"/>
                <w:color w:val="000000" w:themeColor="text1"/>
                <w:sz w:val="24"/>
                <w:highlight w:val="none"/>
                <w:u w:val="single"/>
                <w14:textFill>
                  <w14:solidFill>
                    <w14:schemeClr w14:val="tx1"/>
                  </w14:solidFill>
                </w14:textFill>
              </w:rPr>
              <w:t>（如为联合体，则联合体各方）</w:t>
            </w:r>
            <w:r>
              <w:rPr>
                <w:rFonts w:hint="eastAsia" w:ascii="宋体" w:hAnsi="宋体" w:eastAsia="宋体" w:cs="Times New Roman"/>
                <w:b/>
                <w:bCs/>
                <w:color w:val="000000" w:themeColor="text1"/>
                <w:sz w:val="24"/>
                <w:highlight w:val="none"/>
                <w:u w:val="single"/>
                <w14:textFill>
                  <w14:solidFill>
                    <w14:schemeClr w14:val="tx1"/>
                  </w14:solidFill>
                </w14:textFill>
              </w:rPr>
              <w:t>未被列入拖欠农民工工资失信联合惩戒对象名单和失信被执行人</w:t>
            </w:r>
            <w:r>
              <w:rPr>
                <w:rFonts w:hint="default" w:ascii="宋体" w:hAnsi="宋体" w:eastAsia="宋体" w:cs="Times New Roman"/>
                <w:color w:val="000000" w:themeColor="text1"/>
                <w:sz w:val="24"/>
                <w:highlight w:val="none"/>
                <w14:textFill>
                  <w14:solidFill>
                    <w14:schemeClr w14:val="tx1"/>
                  </w14:solidFill>
                </w14:textFill>
              </w:rPr>
              <w:t>（投标人无需提供资料，按投标截止时间广州交易集团有限公司（广州公共资源交易中心）交易系统比对的结果进行评审）。</w:t>
            </w:r>
          </w:p>
        </w:tc>
        <w:tc>
          <w:tcPr>
            <w:tcW w:w="911" w:type="dxa"/>
            <w:tcBorders>
              <w:top w:val="single" w:color="auto" w:sz="4" w:space="0"/>
              <w:left w:val="single" w:color="auto" w:sz="4" w:space="0"/>
              <w:bottom w:val="single" w:color="auto" w:sz="4" w:space="0"/>
              <w:right w:val="single" w:color="auto" w:sz="4" w:space="0"/>
            </w:tcBorders>
          </w:tcPr>
          <w:p w14:paraId="577A614C">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33D92762">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345D7453">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7521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349C838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结论</w:t>
            </w:r>
          </w:p>
        </w:tc>
        <w:tc>
          <w:tcPr>
            <w:tcW w:w="5475" w:type="dxa"/>
            <w:tcBorders>
              <w:top w:val="single" w:color="auto" w:sz="4" w:space="0"/>
              <w:left w:val="single" w:color="auto" w:sz="4" w:space="0"/>
              <w:bottom w:val="single" w:color="auto" w:sz="4" w:space="0"/>
              <w:right w:val="single" w:color="auto" w:sz="4" w:space="0"/>
            </w:tcBorders>
            <w:vAlign w:val="center"/>
          </w:tcPr>
          <w:p w14:paraId="2491FE82">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是否通过并进入下一阶段评审</w:t>
            </w:r>
          </w:p>
        </w:tc>
        <w:tc>
          <w:tcPr>
            <w:tcW w:w="911" w:type="dxa"/>
            <w:tcBorders>
              <w:top w:val="single" w:color="auto" w:sz="4" w:space="0"/>
              <w:left w:val="single" w:color="auto" w:sz="4" w:space="0"/>
              <w:bottom w:val="single" w:color="auto" w:sz="4" w:space="0"/>
              <w:right w:val="single" w:color="auto" w:sz="4" w:space="0"/>
            </w:tcBorders>
          </w:tcPr>
          <w:p w14:paraId="23C88E53">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3BCD8B7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05338F19">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bl>
    <w:p w14:paraId="554E8EDC">
      <w:pPr>
        <w:tabs>
          <w:tab w:val="left" w:pos="720"/>
        </w:tabs>
        <w:spacing w:line="360" w:lineRule="auto"/>
        <w:rPr>
          <w:rFonts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备注：1、根据本表的审查项目，填“是”或“否”。</w:t>
      </w:r>
    </w:p>
    <w:p w14:paraId="290EB5DC">
      <w:pPr>
        <w:tabs>
          <w:tab w:val="left" w:pos="720"/>
        </w:tabs>
        <w:spacing w:line="360" w:lineRule="auto"/>
        <w:ind w:firstLine="720" w:firstLineChars="300"/>
        <w:rPr>
          <w:rFonts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2、表中出现一个或以上“否”，即该投标人的评审“结论”为“否”，即该投标人不进入下一阶段评审</w:t>
      </w:r>
      <w:r>
        <w:rPr>
          <w:rFonts w:hint="eastAsia" w:ascii="Calibri" w:hAnsi="Calibri" w:eastAsia="宋体" w:cs="Times New Roman"/>
          <w:color w:val="000000" w:themeColor="text1"/>
          <w:sz w:val="24"/>
          <w:highlight w:val="none"/>
          <w14:textFill>
            <w14:solidFill>
              <w14:schemeClr w14:val="tx1"/>
            </w14:solidFill>
          </w14:textFill>
        </w:rPr>
        <w:t>。</w:t>
      </w:r>
    </w:p>
    <w:p w14:paraId="28D11FC4">
      <w:pPr>
        <w:tabs>
          <w:tab w:val="left" w:pos="720"/>
        </w:tabs>
        <w:spacing w:line="360" w:lineRule="auto"/>
        <w:ind w:firstLine="720" w:firstLineChars="300"/>
        <w:rPr>
          <w:rFonts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3、表中全部评审结果为“是”，视为同意进入下一阶段评审。</w:t>
      </w:r>
    </w:p>
    <w:p w14:paraId="655247B6">
      <w:pPr>
        <w:tabs>
          <w:tab w:val="left" w:pos="720"/>
        </w:tabs>
        <w:spacing w:line="360" w:lineRule="auto"/>
        <w:ind w:firstLine="720" w:firstLineChars="300"/>
        <w:rPr>
          <w:rFonts w:hint="eastAsia"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4、若评委意见不一致时，则按少数服从多数的原则，决定该投标人是否通过符合性审查，进入下一阶段评审。</w:t>
      </w:r>
    </w:p>
    <w:p w14:paraId="7A063D49">
      <w:pPr>
        <w:tabs>
          <w:tab w:val="left" w:pos="720"/>
        </w:tabs>
        <w:spacing w:line="360" w:lineRule="auto"/>
        <w:ind w:firstLine="720" w:firstLineChars="300"/>
        <w:rPr>
          <w:rFonts w:hint="eastAsia" w:ascii="宋体" w:hAnsi="Courier New" w:eastAsia="宋体" w:cs="Times New Roman"/>
          <w:color w:val="000000" w:themeColor="text1"/>
          <w:sz w:val="24"/>
          <w:highlight w:val="none"/>
          <w:u w:val="single"/>
          <w:lang w:val="en-US" w:eastAsia="zh-CN"/>
          <w14:textFill>
            <w14:solidFill>
              <w14:schemeClr w14:val="tx1"/>
            </w14:solidFill>
          </w14:textFill>
        </w:rPr>
      </w:pPr>
      <w:r>
        <w:rPr>
          <w:rFonts w:hint="eastAsia" w:ascii="宋体" w:hAnsi="Courier New" w:eastAsia="宋体" w:cs="Times New Roman"/>
          <w:color w:val="000000" w:themeColor="text1"/>
          <w:sz w:val="24"/>
          <w:highlight w:val="none"/>
          <w:u w:val="single"/>
          <w:lang w:val="en-US" w:eastAsia="zh-CN"/>
          <w14:textFill>
            <w14:solidFill>
              <w14:schemeClr w14:val="tx1"/>
            </w14:solidFill>
          </w14:textFill>
        </w:rPr>
        <w:t>5、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BAB32D5">
      <w:pPr>
        <w:spacing w:line="360" w:lineRule="auto"/>
        <w:jc w:val="right"/>
        <w:rPr>
          <w:rFonts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评委签名：</w:t>
      </w:r>
      <w:r>
        <w:rPr>
          <w:rFonts w:ascii="宋体" w:hAnsi="Courier New" w:eastAsia="宋体" w:cs="Times New Roman"/>
          <w:color w:val="000000" w:themeColor="text1"/>
          <w:sz w:val="24"/>
          <w:highlight w:val="none"/>
          <w14:textFill>
            <w14:solidFill>
              <w14:schemeClr w14:val="tx1"/>
            </w14:solidFill>
          </w14:textFill>
        </w:rPr>
        <w:t xml:space="preserve">                     </w:t>
      </w:r>
      <w:r>
        <w:rPr>
          <w:rFonts w:hint="eastAsia" w:ascii="宋体" w:hAnsi="Courier New" w:eastAsia="宋体" w:cs="Times New Roman"/>
          <w:color w:val="000000" w:themeColor="text1"/>
          <w:sz w:val="24"/>
          <w:highlight w:val="none"/>
          <w14:textFill>
            <w14:solidFill>
              <w14:schemeClr w14:val="tx1"/>
            </w14:solidFill>
          </w14:textFill>
        </w:rPr>
        <w:t>日期：</w:t>
      </w:r>
    </w:p>
    <w:p w14:paraId="545E216D">
      <w:pPr>
        <w:widowControl/>
        <w:jc w:val="left"/>
        <w:rPr>
          <w:rFonts w:ascii="Times New Roman" w:hAnsi="Times New Roman" w:eastAsia="宋体" w:cs="Times New Roman"/>
          <w:color w:val="000000" w:themeColor="text1"/>
          <w:kern w:val="0"/>
          <w:sz w:val="20"/>
          <w:szCs w:val="20"/>
          <w:highlight w:val="none"/>
          <w14:textFill>
            <w14:solidFill>
              <w14:schemeClr w14:val="tx1"/>
            </w14:solidFill>
          </w14:textFill>
        </w:rPr>
      </w:pPr>
      <w:r>
        <w:rPr>
          <w:rFonts w:ascii="Calibri" w:hAnsi="Calibri" w:eastAsia="宋体" w:cs="Times New Roman"/>
          <w:color w:val="000000" w:themeColor="text1"/>
          <w:highlight w:val="none"/>
          <w14:textFill>
            <w14:solidFill>
              <w14:schemeClr w14:val="tx1"/>
            </w14:solidFill>
          </w14:textFill>
        </w:rPr>
        <w:br w:type="page"/>
      </w:r>
    </w:p>
    <w:p w14:paraId="76371BC0">
      <w:pPr>
        <w:spacing w:line="360" w:lineRule="auto"/>
        <w:outlineLvl w:val="1"/>
        <w:rPr>
          <w:rFonts w:ascii="宋体" w:hAnsi="宋体" w:eastAsia="宋体" w:cs="Times New Roman"/>
          <w:b w:val="0"/>
          <w:bCs w:val="0"/>
          <w:strike/>
          <w:color w:val="000000" w:themeColor="text1"/>
          <w:kern w:val="44"/>
          <w:sz w:val="30"/>
          <w:szCs w:val="30"/>
          <w:highlight w:val="none"/>
          <w:lang w:val="en-US" w:eastAsia="zh-CN" w:bidi="ar-SA"/>
          <w14:textFill>
            <w14:solidFill>
              <w14:schemeClr w14:val="tx1"/>
            </w14:solidFill>
          </w14:textFill>
        </w:rPr>
      </w:pPr>
      <w:bookmarkStart w:id="99" w:name="_Toc5782"/>
      <w:bookmarkStart w:id="100" w:name="_Toc10071"/>
      <w:bookmarkStart w:id="101" w:name="_Toc13585"/>
      <w:r>
        <w:rPr>
          <w:rFonts w:hint="eastAsia" w:ascii="宋体" w:hAnsi="宋体" w:eastAsia="宋体" w:cs="Times New Roman"/>
          <w:b/>
          <w:bCs/>
          <w:strike/>
          <w:color w:val="000000" w:themeColor="text1"/>
          <w:kern w:val="44"/>
          <w:sz w:val="30"/>
          <w:szCs w:val="30"/>
          <w:highlight w:val="none"/>
          <w:lang w:val="en-US" w:eastAsia="zh-CN" w:bidi="ar-SA"/>
          <w14:textFill>
            <w14:solidFill>
              <w14:schemeClr w14:val="tx1"/>
            </w14:solidFill>
          </w14:textFill>
        </w:rPr>
        <w:t>附件</w:t>
      </w:r>
      <w:r>
        <w:rPr>
          <w:rFonts w:ascii="宋体" w:hAnsi="宋体" w:eastAsia="宋体" w:cs="Times New Roman"/>
          <w:b/>
          <w:bCs/>
          <w:strike/>
          <w:color w:val="000000" w:themeColor="text1"/>
          <w:kern w:val="44"/>
          <w:sz w:val="30"/>
          <w:szCs w:val="30"/>
          <w:highlight w:val="none"/>
          <w:lang w:val="en-US" w:eastAsia="zh-CN" w:bidi="ar-SA"/>
          <w14:textFill>
            <w14:solidFill>
              <w14:schemeClr w14:val="tx1"/>
            </w14:solidFill>
          </w14:textFill>
        </w:rPr>
        <w:t xml:space="preserve">10 </w:t>
      </w:r>
      <w:r>
        <w:rPr>
          <w:rFonts w:hint="eastAsia" w:ascii="宋体" w:hAnsi="宋体" w:eastAsia="宋体" w:cs="Times New Roman"/>
          <w:b/>
          <w:bCs/>
          <w:strike/>
          <w:color w:val="000000" w:themeColor="text1"/>
          <w:kern w:val="44"/>
          <w:sz w:val="30"/>
          <w:szCs w:val="30"/>
          <w:highlight w:val="none"/>
          <w:lang w:val="en-US" w:eastAsia="zh-CN" w:bidi="ar-SA"/>
          <w14:textFill>
            <w14:solidFill>
              <w14:schemeClr w14:val="tx1"/>
            </w14:solidFill>
          </w14:textFill>
        </w:rPr>
        <w:t>投票表格</w:t>
      </w:r>
      <w:bookmarkEnd w:id="99"/>
      <w:bookmarkEnd w:id="100"/>
      <w:bookmarkEnd w:id="101"/>
    </w:p>
    <w:p w14:paraId="73FD7C73">
      <w:pPr>
        <w:spacing w:line="360" w:lineRule="auto"/>
        <w:jc w:val="center"/>
        <w:rPr>
          <w:rFonts w:hint="eastAsia" w:ascii="宋体" w:hAnsi="宋体" w:eastAsia="宋体" w:cs="Times New Roman"/>
          <w:b/>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kern w:val="2"/>
          <w:sz w:val="28"/>
          <w:szCs w:val="28"/>
          <w:highlight w:val="none"/>
          <w:lang w:val="en-US" w:eastAsia="zh-CN" w:bidi="ar-SA"/>
          <w14:textFill>
            <w14:solidFill>
              <w14:schemeClr w14:val="tx1"/>
            </w14:solidFill>
          </w14:textFill>
        </w:rPr>
        <w:t>投票表格</w:t>
      </w:r>
    </w:p>
    <w:p w14:paraId="4C3C631C">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项目名称：</w:t>
      </w:r>
      <w:r>
        <w:rPr>
          <w:rFonts w:ascii="宋体" w:hAnsi="宋体" w:eastAsia="宋体" w:cs="Times New Roman"/>
          <w:strike/>
          <w:color w:val="000000" w:themeColor="text1"/>
          <w:sz w:val="24"/>
          <w:highlight w:val="none"/>
          <w:u w:val="single"/>
          <w14:textFill>
            <w14:solidFill>
              <w14:schemeClr w14:val="tx1"/>
            </w14:solidFill>
          </w14:textFill>
        </w:rPr>
        <w:t xml:space="preserve">                             </w:t>
      </w:r>
    </w:p>
    <w:tbl>
      <w:tblPr>
        <w:tblStyle w:val="1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002"/>
        <w:gridCol w:w="1003"/>
        <w:gridCol w:w="1002"/>
        <w:gridCol w:w="1003"/>
        <w:gridCol w:w="1002"/>
        <w:gridCol w:w="1003"/>
        <w:gridCol w:w="1002"/>
        <w:gridCol w:w="1003"/>
      </w:tblGrid>
      <w:tr w14:paraId="70E2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tcBorders>
              <w:top w:val="double" w:color="auto" w:sz="4" w:space="0"/>
              <w:left w:val="double" w:color="auto" w:sz="4" w:space="0"/>
              <w:bottom w:val="double" w:color="auto" w:sz="4" w:space="0"/>
              <w:right w:val="single" w:color="auto" w:sz="4" w:space="0"/>
            </w:tcBorders>
            <w:vAlign w:val="center"/>
          </w:tcPr>
          <w:p w14:paraId="25CBBAE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轮</w:t>
            </w:r>
          </w:p>
        </w:tc>
        <w:tc>
          <w:tcPr>
            <w:tcW w:w="1002" w:type="dxa"/>
            <w:tcBorders>
              <w:top w:val="double" w:color="auto" w:sz="4" w:space="0"/>
              <w:left w:val="single" w:color="auto" w:sz="4" w:space="0"/>
              <w:bottom w:val="double" w:color="auto" w:sz="4" w:space="0"/>
            </w:tcBorders>
          </w:tcPr>
          <w:p w14:paraId="10D65B13">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3" w:type="dxa"/>
            <w:tcBorders>
              <w:top w:val="double" w:color="auto" w:sz="4" w:space="0"/>
              <w:bottom w:val="double" w:color="auto" w:sz="4" w:space="0"/>
            </w:tcBorders>
          </w:tcPr>
          <w:p w14:paraId="41C2DA0B">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2" w:type="dxa"/>
            <w:tcBorders>
              <w:top w:val="double" w:color="auto" w:sz="4" w:space="0"/>
              <w:bottom w:val="double" w:color="auto" w:sz="4" w:space="0"/>
            </w:tcBorders>
          </w:tcPr>
          <w:p w14:paraId="79F39CE9">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3" w:type="dxa"/>
            <w:tcBorders>
              <w:top w:val="double" w:color="auto" w:sz="4" w:space="0"/>
              <w:bottom w:val="double" w:color="auto" w:sz="4" w:space="0"/>
            </w:tcBorders>
          </w:tcPr>
          <w:p w14:paraId="2643BF72">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2" w:type="dxa"/>
            <w:tcBorders>
              <w:top w:val="double" w:color="auto" w:sz="4" w:space="0"/>
              <w:bottom w:val="double" w:color="auto" w:sz="4" w:space="0"/>
            </w:tcBorders>
          </w:tcPr>
          <w:p w14:paraId="00E53AFA">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3" w:type="dxa"/>
            <w:tcBorders>
              <w:top w:val="double" w:color="auto" w:sz="4" w:space="0"/>
              <w:bottom w:val="double" w:color="auto" w:sz="4" w:space="0"/>
            </w:tcBorders>
          </w:tcPr>
          <w:p w14:paraId="3C4F05BD">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2" w:type="dxa"/>
            <w:tcBorders>
              <w:top w:val="double" w:color="auto" w:sz="4" w:space="0"/>
              <w:bottom w:val="double" w:color="auto" w:sz="4" w:space="0"/>
            </w:tcBorders>
          </w:tcPr>
          <w:p w14:paraId="6CFCE5C0">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3" w:type="dxa"/>
            <w:tcBorders>
              <w:top w:val="double" w:color="auto" w:sz="4" w:space="0"/>
              <w:bottom w:val="double" w:color="auto" w:sz="4" w:space="0"/>
              <w:right w:val="double" w:color="auto" w:sz="4" w:space="0"/>
            </w:tcBorders>
          </w:tcPr>
          <w:p w14:paraId="221F04A8">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r>
      <w:tr w14:paraId="6D72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tcBorders>
              <w:top w:val="double" w:color="auto" w:sz="4" w:space="0"/>
              <w:left w:val="double" w:color="auto" w:sz="4" w:space="0"/>
              <w:bottom w:val="double" w:color="auto" w:sz="4" w:space="0"/>
              <w:right w:val="single" w:color="auto" w:sz="4" w:space="0"/>
            </w:tcBorders>
            <w:vAlign w:val="center"/>
          </w:tcPr>
          <w:p w14:paraId="70072DB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轮</w:t>
            </w:r>
          </w:p>
        </w:tc>
        <w:tc>
          <w:tcPr>
            <w:tcW w:w="2005" w:type="dxa"/>
            <w:gridSpan w:val="2"/>
            <w:tcBorders>
              <w:top w:val="double" w:color="auto" w:sz="4" w:space="0"/>
              <w:left w:val="single" w:color="auto" w:sz="4" w:space="0"/>
              <w:bottom w:val="double" w:color="auto" w:sz="4" w:space="0"/>
            </w:tcBorders>
          </w:tcPr>
          <w:p w14:paraId="28BFF9C4">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2005" w:type="dxa"/>
            <w:gridSpan w:val="2"/>
            <w:tcBorders>
              <w:top w:val="double" w:color="auto" w:sz="4" w:space="0"/>
              <w:bottom w:val="double" w:color="auto" w:sz="4" w:space="0"/>
            </w:tcBorders>
          </w:tcPr>
          <w:p w14:paraId="465AA620">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2005" w:type="dxa"/>
            <w:gridSpan w:val="2"/>
            <w:tcBorders>
              <w:top w:val="double" w:color="auto" w:sz="4" w:space="0"/>
              <w:bottom w:val="double" w:color="auto" w:sz="4" w:space="0"/>
            </w:tcBorders>
          </w:tcPr>
          <w:p w14:paraId="19FCC522">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2005" w:type="dxa"/>
            <w:gridSpan w:val="2"/>
            <w:tcBorders>
              <w:top w:val="double" w:color="auto" w:sz="4" w:space="0"/>
              <w:bottom w:val="double" w:color="auto" w:sz="4" w:space="0"/>
              <w:right w:val="double" w:color="auto" w:sz="4" w:space="0"/>
            </w:tcBorders>
          </w:tcPr>
          <w:p w14:paraId="0A37B2E9">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r>
      <w:tr w14:paraId="5CC4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tcBorders>
              <w:top w:val="double" w:color="auto" w:sz="4" w:space="0"/>
              <w:left w:val="double" w:color="auto" w:sz="4" w:space="0"/>
              <w:bottom w:val="double" w:color="auto" w:sz="4" w:space="0"/>
              <w:right w:val="single" w:color="auto" w:sz="4" w:space="0"/>
            </w:tcBorders>
            <w:vAlign w:val="center"/>
          </w:tcPr>
          <w:p w14:paraId="52CF91D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轮</w:t>
            </w:r>
          </w:p>
        </w:tc>
        <w:tc>
          <w:tcPr>
            <w:tcW w:w="4010" w:type="dxa"/>
            <w:gridSpan w:val="4"/>
            <w:tcBorders>
              <w:top w:val="double" w:color="auto" w:sz="4" w:space="0"/>
              <w:left w:val="single" w:color="auto" w:sz="4" w:space="0"/>
              <w:bottom w:val="double" w:color="auto" w:sz="4" w:space="0"/>
            </w:tcBorders>
          </w:tcPr>
          <w:p w14:paraId="2B86EAA7">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4010" w:type="dxa"/>
            <w:gridSpan w:val="4"/>
            <w:tcBorders>
              <w:top w:val="double" w:color="auto" w:sz="4" w:space="0"/>
              <w:bottom w:val="double" w:color="auto" w:sz="4" w:space="0"/>
              <w:right w:val="double" w:color="auto" w:sz="4" w:space="0"/>
            </w:tcBorders>
          </w:tcPr>
          <w:p w14:paraId="59560A0C">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r>
      <w:tr w14:paraId="504B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tcBorders>
              <w:top w:val="double" w:color="auto" w:sz="4" w:space="0"/>
              <w:left w:val="double" w:color="auto" w:sz="4" w:space="0"/>
              <w:bottom w:val="double" w:color="auto" w:sz="4" w:space="0"/>
              <w:right w:val="single" w:color="auto" w:sz="4" w:space="0"/>
            </w:tcBorders>
            <w:vAlign w:val="center"/>
          </w:tcPr>
          <w:p w14:paraId="2F6EDEFA">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轮</w:t>
            </w:r>
          </w:p>
        </w:tc>
        <w:tc>
          <w:tcPr>
            <w:tcW w:w="8020" w:type="dxa"/>
            <w:gridSpan w:val="8"/>
            <w:tcBorders>
              <w:top w:val="double" w:color="auto" w:sz="4" w:space="0"/>
              <w:left w:val="single" w:color="auto" w:sz="4" w:space="0"/>
              <w:bottom w:val="double" w:color="auto" w:sz="4" w:space="0"/>
              <w:right w:val="double" w:color="auto" w:sz="4" w:space="0"/>
            </w:tcBorders>
          </w:tcPr>
          <w:p w14:paraId="3ED0DBD5">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r>
    </w:tbl>
    <w:p w14:paraId="5383D7CB">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eastAsia="宋体" w:cs="Arial"/>
          <w:strike/>
          <w:color w:val="000000" w:themeColor="text1"/>
          <w:sz w:val="24"/>
          <w:highlight w:val="none"/>
          <w14:textFill>
            <w14:solidFill>
              <w14:schemeClr w14:val="tx1"/>
            </w14:solidFill>
          </w14:textFill>
        </w:rPr>
        <w:t>以得票多的方案当选为</w:t>
      </w:r>
      <w:r>
        <w:rPr>
          <w:rFonts w:hint="eastAsia" w:ascii="宋体" w:hAnsi="宋体" w:eastAsia="宋体" w:cs="Times New Roman"/>
          <w:strike/>
          <w:color w:val="000000" w:themeColor="text1"/>
          <w:sz w:val="24"/>
          <w:highlight w:val="none"/>
          <w14:textFill>
            <w14:solidFill>
              <w14:schemeClr w14:val="tx1"/>
            </w14:solidFill>
          </w14:textFill>
        </w:rPr>
        <w:t>下一轮投票的候选方案</w:t>
      </w:r>
      <w:r>
        <w:rPr>
          <w:rFonts w:hint="eastAsia" w:ascii="宋体" w:hAnsi="宋体" w:eastAsia="宋体" w:cs="Arial"/>
          <w:strike/>
          <w:color w:val="000000" w:themeColor="text1"/>
          <w:sz w:val="24"/>
          <w:highlight w:val="none"/>
          <w14:textFill>
            <w14:solidFill>
              <w14:schemeClr w14:val="tx1"/>
            </w14:solidFill>
          </w14:textFill>
        </w:rPr>
        <w:t>。</w:t>
      </w:r>
      <w:r>
        <w:rPr>
          <w:rFonts w:hint="eastAsia" w:ascii="宋体" w:hAnsi="宋体" w:eastAsia="宋体" w:cs="Times New Roman"/>
          <w:strike/>
          <w:color w:val="000000" w:themeColor="text1"/>
          <w:sz w:val="24"/>
          <w:highlight w:val="none"/>
          <w14:textFill>
            <w14:solidFill>
              <w14:schemeClr w14:val="tx1"/>
            </w14:solidFill>
          </w14:textFill>
        </w:rPr>
        <w:t>不能进入下一轮的方案，根据本轮得票数量确定名次。</w:t>
      </w:r>
      <w:r>
        <w:rPr>
          <w:rFonts w:hint="eastAsia" w:ascii="宋体" w:hAnsi="宋体" w:eastAsia="宋体" w:cs="Arial"/>
          <w:strike/>
          <w:color w:val="000000" w:themeColor="text1"/>
          <w:sz w:val="24"/>
          <w:highlight w:val="none"/>
          <w14:textFill>
            <w14:solidFill>
              <w14:schemeClr w14:val="tx1"/>
            </w14:solidFill>
          </w14:textFill>
        </w:rPr>
        <w:t>遇票数相等不能确定入选下一轮的投标方案时，</w:t>
      </w:r>
      <w:r>
        <w:rPr>
          <w:rFonts w:hint="eastAsia" w:ascii="Calibri" w:hAnsi="Calibri" w:eastAsia="宋体" w:cs="Times New Roman"/>
          <w:strike/>
          <w:color w:val="000000" w:themeColor="text1"/>
          <w:sz w:val="24"/>
          <w:highlight w:val="none"/>
          <w14:textFill>
            <w14:solidFill>
              <w14:schemeClr w14:val="tx1"/>
            </w14:solidFill>
          </w14:textFill>
        </w:rPr>
        <w:t>应进行附加投票，以确定名次。</w:t>
      </w:r>
      <w:r>
        <w:rPr>
          <w:rFonts w:hint="eastAsia" w:ascii="宋体" w:hAnsi="宋体" w:eastAsia="宋体" w:cs="Times New Roman"/>
          <w:strike/>
          <w:color w:val="000000" w:themeColor="text1"/>
          <w:sz w:val="24"/>
          <w:highlight w:val="none"/>
          <w14:textFill>
            <w14:solidFill>
              <w14:schemeClr w14:val="tx1"/>
            </w14:solidFill>
          </w14:textFill>
        </w:rPr>
        <w:t>若投标人数为</w:t>
      </w:r>
      <w:r>
        <w:rPr>
          <w:rFonts w:ascii="宋体" w:hAnsi="宋体" w:eastAsia="宋体" w:cs="Times New Roman"/>
          <w:strike/>
          <w:color w:val="000000" w:themeColor="text1"/>
          <w:sz w:val="24"/>
          <w:highlight w:val="none"/>
          <w14:textFill>
            <w14:solidFill>
              <w14:schemeClr w14:val="tx1"/>
            </w14:solidFill>
          </w14:textFill>
        </w:rPr>
        <w:t>9人或以上，第一轮投票从第1行空格开始；若投标人数为5至8人，第一轮投票从上表第2行空格开始；若投标人数为3至4人，第一轮投票从上表第3行空格开始。每轮正式投票允许选择投标方案总数如下：</w:t>
      </w:r>
    </w:p>
    <w:tbl>
      <w:tblPr>
        <w:tblStyle w:val="15"/>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2204"/>
        <w:gridCol w:w="2204"/>
        <w:gridCol w:w="2406"/>
      </w:tblGrid>
      <w:tr w14:paraId="55A9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7CA58F4C">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6814" w:type="dxa"/>
            <w:gridSpan w:val="3"/>
            <w:vAlign w:val="top"/>
          </w:tcPr>
          <w:p w14:paraId="4332CAD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每轮正式投票允许选择总数</w:t>
            </w:r>
          </w:p>
        </w:tc>
      </w:tr>
      <w:tr w14:paraId="0DD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018379E7">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投标人数</w:t>
            </w:r>
          </w:p>
        </w:tc>
        <w:tc>
          <w:tcPr>
            <w:tcW w:w="2204" w:type="dxa"/>
            <w:vAlign w:val="top"/>
          </w:tcPr>
          <w:p w14:paraId="60CF11A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3至4</w:t>
            </w:r>
          </w:p>
        </w:tc>
        <w:tc>
          <w:tcPr>
            <w:tcW w:w="2204" w:type="dxa"/>
            <w:vAlign w:val="top"/>
          </w:tcPr>
          <w:p w14:paraId="1B2199A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5至8</w:t>
            </w:r>
          </w:p>
        </w:tc>
        <w:tc>
          <w:tcPr>
            <w:tcW w:w="2406" w:type="dxa"/>
            <w:vAlign w:val="top"/>
          </w:tcPr>
          <w:p w14:paraId="57D661C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9人或以上</w:t>
            </w:r>
          </w:p>
        </w:tc>
      </w:tr>
      <w:tr w14:paraId="7D59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6376C6A8">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1轮</w:t>
            </w:r>
          </w:p>
        </w:tc>
        <w:tc>
          <w:tcPr>
            <w:tcW w:w="2204" w:type="dxa"/>
            <w:vAlign w:val="top"/>
          </w:tcPr>
          <w:p w14:paraId="05F9A59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2</w:t>
            </w:r>
          </w:p>
        </w:tc>
        <w:tc>
          <w:tcPr>
            <w:tcW w:w="2204" w:type="dxa"/>
            <w:vAlign w:val="top"/>
          </w:tcPr>
          <w:p w14:paraId="3798E1B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4</w:t>
            </w:r>
          </w:p>
        </w:tc>
        <w:tc>
          <w:tcPr>
            <w:tcW w:w="2406" w:type="dxa"/>
            <w:vAlign w:val="top"/>
          </w:tcPr>
          <w:p w14:paraId="56B0213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8</w:t>
            </w:r>
          </w:p>
        </w:tc>
      </w:tr>
      <w:tr w14:paraId="47C2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6B879624">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2轮</w:t>
            </w:r>
          </w:p>
        </w:tc>
        <w:tc>
          <w:tcPr>
            <w:tcW w:w="2204" w:type="dxa"/>
            <w:vAlign w:val="top"/>
          </w:tcPr>
          <w:p w14:paraId="77F87DF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1</w:t>
            </w:r>
          </w:p>
        </w:tc>
        <w:tc>
          <w:tcPr>
            <w:tcW w:w="2204" w:type="dxa"/>
            <w:vAlign w:val="top"/>
          </w:tcPr>
          <w:p w14:paraId="07C7A68A">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2</w:t>
            </w:r>
          </w:p>
        </w:tc>
        <w:tc>
          <w:tcPr>
            <w:tcW w:w="2406" w:type="dxa"/>
            <w:vAlign w:val="top"/>
          </w:tcPr>
          <w:p w14:paraId="1F8CF78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4</w:t>
            </w:r>
          </w:p>
        </w:tc>
      </w:tr>
      <w:tr w14:paraId="2C8E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36741E49">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3轮</w:t>
            </w:r>
          </w:p>
        </w:tc>
        <w:tc>
          <w:tcPr>
            <w:tcW w:w="2204" w:type="dxa"/>
            <w:vAlign w:val="top"/>
          </w:tcPr>
          <w:p w14:paraId="5FA9A57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p>
        </w:tc>
        <w:tc>
          <w:tcPr>
            <w:tcW w:w="2204" w:type="dxa"/>
            <w:vAlign w:val="top"/>
          </w:tcPr>
          <w:p w14:paraId="75C5950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1</w:t>
            </w:r>
          </w:p>
        </w:tc>
        <w:tc>
          <w:tcPr>
            <w:tcW w:w="2406" w:type="dxa"/>
            <w:vAlign w:val="top"/>
          </w:tcPr>
          <w:p w14:paraId="21BACAB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2</w:t>
            </w:r>
          </w:p>
        </w:tc>
      </w:tr>
      <w:tr w14:paraId="2957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12294C00">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4轮</w:t>
            </w:r>
          </w:p>
        </w:tc>
        <w:tc>
          <w:tcPr>
            <w:tcW w:w="2204" w:type="dxa"/>
            <w:vAlign w:val="top"/>
          </w:tcPr>
          <w:p w14:paraId="2C2EE34A">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p>
        </w:tc>
        <w:tc>
          <w:tcPr>
            <w:tcW w:w="2204" w:type="dxa"/>
            <w:vAlign w:val="top"/>
          </w:tcPr>
          <w:p w14:paraId="1D4BE51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p>
        </w:tc>
        <w:tc>
          <w:tcPr>
            <w:tcW w:w="2406" w:type="dxa"/>
            <w:vAlign w:val="top"/>
          </w:tcPr>
          <w:p w14:paraId="5499522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1</w:t>
            </w:r>
          </w:p>
        </w:tc>
      </w:tr>
    </w:tbl>
    <w:p w14:paraId="695761B2">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(1) </w:t>
      </w:r>
      <w:r>
        <w:rPr>
          <w:rFonts w:hint="eastAsia" w:ascii="宋体" w:hAnsi="宋体" w:eastAsia="宋体" w:cs="Arial"/>
          <w:strike/>
          <w:color w:val="000000" w:themeColor="text1"/>
          <w:sz w:val="24"/>
          <w:highlight w:val="none"/>
          <w14:textFill>
            <w14:solidFill>
              <w14:schemeClr w14:val="tx1"/>
            </w14:solidFill>
          </w14:textFill>
        </w:rPr>
        <w:t>投票结束后，</w:t>
      </w:r>
      <w:r>
        <w:rPr>
          <w:rFonts w:hint="eastAsia" w:ascii="宋体" w:hAnsi="宋体" w:eastAsia="宋体" w:cs="Times New Roman"/>
          <w:strike/>
          <w:color w:val="000000" w:themeColor="text1"/>
          <w:sz w:val="24"/>
          <w:highlight w:val="none"/>
          <w14:textFill>
            <w14:solidFill>
              <w14:schemeClr w14:val="tx1"/>
            </w14:solidFill>
          </w14:textFill>
        </w:rPr>
        <w:t>点票人员</w:t>
      </w:r>
      <w:r>
        <w:rPr>
          <w:rFonts w:hint="eastAsia" w:ascii="宋体" w:hAnsi="宋体" w:eastAsia="宋体" w:cs="Arial"/>
          <w:strike/>
          <w:color w:val="000000" w:themeColor="text1"/>
          <w:sz w:val="24"/>
          <w:highlight w:val="none"/>
          <w14:textFill>
            <w14:solidFill>
              <w14:schemeClr w14:val="tx1"/>
            </w14:solidFill>
          </w14:textFill>
        </w:rPr>
        <w:t>对投票人数、票数和每票应选方案总数加以核对和统计，作废的选票不得统计，并向</w:t>
      </w:r>
      <w:r>
        <w:rPr>
          <w:rFonts w:hint="eastAsia" w:ascii="宋体" w:hAnsi="宋体" w:eastAsia="宋体" w:cs="Times New Roman"/>
          <w:strike/>
          <w:color w:val="000000" w:themeColor="text1"/>
          <w:sz w:val="24"/>
          <w:highlight w:val="none"/>
          <w14:textFill>
            <w14:solidFill>
              <w14:schemeClr w14:val="tx1"/>
            </w14:solidFill>
          </w14:textFill>
        </w:rPr>
        <w:t>评标委员会</w:t>
      </w:r>
      <w:r>
        <w:rPr>
          <w:rFonts w:hint="eastAsia" w:ascii="宋体" w:hAnsi="宋体" w:eastAsia="宋体" w:cs="Arial"/>
          <w:strike/>
          <w:color w:val="000000" w:themeColor="text1"/>
          <w:sz w:val="24"/>
          <w:highlight w:val="none"/>
          <w14:textFill>
            <w14:solidFill>
              <w14:schemeClr w14:val="tx1"/>
            </w14:solidFill>
          </w14:textFill>
        </w:rPr>
        <w:t>报告。</w:t>
      </w:r>
    </w:p>
    <w:p w14:paraId="44632A46">
      <w:pPr>
        <w:spacing w:line="360" w:lineRule="auto"/>
        <w:ind w:firstLine="480"/>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(2)评标委员会成员应当独立投票，自投票开始至最终排名统计结果公布期</w:t>
      </w:r>
      <w:r>
        <w:rPr>
          <w:rFonts w:hint="eastAsia" w:ascii="宋体" w:hAnsi="宋体" w:eastAsia="宋体" w:cs="Times New Roman"/>
          <w:strike/>
          <w:color w:val="000000" w:themeColor="text1"/>
          <w:sz w:val="24"/>
          <w:highlight w:val="none"/>
          <w14:textFill>
            <w14:solidFill>
              <w14:schemeClr w14:val="tx1"/>
            </w14:solidFill>
          </w14:textFill>
        </w:rPr>
        <w:t>间，任何人不得非法干预、影响投票过程，不得透露、协商、改变投票结果，不得使用通信联络工具。</w:t>
      </w:r>
    </w:p>
    <w:p w14:paraId="26AC9B20">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评委签名：</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日期：</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年</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月</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日</w:t>
      </w:r>
    </w:p>
    <w:p w14:paraId="1E5C8442">
      <w:pPr>
        <w:rPr>
          <w:rFonts w:ascii="宋体" w:hAnsi="宋体"/>
          <w:color w:val="000000" w:themeColor="text1"/>
          <w:highlight w:val="none"/>
          <w14:textFill>
            <w14:solidFill>
              <w14:schemeClr w14:val="tx1"/>
            </w14:solidFill>
          </w14:textFill>
        </w:rPr>
      </w:pPr>
    </w:p>
    <w:p w14:paraId="722473D1">
      <w:pPr>
        <w:rPr>
          <w:rFonts w:ascii="宋体" w:hAnsi="宋体"/>
          <w:color w:val="000000" w:themeColor="text1"/>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FA03B40">
      <w:pPr>
        <w:spacing w:line="360" w:lineRule="auto"/>
        <w:outlineLvl w:val="1"/>
        <w:rPr>
          <w:rFonts w:ascii="宋体" w:hAnsi="宋体" w:eastAsia="宋体" w:cs="Times New Roman"/>
          <w:b/>
          <w:bCs/>
          <w:strike/>
          <w:color w:val="000000" w:themeColor="text1"/>
          <w:kern w:val="44"/>
          <w:sz w:val="21"/>
          <w:szCs w:val="21"/>
          <w:highlight w:val="none"/>
          <w:lang w:val="en-US" w:eastAsia="zh-CN" w:bidi="ar-SA"/>
          <w14:textFill>
            <w14:solidFill>
              <w14:schemeClr w14:val="tx1"/>
            </w14:solidFill>
          </w14:textFill>
        </w:rPr>
      </w:pPr>
      <w:bookmarkStart w:id="102" w:name="_Toc29149"/>
      <w:bookmarkStart w:id="103" w:name="_Toc25545"/>
      <w:bookmarkStart w:id="104" w:name="_Toc29326"/>
      <w:r>
        <w:rPr>
          <w:rFonts w:hint="eastAsia" w:ascii="宋体" w:hAnsi="宋体" w:eastAsia="宋体" w:cs="Times New Roman"/>
          <w:b/>
          <w:bCs/>
          <w:strike/>
          <w:color w:val="000000" w:themeColor="text1"/>
          <w:kern w:val="44"/>
          <w:sz w:val="21"/>
          <w:szCs w:val="21"/>
          <w:highlight w:val="none"/>
          <w:lang w:val="en-US" w:eastAsia="zh-CN" w:bidi="ar-SA"/>
          <w14:textFill>
            <w14:solidFill>
              <w14:schemeClr w14:val="tx1"/>
            </w14:solidFill>
          </w14:textFill>
        </w:rPr>
        <w:t>附录</w:t>
      </w:r>
      <w:r>
        <w:rPr>
          <w:rFonts w:ascii="宋体" w:hAnsi="宋体" w:eastAsia="宋体" w:cs="Times New Roman"/>
          <w:b/>
          <w:bCs/>
          <w:strike/>
          <w:color w:val="000000" w:themeColor="text1"/>
          <w:kern w:val="44"/>
          <w:sz w:val="21"/>
          <w:szCs w:val="21"/>
          <w:highlight w:val="none"/>
          <w:lang w:val="en-US" w:eastAsia="zh-CN" w:bidi="ar-SA"/>
          <w14:textFill>
            <w14:solidFill>
              <w14:schemeClr w14:val="tx1"/>
            </w14:solidFill>
          </w14:textFill>
        </w:rPr>
        <w:t xml:space="preserve">11 </w:t>
      </w:r>
      <w:r>
        <w:rPr>
          <w:rFonts w:hint="eastAsia" w:ascii="宋体" w:hAnsi="宋体" w:eastAsia="宋体" w:cs="Times New Roman"/>
          <w:b/>
          <w:bCs/>
          <w:strike/>
          <w:color w:val="000000" w:themeColor="text1"/>
          <w:kern w:val="44"/>
          <w:sz w:val="21"/>
          <w:szCs w:val="21"/>
          <w:highlight w:val="none"/>
          <w:lang w:val="en-US" w:eastAsia="zh-CN" w:bidi="ar-SA"/>
          <w14:textFill>
            <w14:solidFill>
              <w14:schemeClr w14:val="tx1"/>
            </w14:solidFill>
          </w14:textFill>
        </w:rPr>
        <w:t>投标汇总表格</w:t>
      </w:r>
      <w:bookmarkEnd w:id="102"/>
      <w:bookmarkEnd w:id="103"/>
      <w:bookmarkEnd w:id="104"/>
    </w:p>
    <w:p w14:paraId="0A16F777">
      <w:pPr>
        <w:spacing w:line="360" w:lineRule="auto"/>
        <w:jc w:val="center"/>
        <w:rPr>
          <w:rFonts w:hint="eastAsia" w:ascii="宋体" w:hAnsi="宋体" w:eastAsia="宋体" w:cs="Times New Roman"/>
          <w:b/>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sz w:val="28"/>
          <w:szCs w:val="28"/>
          <w:highlight w:val="none"/>
          <w14:textFill>
            <w14:solidFill>
              <w14:schemeClr w14:val="tx1"/>
            </w14:solidFill>
          </w14:textFill>
        </w:rPr>
        <w:t>投票汇总表格</w:t>
      </w:r>
    </w:p>
    <w:p w14:paraId="2D3CADBE">
      <w:pPr>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项目名称：</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日期：</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年</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月</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日</w:t>
      </w:r>
    </w:p>
    <w:tbl>
      <w:tblPr>
        <w:tblStyle w:val="15"/>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382D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Pr>
          <w:p w14:paraId="27B89FF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方案编号</w:t>
            </w:r>
          </w:p>
        </w:tc>
        <w:tc>
          <w:tcPr>
            <w:tcW w:w="1420" w:type="dxa"/>
            <w:vMerge w:val="restart"/>
          </w:tcPr>
          <w:p w14:paraId="2B048BD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第一轮得票</w:t>
            </w:r>
          </w:p>
        </w:tc>
        <w:tc>
          <w:tcPr>
            <w:tcW w:w="1420" w:type="dxa"/>
            <w:vMerge w:val="restart"/>
          </w:tcPr>
          <w:p w14:paraId="06BA4ED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第二轮得票</w:t>
            </w:r>
          </w:p>
        </w:tc>
        <w:tc>
          <w:tcPr>
            <w:tcW w:w="1420" w:type="dxa"/>
            <w:vMerge w:val="restart"/>
          </w:tcPr>
          <w:p w14:paraId="2FB4A59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第三轮得票</w:t>
            </w:r>
          </w:p>
        </w:tc>
        <w:tc>
          <w:tcPr>
            <w:tcW w:w="1420" w:type="dxa"/>
            <w:vMerge w:val="restart"/>
          </w:tcPr>
          <w:p w14:paraId="4E33D6A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第四轮得票</w:t>
            </w:r>
          </w:p>
        </w:tc>
        <w:tc>
          <w:tcPr>
            <w:tcW w:w="2708" w:type="dxa"/>
            <w:gridSpan w:val="4"/>
          </w:tcPr>
          <w:p w14:paraId="18BDB78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每轮得票相同的排序</w:t>
            </w:r>
          </w:p>
        </w:tc>
        <w:tc>
          <w:tcPr>
            <w:tcW w:w="1275" w:type="dxa"/>
            <w:vMerge w:val="restart"/>
          </w:tcPr>
          <w:p w14:paraId="78D7F47A">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排列名次</w:t>
            </w:r>
          </w:p>
        </w:tc>
        <w:tc>
          <w:tcPr>
            <w:tcW w:w="3045" w:type="dxa"/>
            <w:vMerge w:val="restart"/>
          </w:tcPr>
          <w:p w14:paraId="5F1E5BD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投标人名称</w:t>
            </w:r>
          </w:p>
          <w:p w14:paraId="7376A83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（建筑师）</w:t>
            </w:r>
          </w:p>
        </w:tc>
      </w:tr>
      <w:tr w14:paraId="61EC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14:paraId="330D9FE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1420" w:type="dxa"/>
            <w:vMerge w:val="continue"/>
          </w:tcPr>
          <w:p w14:paraId="26C1F6A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1420" w:type="dxa"/>
            <w:vMerge w:val="continue"/>
          </w:tcPr>
          <w:p w14:paraId="588A7DD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1420" w:type="dxa"/>
            <w:vMerge w:val="continue"/>
          </w:tcPr>
          <w:p w14:paraId="2A58DB6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1420" w:type="dxa"/>
            <w:vMerge w:val="continue"/>
          </w:tcPr>
          <w:p w14:paraId="4309240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677" w:type="dxa"/>
          </w:tcPr>
          <w:p w14:paraId="3B4C313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default" w:ascii="宋体" w:hAnsi="宋体" w:eastAsia="宋体" w:cs="Times New Roman"/>
                <w:strike/>
                <w:color w:val="000000" w:themeColor="text1"/>
                <w:highlight w:val="none"/>
                <w14:textFill>
                  <w14:solidFill>
                    <w14:schemeClr w14:val="tx1"/>
                  </w14:solidFill>
                </w14:textFill>
              </w:rPr>
              <w:t>1</w:t>
            </w:r>
          </w:p>
        </w:tc>
        <w:tc>
          <w:tcPr>
            <w:tcW w:w="677" w:type="dxa"/>
          </w:tcPr>
          <w:p w14:paraId="7E98417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default" w:ascii="宋体" w:hAnsi="宋体" w:eastAsia="宋体" w:cs="Times New Roman"/>
                <w:strike/>
                <w:color w:val="000000" w:themeColor="text1"/>
                <w:highlight w:val="none"/>
                <w14:textFill>
                  <w14:solidFill>
                    <w14:schemeClr w14:val="tx1"/>
                  </w14:solidFill>
                </w14:textFill>
              </w:rPr>
              <w:t>2</w:t>
            </w:r>
          </w:p>
        </w:tc>
        <w:tc>
          <w:tcPr>
            <w:tcW w:w="677" w:type="dxa"/>
          </w:tcPr>
          <w:p w14:paraId="29EABE3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default" w:ascii="宋体" w:hAnsi="宋体" w:eastAsia="宋体" w:cs="Times New Roman"/>
                <w:strike/>
                <w:color w:val="000000" w:themeColor="text1"/>
                <w:highlight w:val="none"/>
                <w14:textFill>
                  <w14:solidFill>
                    <w14:schemeClr w14:val="tx1"/>
                  </w14:solidFill>
                </w14:textFill>
              </w:rPr>
              <w:t>3</w:t>
            </w:r>
          </w:p>
        </w:tc>
        <w:tc>
          <w:tcPr>
            <w:tcW w:w="677" w:type="dxa"/>
          </w:tcPr>
          <w:p w14:paraId="53CE7DB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default" w:ascii="宋体" w:hAnsi="宋体" w:eastAsia="宋体" w:cs="Times New Roman"/>
                <w:strike/>
                <w:color w:val="000000" w:themeColor="text1"/>
                <w:highlight w:val="none"/>
                <w14:textFill>
                  <w14:solidFill>
                    <w14:schemeClr w14:val="tx1"/>
                  </w14:solidFill>
                </w14:textFill>
              </w:rPr>
              <w:t>4</w:t>
            </w:r>
          </w:p>
        </w:tc>
        <w:tc>
          <w:tcPr>
            <w:tcW w:w="1275" w:type="dxa"/>
            <w:vMerge w:val="continue"/>
          </w:tcPr>
          <w:p w14:paraId="7330CB4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3045" w:type="dxa"/>
            <w:vMerge w:val="continue"/>
          </w:tcPr>
          <w:p w14:paraId="48AD630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r>
      <w:tr w14:paraId="74E1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Pr>
          <w:p w14:paraId="1385807F">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1</w:t>
            </w:r>
          </w:p>
        </w:tc>
        <w:tc>
          <w:tcPr>
            <w:tcW w:w="1420" w:type="dxa"/>
          </w:tcPr>
          <w:p w14:paraId="044B0D5F">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135D5131">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6BDFA6B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63E9E2C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0638261">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56166A7B">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74D97C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D9BABD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3156001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156765B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27B5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459F64A1">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2</w:t>
            </w:r>
          </w:p>
        </w:tc>
        <w:tc>
          <w:tcPr>
            <w:tcW w:w="1420" w:type="dxa"/>
          </w:tcPr>
          <w:p w14:paraId="46AE232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14CB604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2106B89B">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01B751D5">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F09E39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A35E31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6EF58FB">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8F2B95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632779A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097B8DA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34DA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2A9DB4C3">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3</w:t>
            </w:r>
          </w:p>
        </w:tc>
        <w:tc>
          <w:tcPr>
            <w:tcW w:w="1420" w:type="dxa"/>
          </w:tcPr>
          <w:p w14:paraId="24F0BA6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6FF0587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165362D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6DB1B54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3228701C">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595422F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EB1852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6477CBA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143F06F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26B28160">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446E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141D809A">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4</w:t>
            </w:r>
          </w:p>
        </w:tc>
        <w:tc>
          <w:tcPr>
            <w:tcW w:w="1420" w:type="dxa"/>
          </w:tcPr>
          <w:p w14:paraId="3BFAB8E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4E838C9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2B53273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7BCD67C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5589C7A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4D519D7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FB7E04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5189324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0E4ADC5B">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71053D2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1422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60A45DAC">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5</w:t>
            </w:r>
          </w:p>
        </w:tc>
        <w:tc>
          <w:tcPr>
            <w:tcW w:w="1420" w:type="dxa"/>
          </w:tcPr>
          <w:p w14:paraId="01FC988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160B31C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397FD6B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2D62589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3284669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B383A6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738F97C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CD4343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793C251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0F52C51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6CFB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0476F67B">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6</w:t>
            </w:r>
          </w:p>
        </w:tc>
        <w:tc>
          <w:tcPr>
            <w:tcW w:w="1420" w:type="dxa"/>
          </w:tcPr>
          <w:p w14:paraId="080E03A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5521B22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738BD03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013D6B0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940975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3F1445D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9E5C85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03DE0C5F">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42A8D66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0D7C32F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1C00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5231A88D">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eastAsia" w:ascii="宋体" w:hAnsi="宋体" w:eastAsia="宋体" w:cs="Times New Roman"/>
                <w:strike/>
                <w:snapToGrid w:val="0"/>
                <w:color w:val="000000" w:themeColor="text1"/>
                <w:kern w:val="0"/>
                <w:szCs w:val="21"/>
                <w:highlight w:val="none"/>
                <w14:textFill>
                  <w14:solidFill>
                    <w14:schemeClr w14:val="tx1"/>
                  </w14:solidFill>
                </w14:textFill>
              </w:rPr>
              <w:t>…</w:t>
            </w:r>
          </w:p>
        </w:tc>
        <w:tc>
          <w:tcPr>
            <w:tcW w:w="1420" w:type="dxa"/>
          </w:tcPr>
          <w:p w14:paraId="124C6A7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3751693C">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vAlign w:val="bottom"/>
          </w:tcPr>
          <w:p w14:paraId="7252246C">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487907F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386A61E5">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ED9F8B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vAlign w:val="bottom"/>
          </w:tcPr>
          <w:p w14:paraId="403B2EDB">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vAlign w:val="bottom"/>
          </w:tcPr>
          <w:p w14:paraId="3455949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vAlign w:val="bottom"/>
          </w:tcPr>
          <w:p w14:paraId="4411E6AB">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vAlign w:val="bottom"/>
          </w:tcPr>
          <w:p w14:paraId="4E21408D">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bl>
    <w:p w14:paraId="543BE88B">
      <w:pPr>
        <w:jc w:val="right"/>
        <w:rPr>
          <w:rFonts w:ascii="宋体" w:hAnsi="宋体" w:eastAsia="宋体" w:cs="Times New Roman"/>
          <w:strike/>
          <w:color w:val="000000" w:themeColor="text1"/>
          <w:highlight w:val="none"/>
          <w14:textFill>
            <w14:solidFill>
              <w14:schemeClr w14:val="tx1"/>
            </w14:solidFill>
          </w14:textFill>
        </w:rPr>
      </w:pPr>
      <w:r>
        <w:rPr>
          <w:rFonts w:ascii="宋体" w:hAnsi="宋体" w:eastAsia="宋体" w:cs="Times New Roman"/>
          <w:strike/>
          <w:color w:val="000000" w:themeColor="text1"/>
          <w:highlight w:val="none"/>
          <w14:textFill>
            <w14:solidFill>
              <w14:schemeClr w14:val="tx1"/>
            </w14:solidFill>
          </w14:textFill>
        </w:rPr>
        <w:t xml:space="preserve">           评标委员会全体成员签字：</w:t>
      </w:r>
    </w:p>
    <w:p w14:paraId="3321838B">
      <w:pPr>
        <w:jc w:val="right"/>
        <w:rPr>
          <w:rFonts w:ascii="宋体" w:hAnsi="宋体" w:eastAsia="宋体" w:cs="Times New Roman"/>
          <w:strike/>
          <w:color w:val="000000" w:themeColor="text1"/>
          <w:highlight w:val="none"/>
          <w14:textFill>
            <w14:solidFill>
              <w14:schemeClr w14:val="tx1"/>
            </w14:solidFill>
          </w14:textFill>
        </w:rPr>
      </w:pPr>
    </w:p>
    <w:p w14:paraId="64D2A677">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2655A0E2">
      <w:pPr>
        <w:keepNext/>
        <w:keepLines/>
        <w:widowControl/>
        <w:spacing w:before="0" w:beforeLines="0" w:after="0" w:afterLines="0" w:line="24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05" w:name="_Toc13794"/>
      <w:bookmarkStart w:id="106" w:name="_Toc11578"/>
      <w:bookmarkStart w:id="107" w:name="_Toc3807"/>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附录12有效性审查表</w:t>
      </w:r>
      <w:bookmarkEnd w:id="105"/>
      <w:bookmarkEnd w:id="106"/>
      <w:bookmarkEnd w:id="107"/>
    </w:p>
    <w:p w14:paraId="5A63293B">
      <w:pPr>
        <w:widowControl/>
        <w:jc w:val="center"/>
        <w:rPr>
          <w:rFonts w:hint="eastAsia" w:ascii="宋体" w:hAnsi="宋体" w:eastAsia="宋体" w:cs="Times New Roman"/>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8"/>
          <w:szCs w:val="28"/>
          <w:highlight w:val="none"/>
          <w:lang w:val="en-US" w:eastAsia="zh-CN" w:bidi="ar"/>
          <w14:textFill>
            <w14:solidFill>
              <w14:schemeClr w14:val="tx1"/>
            </w14:solidFill>
          </w14:textFill>
        </w:rPr>
        <w:t>有效性审查表</w:t>
      </w:r>
      <w:r>
        <w:rPr>
          <w:rFonts w:hint="eastAsia" w:ascii="宋体" w:hAnsi="宋体" w:eastAsia="宋体" w:cs="宋体"/>
          <w:b/>
          <w:bCs w:val="0"/>
          <w:color w:val="000000" w:themeColor="text1"/>
          <w:kern w:val="0"/>
          <w:sz w:val="28"/>
          <w:szCs w:val="28"/>
          <w:highlight w:val="none"/>
          <w:u w:val="single"/>
          <w:lang w:val="en-US" w:eastAsia="zh-CN" w:bidi="ar"/>
          <w14:textFill>
            <w14:solidFill>
              <w14:schemeClr w14:val="tx1"/>
            </w14:solidFill>
          </w14:textFill>
        </w:rPr>
        <w:t>（技术方案）</w:t>
      </w:r>
    </w:p>
    <w:p w14:paraId="3FB6B1F2">
      <w:pPr>
        <w:widowControl w:val="0"/>
        <w:jc w:val="left"/>
        <w:rPr>
          <w:rFonts w:ascii="宋体" w:hAnsi="宋体" w:eastAsia="宋体" w:cs="Times New Roman"/>
          <w:b/>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项目名称：</w:t>
      </w:r>
      <w:r>
        <w:rPr>
          <w:rFonts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0"/>
          <w:sz w:val="24"/>
          <w:szCs w:val="20"/>
          <w:highlight w:val="none"/>
          <w:lang w:val="en-US" w:eastAsia="zh-CN" w:bidi="ar-SA"/>
          <w14:textFill>
            <w14:solidFill>
              <w14:schemeClr w14:val="tx1"/>
            </w14:solidFill>
          </w14:textFill>
        </w:rPr>
        <w:t>方案编号</w:t>
      </w:r>
      <w:r>
        <w:rPr>
          <w:rFonts w:ascii="宋体" w:hAnsi="宋体" w:eastAsia="宋体" w:cs="Times New Roman"/>
          <w:color w:val="000000" w:themeColor="text1"/>
          <w:kern w:val="0"/>
          <w:sz w:val="24"/>
          <w:szCs w:val="20"/>
          <w:highlight w:val="none"/>
          <w:lang w:val="en-US" w:eastAsia="zh-CN" w:bidi="ar-SA"/>
          <w14:textFill>
            <w14:solidFill>
              <w14:schemeClr w14:val="tx1"/>
            </w14:solidFill>
          </w14:textFill>
        </w:rPr>
        <w:t>:</w:t>
      </w:r>
    </w:p>
    <w:tbl>
      <w:tblPr>
        <w:tblStyle w:val="15"/>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2126"/>
        <w:gridCol w:w="2126"/>
        <w:gridCol w:w="2126"/>
        <w:gridCol w:w="2129"/>
      </w:tblGrid>
      <w:tr w14:paraId="4B86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1D72213E">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tcPr>
          <w:p w14:paraId="6EEDEBB7">
            <w:pPr>
              <w:keepNext w:val="0"/>
              <w:keepLines w:val="0"/>
              <w:widowControl w:val="0"/>
              <w:suppressLineNumbers w:val="0"/>
              <w:spacing w:before="0" w:beforeAutospacing="0" w:after="0" w:afterAutospacing="0"/>
              <w:ind w:left="0" w:right="0"/>
              <w:jc w:val="center"/>
              <w:rPr>
                <w:rFonts w:hint="default" w:ascii="宋体" w:hAnsi="Courier New"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4"/>
                <w:highlight w:val="none"/>
                <w:lang w:val="en-US" w:eastAsia="zh-CN" w:bidi="ar-SA"/>
                <w14:textFill>
                  <w14:solidFill>
                    <w14:schemeClr w14:val="tx1"/>
                  </w14:solidFill>
                </w14:textFill>
              </w:rPr>
              <w:t xml:space="preserve">                      方案编号</w:t>
            </w:r>
          </w:p>
          <w:p w14:paraId="55A726C8">
            <w:pPr>
              <w:keepNext w:val="0"/>
              <w:keepLines w:val="0"/>
              <w:widowControl w:val="0"/>
              <w:suppressLineNumbers w:val="0"/>
              <w:spacing w:before="0" w:beforeAutospacing="0" w:after="0" w:afterAutospacing="0"/>
              <w:ind w:left="0" w:right="0"/>
              <w:jc w:val="both"/>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4"/>
                <w:highlight w:val="none"/>
                <w:lang w:val="en-US" w:eastAsia="zh-CN" w:bidi="ar-SA"/>
                <w14:textFill>
                  <w14:solidFill>
                    <w14:schemeClr w14:val="tx1"/>
                  </w14:solidFill>
                </w14:textFill>
              </w:rPr>
              <w:t>审查项目</w:t>
            </w:r>
          </w:p>
        </w:tc>
        <w:tc>
          <w:tcPr>
            <w:tcW w:w="2126" w:type="dxa"/>
            <w:tcBorders>
              <w:top w:val="single" w:color="auto" w:sz="4" w:space="0"/>
              <w:left w:val="single" w:color="auto" w:sz="4" w:space="0"/>
              <w:bottom w:val="single" w:color="auto" w:sz="4" w:space="0"/>
              <w:right w:val="single" w:color="auto" w:sz="4" w:space="0"/>
            </w:tcBorders>
          </w:tcPr>
          <w:p w14:paraId="636C43B4">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3CDACC62">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4CA4935F">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56DA76D1">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r w14:paraId="2A4E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6AB2912C">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p>
        </w:tc>
        <w:tc>
          <w:tcPr>
            <w:tcW w:w="4614" w:type="dxa"/>
            <w:tcBorders>
              <w:top w:val="single" w:color="auto" w:sz="4" w:space="0"/>
              <w:left w:val="single" w:color="auto" w:sz="4" w:space="0"/>
              <w:bottom w:val="single" w:color="auto" w:sz="4" w:space="0"/>
              <w:right w:val="single" w:color="auto" w:sz="4" w:space="0"/>
            </w:tcBorders>
            <w:vAlign w:val="center"/>
          </w:tcPr>
          <w:p w14:paraId="53982D64">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投标人没有在设计方案内标注名称、印章、商标、图形等记认符号，使人辨认出投标人或其专业技术人员的身份。</w:t>
            </w:r>
          </w:p>
        </w:tc>
        <w:tc>
          <w:tcPr>
            <w:tcW w:w="2126" w:type="dxa"/>
            <w:tcBorders>
              <w:top w:val="single" w:color="auto" w:sz="4" w:space="0"/>
              <w:left w:val="single" w:color="auto" w:sz="4" w:space="0"/>
              <w:bottom w:val="single" w:color="auto" w:sz="4" w:space="0"/>
              <w:right w:val="single" w:color="auto" w:sz="4" w:space="0"/>
            </w:tcBorders>
          </w:tcPr>
          <w:p w14:paraId="12741276">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67B862D4">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7017436E">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515DB703">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r w14:paraId="0E6C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68C92C60">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2</w:t>
            </w:r>
          </w:p>
        </w:tc>
        <w:tc>
          <w:tcPr>
            <w:tcW w:w="4614" w:type="dxa"/>
            <w:tcBorders>
              <w:top w:val="single" w:color="auto" w:sz="4" w:space="0"/>
              <w:left w:val="single" w:color="auto" w:sz="4" w:space="0"/>
              <w:bottom w:val="single" w:color="auto" w:sz="4" w:space="0"/>
              <w:right w:val="single" w:color="auto" w:sz="4" w:space="0"/>
            </w:tcBorders>
            <w:vAlign w:val="center"/>
          </w:tcPr>
          <w:p w14:paraId="224A9FD7">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投标人与招标人、评标委员会成员或者其他投标人无串通投标。</w:t>
            </w:r>
          </w:p>
        </w:tc>
        <w:tc>
          <w:tcPr>
            <w:tcW w:w="2126" w:type="dxa"/>
            <w:tcBorders>
              <w:top w:val="single" w:color="auto" w:sz="4" w:space="0"/>
              <w:left w:val="single" w:color="auto" w:sz="4" w:space="0"/>
              <w:bottom w:val="single" w:color="auto" w:sz="4" w:space="0"/>
              <w:right w:val="single" w:color="auto" w:sz="4" w:space="0"/>
            </w:tcBorders>
          </w:tcPr>
          <w:p w14:paraId="33E628BB">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50F4895F">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6FDC34A9">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3D1239CD">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r w14:paraId="07FB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64639BDB">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3</w:t>
            </w:r>
          </w:p>
        </w:tc>
        <w:tc>
          <w:tcPr>
            <w:tcW w:w="4614" w:type="dxa"/>
            <w:tcBorders>
              <w:top w:val="single" w:color="auto" w:sz="4" w:space="0"/>
              <w:left w:val="single" w:color="auto" w:sz="4" w:space="0"/>
              <w:bottom w:val="single" w:color="auto" w:sz="4" w:space="0"/>
              <w:right w:val="single" w:color="auto" w:sz="4" w:space="0"/>
            </w:tcBorders>
            <w:vAlign w:val="center"/>
          </w:tcPr>
          <w:p w14:paraId="673D11F4">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投标人之间不存在《广东省实施</w:t>
            </w: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&lt;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中华人民共和国招标投标法</w:t>
            </w: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&gt;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》第十六条所禁止的情形的。</w:t>
            </w:r>
          </w:p>
        </w:tc>
        <w:tc>
          <w:tcPr>
            <w:tcW w:w="2126" w:type="dxa"/>
            <w:tcBorders>
              <w:top w:val="single" w:color="auto" w:sz="4" w:space="0"/>
              <w:left w:val="single" w:color="auto" w:sz="4" w:space="0"/>
              <w:bottom w:val="single" w:color="auto" w:sz="4" w:space="0"/>
              <w:right w:val="single" w:color="auto" w:sz="4" w:space="0"/>
            </w:tcBorders>
          </w:tcPr>
          <w:p w14:paraId="3A9AEE15">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7F36CFB4">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251E2E1A">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7BF65991">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r w14:paraId="3781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56522552">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结论</w:t>
            </w:r>
          </w:p>
        </w:tc>
        <w:tc>
          <w:tcPr>
            <w:tcW w:w="4614" w:type="dxa"/>
            <w:tcBorders>
              <w:top w:val="single" w:color="auto" w:sz="4" w:space="0"/>
              <w:left w:val="single" w:color="auto" w:sz="4" w:space="0"/>
              <w:bottom w:val="single" w:color="auto" w:sz="4" w:space="0"/>
              <w:right w:val="single" w:color="auto" w:sz="4" w:space="0"/>
            </w:tcBorders>
            <w:vAlign w:val="center"/>
          </w:tcPr>
          <w:p w14:paraId="798E0890">
            <w:pPr>
              <w:keepNext w:val="0"/>
              <w:keepLines w:val="0"/>
              <w:widowControl w:val="0"/>
              <w:suppressLineNumbers w:val="0"/>
              <w:spacing w:before="0" w:beforeAutospacing="0" w:after="0" w:afterAutospacing="0"/>
              <w:ind w:left="0" w:right="0"/>
              <w:jc w:val="both"/>
              <w:rPr>
                <w:rFonts w:hint="default" w:ascii="宋体" w:hAnsi="Courier New"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4"/>
                <w:highlight w:val="none"/>
                <w:lang w:val="en-US" w:eastAsia="zh-CN" w:bidi="ar-SA"/>
                <w14:textFill>
                  <w14:solidFill>
                    <w14:schemeClr w14:val="tx1"/>
                  </w14:solidFill>
                </w14:textFill>
              </w:rPr>
              <w:t>是否通过并进入下一阶段评审</w:t>
            </w:r>
          </w:p>
        </w:tc>
        <w:tc>
          <w:tcPr>
            <w:tcW w:w="2126" w:type="dxa"/>
            <w:tcBorders>
              <w:top w:val="single" w:color="auto" w:sz="4" w:space="0"/>
              <w:left w:val="single" w:color="auto" w:sz="4" w:space="0"/>
              <w:bottom w:val="single" w:color="auto" w:sz="4" w:space="0"/>
              <w:right w:val="single" w:color="auto" w:sz="4" w:space="0"/>
            </w:tcBorders>
          </w:tcPr>
          <w:p w14:paraId="19CDC7FE">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06E0A4AF">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5D51375F">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148EE705">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bl>
    <w:p w14:paraId="7F60A6A3">
      <w:pPr>
        <w:widowControl/>
        <w:tabs>
          <w:tab w:val="left" w:pos="720"/>
        </w:tabs>
        <w:snapToGrid w:val="0"/>
        <w:spacing w:before="0" w:beforeLines="0" w:line="240" w:lineRule="auto"/>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备注</w:t>
      </w: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：1、根据本表的审查项目，填“是”或“否”。</w:t>
      </w:r>
    </w:p>
    <w:p w14:paraId="1B487523">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2、表中出现一个或以上“否”，即该投标人的评审“结论”为“否”，即该投标人不进入下一阶段评审。</w:t>
      </w:r>
    </w:p>
    <w:p w14:paraId="6519481C">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3、表中全部评审结果为“是”，视为同意进入下一阶段评审。</w:t>
      </w:r>
    </w:p>
    <w:p w14:paraId="5C844C45">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4</w:t>
      </w:r>
      <w:r>
        <w:rPr>
          <w:rFonts w:hint="eastAsia" w:ascii="宋体" w:hAnsi="Courier New" w:eastAsia="宋体" w:cs="Times New Roman"/>
          <w:color w:val="000000" w:themeColor="text1"/>
          <w:sz w:val="24"/>
          <w:highlight w:val="none"/>
          <w14:textFill>
            <w14:solidFill>
              <w14:schemeClr w14:val="tx1"/>
            </w14:solidFill>
          </w14:textFill>
        </w:rPr>
        <w:t>、若评委意见不一致时，则按少数服从多数的原则，决定该投标人是否通过有效性审查，进入下一阶段评审。</w:t>
      </w:r>
    </w:p>
    <w:p w14:paraId="24C819DA">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pPr>
      <w:r>
        <w:rPr>
          <w:rFonts w:hint="eastAsia" w:ascii="宋体" w:hAnsi="Courier New" w:eastAsia="宋体" w:cs="Times New Roman"/>
          <w:color w:val="000000" w:themeColor="text1"/>
          <w:sz w:val="24"/>
          <w:highlight w:val="none"/>
          <w:lang w:val="en-US" w:eastAsia="zh-CN"/>
          <w14:textFill>
            <w14:solidFill>
              <w14:schemeClr w14:val="tx1"/>
            </w14:solidFill>
          </w14:textFill>
        </w:rPr>
        <w:t>5、</w:t>
      </w:r>
      <w:r>
        <w:rPr>
          <w:rFonts w:hint="eastAsia"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t>不得将文件顺序、明显的文字错误等列为否决投标的情形。若出现评标委员会否决投标的，应在评标报告中载明否决投标的具体情形、原因。</w:t>
      </w:r>
    </w:p>
    <w:p w14:paraId="2C268841">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pPr>
    </w:p>
    <w:p w14:paraId="1A56DE77">
      <w:pPr>
        <w:spacing w:beforeLines="0" w:line="240" w:lineRule="auto"/>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评委签名：</w:t>
      </w:r>
      <w:r>
        <w:rPr>
          <w:rFonts w:ascii="宋体" w:hAnsi="宋体" w:eastAsia="宋体" w:cs="Times New Roman"/>
          <w:color w:val="000000" w:themeColor="text1"/>
          <w:sz w:val="24"/>
          <w:highlight w:val="none"/>
          <w14:textFill>
            <w14:solidFill>
              <w14:schemeClr w14:val="tx1"/>
            </w14:solidFill>
          </w14:textFill>
        </w:rPr>
        <w:t xml:space="preserve">                                                                               </w:t>
      </w:r>
      <w:r>
        <w:rPr>
          <w:rFonts w:ascii="宋体" w:hAnsi="宋体" w:eastAsia="宋体" w:cs="Times New Roman"/>
          <w:color w:val="000000" w:themeColor="text1"/>
          <w:highlight w:val="none"/>
          <w14:textFill>
            <w14:solidFill>
              <w14:schemeClr w14:val="tx1"/>
            </w14:solidFill>
          </w14:textFill>
        </w:rPr>
        <w:t xml:space="preserve">    日期：       年    月    日</w:t>
      </w:r>
    </w:p>
    <w:p w14:paraId="107543C5">
      <w:pP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08" w:name="_Toc114493348"/>
      <w:bookmarkStart w:id="109" w:name="_Toc30731"/>
      <w:bookmarkStart w:id="110" w:name="_Toc6247"/>
      <w:bookmarkStart w:id="111" w:name="_Toc13878"/>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br w:type="page"/>
      </w:r>
    </w:p>
    <w:p w14:paraId="14E9DB14">
      <w:pPr>
        <w:widowControl w:val="0"/>
        <w:spacing w:beforeLines="0" w:afterLines="0"/>
        <w:jc w:val="center"/>
        <w:rPr>
          <w:rFonts w:hint="default" w:ascii="宋体" w:hAnsi="宋体" w:eastAsia="宋体" w:cs="宋体"/>
          <w:b/>
          <w:bCs/>
          <w:color w:val="000000" w:themeColor="text1"/>
          <w:kern w:val="0"/>
          <w:sz w:val="28"/>
          <w:szCs w:val="28"/>
          <w:highlight w:val="none"/>
          <w:lang w:eastAsia="zh-CN" w:bidi="ar-SA"/>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t>有效性审查表</w:t>
      </w:r>
      <w:r>
        <w:rPr>
          <w:rFonts w:hint="default" w:ascii="宋体" w:hAnsi="宋体" w:eastAsia="宋体" w:cs="宋体"/>
          <w:b/>
          <w:bCs/>
          <w:color w:val="000000" w:themeColor="text1"/>
          <w:kern w:val="0"/>
          <w:sz w:val="28"/>
          <w:szCs w:val="28"/>
          <w:highlight w:val="none"/>
          <w:u w:val="single"/>
          <w:lang w:eastAsia="zh-CN" w:bidi="ar-SA"/>
          <w14:textFill>
            <w14:solidFill>
              <w14:schemeClr w14:val="tx1"/>
            </w14:solidFill>
          </w14:textFill>
        </w:rPr>
        <w:t>（非技术方案）</w:t>
      </w:r>
    </w:p>
    <w:p w14:paraId="644D3A38">
      <w:pPr>
        <w:widowControl w:val="0"/>
        <w:jc w:val="left"/>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项目名称：                                                                                 </w:t>
      </w:r>
    </w:p>
    <w:tbl>
      <w:tblPr>
        <w:tblStyle w:val="15"/>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5"/>
        <w:gridCol w:w="9623"/>
        <w:gridCol w:w="874"/>
        <w:gridCol w:w="874"/>
        <w:gridCol w:w="874"/>
        <w:gridCol w:w="876"/>
      </w:tblGrid>
      <w:tr w14:paraId="552A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BDE022F">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序号</w:t>
            </w:r>
          </w:p>
        </w:tc>
        <w:tc>
          <w:tcPr>
            <w:tcW w:w="9623" w:type="dxa"/>
            <w:tcBorders>
              <w:top w:val="single" w:color="auto" w:sz="4" w:space="0"/>
              <w:left w:val="nil"/>
              <w:bottom w:val="single" w:color="auto" w:sz="4" w:space="0"/>
              <w:right w:val="single" w:color="auto" w:sz="4" w:space="0"/>
              <w:tl2br w:val="single" w:color="auto" w:sz="4" w:space="0"/>
            </w:tcBorders>
            <w:shd w:val="clear" w:color="auto" w:fill="auto"/>
            <w:vAlign w:val="top"/>
          </w:tcPr>
          <w:p w14:paraId="3751FB08">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投标人名称</w:t>
            </w:r>
          </w:p>
          <w:p w14:paraId="5F2B4513">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审查项目</w:t>
            </w:r>
          </w:p>
        </w:tc>
        <w:tc>
          <w:tcPr>
            <w:tcW w:w="874" w:type="dxa"/>
            <w:tcBorders>
              <w:top w:val="single" w:color="auto" w:sz="4" w:space="0"/>
              <w:left w:val="nil"/>
              <w:bottom w:val="single" w:color="auto" w:sz="4" w:space="0"/>
              <w:right w:val="single" w:color="auto" w:sz="4" w:space="0"/>
            </w:tcBorders>
            <w:shd w:val="clear" w:color="auto" w:fill="auto"/>
            <w:vAlign w:val="top"/>
          </w:tcPr>
          <w:p w14:paraId="1161103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936A9E1">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200C30E2">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70E81213">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5B2D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7B7A7B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1</w:t>
            </w:r>
          </w:p>
        </w:tc>
        <w:tc>
          <w:tcPr>
            <w:tcW w:w="9623" w:type="dxa"/>
            <w:tcBorders>
              <w:top w:val="single" w:color="auto" w:sz="4" w:space="0"/>
              <w:left w:val="nil"/>
              <w:bottom w:val="single" w:color="auto" w:sz="4" w:space="0"/>
              <w:right w:val="single" w:color="auto" w:sz="4" w:space="0"/>
            </w:tcBorders>
            <w:shd w:val="clear" w:color="auto" w:fill="auto"/>
            <w:vAlign w:val="center"/>
          </w:tcPr>
          <w:p w14:paraId="1F3C4580">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投标人之间不存在《广东省实施&lt;中华人民共和国招标投标法&gt;》第十六条所禁止的情形的。</w:t>
            </w:r>
          </w:p>
        </w:tc>
        <w:tc>
          <w:tcPr>
            <w:tcW w:w="874" w:type="dxa"/>
            <w:tcBorders>
              <w:top w:val="single" w:color="auto" w:sz="4" w:space="0"/>
              <w:left w:val="nil"/>
              <w:bottom w:val="single" w:color="auto" w:sz="4" w:space="0"/>
              <w:right w:val="single" w:color="auto" w:sz="4" w:space="0"/>
            </w:tcBorders>
            <w:shd w:val="clear" w:color="auto" w:fill="auto"/>
            <w:vAlign w:val="top"/>
          </w:tcPr>
          <w:p w14:paraId="58E77DE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3A6009F8">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7E6FD18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0CEF85A4">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15C5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6B1CD58">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2</w:t>
            </w:r>
          </w:p>
        </w:tc>
        <w:tc>
          <w:tcPr>
            <w:tcW w:w="9623" w:type="dxa"/>
            <w:tcBorders>
              <w:top w:val="single" w:color="auto" w:sz="4" w:space="0"/>
              <w:left w:val="nil"/>
              <w:bottom w:val="single" w:color="auto" w:sz="4" w:space="0"/>
              <w:right w:val="single" w:color="auto" w:sz="4" w:space="0"/>
            </w:tcBorders>
            <w:shd w:val="clear" w:color="auto" w:fill="auto"/>
            <w:vAlign w:val="center"/>
          </w:tcPr>
          <w:p w14:paraId="431C8D29">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投标人与招标人、评标委员会成员或者其他投标人无串通投标。</w:t>
            </w:r>
          </w:p>
        </w:tc>
        <w:tc>
          <w:tcPr>
            <w:tcW w:w="874" w:type="dxa"/>
            <w:tcBorders>
              <w:top w:val="single" w:color="auto" w:sz="4" w:space="0"/>
              <w:left w:val="nil"/>
              <w:bottom w:val="single" w:color="auto" w:sz="4" w:space="0"/>
              <w:right w:val="single" w:color="auto" w:sz="4" w:space="0"/>
            </w:tcBorders>
            <w:shd w:val="clear" w:color="auto" w:fill="auto"/>
            <w:vAlign w:val="top"/>
          </w:tcPr>
          <w:p w14:paraId="6CACA862">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35A35AD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6DAA0495">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5967AE4D">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44A8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9DBA94F">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3</w:t>
            </w:r>
          </w:p>
        </w:tc>
        <w:tc>
          <w:tcPr>
            <w:tcW w:w="9623" w:type="dxa"/>
            <w:tcBorders>
              <w:top w:val="single" w:color="auto" w:sz="4" w:space="0"/>
              <w:left w:val="nil"/>
              <w:bottom w:val="single" w:color="auto" w:sz="4" w:space="0"/>
              <w:right w:val="single" w:color="auto" w:sz="4" w:space="0"/>
            </w:tcBorders>
            <w:shd w:val="clear" w:color="auto" w:fill="auto"/>
            <w:vAlign w:val="center"/>
          </w:tcPr>
          <w:p w14:paraId="7A2CAA21">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t>《投标书》有加盖投标人电子印章，已经法定代表人或者其授权代表签字</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4AC0D6E0">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65354358">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6C0FF7D">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3DAB643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3721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191662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4</w:t>
            </w:r>
          </w:p>
        </w:tc>
        <w:tc>
          <w:tcPr>
            <w:tcW w:w="9623" w:type="dxa"/>
            <w:tcBorders>
              <w:top w:val="single" w:color="auto" w:sz="4" w:space="0"/>
              <w:left w:val="nil"/>
              <w:bottom w:val="single" w:color="auto" w:sz="4" w:space="0"/>
              <w:right w:val="single" w:color="auto" w:sz="4" w:space="0"/>
            </w:tcBorders>
            <w:shd w:val="clear" w:color="auto" w:fill="auto"/>
            <w:vAlign w:val="center"/>
          </w:tcPr>
          <w:p w14:paraId="150161B4">
            <w:pPr>
              <w:keepNext w:val="0"/>
              <w:keepLines w:val="0"/>
              <w:widowControl/>
              <w:suppressLineNumbers w:val="0"/>
              <w:spacing w:before="0" w:beforeAutospacing="0" w:after="0" w:afterAutospacing="0"/>
              <w:ind w:left="0" w:right="0"/>
              <w:jc w:val="both"/>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t>《投标书》没有包含招标人不能接受的偏差，或投标人没有拒绝书面撤回偏差的情形</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73C5EAA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0FEB4194">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0463D2E9">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0B1544D1">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4D5D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56CC044">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t>5</w:t>
            </w:r>
          </w:p>
        </w:tc>
        <w:tc>
          <w:tcPr>
            <w:tcW w:w="9623" w:type="dxa"/>
            <w:tcBorders>
              <w:top w:val="single" w:color="auto" w:sz="4" w:space="0"/>
              <w:left w:val="nil"/>
              <w:bottom w:val="single" w:color="auto" w:sz="4" w:space="0"/>
              <w:right w:val="single" w:color="auto" w:sz="4" w:space="0"/>
            </w:tcBorders>
            <w:shd w:val="clear" w:color="auto" w:fill="auto"/>
            <w:vAlign w:val="center"/>
          </w:tcPr>
          <w:p w14:paraId="31641D79">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u w:val="single"/>
                <w:lang w:eastAsia="zh-CN" w:bidi="ar-SA"/>
                <w14:textFill>
                  <w14:solidFill>
                    <w14:schemeClr w14:val="tx1"/>
                  </w14:solidFill>
                </w14:textFill>
              </w:rPr>
              <w:t>《投标人声明》已按规定格式填写</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6FF2EF76">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687961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3F3E476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1BB81FFD">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7CCB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08DE686">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t>6</w:t>
            </w:r>
          </w:p>
        </w:tc>
        <w:tc>
          <w:tcPr>
            <w:tcW w:w="9623" w:type="dxa"/>
            <w:tcBorders>
              <w:top w:val="single" w:color="auto" w:sz="4" w:space="0"/>
              <w:left w:val="nil"/>
              <w:bottom w:val="single" w:color="auto" w:sz="4" w:space="0"/>
              <w:right w:val="single" w:color="auto" w:sz="4" w:space="0"/>
            </w:tcBorders>
            <w:shd w:val="clear" w:color="auto" w:fill="auto"/>
            <w:vAlign w:val="center"/>
          </w:tcPr>
          <w:p w14:paraId="196935A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t>投标人与本项目其他投标人加密打包投标文件电脑机器特征码未出现一致情况</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3A173A25">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769F4C4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2A7960B7">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5B943EA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5E84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3EB1C4F">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t>7</w:t>
            </w:r>
          </w:p>
        </w:tc>
        <w:tc>
          <w:tcPr>
            <w:tcW w:w="9623" w:type="dxa"/>
            <w:tcBorders>
              <w:top w:val="single" w:color="auto" w:sz="4" w:space="0"/>
              <w:left w:val="nil"/>
              <w:bottom w:val="single" w:color="auto" w:sz="4" w:space="0"/>
              <w:right w:val="single" w:color="auto" w:sz="4" w:space="0"/>
            </w:tcBorders>
            <w:shd w:val="clear" w:color="auto" w:fill="auto"/>
            <w:vAlign w:val="center"/>
          </w:tcPr>
          <w:p w14:paraId="6B8DD5D8">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t>投标报价不高于最高投标限价</w:t>
            </w:r>
            <w:r>
              <w:rPr>
                <w:rFonts w:hint="eastAsia" w:ascii="宋体" w:hAnsi="宋体"/>
                <w:b/>
                <w:bCs/>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lang w:val="en-US" w:eastAsia="zh-CN"/>
                <w14:textFill>
                  <w14:solidFill>
                    <w14:schemeClr w14:val="tx1"/>
                  </w14:solidFill>
                </w14:textFill>
              </w:rPr>
              <w:t>含最高投标限价总价及各分项最高投标限价</w:t>
            </w:r>
            <w:r>
              <w:rPr>
                <w:rFonts w:hint="eastAsia" w:ascii="宋体" w:hAnsi="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2A672642">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0188EE42">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AA4425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0898238A">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55AA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7972F9A">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结论</w:t>
            </w:r>
          </w:p>
        </w:tc>
        <w:tc>
          <w:tcPr>
            <w:tcW w:w="9623" w:type="dxa"/>
            <w:tcBorders>
              <w:top w:val="single" w:color="auto" w:sz="4" w:space="0"/>
              <w:left w:val="nil"/>
              <w:bottom w:val="single" w:color="auto" w:sz="4" w:space="0"/>
              <w:right w:val="single" w:color="auto" w:sz="4" w:space="0"/>
            </w:tcBorders>
            <w:shd w:val="clear" w:color="auto" w:fill="auto"/>
            <w:vAlign w:val="center"/>
          </w:tcPr>
          <w:p w14:paraId="050A41E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是否通过并进入下一阶段评审。</w:t>
            </w:r>
          </w:p>
        </w:tc>
        <w:tc>
          <w:tcPr>
            <w:tcW w:w="874" w:type="dxa"/>
            <w:tcBorders>
              <w:top w:val="single" w:color="auto" w:sz="4" w:space="0"/>
              <w:left w:val="nil"/>
              <w:bottom w:val="single" w:color="auto" w:sz="4" w:space="0"/>
              <w:right w:val="single" w:color="auto" w:sz="4" w:space="0"/>
            </w:tcBorders>
            <w:shd w:val="clear" w:color="auto" w:fill="auto"/>
            <w:vAlign w:val="top"/>
          </w:tcPr>
          <w:p w14:paraId="64F32CA6">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6B6EE9A6">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2C647A9">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216E7235">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bl>
    <w:p w14:paraId="55B4097D">
      <w:pPr>
        <w:widowControl/>
        <w:tabs>
          <w:tab w:val="left" w:pos="720"/>
        </w:tabs>
        <w:snapToGrid w:val="0"/>
        <w:spacing w:before="157" w:beforeLines="5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备注：1、根据本表的审查项目，填“是”或“否”。</w:t>
      </w:r>
    </w:p>
    <w:p w14:paraId="1D12D1C6">
      <w:pPr>
        <w:widowControl/>
        <w:tabs>
          <w:tab w:val="left" w:pos="720"/>
        </w:tabs>
        <w:snapToGrid w:val="0"/>
        <w:spacing w:before="0" w:beforeLines="0"/>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2、表中出现一个或以上“否”，即该投标人的评审“结论”为“否”，即该投标人不进入下一阶段评审。</w:t>
      </w:r>
    </w:p>
    <w:p w14:paraId="31686095">
      <w:pPr>
        <w:widowControl/>
        <w:tabs>
          <w:tab w:val="left" w:pos="720"/>
        </w:tabs>
        <w:snapToGrid w:val="0"/>
        <w:spacing w:before="0" w:beforeLines="0"/>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3、表中全部评审结果为“是”，视为同意进入下一阶段评审。</w:t>
      </w:r>
    </w:p>
    <w:p w14:paraId="445D6B46">
      <w:pPr>
        <w:widowControl/>
        <w:tabs>
          <w:tab w:val="left" w:pos="720"/>
        </w:tabs>
        <w:snapToGrid w:val="0"/>
        <w:spacing w:before="0" w:beforeLines="0"/>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4、若评委意见不一致时，则按少数服从多数的原则，决定该投标人是否通过有效性审查，进入下一阶段评审。</w:t>
      </w:r>
    </w:p>
    <w:p w14:paraId="37B5699A">
      <w:pPr>
        <w:widowControl/>
        <w:tabs>
          <w:tab w:val="left" w:pos="720"/>
        </w:tabs>
        <w:snapToGrid w:val="0"/>
        <w:spacing w:before="0" w:beforeLines="0"/>
        <w:ind w:firstLine="720" w:firstLineChars="300"/>
        <w:jc w:val="left"/>
        <w:rPr>
          <w:rFonts w:hint="default"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t>5、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C949616">
      <w:pPr>
        <w:widowControl w:val="0"/>
        <w:spacing w:beforeLines="0"/>
        <w:jc w:val="left"/>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p>
    <w:p w14:paraId="6FC96522">
      <w:pPr>
        <w:widowControl w:val="0"/>
        <w:spacing w:beforeLines="0"/>
        <w:jc w:val="left"/>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评委签名：                                                                                 </w:t>
      </w:r>
      <w:r>
        <w:rPr>
          <w:rFonts w:ascii="宋体" w:hAnsi="宋体" w:eastAsia="宋体" w:cs="Times New Roman"/>
          <w:color w:val="000000" w:themeColor="text1"/>
          <w:highlight w:val="none"/>
          <w14:textFill>
            <w14:solidFill>
              <w14:schemeClr w14:val="tx1"/>
            </w14:solidFill>
          </w14:textFill>
        </w:rPr>
        <w:t>日期：       年    月    日</w:t>
      </w:r>
    </w:p>
    <w:p w14:paraId="0F1140F4">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287139A9">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12" w:name="_Toc8774"/>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附录12-1 投标报价算术复核表</w:t>
      </w:r>
      <w:bookmarkEnd w:id="108"/>
      <w:bookmarkEnd w:id="109"/>
      <w:bookmarkEnd w:id="110"/>
      <w:bookmarkEnd w:id="111"/>
      <w:bookmarkEnd w:id="112"/>
    </w:p>
    <w:p w14:paraId="6DB6ADED">
      <w:pPr>
        <w:jc w:val="center"/>
        <w:rPr>
          <w:rFonts w:ascii="Calibri" w:hAnsi="Calibri" w:eastAsia="宋体" w:cs="Times New Roman"/>
          <w:b/>
          <w:color w:val="000000" w:themeColor="text1"/>
          <w:sz w:val="28"/>
          <w:szCs w:val="28"/>
          <w:highlight w:val="none"/>
          <w14:textFill>
            <w14:solidFill>
              <w14:schemeClr w14:val="tx1"/>
            </w14:solidFill>
          </w14:textFill>
        </w:rPr>
      </w:pPr>
      <w:bookmarkStart w:id="113" w:name="_Toc114493774"/>
      <w:bookmarkStart w:id="114" w:name="_Toc16682"/>
      <w:bookmarkStart w:id="115" w:name="_Toc114493349"/>
      <w:r>
        <w:rPr>
          <w:rFonts w:hint="eastAsia" w:ascii="Calibri" w:hAnsi="Calibri" w:eastAsia="宋体" w:cs="Times New Roman"/>
          <w:b/>
          <w:color w:val="000000" w:themeColor="text1"/>
          <w:sz w:val="28"/>
          <w:szCs w:val="28"/>
          <w:highlight w:val="none"/>
          <w14:textFill>
            <w14:solidFill>
              <w14:schemeClr w14:val="tx1"/>
            </w14:solidFill>
          </w14:textFill>
        </w:rPr>
        <w:t>投标报价算术复核表</w:t>
      </w:r>
      <w:bookmarkEnd w:id="113"/>
      <w:bookmarkEnd w:id="114"/>
      <w:bookmarkEnd w:id="115"/>
    </w:p>
    <w:p w14:paraId="7FDF6B1F">
      <w:pPr>
        <w:spacing w:line="360"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项目名称：</w:t>
      </w:r>
    </w:p>
    <w:tbl>
      <w:tblPr>
        <w:tblStyle w:val="15"/>
        <w:tblW w:w="13838" w:type="dxa"/>
        <w:jc w:val="center"/>
        <w:tblLayout w:type="fixed"/>
        <w:tblCellMar>
          <w:top w:w="0" w:type="dxa"/>
          <w:left w:w="108" w:type="dxa"/>
          <w:bottom w:w="0" w:type="dxa"/>
          <w:right w:w="108" w:type="dxa"/>
        </w:tblCellMar>
      </w:tblPr>
      <w:tblGrid>
        <w:gridCol w:w="724"/>
        <w:gridCol w:w="1056"/>
        <w:gridCol w:w="902"/>
        <w:gridCol w:w="900"/>
        <w:gridCol w:w="1170"/>
        <w:gridCol w:w="1185"/>
        <w:gridCol w:w="1386"/>
        <w:gridCol w:w="1128"/>
        <w:gridCol w:w="1095"/>
        <w:gridCol w:w="1142"/>
        <w:gridCol w:w="1111"/>
        <w:gridCol w:w="1068"/>
        <w:gridCol w:w="971"/>
      </w:tblGrid>
      <w:tr w14:paraId="5174AF32">
        <w:tblPrEx>
          <w:tblCellMar>
            <w:top w:w="0" w:type="dxa"/>
            <w:left w:w="108" w:type="dxa"/>
            <w:bottom w:w="0" w:type="dxa"/>
            <w:right w:w="108" w:type="dxa"/>
          </w:tblCellMar>
        </w:tblPrEx>
        <w:trPr>
          <w:trHeight w:val="612" w:hRule="atLeast"/>
          <w:jc w:val="center"/>
        </w:trPr>
        <w:tc>
          <w:tcPr>
            <w:tcW w:w="724" w:type="dxa"/>
            <w:vMerge w:val="restart"/>
            <w:tcBorders>
              <w:top w:val="single" w:color="auto" w:sz="4" w:space="0"/>
              <w:left w:val="single" w:color="auto" w:sz="4" w:space="0"/>
              <w:right w:val="single" w:color="auto" w:sz="4" w:space="0"/>
            </w:tcBorders>
            <w:vAlign w:val="center"/>
          </w:tcPr>
          <w:p w14:paraId="68B44E36">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1056" w:type="dxa"/>
            <w:vMerge w:val="restart"/>
            <w:tcBorders>
              <w:top w:val="single" w:color="auto" w:sz="4" w:space="0"/>
              <w:left w:val="nil"/>
              <w:right w:val="single" w:color="auto" w:sz="4" w:space="0"/>
            </w:tcBorders>
            <w:vAlign w:val="center"/>
          </w:tcPr>
          <w:p w14:paraId="6A322FAD">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方案编号</w:t>
            </w:r>
          </w:p>
        </w:tc>
        <w:tc>
          <w:tcPr>
            <w:tcW w:w="5543" w:type="dxa"/>
            <w:gridSpan w:val="5"/>
            <w:tcBorders>
              <w:top w:val="single" w:color="auto" w:sz="4" w:space="0"/>
              <w:left w:val="nil"/>
              <w:bottom w:val="single" w:color="auto" w:sz="4" w:space="0"/>
              <w:right w:val="single" w:color="auto" w:sz="4" w:space="0"/>
            </w:tcBorders>
            <w:vAlign w:val="center"/>
          </w:tcPr>
          <w:p w14:paraId="6576EACC">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投标人报价（万元）</w:t>
            </w:r>
          </w:p>
        </w:tc>
        <w:tc>
          <w:tcPr>
            <w:tcW w:w="5544" w:type="dxa"/>
            <w:gridSpan w:val="5"/>
            <w:tcBorders>
              <w:top w:val="single" w:color="auto" w:sz="4" w:space="0"/>
              <w:left w:val="nil"/>
              <w:bottom w:val="single" w:color="auto" w:sz="4" w:space="0"/>
              <w:right w:val="single" w:color="auto" w:sz="4" w:space="0"/>
            </w:tcBorders>
            <w:vAlign w:val="center"/>
          </w:tcPr>
          <w:p w14:paraId="0BF53268">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算术复核后报价（万元）</w:t>
            </w:r>
          </w:p>
        </w:tc>
        <w:tc>
          <w:tcPr>
            <w:tcW w:w="971" w:type="dxa"/>
            <w:vMerge w:val="restart"/>
            <w:tcBorders>
              <w:top w:val="single" w:color="auto" w:sz="4" w:space="0"/>
              <w:left w:val="nil"/>
              <w:bottom w:val="single" w:color="auto" w:sz="4" w:space="0"/>
              <w:right w:val="single" w:color="auto" w:sz="4" w:space="0"/>
            </w:tcBorders>
            <w:vAlign w:val="center"/>
          </w:tcPr>
          <w:p w14:paraId="4DDF1B54">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2D710E3A">
        <w:tblPrEx>
          <w:tblCellMar>
            <w:top w:w="0" w:type="dxa"/>
            <w:left w:w="108" w:type="dxa"/>
            <w:bottom w:w="0" w:type="dxa"/>
            <w:right w:w="108" w:type="dxa"/>
          </w:tblCellMar>
        </w:tblPrEx>
        <w:trPr>
          <w:trHeight w:val="1852" w:hRule="atLeast"/>
          <w:jc w:val="center"/>
        </w:trPr>
        <w:tc>
          <w:tcPr>
            <w:tcW w:w="724" w:type="dxa"/>
            <w:vMerge w:val="continue"/>
            <w:tcBorders>
              <w:left w:val="single" w:color="auto" w:sz="4" w:space="0"/>
              <w:bottom w:val="single" w:color="auto" w:sz="4" w:space="0"/>
              <w:right w:val="single" w:color="auto" w:sz="4" w:space="0"/>
            </w:tcBorders>
            <w:vAlign w:val="center"/>
          </w:tcPr>
          <w:p w14:paraId="25364FC0">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color w:val="000000" w:themeColor="text1"/>
                <w:szCs w:val="21"/>
                <w:highlight w:val="none"/>
                <w14:textFill>
                  <w14:solidFill>
                    <w14:schemeClr w14:val="tx1"/>
                  </w14:solidFill>
                </w14:textFill>
              </w:rPr>
            </w:pPr>
          </w:p>
        </w:tc>
        <w:tc>
          <w:tcPr>
            <w:tcW w:w="1056" w:type="dxa"/>
            <w:vMerge w:val="continue"/>
            <w:tcBorders>
              <w:left w:val="nil"/>
              <w:bottom w:val="single" w:color="auto" w:sz="4" w:space="0"/>
              <w:right w:val="single" w:color="auto" w:sz="4" w:space="0"/>
            </w:tcBorders>
            <w:vAlign w:val="center"/>
          </w:tcPr>
          <w:p w14:paraId="41CE238E">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vAlign w:val="center"/>
          </w:tcPr>
          <w:p w14:paraId="4CCB44F4">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工程设计费投标报价</w:t>
            </w:r>
          </w:p>
        </w:tc>
        <w:tc>
          <w:tcPr>
            <w:tcW w:w="900" w:type="dxa"/>
            <w:tcBorders>
              <w:top w:val="single" w:color="auto" w:sz="4" w:space="0"/>
              <w:left w:val="nil"/>
              <w:bottom w:val="single" w:color="auto" w:sz="4" w:space="0"/>
              <w:right w:val="single" w:color="auto" w:sz="4" w:space="0"/>
            </w:tcBorders>
            <w:vAlign w:val="center"/>
          </w:tcPr>
          <w:p w14:paraId="0AE583D7">
            <w:pPr>
              <w:keepNext w:val="0"/>
              <w:keepLines w:val="0"/>
              <w:widowControl/>
              <w:suppressLineNumbers w:val="0"/>
              <w:spacing w:before="0" w:beforeAutospacing="0" w:after="0" w:afterAutospacing="0" w:line="240" w:lineRule="auto"/>
              <w:ind w:left="0" w:right="0"/>
              <w:jc w:val="center"/>
              <w:rPr>
                <w:rFonts w:hint="default" w:ascii="Calibri"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工程勘察费投标报价</w:t>
            </w:r>
          </w:p>
        </w:tc>
        <w:tc>
          <w:tcPr>
            <w:tcW w:w="1170" w:type="dxa"/>
            <w:tcBorders>
              <w:top w:val="single" w:color="auto" w:sz="4" w:space="0"/>
              <w:left w:val="nil"/>
              <w:bottom w:val="single" w:color="auto" w:sz="4" w:space="0"/>
              <w:right w:val="single" w:color="auto" w:sz="4" w:space="0"/>
            </w:tcBorders>
            <w:shd w:val="clear" w:color="auto" w:fill="auto"/>
            <w:vAlign w:val="center"/>
          </w:tcPr>
          <w:p w14:paraId="51A0BB1A">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设计方案报审（含修建性详细规划编制）费</w:t>
            </w:r>
          </w:p>
        </w:tc>
        <w:tc>
          <w:tcPr>
            <w:tcW w:w="1185" w:type="dxa"/>
            <w:tcBorders>
              <w:top w:val="single" w:color="auto" w:sz="4" w:space="0"/>
              <w:left w:val="nil"/>
              <w:bottom w:val="single" w:color="auto" w:sz="4" w:space="0"/>
              <w:right w:val="single" w:color="auto" w:sz="4" w:space="0"/>
            </w:tcBorders>
            <w:shd w:val="clear" w:color="auto" w:fill="auto"/>
            <w:vAlign w:val="center"/>
          </w:tcPr>
          <w:p w14:paraId="4EC786DB">
            <w:pPr>
              <w:keepNext w:val="0"/>
              <w:keepLines w:val="0"/>
              <w:widowControl/>
              <w:suppressLineNumbers w:val="0"/>
              <w:spacing w:before="0" w:beforeAutospacing="0" w:after="0" w:afterAutospacing="0" w:line="240" w:lineRule="auto"/>
              <w:ind w:left="0" w:leftChars="0" w:right="0" w:rightChars="0"/>
              <w:jc w:val="center"/>
              <w:rPr>
                <w:rFonts w:hint="default" w:ascii="Calibri" w:hAnsi="宋体"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BIM正向设计技术应用费投标报价</w:t>
            </w:r>
          </w:p>
        </w:tc>
        <w:tc>
          <w:tcPr>
            <w:tcW w:w="1386" w:type="dxa"/>
            <w:tcBorders>
              <w:top w:val="single" w:color="auto" w:sz="4" w:space="0"/>
              <w:left w:val="single" w:color="auto" w:sz="4" w:space="0"/>
              <w:bottom w:val="single" w:color="auto" w:sz="4" w:space="0"/>
              <w:right w:val="single" w:color="auto" w:sz="4" w:space="0"/>
            </w:tcBorders>
            <w:vAlign w:val="center"/>
          </w:tcPr>
          <w:p w14:paraId="236FFE76">
            <w:pPr>
              <w:keepNext w:val="0"/>
              <w:keepLines w:val="0"/>
              <w:widowControl/>
              <w:suppressLineNumbers w:val="0"/>
              <w:spacing w:before="0" w:beforeAutospacing="0" w:after="0" w:afterAutospacing="0" w:line="240" w:lineRule="auto"/>
              <w:ind w:left="0" w:leftChars="0" w:right="0" w:rightChars="0"/>
              <w:jc w:val="center"/>
              <w:rPr>
                <w:rFonts w:hint="eastAsia" w:ascii="Calibri" w:hAnsi="宋体"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工程勘察设计费投标总报价</w:t>
            </w:r>
          </w:p>
        </w:tc>
        <w:tc>
          <w:tcPr>
            <w:tcW w:w="1128" w:type="dxa"/>
            <w:tcBorders>
              <w:top w:val="single" w:color="auto" w:sz="4" w:space="0"/>
              <w:left w:val="nil"/>
              <w:bottom w:val="single" w:color="auto" w:sz="4" w:space="0"/>
              <w:right w:val="single" w:color="auto" w:sz="4" w:space="0"/>
            </w:tcBorders>
            <w:vAlign w:val="center"/>
          </w:tcPr>
          <w:p w14:paraId="1B17F068">
            <w:pPr>
              <w:keepNext w:val="0"/>
              <w:keepLines w:val="0"/>
              <w:widowControl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工程设计费投标报价</w:t>
            </w:r>
          </w:p>
        </w:tc>
        <w:tc>
          <w:tcPr>
            <w:tcW w:w="1095" w:type="dxa"/>
            <w:tcBorders>
              <w:top w:val="single" w:color="auto" w:sz="4" w:space="0"/>
              <w:left w:val="nil"/>
              <w:bottom w:val="single" w:color="auto" w:sz="4" w:space="0"/>
              <w:right w:val="single" w:color="auto" w:sz="4" w:space="0"/>
            </w:tcBorders>
            <w:vAlign w:val="center"/>
          </w:tcPr>
          <w:p w14:paraId="6C427831">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工程勘察费投标报价</w:t>
            </w:r>
          </w:p>
        </w:tc>
        <w:tc>
          <w:tcPr>
            <w:tcW w:w="1142" w:type="dxa"/>
            <w:tcBorders>
              <w:top w:val="single" w:color="auto" w:sz="4" w:space="0"/>
              <w:left w:val="nil"/>
              <w:bottom w:val="single" w:color="auto" w:sz="4" w:space="0"/>
              <w:right w:val="single" w:color="auto" w:sz="4" w:space="0"/>
            </w:tcBorders>
            <w:shd w:val="clear" w:color="auto" w:fill="auto"/>
            <w:vAlign w:val="center"/>
          </w:tcPr>
          <w:p w14:paraId="4767E4C0">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设计方案报审（含修建性详细规划编制）费</w:t>
            </w:r>
          </w:p>
        </w:tc>
        <w:tc>
          <w:tcPr>
            <w:tcW w:w="1111" w:type="dxa"/>
            <w:tcBorders>
              <w:top w:val="single" w:color="auto" w:sz="4" w:space="0"/>
              <w:left w:val="nil"/>
              <w:bottom w:val="single" w:color="auto" w:sz="4" w:space="0"/>
              <w:right w:val="single" w:color="auto" w:sz="4" w:space="0"/>
            </w:tcBorders>
            <w:vAlign w:val="center"/>
          </w:tcPr>
          <w:p w14:paraId="2F6337A0">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BIM正向设计技术应用费投标报价</w:t>
            </w:r>
          </w:p>
        </w:tc>
        <w:tc>
          <w:tcPr>
            <w:tcW w:w="1068" w:type="dxa"/>
            <w:tcBorders>
              <w:top w:val="single" w:color="auto" w:sz="4" w:space="0"/>
              <w:left w:val="single" w:color="auto" w:sz="4" w:space="0"/>
              <w:bottom w:val="single" w:color="auto" w:sz="4" w:space="0"/>
              <w:right w:val="single" w:color="auto" w:sz="4" w:space="0"/>
            </w:tcBorders>
            <w:vAlign w:val="center"/>
          </w:tcPr>
          <w:p w14:paraId="533123EC">
            <w:pPr>
              <w:keepNext w:val="0"/>
              <w:keepLines w:val="0"/>
              <w:widowControl/>
              <w:suppressLineNumbers w:val="0"/>
              <w:spacing w:before="0" w:beforeAutospacing="0" w:after="0" w:afterAutospacing="0" w:line="240" w:lineRule="auto"/>
              <w:ind w:left="0" w:leftChars="0" w:right="0" w:rightChars="0"/>
              <w:jc w:val="center"/>
              <w:rPr>
                <w:rFonts w:hint="eastAsia" w:ascii="Calibri" w:hAnsi="Calibri"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工程勘察设计费投标总报价</w:t>
            </w:r>
          </w:p>
        </w:tc>
        <w:tc>
          <w:tcPr>
            <w:tcW w:w="971" w:type="dxa"/>
            <w:vMerge w:val="continue"/>
            <w:tcBorders>
              <w:top w:val="single" w:color="auto" w:sz="4" w:space="0"/>
              <w:left w:val="nil"/>
              <w:bottom w:val="single" w:color="auto" w:sz="4" w:space="0"/>
              <w:right w:val="single" w:color="auto" w:sz="4" w:space="0"/>
            </w:tcBorders>
            <w:vAlign w:val="center"/>
          </w:tcPr>
          <w:p w14:paraId="69FE1AB8">
            <w:pPr>
              <w:keepNext w:val="0"/>
              <w:keepLines w:val="0"/>
              <w:suppressLineNumbers w:val="0"/>
              <w:spacing w:before="0" w:beforeAutospacing="0" w:after="0" w:afterAutospacing="0" w:line="240" w:lineRule="auto"/>
              <w:ind w:left="0" w:right="0"/>
              <w:jc w:val="left"/>
              <w:rPr>
                <w:rFonts w:hint="default" w:ascii="宋体" w:hAnsi="宋体" w:eastAsia="宋体" w:cs="Times New Roman"/>
                <w:color w:val="000000" w:themeColor="text1"/>
                <w:szCs w:val="21"/>
                <w:highlight w:val="none"/>
                <w14:textFill>
                  <w14:solidFill>
                    <w14:schemeClr w14:val="tx1"/>
                  </w14:solidFill>
                </w14:textFill>
              </w:rPr>
            </w:pPr>
          </w:p>
        </w:tc>
      </w:tr>
      <w:tr w14:paraId="51A5EF84">
        <w:tblPrEx>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2729D00">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56" w:type="dxa"/>
            <w:tcBorders>
              <w:top w:val="single" w:color="auto" w:sz="4" w:space="0"/>
              <w:left w:val="nil"/>
              <w:bottom w:val="single" w:color="auto" w:sz="4" w:space="0"/>
              <w:right w:val="single" w:color="auto" w:sz="4" w:space="0"/>
            </w:tcBorders>
            <w:vAlign w:val="center"/>
          </w:tcPr>
          <w:p w14:paraId="66D8EBDB">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vAlign w:val="center"/>
          </w:tcPr>
          <w:p w14:paraId="3A4C0BF7">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8629E31">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70" w:type="dxa"/>
            <w:tcBorders>
              <w:top w:val="single" w:color="auto" w:sz="4" w:space="0"/>
              <w:left w:val="nil"/>
              <w:bottom w:val="single" w:color="auto" w:sz="4" w:space="0"/>
              <w:right w:val="single" w:color="auto" w:sz="4" w:space="0"/>
            </w:tcBorders>
            <w:vAlign w:val="center"/>
          </w:tcPr>
          <w:p w14:paraId="4CCACA58">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Borders>
              <w:top w:val="single" w:color="auto" w:sz="4" w:space="0"/>
              <w:left w:val="nil"/>
              <w:bottom w:val="single" w:color="auto" w:sz="4" w:space="0"/>
              <w:right w:val="single" w:color="auto" w:sz="4" w:space="0"/>
            </w:tcBorders>
            <w:vAlign w:val="center"/>
          </w:tcPr>
          <w:p w14:paraId="0F304D20">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vAlign w:val="center"/>
          </w:tcPr>
          <w:p w14:paraId="3E52735E">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28" w:type="dxa"/>
            <w:tcBorders>
              <w:top w:val="single" w:color="auto" w:sz="4" w:space="0"/>
              <w:left w:val="nil"/>
              <w:bottom w:val="single" w:color="auto" w:sz="4" w:space="0"/>
              <w:right w:val="single" w:color="auto" w:sz="4" w:space="0"/>
            </w:tcBorders>
            <w:vAlign w:val="center"/>
          </w:tcPr>
          <w:p w14:paraId="4D0AADD8">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95" w:type="dxa"/>
            <w:tcBorders>
              <w:top w:val="single" w:color="auto" w:sz="4" w:space="0"/>
              <w:left w:val="nil"/>
              <w:bottom w:val="single" w:color="auto" w:sz="4" w:space="0"/>
              <w:right w:val="single" w:color="auto" w:sz="4" w:space="0"/>
            </w:tcBorders>
            <w:vAlign w:val="center"/>
          </w:tcPr>
          <w:p w14:paraId="3647D240">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42" w:type="dxa"/>
            <w:tcBorders>
              <w:top w:val="single" w:color="auto" w:sz="4" w:space="0"/>
              <w:left w:val="nil"/>
              <w:bottom w:val="single" w:color="auto" w:sz="4" w:space="0"/>
              <w:right w:val="single" w:color="auto" w:sz="4" w:space="0"/>
            </w:tcBorders>
            <w:vAlign w:val="center"/>
          </w:tcPr>
          <w:p w14:paraId="44FCCF2E">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11" w:type="dxa"/>
            <w:tcBorders>
              <w:top w:val="single" w:color="auto" w:sz="4" w:space="0"/>
              <w:left w:val="nil"/>
              <w:bottom w:val="single" w:color="auto" w:sz="4" w:space="0"/>
              <w:right w:val="single" w:color="auto" w:sz="4" w:space="0"/>
            </w:tcBorders>
            <w:vAlign w:val="center"/>
          </w:tcPr>
          <w:p w14:paraId="4D7633E4">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14:paraId="7B11B1C8">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971" w:type="dxa"/>
            <w:tcBorders>
              <w:top w:val="single" w:color="auto" w:sz="4" w:space="0"/>
              <w:left w:val="nil"/>
              <w:bottom w:val="single" w:color="auto" w:sz="4" w:space="0"/>
              <w:right w:val="single" w:color="auto" w:sz="4" w:space="0"/>
            </w:tcBorders>
            <w:vAlign w:val="center"/>
          </w:tcPr>
          <w:p w14:paraId="02BBC2C3">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r w14:paraId="6FDE1180">
        <w:tblPrEx>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BEF837E">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56" w:type="dxa"/>
            <w:tcBorders>
              <w:top w:val="single" w:color="auto" w:sz="4" w:space="0"/>
              <w:left w:val="nil"/>
              <w:bottom w:val="single" w:color="auto" w:sz="4" w:space="0"/>
              <w:right w:val="single" w:color="auto" w:sz="4" w:space="0"/>
            </w:tcBorders>
            <w:vAlign w:val="center"/>
          </w:tcPr>
          <w:p w14:paraId="666A57B9">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vAlign w:val="center"/>
          </w:tcPr>
          <w:p w14:paraId="2FC4026C">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62A34804">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70" w:type="dxa"/>
            <w:tcBorders>
              <w:top w:val="single" w:color="auto" w:sz="4" w:space="0"/>
              <w:left w:val="nil"/>
              <w:bottom w:val="single" w:color="auto" w:sz="4" w:space="0"/>
              <w:right w:val="single" w:color="auto" w:sz="4" w:space="0"/>
            </w:tcBorders>
            <w:vAlign w:val="center"/>
          </w:tcPr>
          <w:p w14:paraId="3FD509FD">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Borders>
              <w:top w:val="single" w:color="auto" w:sz="4" w:space="0"/>
              <w:left w:val="nil"/>
              <w:bottom w:val="single" w:color="auto" w:sz="4" w:space="0"/>
              <w:right w:val="single" w:color="auto" w:sz="4" w:space="0"/>
            </w:tcBorders>
            <w:vAlign w:val="center"/>
          </w:tcPr>
          <w:p w14:paraId="7555E610">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vAlign w:val="center"/>
          </w:tcPr>
          <w:p w14:paraId="49D71760">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28" w:type="dxa"/>
            <w:tcBorders>
              <w:top w:val="single" w:color="auto" w:sz="4" w:space="0"/>
              <w:left w:val="nil"/>
              <w:bottom w:val="single" w:color="auto" w:sz="4" w:space="0"/>
              <w:right w:val="single" w:color="auto" w:sz="4" w:space="0"/>
            </w:tcBorders>
            <w:vAlign w:val="center"/>
          </w:tcPr>
          <w:p w14:paraId="38A266D7">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95" w:type="dxa"/>
            <w:tcBorders>
              <w:top w:val="single" w:color="auto" w:sz="4" w:space="0"/>
              <w:left w:val="nil"/>
              <w:bottom w:val="single" w:color="auto" w:sz="4" w:space="0"/>
              <w:right w:val="single" w:color="auto" w:sz="4" w:space="0"/>
            </w:tcBorders>
            <w:vAlign w:val="center"/>
          </w:tcPr>
          <w:p w14:paraId="505EC8AB">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42" w:type="dxa"/>
            <w:tcBorders>
              <w:top w:val="single" w:color="auto" w:sz="4" w:space="0"/>
              <w:left w:val="nil"/>
              <w:bottom w:val="single" w:color="auto" w:sz="4" w:space="0"/>
              <w:right w:val="single" w:color="auto" w:sz="4" w:space="0"/>
            </w:tcBorders>
            <w:vAlign w:val="center"/>
          </w:tcPr>
          <w:p w14:paraId="34D5D6BB">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11" w:type="dxa"/>
            <w:tcBorders>
              <w:top w:val="single" w:color="auto" w:sz="4" w:space="0"/>
              <w:left w:val="nil"/>
              <w:bottom w:val="single" w:color="auto" w:sz="4" w:space="0"/>
              <w:right w:val="single" w:color="auto" w:sz="4" w:space="0"/>
            </w:tcBorders>
            <w:vAlign w:val="center"/>
          </w:tcPr>
          <w:p w14:paraId="0AD9BEC6">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14:paraId="3457215C">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971" w:type="dxa"/>
            <w:tcBorders>
              <w:top w:val="single" w:color="auto" w:sz="4" w:space="0"/>
              <w:left w:val="nil"/>
              <w:bottom w:val="single" w:color="auto" w:sz="4" w:space="0"/>
              <w:right w:val="single" w:color="auto" w:sz="4" w:space="0"/>
            </w:tcBorders>
            <w:vAlign w:val="center"/>
          </w:tcPr>
          <w:p w14:paraId="197DE7BD">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r w14:paraId="09193162">
        <w:tblPrEx>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375DFC">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56" w:type="dxa"/>
            <w:tcBorders>
              <w:top w:val="single" w:color="auto" w:sz="4" w:space="0"/>
              <w:left w:val="nil"/>
              <w:bottom w:val="single" w:color="auto" w:sz="4" w:space="0"/>
              <w:right w:val="single" w:color="auto" w:sz="4" w:space="0"/>
            </w:tcBorders>
            <w:vAlign w:val="center"/>
          </w:tcPr>
          <w:p w14:paraId="79409845">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vAlign w:val="center"/>
          </w:tcPr>
          <w:p w14:paraId="5BB56044">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72C199F6">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70" w:type="dxa"/>
            <w:tcBorders>
              <w:top w:val="single" w:color="auto" w:sz="4" w:space="0"/>
              <w:left w:val="nil"/>
              <w:bottom w:val="single" w:color="auto" w:sz="4" w:space="0"/>
              <w:right w:val="single" w:color="auto" w:sz="4" w:space="0"/>
            </w:tcBorders>
            <w:vAlign w:val="center"/>
          </w:tcPr>
          <w:p w14:paraId="5A1D8256">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Borders>
              <w:top w:val="single" w:color="auto" w:sz="4" w:space="0"/>
              <w:left w:val="nil"/>
              <w:bottom w:val="single" w:color="auto" w:sz="4" w:space="0"/>
              <w:right w:val="single" w:color="auto" w:sz="4" w:space="0"/>
            </w:tcBorders>
            <w:vAlign w:val="center"/>
          </w:tcPr>
          <w:p w14:paraId="4C19D3F8">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vAlign w:val="center"/>
          </w:tcPr>
          <w:p w14:paraId="6C69933C">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28" w:type="dxa"/>
            <w:tcBorders>
              <w:top w:val="single" w:color="auto" w:sz="4" w:space="0"/>
              <w:left w:val="nil"/>
              <w:bottom w:val="single" w:color="auto" w:sz="4" w:space="0"/>
              <w:right w:val="single" w:color="auto" w:sz="4" w:space="0"/>
            </w:tcBorders>
            <w:vAlign w:val="center"/>
          </w:tcPr>
          <w:p w14:paraId="040E7E03">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95" w:type="dxa"/>
            <w:tcBorders>
              <w:top w:val="single" w:color="auto" w:sz="4" w:space="0"/>
              <w:left w:val="nil"/>
              <w:bottom w:val="single" w:color="auto" w:sz="4" w:space="0"/>
              <w:right w:val="single" w:color="auto" w:sz="4" w:space="0"/>
            </w:tcBorders>
            <w:vAlign w:val="center"/>
          </w:tcPr>
          <w:p w14:paraId="1E4DBA0F">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42" w:type="dxa"/>
            <w:tcBorders>
              <w:top w:val="single" w:color="auto" w:sz="4" w:space="0"/>
              <w:left w:val="nil"/>
              <w:bottom w:val="single" w:color="auto" w:sz="4" w:space="0"/>
              <w:right w:val="single" w:color="auto" w:sz="4" w:space="0"/>
            </w:tcBorders>
            <w:vAlign w:val="center"/>
          </w:tcPr>
          <w:p w14:paraId="552AD2E8">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11" w:type="dxa"/>
            <w:tcBorders>
              <w:top w:val="single" w:color="auto" w:sz="4" w:space="0"/>
              <w:left w:val="nil"/>
              <w:bottom w:val="single" w:color="auto" w:sz="4" w:space="0"/>
              <w:right w:val="single" w:color="auto" w:sz="4" w:space="0"/>
            </w:tcBorders>
            <w:vAlign w:val="center"/>
          </w:tcPr>
          <w:p w14:paraId="1FA67ADB">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14:paraId="61C6EC16">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971" w:type="dxa"/>
            <w:tcBorders>
              <w:top w:val="single" w:color="auto" w:sz="4" w:space="0"/>
              <w:left w:val="nil"/>
              <w:bottom w:val="single" w:color="auto" w:sz="4" w:space="0"/>
              <w:right w:val="single" w:color="auto" w:sz="4" w:space="0"/>
            </w:tcBorders>
            <w:vAlign w:val="center"/>
          </w:tcPr>
          <w:p w14:paraId="6AF9A3AC">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bl>
    <w:p w14:paraId="2094755C">
      <w:pPr>
        <w:adjustRightInd w:val="0"/>
        <w:snapToGrid w:val="0"/>
        <w:spacing w:before="157" w:beforeLines="50" w:line="360" w:lineRule="auto"/>
        <w:ind w:firstLine="436"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snapToGrid w:val="0"/>
          <w:color w:val="000000" w:themeColor="text1"/>
          <w:spacing w:val="4"/>
          <w:kern w:val="0"/>
          <w:szCs w:val="21"/>
          <w:highlight w:val="none"/>
          <w14:textFill>
            <w14:solidFill>
              <w14:schemeClr w14:val="tx1"/>
            </w14:solidFill>
          </w14:textFill>
        </w:rPr>
        <w:t>注：</w:t>
      </w:r>
      <w:r>
        <w:rPr>
          <w:rFonts w:ascii="宋体" w:hAnsi="宋体" w:eastAsia="宋体" w:cs="Times New Roman"/>
          <w:color w:val="000000" w:themeColor="text1"/>
          <w:szCs w:val="21"/>
          <w:highlight w:val="none"/>
          <w14:textFill>
            <w14:solidFill>
              <w14:schemeClr w14:val="tx1"/>
            </w14:solidFill>
          </w14:textFill>
        </w:rPr>
        <w:t>1、经算术复核的投标人报价与其投标报价不一致时，按就低不就高原则确定其最终报价。如修正后的投标报价超出相应的最高投标限价，则由评标委员会</w:t>
      </w:r>
      <w:r>
        <w:rPr>
          <w:rFonts w:hint="eastAsia" w:ascii="宋体" w:hAnsi="宋体" w:eastAsia="宋体" w:cs="Times New Roman"/>
          <w:color w:val="000000" w:themeColor="text1"/>
          <w:szCs w:val="21"/>
          <w:highlight w:val="none"/>
          <w14:textFill>
            <w14:solidFill>
              <w14:schemeClr w14:val="tx1"/>
            </w14:solidFill>
          </w14:textFill>
        </w:rPr>
        <w:t>否决其投标</w:t>
      </w:r>
      <w:r>
        <w:rPr>
          <w:rFonts w:ascii="宋体" w:hAnsi="宋体" w:eastAsia="宋体" w:cs="Times New Roman"/>
          <w:color w:val="000000" w:themeColor="text1"/>
          <w:szCs w:val="21"/>
          <w:highlight w:val="none"/>
          <w14:textFill>
            <w14:solidFill>
              <w14:schemeClr w14:val="tx1"/>
            </w14:solidFill>
          </w14:textFill>
        </w:rPr>
        <w:t>。</w:t>
      </w:r>
    </w:p>
    <w:p w14:paraId="02369F87">
      <w:pPr>
        <w:topLinePunct/>
        <w:adjustRightInd w:val="0"/>
        <w:snapToGrid w:val="0"/>
        <w:spacing w:line="360" w:lineRule="auto"/>
        <w:ind w:firstLine="436" w:firstLineChars="200"/>
        <w:rPr>
          <w:rFonts w:ascii="宋体" w:hAnsi="宋体" w:eastAsia="宋体" w:cs="Times New Roman"/>
          <w:snapToGrid w:val="0"/>
          <w:color w:val="000000" w:themeColor="text1"/>
          <w:spacing w:val="4"/>
          <w:kern w:val="0"/>
          <w:szCs w:val="21"/>
          <w:highlight w:val="none"/>
          <w14:textFill>
            <w14:solidFill>
              <w14:schemeClr w14:val="tx1"/>
            </w14:solidFill>
          </w14:textFill>
        </w:rPr>
      </w:pPr>
      <w:r>
        <w:rPr>
          <w:rFonts w:ascii="宋体" w:hAnsi="宋体" w:eastAsia="宋体" w:cs="Times New Roman"/>
          <w:snapToGrid w:val="0"/>
          <w:color w:val="000000" w:themeColor="text1"/>
          <w:spacing w:val="4"/>
          <w:kern w:val="0"/>
          <w:szCs w:val="21"/>
          <w:highlight w:val="none"/>
          <w14:textFill>
            <w14:solidFill>
              <w14:schemeClr w14:val="tx1"/>
            </w14:solidFill>
          </w14:textFill>
        </w:rPr>
        <w:t>2、该表由评标委员会填写，投标人不需提交。</w:t>
      </w:r>
    </w:p>
    <w:p w14:paraId="7ACFA17D">
      <w:pPr>
        <w:widowControl w:val="0"/>
        <w:ind w:firstLine="210" w:firstLineChars="100"/>
        <w:jc w:val="both"/>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评委签名：</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日期：</w:t>
      </w:r>
    </w:p>
    <w:p w14:paraId="6CA7796C">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3A87FB9C">
      <w:pPr>
        <w:keepNext/>
        <w:keepLines/>
        <w:widowControl/>
        <w:spacing w:before="0" w:beforeLines="0" w:after="0" w:afterLines="0" w:line="312"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16" w:name="_Toc31935"/>
      <w:bookmarkStart w:id="117" w:name="_Toc6689"/>
      <w:bookmarkStart w:id="118" w:name="_Toc12414"/>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附录13 勘察设计工作方案评审记录表</w:t>
      </w:r>
      <w:bookmarkEnd w:id="116"/>
      <w:bookmarkEnd w:id="117"/>
    </w:p>
    <w:p w14:paraId="3AB21A85">
      <w:pPr>
        <w:spacing w:beforeLines="0" w:afterLines="0" w:line="312" w:lineRule="auto"/>
        <w:jc w:val="center"/>
        <w:rPr>
          <w:rFonts w:ascii="宋体" w:hAnsi="宋体" w:eastAsia="宋体" w:cs="Times New Roman"/>
          <w:color w:val="000000" w:themeColor="text1"/>
          <w:sz w:val="28"/>
          <w:szCs w:val="28"/>
          <w:highlight w:val="none"/>
          <w14:textFill>
            <w14:solidFill>
              <w14:schemeClr w14:val="tx1"/>
            </w14:solidFill>
          </w14:textFill>
        </w:rPr>
      </w:pPr>
      <w:r>
        <w:rPr>
          <w:rFonts w:hint="default" w:ascii="宋体" w:hAnsi="宋体" w:eastAsia="宋体" w:cs="Times New Roman"/>
          <w:b/>
          <w:bCs/>
          <w:color w:val="000000" w:themeColor="text1"/>
          <w:sz w:val="28"/>
          <w:szCs w:val="28"/>
          <w:highlight w:val="none"/>
          <w14:textFill>
            <w14:solidFill>
              <w14:schemeClr w14:val="tx1"/>
            </w14:solidFill>
          </w14:textFill>
        </w:rPr>
        <w:t>勘察</w:t>
      </w:r>
      <w:r>
        <w:rPr>
          <w:rFonts w:hint="eastAsia" w:ascii="宋体" w:hAnsi="宋体" w:eastAsia="宋体" w:cs="Times New Roman"/>
          <w:b/>
          <w:bCs/>
          <w:color w:val="000000" w:themeColor="text1"/>
          <w:sz w:val="28"/>
          <w:szCs w:val="28"/>
          <w:highlight w:val="none"/>
          <w14:textFill>
            <w14:solidFill>
              <w14:schemeClr w14:val="tx1"/>
            </w14:solidFill>
          </w14:textFill>
        </w:rPr>
        <w:t>设计</w:t>
      </w:r>
      <w:r>
        <w:rPr>
          <w:rFonts w:hint="default" w:ascii="宋体" w:hAnsi="宋体" w:eastAsia="宋体" w:cs="Times New Roman"/>
          <w:b/>
          <w:bCs/>
          <w:color w:val="000000" w:themeColor="text1"/>
          <w:sz w:val="28"/>
          <w:szCs w:val="28"/>
          <w:highlight w:val="none"/>
          <w14:textFill>
            <w14:solidFill>
              <w14:schemeClr w14:val="tx1"/>
            </w14:solidFill>
          </w14:textFill>
        </w:rPr>
        <w:t>工作</w:t>
      </w:r>
      <w:r>
        <w:rPr>
          <w:rFonts w:hint="eastAsia" w:ascii="宋体" w:hAnsi="宋体" w:eastAsia="宋体" w:cs="Times New Roman"/>
          <w:b/>
          <w:bCs/>
          <w:color w:val="000000" w:themeColor="text1"/>
          <w:sz w:val="28"/>
          <w:szCs w:val="28"/>
          <w:highlight w:val="none"/>
          <w14:textFill>
            <w14:solidFill>
              <w14:schemeClr w14:val="tx1"/>
            </w14:solidFill>
          </w14:textFill>
        </w:rPr>
        <w:t>方案评审记录表</w:t>
      </w:r>
    </w:p>
    <w:p w14:paraId="6A5D3184">
      <w:pPr>
        <w:spacing w:beforeLines="0" w:afterLines="0" w:line="312" w:lineRule="auto"/>
        <w:ind w:firstLine="480" w:firstLineChars="20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项目名称：</w:t>
      </w:r>
    </w:p>
    <w:tbl>
      <w:tblPr>
        <w:tblStyle w:val="15"/>
        <w:tblW w:w="1401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92"/>
        <w:gridCol w:w="10357"/>
        <w:gridCol w:w="670"/>
        <w:gridCol w:w="660"/>
        <w:gridCol w:w="738"/>
      </w:tblGrid>
      <w:tr w14:paraId="4D6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86FC0CF">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10357" w:type="dxa"/>
            <w:tcBorders>
              <w:top w:val="single" w:color="auto" w:sz="4" w:space="0"/>
              <w:left w:val="nil"/>
              <w:bottom w:val="single" w:color="auto" w:sz="4" w:space="0"/>
              <w:right w:val="single" w:color="auto" w:sz="4" w:space="0"/>
            </w:tcBorders>
            <w:shd w:val="clear" w:color="auto" w:fill="auto"/>
            <w:vAlign w:val="center"/>
          </w:tcPr>
          <w:p w14:paraId="1F8222C1">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主要评判因素</w:t>
            </w:r>
          </w:p>
        </w:tc>
        <w:tc>
          <w:tcPr>
            <w:tcW w:w="670" w:type="dxa"/>
            <w:tcBorders>
              <w:top w:val="single" w:color="auto" w:sz="4" w:space="0"/>
              <w:left w:val="nil"/>
              <w:bottom w:val="single" w:color="auto" w:sz="4" w:space="0"/>
              <w:right w:val="single" w:color="auto" w:sz="4" w:space="0"/>
            </w:tcBorders>
            <w:shd w:val="clear" w:color="auto" w:fill="auto"/>
            <w:vAlign w:val="center"/>
          </w:tcPr>
          <w:p w14:paraId="43A1934C">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较好方案</w:t>
            </w:r>
          </w:p>
        </w:tc>
        <w:tc>
          <w:tcPr>
            <w:tcW w:w="660" w:type="dxa"/>
            <w:tcBorders>
              <w:top w:val="single" w:color="auto" w:sz="4" w:space="0"/>
              <w:left w:val="nil"/>
              <w:bottom w:val="single" w:color="auto" w:sz="4" w:space="0"/>
              <w:right w:val="single" w:color="auto" w:sz="4" w:space="0"/>
            </w:tcBorders>
            <w:shd w:val="clear" w:color="auto" w:fill="auto"/>
            <w:vAlign w:val="center"/>
          </w:tcPr>
          <w:p w14:paraId="781C7882">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一般方案</w:t>
            </w:r>
          </w:p>
        </w:tc>
        <w:tc>
          <w:tcPr>
            <w:tcW w:w="738" w:type="dxa"/>
            <w:tcBorders>
              <w:top w:val="single" w:color="auto" w:sz="4" w:space="0"/>
              <w:left w:val="nil"/>
              <w:bottom w:val="single" w:color="auto" w:sz="4" w:space="0"/>
              <w:right w:val="single" w:color="auto" w:sz="4" w:space="0"/>
            </w:tcBorders>
            <w:shd w:val="clear" w:color="auto" w:fill="auto"/>
            <w:vAlign w:val="center"/>
          </w:tcPr>
          <w:p w14:paraId="3649F00D">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较差方案</w:t>
            </w:r>
          </w:p>
        </w:tc>
      </w:tr>
      <w:tr w14:paraId="33FA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203F11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1概念</w:t>
            </w:r>
          </w:p>
        </w:tc>
        <w:tc>
          <w:tcPr>
            <w:tcW w:w="10357" w:type="dxa"/>
            <w:tcBorders>
              <w:top w:val="single" w:color="auto" w:sz="4" w:space="0"/>
              <w:left w:val="nil"/>
              <w:bottom w:val="single" w:color="auto" w:sz="4" w:space="0"/>
              <w:right w:val="single" w:color="auto" w:sz="4" w:space="0"/>
            </w:tcBorders>
            <w:shd w:val="clear" w:color="auto" w:fill="auto"/>
            <w:vAlign w:val="center"/>
          </w:tcPr>
          <w:p w14:paraId="7955E211">
            <w:pPr>
              <w:keepNext w:val="0"/>
              <w:keepLines w:val="0"/>
              <w:suppressLineNumbers w:val="0"/>
              <w:spacing w:before="0" w:beforeAutospacing="0" w:after="0" w:afterAutospacing="0" w:line="240" w:lineRule="auto"/>
              <w:ind w:left="0" w:right="0"/>
              <w:rPr>
                <w:rFonts w:hint="eastAsia" w:ascii="宋体" w:hAnsi="宋体" w:eastAsia="宋体" w:cs="宋体"/>
                <w:bCs/>
                <w:color w:val="000000" w:themeColor="text1"/>
                <w:szCs w:val="21"/>
                <w:highlight w:val="none"/>
                <w:u w:val="none"/>
                <w:lang w:bidi="ar"/>
                <w14:textFill>
                  <w14:solidFill>
                    <w14:schemeClr w14:val="tx1"/>
                  </w14:solidFill>
                </w14:textFill>
              </w:rPr>
            </w:pPr>
            <w:r>
              <w:rPr>
                <w:rFonts w:hint="eastAsia" w:ascii="宋体" w:hAnsi="宋体" w:eastAsia="宋体" w:cs="宋体"/>
                <w:bCs/>
                <w:color w:val="000000" w:themeColor="text1"/>
                <w:szCs w:val="21"/>
                <w:highlight w:val="none"/>
                <w:u w:val="none"/>
                <w:lang w:bidi="ar"/>
                <w14:textFill>
                  <w14:solidFill>
                    <w14:schemeClr w14:val="tx1"/>
                  </w14:solidFill>
                </w14:textFill>
              </w:rPr>
              <w:t>符合适用、经济、绿色和美观原则，结合地理、气候、风俗、文化和个性特点，</w:t>
            </w:r>
            <w:r>
              <w:rPr>
                <w:rFonts w:hint="eastAsia" w:ascii="宋体" w:hAnsi="宋体" w:eastAsia="宋体" w:cs="宋体"/>
                <w:bCs/>
                <w:color w:val="000000" w:themeColor="text1"/>
                <w:szCs w:val="21"/>
                <w:highlight w:val="none"/>
                <w:u w:val="single"/>
                <w:lang w:bidi="ar"/>
                <w14:textFill>
                  <w14:solidFill>
                    <w14:schemeClr w14:val="tx1"/>
                  </w14:solidFill>
                </w14:textFill>
              </w:rPr>
              <w:t>在建筑空间与造型中设计要体现素雅的科研建筑特色，建筑造型以现代式风格为主，设计手法简洁明快，立面设计追求端庄、实用、美观，力求建筑与周围建筑造型和色彩的完美协调，并注重功能内涵，满足项目科研要求和发展趋势，总体营造舒适宜人的建筑空间效果。</w:t>
            </w:r>
          </w:p>
        </w:tc>
        <w:tc>
          <w:tcPr>
            <w:tcW w:w="670" w:type="dxa"/>
            <w:tcBorders>
              <w:top w:val="single" w:color="auto" w:sz="4" w:space="0"/>
              <w:left w:val="nil"/>
              <w:bottom w:val="single" w:color="auto" w:sz="4" w:space="0"/>
              <w:right w:val="single" w:color="auto" w:sz="4" w:space="0"/>
            </w:tcBorders>
            <w:shd w:val="clear" w:color="auto" w:fill="auto"/>
            <w:vAlign w:val="center"/>
          </w:tcPr>
          <w:p w14:paraId="5486F647">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75DEC330">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38DBDABD">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r w14:paraId="1EC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5468E5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规划</w:t>
            </w:r>
          </w:p>
        </w:tc>
        <w:tc>
          <w:tcPr>
            <w:tcW w:w="10357" w:type="dxa"/>
            <w:tcBorders>
              <w:top w:val="single" w:color="auto" w:sz="4" w:space="0"/>
              <w:left w:val="nil"/>
              <w:bottom w:val="single" w:color="auto" w:sz="4" w:space="0"/>
              <w:right w:val="single" w:color="auto" w:sz="4" w:space="0"/>
            </w:tcBorders>
            <w:shd w:val="clear" w:color="auto" w:fill="auto"/>
            <w:vAlign w:val="center"/>
          </w:tcPr>
          <w:p w14:paraId="400CF016">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Cs/>
                <w:color w:val="000000" w:themeColor="text1"/>
                <w:kern w:val="2"/>
                <w:sz w:val="21"/>
                <w:szCs w:val="21"/>
                <w:highlight w:val="none"/>
                <w:u w:val="none"/>
                <w:lang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符合规划设计条件，</w:t>
            </w:r>
            <w:r>
              <w:rPr>
                <w:rFonts w:hint="eastAsia" w:ascii="宋体" w:hAnsi="宋体" w:eastAsia="宋体" w:cs="宋体"/>
                <w:color w:val="000000" w:themeColor="text1"/>
                <w:szCs w:val="21"/>
                <w:highlight w:val="none"/>
                <w:lang w:val="en-US" w:eastAsia="zh-CN"/>
                <w14:textFill>
                  <w14:solidFill>
                    <w14:schemeClr w14:val="tx1"/>
                  </w14:solidFill>
                </w14:textFill>
              </w:rPr>
              <w:t>满足城市总体规划及农田设施总体建设规划和片区控制性详细规划及可持续性发展要求；规划应遵循统筹规划、应用主导，务求实效等原则，合理进行功能分区，满足本项目的规模要求，基本功能及配套设施齐全；项目总体规划应科学合理、具有前瞻性，适当考虑现代科研用房建设需求，既能满足当前使用需要，又为今后的发展留下一定空间；尊重自然环境，营造良好的工作环境，合理利用地形地貌，节约投资；</w:t>
            </w:r>
            <w:r>
              <w:rPr>
                <w:rFonts w:hint="eastAsia" w:ascii="宋体" w:hAnsi="宋体" w:eastAsia="宋体" w:cs="宋体"/>
                <w:color w:val="000000" w:themeColor="text1"/>
                <w:szCs w:val="21"/>
                <w:highlight w:val="none"/>
                <w14:textFill>
                  <w14:solidFill>
                    <w14:schemeClr w14:val="tx1"/>
                  </w14:solidFill>
                </w14:textFill>
              </w:rPr>
              <w:t>主要轴线布置合理，因地制宜、充分考虑地域环境条件，减少对周围环境的损害，建筑环境与空间造型和谐统一，充分协调好周边建筑景观的关系</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670" w:type="dxa"/>
            <w:tcBorders>
              <w:top w:val="single" w:color="auto" w:sz="4" w:space="0"/>
              <w:left w:val="nil"/>
              <w:bottom w:val="single" w:color="auto" w:sz="4" w:space="0"/>
              <w:right w:val="single" w:color="auto" w:sz="4" w:space="0"/>
            </w:tcBorders>
            <w:shd w:val="clear" w:color="auto" w:fill="auto"/>
            <w:vAlign w:val="center"/>
          </w:tcPr>
          <w:p w14:paraId="21022B99">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5BDC381B">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288F7DB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25E0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73FD5D5">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交通</w:t>
            </w:r>
          </w:p>
        </w:tc>
        <w:tc>
          <w:tcPr>
            <w:tcW w:w="10357" w:type="dxa"/>
            <w:tcBorders>
              <w:top w:val="single" w:color="auto" w:sz="4" w:space="0"/>
              <w:left w:val="nil"/>
              <w:bottom w:val="single" w:color="auto" w:sz="4" w:space="0"/>
              <w:right w:val="single" w:color="auto" w:sz="4" w:space="0"/>
            </w:tcBorders>
            <w:shd w:val="clear" w:color="auto" w:fill="auto"/>
            <w:vAlign w:val="center"/>
          </w:tcPr>
          <w:p w14:paraId="6334B25A">
            <w:pPr>
              <w:keepNext w:val="0"/>
              <w:keepLines w:val="0"/>
              <w:suppressLineNumbers w:val="0"/>
              <w:spacing w:before="0" w:beforeAutospacing="0" w:after="0" w:afterAutospacing="0" w:line="240" w:lineRule="auto"/>
              <w:ind w:left="0" w:leftChars="0" w:right="0" w:rightChars="0"/>
              <w:rPr>
                <w:rFonts w:hint="default" w:ascii="宋体" w:hAnsi="宋体" w:eastAsia="宋体" w:cs="宋体"/>
                <w:bCs/>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交通流线清晰，电梯的位置和数量合理，停车体系完善，连接方便，避免交通阻隔和绕行，减少无效路程</w:t>
            </w:r>
            <w:r>
              <w:rPr>
                <w:rFonts w:hint="eastAsia" w:ascii="宋体" w:hAnsi="宋体" w:eastAsia="宋体" w:cs="宋体"/>
                <w:color w:val="000000" w:themeColor="text1"/>
                <w:szCs w:val="21"/>
                <w:highlight w:val="none"/>
                <w:lang w:val="en-US" w:eastAsia="zh-CN"/>
                <w14:textFill>
                  <w14:solidFill>
                    <w14:schemeClr w14:val="tx1"/>
                  </w14:solidFill>
                </w14:textFill>
              </w:rPr>
              <w:t>和施工及运营阶段对周边居民的影响</w:t>
            </w:r>
            <w:r>
              <w:rPr>
                <w:rFonts w:hint="eastAsia" w:ascii="宋体" w:hAnsi="宋体" w:eastAsia="宋体" w:cs="宋体"/>
                <w:color w:val="000000" w:themeColor="text1"/>
                <w:szCs w:val="21"/>
                <w:highlight w:val="none"/>
                <w14:textFill>
                  <w14:solidFill>
                    <w14:schemeClr w14:val="tx1"/>
                  </w14:solidFill>
                </w14:textFill>
              </w:rPr>
              <w:t>，提高交通效率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主出入口</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交通规划、人流车流组织及道路设计合理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充分利用现有道路和新建田间道，通过南北向和东西向道路，形成地块内网格状的路网，满足区域内的农田耕作、农业物资与农产品运输等农业生产活动的要求。</w:t>
            </w:r>
          </w:p>
        </w:tc>
        <w:tc>
          <w:tcPr>
            <w:tcW w:w="670" w:type="dxa"/>
            <w:tcBorders>
              <w:top w:val="single" w:color="auto" w:sz="4" w:space="0"/>
              <w:left w:val="nil"/>
              <w:bottom w:val="single" w:color="auto" w:sz="4" w:space="0"/>
              <w:right w:val="single" w:color="auto" w:sz="4" w:space="0"/>
            </w:tcBorders>
            <w:shd w:val="clear" w:color="auto" w:fill="auto"/>
            <w:vAlign w:val="center"/>
          </w:tcPr>
          <w:p w14:paraId="7506384A">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485FD394">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1EACAF5E">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r w14:paraId="4B5C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DCDBA41">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使用功能</w:t>
            </w:r>
          </w:p>
        </w:tc>
        <w:tc>
          <w:tcPr>
            <w:tcW w:w="10357" w:type="dxa"/>
            <w:tcBorders>
              <w:top w:val="single" w:color="auto" w:sz="4" w:space="0"/>
              <w:left w:val="nil"/>
              <w:bottom w:val="single" w:color="auto" w:sz="4" w:space="0"/>
              <w:right w:val="single" w:color="auto" w:sz="4" w:space="0"/>
            </w:tcBorders>
            <w:shd w:val="clear" w:color="auto" w:fill="auto"/>
            <w:vAlign w:val="center"/>
          </w:tcPr>
          <w:p w14:paraId="07B08BA0">
            <w:pPr>
              <w:keepNext w:val="0"/>
              <w:keepLines w:val="0"/>
              <w:suppressLineNumbers w:val="0"/>
              <w:spacing w:before="0" w:beforeAutospacing="0" w:after="0" w:afterAutospacing="0" w:line="240" w:lineRule="auto"/>
              <w:ind w:left="0" w:leftChars="0" w:right="0" w:rightChars="0"/>
              <w:rPr>
                <w:rFonts w:hint="eastAsia" w:ascii="宋体" w:hAnsi="宋体" w:eastAsia="宋体" w:cs="宋体"/>
                <w:bCs/>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在方案布局上，充分考虑建筑的内涵属性与特点，并在功能设计、布局流程、采光照明、通风防噪、消毒防污、环境绿化和无障碍设计上，处处体现“以人为本”，合理设计动线，为人员的活动提供最短路径，有效提高人员的工作效率。</w:t>
            </w:r>
          </w:p>
        </w:tc>
        <w:tc>
          <w:tcPr>
            <w:tcW w:w="670" w:type="dxa"/>
            <w:tcBorders>
              <w:top w:val="single" w:color="auto" w:sz="4" w:space="0"/>
              <w:left w:val="nil"/>
              <w:bottom w:val="single" w:color="auto" w:sz="4" w:space="0"/>
              <w:right w:val="single" w:color="auto" w:sz="4" w:space="0"/>
            </w:tcBorders>
            <w:shd w:val="clear" w:color="auto" w:fill="auto"/>
            <w:vAlign w:val="center"/>
          </w:tcPr>
          <w:p w14:paraId="596B4A52">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7E57BAED">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258FD6B">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6E5A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3C4F8F7">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建筑外观</w:t>
            </w:r>
          </w:p>
        </w:tc>
        <w:tc>
          <w:tcPr>
            <w:tcW w:w="10357" w:type="dxa"/>
            <w:tcBorders>
              <w:top w:val="single" w:color="auto" w:sz="4" w:space="0"/>
              <w:left w:val="nil"/>
              <w:bottom w:val="single" w:color="auto" w:sz="4" w:space="0"/>
              <w:right w:val="single" w:color="auto" w:sz="4" w:space="0"/>
            </w:tcBorders>
            <w:shd w:val="clear" w:color="auto" w:fill="auto"/>
            <w:vAlign w:val="center"/>
          </w:tcPr>
          <w:p w14:paraId="6F476D1B">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宋体" w:hAnsi="宋体" w:eastAsia="宋体" w:cs="宋体"/>
                <w:bCs/>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建筑形式清晰、细腻、精致、简洁，视觉效果良好，</w:t>
            </w:r>
            <w:r>
              <w:rPr>
                <w:rFonts w:hint="eastAsia" w:ascii="宋体" w:hAnsi="宋体" w:eastAsia="宋体" w:cs="宋体"/>
                <w:bCs/>
                <w:color w:val="000000" w:themeColor="text1"/>
                <w:szCs w:val="21"/>
                <w:highlight w:val="none"/>
                <w:u w:val="single"/>
                <w:lang w:bidi="ar"/>
                <w14:textFill>
                  <w14:solidFill>
                    <w14:schemeClr w14:val="tx1"/>
                  </w14:solidFill>
                </w14:textFill>
              </w:rPr>
              <w:t>在满足使用功能要求的前提下，建筑设计注重平面布局的紧凑性和合理性，立面造型的可观瞻性、结构选型的简约性、建筑内部使用空间的高效性、工程造价的合理性以及未来使用的经济性和实用性</w:t>
            </w:r>
            <w:r>
              <w:rPr>
                <w:rFonts w:hint="eastAsia" w:ascii="宋体" w:hAnsi="宋体" w:eastAsia="宋体" w:cs="宋体"/>
                <w:bCs/>
                <w:color w:val="000000" w:themeColor="text1"/>
                <w:szCs w:val="21"/>
                <w:highlight w:val="none"/>
                <w:u w:val="single"/>
                <w:lang w:eastAsia="zh-CN" w:bidi="ar"/>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建筑设计应充分考虑项目场址地形特点，注意与周边环境相协调。外观设计需简洁大方，避免过多非功能性的建筑造型和装饰，体现建筑的简约性和现代性。</w:t>
            </w:r>
          </w:p>
        </w:tc>
        <w:tc>
          <w:tcPr>
            <w:tcW w:w="670" w:type="dxa"/>
            <w:tcBorders>
              <w:top w:val="single" w:color="auto" w:sz="4" w:space="0"/>
              <w:left w:val="nil"/>
              <w:bottom w:val="single" w:color="auto" w:sz="4" w:space="0"/>
              <w:right w:val="single" w:color="auto" w:sz="4" w:space="0"/>
            </w:tcBorders>
            <w:shd w:val="clear" w:color="auto" w:fill="auto"/>
            <w:vAlign w:val="center"/>
          </w:tcPr>
          <w:p w14:paraId="4538A44E">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634A4D66">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3A47BF5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23A7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9F29FF8">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6景观</w:t>
            </w:r>
          </w:p>
        </w:tc>
        <w:tc>
          <w:tcPr>
            <w:tcW w:w="10357" w:type="dxa"/>
            <w:tcBorders>
              <w:top w:val="single" w:color="auto" w:sz="4" w:space="0"/>
              <w:left w:val="nil"/>
              <w:bottom w:val="single" w:color="auto" w:sz="4" w:space="0"/>
              <w:right w:val="single" w:color="auto" w:sz="4" w:space="0"/>
            </w:tcBorders>
            <w:shd w:val="clear" w:color="auto" w:fill="auto"/>
            <w:vAlign w:val="center"/>
          </w:tcPr>
          <w:p w14:paraId="52E4C877">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以保护生态平衡为前提，实现水、地、景观、生物资源的可持续发展，体现“生态、高新、高效、龙头带动”的设计理念</w:t>
            </w:r>
            <w:r>
              <w:rPr>
                <w:rFonts w:hint="eastAsia" w:ascii="宋体" w:hAnsi="宋体" w:eastAsia="宋体" w:cs="宋体"/>
                <w:color w:val="000000" w:themeColor="text1"/>
                <w:highlight w:val="none"/>
                <w:lang w:eastAsia="zh-CN"/>
                <w14:textFill>
                  <w14:solidFill>
                    <w14:schemeClr w14:val="tx1"/>
                  </w14:solidFill>
                </w14:textFill>
              </w:rPr>
              <w:t>；充分利用场地内现有的绿化、硬质道路及沟渠水体等环境资源，创造环境优美，绿色生态的生活与工作空间；室外景观绿化整体设计顺应场地分区需要，采用适当的园林手法，结合园林小品与建筑形体紧密结合，形成数个简洁、明快、和谐的组团交流空间；强调乔、灌、花、地被、草合理配置，与周边环境相协调。</w:t>
            </w:r>
            <w:r>
              <w:rPr>
                <w:rFonts w:hint="eastAsia" w:ascii="宋体" w:hAnsi="宋体" w:eastAsia="宋体" w:cs="宋体"/>
                <w:color w:val="000000" w:themeColor="text1"/>
                <w:highlight w:val="none"/>
                <w:lang w:val="en-US" w:eastAsia="zh-CN"/>
                <w14:textFill>
                  <w14:solidFill>
                    <w14:schemeClr w14:val="tx1"/>
                  </w14:solidFill>
                </w14:textFill>
              </w:rPr>
              <w:t>本项目须</w:t>
            </w:r>
            <w:r>
              <w:rPr>
                <w:rFonts w:hint="eastAsia" w:ascii="宋体" w:hAnsi="宋体" w:eastAsia="宋体" w:cs="宋体"/>
                <w:color w:val="000000" w:themeColor="text1"/>
                <w:highlight w:val="none"/>
                <w:lang w:eastAsia="zh-CN"/>
                <w14:textFill>
                  <w14:solidFill>
                    <w14:schemeClr w14:val="tx1"/>
                  </w14:solidFill>
                </w14:textFill>
              </w:rPr>
              <w:t>综合考虑海绵城市建设措施。</w:t>
            </w:r>
          </w:p>
        </w:tc>
        <w:tc>
          <w:tcPr>
            <w:tcW w:w="670" w:type="dxa"/>
            <w:tcBorders>
              <w:top w:val="single" w:color="auto" w:sz="4" w:space="0"/>
              <w:left w:val="nil"/>
              <w:bottom w:val="single" w:color="auto" w:sz="4" w:space="0"/>
              <w:right w:val="single" w:color="auto" w:sz="4" w:space="0"/>
            </w:tcBorders>
            <w:shd w:val="clear" w:color="auto" w:fill="auto"/>
            <w:vAlign w:val="center"/>
          </w:tcPr>
          <w:p w14:paraId="7ADC10D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1ABD34A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1A8CCB50">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1D91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64F782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配套设施</w:t>
            </w:r>
          </w:p>
        </w:tc>
        <w:tc>
          <w:tcPr>
            <w:tcW w:w="10357" w:type="dxa"/>
            <w:tcBorders>
              <w:top w:val="single" w:color="auto" w:sz="4" w:space="0"/>
              <w:left w:val="nil"/>
              <w:bottom w:val="single" w:color="auto" w:sz="4" w:space="0"/>
              <w:right w:val="single" w:color="auto" w:sz="4" w:space="0"/>
            </w:tcBorders>
            <w:shd w:val="clear" w:color="auto" w:fill="auto"/>
            <w:vAlign w:val="top"/>
          </w:tcPr>
          <w:p w14:paraId="356AE079">
            <w:pPr>
              <w:keepNext w:val="0"/>
              <w:keepLines w:val="0"/>
              <w:suppressLineNumbers w:val="0"/>
              <w:spacing w:before="0" w:beforeAutospacing="0" w:after="0" w:afterAutospacing="0" w:line="240" w:lineRule="auto"/>
              <w:ind w:left="0" w:right="0"/>
              <w:rPr>
                <w:rFonts w:hint="eastAsia" w:ascii="宋体" w:hAnsi="宋体" w:eastAsia="宋体" w:cs="宋体"/>
                <w:bCs/>
                <w:color w:val="000000" w:themeColor="text1"/>
                <w:kern w:val="2"/>
                <w:sz w:val="21"/>
                <w:szCs w:val="21"/>
                <w:highlight w:val="none"/>
                <w:u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包括但不限于</w:t>
            </w:r>
            <w:r>
              <w:rPr>
                <w:rFonts w:hint="eastAsia" w:ascii="宋体" w:hAnsi="宋体" w:eastAsia="宋体" w:cs="宋体"/>
                <w:color w:val="000000" w:themeColor="text1"/>
                <w:szCs w:val="21"/>
                <w:highlight w:val="none"/>
                <w14:textFill>
                  <w14:solidFill>
                    <w14:schemeClr w14:val="tx1"/>
                  </w14:solidFill>
                </w14:textFill>
              </w:rPr>
              <w:t>给排水方案</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含</w:t>
            </w:r>
            <w:r>
              <w:rPr>
                <w:rFonts w:hint="eastAsia" w:ascii="宋体" w:hAnsi="宋体" w:eastAsia="宋体" w:cs="宋体"/>
                <w:color w:val="000000" w:themeColor="text1"/>
                <w:szCs w:val="21"/>
                <w:highlight w:val="none"/>
                <w:lang w:eastAsia="zh-CN"/>
                <w14:textFill>
                  <w14:solidFill>
                    <w14:schemeClr w14:val="tx1"/>
                  </w14:solidFill>
                </w14:textFill>
              </w:rPr>
              <w:t>给水系统、污废水系统、雨水系统</w:t>
            </w:r>
            <w:r>
              <w:rPr>
                <w:rFonts w:hint="eastAsia" w:ascii="宋体" w:hAnsi="宋体" w:eastAsia="宋体" w:cs="宋体"/>
                <w:color w:val="000000" w:themeColor="text1"/>
                <w:szCs w:val="21"/>
                <w:highlight w:val="none"/>
                <w:lang w:val="en-US" w:eastAsia="zh-CN"/>
                <w14:textFill>
                  <w14:solidFill>
                    <w14:schemeClr w14:val="tx1"/>
                  </w14:solidFill>
                </w14:textFill>
              </w:rPr>
              <w:t>等</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电气方案、智能化系统、暖通空调系统、消防系统、专业装修工程（含洁净实验室、其他实验室）、燃气系统、</w:t>
            </w:r>
            <w:r>
              <w:rPr>
                <w:rFonts w:hint="eastAsia" w:ascii="宋体" w:hAnsi="宋体" w:eastAsia="宋体" w:cs="宋体"/>
                <w:color w:val="000000" w:themeColor="text1"/>
                <w:szCs w:val="21"/>
                <w:highlight w:val="none"/>
                <w:lang w:eastAsia="zh-CN"/>
                <w14:textFill>
                  <w14:solidFill>
                    <w14:schemeClr w14:val="tx1"/>
                  </w14:solidFill>
                </w14:textFill>
              </w:rPr>
              <w:t>农业产业园智慧农业规划</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注：</w:t>
            </w:r>
            <w:r>
              <w:rPr>
                <w:rFonts w:hint="eastAsia" w:ascii="宋体" w:hAnsi="宋体" w:eastAsia="宋体" w:cs="宋体"/>
                <w:b/>
                <w:bCs/>
                <w:color w:val="000000" w:themeColor="text1"/>
                <w:szCs w:val="21"/>
                <w:highlight w:val="none"/>
                <w:u w:val="single"/>
                <w:lang w:eastAsia="zh-CN"/>
                <w14:textFill>
                  <w14:solidFill>
                    <w14:schemeClr w14:val="tx1"/>
                  </w14:solidFill>
                </w14:textFill>
              </w:rPr>
              <w:t>本项目仅对农业产业园智慧农业进行规划，其投资在其他途径解决，不在本项目投资范围内）</w:t>
            </w:r>
            <w:r>
              <w:rPr>
                <w:rFonts w:hint="eastAsia" w:ascii="宋体" w:hAnsi="宋体" w:eastAsia="宋体" w:cs="宋体"/>
                <w:color w:val="000000" w:themeColor="text1"/>
                <w:szCs w:val="21"/>
                <w:highlight w:val="none"/>
                <w:lang w:eastAsia="zh-CN"/>
                <w14:textFill>
                  <w14:solidFill>
                    <w14:schemeClr w14:val="tx1"/>
                  </w14:solidFill>
                </w14:textFill>
              </w:rPr>
              <w:t>、田间工程（温室大棚、排水灌溉、整修生态渠、下田坡道、田间道路工程、田间供水工程、田间供电及照明工程、田间网络工程、田间监控系统、泵房装修、防鼠防鸟工程）</w:t>
            </w:r>
            <w:r>
              <w:rPr>
                <w:rFonts w:hint="eastAsia" w:ascii="宋体" w:hAnsi="宋体" w:eastAsia="宋体" w:cs="宋体"/>
                <w:color w:val="000000" w:themeColor="text1"/>
                <w:szCs w:val="21"/>
                <w:highlight w:val="none"/>
                <w:lang w:val="en-US" w:eastAsia="zh-CN"/>
                <w14:textFill>
                  <w14:solidFill>
                    <w14:schemeClr w14:val="tx1"/>
                  </w14:solidFill>
                </w14:textFill>
              </w:rPr>
              <w:t>等内容</w:t>
            </w:r>
            <w:r>
              <w:rPr>
                <w:rFonts w:hint="eastAsia" w:ascii="宋体" w:hAnsi="宋体" w:eastAsia="宋体" w:cs="宋体"/>
                <w:color w:val="000000" w:themeColor="text1"/>
                <w:szCs w:val="21"/>
                <w:highlight w:val="none"/>
                <w:lang w:eastAsia="zh-CN"/>
                <w14:textFill>
                  <w14:solidFill>
                    <w14:schemeClr w14:val="tx1"/>
                  </w14:solidFill>
                </w14:textFill>
              </w:rPr>
              <w:t>应按相关规范设计。</w:t>
            </w:r>
          </w:p>
        </w:tc>
        <w:tc>
          <w:tcPr>
            <w:tcW w:w="670" w:type="dxa"/>
            <w:tcBorders>
              <w:top w:val="single" w:color="auto" w:sz="4" w:space="0"/>
              <w:left w:val="nil"/>
              <w:bottom w:val="single" w:color="auto" w:sz="4" w:space="0"/>
              <w:right w:val="single" w:color="auto" w:sz="4" w:space="0"/>
            </w:tcBorders>
            <w:shd w:val="clear" w:color="auto" w:fill="auto"/>
            <w:vAlign w:val="center"/>
          </w:tcPr>
          <w:p w14:paraId="1FB0F106">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514BA9D8">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6714602A">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5B7B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FE0A7D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8建筑经济</w:t>
            </w:r>
          </w:p>
        </w:tc>
        <w:tc>
          <w:tcPr>
            <w:tcW w:w="10357" w:type="dxa"/>
            <w:tcBorders>
              <w:top w:val="single" w:color="auto" w:sz="4" w:space="0"/>
              <w:left w:val="nil"/>
              <w:bottom w:val="single" w:color="auto" w:sz="4" w:space="0"/>
              <w:right w:val="single" w:color="auto" w:sz="4" w:space="0"/>
            </w:tcBorders>
            <w:shd w:val="clear" w:color="auto" w:fill="auto"/>
            <w:vAlign w:val="top"/>
          </w:tcPr>
          <w:p w14:paraId="70F4D960">
            <w:pPr>
              <w:keepNext w:val="0"/>
              <w:keepLines w:val="0"/>
              <w:suppressLineNumbers w:val="0"/>
              <w:spacing w:before="0" w:beforeAutospacing="0" w:after="0" w:afterAutospacing="0" w:line="240" w:lineRule="auto"/>
              <w:ind w:left="0" w:right="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设计模数协调，符合设计标准、规范，造价合理、指标准确，工程造价估算不突破规定的控制要求，建筑材料和建造技术的经济性、耐久性及易维护性，充分考虑创造性和经济性的有机结合。</w:t>
            </w:r>
          </w:p>
        </w:tc>
        <w:tc>
          <w:tcPr>
            <w:tcW w:w="670" w:type="dxa"/>
            <w:tcBorders>
              <w:top w:val="single" w:color="auto" w:sz="4" w:space="0"/>
              <w:left w:val="nil"/>
              <w:bottom w:val="single" w:color="auto" w:sz="4" w:space="0"/>
              <w:right w:val="single" w:color="auto" w:sz="4" w:space="0"/>
            </w:tcBorders>
            <w:shd w:val="clear" w:color="auto" w:fill="auto"/>
            <w:vAlign w:val="center"/>
          </w:tcPr>
          <w:p w14:paraId="0F72E894">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5393CD7E">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3D027079">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r w14:paraId="41F0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48DE4A8">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9绿色节能</w:t>
            </w:r>
          </w:p>
        </w:tc>
        <w:tc>
          <w:tcPr>
            <w:tcW w:w="10357" w:type="dxa"/>
            <w:tcBorders>
              <w:top w:val="single" w:color="auto" w:sz="4" w:space="0"/>
              <w:left w:val="nil"/>
              <w:bottom w:val="single" w:color="auto" w:sz="4" w:space="0"/>
              <w:right w:val="single" w:color="auto" w:sz="4" w:space="0"/>
            </w:tcBorders>
            <w:shd w:val="clear" w:color="auto" w:fill="auto"/>
            <w:vAlign w:val="center"/>
          </w:tcPr>
          <w:p w14:paraId="07B1540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设计方案符合绿色建筑二星级标准设计目标；贯彻执行国家节约资源和保护环境的基本国策，推行行业的可持续发展，坚持绿色低碳原则。在建筑的全寿命周期内，最大限度的节约资源，采用节能、节地、节水、节材措施，保护环境和减少污染，提供健康、高效的使用空间，功能分区明确、合理、互不影响，实现环境效益、经济效益和社会效益的统一；</w:t>
            </w:r>
            <w:r>
              <w:rPr>
                <w:rFonts w:hint="eastAsia" w:ascii="宋体" w:hAnsi="宋体" w:eastAsia="宋体" w:cs="宋体"/>
                <w:color w:val="000000" w:themeColor="text1"/>
                <w:kern w:val="2"/>
                <w:sz w:val="21"/>
                <w:szCs w:val="21"/>
                <w:highlight w:val="none"/>
                <w:lang w:bidi="ar"/>
                <w14:textFill>
                  <w14:solidFill>
                    <w14:schemeClr w14:val="tx1"/>
                  </w14:solidFill>
                </w14:textFill>
              </w:rPr>
              <w:t>强调对节能环保技术的应用，减少建筑能耗，建筑外观要与周边环境、市农业农村科学院主题相协调，实现建筑与生态环境的和谐共生。</w:t>
            </w:r>
          </w:p>
        </w:tc>
        <w:tc>
          <w:tcPr>
            <w:tcW w:w="670" w:type="dxa"/>
            <w:tcBorders>
              <w:top w:val="single" w:color="auto" w:sz="4" w:space="0"/>
              <w:left w:val="nil"/>
              <w:bottom w:val="single" w:color="auto" w:sz="4" w:space="0"/>
              <w:right w:val="single" w:color="auto" w:sz="4" w:space="0"/>
            </w:tcBorders>
            <w:shd w:val="clear" w:color="auto" w:fill="auto"/>
            <w:vAlign w:val="center"/>
          </w:tcPr>
          <w:p w14:paraId="18BF37AD">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798C2821">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45F78B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61DD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DE7DAFD">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Cs w:val="0"/>
                <w:color w:val="000000" w:themeColor="text1"/>
                <w:szCs w:val="21"/>
                <w:highlight w:val="none"/>
                <w:lang w:eastAsia="zh-CN" w:bidi="ar"/>
                <w14:textFill>
                  <w14:solidFill>
                    <w14:schemeClr w14:val="tx1"/>
                  </w14:solidFill>
                </w14:textFill>
              </w:rPr>
              <w:t>1</w:t>
            </w:r>
            <w:r>
              <w:rPr>
                <w:rFonts w:hint="eastAsia" w:ascii="宋体" w:hAnsi="宋体" w:eastAsia="宋体" w:cs="宋体"/>
                <w:bCs w:val="0"/>
                <w:color w:val="000000" w:themeColor="text1"/>
                <w:szCs w:val="21"/>
                <w:highlight w:val="none"/>
                <w:lang w:val="en-US" w:eastAsia="zh-CN" w:bidi="ar"/>
                <w14:textFill>
                  <w14:solidFill>
                    <w14:schemeClr w14:val="tx1"/>
                  </w14:solidFill>
                </w14:textFill>
              </w:rPr>
              <w:t>0</w:t>
            </w:r>
            <w:r>
              <w:rPr>
                <w:rFonts w:hint="eastAsia" w:ascii="宋体" w:hAnsi="宋体" w:eastAsia="宋体" w:cs="宋体"/>
                <w:bCs w:val="0"/>
                <w:color w:val="000000" w:themeColor="text1"/>
                <w:szCs w:val="21"/>
                <w:highlight w:val="none"/>
                <w:lang w:bidi="ar"/>
                <w14:textFill>
                  <w14:solidFill>
                    <w14:schemeClr w14:val="tx1"/>
                  </w14:solidFill>
                </w14:textFill>
              </w:rPr>
              <w:t>勘察方案</w:t>
            </w:r>
          </w:p>
        </w:tc>
        <w:tc>
          <w:tcPr>
            <w:tcW w:w="10357" w:type="dxa"/>
            <w:tcBorders>
              <w:top w:val="single" w:color="auto" w:sz="4" w:space="0"/>
              <w:left w:val="nil"/>
              <w:bottom w:val="single" w:color="auto" w:sz="4" w:space="0"/>
              <w:right w:val="single" w:color="auto" w:sz="4" w:space="0"/>
            </w:tcBorders>
            <w:shd w:val="clear" w:color="auto" w:fill="auto"/>
            <w:vAlign w:val="center"/>
          </w:tcPr>
          <w:p w14:paraId="384B0F84">
            <w:pPr>
              <w:keepNext w:val="0"/>
              <w:keepLines w:val="0"/>
              <w:suppressLineNumbers w:val="0"/>
              <w:spacing w:before="0" w:beforeAutospacing="0" w:after="0" w:afterAutospacing="0"/>
              <w:ind w:left="0" w:right="0"/>
              <w:rPr>
                <w:rFonts w:hint="default" w:ascii="宋体" w:hAnsi="宋体" w:eastAsia="宋体" w:cs="宋体"/>
                <w:bCs/>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bCs/>
                <w:color w:val="000000" w:themeColor="text1"/>
                <w:szCs w:val="21"/>
                <w:highlight w:val="none"/>
                <w:u w:val="none"/>
                <w:lang w:bidi="ar"/>
                <w14:textFill>
                  <w14:solidFill>
                    <w14:schemeClr w14:val="tx1"/>
                  </w14:solidFill>
                </w14:textFill>
              </w:rPr>
              <w:t>勘察方案合理可行；勘察工作流程规范，工期进度计划合理可行。</w:t>
            </w:r>
          </w:p>
        </w:tc>
        <w:tc>
          <w:tcPr>
            <w:tcW w:w="670" w:type="dxa"/>
            <w:tcBorders>
              <w:top w:val="single" w:color="auto" w:sz="4" w:space="0"/>
              <w:left w:val="nil"/>
              <w:bottom w:val="single" w:color="auto" w:sz="4" w:space="0"/>
              <w:right w:val="single" w:color="auto" w:sz="4" w:space="0"/>
            </w:tcBorders>
            <w:shd w:val="clear" w:color="auto" w:fill="auto"/>
            <w:vAlign w:val="center"/>
          </w:tcPr>
          <w:p w14:paraId="35201662">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3F3D68A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3FECB7C7">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35E5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AFBAD99">
            <w:pPr>
              <w:keepNext w:val="0"/>
              <w:keepLines w:val="0"/>
              <w:suppressLineNumbers w:val="0"/>
              <w:spacing w:before="0" w:beforeAutospacing="0" w:after="0" w:afterAutospacing="0" w:line="240" w:lineRule="auto"/>
              <w:ind w:left="0" w:leftChars="0" w:right="0" w:firstLine="0" w:firstLineChars="0"/>
              <w:jc w:val="center"/>
              <w:rPr>
                <w:rFonts w:hint="default" w:ascii="宋体" w:hAnsi="宋体" w:eastAsia="宋体" w:cs="宋体"/>
                <w:bCs w:val="0"/>
                <w:color w:val="000000" w:themeColor="text1"/>
                <w:szCs w:val="21"/>
                <w:highlight w:val="none"/>
                <w:lang w:val="en-US" w:eastAsia="zh-CN" w:bidi="ar"/>
                <w14:textFill>
                  <w14:solidFill>
                    <w14:schemeClr w14:val="tx1"/>
                  </w14:solidFill>
                </w14:textFill>
              </w:rPr>
            </w:pPr>
            <w:r>
              <w:rPr>
                <w:rFonts w:hint="eastAsia" w:ascii="宋体" w:hAnsi="宋体" w:eastAsia="宋体" w:cs="宋体"/>
                <w:bCs w:val="0"/>
                <w:color w:val="000000" w:themeColor="text1"/>
                <w:szCs w:val="21"/>
                <w:highlight w:val="none"/>
                <w:lang w:val="en-US" w:eastAsia="zh-CN" w:bidi="ar"/>
                <w14:textFill>
                  <w14:solidFill>
                    <w14:schemeClr w14:val="tx1"/>
                  </w14:solidFill>
                </w14:textFill>
              </w:rPr>
              <w:t>11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重难点分析及解决方案</w:t>
            </w:r>
          </w:p>
        </w:tc>
        <w:tc>
          <w:tcPr>
            <w:tcW w:w="10357" w:type="dxa"/>
            <w:tcBorders>
              <w:top w:val="single" w:color="auto" w:sz="4" w:space="0"/>
              <w:left w:val="nil"/>
              <w:bottom w:val="single" w:color="auto" w:sz="4" w:space="0"/>
              <w:right w:val="single" w:color="auto" w:sz="4" w:space="0"/>
            </w:tcBorders>
            <w:shd w:val="clear" w:color="auto" w:fill="auto"/>
            <w:vAlign w:val="center"/>
          </w:tcPr>
          <w:p w14:paraId="5171683A">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u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针对本项目设计重点难点分析是否全面、具体，有无针对性，解决方案是否合理可行。</w:t>
            </w:r>
          </w:p>
        </w:tc>
        <w:tc>
          <w:tcPr>
            <w:tcW w:w="670" w:type="dxa"/>
            <w:tcBorders>
              <w:top w:val="single" w:color="auto" w:sz="4" w:space="0"/>
              <w:left w:val="nil"/>
              <w:bottom w:val="single" w:color="auto" w:sz="4" w:space="0"/>
              <w:right w:val="single" w:color="auto" w:sz="4" w:space="0"/>
            </w:tcBorders>
            <w:shd w:val="clear" w:color="auto" w:fill="auto"/>
            <w:vAlign w:val="center"/>
          </w:tcPr>
          <w:p w14:paraId="7D7A04B2">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77618341">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442F5675">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4BA7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0C7F297">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综合评价</w:t>
            </w:r>
          </w:p>
        </w:tc>
        <w:tc>
          <w:tcPr>
            <w:tcW w:w="10357" w:type="dxa"/>
            <w:tcBorders>
              <w:top w:val="single" w:color="auto" w:sz="4" w:space="0"/>
              <w:left w:val="nil"/>
              <w:bottom w:val="single" w:color="auto" w:sz="4" w:space="0"/>
              <w:right w:val="single" w:color="auto" w:sz="4" w:space="0"/>
            </w:tcBorders>
            <w:shd w:val="clear" w:color="auto" w:fill="auto"/>
            <w:vAlign w:val="top"/>
          </w:tcPr>
          <w:p w14:paraId="61BFBB2F">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000000" w:themeColor="text1"/>
                <w:kern w:val="2"/>
                <w:sz w:val="21"/>
                <w:szCs w:val="21"/>
                <w:highlight w:val="none"/>
                <w14:textFill>
                  <w14:solidFill>
                    <w14:schemeClr w14:val="tx1"/>
                  </w14:solidFill>
                </w14:textFill>
              </w:rPr>
            </w:pPr>
          </w:p>
        </w:tc>
        <w:tc>
          <w:tcPr>
            <w:tcW w:w="670" w:type="dxa"/>
            <w:tcBorders>
              <w:top w:val="single" w:color="auto" w:sz="4" w:space="0"/>
              <w:left w:val="nil"/>
              <w:bottom w:val="single" w:color="auto" w:sz="4" w:space="0"/>
              <w:right w:val="single" w:color="auto" w:sz="4" w:space="0"/>
            </w:tcBorders>
            <w:shd w:val="clear" w:color="auto" w:fill="auto"/>
            <w:vAlign w:val="top"/>
          </w:tcPr>
          <w:p w14:paraId="16CF8D15">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top"/>
          </w:tcPr>
          <w:p w14:paraId="1C9C11BC">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top"/>
          </w:tcPr>
          <w:p w14:paraId="30ED3221">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bl>
    <w:p w14:paraId="131961F8">
      <w:pPr>
        <w:spacing w:line="240" w:lineRule="auto"/>
        <w:ind w:left="420" w:leftChars="200" w:firstLine="0" w:firstLineChars="0"/>
        <w:rPr>
          <w:rFonts w:ascii="宋体" w:hAnsi="宋体" w:eastAsia="宋体" w:cs="Calibri"/>
          <w:color w:val="000000" w:themeColor="text1"/>
          <w:szCs w:val="21"/>
          <w:highlight w:val="none"/>
          <w14:textFill>
            <w14:solidFill>
              <w14:schemeClr w14:val="tx1"/>
            </w14:solidFill>
          </w14:textFill>
        </w:rPr>
      </w:pPr>
      <w:r>
        <w:rPr>
          <w:rFonts w:hint="eastAsia" w:ascii="宋体" w:hAnsi="宋体" w:eastAsia="宋体" w:cs="Calibri"/>
          <w:color w:val="000000" w:themeColor="text1"/>
          <w:szCs w:val="21"/>
          <w:highlight w:val="none"/>
          <w:lang w:bidi="ar"/>
          <w14:textFill>
            <w14:solidFill>
              <w14:schemeClr w14:val="tx1"/>
            </w14:solidFill>
          </w14:textFill>
        </w:rPr>
        <w:t>经济、技术、体制、环境、业主、建筑师、评标委员会等都是决定建筑好坏的制约因素，评价一个设计的好坏，有太多的无形因素，无法使用一套刻板的打分系统，因此不宜设置权重和分值。招标人可以根据项目类型、特点、设计价值观等情况增删评判因素。</w:t>
      </w:r>
    </w:p>
    <w:p w14:paraId="4ABC196D">
      <w:pPr>
        <w:spacing w:line="240" w:lineRule="auto"/>
        <w:ind w:left="420" w:leftChars="200" w:firstLine="0" w:firstLineChars="0"/>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评委</w:t>
      </w:r>
      <w:r>
        <w:rPr>
          <w:rFonts w:hint="eastAsia" w:ascii="宋体" w:hAnsi="宋体" w:eastAsia="宋体" w:cs="Times New Roman"/>
          <w:color w:val="000000" w:themeColor="text1"/>
          <w:sz w:val="21"/>
          <w:szCs w:val="21"/>
          <w:highlight w:val="none"/>
          <w14:textFill>
            <w14:solidFill>
              <w14:schemeClr w14:val="tx1"/>
            </w14:solidFill>
          </w14:textFill>
        </w:rPr>
        <w:t>签名：</w:t>
      </w:r>
      <w:r>
        <w:rPr>
          <w:rFonts w:ascii="宋体" w:hAnsi="宋体" w:eastAsia="宋体" w:cs="Times New Roman"/>
          <w:color w:val="000000" w:themeColor="text1"/>
          <w:sz w:val="21"/>
          <w:szCs w:val="21"/>
          <w:highlight w:val="none"/>
          <w14:textFill>
            <w14:solidFill>
              <w14:schemeClr w14:val="tx1"/>
            </w14:solidFill>
          </w14:textFill>
        </w:rPr>
        <w:t xml:space="preserve">                                                                                   </w:t>
      </w:r>
      <w:r>
        <w:rPr>
          <w:rFonts w:ascii="宋体" w:hAnsi="宋体" w:eastAsia="宋体" w:cs="Times New Roman"/>
          <w:color w:val="000000" w:themeColor="text1"/>
          <w:highlight w:val="none"/>
          <w14:textFill>
            <w14:solidFill>
              <w14:schemeClr w14:val="tx1"/>
            </w14:solidFill>
          </w14:textFill>
        </w:rPr>
        <w:t>日期：   年   月   日</w:t>
      </w:r>
    </w:p>
    <w:p w14:paraId="10F5D23C">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p>
    <w:p w14:paraId="7F3BEC84">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sectPr>
          <w:footerReference r:id="rId7" w:type="default"/>
          <w:pgSz w:w="16838" w:h="11905" w:orient="landscape"/>
          <w:pgMar w:top="1440" w:right="1440" w:bottom="1468" w:left="1440" w:header="851" w:footer="992" w:gutter="0"/>
          <w:pgBorders>
            <w:top w:val="none" w:sz="0" w:space="0"/>
            <w:left w:val="none" w:sz="0" w:space="0"/>
            <w:bottom w:val="none" w:sz="0" w:space="0"/>
            <w:right w:val="none" w:sz="0" w:space="0"/>
          </w:pgBorders>
          <w:pgNumType w:fmt="decimal"/>
          <w:cols w:space="0" w:num="1"/>
          <w:rtlGutter w:val="0"/>
          <w:docGrid w:type="linesAndChars" w:linePitch="321" w:charSpace="0"/>
        </w:sectPr>
      </w:pPr>
    </w:p>
    <w:p w14:paraId="6D340AD3">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19" w:name="_Toc30549"/>
      <w:bookmarkStart w:id="120" w:name="_Toc126"/>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附录14 投标方案评语</w:t>
      </w:r>
      <w:bookmarkEnd w:id="119"/>
      <w:bookmarkEnd w:id="120"/>
    </w:p>
    <w:p w14:paraId="2316E5D0">
      <w:pPr>
        <w:spacing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投标方案评语</w:t>
      </w:r>
    </w:p>
    <w:p w14:paraId="10456171">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bl>
      <w:tblPr>
        <w:tblStyle w:val="15"/>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829"/>
      </w:tblGrid>
      <w:tr w14:paraId="1460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295FA4C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方案编号</w:t>
            </w:r>
          </w:p>
        </w:tc>
        <w:tc>
          <w:tcPr>
            <w:tcW w:w="7829" w:type="dxa"/>
            <w:tcBorders>
              <w:top w:val="single" w:color="auto" w:sz="4" w:space="0"/>
              <w:left w:val="single" w:color="auto" w:sz="4" w:space="0"/>
              <w:bottom w:val="single" w:color="auto" w:sz="4" w:space="0"/>
              <w:right w:val="single" w:color="auto" w:sz="4" w:space="0"/>
            </w:tcBorders>
            <w:noWrap w:val="0"/>
            <w:vAlign w:val="center"/>
          </w:tcPr>
          <w:p w14:paraId="14A927C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评语</w:t>
            </w:r>
          </w:p>
        </w:tc>
      </w:tr>
      <w:tr w14:paraId="5537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241E7B2B">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4170CA9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23A0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567623DB">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1C42EADB">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693E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2826B27B">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6E9CCFE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6941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2D3C8EB0">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0400BAB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540E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43DCD64B">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11DF707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3F97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3F60950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3846563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1D55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520729B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4A21DB6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573A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55F2393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7DC4B45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bl>
    <w:p w14:paraId="097486EB">
      <w:pPr>
        <w:spacing w:line="360" w:lineRule="auto"/>
        <w:rPr>
          <w:rFonts w:ascii="宋体" w:hAnsi="宋体"/>
          <w:color w:val="000000" w:themeColor="text1"/>
          <w:sz w:val="24"/>
          <w:szCs w:val="24"/>
          <w:highlight w:val="none"/>
          <w14:textFill>
            <w14:solidFill>
              <w14:schemeClr w14:val="tx1"/>
            </w14:solidFill>
          </w14:textFill>
        </w:rPr>
      </w:pPr>
    </w:p>
    <w:p w14:paraId="199DC35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评委签名：                                        日期：   年  月  日</w:t>
      </w:r>
    </w:p>
    <w:p w14:paraId="41FBF946">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p>
    <w:p w14:paraId="5B553426">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br w:type="page"/>
      </w:r>
    </w:p>
    <w:p w14:paraId="7D37C2FB">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21" w:name="_Toc30519"/>
      <w:bookmarkStart w:id="122" w:name="_Toc28356"/>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附录15 定标委员会的组成</w:t>
      </w:r>
      <w:bookmarkEnd w:id="118"/>
      <w:bookmarkEnd w:id="121"/>
      <w:bookmarkEnd w:id="122"/>
    </w:p>
    <w:p w14:paraId="68E76467">
      <w:pPr>
        <w:spacing w:line="560" w:lineRule="exact"/>
        <w:jc w:val="center"/>
        <w:rPr>
          <w:rFonts w:ascii="方正楷体_GBK" w:hAnsi="仿宋" w:eastAsia="方正楷体_GBK" w:cs="宋体"/>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定标委员会的组成</w:t>
      </w:r>
    </w:p>
    <w:p w14:paraId="2622E80D">
      <w:pPr>
        <w:widowControl/>
        <w:snapToGrid w:val="0"/>
        <w:spacing w:before="0" w:beforeAutospacing="0" w:after="0" w:afterAutospacing="0" w:line="360" w:lineRule="auto"/>
        <w:ind w:firstLine="464" w:firstLineChars="202"/>
        <w:jc w:val="left"/>
        <w:rPr>
          <w:rFonts w:ascii="宋体" w:hAnsi="宋体" w:eastAsia="宋体" w:cs="Times New Roman"/>
          <w:color w:val="000000" w:themeColor="text1"/>
          <w:kern w:val="0"/>
          <w:sz w:val="21"/>
          <w:szCs w:val="21"/>
          <w:highlight w:val="none"/>
          <w:shd w:val="clear" w:color="auto" w:fill="FFFFFF"/>
          <w:lang w:val="en-US" w:eastAsia="zh-CN" w:bidi="ar-SA"/>
          <w14:textFill>
            <w14:solidFill>
              <w14:schemeClr w14:val="tx1"/>
            </w14:solidFill>
          </w14:textFill>
        </w:rPr>
      </w:pPr>
    </w:p>
    <w:p w14:paraId="4A46B20E">
      <w:pPr>
        <w:widowControl/>
        <w:snapToGrid w:val="0"/>
        <w:spacing w:before="0" w:beforeAutospacing="0" w:after="0" w:afterAutospacing="0" w:line="360" w:lineRule="auto"/>
        <w:ind w:firstLine="520" w:firstLineChars="200"/>
        <w:jc w:val="left"/>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1、定标委员会</w:t>
      </w:r>
    </w:p>
    <w:p w14:paraId="78C610D2">
      <w:pPr>
        <w:widowControl/>
        <w:snapToGrid w:val="0"/>
        <w:spacing w:before="0" w:beforeAutospacing="0" w:after="0" w:afterAutospacing="0" w:line="360" w:lineRule="auto"/>
        <w:ind w:firstLine="520" w:firstLineChars="200"/>
        <w:jc w:val="left"/>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定标委员会由招标人依法组建。</w:t>
      </w:r>
    </w:p>
    <w:p w14:paraId="6E1497B7">
      <w:pPr>
        <w:widowControl/>
        <w:snapToGrid w:val="0"/>
        <w:spacing w:before="0" w:beforeAutospacing="0" w:after="0" w:afterAutospacing="0" w:line="360" w:lineRule="auto"/>
        <w:ind w:firstLine="520" w:firstLineChars="200"/>
        <w:jc w:val="left"/>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2、定标会召开的时间地点：</w:t>
      </w:r>
    </w:p>
    <w:p w14:paraId="17B0666C">
      <w:pPr>
        <w:widowControl/>
        <w:snapToGrid w:val="0"/>
        <w:spacing w:before="0" w:beforeAutospacing="0" w:after="0" w:afterAutospacing="0" w:line="360" w:lineRule="auto"/>
        <w:ind w:firstLine="520" w:firstLineChars="200"/>
        <w:jc w:val="left"/>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定标会召开时间在合格的中标候选人公示完成后10个工作日内在广州交易集团有限公司（广州公共资源交易中心）举行，定标会全程在广州交易集团有限公司（广州公共资源交易中心）见证人员见证下进行。</w:t>
      </w:r>
    </w:p>
    <w:p w14:paraId="1DD6C92B">
      <w:pPr>
        <w:rPr>
          <w:rFonts w:ascii="Calibri" w:hAnsi="Calibri" w:eastAsia="宋体" w:cs="Times New Roman"/>
          <w:color w:val="000000" w:themeColor="text1"/>
          <w:highlight w:val="none"/>
          <w14:textFill>
            <w14:solidFill>
              <w14:schemeClr w14:val="tx1"/>
            </w14:solidFill>
          </w14:textFill>
        </w:rPr>
      </w:pPr>
    </w:p>
    <w:p w14:paraId="78E72C04">
      <w:pPr>
        <w:rPr>
          <w:rFonts w:hint="eastAsia" w:eastAsiaTheme="minorEastAsia"/>
          <w:color w:val="000000" w:themeColor="text1"/>
          <w:highlight w:val="none"/>
          <w:lang w:val="en-US" w:eastAsia="zh-CN"/>
          <w14:textFill>
            <w14:solidFill>
              <w14:schemeClr w14:val="tx1"/>
            </w14:solidFill>
          </w14:textFill>
        </w:rPr>
        <w:sectPr>
          <w:pgSz w:w="11905" w:h="16838"/>
          <w:pgMar w:top="1417" w:right="1417" w:bottom="1417" w:left="1417" w:header="851" w:footer="992" w:gutter="0"/>
          <w:pgBorders>
            <w:top w:val="none" w:sz="0" w:space="0"/>
            <w:left w:val="none" w:sz="0" w:space="0"/>
            <w:bottom w:val="none" w:sz="0" w:space="0"/>
            <w:right w:val="none" w:sz="0" w:space="0"/>
          </w:pgBorders>
          <w:pgNumType w:fmt="decimal"/>
          <w:cols w:space="425" w:num="1"/>
          <w:rtlGutter w:val="0"/>
          <w:docGrid w:type="linesAndChars" w:linePitch="312" w:charSpace="4096"/>
        </w:sectPr>
      </w:pPr>
    </w:p>
    <w:p w14:paraId="6FB146E4">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23" w:name="_Toc850"/>
      <w:bookmarkStart w:id="124" w:name="_Toc6611"/>
      <w:bookmarkStart w:id="125" w:name="_Toc9870"/>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附录16 定标原则</w:t>
      </w:r>
      <w:bookmarkEnd w:id="123"/>
      <w:bookmarkEnd w:id="124"/>
      <w:bookmarkEnd w:id="125"/>
    </w:p>
    <w:p w14:paraId="7FBD80F6">
      <w:pPr>
        <w:jc w:val="center"/>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定标原则</w:t>
      </w:r>
    </w:p>
    <w:p w14:paraId="506CEE3A">
      <w:pPr>
        <w:widowControl w:val="0"/>
        <w:spacing w:line="360" w:lineRule="auto"/>
        <w:ind w:firstLine="480" w:firstLineChars="200"/>
        <w:jc w:val="both"/>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1、本项目定标办法采用“记名投票+撰写评语”。定标委员会成员根据评标过程资料，对比合格的中标候选人的投标文件等情况，综合考虑各中标候选人的情况，根据定标因素对各合格的中标候选人进行评审比较后，采用以差额选举逐轮淘汰投票计数法的“记名投票+撰写评语”方式确定中标人以及所有中标候选人的排序。</w:t>
      </w:r>
    </w:p>
    <w:p w14:paraId="4936AB69">
      <w:pPr>
        <w:widowControl w:val="0"/>
        <w:spacing w:line="360" w:lineRule="auto"/>
        <w:ind w:firstLine="480" w:firstLineChars="200"/>
        <w:jc w:val="both"/>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2、定标细则</w:t>
      </w:r>
    </w:p>
    <w:p w14:paraId="2545DC58">
      <w:pPr>
        <w:widowControl w:val="0"/>
        <w:spacing w:line="360" w:lineRule="auto"/>
        <w:ind w:firstLine="480" w:firstLineChars="200"/>
        <w:jc w:val="both"/>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（1）定标委员会阅读评标委员会提交的评标报告及清标工作小组出具的清标报告。</w:t>
      </w:r>
    </w:p>
    <w:p w14:paraId="6A101068">
      <w:pPr>
        <w:pStyle w:val="13"/>
        <w:widowControl w:val="0"/>
        <w:spacing w:beforeAutospacing="0" w:afterAutospacing="0" w:line="360" w:lineRule="auto"/>
        <w:ind w:firstLine="480" w:firstLineChars="200"/>
        <w:jc w:val="both"/>
        <w:rPr>
          <w:rFonts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2</w:t>
      </w:r>
      <w:r>
        <w:rPr>
          <w:rFonts w:cs="宋体"/>
          <w:color w:val="000000" w:themeColor="text1"/>
          <w:highlight w:val="none"/>
          <w:u w:val="single"/>
          <w:shd w:val="clear" w:color="auto" w:fill="FFFFFF"/>
          <w14:textFill>
            <w14:solidFill>
              <w14:schemeClr w14:val="tx1"/>
            </w14:solidFill>
          </w14:textFill>
        </w:rPr>
        <w:t>）定标委员会根据定标因素对各合格的中标候选人进行综合评审。本项目按以下因素进行定标：</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359"/>
        <w:gridCol w:w="6681"/>
      </w:tblGrid>
      <w:tr w14:paraId="07A6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419CFBCC">
            <w:pPr>
              <w:pStyle w:val="13"/>
              <w:keepNext w:val="0"/>
              <w:keepLines w:val="0"/>
              <w:widowControl w:val="0"/>
              <w:suppressLineNumbers w:val="0"/>
              <w:spacing w:beforeAutospacing="0" w:afterAutospacing="0" w:line="360" w:lineRule="auto"/>
              <w:ind w:left="0" w:leftChars="0" w:right="0" w:right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序号</w:t>
            </w:r>
          </w:p>
        </w:tc>
        <w:tc>
          <w:tcPr>
            <w:tcW w:w="1359" w:type="dxa"/>
            <w:shd w:val="clear" w:color="auto" w:fill="auto"/>
            <w:vAlign w:val="center"/>
          </w:tcPr>
          <w:p w14:paraId="3DDD4491">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评审因素</w:t>
            </w:r>
          </w:p>
        </w:tc>
        <w:tc>
          <w:tcPr>
            <w:tcW w:w="6681" w:type="dxa"/>
            <w:shd w:val="clear" w:color="auto" w:fill="auto"/>
            <w:vAlign w:val="center"/>
          </w:tcPr>
          <w:p w14:paraId="13050B92">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0"/>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具体内容</w:t>
            </w:r>
          </w:p>
        </w:tc>
      </w:tr>
      <w:tr w14:paraId="7E7E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59F1ED21">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1</w:t>
            </w:r>
          </w:p>
        </w:tc>
        <w:tc>
          <w:tcPr>
            <w:tcW w:w="1359" w:type="dxa"/>
            <w:shd w:val="clear" w:color="auto" w:fill="auto"/>
            <w:vAlign w:val="center"/>
          </w:tcPr>
          <w:p w14:paraId="3249EC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价格因素</w:t>
            </w:r>
          </w:p>
        </w:tc>
        <w:tc>
          <w:tcPr>
            <w:tcW w:w="6681" w:type="dxa"/>
            <w:shd w:val="clear" w:color="auto" w:fill="auto"/>
            <w:vAlign w:val="center"/>
          </w:tcPr>
          <w:p w14:paraId="38B6C53F">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定标委员会对合格的中标候选人投标报价进行分析，结合</w:t>
            </w:r>
            <w:r>
              <w:rPr>
                <w:rFonts w:hint="eastAsia" w:ascii="宋体" w:hAnsi="宋体" w:eastAsia="宋体" w:cs="宋体"/>
                <w:bCs/>
                <w:color w:val="000000" w:themeColor="text1"/>
                <w:sz w:val="24"/>
                <w:szCs w:val="24"/>
                <w:highlight w:val="none"/>
                <w:lang w:bidi="ar"/>
                <w14:textFill>
                  <w14:solidFill>
                    <w14:schemeClr w14:val="tx1"/>
                  </w14:solidFill>
                </w14:textFill>
              </w:rPr>
              <w:t>合格的中标候选人报价</w:t>
            </w:r>
            <w:r>
              <w:rPr>
                <w:rFonts w:hint="eastAsia" w:ascii="宋体" w:hAnsi="宋体" w:eastAsia="宋体" w:cs="宋体"/>
                <w:color w:val="000000" w:themeColor="text1"/>
                <w:sz w:val="24"/>
                <w:szCs w:val="24"/>
                <w:highlight w:val="none"/>
                <w:lang w:bidi="ar"/>
                <w14:textFill>
                  <w14:solidFill>
                    <w14:schemeClr w14:val="tx1"/>
                  </w14:solidFill>
                </w14:textFill>
              </w:rPr>
              <w:t>的合理性进行评审。</w:t>
            </w:r>
          </w:p>
          <w:p w14:paraId="5DEC68BC">
            <w:pPr>
              <w:keepNext w:val="0"/>
              <w:keepLines w:val="0"/>
              <w:widowControl/>
              <w:suppressLineNumbers w:val="0"/>
              <w:spacing w:before="0" w:beforeAutospacing="0" w:after="0" w:afterAutospacing="0" w:line="360" w:lineRule="auto"/>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【优】投入的人员团队水平、设计服务质量和技术支持程度与报价的匹配度高。</w:t>
            </w:r>
          </w:p>
          <w:p w14:paraId="77C41F37">
            <w:pPr>
              <w:keepNext w:val="0"/>
              <w:keepLines w:val="0"/>
              <w:widowControl/>
              <w:suppressLineNumbers w:val="0"/>
              <w:spacing w:before="0" w:beforeAutospacing="0" w:after="0" w:afterAutospacing="0" w:line="360" w:lineRule="auto"/>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【中】投入的人员团队水平、设计服务质量和技术支持程度与报价的匹配度一般。</w:t>
            </w:r>
          </w:p>
          <w:p w14:paraId="1126592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0"/>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【差】投入的人员团队水平、设计服务质量和技术支持程度与报价的匹配度较低。</w:t>
            </w:r>
          </w:p>
        </w:tc>
      </w:tr>
      <w:tr w14:paraId="5E26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7C31173E">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2</w:t>
            </w:r>
          </w:p>
        </w:tc>
        <w:tc>
          <w:tcPr>
            <w:tcW w:w="1359" w:type="dxa"/>
            <w:shd w:val="clear" w:color="auto" w:fill="auto"/>
            <w:vAlign w:val="center"/>
          </w:tcPr>
          <w:p w14:paraId="077442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方案因素</w:t>
            </w:r>
          </w:p>
        </w:tc>
        <w:tc>
          <w:tcPr>
            <w:tcW w:w="6681" w:type="dxa"/>
            <w:shd w:val="clear" w:color="auto" w:fill="auto"/>
            <w:vAlign w:val="center"/>
          </w:tcPr>
          <w:p w14:paraId="7EFE4691">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u w:val="none"/>
                <w:lang w:bidi="ar"/>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结合</w:t>
            </w:r>
            <w:r>
              <w:rPr>
                <w:rFonts w:hint="eastAsia" w:ascii="宋体" w:hAnsi="宋体" w:eastAsia="宋体" w:cs="宋体"/>
                <w:color w:val="000000" w:themeColor="text1"/>
                <w:kern w:val="0"/>
                <w:sz w:val="24"/>
                <w:szCs w:val="24"/>
                <w:highlight w:val="none"/>
                <w:u w:val="none"/>
                <w:shd w:val="clear" w:fill="FFFFFF"/>
                <w:lang w:val="en-US" w:eastAsia="zh-CN" w:bidi="ar"/>
                <w14:textFill>
                  <w14:solidFill>
                    <w14:schemeClr w14:val="tx1"/>
                  </w14:solidFill>
                </w14:textFill>
              </w:rPr>
              <w:t>概念、规划、交通、使用功能、建筑外观、景观、配套设施、经济、绿色节能、勘察方案、重难点分析及解决方案</w:t>
            </w:r>
            <w:r>
              <w:rPr>
                <w:rFonts w:hint="eastAsia" w:ascii="宋体" w:hAnsi="宋体" w:eastAsia="宋体" w:cs="宋体"/>
                <w:color w:val="000000" w:themeColor="text1"/>
                <w:sz w:val="24"/>
                <w:szCs w:val="24"/>
                <w:highlight w:val="none"/>
                <w:u w:val="none"/>
                <w:lang w:bidi="ar"/>
                <w14:textFill>
                  <w14:solidFill>
                    <w14:schemeClr w14:val="tx1"/>
                  </w14:solidFill>
                </w14:textFill>
              </w:rPr>
              <w:t>等因素进行评审。</w:t>
            </w:r>
          </w:p>
          <w:p w14:paraId="6E8AC911">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u w:val="none"/>
                <w:lang w:bidi="ar"/>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【优】总体方案充分反映了招标人设计要求（详见本项目的</w:t>
            </w:r>
            <w:r>
              <w:rPr>
                <w:rFonts w:hint="eastAsia" w:ascii="宋体" w:hAnsi="宋体" w:eastAsia="宋体" w:cs="宋体"/>
                <w:color w:val="000000" w:themeColor="text1"/>
                <w:sz w:val="24"/>
                <w:szCs w:val="24"/>
                <w:highlight w:val="none"/>
                <w:u w:val="none"/>
                <w:lang w:val="en-US" w:eastAsia="zh-CN" w:bidi="ar"/>
                <w14:textFill>
                  <w14:solidFill>
                    <w14:schemeClr w14:val="tx1"/>
                  </w14:solidFill>
                </w14:textFill>
              </w:rPr>
              <w:t>勘察</w:t>
            </w:r>
            <w:r>
              <w:rPr>
                <w:rFonts w:hint="eastAsia" w:ascii="宋体" w:hAnsi="宋体" w:eastAsia="宋体" w:cs="宋体"/>
                <w:color w:val="000000" w:themeColor="text1"/>
                <w:sz w:val="24"/>
                <w:szCs w:val="24"/>
                <w:highlight w:val="none"/>
                <w:u w:val="none"/>
                <w:lang w:bidi="ar"/>
                <w14:textFill>
                  <w14:solidFill>
                    <w14:schemeClr w14:val="tx1"/>
                  </w14:solidFill>
                </w14:textFill>
              </w:rPr>
              <w:t>设计任务书及相关附件）、符合设计的标准及要求（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），项目</w:t>
            </w:r>
            <w:r>
              <w:rPr>
                <w:rFonts w:hint="eastAsia" w:ascii="宋体" w:hAnsi="宋体" w:eastAsia="宋体" w:cs="宋体"/>
                <w:color w:val="000000" w:themeColor="text1"/>
                <w:sz w:val="24"/>
                <w:szCs w:val="24"/>
                <w:highlight w:val="none"/>
                <w:u w:val="none"/>
                <w:lang w:val="en-US" w:eastAsia="zh-CN" w:bidi="ar"/>
                <w14:textFill>
                  <w14:solidFill>
                    <w14:schemeClr w14:val="tx1"/>
                  </w14:solidFill>
                </w14:textFill>
              </w:rPr>
              <w:t>设计</w:t>
            </w:r>
            <w:r>
              <w:rPr>
                <w:rFonts w:hint="eastAsia" w:ascii="宋体" w:hAnsi="宋体" w:eastAsia="宋体" w:cs="宋体"/>
                <w:color w:val="000000" w:themeColor="text1"/>
                <w:sz w:val="24"/>
                <w:szCs w:val="24"/>
                <w:highlight w:val="none"/>
                <w:u w:val="none"/>
                <w:lang w:bidi="ar"/>
                <w14:textFill>
                  <w14:solidFill>
                    <w14:schemeClr w14:val="tx1"/>
                  </w14:solidFill>
                </w14:textFill>
              </w:rPr>
              <w:t>方案完整，且方案合理可行的；多媒体演示文件满足项目要求，呈现效果质量优秀，能很好的反映招标人设计要求。</w:t>
            </w:r>
          </w:p>
          <w:p w14:paraId="07E2CA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u w:val="none"/>
                <w:lang w:bidi="ar"/>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【中】总体方案满足招标人设计要求（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）、符合设计的标准及要求（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），项目设计方案内容完整，但缺乏针对性的；多媒体演示文件满足项目要求，呈现效果较好的。</w:t>
            </w:r>
          </w:p>
          <w:p w14:paraId="72573B7A">
            <w:pPr>
              <w:keepNext w:val="0"/>
              <w:keepLines w:val="0"/>
              <w:widowControl/>
              <w:suppressLineNumbers w:val="0"/>
              <w:spacing w:before="0" w:beforeAutospacing="0" w:after="0" w:afterAutospacing="0" w:line="360" w:lineRule="auto"/>
              <w:ind w:left="0" w:right="0"/>
              <w:rPr>
                <w:rFonts w:hint="default" w:ascii="宋体" w:hAnsi="宋体" w:eastAsia="宋体" w:cs="宋体"/>
                <w:color w:val="000000" w:themeColor="text1"/>
                <w:kern w:val="0"/>
                <w:sz w:val="24"/>
                <w:szCs w:val="24"/>
                <w:highlight w:val="none"/>
                <w:u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【差】总体方案未达到招标人设计要求（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）、未达到设计的标准及要求（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）；项目设计方案内容不完整，且缺乏可行性或针对性</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；未提供多媒体演示文件或演示文件不满足要求质量差的。</w:t>
            </w:r>
          </w:p>
        </w:tc>
      </w:tr>
      <w:tr w14:paraId="724B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1C8E07F4">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3</w:t>
            </w:r>
          </w:p>
        </w:tc>
        <w:tc>
          <w:tcPr>
            <w:tcW w:w="1359" w:type="dxa"/>
            <w:shd w:val="clear" w:color="auto" w:fill="auto"/>
            <w:vAlign w:val="center"/>
          </w:tcPr>
          <w:p w14:paraId="7D5FC60D">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团队因素</w:t>
            </w:r>
          </w:p>
        </w:tc>
        <w:tc>
          <w:tcPr>
            <w:tcW w:w="6681" w:type="dxa"/>
            <w:shd w:val="clear" w:color="auto" w:fill="auto"/>
            <w:vAlign w:val="center"/>
          </w:tcPr>
          <w:p w14:paraId="15A64B43">
            <w:pPr>
              <w:pStyle w:val="13"/>
              <w:keepNext w:val="0"/>
              <w:keepLines w:val="0"/>
              <w:widowControl w:val="0"/>
              <w:suppressLineNumbers w:val="0"/>
              <w:spacing w:beforeAutospacing="0" w:afterAutospacing="0" w:line="360" w:lineRule="auto"/>
              <w:jc w:val="both"/>
              <w:rPr>
                <w:rFonts w:hint="default" w:cs="宋体"/>
                <w:color w:val="000000" w:themeColor="text1"/>
                <w:sz w:val="24"/>
                <w:szCs w:val="24"/>
                <w:highlight w:val="none"/>
                <w:u w:val="none"/>
                <w:shd w:val="clear" w:color="auto" w:fill="FFFFFF"/>
                <w14:textFill>
                  <w14:solidFill>
                    <w14:schemeClr w14:val="tx1"/>
                  </w14:solidFill>
                </w14:textFill>
              </w:rPr>
            </w:pP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一、</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对</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设计</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项目负责人、各设计专业负责人主要岗位人员的从业能力、业绩、奖项等方面进行评审。</w:t>
            </w:r>
          </w:p>
          <w:p w14:paraId="41B0851A">
            <w:pPr>
              <w:pStyle w:val="13"/>
              <w:keepNext w:val="0"/>
              <w:keepLines w:val="0"/>
              <w:widowControl w:val="0"/>
              <w:suppressLineNumbers w:val="0"/>
              <w:spacing w:beforeAutospacing="0" w:afterAutospacing="0" w:line="360" w:lineRule="auto"/>
              <w:jc w:val="both"/>
              <w:rPr>
                <w:rFonts w:hint="default" w:cs="宋体"/>
                <w:color w:val="000000" w:themeColor="text1"/>
                <w:sz w:val="24"/>
                <w:szCs w:val="24"/>
                <w:highlight w:val="none"/>
                <w:u w:val="none"/>
                <w:shd w:val="clear" w:color="auto" w:fill="FFFFFF"/>
                <w14:textFill>
                  <w14:solidFill>
                    <w14:schemeClr w14:val="tx1"/>
                  </w14:solidFill>
                </w14:textFill>
              </w:rPr>
            </w:pPr>
            <w:r>
              <w:rPr>
                <w:rFonts w:hint="default" w:cs="宋体"/>
                <w:color w:val="000000" w:themeColor="text1"/>
                <w:kern w:val="2"/>
                <w:sz w:val="24"/>
                <w:szCs w:val="24"/>
                <w:highlight w:val="none"/>
                <w:u w:val="none"/>
                <w:shd w:val="clear" w:color="auto" w:fill="FFFFFF"/>
                <w:lang w:bidi="ar"/>
                <w14:textFill>
                  <w14:solidFill>
                    <w14:schemeClr w14:val="tx1"/>
                  </w14:solidFill>
                </w14:textFill>
              </w:rPr>
              <w:t>注：</w:t>
            </w:r>
          </w:p>
          <w:p w14:paraId="68032679">
            <w:pPr>
              <w:keepNext w:val="0"/>
              <w:keepLines w:val="0"/>
              <w:widowControl w:val="0"/>
              <w:suppressLineNumbers w:val="0"/>
              <w:spacing w:before="0" w:beforeAutospacing="0" w:after="0" w:afterAutospacing="0" w:line="360" w:lineRule="auto"/>
              <w:ind w:left="0" w:right="0"/>
              <w:jc w:val="both"/>
              <w:rPr>
                <w:rFonts w:hint="default" w:cs="宋体"/>
                <w:b w:val="0"/>
                <w:bCs w:val="0"/>
                <w:color w:val="000000" w:themeColor="text1"/>
                <w:sz w:val="24"/>
                <w:szCs w:val="24"/>
                <w:highlight w:val="none"/>
                <w:u w:val="none"/>
                <w:shd w:val="clear" w:color="auto" w:fill="FFFFFF"/>
                <w14:textFill>
                  <w14:solidFill>
                    <w14:schemeClr w14:val="tx1"/>
                  </w14:solidFill>
                </w14:textFill>
              </w:rPr>
            </w:pP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1</w:t>
            </w:r>
            <w:r>
              <w:rPr>
                <w:rFonts w:hint="default" w:cs="宋体"/>
                <w:b/>
                <w:bCs/>
                <w:color w:val="000000" w:themeColor="text1"/>
                <w:kern w:val="2"/>
                <w:sz w:val="24"/>
                <w:szCs w:val="24"/>
                <w:highlight w:val="none"/>
                <w:u w:val="none"/>
                <w:shd w:val="clear" w:color="auto" w:fill="FFFFFF"/>
                <w:lang w:bidi="ar"/>
                <w14:textFill>
                  <w14:solidFill>
                    <w14:schemeClr w14:val="tx1"/>
                  </w14:solidFill>
                </w14:textFill>
              </w:rPr>
              <w:t>、</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需提供拟派</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项目负责人、结构专业负责人、建筑专业负责人、暖通专业负责人、园林专业负责人、电气专业负责人、智能化专业负责人、给排水专业负责人</w:t>
            </w:r>
            <w:r>
              <w:rPr>
                <w:rFonts w:hint="eastAsia" w:cs="宋体"/>
                <w:b/>
                <w:bCs/>
                <w:strike w:val="0"/>
                <w:dstrike w:val="0"/>
                <w:color w:val="000000" w:themeColor="text1"/>
                <w:kern w:val="2"/>
                <w:sz w:val="24"/>
                <w:szCs w:val="24"/>
                <w:highlight w:val="none"/>
                <w:u w:val="none"/>
                <w:shd w:val="clear" w:color="auto" w:fill="FFFFFF"/>
                <w:lang w:bidi="ar"/>
                <w14:textFill>
                  <w14:solidFill>
                    <w14:schemeClr w14:val="tx1"/>
                  </w14:solidFill>
                </w14:textFill>
              </w:rPr>
              <w:t>、</w:t>
            </w:r>
            <w:r>
              <w:rPr>
                <w:rFonts w:hint="eastAsia" w:ascii="宋体" w:hAnsi="宋体" w:eastAsia="宋体" w:cs="宋体"/>
                <w:b/>
                <w:bCs/>
                <w:color w:val="000000" w:themeColor="text1"/>
                <w:kern w:val="2"/>
                <w:sz w:val="24"/>
                <w:szCs w:val="24"/>
                <w:highlight w:val="none"/>
                <w:shd w:val="clear" w:fill="FFFFFF"/>
                <w:lang w:val="en-US" w:eastAsia="zh-CN" w:bidi="ar"/>
                <w14:textFill>
                  <w14:solidFill>
                    <w14:schemeClr w14:val="tx1"/>
                  </w14:solidFill>
                </w14:textFill>
              </w:rPr>
              <w:t>岩土专业负责人</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的职称证（如有）、注册证（如有）、投标截止时间前1个月（指202</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5</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年</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10</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月）</w:t>
            </w:r>
            <w:r>
              <w:rPr>
                <w:rFonts w:hint="eastAsia" w:ascii="宋体" w:hAnsi="宋体" w:eastAsia="宋体" w:cs="宋体"/>
                <w:b w:val="0"/>
                <w:bCs w:val="0"/>
                <w:color w:val="000000" w:themeColor="text1"/>
                <w:kern w:val="0"/>
                <w:sz w:val="24"/>
                <w:szCs w:val="24"/>
                <w:highlight w:val="none"/>
                <w:u w:val="none"/>
                <w:shd w:val="clear" w:color="auto" w:fill="FFFFFF"/>
                <w:vertAlign w:val="baseline"/>
                <w:lang w:val="en-US" w:eastAsia="zh-CN" w:bidi="ar-SA"/>
                <w14:textFill>
                  <w14:solidFill>
                    <w14:schemeClr w14:val="tx1"/>
                  </w14:solidFill>
                </w14:textFill>
              </w:rPr>
              <w:t>在投标单位购买社保缴纳证明材料；如为退休人员，应提供退休证明及单位聘用证明文件扫描件；</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如</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为</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高校从事工程</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勘察</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设计的人员社保缴纳单位与投标单位不一致的，除</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需</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提供社保</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缴纳</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证明</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材料</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扫描件，还需提供岗位所在单位上级人事主管部门出具的人员为本校事业编制人员并在该企业工作</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但</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社保由高校统一缴纳的人事关系证明</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文件</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扫描件。</w:t>
            </w:r>
          </w:p>
          <w:p w14:paraId="140DBBCF">
            <w:pPr>
              <w:pStyle w:val="13"/>
              <w:keepNext w:val="0"/>
              <w:keepLines w:val="0"/>
              <w:widowControl w:val="0"/>
              <w:suppressLineNumbers w:val="0"/>
              <w:spacing w:beforeAutospacing="0" w:afterAutospacing="0" w:line="360" w:lineRule="auto"/>
              <w:jc w:val="both"/>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pP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2</w:t>
            </w:r>
            <w:r>
              <w:rPr>
                <w:rFonts w:hint="eastAsia" w:ascii="宋体" w:hAnsi="宋体" w:eastAsia="宋体" w:cs="宋体"/>
                <w:b/>
                <w:bCs/>
                <w:color w:val="000000" w:themeColor="text1"/>
                <w:kern w:val="2"/>
                <w:sz w:val="24"/>
                <w:szCs w:val="24"/>
                <w:highlight w:val="none"/>
                <w:u w:val="none"/>
                <w:shd w:val="clear" w:color="auto" w:fill="FFFFFF"/>
                <w:lang w:bidi="ar"/>
                <w14:textFill>
                  <w14:solidFill>
                    <w14:schemeClr w14:val="tx1"/>
                  </w14:solidFill>
                </w14:textFill>
              </w:rPr>
              <w:t>、人员类似业绩</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指投标人拟派</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项目负责人、结构专业负责人、建筑专业负责人</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自</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2</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020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年1月1日至投标截止时间止，作为团队人员完成过的总投资≥</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30000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万元的房屋建筑工程设计业绩</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，投标人自行选择提供1个符合本项目具体特点</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（具体特点为公共建筑类）</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有代表性业绩，</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需同时提供①合同关键页、②初步设计批复或施工图审查合格书作为业绩证明文件，业绩时间以初步设计批复或施工图审查合格书时间为准。如果前述文件未能证明拟派人员的名字，必须另行提供经合同委托方（甲方）盖章确认的有效证明文件。投标单位需提供能证明项目总投资的证明文件扫描件，加盖投标人电子印章。</w:t>
            </w:r>
            <w:r>
              <w:rPr>
                <w:rFonts w:hint="eastAsia" w:ascii="宋体" w:hAnsi="宋体" w:cs="宋体"/>
                <w:b/>
                <w:bCs/>
                <w:color w:val="000000" w:themeColor="text1"/>
                <w:szCs w:val="24"/>
                <w:highlight w:val="none"/>
                <w:u w:val="none"/>
                <w:lang w:val="en-US" w:eastAsia="zh-CN"/>
                <w14:textFill>
                  <w14:solidFill>
                    <w14:schemeClr w14:val="tx1"/>
                  </w14:solidFill>
                </w14:textFill>
              </w:rPr>
              <w:t>合同关键页中列明项目总投资的，可作为项目总投资证明文件。总投资证明文件可以是项目建议书批文或可行性研究报告批文或企业投资项目备案证或其他总投资证明资料。</w:t>
            </w:r>
          </w:p>
          <w:p w14:paraId="5CB29FD7">
            <w:pPr>
              <w:pStyle w:val="13"/>
              <w:keepNext w:val="0"/>
              <w:keepLines w:val="0"/>
              <w:widowControl w:val="0"/>
              <w:suppressLineNumbers w:val="0"/>
              <w:spacing w:beforeAutospacing="0" w:afterAutospacing="0" w:line="360" w:lineRule="auto"/>
              <w:ind w:left="0" w:leftChars="0" w:right="0" w:rightChars="0"/>
              <w:jc w:val="both"/>
              <w:rPr>
                <w:rFonts w:hint="eastAsia" w:cs="宋体"/>
                <w:color w:val="000000" w:themeColor="text1"/>
                <w:kern w:val="2"/>
                <w:sz w:val="24"/>
                <w:szCs w:val="24"/>
                <w:highlight w:val="none"/>
                <w:u w:val="none"/>
                <w:shd w:val="clear" w:color="auto" w:fill="FFFFFF"/>
                <w:lang w:bidi="ar"/>
                <w14:textFill>
                  <w14:solidFill>
                    <w14:schemeClr w14:val="tx1"/>
                  </w14:solidFill>
                </w14:textFill>
              </w:rPr>
            </w:pP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3</w:t>
            </w:r>
            <w:r>
              <w:rPr>
                <w:rFonts w:hint="default" w:cs="宋体"/>
                <w:b/>
                <w:bCs/>
                <w:color w:val="000000" w:themeColor="text1"/>
                <w:kern w:val="2"/>
                <w:sz w:val="24"/>
                <w:szCs w:val="24"/>
                <w:highlight w:val="none"/>
                <w:u w:val="none"/>
                <w:shd w:val="clear" w:color="auto" w:fill="FFFFFF"/>
                <w:lang w:bidi="ar"/>
                <w14:textFill>
                  <w14:solidFill>
                    <w14:schemeClr w14:val="tx1"/>
                  </w14:solidFill>
                </w14:textFill>
              </w:rPr>
              <w:t>、人员</w:t>
            </w: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奖项</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指</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投标人拟派</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项目负责人、结构专业负责人、建筑专业负责人</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参与过的房屋建筑工程设计项目，</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自2020年1月1日至投标截止时间止获得符合本项目具体特点（具体特点为公共建筑类）的市级或以上设计奖项；需提供获奖证书扫描件，加盖投标人电子印章；如果获奖证书未能证明拟派人员名字的，另需提供能证明拟派人员的合同关键页或初步设计批复或施工图审查合格书或经合同委托方（甲方）盖章确认的有效证明文件。</w:t>
            </w:r>
          </w:p>
          <w:p w14:paraId="1CF41E85">
            <w:pPr>
              <w:pStyle w:val="13"/>
              <w:keepNext w:val="0"/>
              <w:keepLines w:val="0"/>
              <w:widowControl w:val="0"/>
              <w:suppressLineNumbers w:val="0"/>
              <w:spacing w:beforeAutospacing="0" w:afterAutospacing="0" w:line="360" w:lineRule="auto"/>
              <w:ind w:left="0" w:leftChars="0" w:right="0" w:rightChars="0"/>
              <w:jc w:val="both"/>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vertAlign w:val="baseline"/>
                <w:lang w:bidi="ar-SA"/>
                <w14:textFill>
                  <w14:solidFill>
                    <w14:schemeClr w14:val="tx1"/>
                  </w14:solidFill>
                </w14:textFill>
              </w:rPr>
              <w:t>国家级设计奖项包括由国务院颁发的国家科学技术奖、由住建部颁发的全国优秀工程勘察设计奖、住建部的华夏建设科学技术奖励委员会颁发的华夏建设科学技术奖、中国勘察设计协会颁发的全国优秀工程勘察设计行业奖或工程勘察、建筑设计行业和市政公用工程优秀勘察设计奖（简称“行业优秀勘察设计奖”）；省级设计奖项包括省级（或直辖市、自治区）人民政府颁发的省（或直辖市、自治区）科学技术奖、省级（或直辖市、自治区）建设行政主管部门及省级（或直辖市、自治区）工程勘察设计行业协会颁发的省级（或直辖市、自治区）优秀勘察设计奖；市级设计奖项包括市级建设行</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政主管部门或市级(含副省级)工程勘察设计行业协会颁发的</w:t>
            </w:r>
            <w:r>
              <w:rPr>
                <w:rFonts w:hint="eastAsia" w:ascii="宋体" w:hAnsi="宋体" w:eastAsia="宋体" w:cs="宋体"/>
                <w:b/>
                <w:bCs/>
                <w:color w:val="000000" w:themeColor="text1"/>
                <w:kern w:val="0"/>
                <w:sz w:val="24"/>
                <w:szCs w:val="24"/>
                <w:highlight w:val="none"/>
                <w:u w:val="none"/>
                <w:shd w:val="clear" w:color="auto" w:fill="FFFFFF"/>
                <w:vertAlign w:val="baseline"/>
                <w14:textFill>
                  <w14:solidFill>
                    <w14:schemeClr w14:val="tx1"/>
                  </w14:solidFill>
                </w14:textFill>
              </w:rPr>
              <w:t>优秀工程勘察设计奖</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、市级人民政府颁发的</w:t>
            </w:r>
            <w:r>
              <w:rPr>
                <w:rFonts w:hint="eastAsia" w:ascii="宋体" w:hAnsi="宋体" w:eastAsia="宋体" w:cs="宋体"/>
                <w:b/>
                <w:bCs/>
                <w:color w:val="000000" w:themeColor="text1"/>
                <w:kern w:val="0"/>
                <w:sz w:val="24"/>
                <w:szCs w:val="24"/>
                <w:highlight w:val="none"/>
                <w:u w:val="none"/>
                <w:shd w:val="clear" w:color="auto" w:fill="FFFFFF"/>
                <w:vertAlign w:val="baseline"/>
                <w14:textFill>
                  <w14:solidFill>
                    <w14:schemeClr w14:val="tx1"/>
                  </w14:solidFill>
                </w14:textFill>
              </w:rPr>
              <w:t>市科学技术奖</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。如颁发单位为行业协会的，还须提供该协会在“全国社会组织信用信息公示平台”</w:t>
            </w:r>
            <w:r>
              <w:rPr>
                <w:rFonts w:hint="eastAsia" w:ascii="宋体" w:hAnsi="宋体" w:eastAsia="宋体" w:cs="宋体"/>
                <w:color w:val="000000" w:themeColor="text1"/>
                <w:kern w:val="0"/>
                <w:sz w:val="24"/>
                <w:szCs w:val="24"/>
                <w:highlight w:val="none"/>
                <w:u w:val="none"/>
                <w:shd w:val="clear" w:color="auto" w:fill="FFFFFF"/>
                <w:vertAlign w:val="baseline"/>
                <w:lang w:val="en-US" w:eastAsia="zh-CN"/>
                <w14:textFill>
                  <w14:solidFill>
                    <w14:schemeClr w14:val="tx1"/>
                  </w14:solidFill>
                </w14:textFill>
              </w:rPr>
              <w:t>已</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登记备案的查询信息截图页（网址：</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instrText xml:space="preserve"> HYPERLINK "https://xxgs.chinanpo.mca.gov.cn/gsxt/newList），奖项时间以获奖证书发证日期为准。" </w:instrTex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separate"/>
            </w:r>
            <w:r>
              <w:rPr>
                <w:rStyle w:val="17"/>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https://xxgs.chinanpo.mca.gov.cn/gsxt/newList），奖项时间以获奖证书发证日期为准。</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end"/>
            </w:r>
          </w:p>
          <w:p w14:paraId="1ECF8FA8">
            <w:pPr>
              <w:pStyle w:val="13"/>
              <w:keepNext w:val="0"/>
              <w:keepLines w:val="0"/>
              <w:widowControl w:val="0"/>
              <w:suppressLineNumbers w:val="0"/>
              <w:spacing w:beforeAutospacing="0" w:afterAutospacing="0" w:line="360" w:lineRule="auto"/>
              <w:jc w:val="both"/>
              <w:rPr>
                <w:rFonts w:hint="default" w:cs="宋体"/>
                <w:color w:val="000000" w:themeColor="text1"/>
                <w:sz w:val="24"/>
                <w:szCs w:val="24"/>
                <w:highlight w:val="none"/>
                <w:u w:val="none"/>
                <w:shd w:val="clear" w:color="auto" w:fill="FFFFFF"/>
                <w14:textFill>
                  <w14:solidFill>
                    <w14:schemeClr w14:val="tx1"/>
                  </w14:solidFill>
                </w14:textFill>
              </w:rPr>
            </w:pP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二、</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对</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投标人拟投入本项目造价团队或拟分包单位的造价咨询团队</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项目负责人、各</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造价</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专业负责人主要岗位人员的从业能力、业绩等方面进行评审。</w:t>
            </w:r>
          </w:p>
          <w:p w14:paraId="5845F07C">
            <w:pPr>
              <w:keepNext w:val="0"/>
              <w:keepLines w:val="0"/>
              <w:widowControl w:val="0"/>
              <w:suppressLineNumbers w:val="0"/>
              <w:spacing w:beforeAutospacing="0" w:afterAutospacing="0" w:line="360" w:lineRule="auto"/>
              <w:jc w:val="both"/>
              <w:rPr>
                <w:rFonts w:hint="default" w:cs="宋体"/>
                <w:b w:val="0"/>
                <w:bCs w:val="0"/>
                <w:color w:val="000000" w:themeColor="text1"/>
                <w:sz w:val="24"/>
                <w:szCs w:val="24"/>
                <w:highlight w:val="none"/>
                <w:u w:val="none"/>
                <w:shd w:val="clear" w:color="auto" w:fill="FFFFFF"/>
                <w14:textFill>
                  <w14:solidFill>
                    <w14:schemeClr w14:val="tx1"/>
                  </w14:solidFill>
                </w14:textFill>
              </w:rPr>
            </w:pP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1</w:t>
            </w:r>
            <w:r>
              <w:rPr>
                <w:rFonts w:hint="default" w:cs="宋体"/>
                <w:b/>
                <w:bCs/>
                <w:color w:val="000000" w:themeColor="text1"/>
                <w:kern w:val="2"/>
                <w:sz w:val="24"/>
                <w:szCs w:val="24"/>
                <w:highlight w:val="none"/>
                <w:u w:val="none"/>
                <w:shd w:val="clear" w:color="auto" w:fill="FFFFFF"/>
                <w:lang w:bidi="ar"/>
                <w14:textFill>
                  <w14:solidFill>
                    <w14:schemeClr w14:val="tx1"/>
                  </w14:solidFill>
                </w14:textFill>
              </w:rPr>
              <w:t>、</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需提供拟派</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造价</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项目负责人、</w:t>
            </w: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造价土建</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专业负责人、</w:t>
            </w: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造价安装</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专业负责人</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的职称证（如有）、注册证、投标截止时间前1个月（指202</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5</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年</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10</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月）</w:t>
            </w:r>
            <w:r>
              <w:rPr>
                <w:rFonts w:hint="eastAsia" w:ascii="宋体" w:hAnsi="宋体" w:eastAsia="宋体" w:cs="宋体"/>
                <w:b w:val="0"/>
                <w:bCs w:val="0"/>
                <w:color w:val="000000" w:themeColor="text1"/>
                <w:kern w:val="0"/>
                <w:sz w:val="24"/>
                <w:szCs w:val="24"/>
                <w:highlight w:val="none"/>
                <w:u w:val="none"/>
                <w:shd w:val="clear" w:color="auto" w:fill="FFFFFF"/>
                <w:vertAlign w:val="baseline"/>
                <w:lang w:val="en-US" w:eastAsia="zh-CN" w:bidi="ar-SA"/>
                <w14:textFill>
                  <w14:solidFill>
                    <w14:schemeClr w14:val="tx1"/>
                  </w14:solidFill>
                </w14:textFill>
              </w:rPr>
              <w:t>在投标单位购买社保缴纳证明材料；</w:t>
            </w:r>
            <w:r>
              <w:rPr>
                <w:rFonts w:hint="eastAsia" w:cs="宋体"/>
                <w:color w:val="000000" w:themeColor="text1"/>
                <w:szCs w:val="21"/>
                <w:highlight w:val="none"/>
                <w:lang w:val="en-US" w:eastAsia="zh-CN" w:bidi="ar"/>
                <w14:textFill>
                  <w14:solidFill>
                    <w14:schemeClr w14:val="tx1"/>
                  </w14:solidFill>
                </w14:textFill>
              </w:rPr>
              <w:t>如为分包的则提供</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投标截止时间前1个月（指202</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5</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年</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10</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月）</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在</w:t>
            </w:r>
            <w:r>
              <w:rPr>
                <w:rFonts w:hint="eastAsia" w:cs="宋体"/>
                <w:color w:val="000000" w:themeColor="text1"/>
                <w:szCs w:val="21"/>
                <w:highlight w:val="none"/>
                <w:lang w:val="en-US" w:eastAsia="zh-CN" w:bidi="ar"/>
                <w14:textFill>
                  <w14:solidFill>
                    <w14:schemeClr w14:val="tx1"/>
                  </w14:solidFill>
                </w14:textFill>
              </w:rPr>
              <w:t>分包单位的社保证明；</w:t>
            </w:r>
            <w:r>
              <w:rPr>
                <w:rFonts w:hint="eastAsia" w:ascii="宋体" w:hAnsi="宋体" w:eastAsia="宋体" w:cs="宋体"/>
                <w:b w:val="0"/>
                <w:bCs w:val="0"/>
                <w:color w:val="000000" w:themeColor="text1"/>
                <w:kern w:val="0"/>
                <w:sz w:val="24"/>
                <w:szCs w:val="24"/>
                <w:highlight w:val="none"/>
                <w:u w:val="none"/>
                <w:shd w:val="clear" w:color="auto" w:fill="FFFFFF"/>
                <w:vertAlign w:val="baseline"/>
                <w:lang w:val="en-US" w:eastAsia="zh-CN" w:bidi="ar-SA"/>
                <w14:textFill>
                  <w14:solidFill>
                    <w14:schemeClr w14:val="tx1"/>
                  </w14:solidFill>
                </w14:textFill>
              </w:rPr>
              <w:t>如为退休人员，应提供退休证明及单位聘用证明文件扫描件；</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如</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为</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高校从事工程</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勘察</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设计的人员社保缴纳单位与投标单位不一致的，除</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需</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提供社保</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缴纳</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证明</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材料</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扫描件，还需提供岗位所在单位上级人事主管部门出具的人员为本校事业编制人员并在该企业工作</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但</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社保由高校统一缴纳的人事关系证明</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文件</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扫描件。</w:t>
            </w:r>
          </w:p>
          <w:p w14:paraId="5BFA5F32">
            <w:pPr>
              <w:pStyle w:val="13"/>
              <w:keepNext w:val="0"/>
              <w:keepLines w:val="0"/>
              <w:widowControl w:val="0"/>
              <w:suppressLineNumbers w:val="0"/>
              <w:spacing w:beforeAutospacing="0" w:afterAutospacing="0" w:line="360" w:lineRule="auto"/>
              <w:jc w:val="both"/>
              <w:rPr>
                <w:rFonts w:hint="eastAsia" w:ascii="宋体" w:hAnsi="宋体" w:cs="宋体"/>
                <w:b/>
                <w:bCs/>
                <w:color w:val="000000" w:themeColor="text1"/>
                <w:szCs w:val="24"/>
                <w:highlight w:val="none"/>
                <w:u w:val="none"/>
                <w:lang w:val="en-US" w:eastAsia="zh-CN"/>
                <w14:textFill>
                  <w14:solidFill>
                    <w14:schemeClr w14:val="tx1"/>
                  </w14:solidFill>
                </w14:textFill>
              </w:rPr>
            </w:pP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2</w:t>
            </w:r>
            <w:r>
              <w:rPr>
                <w:rFonts w:hint="eastAsia" w:ascii="宋体" w:hAnsi="宋体" w:eastAsia="宋体" w:cs="宋体"/>
                <w:b/>
                <w:bCs/>
                <w:color w:val="000000" w:themeColor="text1"/>
                <w:kern w:val="2"/>
                <w:sz w:val="24"/>
                <w:szCs w:val="24"/>
                <w:highlight w:val="none"/>
                <w:u w:val="none"/>
                <w:shd w:val="clear" w:color="auto" w:fill="FFFFFF"/>
                <w:lang w:bidi="ar"/>
                <w14:textFill>
                  <w14:solidFill>
                    <w14:schemeClr w14:val="tx1"/>
                  </w14:solidFill>
                </w14:textFill>
              </w:rPr>
              <w:t>、人员类似业绩</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指拟派</w:t>
            </w: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造价</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项目负责人</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自</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2</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020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年1月1日至投标截止时间止，作为团队人员完成过的总投资≥</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30000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万元的</w:t>
            </w:r>
            <w:r>
              <w:rPr>
                <w:rFonts w:hint="eastAsia" w:ascii="宋体" w:hAnsi="宋体" w:cs="宋体"/>
                <w:color w:val="000000" w:themeColor="text1"/>
                <w:szCs w:val="21"/>
                <w:highlight w:val="none"/>
                <w:lang w:bidi="ar"/>
                <w14:textFill>
                  <w14:solidFill>
                    <w14:schemeClr w14:val="tx1"/>
                  </w14:solidFill>
                </w14:textFill>
              </w:rPr>
              <w:t>房屋建筑工程类</w:t>
            </w:r>
            <w:r>
              <w:rPr>
                <w:rFonts w:hint="default" w:ascii="宋体" w:hAnsi="宋体" w:cs="宋体"/>
                <w:color w:val="000000" w:themeColor="text1"/>
                <w:szCs w:val="21"/>
                <w:highlight w:val="none"/>
                <w:lang w:bidi="ar"/>
                <w14:textFill>
                  <w14:solidFill>
                    <w14:schemeClr w14:val="tx1"/>
                  </w14:solidFill>
                </w14:textFill>
              </w:rPr>
              <w:t>造价咨询服务</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业绩</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，投标人自行选择提供1个符合本项目具体特点</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（具体特点为公共建筑类）</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有代表性业绩</w:t>
            </w:r>
            <w:r>
              <w:rPr>
                <w:rFonts w:hint="eastAsia" w:ascii="宋体" w:hAnsi="宋体" w:cs="宋体"/>
                <w:b/>
                <w:bCs/>
                <w:color w:val="000000" w:themeColor="text1"/>
                <w:szCs w:val="24"/>
                <w:highlight w:val="none"/>
                <w:u w:val="none"/>
                <w:lang w:val="en-US" w:eastAsia="zh-CN"/>
                <w14:textFill>
                  <w14:solidFill>
                    <w14:schemeClr w14:val="tx1"/>
                  </w14:solidFill>
                </w14:textFill>
              </w:rPr>
              <w:t>。</w:t>
            </w:r>
          </w:p>
          <w:p w14:paraId="6FD4F0F3">
            <w:pPr>
              <w:keepNext w:val="0"/>
              <w:keepLines w:val="0"/>
              <w:suppressLineNumbers w:val="0"/>
              <w:spacing w:before="0" w:beforeAutospacing="0" w:after="0" w:afterAutospacing="0" w:line="400" w:lineRule="exact"/>
              <w:ind w:left="0" w:right="0"/>
              <w:rPr>
                <w:rFonts w:hint="eastAsia" w:ascii="宋体" w:hAnsi="宋体" w:cs="宋体"/>
                <w:color w:val="000000" w:themeColor="text1"/>
                <w:szCs w:val="21"/>
                <w:highlight w:val="none"/>
                <w:lang w:bidi="ar"/>
                <w14:textFill>
                  <w14:solidFill>
                    <w14:schemeClr w14:val="tx1"/>
                  </w14:solidFill>
                </w14:textFill>
              </w:rPr>
            </w:pPr>
            <w:r>
              <w:rPr>
                <w:rFonts w:hint="eastAsia" w:cs="宋体"/>
                <w:b/>
                <w:bCs/>
                <w:color w:val="000000" w:themeColor="text1"/>
                <w:szCs w:val="24"/>
                <w:highlight w:val="none"/>
                <w:u w:val="none"/>
                <w:lang w:val="en-US" w:eastAsia="zh-CN"/>
                <w14:textFill>
                  <w14:solidFill>
                    <w14:schemeClr w14:val="tx1"/>
                  </w14:solidFill>
                </w14:textFill>
              </w:rPr>
              <w:t>注：</w:t>
            </w:r>
            <w:r>
              <w:rPr>
                <w:rFonts w:hint="eastAsia" w:ascii="宋体" w:hAnsi="宋体" w:cs="宋体"/>
                <w:color w:val="000000" w:themeColor="text1"/>
                <w:szCs w:val="21"/>
                <w:highlight w:val="none"/>
                <w:lang w:bidi="ar"/>
                <w14:textFill>
                  <w14:solidFill>
                    <w14:schemeClr w14:val="tx1"/>
                  </w14:solidFill>
                </w14:textFill>
              </w:rPr>
              <w:t>①</w:t>
            </w:r>
            <w:r>
              <w:rPr>
                <w:rFonts w:hint="default" w:ascii="宋体" w:hAnsi="宋体" w:cs="宋体"/>
                <w:color w:val="000000" w:themeColor="text1"/>
                <w:szCs w:val="21"/>
                <w:highlight w:val="none"/>
                <w:lang w:bidi="ar"/>
                <w14:textFill>
                  <w14:solidFill>
                    <w14:schemeClr w14:val="tx1"/>
                  </w14:solidFill>
                </w14:textFill>
              </w:rPr>
              <w:t>造价咨询服务业绩</w:t>
            </w:r>
            <w:r>
              <w:rPr>
                <w:rFonts w:hint="eastAsia" w:ascii="宋体" w:hAnsi="宋体" w:cs="宋体"/>
                <w:color w:val="000000" w:themeColor="text1"/>
                <w:szCs w:val="21"/>
                <w:highlight w:val="none"/>
                <w:lang w:bidi="ar"/>
                <w14:textFill>
                  <w14:solidFill>
                    <w14:schemeClr w14:val="tx1"/>
                  </w14:solidFill>
                </w14:textFill>
              </w:rPr>
              <w:t>指造价咨询服务内容</w:t>
            </w:r>
            <w:r>
              <w:rPr>
                <w:rFonts w:hint="default" w:ascii="宋体" w:hAnsi="宋体" w:cs="宋体"/>
                <w:color w:val="000000" w:themeColor="text1"/>
                <w:szCs w:val="21"/>
                <w:highlight w:val="none"/>
                <w:lang w:bidi="ar"/>
                <w14:textFill>
                  <w14:solidFill>
                    <w14:schemeClr w14:val="tx1"/>
                  </w14:solidFill>
                </w14:textFill>
              </w:rPr>
              <w:t>或设计服务内容</w:t>
            </w:r>
            <w:r>
              <w:rPr>
                <w:rFonts w:hint="eastAsia" w:ascii="宋体" w:hAnsi="宋体" w:cs="宋体"/>
                <w:color w:val="000000" w:themeColor="text1"/>
                <w:szCs w:val="21"/>
                <w:highlight w:val="none"/>
                <w:lang w:bidi="ar"/>
                <w14:textFill>
                  <w14:solidFill>
                    <w14:schemeClr w14:val="tx1"/>
                  </w14:solidFill>
                </w14:textFill>
              </w:rPr>
              <w:t>至少包括估算阶段、概算阶段、施工图预算阶段、招标阶段（或发承包阶段）、</w:t>
            </w:r>
            <w:r>
              <w:rPr>
                <w:rFonts w:hint="eastAsia" w:ascii="宋体" w:hAnsi="宋体" w:cs="宋体"/>
                <w:strike w:val="0"/>
                <w:dstrike w:val="0"/>
                <w:color w:val="000000" w:themeColor="text1"/>
                <w:szCs w:val="21"/>
                <w:highlight w:val="none"/>
                <w:lang w:bidi="ar"/>
                <w14:textFill>
                  <w14:solidFill>
                    <w14:schemeClr w14:val="tx1"/>
                  </w14:solidFill>
                </w14:textFill>
              </w:rPr>
              <w:t>施工阶段（或实施阶段）、结（决）算中</w:t>
            </w:r>
            <w:r>
              <w:rPr>
                <w:rFonts w:hint="eastAsia" w:ascii="宋体" w:hAnsi="宋体" w:cs="宋体"/>
                <w:color w:val="000000" w:themeColor="text1"/>
                <w:szCs w:val="21"/>
                <w:highlight w:val="none"/>
                <w:lang w:bidi="ar"/>
                <w14:textFill>
                  <w14:solidFill>
                    <w14:schemeClr w14:val="tx1"/>
                  </w14:solidFill>
                </w14:textFill>
              </w:rPr>
              <w:t>的</w:t>
            </w:r>
            <w:r>
              <w:rPr>
                <w:rFonts w:hint="eastAsia" w:ascii="宋体" w:hAnsi="宋体" w:cs="宋体"/>
                <w:color w:val="000000" w:themeColor="text1"/>
                <w:szCs w:val="21"/>
                <w:highlight w:val="none"/>
                <w:lang w:val="en-US" w:eastAsia="zh-CN" w:bidi="ar"/>
                <w14:textFill>
                  <w14:solidFill>
                    <w14:schemeClr w14:val="tx1"/>
                  </w14:solidFill>
                </w14:textFill>
              </w:rPr>
              <w:t>任一</w:t>
            </w:r>
            <w:r>
              <w:rPr>
                <w:rFonts w:hint="eastAsia" w:ascii="宋体" w:hAnsi="宋体" w:cs="宋体"/>
                <w:color w:val="000000" w:themeColor="text1"/>
                <w:szCs w:val="21"/>
                <w:highlight w:val="none"/>
                <w:lang w:bidi="ar"/>
                <w14:textFill>
                  <w14:solidFill>
                    <w14:schemeClr w14:val="tx1"/>
                  </w14:solidFill>
                </w14:textFill>
              </w:rPr>
              <w:t>个阶段，服务内容以合同列明工作内容为准(如服务内容与上述名称不同，但表达的意思一致也视为满足该项条件)。</w:t>
            </w:r>
          </w:p>
          <w:p w14:paraId="2145E9D5">
            <w:pPr>
              <w:keepNext w:val="0"/>
              <w:keepLines w:val="0"/>
              <w:widowControl w:val="0"/>
              <w:suppressLineNumbers w:val="0"/>
              <w:spacing w:before="0" w:beforeAutospacing="0" w:after="0" w:afterAutospacing="0" w:line="400" w:lineRule="exact"/>
              <w:ind w:left="0" w:right="0"/>
              <w:jc w:val="both"/>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②业绩证明材料需提供</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造价</w:t>
            </w:r>
            <w:r>
              <w:rPr>
                <w:rFonts w:hint="eastAsia" w:ascii="宋体" w:hAnsi="宋体" w:cs="宋体"/>
                <w:color w:val="000000" w:themeColor="text1"/>
                <w:szCs w:val="21"/>
                <w:highlight w:val="none"/>
                <w:lang w:bidi="ar"/>
                <w14:textFill>
                  <w14:solidFill>
                    <w14:schemeClr w14:val="tx1"/>
                  </w14:solidFill>
                </w14:textFill>
              </w:rPr>
              <w:t>咨询合同</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或设计合同</w:t>
            </w:r>
            <w:r>
              <w:rPr>
                <w:rFonts w:hint="eastAsia" w:ascii="宋体" w:hAnsi="宋体" w:cs="宋体"/>
                <w:color w:val="000000" w:themeColor="text1"/>
                <w:szCs w:val="21"/>
                <w:highlight w:val="none"/>
                <w:lang w:bidi="ar"/>
                <w14:textFill>
                  <w14:solidFill>
                    <w14:schemeClr w14:val="tx1"/>
                  </w14:solidFill>
                </w14:textFill>
              </w:rPr>
              <w:t>、中标通知书（如有），提供的业绩证明材料需能清晰反映投资规模</w:t>
            </w:r>
            <w:r>
              <w:rPr>
                <w:rFonts w:hint="default" w:ascii="宋体" w:hAnsi="宋体" w:cs="宋体"/>
                <w:color w:val="000000" w:themeColor="text1"/>
                <w:szCs w:val="21"/>
                <w:highlight w:val="none"/>
                <w:lang w:bidi="ar"/>
                <w14:textFill>
                  <w14:solidFill>
                    <w14:schemeClr w14:val="tx1"/>
                  </w14:solidFill>
                </w14:textFill>
              </w:rPr>
              <w:t>、服务内容</w:t>
            </w:r>
            <w:r>
              <w:rPr>
                <w:rFonts w:hint="eastAsia" w:ascii="宋体" w:hAnsi="宋体" w:cs="宋体"/>
                <w:color w:val="000000" w:themeColor="text1"/>
                <w:szCs w:val="21"/>
                <w:highlight w:val="none"/>
                <w:lang w:bidi="ar"/>
                <w14:textFill>
                  <w14:solidFill>
                    <w14:schemeClr w14:val="tx1"/>
                  </w14:solidFill>
                </w14:textFill>
              </w:rPr>
              <w:t>等有关特征和必要信息。否则还需提供咨询成果证明文件或委托人证明。咨询成果文件可以是服务内容中一项或多项成果文件，需提供经委托人确认的咨询报告或定案表或委托人出具的相关履约情况证明文件等</w:t>
            </w:r>
            <w:r>
              <w:rPr>
                <w:rFonts w:hint="eastAsia" w:ascii="宋体" w:hAnsi="宋体" w:cs="宋体"/>
                <w:color w:val="000000" w:themeColor="text1"/>
                <w:szCs w:val="21"/>
                <w:highlight w:val="none"/>
                <w:lang w:eastAsia="zh-CN" w:bidi="ar"/>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t>如果前述文件未能证明拟派人员的名字，必须另行提供经合同委托方（甲方）盖章确认的有效证明文件。</w:t>
            </w:r>
          </w:p>
          <w:p w14:paraId="35D84362">
            <w:pPr>
              <w:keepNext w:val="0"/>
              <w:keepLines w:val="0"/>
              <w:widowControl w:val="0"/>
              <w:suppressLineNumbers w:val="0"/>
              <w:spacing w:before="0" w:beforeAutospacing="0" w:after="0" w:afterAutospacing="0" w:line="400" w:lineRule="exact"/>
              <w:ind w:left="0" w:right="0"/>
              <w:jc w:val="both"/>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③业绩时间及工程投资总额均以造价咨询合同</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或设计合同</w:t>
            </w:r>
            <w:r>
              <w:rPr>
                <w:rFonts w:hint="eastAsia" w:ascii="宋体" w:hAnsi="宋体" w:cs="宋体"/>
                <w:color w:val="000000" w:themeColor="text1"/>
                <w:szCs w:val="21"/>
                <w:highlight w:val="none"/>
                <w:lang w:bidi="ar"/>
                <w14:textFill>
                  <w14:solidFill>
                    <w14:schemeClr w14:val="tx1"/>
                  </w14:solidFill>
                </w14:textFill>
              </w:rPr>
              <w:t>为准；如合同没有列明工程投资总额，则工程投资总额以咨询成果为准。</w:t>
            </w:r>
          </w:p>
          <w:p w14:paraId="675DBCDF">
            <w:pPr>
              <w:keepNext w:val="0"/>
              <w:keepLines w:val="0"/>
              <w:widowControl w:val="0"/>
              <w:suppressLineNumbers w:val="0"/>
              <w:spacing w:before="0" w:beforeAutospacing="0" w:after="0" w:afterAutospacing="0" w:line="400" w:lineRule="exact"/>
              <w:ind w:left="0" w:right="0"/>
              <w:jc w:val="both"/>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④同一咨询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或设计</w:t>
            </w:r>
            <w:r>
              <w:rPr>
                <w:rFonts w:hint="eastAsia" w:ascii="宋体" w:hAnsi="宋体" w:cs="宋体"/>
                <w:color w:val="000000" w:themeColor="text1"/>
                <w:szCs w:val="21"/>
                <w:highlight w:val="none"/>
                <w:lang w:bidi="ar"/>
                <w14:textFill>
                  <w14:solidFill>
                    <w14:schemeClr w14:val="tx1"/>
                  </w14:solidFill>
                </w14:textFill>
              </w:rPr>
              <w:t>合同（或同一中标通知书）如包含不同标段（或子项工程）的，工程投资额可以累加，但只作一项评审。</w:t>
            </w:r>
          </w:p>
          <w:p w14:paraId="0FDD8CF2">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
                <w14:textFill>
                  <w14:solidFill>
                    <w14:schemeClr w14:val="tx1"/>
                  </w14:solidFill>
                </w14:textFill>
              </w:rPr>
              <w:t>⑤造价咨询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或设计</w:t>
            </w:r>
            <w:r>
              <w:rPr>
                <w:rFonts w:hint="eastAsia" w:ascii="宋体" w:hAnsi="宋体" w:cs="宋体" w:eastAsiaTheme="minorEastAsia"/>
                <w:color w:val="000000" w:themeColor="text1"/>
                <w:kern w:val="2"/>
                <w:sz w:val="21"/>
                <w:szCs w:val="21"/>
                <w:highlight w:val="none"/>
                <w:lang w:val="en-US" w:eastAsia="zh-CN" w:bidi="ar"/>
                <w14:textFill>
                  <w14:solidFill>
                    <w14:schemeClr w14:val="tx1"/>
                  </w14:solidFill>
                </w14:textFill>
              </w:rPr>
              <w:t>合同的委托人必须是项目的建设方或政府部门，建设方可以为建设项目的投资人或项目建设管理单位，即造价咨询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或设计</w:t>
            </w:r>
            <w:r>
              <w:rPr>
                <w:rFonts w:hint="eastAsia" w:ascii="宋体" w:hAnsi="宋体" w:cs="宋体" w:eastAsiaTheme="minorEastAsia"/>
                <w:color w:val="000000" w:themeColor="text1"/>
                <w:kern w:val="2"/>
                <w:sz w:val="21"/>
                <w:szCs w:val="21"/>
                <w:highlight w:val="none"/>
                <w:lang w:val="en-US" w:eastAsia="zh-CN" w:bidi="ar"/>
                <w14:textFill>
                  <w14:solidFill>
                    <w14:schemeClr w14:val="tx1"/>
                  </w14:solidFill>
                </w14:textFill>
              </w:rPr>
              <w:t>合同所对应工程施工合同的发包方。</w:t>
            </w:r>
          </w:p>
        </w:tc>
      </w:tr>
      <w:tr w14:paraId="7C91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56D4436E">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4</w:t>
            </w:r>
          </w:p>
        </w:tc>
        <w:tc>
          <w:tcPr>
            <w:tcW w:w="1359" w:type="dxa"/>
            <w:shd w:val="clear" w:color="auto" w:fill="auto"/>
            <w:vAlign w:val="center"/>
          </w:tcPr>
          <w:p w14:paraId="3BB4B1C1">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业绩因素</w:t>
            </w:r>
          </w:p>
        </w:tc>
        <w:tc>
          <w:tcPr>
            <w:tcW w:w="6681" w:type="dxa"/>
            <w:shd w:val="clear" w:color="auto" w:fill="auto"/>
            <w:vAlign w:val="center"/>
          </w:tcPr>
          <w:p w14:paraId="7BD83DF3">
            <w:pPr>
              <w:pStyle w:val="13"/>
              <w:keepNext w:val="0"/>
              <w:keepLines w:val="0"/>
              <w:widowControl w:val="0"/>
              <w:suppressLineNumbers w:val="0"/>
              <w:spacing w:beforeAutospacing="0" w:afterAutospacing="0" w:line="360" w:lineRule="auto"/>
              <w:jc w:val="left"/>
              <w:rPr>
                <w:rFonts w:hint="default" w:cs="宋体"/>
                <w:color w:val="000000" w:themeColor="text1"/>
                <w:sz w:val="24"/>
                <w:szCs w:val="24"/>
                <w:highlight w:val="none"/>
                <w:u w:val="none"/>
                <w:shd w:val="clear" w:color="auto" w:fill="FFFFFF"/>
                <w14:textFill>
                  <w14:solidFill>
                    <w14:schemeClr w14:val="tx1"/>
                  </w14:solidFill>
                </w14:textFill>
              </w:rPr>
            </w:pPr>
            <w:r>
              <w:rPr>
                <w:rFonts w:hint="default" w:cs="宋体"/>
                <w:color w:val="000000" w:themeColor="text1"/>
                <w:kern w:val="2"/>
                <w:sz w:val="24"/>
                <w:szCs w:val="24"/>
                <w:highlight w:val="none"/>
                <w:u w:val="none"/>
                <w:shd w:val="clear" w:color="auto" w:fill="FFFFFF"/>
                <w:lang w:bidi="ar"/>
                <w14:textFill>
                  <w14:solidFill>
                    <w14:schemeClr w14:val="tx1"/>
                  </w14:solidFill>
                </w14:textFill>
              </w:rPr>
              <w:t>对合格的中标候选人</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完成过的业绩经验、奖项等进行评审。</w:t>
            </w:r>
          </w:p>
          <w:p w14:paraId="77E20A8D">
            <w:pPr>
              <w:pStyle w:val="13"/>
              <w:keepNext w:val="0"/>
              <w:keepLines w:val="0"/>
              <w:widowControl w:val="0"/>
              <w:suppressLineNumbers w:val="0"/>
              <w:spacing w:beforeAutospacing="0" w:afterAutospacing="0" w:line="360" w:lineRule="auto"/>
              <w:jc w:val="left"/>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pPr>
            <w:r>
              <w:rPr>
                <w:rFonts w:hint="eastAsia" w:ascii="宋体" w:hAnsi="宋体" w:eastAsia="宋体" w:cs="宋体"/>
                <w:b/>
                <w:bCs/>
                <w:color w:val="000000" w:themeColor="text1"/>
                <w:kern w:val="2"/>
                <w:sz w:val="24"/>
                <w:szCs w:val="24"/>
                <w:highlight w:val="none"/>
                <w:u w:val="none"/>
                <w:shd w:val="clear" w:color="auto" w:fill="FFFFFF"/>
                <w:lang w:bidi="ar"/>
                <w14:textFill>
                  <w14:solidFill>
                    <w14:schemeClr w14:val="tx1"/>
                  </w14:solidFill>
                </w14:textFill>
              </w:rPr>
              <w:t>1、企业类似业绩</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指投标人自</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2020年1月1日</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至投标截止时间止，承担过的总投资≥</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30000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万元的房屋建筑工程设计业绩</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投标人自行选择提供</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个符合本项目具体特点</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（具体特点为公共建筑类）</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有代表性业绩，需同时提供①合同关键页、②初步设计批复或施工图审查合格书作为业绩证明文件，业绩时间以初步设计批复或施工图审查合格书时间为准</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投标单位需提供能证明项目总投资的证明文件扫描件，加盖投标人电子印章。合同关键页中列明项目总投资的，可作为项目总投资证明文件。总投资证明文件可以是项目建议书批文或可行性研究报告批文或企业投资项目备案证或其他总投资证明资料。</w:t>
            </w:r>
          </w:p>
          <w:p w14:paraId="13BD5636">
            <w:pPr>
              <w:pStyle w:val="13"/>
              <w:keepNext w:val="0"/>
              <w:keepLines w:val="0"/>
              <w:widowControl w:val="0"/>
              <w:suppressLineNumbers w:val="0"/>
              <w:spacing w:beforeAutospacing="0" w:afterAutospacing="0" w:line="360" w:lineRule="auto"/>
              <w:jc w:val="left"/>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pPr>
            <w:r>
              <w:rPr>
                <w:rFonts w:hint="eastAsia" w:ascii="宋体" w:hAnsi="宋体" w:eastAsia="宋体" w:cs="宋体"/>
                <w:b/>
                <w:bCs/>
                <w:color w:val="000000" w:themeColor="text1"/>
                <w:kern w:val="2"/>
                <w:sz w:val="24"/>
                <w:szCs w:val="24"/>
                <w:highlight w:val="none"/>
                <w:u w:val="none"/>
                <w:shd w:val="clear" w:color="auto" w:fill="FFFFFF"/>
                <w:lang w:bidi="ar"/>
                <w14:textFill>
                  <w14:solidFill>
                    <w14:schemeClr w14:val="tx1"/>
                  </w14:solidFill>
                </w14:textFill>
              </w:rPr>
              <w:t>2、企业类似业绩获奖</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指投标人完成过的总投资≥</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30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000万元的房屋建筑工程设计业绩，自</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2020年1月1日</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至投标截止时间止获得市级（含副省级）或以上设计奖项；投标人自行选择符合本项目具体特点</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（具体特点为公共建筑类）</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有代表性的奖项提供。需同时提供①合同关键页、②获奖证书扫描件，上述文件均需加盖投标人电子印章。</w:t>
            </w:r>
          </w:p>
          <w:p w14:paraId="418E28CE">
            <w:pPr>
              <w:pStyle w:val="13"/>
              <w:keepNext w:val="0"/>
              <w:keepLines w:val="0"/>
              <w:widowControl w:val="0"/>
              <w:suppressLineNumbers w:val="0"/>
              <w:spacing w:beforeAutospacing="0" w:afterAutospacing="0" w:line="360" w:lineRule="auto"/>
              <w:jc w:val="left"/>
              <w:rPr>
                <w:rFonts w:hint="eastAsia" w:ascii="宋体" w:hAnsi="宋体"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投标单位需提供能证明项目总投资的证明文件扫描件，加盖投标人电子印章。合同关键页中列明项目总投资的，可作为项目总投资证明文件。总投资证明文件可以是项目建议书批文或可行性研究报告批文或企业投资项目备案证或其他总投资证明资料。</w:t>
            </w:r>
          </w:p>
          <w:p w14:paraId="2E3D678E">
            <w:pPr>
              <w:pStyle w:val="13"/>
              <w:keepNext w:val="0"/>
              <w:keepLines w:val="0"/>
              <w:widowControl w:val="0"/>
              <w:suppressLineNumbers w:val="0"/>
              <w:spacing w:beforeAutospacing="0" w:afterAutospacing="0" w:line="360" w:lineRule="auto"/>
              <w:ind w:left="0" w:leftChars="0" w:right="0" w:rightChars="0"/>
              <w:rPr>
                <w:rFonts w:hint="eastAsia" w:ascii="宋体" w:hAnsi="宋体" w:eastAsia="宋体" w:cs="宋体"/>
                <w:color w:val="000000" w:themeColor="text1"/>
                <w:kern w:val="0"/>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vertAlign w:val="baseline"/>
                <w:lang w:bidi="ar-SA"/>
                <w14:textFill>
                  <w14:solidFill>
                    <w14:schemeClr w14:val="tx1"/>
                  </w14:solidFill>
                </w14:textFill>
              </w:rPr>
              <w:t>国家级设计奖项包括由国务院颁发的国家科学技术奖、由住建部颁发的全国优秀工程勘察设计奖、住建部的华夏建设科学技术奖励委员会颁发的华夏建设科学技术奖、中国勘察设计协会颁发的</w:t>
            </w:r>
            <w:r>
              <w:rPr>
                <w:rFonts w:hint="eastAsia" w:ascii="宋体" w:hAnsi="宋体" w:eastAsia="宋体" w:cs="宋体"/>
                <w:color w:val="000000" w:themeColor="text1"/>
                <w:kern w:val="0"/>
                <w:sz w:val="24"/>
                <w:szCs w:val="24"/>
                <w:highlight w:val="none"/>
                <w:u w:val="single"/>
                <w:shd w:val="clear" w:color="auto" w:fill="FFFFFF"/>
                <w:vertAlign w:val="baseline"/>
                <w:lang w:bidi="ar-SA"/>
                <w14:textFill>
                  <w14:solidFill>
                    <w14:schemeClr w14:val="tx1"/>
                  </w14:solidFill>
                </w14:textFill>
              </w:rPr>
              <w:t>全国优秀工程勘察设计行业奖</w:t>
            </w:r>
            <w:r>
              <w:rPr>
                <w:rFonts w:hint="eastAsia" w:ascii="宋体" w:hAnsi="宋体" w:eastAsia="宋体" w:cs="宋体"/>
                <w:color w:val="000000" w:themeColor="text1"/>
                <w:kern w:val="0"/>
                <w:sz w:val="24"/>
                <w:szCs w:val="24"/>
                <w:highlight w:val="none"/>
                <w:u w:val="none"/>
                <w:shd w:val="clear" w:color="auto" w:fill="FFFFFF"/>
                <w:vertAlign w:val="baseline"/>
                <w:lang w:bidi="ar-SA"/>
                <w14:textFill>
                  <w14:solidFill>
                    <w14:schemeClr w14:val="tx1"/>
                  </w14:solidFill>
                </w14:textFill>
              </w:rPr>
              <w:t>或</w:t>
            </w:r>
            <w:r>
              <w:rPr>
                <w:rFonts w:hint="eastAsia" w:ascii="宋体" w:hAnsi="宋体" w:eastAsia="宋体" w:cs="宋体"/>
                <w:color w:val="000000" w:themeColor="text1"/>
                <w:kern w:val="0"/>
                <w:sz w:val="24"/>
                <w:szCs w:val="24"/>
                <w:highlight w:val="none"/>
                <w:u w:val="single"/>
                <w:shd w:val="clear" w:color="auto" w:fill="FFFFFF"/>
                <w:vertAlign w:val="baseline"/>
                <w:lang w:bidi="ar-SA"/>
                <w14:textFill>
                  <w14:solidFill>
                    <w14:schemeClr w14:val="tx1"/>
                  </w14:solidFill>
                </w14:textFill>
              </w:rPr>
              <w:t>工程勘察、建筑设计行业和市政公用工程优秀勘察设计奖</w:t>
            </w:r>
            <w:r>
              <w:rPr>
                <w:rFonts w:hint="eastAsia" w:ascii="宋体" w:hAnsi="宋体" w:eastAsia="宋体" w:cs="宋体"/>
                <w:color w:val="000000" w:themeColor="text1"/>
                <w:kern w:val="0"/>
                <w:sz w:val="24"/>
                <w:szCs w:val="24"/>
                <w:highlight w:val="none"/>
                <w:u w:val="none"/>
                <w:shd w:val="clear" w:color="auto" w:fill="FFFFFF"/>
                <w:vertAlign w:val="baseline"/>
                <w:lang w:bidi="ar-SA"/>
                <w14:textFill>
                  <w14:solidFill>
                    <w14:schemeClr w14:val="tx1"/>
                  </w14:solidFill>
                </w14:textFill>
              </w:rPr>
              <w:t>（简称“行业优秀勘察设计奖”）；省级设计奖项包括省级（或直辖市、自治区）人民政府颁发的省（或直辖市、自治区）科学技术奖、省级（或直辖市、自治区）建设行政主管部门及省级（或直辖市、自治区）工程勘察设计行业协会颁发的省级（或直辖市、自治区）优秀勘察设计奖；市级设计奖项包括市级建设行</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政主管部门或市级(含副省级)工程勘察设计行业协会颁发的</w:t>
            </w:r>
            <w:r>
              <w:rPr>
                <w:rFonts w:hint="eastAsia" w:ascii="宋体" w:hAnsi="宋体" w:eastAsia="宋体" w:cs="宋体"/>
                <w:b/>
                <w:bCs/>
                <w:color w:val="000000" w:themeColor="text1"/>
                <w:kern w:val="0"/>
                <w:sz w:val="24"/>
                <w:szCs w:val="24"/>
                <w:highlight w:val="none"/>
                <w:u w:val="single"/>
                <w:shd w:val="clear" w:color="auto" w:fill="FFFFFF"/>
                <w:vertAlign w:val="baseline"/>
                <w14:textFill>
                  <w14:solidFill>
                    <w14:schemeClr w14:val="tx1"/>
                  </w14:solidFill>
                </w14:textFill>
              </w:rPr>
              <w:t>优秀工程勘察设计奖</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、市级人民政府颁发的</w:t>
            </w:r>
            <w:r>
              <w:rPr>
                <w:rFonts w:hint="eastAsia" w:ascii="宋体" w:hAnsi="宋体" w:eastAsia="宋体" w:cs="宋体"/>
                <w:b/>
                <w:bCs/>
                <w:color w:val="000000" w:themeColor="text1"/>
                <w:kern w:val="0"/>
                <w:sz w:val="24"/>
                <w:szCs w:val="24"/>
                <w:highlight w:val="none"/>
                <w:u w:val="single"/>
                <w:shd w:val="clear" w:color="auto" w:fill="FFFFFF"/>
                <w:vertAlign w:val="baseline"/>
                <w14:textFill>
                  <w14:solidFill>
                    <w14:schemeClr w14:val="tx1"/>
                  </w14:solidFill>
                </w14:textFill>
              </w:rPr>
              <w:t>市科学技术奖</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。如颁发单位为行业协会的，还须提供该协会在“全国社会组织信用信息公示平台”</w:t>
            </w:r>
            <w:r>
              <w:rPr>
                <w:rFonts w:hint="eastAsia" w:ascii="宋体" w:hAnsi="宋体" w:eastAsia="宋体" w:cs="宋体"/>
                <w:color w:val="000000" w:themeColor="text1"/>
                <w:kern w:val="0"/>
                <w:sz w:val="24"/>
                <w:szCs w:val="24"/>
                <w:highlight w:val="none"/>
                <w:u w:val="none"/>
                <w:shd w:val="clear" w:color="auto" w:fill="FFFFFF"/>
                <w:vertAlign w:val="baseline"/>
                <w:lang w:val="en-US" w:eastAsia="zh-CN"/>
                <w14:textFill>
                  <w14:solidFill>
                    <w14:schemeClr w14:val="tx1"/>
                  </w14:solidFill>
                </w14:textFill>
              </w:rPr>
              <w:t>已</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登记备案的查询信息截图页（网址：</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instrText xml:space="preserve"> HYPERLINK "https://xxgs.chinanpo.mca.gov.cn/gsxt/newList），奖项时间以获奖证书发证日期为准。" </w:instrTex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separate"/>
            </w:r>
            <w:r>
              <w:rPr>
                <w:rStyle w:val="17"/>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https://xxgs.chinanpo.mca.gov.cn/gsxt/newList），奖项时间以获奖证书发证日期为准。</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end"/>
            </w:r>
          </w:p>
        </w:tc>
      </w:tr>
      <w:tr w14:paraId="61ED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45911513">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t>5</w:t>
            </w:r>
          </w:p>
        </w:tc>
        <w:tc>
          <w:tcPr>
            <w:tcW w:w="1359" w:type="dxa"/>
            <w:shd w:val="clear" w:color="auto" w:fill="auto"/>
            <w:vAlign w:val="center"/>
          </w:tcPr>
          <w:p w14:paraId="7CD8EBDD">
            <w:pPr>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14:textFill>
                  <w14:solidFill>
                    <w14:schemeClr w14:val="tx1"/>
                  </w14:solidFill>
                </w14:textFill>
              </w:rPr>
              <w:t>答辩因素</w:t>
            </w:r>
          </w:p>
        </w:tc>
        <w:tc>
          <w:tcPr>
            <w:tcW w:w="6681" w:type="dxa"/>
            <w:shd w:val="clear" w:color="auto" w:fill="auto"/>
            <w:vAlign w:val="center"/>
          </w:tcPr>
          <w:p w14:paraId="65D041F5">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14:textFill>
                  <w14:solidFill>
                    <w14:schemeClr w14:val="tx1"/>
                  </w14:solidFill>
                </w14:textFill>
              </w:rPr>
              <w:t>对合格的中标候选人拟派项目团队成员的答辩情况进行评审。</w:t>
            </w:r>
          </w:p>
          <w:p w14:paraId="18E48EEC">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【优】答辩团队熟悉项目情况，对本项目的重点、难点认识深刻，应对措施合理可行；人员投入计划对推进工作进度有保障；实施时间安排合理可行；回答评委提问思路清晰、内容准确。</w:t>
            </w:r>
          </w:p>
          <w:p w14:paraId="558B3787">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【中】答辩团队对项目情况基本了解，对本项目的重点、难点把握不够；人员投入计划对推进工作进度保障一般；实施时间安排合理性一般；回答评委提问不够清晰准确。</w:t>
            </w:r>
          </w:p>
          <w:p w14:paraId="2E1EF833">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【差】答辩团队对项目情况不了解，对本项目的重点、难点不清晰；没有人员投入计划或对推进工作进度保障差；实施时间安排严重不合理；回答评委提问答非所问的或未能按要求出席参加答辩的。</w:t>
            </w:r>
          </w:p>
          <w:p w14:paraId="35F74A24">
            <w:pPr>
              <w:keepNext w:val="0"/>
              <w:keepLines w:val="0"/>
              <w:suppressLineNumbers w:val="0"/>
              <w:spacing w:before="0" w:beforeAutospacing="0" w:after="0" w:afterAutospacing="0" w:line="360" w:lineRule="auto"/>
              <w:ind w:left="0" w:right="0" w:firstLineChars="0"/>
              <w:jc w:val="left"/>
              <w:rPr>
                <w:rFonts w:hint="eastAsia" w:ascii="宋体" w:hAnsi="宋体" w:eastAsia="宋体" w:cs="宋体"/>
                <w:b/>
                <w:bCs/>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highlight w:val="none"/>
                <w:u w:val="none"/>
                <w:shd w:val="clear" w:color="auto" w:fill="FFFFFF"/>
                <w:lang w:val="en-US" w:eastAsia="zh-CN"/>
                <w14:textFill>
                  <w14:solidFill>
                    <w14:schemeClr w14:val="tx1"/>
                  </w14:solidFill>
                </w14:textFill>
              </w:rPr>
              <w:t>备注：本项目的重点难点为：</w:t>
            </w:r>
          </w:p>
          <w:p w14:paraId="14D275CB">
            <w:pPr>
              <w:keepNext w:val="0"/>
              <w:keepLines w:val="0"/>
              <w:widowControl w:val="0"/>
              <w:numPr>
                <w:ilvl w:val="-1"/>
                <w:numId w:val="0"/>
              </w:numPr>
              <w:suppressLineNumbers w:val="0"/>
              <w:spacing w:before="0" w:beforeAutospacing="0" w:after="0" w:afterAutospacing="0" w:line="360" w:lineRule="auto"/>
              <w:ind w:left="0" w:right="0" w:firstLineChars="0"/>
              <w:jc w:val="both"/>
              <w:rPr>
                <w:rFonts w:hint="eastAsia"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shd w:val="clear" w:color="auto" w:fill="FFFFFF"/>
                <w:lang w:eastAsia="zh-CN"/>
                <w14:textFill>
                  <w14:solidFill>
                    <w14:schemeClr w14:val="tx1"/>
                  </w14:solidFill>
                </w14:textFill>
              </w:rPr>
              <w:t>）项目建设被列入《广州市农业农村现代化“十四五”规划》重大平台建设，需着力特色鲜明的国内一流农业高新科技园区，成为粤港澳大湾区现代都市农业科技与示范园标杆。</w:t>
            </w:r>
          </w:p>
          <w:p w14:paraId="4784320B">
            <w:pPr>
              <w:keepNext w:val="0"/>
              <w:keepLines w:val="0"/>
              <w:widowControl w:val="0"/>
              <w:suppressLineNumbers w:val="0"/>
              <w:spacing w:before="0" w:beforeAutospacing="0" w:after="0" w:afterAutospacing="0" w:line="360" w:lineRule="auto"/>
              <w:ind w:left="0" w:right="0" w:firstLineChars="0"/>
              <w:jc w:val="both"/>
              <w:rPr>
                <w:rFonts w:hint="eastAsia"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2）项目建设用地地块一需整体规划设计，一期已立项建设内容规划布局、预留发展用地二期区域布局，应结合业主需求、地块实际条件、规划设计理念、周边城市规划情况统筹考虑。建筑外观需满足农业高新科技园区的打造要求，还应考虑如何与周边景观融合</w:t>
            </w:r>
            <w:r>
              <w:rPr>
                <w:rFonts w:hint="eastAsia" w:ascii="宋体" w:hAnsi="宋体" w:eastAsia="宋体" w:cs="宋体"/>
                <w:color w:val="000000" w:themeColor="text1"/>
                <w:kern w:val="2"/>
                <w:sz w:val="24"/>
                <w:szCs w:val="24"/>
                <w:highlight w:val="none"/>
                <w14:textFill>
                  <w14:solidFill>
                    <w14:schemeClr w14:val="tx1"/>
                  </w14:solidFill>
                </w14:textFill>
              </w:rPr>
              <w:t>。</w:t>
            </w:r>
          </w:p>
          <w:p w14:paraId="7C2554A0">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3）田间工程设计需满足用于粮食作物、蔬菜、果树、花卉等农作物的育苗、栽培、农业科普、农业废弃物资源化利用、现代田间大棚智慧运营管理的需要；需充分考虑农用地内（耕地、园地、坑塘水面、设施农用地）用地类别及相关农用地管理的要求，田间工程施工实施前须由业主完善农用地内设施用地性质调整，持续时间较长，各地块工序需做好衔接；农用地地块四（60亩）地块红线已稳定，还未办理收储等相关手续，设计单位需一并统筹规划设计并考虑该地块暂未征收（征收时间未定）对项目建设的影响及应对方案</w:t>
            </w:r>
            <w:r>
              <w:rPr>
                <w:rFonts w:hint="eastAsia" w:ascii="宋体" w:hAnsi="宋体" w:eastAsia="宋体" w:cs="宋体"/>
                <w:color w:val="000000" w:themeColor="text1"/>
                <w:kern w:val="2"/>
                <w:sz w:val="24"/>
                <w:szCs w:val="24"/>
                <w:highlight w:val="none"/>
                <w14:textFill>
                  <w14:solidFill>
                    <w14:schemeClr w14:val="tx1"/>
                  </w14:solidFill>
                </w14:textFill>
              </w:rPr>
              <w:t>。</w:t>
            </w:r>
          </w:p>
          <w:p w14:paraId="1A91A0C3">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lang w:eastAsia="zh-CN"/>
                <w14:textFill>
                  <w14:solidFill>
                    <w14:schemeClr w14:val="tx1"/>
                  </w14:solidFill>
                </w14:textFill>
              </w:rPr>
              <w:t>）设计须结合项目各地块工程地质条件和水文地质条件，周边沙湾水道、河涌、排灌站等现场摸查实际，进行详细的灌溉水及雨水排水及调蓄设计，改造排灌渠排水能力，合理确定建筑物、温室大棚等建设场地标高（正负零），做好土方平衡及控制投资，确保场地排灌顺畅、在设计暴雨重现期内不产生内涝</w:t>
            </w:r>
            <w:r>
              <w:rPr>
                <w:rFonts w:hint="eastAsia" w:ascii="宋体" w:hAnsi="宋体" w:eastAsia="宋体" w:cs="宋体"/>
                <w:color w:val="000000" w:themeColor="text1"/>
                <w:kern w:val="2"/>
                <w:sz w:val="24"/>
                <w:szCs w:val="24"/>
                <w:highlight w:val="none"/>
                <w14:textFill>
                  <w14:solidFill>
                    <w14:schemeClr w14:val="tx1"/>
                  </w14:solidFill>
                </w14:textFill>
              </w:rPr>
              <w:t>。</w:t>
            </w:r>
          </w:p>
          <w:p w14:paraId="79CE383D">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分析立项批复项目投资情况，结合本项目室外工程（室外道路广场、园林绿化、市政接驳、田间工程）实施面积大，地块地质条件差（地质处理方案分析对比），房建工程单方造价及业主需求和立项批复本期建设内容，进行投资分配及投资控制，进行不同分配方案的对比分析；项目总体进行投资控制，同时对农业种质资源大楼进行全过程的专项投资控制，实现楼栋专项结算费用基本与立新费用一致。</w:t>
            </w:r>
          </w:p>
          <w:p w14:paraId="2331FE5C">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仿宋_GB2312" w:hAnsi="Calibri"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4"/>
                <w:highlight w:val="none"/>
                <w:lang w:eastAsia="zh-CN"/>
                <w14:textFill>
                  <w14:solidFill>
                    <w14:schemeClr w14:val="tx1"/>
                  </w14:solidFill>
                </w14:textFill>
              </w:rPr>
              <w:t>）项目前期设计及建设持续较长，须保证项目建设期间设计单位团队长期稳定；除常规房建专业外，需投入配置农田水利、市政、水利等资质及经验设计人员，满足本项目田间工程及排灌调蓄设计需要</w:t>
            </w:r>
            <w:r>
              <w:rPr>
                <w:rFonts w:hint="eastAsia" w:ascii="宋体" w:hAnsi="宋体" w:eastAsia="宋体" w:cs="宋体"/>
                <w:color w:val="000000" w:themeColor="text1"/>
                <w:kern w:val="2"/>
                <w:sz w:val="24"/>
                <w:szCs w:val="24"/>
                <w:highlight w:val="none"/>
                <w14:textFill>
                  <w14:solidFill>
                    <w14:schemeClr w14:val="tx1"/>
                  </w14:solidFill>
                </w14:textFill>
              </w:rPr>
              <w:t>。</w:t>
            </w:r>
          </w:p>
        </w:tc>
      </w:tr>
      <w:tr w14:paraId="684A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3A9AAD19">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eastAsia="宋体" w:cs="宋体"/>
                <w:color w:val="000000" w:themeColor="text1"/>
                <w:kern w:val="2"/>
                <w:sz w:val="24"/>
                <w:szCs w:val="24"/>
                <w:highlight w:val="none"/>
                <w:u w:val="none"/>
                <w:shd w:val="clear" w:color="auto" w:fill="FFFFFF"/>
                <w:lang w:val="en-US" w:eastAsia="zh-CN" w:bidi="ar"/>
                <w14:textFill>
                  <w14:solidFill>
                    <w14:schemeClr w14:val="tx1"/>
                  </w14:solidFill>
                </w14:textFill>
              </w:rPr>
            </w:pPr>
            <w:r>
              <w:rPr>
                <w:rFonts w:hint="eastAsia" w:eastAsia="宋体" w:cs="宋体"/>
                <w:color w:val="000000" w:themeColor="text1"/>
                <w:kern w:val="2"/>
                <w:sz w:val="24"/>
                <w:szCs w:val="24"/>
                <w:highlight w:val="none"/>
                <w:u w:val="none"/>
                <w:shd w:val="clear" w:color="auto" w:fill="FFFFFF"/>
                <w:lang w:eastAsia="zh-CN" w:bidi="ar"/>
                <w14:textFill>
                  <w14:solidFill>
                    <w14:schemeClr w14:val="tx1"/>
                  </w14:solidFill>
                </w14:textFill>
              </w:rPr>
              <w:t>6</w:t>
            </w:r>
          </w:p>
        </w:tc>
        <w:tc>
          <w:tcPr>
            <w:tcW w:w="1359" w:type="dxa"/>
            <w:shd w:val="clear" w:color="auto" w:fill="auto"/>
            <w:vAlign w:val="center"/>
          </w:tcPr>
          <w:p w14:paraId="56641993">
            <w:pPr>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设计管理因素</w:t>
            </w:r>
          </w:p>
        </w:tc>
        <w:tc>
          <w:tcPr>
            <w:tcW w:w="6681" w:type="dxa"/>
            <w:shd w:val="clear" w:color="auto" w:fill="auto"/>
            <w:vAlign w:val="center"/>
          </w:tcPr>
          <w:p w14:paraId="4F26CA17">
            <w:pPr>
              <w:pStyle w:val="13"/>
              <w:keepNext w:val="0"/>
              <w:keepLines w:val="0"/>
              <w:widowControl w:val="0"/>
              <w:suppressLineNumbers w:val="0"/>
              <w:spacing w:beforeAutospacing="0" w:afterAutospacing="0" w:line="360" w:lineRule="auto"/>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对合格的中标候选人拟分包单位的业绩经验、设计管理情况等进行评审。</w:t>
            </w:r>
          </w:p>
          <w:p w14:paraId="3AE14A8A">
            <w:pPr>
              <w:pStyle w:val="13"/>
              <w:keepNext w:val="0"/>
              <w:keepLines w:val="0"/>
              <w:widowControl w:val="0"/>
              <w:suppressLineNumbers w:val="0"/>
              <w:spacing w:beforeAutospacing="0" w:afterAutospacing="0" w:line="360" w:lineRule="auto"/>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注：</w:t>
            </w:r>
          </w:p>
          <w:p w14:paraId="729BA57C">
            <w:pPr>
              <w:keepNext w:val="0"/>
              <w:keepLines w:val="0"/>
              <w:widowControl w:val="0"/>
              <w:suppressLineNumbers w:val="0"/>
              <w:spacing w:before="0" w:beforeAutospacing="0" w:after="0" w:afterAutospacing="0" w:line="360" w:lineRule="auto"/>
              <w:ind w:left="0" w:right="0"/>
              <w:jc w:val="both"/>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1、投标人可结合企业自身综合实力，承诺本次招标范围内所有设计内容</w:t>
            </w:r>
            <w:r>
              <w:rPr>
                <w:rFonts w:hint="eastAsia" w:ascii="宋体" w:hAnsi="宋体" w:eastAsia="宋体" w:cs="宋体"/>
                <w:b w:val="0"/>
                <w:bCs/>
                <w:caps w:val="0"/>
                <w:color w:val="000000" w:themeColor="text1"/>
                <w:spacing w:val="0"/>
                <w:kern w:val="0"/>
                <w:sz w:val="24"/>
                <w:szCs w:val="24"/>
                <w:highlight w:val="none"/>
                <w:u w:val="single"/>
                <w:lang w:val="en-US" w:eastAsia="zh-CN" w:bidi="ar"/>
                <w14:textFill>
                  <w14:solidFill>
                    <w14:schemeClr w14:val="tx1"/>
                  </w14:solidFill>
                </w14:textFill>
              </w:rPr>
              <w:t>及</w:t>
            </w:r>
            <w:r>
              <w:rPr>
                <w:rFonts w:hint="eastAsia" w:ascii="宋体" w:hAnsi="宋体" w:eastAsia="宋体" w:cs="宋体"/>
                <w:b w:val="0"/>
                <w:bCs/>
                <w:color w:val="000000" w:themeColor="text1"/>
                <w:kern w:val="2"/>
                <w:sz w:val="24"/>
                <w:szCs w:val="24"/>
                <w:highlight w:val="none"/>
                <w:u w:val="single"/>
                <w:shd w:val="clear" w:fill="FFFFFF"/>
                <w:lang w:val="en-US" w:eastAsia="zh-CN" w:bidi="ar"/>
                <w14:textFill>
                  <w14:solidFill>
                    <w14:schemeClr w14:val="tx1"/>
                  </w14:solidFill>
                </w14:textFill>
              </w:rPr>
              <w:t>专项工作</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全部由企业自行</w:t>
            </w:r>
            <w:r>
              <w:rPr>
                <w:rFonts w:hint="default" w:eastAsia="宋体" w:cs="宋体"/>
                <w:color w:val="000000" w:themeColor="text1"/>
                <w:kern w:val="2"/>
                <w:sz w:val="24"/>
                <w:szCs w:val="24"/>
                <w:highlight w:val="none"/>
                <w:u w:val="single"/>
                <w:shd w:val="clear" w:color="auto" w:fill="FFFFFF"/>
                <w:lang w:bidi="ar"/>
                <w14:textFill>
                  <w14:solidFill>
                    <w14:schemeClr w14:val="tx1"/>
                  </w14:solidFill>
                </w14:textFill>
              </w:rPr>
              <w:t>组织实施</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，对所有专业设计</w:t>
            </w:r>
            <w:r>
              <w:rPr>
                <w:rFonts w:hint="eastAsia" w:ascii="宋体" w:hAnsi="宋体" w:eastAsia="宋体" w:cs="宋体"/>
                <w:b w:val="0"/>
                <w:bCs/>
                <w:caps w:val="0"/>
                <w:color w:val="000000" w:themeColor="text1"/>
                <w:spacing w:val="0"/>
                <w:kern w:val="0"/>
                <w:sz w:val="24"/>
                <w:szCs w:val="24"/>
                <w:highlight w:val="none"/>
                <w:u w:val="single"/>
                <w:lang w:val="en-US" w:eastAsia="zh-CN" w:bidi="ar"/>
                <w14:textFill>
                  <w14:solidFill>
                    <w14:schemeClr w14:val="tx1"/>
                  </w14:solidFill>
                </w14:textFill>
              </w:rPr>
              <w:t>及</w:t>
            </w:r>
            <w:r>
              <w:rPr>
                <w:rFonts w:hint="eastAsia" w:ascii="宋体" w:hAnsi="宋体" w:eastAsia="宋体" w:cs="宋体"/>
                <w:b w:val="0"/>
                <w:bCs/>
                <w:color w:val="000000" w:themeColor="text1"/>
                <w:kern w:val="2"/>
                <w:sz w:val="24"/>
                <w:szCs w:val="24"/>
                <w:highlight w:val="none"/>
                <w:u w:val="single"/>
                <w:shd w:val="clear" w:fill="FFFFFF"/>
                <w:lang w:val="en-US" w:eastAsia="zh-CN" w:bidi="ar"/>
                <w14:textFill>
                  <w14:solidFill>
                    <w14:schemeClr w14:val="tx1"/>
                  </w14:solidFill>
                </w14:textFill>
              </w:rPr>
              <w:t>专项工作</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不实施分包的，按招标文件要求提供《不分包</w:t>
            </w:r>
            <w:r>
              <w:rPr>
                <w:rFonts w:hint="default" w:eastAsia="宋体" w:cs="宋体"/>
                <w:color w:val="000000" w:themeColor="text1"/>
                <w:kern w:val="2"/>
                <w:sz w:val="24"/>
                <w:szCs w:val="24"/>
                <w:highlight w:val="none"/>
                <w:u w:val="single"/>
                <w:shd w:val="clear" w:color="auto" w:fill="FFFFFF"/>
                <w:lang w:bidi="ar"/>
                <w14:textFill>
                  <w14:solidFill>
                    <w14:schemeClr w14:val="tx1"/>
                  </w14:solidFill>
                </w14:textFill>
              </w:rPr>
              <w:t>的</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承诺书》。</w:t>
            </w:r>
          </w:p>
          <w:p w14:paraId="09FB7011">
            <w:pPr>
              <w:pStyle w:val="13"/>
              <w:keepNext w:val="0"/>
              <w:keepLines w:val="0"/>
              <w:widowControl w:val="0"/>
              <w:suppressLineNumbers w:val="0"/>
              <w:spacing w:beforeAutospacing="0" w:afterAutospacing="0" w:line="360" w:lineRule="auto"/>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2、</w:t>
            </w:r>
            <w:r>
              <w:rPr>
                <w:rFonts w:hint="eastAsia" w:eastAsia="宋体" w:cs="宋体"/>
                <w:b w:val="0"/>
                <w:bCs w:val="0"/>
                <w:color w:val="000000" w:themeColor="text1"/>
                <w:kern w:val="2"/>
                <w:sz w:val="24"/>
                <w:szCs w:val="24"/>
                <w:highlight w:val="none"/>
                <w:u w:val="single"/>
                <w:shd w:val="clear" w:color="auto" w:fill="FFFFFF"/>
                <w:lang w:bidi="ar"/>
                <w14:textFill>
                  <w14:solidFill>
                    <w14:schemeClr w14:val="tx1"/>
                  </w14:solidFill>
                </w14:textFill>
              </w:rPr>
              <w:t>本项目主体、关键性工作的设计必须由投标人自行完成</w:t>
            </w:r>
            <w:r>
              <w:rPr>
                <w:rFonts w:hint="eastAsia" w:cs="宋体"/>
                <w:b w:val="0"/>
                <w:bCs w:val="0"/>
                <w:color w:val="000000" w:themeColor="text1"/>
                <w:kern w:val="2"/>
                <w:sz w:val="24"/>
                <w:szCs w:val="24"/>
                <w:highlight w:val="none"/>
                <w:u w:val="single"/>
                <w:shd w:val="clear" w:color="auto" w:fill="FFFFFF"/>
                <w:lang w:eastAsia="zh-CN" w:bidi="ar"/>
                <w14:textFill>
                  <w14:solidFill>
                    <w14:schemeClr w14:val="tx1"/>
                  </w14:solidFill>
                </w14:textFill>
              </w:rPr>
              <w:t>，</w:t>
            </w:r>
            <w:r>
              <w:rPr>
                <w:rFonts w:hint="eastAsia" w:eastAsia="宋体" w:cs="宋体"/>
                <w:b w:val="0"/>
                <w:bCs w:val="0"/>
                <w:color w:val="000000" w:themeColor="text1"/>
                <w:kern w:val="2"/>
                <w:sz w:val="24"/>
                <w:szCs w:val="24"/>
                <w:highlight w:val="none"/>
                <w:u w:val="single"/>
                <w:shd w:val="clear" w:color="auto" w:fill="FFFFFF"/>
                <w:lang w:bidi="ar"/>
                <w14:textFill>
                  <w14:solidFill>
                    <w14:schemeClr w14:val="tx1"/>
                  </w14:solidFill>
                </w14:textFill>
              </w:rPr>
              <w:t>严格按照国家、省市相关法律法规执行，不得违法分包及转包。</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投标人也可根据企业自身综合情况，对本项目专项设计</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或专项</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工作（</w:t>
            </w:r>
            <w:r>
              <w:rPr>
                <w:rFonts w:hint="eastAsia" w:ascii="宋体" w:hAnsi="宋体" w:cs="宋体"/>
                <w:color w:val="000000" w:themeColor="text1"/>
                <w:kern w:val="0"/>
                <w:sz w:val="24"/>
                <w:szCs w:val="24"/>
                <w:highlight w:val="none"/>
                <w:u w:val="single"/>
                <w14:textFill>
                  <w14:solidFill>
                    <w14:schemeClr w14:val="tx1"/>
                  </w14:solidFill>
                </w14:textFill>
              </w:rPr>
              <w:t>如</w:t>
            </w:r>
            <w:r>
              <w:rPr>
                <w:rFonts w:hint="eastAsia" w:cs="宋体"/>
                <w:color w:val="000000" w:themeColor="text1"/>
                <w:kern w:val="0"/>
                <w:sz w:val="24"/>
                <w:szCs w:val="24"/>
                <w:highlight w:val="none"/>
                <w:u w:val="single"/>
                <w:lang w:eastAsia="zh-CN"/>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外水工程、外电工程、燃气工程、幕墙工程、消防工程</w:t>
            </w:r>
            <w:r>
              <w:rPr>
                <w:rFonts w:hint="eastAsia" w:cs="宋体"/>
                <w:color w:val="000000" w:themeColor="text1"/>
                <w:kern w:val="0"/>
                <w:sz w:val="24"/>
                <w:szCs w:val="24"/>
                <w:highlight w:val="none"/>
                <w:u w:val="single"/>
                <w:lang w:eastAsia="zh-CN"/>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人防工程、装饰装修工程</w:t>
            </w:r>
            <w:r>
              <w:rPr>
                <w:rFonts w:hint="eastAsia" w:cs="宋体"/>
                <w:color w:val="000000" w:themeColor="text1"/>
                <w:kern w:val="0"/>
                <w:sz w:val="24"/>
                <w:szCs w:val="24"/>
                <w:highlight w:val="none"/>
                <w:u w:val="single"/>
                <w:lang w:eastAsia="zh-CN"/>
                <w14:textFill>
                  <w14:solidFill>
                    <w14:schemeClr w14:val="tx1"/>
                  </w14:solidFill>
                </w14:textFill>
              </w:rPr>
              <w:t>、</w:t>
            </w:r>
            <w:r>
              <w:rPr>
                <w:rFonts w:hint="eastAsia" w:cs="宋体"/>
                <w:color w:val="000000" w:themeColor="text1"/>
                <w:kern w:val="0"/>
                <w:sz w:val="24"/>
                <w:szCs w:val="24"/>
                <w:highlight w:val="none"/>
                <w:u w:val="single"/>
                <w:lang w:val="en-US" w:eastAsia="zh-CN"/>
                <w14:textFill>
                  <w14:solidFill>
                    <w14:schemeClr w14:val="tx1"/>
                  </w14:solidFill>
                </w14:textFill>
              </w:rPr>
              <w:t>工程造价</w:t>
            </w:r>
            <w:r>
              <w:rPr>
                <w:rFonts w:hint="eastAsia" w:ascii="宋体" w:hAnsi="宋体" w:cs="宋体"/>
                <w:b w:val="0"/>
                <w:bCs w:val="0"/>
                <w:color w:val="000000" w:themeColor="text1"/>
                <w:kern w:val="0"/>
                <w:sz w:val="24"/>
                <w:szCs w:val="24"/>
                <w:highlight w:val="none"/>
                <w:u w:val="single"/>
                <w14:textFill>
                  <w14:solidFill>
                    <w14:schemeClr w14:val="tx1"/>
                  </w14:solidFill>
                </w14:textFill>
              </w:rPr>
              <w:t>等</w:t>
            </w:r>
            <w:r>
              <w:rPr>
                <w:rFonts w:hint="eastAsia" w:cs="宋体"/>
                <w:b w:val="0"/>
                <w:bCs w:val="0"/>
                <w:color w:val="000000" w:themeColor="text1"/>
                <w:kern w:val="0"/>
                <w:sz w:val="24"/>
                <w:szCs w:val="24"/>
                <w:highlight w:val="none"/>
                <w:u w:val="single"/>
                <w:lang w:val="en-US" w:eastAsia="zh-CN"/>
                <w14:textFill>
                  <w14:solidFill>
                    <w14:schemeClr w14:val="tx1"/>
                  </w14:solidFill>
                </w14:textFill>
              </w:rPr>
              <w:t>专业工作</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）实施分包的，投标人自行选择符合本项目具体特点有代表性专业分包单位，提供《分包方案</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情况</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一览表》。</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每个</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拟分包专业的分包单位数量不得超过3个，对所有拟分包专业对应的每个专业分包单位提供1项或以上业绩证明材料。需提供专业分包单位的业绩是指自202</w:t>
            </w:r>
            <w:r>
              <w:rPr>
                <w:rFonts w:hint="eastAsia" w:ascii="宋体" w:hAnsi="宋体" w:eastAsia="宋体" w:cs="宋体"/>
                <w:color w:val="000000" w:themeColor="text1"/>
                <w:kern w:val="2"/>
                <w:sz w:val="24"/>
                <w:szCs w:val="24"/>
                <w:highlight w:val="none"/>
                <w:u w:val="single"/>
                <w:shd w:val="clear" w:color="auto" w:fill="FFFFFF"/>
                <w:lang w:eastAsia="zh-CN" w:bidi="ar"/>
                <w14:textFill>
                  <w14:solidFill>
                    <w14:schemeClr w14:val="tx1"/>
                  </w14:solidFill>
                </w14:textFill>
              </w:rPr>
              <w:t>0</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年1月1日至投标截止时间止承接的专业工程设计</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或服务</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业绩，需提供承接的专业工程设计合同</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或服务合同</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，时间以合同签订日期为准。</w:t>
            </w:r>
          </w:p>
          <w:p w14:paraId="3514B351">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single"/>
                <w:shd w:val="clear" w:color="auto" w:fill="FFFFFF"/>
                <w:lang w:bidi="ar"/>
                <w14:textFill>
                  <w14:solidFill>
                    <w14:schemeClr w14:val="tx1"/>
                  </w14:solidFill>
                </w14:textFill>
              </w:rPr>
              <w:t>3、投标人拟实施分包的，需提供有效的设计分包管理方案，包括专业分包质量管控方案、专业分包进度管控方案等内容。</w:t>
            </w:r>
          </w:p>
        </w:tc>
      </w:tr>
      <w:tr w14:paraId="493A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shd w:val="clear" w:color="auto" w:fill="auto"/>
            <w:vAlign w:val="center"/>
          </w:tcPr>
          <w:p w14:paraId="4F26FB72">
            <w:pPr>
              <w:pStyle w:val="13"/>
              <w:keepNext w:val="0"/>
              <w:keepLines w:val="0"/>
              <w:widowControl w:val="0"/>
              <w:suppressLineNumbers w:val="0"/>
              <w:spacing w:beforeAutospacing="0" w:afterAutospacing="0" w:line="360" w:lineRule="auto"/>
              <w:ind w:left="0" w:leftChars="0" w:right="0" w:rightChars="0"/>
              <w:rPr>
                <w:rFonts w:hint="default"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cs="宋体"/>
                <w:color w:val="000000" w:themeColor="text1"/>
                <w:highlight w:val="none"/>
                <w:u w:val="single"/>
                <w:shd w:val="clear" w:color="auto" w:fill="FFFFFF"/>
                <w14:textFill>
                  <w14:solidFill>
                    <w14:schemeClr w14:val="tx1"/>
                  </w14:solidFill>
                </w14:textFill>
              </w:rPr>
              <w:t>备注：若为联合体投标，投标人的相关业绩、获奖、投入人员可由联合体各方（含合作设计方）自行组合提供</w:t>
            </w:r>
            <w:r>
              <w:rPr>
                <w:rFonts w:hint="eastAsia" w:cs="宋体"/>
                <w:color w:val="000000" w:themeColor="text1"/>
                <w:highlight w:val="none"/>
                <w:u w:val="single"/>
                <w:shd w:val="clear" w:color="auto" w:fill="FFFFFF"/>
                <w:lang w:eastAsia="zh-CN"/>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造价人员团队可由</w:t>
            </w:r>
            <w:r>
              <w:rPr>
                <w:rFonts w:hint="eastAsia" w:cs="宋体"/>
                <w:color w:val="000000" w:themeColor="text1"/>
                <w:highlight w:val="none"/>
                <w:u w:val="single"/>
                <w:shd w:val="clear" w:color="auto" w:fill="FFFFFF"/>
                <w14:textFill>
                  <w14:solidFill>
                    <w14:schemeClr w14:val="tx1"/>
                  </w14:solidFill>
                </w14:textFill>
              </w:rPr>
              <w:t>联合体各方（含合作设计方）</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或拟分包的造价咨询单位提供</w:t>
            </w:r>
            <w:r>
              <w:rPr>
                <w:rFonts w:hint="eastAsia" w:cs="宋体"/>
                <w:color w:val="000000" w:themeColor="text1"/>
                <w:highlight w:val="none"/>
                <w:u w:val="single"/>
                <w:shd w:val="clear" w:color="auto" w:fill="FFFFFF"/>
                <w14:textFill>
                  <w14:solidFill>
                    <w14:schemeClr w14:val="tx1"/>
                  </w14:solidFill>
                </w14:textFill>
              </w:rPr>
              <w:t>。</w:t>
            </w:r>
          </w:p>
        </w:tc>
      </w:tr>
    </w:tbl>
    <w:p w14:paraId="402B3D6B">
      <w:pPr>
        <w:pStyle w:val="13"/>
        <w:widowControl w:val="0"/>
        <w:numPr>
          <w:ilvl w:val="0"/>
          <w:numId w:val="0"/>
        </w:numPr>
        <w:spacing w:beforeAutospacing="0" w:afterAutospacing="0" w:line="360" w:lineRule="auto"/>
        <w:ind w:leftChars="0" w:firstLine="480" w:firstLineChars="200"/>
        <w:jc w:val="both"/>
        <w:rPr>
          <w:rFonts w:hint="default"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3</w:t>
      </w:r>
      <w:r>
        <w:rPr>
          <w:rFonts w:cs="宋体"/>
          <w:color w:val="000000" w:themeColor="text1"/>
          <w:highlight w:val="none"/>
          <w:u w:val="single"/>
          <w:shd w:val="clear" w:color="auto" w:fill="FFFFFF"/>
          <w14:textFill>
            <w14:solidFill>
              <w14:schemeClr w14:val="tx1"/>
            </w14:solidFill>
          </w14:textFill>
        </w:rPr>
        <w:t>）定标委员会根据定标因素对各合格的中标候选人进行评审比较后，采用以差额选举逐轮淘汰投票计数法的“记名投票+撰写评语”方式确定中标人以及所有</w:t>
      </w:r>
      <w:r>
        <w:rPr>
          <w:rFonts w:ascii="宋体" w:hAnsi="宋体" w:cs="宋体"/>
          <w:color w:val="000000" w:themeColor="text1"/>
          <w:sz w:val="24"/>
          <w:highlight w:val="none"/>
          <w:u w:val="single"/>
          <w:shd w:val="clear" w:color="auto" w:fill="FFFFFF"/>
          <w14:textFill>
            <w14:solidFill>
              <w14:schemeClr w14:val="tx1"/>
            </w14:solidFill>
          </w14:textFill>
        </w:rPr>
        <w:t>中标候选人</w:t>
      </w:r>
      <w:r>
        <w:rPr>
          <w:rFonts w:cs="宋体"/>
          <w:color w:val="000000" w:themeColor="text1"/>
          <w:highlight w:val="none"/>
          <w:u w:val="single"/>
          <w:shd w:val="clear" w:color="auto" w:fill="FFFFFF"/>
          <w14:textFill>
            <w14:solidFill>
              <w14:schemeClr w14:val="tx1"/>
            </w14:solidFill>
          </w14:textFill>
        </w:rPr>
        <w:t>的排序。</w:t>
      </w:r>
      <w:r>
        <w:rPr>
          <w:rFonts w:ascii="宋体" w:hAnsi="宋体" w:eastAsia="宋体" w:cs="宋体"/>
          <w:color w:val="000000" w:themeColor="text1"/>
          <w:kern w:val="0"/>
          <w:sz w:val="24"/>
          <w:szCs w:val="24"/>
          <w:highlight w:val="none"/>
          <w:u w:val="single"/>
          <w:lang w:val="en-US" w:eastAsia="zh-CN" w:bidi="ar"/>
          <w14:textFill>
            <w14:solidFill>
              <w14:schemeClr w14:val="tx1"/>
            </w14:solidFill>
          </w14:textFill>
        </w:rPr>
        <w:t>定标综合评审排序2-5名的投标人将获得投标补偿（补偿方案按招标公告执行）</w:t>
      </w:r>
      <w:r>
        <w:rPr>
          <w:rFonts w:hint="eastAsia" w:ascii="仿宋" w:hAnsi="仿宋" w:eastAsia="仿宋" w:cs="仿宋"/>
          <w:color w:val="000000" w:themeColor="text1"/>
          <w:sz w:val="32"/>
          <w:szCs w:val="32"/>
          <w:highlight w:val="none"/>
          <w:lang w:eastAsia="zh-CN" w:bidi="ar"/>
          <w14:textFill>
            <w14:solidFill>
              <w14:schemeClr w14:val="tx1"/>
            </w14:solidFill>
          </w14:textFill>
        </w:rPr>
        <w:t>。</w:t>
      </w:r>
    </w:p>
    <w:p w14:paraId="0547B706">
      <w:pPr>
        <w:pStyle w:val="13"/>
        <w:widowControl w:val="0"/>
        <w:spacing w:beforeAutospacing="0" w:afterAutospacing="0" w:line="360" w:lineRule="auto"/>
        <w:ind w:firstLine="480" w:firstLineChars="200"/>
        <w:jc w:val="both"/>
        <w:rPr>
          <w:rFonts w:hint="default"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4</w:t>
      </w:r>
      <w:r>
        <w:rPr>
          <w:rFonts w:cs="宋体"/>
          <w:color w:val="000000" w:themeColor="text1"/>
          <w:highlight w:val="none"/>
          <w:u w:val="single"/>
          <w:shd w:val="clear" w:color="auto" w:fill="FFFFFF"/>
          <w14:textFill>
            <w14:solidFill>
              <w14:schemeClr w14:val="tx1"/>
            </w14:solidFill>
          </w14:textFill>
        </w:rPr>
        <w:t>）定标委员会中的各成员应独立行使投票权。</w:t>
      </w:r>
    </w:p>
    <w:p w14:paraId="452C32BF">
      <w:pPr>
        <w:pStyle w:val="13"/>
        <w:widowControl w:val="0"/>
        <w:spacing w:beforeAutospacing="0" w:afterAutospacing="0" w:line="360" w:lineRule="auto"/>
        <w:ind w:firstLine="480" w:firstLineChars="200"/>
        <w:jc w:val="both"/>
        <w:rPr>
          <w:rFonts w:hint="default"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5</w:t>
      </w:r>
      <w:r>
        <w:rPr>
          <w:rFonts w:cs="宋体"/>
          <w:color w:val="000000" w:themeColor="text1"/>
          <w:highlight w:val="none"/>
          <w:u w:val="single"/>
          <w:shd w:val="clear" w:color="auto" w:fill="FFFFFF"/>
          <w14:textFill>
            <w14:solidFill>
              <w14:schemeClr w14:val="tx1"/>
            </w14:solidFill>
          </w14:textFill>
        </w:rPr>
        <w:t>）定标委员会根据投票情况确定中标人后，撰写、签署定标报告。定标报告由定标委员会全体成员签字，对定标结论持有异议的成员应以书面方式阐述其不同意见和理由。</w:t>
      </w:r>
    </w:p>
    <w:p w14:paraId="59CEF757">
      <w:pPr>
        <w:spacing w:line="360" w:lineRule="auto"/>
        <w:ind w:firstLine="480" w:firstLineChars="200"/>
        <w:rPr>
          <w:rFonts w:ascii="宋体" w:hAnsi="宋体" w:eastAsia="宋体" w:cs="宋体"/>
          <w:color w:val="000000" w:themeColor="text1"/>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u w:val="single"/>
          <w:shd w:val="clear" w:color="auto" w:fill="FFFFFF"/>
          <w:lang w:bidi="ar"/>
          <w14:textFill>
            <w14:solidFill>
              <w14:schemeClr w14:val="tx1"/>
            </w14:solidFill>
          </w14:textFill>
        </w:rPr>
        <w:t>（</w:t>
      </w:r>
      <w:r>
        <w:rPr>
          <w:rFonts w:ascii="宋体" w:hAnsi="宋体" w:eastAsia="宋体" w:cs="宋体"/>
          <w:color w:val="000000" w:themeColor="text1"/>
          <w:sz w:val="24"/>
          <w:szCs w:val="24"/>
          <w:highlight w:val="none"/>
          <w:u w:val="single"/>
          <w:shd w:val="clear" w:color="auto" w:fill="FFFFFF"/>
          <w:lang w:bidi="ar"/>
          <w14:textFill>
            <w14:solidFill>
              <w14:schemeClr w14:val="tx1"/>
            </w14:solidFill>
          </w14:textFill>
        </w:rPr>
        <w:t>6）定标委员会向招标人提交书面定标报告后即解散，定标过程中使用的文件、表格以及其他资料不得私自带离。</w:t>
      </w:r>
    </w:p>
    <w:p w14:paraId="3759599E">
      <w:pPr>
        <w:pStyle w:val="13"/>
        <w:widowControl w:val="0"/>
        <w:spacing w:beforeAutospacing="0" w:afterAutospacing="0" w:line="360" w:lineRule="auto"/>
        <w:ind w:firstLine="480" w:firstLineChars="200"/>
        <w:jc w:val="both"/>
        <w:rPr>
          <w:rFonts w:cs="宋体"/>
          <w:color w:val="000000" w:themeColor="text1"/>
          <w:highlight w:val="none"/>
          <w:u w:val="single"/>
          <w:shd w:val="clear" w:color="auto" w:fill="FFFFFF"/>
          <w14:textFill>
            <w14:solidFill>
              <w14:schemeClr w14:val="tx1"/>
            </w14:solidFill>
          </w14:textFill>
        </w:rPr>
      </w:pPr>
      <w:r>
        <w:rPr>
          <w:rFonts w:hint="eastAsia" w:cs="宋体"/>
          <w:color w:val="000000" w:themeColor="text1"/>
          <w:highlight w:val="none"/>
          <w:u w:val="single"/>
          <w:shd w:val="clear" w:color="auto" w:fill="FFFFFF"/>
          <w14:textFill>
            <w14:solidFill>
              <w14:schemeClr w14:val="tx1"/>
            </w14:solidFill>
          </w14:textFill>
        </w:rPr>
        <w:t>3、答辩要求：</w:t>
      </w:r>
    </w:p>
    <w:p w14:paraId="5EE7DCC0">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themeColor="text1"/>
          <w:kern w:val="0"/>
          <w:sz w:val="24"/>
          <w:szCs w:val="24"/>
          <w:highlight w:val="none"/>
          <w:u w:val="single"/>
          <w:shd w:val="clear" w:fill="FFFFFF"/>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（1）答辩人员组成：由项目负责人、建筑专业负责人其中1人或2人组成</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参与人员须是本单位的在职人员）；</w:t>
      </w:r>
    </w:p>
    <w:p w14:paraId="0FE52CDB">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（2）答辩顺序：开标结束后交易系统导出的开标记录表上面的序号即为各合格的中标候选人的答辩顺序号，按答辩顺序号由小至大依次进行答辩，具体答辩时间以招标人通知为准。</w:t>
      </w:r>
    </w:p>
    <w:p w14:paraId="21677280">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3）答辩人员的到场要求：合格的中标候选人在参加答辩时，应向招标人（招标代理）出示一份加盖公章的法定代表人证明书及授权委托书，并提供答辩人员的近一个月（2025年10月）社保证明复印件并加盖单位公章（如为退休人员，应提供退休证明及单位聘用证明；</w:t>
      </w:r>
      <w:r>
        <w:rPr>
          <w:rFonts w:hint="eastAsia" w:ascii="宋体" w:hAnsi="宋体" w:eastAsia="宋体" w:cs="宋体"/>
          <w:b/>
          <w:color w:val="000000" w:themeColor="text1"/>
          <w:kern w:val="0"/>
          <w:sz w:val="24"/>
          <w:szCs w:val="24"/>
          <w:highlight w:val="none"/>
          <w:u w:val="single"/>
          <w:shd w:val="clear" w:fill="FFFFFF"/>
          <w:lang w:val="en-US" w:eastAsia="zh-CN" w:bidi="ar"/>
          <w14:textFill>
            <w14:solidFill>
              <w14:schemeClr w14:val="tx1"/>
            </w14:solidFill>
          </w14:textFill>
        </w:rPr>
        <w:t>如为高校从事工程勘察设计的人员社保缴纳单位与投标单位不一致的，除需提供社保缴纳证明材料扫描件，还需提供岗位所在单位上级人事主管部门出具的人员为本校事业编制人员并在该企业工作但社保由高校统一缴纳的人事关系证明文件扫描件</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）。由参与答辩的人员出示身份证原件，核对确认身份后签到。未能出示前述证明文件的单位不予参加答辩环节；</w:t>
      </w:r>
    </w:p>
    <w:p w14:paraId="3A3E3D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（4）答辩形式与要求：答辩人员先陈述，评委针对答辩内容提问，由答辩人员进行解答；</w:t>
      </w:r>
    </w:p>
    <w:p w14:paraId="30675AF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（5）答辩陈述时长控制：</w:t>
      </w:r>
      <w:r>
        <w:rPr>
          <w:rFonts w:hint="eastAsia" w:ascii="宋体" w:hAnsi="宋体" w:cs="宋体"/>
          <w:color w:val="000000" w:themeColor="text1"/>
          <w:kern w:val="0"/>
          <w:sz w:val="24"/>
          <w:szCs w:val="24"/>
          <w:highlight w:val="none"/>
          <w:u w:val="single"/>
          <w:shd w:val="clear" w:color="auto" w:fill="FFFFFF"/>
          <w14:textFill>
            <w14:solidFill>
              <w14:schemeClr w14:val="tx1"/>
            </w14:solidFill>
          </w14:textFill>
        </w:rPr>
        <w:t>每家投标人答辩总时长控制在10分钟内，其中答辩团队的陈述时间不</w:t>
      </w:r>
      <w:r>
        <w:rPr>
          <w:rFonts w:hint="eastAsia" w:ascii="宋体" w:hAnsi="宋体" w:cs="宋体"/>
          <w:color w:val="000000" w:themeColor="text1"/>
          <w:kern w:val="0"/>
          <w:sz w:val="24"/>
          <w:szCs w:val="24"/>
          <w:highlight w:val="none"/>
          <w:u w:val="single"/>
          <w:shd w:val="clear" w:color="auto" w:fill="FFFFFF"/>
          <w:lang w:val="en-US" w:eastAsia="zh-CN"/>
          <w14:textFill>
            <w14:solidFill>
              <w14:schemeClr w14:val="tx1"/>
            </w14:solidFill>
          </w14:textFill>
        </w:rPr>
        <w:t>超过</w:t>
      </w:r>
      <w:r>
        <w:rPr>
          <w:rFonts w:hint="eastAsia" w:ascii="宋体" w:hAnsi="宋体" w:cs="宋体"/>
          <w:color w:val="000000" w:themeColor="text1"/>
          <w:kern w:val="0"/>
          <w:sz w:val="24"/>
          <w:szCs w:val="24"/>
          <w:highlight w:val="none"/>
          <w:u w:val="single"/>
          <w:shd w:val="clear" w:color="auto" w:fill="FFFFFF"/>
          <w14:textFill>
            <w14:solidFill>
              <w14:schemeClr w14:val="tx1"/>
            </w14:solidFill>
          </w14:textFill>
        </w:rPr>
        <w:t>6分钟。</w:t>
      </w:r>
    </w:p>
    <w:p w14:paraId="281991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6）本项目答辩时允许携带稿件和纸笔，但不得携带具有通讯、存储、编程、查询等功能的电子产品（包括但不限于电脑、手机、智能手表、智能手环、智能眼镜等），如发现携带上述电子产品的，则视为答辩因素差。</w:t>
      </w:r>
    </w:p>
    <w:p w14:paraId="4BC2275C">
      <w:pPr>
        <w:pStyle w:val="13"/>
        <w:widowControl w:val="0"/>
        <w:spacing w:beforeAutospacing="0" w:afterAutospacing="0" w:line="360" w:lineRule="auto"/>
        <w:ind w:firstLine="480" w:firstLineChars="200"/>
        <w:jc w:val="both"/>
        <w:rPr>
          <w:rFonts w:hint="eastAsia"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4、</w:t>
      </w:r>
      <w:r>
        <w:rPr>
          <w:rFonts w:hint="eastAsia" w:cs="宋体"/>
          <w:color w:val="000000" w:themeColor="text1"/>
          <w:highlight w:val="none"/>
          <w:u w:val="single"/>
          <w:shd w:val="clear" w:color="auto" w:fill="FFFFFF"/>
          <w14:textFill>
            <w14:solidFill>
              <w14:schemeClr w14:val="tx1"/>
            </w14:solidFill>
          </w14:textFill>
        </w:rPr>
        <w:t>其他</w:t>
      </w:r>
    </w:p>
    <w:p w14:paraId="5C95DFA8">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（1）定标委员会各成员在定标过程中，对任一投标文件的质疑，应当在投票结果公布前提出。投票结果公布后才提出的质疑，不可作为改变投票结果的依据。</w:t>
      </w:r>
    </w:p>
    <w:p w14:paraId="42CFB4DC">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若在定标期间，经定标委员会两人以上（含两人）以书面形式提出动议，定标委员会应当书面发出澄清通知，要求中标候选人对投标文件含义不明确的内容作出澄清。</w:t>
      </w:r>
    </w:p>
    <w:p w14:paraId="03835AB1">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中标候选人应以书面形式进行澄清，澄清中的承诺性意思表示在投标文件有效期内均对中标候选人有约束力。澄清不得超出投标文件的范围或改变投标文件的实质性内容，超出部分不作为定标委员会评审的依据。</w:t>
      </w:r>
    </w:p>
    <w:p w14:paraId="5EC57A87">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定标委员会均应当阅读投标人的澄清，但应独立行使投票权。</w:t>
      </w:r>
    </w:p>
    <w:p w14:paraId="275F0D44">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w:t>
      </w: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2</w:t>
      </w: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w:t>
      </w:r>
      <w:r>
        <w:rPr>
          <w:rFonts w:ascii="宋体" w:hAnsi="宋体" w:eastAsia="宋体" w:cs="宋体"/>
          <w:color w:val="000000" w:themeColor="text1"/>
          <w:sz w:val="24"/>
          <w:szCs w:val="24"/>
          <w:highlight w:val="none"/>
          <w:u w:val="single"/>
          <w:shd w:val="clear" w:color="auto" w:fill="FFFFFF"/>
          <w:lang w:bidi="ar"/>
          <w14:textFill>
            <w14:solidFill>
              <w14:schemeClr w14:val="tx1"/>
            </w14:solidFill>
          </w14:textFill>
        </w:rPr>
        <w:t>定标后出现中标人放弃中标、因不可抗力不能履行合同或不符合法定情形的，</w:t>
      </w: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招标人可从其他合格的中标候选人中采用原定标办法，由原定标委员会确定中标人，</w:t>
      </w: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也可以重新招标。</w:t>
      </w:r>
    </w:p>
    <w:p w14:paraId="582C38C5">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w:t>
      </w: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3</w:t>
      </w: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5F3F3623">
      <w:pPr>
        <w:pStyle w:val="13"/>
        <w:widowControl w:val="0"/>
        <w:spacing w:beforeAutospacing="0" w:afterAutospacing="0"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w:t>
      </w:r>
      <w:r>
        <w:rPr>
          <w:rFonts w:hint="default"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4</w:t>
      </w: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3F1728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p>
    <w:p w14:paraId="40CE0A44">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bookmarkStart w:id="126" w:name="_Toc19896"/>
      <w:r>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br w:type="page"/>
      </w:r>
    </w:p>
    <w:p w14:paraId="52A3FF96">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27" w:name="_Toc27445"/>
      <w:bookmarkStart w:id="128" w:name="_Toc964"/>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附录16-1 定标评语</w:t>
      </w:r>
      <w:bookmarkEnd w:id="127"/>
      <w:bookmarkEnd w:id="128"/>
    </w:p>
    <w:p w14:paraId="663F3A87">
      <w:pPr>
        <w:spacing w:before="0"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定标评语</w:t>
      </w:r>
    </w:p>
    <w:p w14:paraId="22B51F62">
      <w:pPr>
        <w:spacing w:before="240"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bl>
      <w:tblPr>
        <w:tblStyle w:val="15"/>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304"/>
        <w:gridCol w:w="1523"/>
        <w:gridCol w:w="3443"/>
      </w:tblGrid>
      <w:tr w14:paraId="7B0E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64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5223A67">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w:t>
            </w:r>
          </w:p>
          <w:p w14:paraId="7DE7E04E">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方案编号</w:t>
            </w:r>
          </w:p>
        </w:tc>
        <w:tc>
          <w:tcPr>
            <w:tcW w:w="2304" w:type="dxa"/>
            <w:tcBorders>
              <w:top w:val="single" w:color="auto" w:sz="4" w:space="0"/>
              <w:left w:val="nil"/>
              <w:bottom w:val="single" w:color="auto" w:sz="4" w:space="0"/>
              <w:right w:val="single" w:color="auto" w:sz="4" w:space="0"/>
            </w:tcBorders>
            <w:noWrap w:val="0"/>
            <w:vAlign w:val="center"/>
          </w:tcPr>
          <w:p w14:paraId="4609AA94">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合格中标候选人名称</w:t>
            </w:r>
          </w:p>
        </w:tc>
        <w:tc>
          <w:tcPr>
            <w:tcW w:w="4966" w:type="dxa"/>
            <w:gridSpan w:val="2"/>
            <w:tcBorders>
              <w:top w:val="single" w:color="auto" w:sz="4" w:space="0"/>
              <w:left w:val="nil"/>
              <w:bottom w:val="single" w:color="auto" w:sz="4" w:space="0"/>
              <w:right w:val="single" w:color="auto" w:sz="4" w:space="0"/>
            </w:tcBorders>
            <w:noWrap w:val="0"/>
            <w:vAlign w:val="center"/>
          </w:tcPr>
          <w:p w14:paraId="2CECF24F">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评语（针对价格因素、方案因素、团队因素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业绩因素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答辩因素、设计管理因素</w:t>
            </w:r>
            <w:r>
              <w:rPr>
                <w:rFonts w:hint="eastAsia" w:ascii="宋体" w:hAnsi="宋体" w:cs="宋体"/>
                <w:color w:val="000000" w:themeColor="text1"/>
                <w:szCs w:val="21"/>
                <w:highlight w:val="none"/>
                <w14:textFill>
                  <w14:solidFill>
                    <w14:schemeClr w14:val="tx1"/>
                  </w14:solidFill>
                </w14:textFill>
              </w:rPr>
              <w:t>撰写评语）</w:t>
            </w:r>
          </w:p>
        </w:tc>
      </w:tr>
      <w:tr w14:paraId="164E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restart"/>
            <w:tcBorders>
              <w:top w:val="single" w:color="auto" w:sz="4" w:space="0"/>
              <w:left w:val="single" w:color="auto" w:sz="4" w:space="0"/>
              <w:right w:val="single" w:color="auto" w:sz="4" w:space="0"/>
            </w:tcBorders>
            <w:noWrap w:val="0"/>
            <w:vAlign w:val="center"/>
          </w:tcPr>
          <w:p w14:paraId="6C619982">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2304" w:type="dxa"/>
            <w:vMerge w:val="restart"/>
            <w:tcBorders>
              <w:top w:val="single" w:color="auto" w:sz="4" w:space="0"/>
              <w:left w:val="single" w:color="auto" w:sz="4" w:space="0"/>
              <w:right w:val="single" w:color="auto" w:sz="4" w:space="0"/>
            </w:tcBorders>
            <w:noWrap w:val="0"/>
            <w:vAlign w:val="center"/>
          </w:tcPr>
          <w:p w14:paraId="0733A075">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1ACF2B5">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4A707363">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20E9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continue"/>
            <w:tcBorders>
              <w:left w:val="single" w:color="auto" w:sz="4" w:space="0"/>
              <w:right w:val="single" w:color="auto" w:sz="4" w:space="0"/>
            </w:tcBorders>
            <w:noWrap w:val="0"/>
            <w:vAlign w:val="center"/>
          </w:tcPr>
          <w:p w14:paraId="4A3F563C">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06DB9BA7">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C57D7F3">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方案因素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7A457BDF">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0E29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52244F7A">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0CF88586">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4757EEA">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团队因素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4BE5A0C0">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2C8F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1F9BDBFB">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3DF4CEFF">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E0DFBEC">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54186D9A">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65A5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1548CF35">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5BEF656C">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027E302">
            <w:pPr>
              <w:keepNext w:val="0"/>
              <w:keepLines w:val="0"/>
              <w:suppressLineNumbers w:val="0"/>
              <w:spacing w:before="0" w:beforeAutospacing="0" w:after="0" w:afterAutospacing="0"/>
              <w:ind w:left="0" w:right="0"/>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答辩</w:t>
            </w:r>
            <w:r>
              <w:rPr>
                <w:rFonts w:hint="eastAsia" w:ascii="宋体" w:hAnsi="宋体" w:cs="宋体"/>
                <w:color w:val="000000" w:themeColor="text1"/>
                <w:szCs w:val="21"/>
                <w:highlight w:val="none"/>
                <w14:textFill>
                  <w14:solidFill>
                    <w14:schemeClr w14:val="tx1"/>
                  </w14:solidFill>
                </w14:textFill>
              </w:rPr>
              <w:t>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66FFD971">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7140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bottom w:val="single" w:color="auto" w:sz="4" w:space="0"/>
              <w:right w:val="single" w:color="auto" w:sz="4" w:space="0"/>
            </w:tcBorders>
            <w:noWrap w:val="0"/>
            <w:vAlign w:val="center"/>
          </w:tcPr>
          <w:p w14:paraId="0B79A33D">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bottom w:val="single" w:color="auto" w:sz="4" w:space="0"/>
              <w:right w:val="single" w:color="auto" w:sz="4" w:space="0"/>
            </w:tcBorders>
            <w:noWrap w:val="0"/>
            <w:vAlign w:val="center"/>
          </w:tcPr>
          <w:p w14:paraId="51820968">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104DD5B">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设计管理因素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0BFED23D">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03D7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restart"/>
            <w:tcBorders>
              <w:top w:val="single" w:color="auto" w:sz="4" w:space="0"/>
              <w:left w:val="single" w:color="auto" w:sz="4" w:space="0"/>
              <w:right w:val="single" w:color="auto" w:sz="4" w:space="0"/>
            </w:tcBorders>
            <w:noWrap w:val="0"/>
            <w:vAlign w:val="center"/>
          </w:tcPr>
          <w:p w14:paraId="5BA7577B">
            <w:pPr>
              <w:keepNext w:val="0"/>
              <w:keepLines w:val="0"/>
              <w:widowControl/>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2304" w:type="dxa"/>
            <w:vMerge w:val="restart"/>
            <w:tcBorders>
              <w:top w:val="single" w:color="auto" w:sz="4" w:space="0"/>
              <w:left w:val="single" w:color="auto" w:sz="4" w:space="0"/>
              <w:right w:val="single" w:color="auto" w:sz="4" w:space="0"/>
            </w:tcBorders>
            <w:noWrap w:val="0"/>
            <w:vAlign w:val="center"/>
          </w:tcPr>
          <w:p w14:paraId="4D00BCB9">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D51A56A">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58577EF0">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70C4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233D6358">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0792A58F">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AC9F0DC">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方案因素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1A7852B2">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544C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15BDA652">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7D6C5610">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010823B">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团队因素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7F7F82DC">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14EC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50EE82B0">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2E943E6A">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6D556E7">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16422DA7">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4C3A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1B5DB119">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0342F5F6">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783D094">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答辩</w:t>
            </w:r>
            <w:r>
              <w:rPr>
                <w:rFonts w:hint="eastAsia" w:ascii="宋体" w:hAnsi="宋体" w:cs="宋体"/>
                <w:color w:val="000000" w:themeColor="text1"/>
                <w:szCs w:val="21"/>
                <w:highlight w:val="none"/>
                <w14:textFill>
                  <w14:solidFill>
                    <w14:schemeClr w14:val="tx1"/>
                  </w14:solidFill>
                </w14:textFill>
              </w:rPr>
              <w:t>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2E1F4487">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51D7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bottom w:val="single" w:color="auto" w:sz="4" w:space="0"/>
              <w:right w:val="single" w:color="auto" w:sz="4" w:space="0"/>
            </w:tcBorders>
            <w:noWrap w:val="0"/>
            <w:vAlign w:val="center"/>
          </w:tcPr>
          <w:p w14:paraId="141CE00E">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bottom w:val="single" w:color="auto" w:sz="4" w:space="0"/>
              <w:right w:val="single" w:color="auto" w:sz="4" w:space="0"/>
            </w:tcBorders>
            <w:noWrap w:val="0"/>
            <w:vAlign w:val="center"/>
          </w:tcPr>
          <w:p w14:paraId="51B96979">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C280C58">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设计管理因素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4A518232">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682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tcBorders>
              <w:top w:val="single" w:color="auto" w:sz="4" w:space="0"/>
              <w:left w:val="single" w:color="auto" w:sz="4" w:space="0"/>
              <w:bottom w:val="single" w:color="auto" w:sz="4" w:space="0"/>
              <w:right w:val="single" w:color="auto" w:sz="4" w:space="0"/>
            </w:tcBorders>
            <w:noWrap w:val="0"/>
            <w:vAlign w:val="center"/>
          </w:tcPr>
          <w:p w14:paraId="1F4A4401">
            <w:pPr>
              <w:keepNext w:val="0"/>
              <w:keepLines w:val="0"/>
              <w:widowControl/>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304" w:type="dxa"/>
            <w:tcBorders>
              <w:top w:val="single" w:color="auto" w:sz="4" w:space="0"/>
              <w:left w:val="nil"/>
              <w:bottom w:val="single" w:color="auto" w:sz="4" w:space="0"/>
              <w:right w:val="single" w:color="auto" w:sz="4" w:space="0"/>
            </w:tcBorders>
            <w:noWrap w:val="0"/>
            <w:vAlign w:val="center"/>
          </w:tcPr>
          <w:p w14:paraId="286EE1F4">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noWrap w:val="0"/>
            <w:vAlign w:val="center"/>
          </w:tcPr>
          <w:p w14:paraId="6B308030">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443" w:type="dxa"/>
            <w:tcBorders>
              <w:top w:val="single" w:color="auto" w:sz="4" w:space="0"/>
              <w:left w:val="nil"/>
              <w:bottom w:val="single" w:color="auto" w:sz="4" w:space="0"/>
              <w:right w:val="single" w:color="auto" w:sz="4" w:space="0"/>
            </w:tcBorders>
            <w:noWrap w:val="0"/>
            <w:vAlign w:val="center"/>
          </w:tcPr>
          <w:p w14:paraId="09956124">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bl>
    <w:p w14:paraId="7FAAE88D">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p>
    <w:p w14:paraId="03EF23CC">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br w:type="page"/>
      </w:r>
    </w:p>
    <w:p w14:paraId="72A60C62">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29" w:name="_Toc15789"/>
      <w:bookmarkStart w:id="130" w:name="_Toc31753"/>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附录16-2 投票表格</w:t>
      </w:r>
      <w:bookmarkEnd w:id="129"/>
      <w:bookmarkEnd w:id="130"/>
    </w:p>
    <w:p w14:paraId="77479843">
      <w:pPr>
        <w:pStyle w:val="13"/>
        <w:keepNext w:val="0"/>
        <w:keepLines w:val="0"/>
        <w:pageBreakBefore w:val="0"/>
        <w:kinsoku/>
        <w:wordWrap/>
        <w:overflowPunct/>
        <w:topLinePunct w:val="0"/>
        <w:autoSpaceDE/>
        <w:autoSpaceDN/>
        <w:bidi w:val="0"/>
        <w:adjustRightInd/>
        <w:snapToGrid w:val="0"/>
        <w:spacing w:before="0" w:beforeAutospacing="0" w:after="0" w:afterAutospacing="0" w:line="240" w:lineRule="auto"/>
        <w:ind w:firstLine="568" w:firstLineChars="202"/>
        <w:jc w:val="center"/>
        <w:textAlignment w:val="auto"/>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投票表格</w:t>
      </w:r>
    </w:p>
    <w:p w14:paraId="0D12DB8E">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项目名称：</w:t>
      </w:r>
    </w:p>
    <w:tbl>
      <w:tblPr>
        <w:tblStyle w:val="1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891"/>
        <w:gridCol w:w="630"/>
        <w:gridCol w:w="1101"/>
        <w:gridCol w:w="397"/>
        <w:gridCol w:w="1179"/>
        <w:gridCol w:w="944"/>
        <w:gridCol w:w="1958"/>
      </w:tblGrid>
      <w:tr w14:paraId="4371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380" w:type="dxa"/>
            <w:tcBorders>
              <w:top w:val="double" w:color="auto" w:sz="4" w:space="0"/>
              <w:left w:val="double" w:color="auto" w:sz="4" w:space="0"/>
              <w:bottom w:val="double" w:color="auto" w:sz="4" w:space="0"/>
              <w:right w:val="single" w:color="auto" w:sz="4" w:space="0"/>
            </w:tcBorders>
            <w:noWrap w:val="0"/>
            <w:vAlign w:val="center"/>
          </w:tcPr>
          <w:p w14:paraId="1A32ED3C">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第</w:t>
            </w:r>
            <w:r>
              <w:rPr>
                <w:rFonts w:hint="eastAsia" w:ascii="宋体" w:hAnsi="宋体" w:cs="宋体"/>
                <w:color w:val="000000" w:themeColor="text1"/>
                <w:sz w:val="24"/>
                <w:highlight w:val="none"/>
                <w:lang w:val="en-US" w:eastAsia="zh-CN" w:bidi="ar"/>
                <w14:textFill>
                  <w14:solidFill>
                    <w14:schemeClr w14:val="tx1"/>
                  </w14:solidFill>
                </w14:textFill>
              </w:rPr>
              <w:t xml:space="preserve">   </w:t>
            </w:r>
            <w:r>
              <w:rPr>
                <w:rFonts w:hint="eastAsia" w:ascii="宋体" w:hAnsi="宋体" w:cs="宋体"/>
                <w:color w:val="000000" w:themeColor="text1"/>
                <w:sz w:val="24"/>
                <w:highlight w:val="none"/>
                <w:lang w:bidi="ar"/>
                <w14:textFill>
                  <w14:solidFill>
                    <w14:schemeClr w14:val="tx1"/>
                  </w14:solidFill>
                </w14:textFill>
              </w:rPr>
              <w:t>轮</w:t>
            </w:r>
          </w:p>
        </w:tc>
        <w:tc>
          <w:tcPr>
            <w:tcW w:w="1891" w:type="dxa"/>
            <w:tcBorders>
              <w:top w:val="double" w:color="auto" w:sz="4" w:space="0"/>
              <w:left w:val="single" w:color="auto" w:sz="4" w:space="0"/>
              <w:bottom w:val="double" w:color="auto" w:sz="4" w:space="0"/>
              <w:right w:val="single" w:color="auto" w:sz="4" w:space="0"/>
            </w:tcBorders>
            <w:noWrap w:val="0"/>
            <w:vAlign w:val="top"/>
          </w:tcPr>
          <w:p w14:paraId="73945F8E">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2128" w:type="dxa"/>
            <w:gridSpan w:val="3"/>
            <w:tcBorders>
              <w:top w:val="double" w:color="auto" w:sz="4" w:space="0"/>
              <w:left w:val="single" w:color="auto" w:sz="4" w:space="0"/>
              <w:bottom w:val="double" w:color="auto" w:sz="4" w:space="0"/>
              <w:right w:val="single" w:color="auto" w:sz="4" w:space="0"/>
            </w:tcBorders>
            <w:noWrap w:val="0"/>
            <w:vAlign w:val="top"/>
          </w:tcPr>
          <w:p w14:paraId="5A6DDB8E">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2123" w:type="dxa"/>
            <w:gridSpan w:val="2"/>
            <w:tcBorders>
              <w:top w:val="double" w:color="auto" w:sz="4" w:space="0"/>
              <w:left w:val="single" w:color="auto" w:sz="4" w:space="0"/>
              <w:bottom w:val="double" w:color="auto" w:sz="4" w:space="0"/>
              <w:right w:val="single" w:color="auto" w:sz="4" w:space="0"/>
            </w:tcBorders>
            <w:noWrap w:val="0"/>
            <w:vAlign w:val="top"/>
          </w:tcPr>
          <w:p w14:paraId="25395299">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1958" w:type="dxa"/>
            <w:tcBorders>
              <w:top w:val="double" w:color="auto" w:sz="4" w:space="0"/>
              <w:left w:val="single" w:color="auto" w:sz="4" w:space="0"/>
              <w:bottom w:val="double" w:color="auto" w:sz="4" w:space="0"/>
              <w:right w:val="single" w:color="auto" w:sz="4" w:space="0"/>
            </w:tcBorders>
            <w:noWrap w:val="0"/>
            <w:vAlign w:val="top"/>
          </w:tcPr>
          <w:p w14:paraId="5F83E3DE">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r>
      <w:tr w14:paraId="006D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380" w:type="dxa"/>
            <w:tcBorders>
              <w:top w:val="double" w:color="auto" w:sz="4" w:space="0"/>
              <w:left w:val="double" w:color="auto" w:sz="4" w:space="0"/>
              <w:bottom w:val="double" w:color="auto" w:sz="4" w:space="0"/>
              <w:right w:val="single" w:color="auto" w:sz="4" w:space="0"/>
            </w:tcBorders>
            <w:noWrap w:val="0"/>
            <w:vAlign w:val="center"/>
          </w:tcPr>
          <w:p w14:paraId="039592C7">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第</w:t>
            </w:r>
            <w:r>
              <w:rPr>
                <w:rFonts w:hint="eastAsia" w:ascii="宋体" w:hAnsi="宋体" w:cs="宋体"/>
                <w:color w:val="000000" w:themeColor="text1"/>
                <w:sz w:val="24"/>
                <w:highlight w:val="none"/>
                <w:lang w:val="en-US" w:eastAsia="zh-CN" w:bidi="ar"/>
                <w14:textFill>
                  <w14:solidFill>
                    <w14:schemeClr w14:val="tx1"/>
                  </w14:solidFill>
                </w14:textFill>
              </w:rPr>
              <w:t xml:space="preserve">   </w:t>
            </w:r>
            <w:r>
              <w:rPr>
                <w:rFonts w:hint="eastAsia" w:ascii="宋体" w:hAnsi="宋体" w:cs="宋体"/>
                <w:color w:val="000000" w:themeColor="text1"/>
                <w:sz w:val="24"/>
                <w:highlight w:val="none"/>
                <w:lang w:bidi="ar"/>
                <w14:textFill>
                  <w14:solidFill>
                    <w14:schemeClr w14:val="tx1"/>
                  </w14:solidFill>
                </w14:textFill>
              </w:rPr>
              <w:t>轮</w:t>
            </w:r>
          </w:p>
        </w:tc>
        <w:tc>
          <w:tcPr>
            <w:tcW w:w="2521" w:type="dxa"/>
            <w:gridSpan w:val="2"/>
            <w:tcBorders>
              <w:top w:val="double" w:color="auto" w:sz="4" w:space="0"/>
              <w:left w:val="single" w:color="auto" w:sz="4" w:space="0"/>
              <w:bottom w:val="double" w:color="auto" w:sz="4" w:space="0"/>
              <w:right w:val="double" w:color="auto" w:sz="4" w:space="0"/>
            </w:tcBorders>
            <w:noWrap w:val="0"/>
            <w:vAlign w:val="top"/>
          </w:tcPr>
          <w:p w14:paraId="41B68E28">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2677" w:type="dxa"/>
            <w:gridSpan w:val="3"/>
            <w:tcBorders>
              <w:top w:val="double" w:color="auto" w:sz="4" w:space="0"/>
              <w:left w:val="single" w:color="auto" w:sz="4" w:space="0"/>
              <w:bottom w:val="double" w:color="auto" w:sz="4" w:space="0"/>
              <w:right w:val="double" w:color="auto" w:sz="4" w:space="0"/>
            </w:tcBorders>
            <w:noWrap w:val="0"/>
            <w:vAlign w:val="top"/>
          </w:tcPr>
          <w:p w14:paraId="2FA516DF">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2902" w:type="dxa"/>
            <w:gridSpan w:val="2"/>
            <w:tcBorders>
              <w:top w:val="double" w:color="auto" w:sz="4" w:space="0"/>
              <w:left w:val="single" w:color="auto" w:sz="4" w:space="0"/>
              <w:bottom w:val="double" w:color="auto" w:sz="4" w:space="0"/>
              <w:right w:val="double" w:color="auto" w:sz="4" w:space="0"/>
            </w:tcBorders>
            <w:noWrap w:val="0"/>
            <w:vAlign w:val="top"/>
          </w:tcPr>
          <w:p w14:paraId="6D23F484">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r>
      <w:tr w14:paraId="0DFB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380" w:type="dxa"/>
            <w:tcBorders>
              <w:top w:val="double" w:color="auto" w:sz="4" w:space="0"/>
              <w:left w:val="double" w:color="auto" w:sz="4" w:space="0"/>
              <w:bottom w:val="double" w:color="auto" w:sz="4" w:space="0"/>
              <w:right w:val="single" w:color="auto" w:sz="4" w:space="0"/>
            </w:tcBorders>
            <w:noWrap w:val="0"/>
            <w:vAlign w:val="center"/>
          </w:tcPr>
          <w:p w14:paraId="009B9300">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第</w:t>
            </w:r>
            <w:r>
              <w:rPr>
                <w:rFonts w:hint="eastAsia" w:ascii="宋体" w:hAnsi="宋体" w:cs="宋体"/>
                <w:color w:val="000000" w:themeColor="text1"/>
                <w:sz w:val="24"/>
                <w:highlight w:val="none"/>
                <w:lang w:val="en-US" w:eastAsia="zh-CN" w:bidi="ar"/>
                <w14:textFill>
                  <w14:solidFill>
                    <w14:schemeClr w14:val="tx1"/>
                  </w14:solidFill>
                </w14:textFill>
              </w:rPr>
              <w:t xml:space="preserve">   </w:t>
            </w:r>
            <w:r>
              <w:rPr>
                <w:rFonts w:hint="eastAsia" w:ascii="宋体" w:hAnsi="宋体" w:cs="宋体"/>
                <w:color w:val="000000" w:themeColor="text1"/>
                <w:sz w:val="24"/>
                <w:highlight w:val="none"/>
                <w:lang w:bidi="ar"/>
                <w14:textFill>
                  <w14:solidFill>
                    <w14:schemeClr w14:val="tx1"/>
                  </w14:solidFill>
                </w14:textFill>
              </w:rPr>
              <w:t>轮</w:t>
            </w:r>
          </w:p>
        </w:tc>
        <w:tc>
          <w:tcPr>
            <w:tcW w:w="3622" w:type="dxa"/>
            <w:gridSpan w:val="3"/>
            <w:tcBorders>
              <w:top w:val="double" w:color="auto" w:sz="4" w:space="0"/>
              <w:left w:val="single" w:color="auto" w:sz="4" w:space="0"/>
              <w:bottom w:val="double" w:color="auto" w:sz="4" w:space="0"/>
              <w:right w:val="double" w:color="auto" w:sz="4" w:space="0"/>
            </w:tcBorders>
            <w:noWrap w:val="0"/>
            <w:vAlign w:val="top"/>
          </w:tcPr>
          <w:p w14:paraId="0BEDDAA4">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4478" w:type="dxa"/>
            <w:gridSpan w:val="4"/>
            <w:tcBorders>
              <w:top w:val="double" w:color="auto" w:sz="4" w:space="0"/>
              <w:left w:val="single" w:color="auto" w:sz="4" w:space="0"/>
              <w:bottom w:val="double" w:color="auto" w:sz="4" w:space="0"/>
              <w:right w:val="double" w:color="auto" w:sz="4" w:space="0"/>
            </w:tcBorders>
            <w:noWrap w:val="0"/>
            <w:vAlign w:val="top"/>
          </w:tcPr>
          <w:p w14:paraId="66C688F7">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r>
      <w:tr w14:paraId="18D2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380" w:type="dxa"/>
            <w:tcBorders>
              <w:top w:val="double" w:color="auto" w:sz="4" w:space="0"/>
              <w:left w:val="double" w:color="auto" w:sz="4" w:space="0"/>
              <w:bottom w:val="double" w:color="auto" w:sz="4" w:space="0"/>
              <w:right w:val="single" w:color="auto" w:sz="4" w:space="0"/>
            </w:tcBorders>
            <w:noWrap w:val="0"/>
            <w:tcMar>
              <w:top w:w="0" w:type="dxa"/>
              <w:left w:w="108" w:type="dxa"/>
              <w:bottom w:w="0" w:type="dxa"/>
              <w:right w:w="108" w:type="dxa"/>
            </w:tcMar>
            <w:vAlign w:val="center"/>
          </w:tcPr>
          <w:p w14:paraId="7B339DCB">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第</w:t>
            </w:r>
            <w:r>
              <w:rPr>
                <w:rFonts w:hint="eastAsia" w:ascii="宋体" w:hAnsi="宋体" w:cs="宋体"/>
                <w:color w:val="000000" w:themeColor="text1"/>
                <w:sz w:val="24"/>
                <w:highlight w:val="none"/>
                <w:lang w:val="en-US" w:eastAsia="zh-CN" w:bidi="ar"/>
                <w14:textFill>
                  <w14:solidFill>
                    <w14:schemeClr w14:val="tx1"/>
                  </w14:solidFill>
                </w14:textFill>
              </w:rPr>
              <w:t xml:space="preserve">   </w:t>
            </w:r>
            <w:r>
              <w:rPr>
                <w:rFonts w:hint="eastAsia" w:ascii="宋体" w:hAnsi="宋体" w:cs="宋体"/>
                <w:color w:val="000000" w:themeColor="text1"/>
                <w:sz w:val="24"/>
                <w:highlight w:val="none"/>
                <w:lang w:bidi="ar"/>
                <w14:textFill>
                  <w14:solidFill>
                    <w14:schemeClr w14:val="tx1"/>
                  </w14:solidFill>
                </w14:textFill>
              </w:rPr>
              <w:t>轮</w:t>
            </w:r>
          </w:p>
        </w:tc>
        <w:tc>
          <w:tcPr>
            <w:tcW w:w="8100" w:type="dxa"/>
            <w:gridSpan w:val="7"/>
            <w:tcBorders>
              <w:top w:val="double" w:color="auto" w:sz="4" w:space="0"/>
              <w:left w:val="single" w:color="auto" w:sz="4" w:space="0"/>
              <w:bottom w:val="double" w:color="auto" w:sz="4" w:space="0"/>
              <w:right w:val="double" w:color="auto" w:sz="4" w:space="0"/>
            </w:tcBorders>
            <w:noWrap w:val="0"/>
            <w:tcMar>
              <w:top w:w="0" w:type="dxa"/>
              <w:left w:w="108" w:type="dxa"/>
              <w:bottom w:w="0" w:type="dxa"/>
              <w:right w:w="108" w:type="dxa"/>
            </w:tcMar>
            <w:vAlign w:val="top"/>
          </w:tcPr>
          <w:p w14:paraId="610531E6">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r>
    </w:tbl>
    <w:p w14:paraId="3815CB20">
      <w:pPr>
        <w:keepNext w:val="0"/>
        <w:keepLines w:val="0"/>
        <w:widowControl w:val="0"/>
        <w:suppressLineNumbers w:val="0"/>
        <w:spacing w:before="0" w:beforeAutospacing="0" w:after="0" w:afterAutospacing="0" w:line="312" w:lineRule="auto"/>
        <w:ind w:left="0" w:right="0" w:firstLine="480" w:firstLineChars="200"/>
        <w:jc w:val="both"/>
        <w:rPr>
          <w:rFonts w:hint="eastAsia" w:ascii="宋体" w:hAnsi="宋体" w:eastAsia="宋体" w:cs="宋体"/>
          <w:color w:val="000000" w:themeColor="text1"/>
          <w:sz w:val="24"/>
          <w:szCs w:val="22"/>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正式投票规则：以上表格用于正式投票，从上到下每轮投票限使用一行空格，每个空格限填一个单位名称，同一行的空格内的单位名称不得重复。每轮投票允许选择的总数即下一轮候选总数，以得票多的投标单位当选为下一轮投票的候选投标单位。不能进入下一轮的投标单位，根据本轮得票数量确定名次。遇票数相等不能确定入选下一轮的投标单位时，应进行附加投票，以确定名次。</w:t>
      </w: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若投标人数为9人或以上，第一轮投票从第1行空格开始；若投标人数为5至8人，第一轮投票从上表第2行空格开始；若投标人数为3至4人，第一轮投票从上表第3行空格开始。每轮正式投票允许选择投标方案总数如下：</w:t>
      </w:r>
    </w:p>
    <w:p w14:paraId="7334EE63">
      <w:pPr>
        <w:spacing w:line="312"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每轮正式投票允许选择投标单位总数如下：</w:t>
      </w:r>
    </w:p>
    <w:tbl>
      <w:tblPr>
        <w:tblStyle w:val="15"/>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219"/>
        <w:gridCol w:w="2220"/>
        <w:gridCol w:w="2422"/>
      </w:tblGrid>
      <w:tr w14:paraId="0AF1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0F863700">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000000" w:themeColor="text1"/>
                <w:sz w:val="24"/>
                <w:highlight w:val="none"/>
                <w14:textFill>
                  <w14:solidFill>
                    <w14:schemeClr w14:val="tx1"/>
                  </w14:solidFill>
                </w14:textFill>
              </w:rPr>
            </w:pPr>
          </w:p>
        </w:tc>
        <w:tc>
          <w:tcPr>
            <w:tcW w:w="6861" w:type="dxa"/>
            <w:gridSpan w:val="3"/>
            <w:tcBorders>
              <w:top w:val="single" w:color="auto" w:sz="4" w:space="0"/>
              <w:left w:val="single" w:color="auto" w:sz="4" w:space="0"/>
              <w:bottom w:val="single" w:color="auto" w:sz="4" w:space="0"/>
              <w:right w:val="single" w:color="auto" w:sz="4" w:space="0"/>
            </w:tcBorders>
            <w:noWrap w:val="0"/>
            <w:vAlign w:val="top"/>
          </w:tcPr>
          <w:p w14:paraId="3B6C06E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每轮正式投票允许选择总数</w:t>
            </w:r>
          </w:p>
        </w:tc>
      </w:tr>
      <w:tr w14:paraId="5E6E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7119D94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投标人数</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4CFAA7C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3至4</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6D62D1C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5至8</w:t>
            </w:r>
          </w:p>
        </w:tc>
        <w:tc>
          <w:tcPr>
            <w:tcW w:w="2422" w:type="dxa"/>
            <w:tcBorders>
              <w:top w:val="single" w:color="auto" w:sz="4" w:space="0"/>
              <w:left w:val="single" w:color="auto" w:sz="4" w:space="0"/>
              <w:bottom w:val="single" w:color="auto" w:sz="4" w:space="0"/>
              <w:right w:val="single" w:color="auto" w:sz="4" w:space="0"/>
            </w:tcBorders>
            <w:noWrap w:val="0"/>
            <w:vAlign w:val="top"/>
          </w:tcPr>
          <w:p w14:paraId="5ECEED9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9人或以上</w:t>
            </w:r>
          </w:p>
        </w:tc>
      </w:tr>
      <w:tr w14:paraId="50DF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202200E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第1轮</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2B08045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214FE8A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4</w:t>
            </w:r>
          </w:p>
        </w:tc>
        <w:tc>
          <w:tcPr>
            <w:tcW w:w="2422" w:type="dxa"/>
            <w:tcBorders>
              <w:top w:val="single" w:color="auto" w:sz="4" w:space="0"/>
              <w:left w:val="single" w:color="auto" w:sz="4" w:space="0"/>
              <w:bottom w:val="single" w:color="auto" w:sz="4" w:space="0"/>
              <w:right w:val="single" w:color="auto" w:sz="4" w:space="0"/>
            </w:tcBorders>
            <w:noWrap w:val="0"/>
            <w:vAlign w:val="top"/>
          </w:tcPr>
          <w:p w14:paraId="078AB5C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8</w:t>
            </w:r>
          </w:p>
        </w:tc>
      </w:tr>
      <w:tr w14:paraId="4342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546EFDD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第2轮</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52BFD00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04CE6C1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2</w:t>
            </w:r>
          </w:p>
        </w:tc>
        <w:tc>
          <w:tcPr>
            <w:tcW w:w="2422" w:type="dxa"/>
            <w:tcBorders>
              <w:top w:val="single" w:color="auto" w:sz="4" w:space="0"/>
              <w:left w:val="single" w:color="auto" w:sz="4" w:space="0"/>
              <w:bottom w:val="single" w:color="auto" w:sz="4" w:space="0"/>
              <w:right w:val="single" w:color="auto" w:sz="4" w:space="0"/>
            </w:tcBorders>
            <w:noWrap w:val="0"/>
            <w:vAlign w:val="top"/>
          </w:tcPr>
          <w:p w14:paraId="2D3E8D4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4</w:t>
            </w:r>
          </w:p>
        </w:tc>
      </w:tr>
      <w:tr w14:paraId="77A1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6DB3661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第3轮</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0B9E062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noWrap w:val="0"/>
            <w:vAlign w:val="top"/>
          </w:tcPr>
          <w:p w14:paraId="77F0D41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1</w:t>
            </w:r>
          </w:p>
        </w:tc>
        <w:tc>
          <w:tcPr>
            <w:tcW w:w="2422" w:type="dxa"/>
            <w:tcBorders>
              <w:top w:val="single" w:color="auto" w:sz="4" w:space="0"/>
              <w:left w:val="single" w:color="auto" w:sz="4" w:space="0"/>
              <w:bottom w:val="single" w:color="auto" w:sz="4" w:space="0"/>
              <w:right w:val="single" w:color="auto" w:sz="4" w:space="0"/>
            </w:tcBorders>
            <w:noWrap w:val="0"/>
            <w:vAlign w:val="top"/>
          </w:tcPr>
          <w:p w14:paraId="2A906C0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2</w:t>
            </w:r>
          </w:p>
        </w:tc>
      </w:tr>
      <w:tr w14:paraId="4FD0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316085E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第4轮</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706D565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noWrap w:val="0"/>
            <w:vAlign w:val="top"/>
          </w:tcPr>
          <w:p w14:paraId="60B4961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p>
        </w:tc>
        <w:tc>
          <w:tcPr>
            <w:tcW w:w="2422" w:type="dxa"/>
            <w:tcBorders>
              <w:top w:val="single" w:color="auto" w:sz="4" w:space="0"/>
              <w:left w:val="single" w:color="auto" w:sz="4" w:space="0"/>
              <w:bottom w:val="single" w:color="auto" w:sz="4" w:space="0"/>
              <w:right w:val="single" w:color="auto" w:sz="4" w:space="0"/>
            </w:tcBorders>
            <w:noWrap w:val="0"/>
            <w:vAlign w:val="top"/>
          </w:tcPr>
          <w:p w14:paraId="7CBA313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1</w:t>
            </w:r>
          </w:p>
        </w:tc>
      </w:tr>
    </w:tbl>
    <w:p w14:paraId="15519051">
      <w:pPr>
        <w:spacing w:line="312" w:lineRule="auto"/>
        <w:ind w:left="136" w:leftChars="65" w:firstLine="379" w:firstLineChars="15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1</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投票结束后，点票人员对投票人数、票数和每票应选方案总数加以核对和统计，作废的选票不得统计，并向定标委员会报告。</w:t>
      </w:r>
    </w:p>
    <w:p w14:paraId="5AE45FCF">
      <w:pPr>
        <w:spacing w:line="312" w:lineRule="auto"/>
        <w:ind w:left="136" w:leftChars="65" w:firstLine="379" w:firstLineChars="15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定标委员会成员应当独立投票，自投票开始至最终排名统计结果公布期间，任何人不得非法干预、影响投票过程，不得透露、协商、改变投票结果，不得使用通信联络工具。</w:t>
      </w:r>
    </w:p>
    <w:p w14:paraId="448F7166">
      <w:pPr>
        <w:pStyle w:val="13"/>
        <w:snapToGrid w:val="0"/>
        <w:spacing w:beforeAutospacing="0" w:afterAutospacing="0" w:line="360" w:lineRule="auto"/>
        <w:ind w:firstLine="480" w:firstLineChars="200"/>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签名：                                        日期：  年  月  日</w:t>
      </w:r>
    </w:p>
    <w:bookmarkEnd w:id="126"/>
    <w:p w14:paraId="45B7D57E">
      <w:pPr>
        <w:widowControl/>
        <w:spacing w:beforeLines="0" w:line="360" w:lineRule="auto"/>
        <w:jc w:val="left"/>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bookmarkStart w:id="131" w:name="_Toc8959"/>
    </w:p>
    <w:p w14:paraId="1D991E10">
      <w:pPr>
        <w:widowControl/>
        <w:spacing w:beforeLines="0" w:line="360" w:lineRule="auto"/>
        <w:jc w:val="left"/>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sectPr>
          <w:headerReference r:id="rId8" w:type="default"/>
          <w:footerReference r:id="rId9" w:type="default"/>
          <w:pgSz w:w="11905" w:h="16838"/>
          <w:pgMar w:top="1417" w:right="1417" w:bottom="1417" w:left="1417" w:header="851" w:footer="992" w:gutter="0"/>
          <w:pgBorders>
            <w:top w:val="none" w:sz="0" w:space="0"/>
            <w:left w:val="none" w:sz="0" w:space="0"/>
            <w:bottom w:val="none" w:sz="0" w:space="0"/>
            <w:right w:val="none" w:sz="0" w:space="0"/>
          </w:pgBorders>
          <w:pgNumType w:fmt="decimal"/>
          <w:cols w:space="425" w:num="1"/>
          <w:rtlGutter w:val="0"/>
          <w:docGrid w:type="lines" w:linePitch="324" w:charSpace="0"/>
        </w:sectPr>
      </w:pPr>
    </w:p>
    <w:p w14:paraId="64559C8A">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32" w:name="_Toc19097"/>
      <w:bookmarkStart w:id="133" w:name="_Toc23469"/>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附录17 拟投入的人员基本情况及主要负责人简历表</w:t>
      </w:r>
      <w:bookmarkEnd w:id="131"/>
      <w:bookmarkEnd w:id="132"/>
      <w:bookmarkEnd w:id="133"/>
    </w:p>
    <w:p w14:paraId="60F5A13A">
      <w:pPr>
        <w:spacing w:line="360" w:lineRule="auto"/>
        <w:jc w:val="center"/>
        <w:rPr>
          <w:rFonts w:ascii="Calibri" w:hAnsi="Calibri" w:eastAsia="宋体" w:cs="Times New Roman"/>
          <w:b/>
          <w:color w:val="000000" w:themeColor="text1"/>
          <w:sz w:val="28"/>
          <w:szCs w:val="28"/>
          <w:highlight w:val="none"/>
          <w14:textFill>
            <w14:solidFill>
              <w14:schemeClr w14:val="tx1"/>
            </w14:solidFill>
          </w14:textFill>
        </w:rPr>
      </w:pPr>
      <w:r>
        <w:rPr>
          <w:rFonts w:hint="eastAsia" w:ascii="Calibri" w:hAnsi="Calibri" w:eastAsia="宋体" w:cs="Times New Roman"/>
          <w:b/>
          <w:color w:val="000000" w:themeColor="text1"/>
          <w:sz w:val="28"/>
          <w:szCs w:val="28"/>
          <w:highlight w:val="none"/>
          <w14:textFill>
            <w14:solidFill>
              <w14:schemeClr w14:val="tx1"/>
            </w14:solidFill>
          </w14:textFill>
        </w:rPr>
        <w:t>本项目拟投入的人员基本情况汇总表</w:t>
      </w:r>
    </w:p>
    <w:tbl>
      <w:tblPr>
        <w:tblStyle w:val="15"/>
        <w:tblW w:w="14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114"/>
        <w:gridCol w:w="1413"/>
        <w:gridCol w:w="1462"/>
        <w:gridCol w:w="1336"/>
        <w:gridCol w:w="1104"/>
        <w:gridCol w:w="1380"/>
        <w:gridCol w:w="834"/>
        <w:gridCol w:w="4290"/>
        <w:gridCol w:w="776"/>
      </w:tblGrid>
      <w:tr w14:paraId="0AB6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jc w:val="center"/>
        </w:trPr>
        <w:tc>
          <w:tcPr>
            <w:tcW w:w="896" w:type="dxa"/>
            <w:noWrap w:val="0"/>
            <w:vAlign w:val="center"/>
          </w:tcPr>
          <w:p w14:paraId="7251BC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114" w:type="dxa"/>
            <w:noWrap w:val="0"/>
            <w:vAlign w:val="center"/>
          </w:tcPr>
          <w:p w14:paraId="247EF3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姓名</w:t>
            </w:r>
          </w:p>
        </w:tc>
        <w:tc>
          <w:tcPr>
            <w:tcW w:w="1413" w:type="dxa"/>
            <w:noWrap w:val="0"/>
            <w:vAlign w:val="center"/>
          </w:tcPr>
          <w:p w14:paraId="16895F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职称</w:t>
            </w:r>
          </w:p>
        </w:tc>
        <w:tc>
          <w:tcPr>
            <w:tcW w:w="1462" w:type="dxa"/>
            <w:noWrap w:val="0"/>
            <w:vAlign w:val="center"/>
          </w:tcPr>
          <w:p w14:paraId="4D35D9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执业资格</w:t>
            </w:r>
          </w:p>
        </w:tc>
        <w:tc>
          <w:tcPr>
            <w:tcW w:w="1336" w:type="dxa"/>
            <w:noWrap w:val="0"/>
            <w:vAlign w:val="center"/>
          </w:tcPr>
          <w:p w14:paraId="7EBFF8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专业</w:t>
            </w:r>
          </w:p>
        </w:tc>
        <w:tc>
          <w:tcPr>
            <w:tcW w:w="1104" w:type="dxa"/>
            <w:noWrap w:val="0"/>
            <w:vAlign w:val="center"/>
          </w:tcPr>
          <w:p w14:paraId="35030F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从事相关工作年限</w:t>
            </w:r>
          </w:p>
        </w:tc>
        <w:tc>
          <w:tcPr>
            <w:tcW w:w="1380" w:type="dxa"/>
            <w:noWrap w:val="0"/>
            <w:vAlign w:val="center"/>
          </w:tcPr>
          <w:p w14:paraId="65C431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在本项目担任的职务</w:t>
            </w:r>
          </w:p>
        </w:tc>
        <w:tc>
          <w:tcPr>
            <w:tcW w:w="834" w:type="dxa"/>
            <w:noWrap w:val="0"/>
            <w:vAlign w:val="center"/>
          </w:tcPr>
          <w:p w14:paraId="41FE62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人员数量</w:t>
            </w:r>
          </w:p>
        </w:tc>
        <w:tc>
          <w:tcPr>
            <w:tcW w:w="4290" w:type="dxa"/>
            <w:noWrap w:val="0"/>
            <w:vAlign w:val="center"/>
          </w:tcPr>
          <w:p w14:paraId="483BE0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基本要求</w:t>
            </w:r>
          </w:p>
        </w:tc>
        <w:tc>
          <w:tcPr>
            <w:tcW w:w="776" w:type="dxa"/>
            <w:noWrap w:val="0"/>
            <w:vAlign w:val="center"/>
          </w:tcPr>
          <w:p w14:paraId="7E0AEA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7170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191C54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14" w:type="dxa"/>
            <w:noWrap w:val="0"/>
            <w:vAlign w:val="center"/>
          </w:tcPr>
          <w:p w14:paraId="366745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11ADA1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C6994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pacing w:val="-6"/>
                <w:sz w:val="21"/>
                <w:szCs w:val="21"/>
                <w:highlight w:val="none"/>
                <w14:textFill>
                  <w14:solidFill>
                    <w14:schemeClr w14:val="tx1"/>
                  </w14:solidFill>
                </w14:textFill>
              </w:rPr>
            </w:pPr>
          </w:p>
        </w:tc>
        <w:tc>
          <w:tcPr>
            <w:tcW w:w="1336" w:type="dxa"/>
            <w:noWrap w:val="0"/>
            <w:vAlign w:val="center"/>
          </w:tcPr>
          <w:p w14:paraId="2A5501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pacing w:val="-6"/>
                <w:sz w:val="21"/>
                <w:szCs w:val="21"/>
                <w:highlight w:val="none"/>
                <w14:textFill>
                  <w14:solidFill>
                    <w14:schemeClr w14:val="tx1"/>
                  </w14:solidFill>
                </w14:textFill>
              </w:rPr>
            </w:pPr>
          </w:p>
        </w:tc>
        <w:tc>
          <w:tcPr>
            <w:tcW w:w="1104" w:type="dxa"/>
            <w:noWrap w:val="0"/>
            <w:vAlign w:val="center"/>
          </w:tcPr>
          <w:p w14:paraId="23625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B7BC55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1AB789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2FB79F8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776" w:type="dxa"/>
            <w:noWrap w:val="0"/>
            <w:vAlign w:val="center"/>
          </w:tcPr>
          <w:p w14:paraId="6DB507A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F0A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B88D5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14" w:type="dxa"/>
            <w:noWrap w:val="0"/>
            <w:vAlign w:val="center"/>
          </w:tcPr>
          <w:p w14:paraId="21A357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4A8CF7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16B26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0D137D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472151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2505F95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6E73DA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35E86C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776" w:type="dxa"/>
            <w:noWrap w:val="0"/>
            <w:vAlign w:val="center"/>
          </w:tcPr>
          <w:p w14:paraId="60FC8C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AFD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32B9F1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114" w:type="dxa"/>
            <w:noWrap w:val="0"/>
            <w:vAlign w:val="center"/>
          </w:tcPr>
          <w:p w14:paraId="225B0F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5BCD4B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6A9F7D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51A7BF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723B0E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C0217F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697D0E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0" w:type="dxa"/>
            <w:shd w:val="clear" w:color="auto" w:fill="auto"/>
            <w:noWrap w:val="0"/>
            <w:vAlign w:val="center"/>
          </w:tcPr>
          <w:p w14:paraId="3007AFA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06F4C0C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9E4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2DAB74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114" w:type="dxa"/>
            <w:noWrap w:val="0"/>
            <w:vAlign w:val="center"/>
          </w:tcPr>
          <w:p w14:paraId="72AA0E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2EFDDD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64BFAC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2E7CFD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7AD8FD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2A47972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19775B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0" w:type="dxa"/>
            <w:shd w:val="clear" w:color="auto" w:fill="auto"/>
            <w:noWrap w:val="0"/>
            <w:vAlign w:val="center"/>
          </w:tcPr>
          <w:p w14:paraId="6255B34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776" w:type="dxa"/>
            <w:noWrap w:val="0"/>
            <w:vAlign w:val="center"/>
          </w:tcPr>
          <w:p w14:paraId="0484D8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B19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1DBF41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114" w:type="dxa"/>
            <w:noWrap w:val="0"/>
            <w:vAlign w:val="center"/>
          </w:tcPr>
          <w:p w14:paraId="29D761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5AEEE9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566DA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20962A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3A2CBF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6326EBA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34" w:type="dxa"/>
            <w:noWrap w:val="0"/>
            <w:vAlign w:val="center"/>
          </w:tcPr>
          <w:p w14:paraId="39A922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54A786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76" w:type="dxa"/>
            <w:noWrap w:val="0"/>
            <w:vAlign w:val="center"/>
          </w:tcPr>
          <w:p w14:paraId="6BD82D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E36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DEC18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114" w:type="dxa"/>
            <w:noWrap w:val="0"/>
            <w:vAlign w:val="center"/>
          </w:tcPr>
          <w:p w14:paraId="0D5706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079268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74B5A38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6AF583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52003D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031FDCF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4B5156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0" w:type="dxa"/>
            <w:shd w:val="clear" w:color="auto" w:fill="auto"/>
            <w:noWrap w:val="0"/>
            <w:vAlign w:val="center"/>
          </w:tcPr>
          <w:p w14:paraId="214C835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108E80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E41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21A130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114" w:type="dxa"/>
            <w:noWrap w:val="0"/>
            <w:vAlign w:val="center"/>
          </w:tcPr>
          <w:p w14:paraId="1C1301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25A34E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7FA599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675EE3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45CE1A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1DA2B36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291896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0" w:type="dxa"/>
            <w:shd w:val="clear" w:color="auto" w:fill="auto"/>
            <w:noWrap w:val="0"/>
            <w:vAlign w:val="center"/>
          </w:tcPr>
          <w:p w14:paraId="362163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776" w:type="dxa"/>
            <w:noWrap w:val="0"/>
            <w:vAlign w:val="center"/>
          </w:tcPr>
          <w:p w14:paraId="536AAC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21D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0FC24B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114" w:type="dxa"/>
            <w:noWrap w:val="0"/>
            <w:vAlign w:val="center"/>
          </w:tcPr>
          <w:p w14:paraId="50C68A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05B5A9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581A0D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7396A6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5DF3D6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23267A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77A37A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0" w:type="dxa"/>
            <w:shd w:val="clear" w:color="auto" w:fill="auto"/>
            <w:noWrap w:val="0"/>
            <w:vAlign w:val="center"/>
          </w:tcPr>
          <w:p w14:paraId="48360DC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15893B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696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E1FB2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114" w:type="dxa"/>
            <w:noWrap w:val="0"/>
            <w:vAlign w:val="center"/>
          </w:tcPr>
          <w:p w14:paraId="5850DA6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352CAB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31BC4C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0EA38E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237CA6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23E2339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499AAD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0" w:type="dxa"/>
            <w:shd w:val="clear" w:color="auto" w:fill="auto"/>
            <w:noWrap w:val="0"/>
            <w:vAlign w:val="center"/>
          </w:tcPr>
          <w:p w14:paraId="3AB649D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4A1385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D9F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082E95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114" w:type="dxa"/>
            <w:noWrap w:val="0"/>
            <w:vAlign w:val="center"/>
          </w:tcPr>
          <w:p w14:paraId="5D751B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72DA4B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6F47D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020210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12A685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0F20315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773214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290" w:type="dxa"/>
            <w:shd w:val="clear" w:color="auto" w:fill="auto"/>
            <w:noWrap w:val="0"/>
            <w:vAlign w:val="center"/>
          </w:tcPr>
          <w:p w14:paraId="7534789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7B4D06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270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066102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114" w:type="dxa"/>
            <w:noWrap w:val="0"/>
            <w:vAlign w:val="center"/>
          </w:tcPr>
          <w:p w14:paraId="020299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305FD9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74ED6E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4CB679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298004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noWrap w:val="0"/>
            <w:vAlign w:val="center"/>
          </w:tcPr>
          <w:p w14:paraId="5800C39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0D3776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23B4722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7666EA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DD0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5F12B8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2</w:t>
            </w:r>
          </w:p>
        </w:tc>
        <w:tc>
          <w:tcPr>
            <w:tcW w:w="1114" w:type="dxa"/>
            <w:noWrap w:val="0"/>
            <w:vAlign w:val="center"/>
          </w:tcPr>
          <w:p w14:paraId="1DDFC8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01816F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582D63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44F0B3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33C081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350F39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52777F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440C9F1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6FD972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AEE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3BB544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3</w:t>
            </w:r>
          </w:p>
        </w:tc>
        <w:tc>
          <w:tcPr>
            <w:tcW w:w="1114" w:type="dxa"/>
            <w:noWrap w:val="0"/>
            <w:vAlign w:val="center"/>
          </w:tcPr>
          <w:p w14:paraId="2362C4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04169C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20B8AD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244648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4E5FAB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29A4EA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4B9D0E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5C0447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6147A9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8C8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8B562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4</w:t>
            </w:r>
          </w:p>
        </w:tc>
        <w:tc>
          <w:tcPr>
            <w:tcW w:w="1114" w:type="dxa"/>
            <w:noWrap w:val="0"/>
            <w:vAlign w:val="center"/>
          </w:tcPr>
          <w:p w14:paraId="365225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322B53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1ECDB3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2AF7D8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61EBD8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EF43DF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34" w:type="dxa"/>
            <w:noWrap w:val="0"/>
            <w:vAlign w:val="center"/>
          </w:tcPr>
          <w:p w14:paraId="7A59AE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328EB0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76" w:type="dxa"/>
            <w:noWrap w:val="0"/>
            <w:vAlign w:val="center"/>
          </w:tcPr>
          <w:p w14:paraId="5F770CA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3E0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7A64DF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114" w:type="dxa"/>
            <w:noWrap w:val="0"/>
            <w:vAlign w:val="center"/>
          </w:tcPr>
          <w:p w14:paraId="0DABC1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2BCC09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6C9180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625C7A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5BABF7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29196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34" w:type="dxa"/>
            <w:noWrap w:val="0"/>
            <w:vAlign w:val="center"/>
          </w:tcPr>
          <w:p w14:paraId="54F1B8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10F18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76" w:type="dxa"/>
            <w:noWrap w:val="0"/>
            <w:vAlign w:val="center"/>
          </w:tcPr>
          <w:p w14:paraId="138932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92D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5FF688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114" w:type="dxa"/>
            <w:noWrap w:val="0"/>
            <w:vAlign w:val="center"/>
          </w:tcPr>
          <w:p w14:paraId="6C7CEA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504C8C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2E0AFF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173729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29D3C5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08634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34" w:type="dxa"/>
            <w:noWrap w:val="0"/>
            <w:vAlign w:val="center"/>
          </w:tcPr>
          <w:p w14:paraId="414C1C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67B66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76" w:type="dxa"/>
            <w:noWrap w:val="0"/>
            <w:vAlign w:val="center"/>
          </w:tcPr>
          <w:p w14:paraId="4221C7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CA5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2B023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1114" w:type="dxa"/>
            <w:noWrap w:val="0"/>
            <w:vAlign w:val="center"/>
          </w:tcPr>
          <w:p w14:paraId="330E0E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44FE58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182382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1C2D1A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331E83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02A08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34" w:type="dxa"/>
            <w:noWrap w:val="0"/>
            <w:vAlign w:val="center"/>
          </w:tcPr>
          <w:p w14:paraId="6B4C24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13BEC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76" w:type="dxa"/>
            <w:noWrap w:val="0"/>
            <w:vAlign w:val="center"/>
          </w:tcPr>
          <w:p w14:paraId="0CBD68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344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2552F6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1114" w:type="dxa"/>
            <w:noWrap w:val="0"/>
            <w:vAlign w:val="center"/>
          </w:tcPr>
          <w:p w14:paraId="4A4811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6B401D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64E665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7E5678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058EC9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D0C3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34" w:type="dxa"/>
            <w:noWrap w:val="0"/>
            <w:vAlign w:val="center"/>
          </w:tcPr>
          <w:p w14:paraId="6E1DBB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37EFB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76" w:type="dxa"/>
            <w:noWrap w:val="0"/>
            <w:vAlign w:val="center"/>
          </w:tcPr>
          <w:p w14:paraId="76612E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12C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25BE15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114" w:type="dxa"/>
            <w:noWrap w:val="0"/>
            <w:vAlign w:val="center"/>
          </w:tcPr>
          <w:p w14:paraId="7AA5C6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3898E1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4E49BF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086805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0969B9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07A24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34" w:type="dxa"/>
            <w:noWrap w:val="0"/>
            <w:vAlign w:val="center"/>
          </w:tcPr>
          <w:p w14:paraId="6EDF3E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290" w:type="dxa"/>
            <w:shd w:val="clear" w:color="auto" w:fill="auto"/>
            <w:noWrap w:val="0"/>
            <w:vAlign w:val="center"/>
          </w:tcPr>
          <w:p w14:paraId="69159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76" w:type="dxa"/>
            <w:noWrap w:val="0"/>
            <w:vAlign w:val="center"/>
          </w:tcPr>
          <w:p w14:paraId="0C5F2A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1E15C9E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12" w:lineRule="auto"/>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①投标人应根据基础资料和勘察设计任务书要求和招标项目的实际需要，列出</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总负责人、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负责人及各</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专业负责人，如结构专业负责人、建筑专业负责人、暖通专业负责人、园林专业负责人、电气专业负责人、智能化专业负责人、给排水专业负责人、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岩土专业负责人、</w:t>
      </w:r>
      <w:r>
        <w:rPr>
          <w:rFonts w:hint="eastAsia" w:ascii="宋体" w:hAnsi="宋体" w:eastAsia="宋体" w:cs="宋体"/>
          <w:color w:val="000000" w:themeColor="text1"/>
          <w:sz w:val="24"/>
          <w:szCs w:val="24"/>
          <w:highlight w:val="none"/>
          <w14:textFill>
            <w14:solidFill>
              <w14:schemeClr w14:val="tx1"/>
            </w14:solidFill>
          </w14:textFill>
        </w:rPr>
        <w:t>报建负责人、勘察</w:t>
      </w: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r>
        <w:rPr>
          <w:rFonts w:hint="eastAsia" w:ascii="宋体" w:hAnsi="宋体" w:eastAsia="宋体" w:cs="宋体"/>
          <w:color w:val="000000" w:themeColor="text1"/>
          <w:sz w:val="24"/>
          <w:szCs w:val="24"/>
          <w:highlight w:val="none"/>
          <w14:textFill>
            <w14:solidFill>
              <w14:schemeClr w14:val="tx1"/>
            </w14:solidFill>
          </w14:textFill>
        </w:rPr>
        <w:t>负责人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专业负责人</w:t>
      </w:r>
      <w:r>
        <w:rPr>
          <w:rFonts w:hint="default"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农田水利</w:t>
      </w:r>
      <w:r>
        <w:rPr>
          <w:rFonts w:hint="default" w:ascii="宋体" w:hAnsi="宋体" w:eastAsia="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市政</w:t>
      </w:r>
      <w:r>
        <w:rPr>
          <w:rFonts w:hint="default" w:ascii="宋体" w:hAnsi="宋体" w:eastAsia="宋体" w:cs="宋体"/>
          <w:color w:val="000000" w:themeColor="text1"/>
          <w:sz w:val="24"/>
          <w:szCs w:val="24"/>
          <w:highlight w:val="none"/>
          <w:lang w:eastAsia="zh-CN"/>
          <w14:textFill>
            <w14:solidFill>
              <w14:schemeClr w14:val="tx1"/>
            </w14:solidFill>
          </w14:textFill>
        </w:rPr>
        <w:t>或水利）</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现场负责人、现场配合人、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驻场人员等，需提供相关证书扫描件。</w:t>
      </w:r>
    </w:p>
    <w:p w14:paraId="25492E18">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12" w:lineRule="auto"/>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②投标人应根据勘察设计任务书要求，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视企业自身综合情况不具备造价专业能力的，可对本项目造价咨询业务实施分包的（如有）</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列出</w:t>
      </w:r>
      <w:r>
        <w:rPr>
          <w:rFonts w:hint="eastAsia" w:ascii="宋体" w:hAnsi="宋体" w:eastAsia="宋体" w:cs="宋体"/>
          <w:color w:val="000000" w:themeColor="text1"/>
          <w:sz w:val="24"/>
          <w:szCs w:val="24"/>
          <w:highlight w:val="none"/>
          <w:lang w:val="en-US" w:eastAsia="zh-CN"/>
          <w14:textFill>
            <w14:solidFill>
              <w14:schemeClr w14:val="tx1"/>
            </w14:solidFill>
          </w14:textFill>
        </w:rPr>
        <w:t>造价</w:t>
      </w:r>
      <w:r>
        <w:rPr>
          <w:rFonts w:hint="eastAsia" w:ascii="宋体" w:hAnsi="宋体" w:eastAsia="宋体" w:cs="宋体"/>
          <w:color w:val="000000" w:themeColor="text1"/>
          <w:sz w:val="24"/>
          <w:szCs w:val="24"/>
          <w:highlight w:val="none"/>
          <w14:textFill>
            <w14:solidFill>
              <w14:schemeClr w14:val="tx1"/>
            </w14:solidFill>
          </w14:textFill>
        </w:rPr>
        <w:t>负责人及</w:t>
      </w:r>
      <w:r>
        <w:rPr>
          <w:rFonts w:hint="eastAsia" w:ascii="宋体" w:hAnsi="宋体" w:eastAsia="宋体" w:cs="宋体"/>
          <w:color w:val="000000" w:themeColor="text1"/>
          <w:sz w:val="24"/>
          <w:szCs w:val="24"/>
          <w:highlight w:val="none"/>
          <w:lang w:val="en-US" w:eastAsia="zh-CN"/>
          <w14:textFill>
            <w14:solidFill>
              <w14:schemeClr w14:val="tx1"/>
            </w14:solidFill>
          </w14:textFill>
        </w:rPr>
        <w:t>土建</w:t>
      </w:r>
      <w:r>
        <w:rPr>
          <w:rFonts w:hint="eastAsia" w:ascii="宋体" w:hAnsi="宋体" w:eastAsia="宋体" w:cs="宋体"/>
          <w:color w:val="000000" w:themeColor="text1"/>
          <w:sz w:val="24"/>
          <w:szCs w:val="24"/>
          <w:highlight w:val="none"/>
          <w14:textFill>
            <w14:solidFill>
              <w14:schemeClr w14:val="tx1"/>
            </w14:solidFill>
          </w14:textFill>
        </w:rPr>
        <w:t>专业负责人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安装专业负责人、土建工程师、安装工程师等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需提供相关证书扫描件。</w:t>
      </w:r>
    </w:p>
    <w:p w14:paraId="3DE158DF">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12" w:lineRule="auto"/>
        <w:ind w:left="124" w:leftChars="59" w:right="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投标人应按本表所列的项目负责人和各专业负责人填写主要负责人简历表。</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定标因素涉及的主要岗位人员以定标因素要求为评判依据。</w:t>
      </w:r>
    </w:p>
    <w:p w14:paraId="296FA287">
      <w:pPr>
        <w:keepNext w:val="0"/>
        <w:keepLines w:val="0"/>
        <w:widowControl w:val="0"/>
        <w:suppressLineNumbers w:val="0"/>
        <w:topLinePunct/>
        <w:adjustRightInd w:val="0"/>
        <w:snapToGrid w:val="0"/>
        <w:spacing w:before="0" w:beforeAutospacing="0" w:after="0" w:afterAutospacing="0" w:line="312" w:lineRule="auto"/>
        <w:ind w:left="124" w:leftChars="59"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投标人拟投入的人员应为本单位人员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如投标人拟分包工程造价咨询的则造价团队可提供拟分包单位人员</w:t>
      </w:r>
      <w:r>
        <w:rPr>
          <w:rFonts w:hint="eastAsia" w:ascii="宋体" w:hAnsi="宋体" w:eastAsia="宋体" w:cs="宋体"/>
          <w:color w:val="000000" w:themeColor="text1"/>
          <w:sz w:val="24"/>
          <w:szCs w:val="24"/>
          <w:highlight w:val="none"/>
          <w14:textFill>
            <w14:solidFill>
              <w14:schemeClr w14:val="tx1"/>
            </w14:solidFill>
          </w14:textFill>
        </w:rPr>
        <w:t>，并提供本表所列人员投标截止时间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前</w:t>
      </w:r>
      <w:r>
        <w:rPr>
          <w:rFonts w:hint="eastAsia" w:ascii="宋体" w:hAnsi="宋体" w:eastAsia="宋体" w:cs="宋体"/>
          <w:color w:val="000000" w:themeColor="text1"/>
          <w:sz w:val="24"/>
          <w:szCs w:val="24"/>
          <w:highlight w:val="none"/>
          <w14:textFill>
            <w14:solidFill>
              <w14:schemeClr w14:val="tx1"/>
            </w14:solidFill>
          </w14:textFill>
        </w:rPr>
        <w:t>1个月（指</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14:textFill>
            <w14:solidFill>
              <w14:schemeClr w14:val="tx1"/>
            </w14:solidFill>
          </w14:textFill>
        </w:rPr>
        <w:t>）在本投标单位购买社保缴纳证明材料</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（若当地政府部门允许企业缓缴社会保险费且投标人未缴纳的，投标人可提供当地政府部门允许缓缴社保的相关文件作为缴纳社保的证明）</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；如为退休人员，应提供退休证明及单位聘用证明文件</w:t>
      </w:r>
      <w:r>
        <w:rPr>
          <w:rFonts w:hint="eastAsia" w:ascii="宋体" w:hAnsi="宋体" w:eastAsia="宋体" w:cs="宋体"/>
          <w:color w:val="000000" w:themeColor="text1"/>
          <w:kern w:val="0"/>
          <w:sz w:val="24"/>
          <w:szCs w:val="24"/>
          <w:highlight w:val="none"/>
          <w:u w:val="single"/>
          <w:shd w:val="clear" w:fill="FFFFFF"/>
          <w:lang w:eastAsia="zh-CN" w:bidi="ar"/>
          <w14:textFill>
            <w14:solidFill>
              <w14:schemeClr w14:val="tx1"/>
            </w14:solidFill>
          </w14:textFill>
        </w:rPr>
        <w:t>扫描</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件</w:t>
      </w:r>
      <w:r>
        <w:rPr>
          <w:rFonts w:hint="eastAsia" w:ascii="宋体" w:hAnsi="宋体" w:eastAsia="宋体" w:cs="宋体"/>
          <w:color w:val="000000" w:themeColor="text1"/>
          <w:kern w:val="0"/>
          <w:sz w:val="24"/>
          <w:szCs w:val="24"/>
          <w:highlight w:val="none"/>
          <w:u w:val="none"/>
          <w:shd w:val="clear" w:color="auto" w:fill="FFFFFF"/>
          <w:lang w:eastAsia="zh-CN" w:bidi="ar"/>
          <w14:textFill>
            <w14:solidFill>
              <w14:schemeClr w14:val="tx1"/>
            </w14:solidFill>
          </w14:textFill>
        </w:rPr>
        <w:t>；</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如</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为</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高校从事工程</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勘察</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设计、</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工程造价</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的人员社保缴纳单位与投标单位不一致的，除</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需</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提供社保</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缴纳</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证明</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材料</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扫描件，还需提供岗位所在单位上级人事主管部门出具的人员为本校事业编制人员并在该企业工作</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但</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社保由高校统一缴纳的人事关系证明</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文件</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扫描件。</w:t>
      </w:r>
    </w:p>
    <w:p w14:paraId="0F698194">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p>
    <w:p w14:paraId="55BF5EF2">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sectPr>
          <w:pgSz w:w="16838" w:h="11905" w:orient="landscape"/>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0B4BEB8">
      <w:pPr>
        <w:spacing w:line="360" w:lineRule="auto"/>
        <w:jc w:val="center"/>
        <w:rPr>
          <w:rFonts w:hint="eastAsia" w:ascii="Calibri" w:hAnsi="Calibri" w:eastAsia="宋体" w:cs="Times New Roman"/>
          <w:b/>
          <w:color w:val="000000" w:themeColor="text1"/>
          <w:sz w:val="28"/>
          <w:szCs w:val="28"/>
          <w:highlight w:val="none"/>
          <w14:textFill>
            <w14:solidFill>
              <w14:schemeClr w14:val="tx1"/>
            </w14:solidFill>
          </w14:textFill>
        </w:rPr>
      </w:pPr>
      <w:r>
        <w:rPr>
          <w:rFonts w:hint="eastAsia" w:ascii="Calibri" w:hAnsi="Calibri" w:eastAsia="宋体" w:cs="Times New Roman"/>
          <w:b/>
          <w:color w:val="000000" w:themeColor="text1"/>
          <w:sz w:val="28"/>
          <w:szCs w:val="28"/>
          <w:highlight w:val="none"/>
          <w14:textFill>
            <w14:solidFill>
              <w14:schemeClr w14:val="tx1"/>
            </w14:solidFill>
          </w14:textFill>
        </w:rPr>
        <w:t>主要负责人简历表</w:t>
      </w:r>
    </w:p>
    <w:tbl>
      <w:tblPr>
        <w:tblStyle w:val="15"/>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517"/>
        <w:gridCol w:w="1139"/>
        <w:gridCol w:w="388"/>
        <w:gridCol w:w="895"/>
        <w:gridCol w:w="1424"/>
        <w:gridCol w:w="1655"/>
        <w:gridCol w:w="2328"/>
      </w:tblGrid>
      <w:tr w14:paraId="5200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08" w:type="dxa"/>
            <w:gridSpan w:val="2"/>
            <w:vAlign w:val="center"/>
          </w:tcPr>
          <w:p w14:paraId="1F1C681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姓名</w:t>
            </w:r>
          </w:p>
        </w:tc>
        <w:tc>
          <w:tcPr>
            <w:tcW w:w="1139" w:type="dxa"/>
            <w:vAlign w:val="center"/>
          </w:tcPr>
          <w:p w14:paraId="2AC69A4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283" w:type="dxa"/>
            <w:gridSpan w:val="2"/>
            <w:vAlign w:val="center"/>
          </w:tcPr>
          <w:p w14:paraId="3B8BA13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年龄</w:t>
            </w:r>
          </w:p>
        </w:tc>
        <w:tc>
          <w:tcPr>
            <w:tcW w:w="1424" w:type="dxa"/>
            <w:vAlign w:val="center"/>
          </w:tcPr>
          <w:p w14:paraId="07DAEA6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40DCE2E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学历</w:t>
            </w:r>
          </w:p>
        </w:tc>
        <w:tc>
          <w:tcPr>
            <w:tcW w:w="2328" w:type="dxa"/>
            <w:vAlign w:val="center"/>
          </w:tcPr>
          <w:p w14:paraId="7B7E12F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40C3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08" w:type="dxa"/>
            <w:gridSpan w:val="2"/>
            <w:vAlign w:val="center"/>
          </w:tcPr>
          <w:p w14:paraId="12858F1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职称</w:t>
            </w:r>
          </w:p>
        </w:tc>
        <w:tc>
          <w:tcPr>
            <w:tcW w:w="1139" w:type="dxa"/>
            <w:vAlign w:val="center"/>
          </w:tcPr>
          <w:p w14:paraId="63C896E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283" w:type="dxa"/>
            <w:gridSpan w:val="2"/>
            <w:vAlign w:val="center"/>
          </w:tcPr>
          <w:p w14:paraId="2191D1C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专业</w:t>
            </w:r>
          </w:p>
        </w:tc>
        <w:tc>
          <w:tcPr>
            <w:tcW w:w="1424" w:type="dxa"/>
            <w:vAlign w:val="center"/>
          </w:tcPr>
          <w:p w14:paraId="32E2DE5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711375B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拟在本工程</w:t>
            </w:r>
          </w:p>
          <w:p w14:paraId="51F3F6E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任职</w:t>
            </w:r>
          </w:p>
        </w:tc>
        <w:tc>
          <w:tcPr>
            <w:tcW w:w="2328" w:type="dxa"/>
            <w:vAlign w:val="center"/>
          </w:tcPr>
          <w:p w14:paraId="30EDFF4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6A23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47" w:type="dxa"/>
            <w:gridSpan w:val="3"/>
            <w:vAlign w:val="center"/>
          </w:tcPr>
          <w:p w14:paraId="7B1560B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执业资格</w:t>
            </w:r>
          </w:p>
        </w:tc>
        <w:tc>
          <w:tcPr>
            <w:tcW w:w="2707" w:type="dxa"/>
            <w:gridSpan w:val="3"/>
            <w:vAlign w:val="center"/>
          </w:tcPr>
          <w:p w14:paraId="18EB55B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106C73A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资格证书</w:t>
            </w:r>
          </w:p>
        </w:tc>
        <w:tc>
          <w:tcPr>
            <w:tcW w:w="2328" w:type="dxa"/>
            <w:vAlign w:val="center"/>
          </w:tcPr>
          <w:p w14:paraId="0345EBC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1706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47" w:type="dxa"/>
            <w:gridSpan w:val="3"/>
            <w:vAlign w:val="center"/>
          </w:tcPr>
          <w:p w14:paraId="14D9936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获奖证书</w:t>
            </w:r>
          </w:p>
        </w:tc>
        <w:tc>
          <w:tcPr>
            <w:tcW w:w="2707" w:type="dxa"/>
            <w:gridSpan w:val="3"/>
            <w:vAlign w:val="center"/>
          </w:tcPr>
          <w:p w14:paraId="26AC72F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25A6FE1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获奖年份</w:t>
            </w:r>
          </w:p>
        </w:tc>
        <w:tc>
          <w:tcPr>
            <w:tcW w:w="2328" w:type="dxa"/>
            <w:vAlign w:val="center"/>
          </w:tcPr>
          <w:p w14:paraId="5AA1BE1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3115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08" w:type="dxa"/>
            <w:gridSpan w:val="2"/>
            <w:vAlign w:val="center"/>
          </w:tcPr>
          <w:p w14:paraId="67A9DBF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毕业学校</w:t>
            </w:r>
          </w:p>
        </w:tc>
        <w:tc>
          <w:tcPr>
            <w:tcW w:w="7829" w:type="dxa"/>
            <w:gridSpan w:val="6"/>
            <w:vAlign w:val="center"/>
          </w:tcPr>
          <w:p w14:paraId="135239A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2C02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37" w:type="dxa"/>
            <w:gridSpan w:val="8"/>
            <w:vAlign w:val="center"/>
          </w:tcPr>
          <w:p w14:paraId="66C48E1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主要工作经历</w:t>
            </w:r>
          </w:p>
        </w:tc>
      </w:tr>
      <w:tr w14:paraId="20D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1" w:type="dxa"/>
            <w:vAlign w:val="center"/>
          </w:tcPr>
          <w:p w14:paraId="3F474F4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2044" w:type="dxa"/>
            <w:gridSpan w:val="3"/>
            <w:vAlign w:val="center"/>
          </w:tcPr>
          <w:p w14:paraId="4C81D91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p>
        </w:tc>
        <w:tc>
          <w:tcPr>
            <w:tcW w:w="2319" w:type="dxa"/>
            <w:gridSpan w:val="2"/>
            <w:vAlign w:val="center"/>
          </w:tcPr>
          <w:p w14:paraId="74527C5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参加</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过</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类</w:t>
            </w:r>
            <w:r>
              <w:rPr>
                <w:rFonts w:hint="eastAsia" w:ascii="宋体" w:hAnsi="宋体" w:eastAsia="宋体" w:cs="Times New Roman"/>
                <w:color w:val="000000" w:themeColor="text1"/>
                <w:kern w:val="0"/>
                <w:sz w:val="24"/>
                <w:szCs w:val="24"/>
                <w:highlight w:val="none"/>
                <w14:textFill>
                  <w14:solidFill>
                    <w14:schemeClr w14:val="tx1"/>
                  </w14:solidFill>
                </w14:textFill>
              </w:rPr>
              <w:t>似</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项</w:t>
            </w:r>
            <w:r>
              <w:rPr>
                <w:rFonts w:hint="eastAsia" w:ascii="宋体" w:hAnsi="宋体" w:eastAsia="宋体" w:cs="Times New Roman"/>
                <w:color w:val="000000" w:themeColor="text1"/>
                <w:kern w:val="0"/>
                <w:sz w:val="24"/>
                <w:szCs w:val="24"/>
                <w:highlight w:val="none"/>
                <w14:textFill>
                  <w14:solidFill>
                    <w14:schemeClr w14:val="tx1"/>
                  </w14:solidFill>
                </w14:textFill>
              </w:rPr>
              <w:t>目</w:t>
            </w:r>
          </w:p>
        </w:tc>
        <w:tc>
          <w:tcPr>
            <w:tcW w:w="1655" w:type="dxa"/>
            <w:vAlign w:val="center"/>
          </w:tcPr>
          <w:p w14:paraId="3094D7B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担任</w:t>
            </w:r>
            <w:r>
              <w:rPr>
                <w:rFonts w:hint="eastAsia" w:ascii="宋体" w:hAnsi="宋体" w:eastAsia="宋体" w:cs="Times New Roman"/>
                <w:color w:val="000000" w:themeColor="text1"/>
                <w:spacing w:val="-2"/>
                <w:kern w:val="0"/>
                <w:sz w:val="24"/>
                <w:szCs w:val="24"/>
                <w:highlight w:val="none"/>
                <w:lang w:val="en-US" w:eastAsia="zh-CN" w:bidi="ar-SA"/>
                <w14:textFill>
                  <w14:solidFill>
                    <w14:schemeClr w14:val="tx1"/>
                  </w14:solidFill>
                </w14:textFill>
              </w:rPr>
              <w:t>职</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务</w:t>
            </w:r>
          </w:p>
        </w:tc>
        <w:tc>
          <w:tcPr>
            <w:tcW w:w="2328" w:type="dxa"/>
            <w:vAlign w:val="center"/>
          </w:tcPr>
          <w:p w14:paraId="78149CF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发包</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人</w:t>
            </w:r>
            <w:r>
              <w:rPr>
                <w:rFonts w:hint="eastAsia" w:ascii="宋体" w:hAnsi="宋体" w:eastAsia="宋体" w:cs="Times New Roman"/>
                <w:color w:val="000000" w:themeColor="text1"/>
                <w:kern w:val="0"/>
                <w:sz w:val="24"/>
                <w:szCs w:val="24"/>
                <w:highlight w:val="none"/>
                <w14:textFill>
                  <w14:solidFill>
                    <w14:schemeClr w14:val="tx1"/>
                  </w14:solidFill>
                </w14:textFill>
              </w:rPr>
              <w:t>及</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联</w:t>
            </w: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电</w:t>
            </w:r>
            <w:r>
              <w:rPr>
                <w:rFonts w:hint="eastAsia" w:ascii="宋体" w:hAnsi="宋体" w:eastAsia="宋体" w:cs="Times New Roman"/>
                <w:color w:val="000000" w:themeColor="text1"/>
                <w:kern w:val="0"/>
                <w:sz w:val="24"/>
                <w:szCs w:val="24"/>
                <w:highlight w:val="none"/>
                <w14:textFill>
                  <w14:solidFill>
                    <w14:schemeClr w14:val="tx1"/>
                  </w14:solidFill>
                </w14:textFill>
              </w:rPr>
              <w:t>话</w:t>
            </w:r>
          </w:p>
        </w:tc>
      </w:tr>
      <w:tr w14:paraId="6589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1" w:type="dxa"/>
            <w:vAlign w:val="center"/>
          </w:tcPr>
          <w:p w14:paraId="1F37A15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044" w:type="dxa"/>
            <w:gridSpan w:val="3"/>
            <w:vAlign w:val="center"/>
          </w:tcPr>
          <w:p w14:paraId="490882E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319" w:type="dxa"/>
            <w:gridSpan w:val="2"/>
            <w:vAlign w:val="center"/>
          </w:tcPr>
          <w:p w14:paraId="63FCDEA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7C10137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328" w:type="dxa"/>
            <w:vAlign w:val="center"/>
          </w:tcPr>
          <w:p w14:paraId="6293E4E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6BB7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1" w:type="dxa"/>
            <w:vAlign w:val="center"/>
          </w:tcPr>
          <w:p w14:paraId="686D021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044" w:type="dxa"/>
            <w:gridSpan w:val="3"/>
            <w:vAlign w:val="center"/>
          </w:tcPr>
          <w:p w14:paraId="1867B57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319" w:type="dxa"/>
            <w:gridSpan w:val="2"/>
            <w:vAlign w:val="center"/>
          </w:tcPr>
          <w:p w14:paraId="6D5562A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156C350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328" w:type="dxa"/>
            <w:vAlign w:val="center"/>
          </w:tcPr>
          <w:p w14:paraId="3AC246F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bl>
    <w:p w14:paraId="7204084A">
      <w:pPr>
        <w:spacing w:line="360" w:lineRule="auto"/>
        <w:ind w:left="450" w:leftChars="100" w:hanging="240" w:hangingChars="10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备注：需提供相关获奖证书、类型项目参与证明材料扫描件（如有）。</w:t>
      </w:r>
    </w:p>
    <w:p w14:paraId="4E87F63E">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r>
        <w:rPr>
          <w:rFonts w:ascii="宋体" w:hAnsi="宋体" w:eastAsia="宋体" w:cs="Times New Roman"/>
          <w:b/>
          <w:bCs/>
          <w:color w:val="000000" w:themeColor="text1"/>
          <w:kern w:val="0"/>
          <w:sz w:val="24"/>
          <w:szCs w:val="44"/>
          <w:highlight w:val="none"/>
          <w:lang w:val="zh-CN" w:eastAsia="zh-CN" w:bidi="ar-SA"/>
          <w14:textFill>
            <w14:solidFill>
              <w14:schemeClr w14:val="tx1"/>
            </w14:solidFill>
          </w14:textFill>
        </w:rPr>
        <w:br w:type="page"/>
      </w:r>
      <w:bookmarkStart w:id="134" w:name="_Toc7529"/>
      <w:bookmarkStart w:id="135" w:name="_Toc26807"/>
      <w:bookmarkStart w:id="136" w:name="_Toc3134"/>
      <w:r>
        <w:rPr>
          <w:rFonts w:hint="default" w:ascii="宋体" w:hAnsi="宋体" w:eastAsia="宋体" w:cs="宋体"/>
          <w:b/>
          <w:bCs/>
          <w:color w:val="000000" w:themeColor="text1"/>
          <w:kern w:val="44"/>
          <w:sz w:val="30"/>
          <w:szCs w:val="30"/>
          <w:highlight w:val="none"/>
          <w:lang w:val="en-US" w:eastAsia="zh-CN" w:bidi="ar-SA"/>
          <w14:textFill>
            <w14:solidFill>
              <w14:schemeClr w14:val="tx1"/>
            </w14:solidFill>
          </w14:textFill>
        </w:rPr>
        <w:t>附录</w:t>
      </w:r>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 xml:space="preserve">18 </w:t>
      </w:r>
      <w:r>
        <w:rPr>
          <w:rFonts w:hint="default" w:ascii="宋体" w:hAnsi="宋体" w:eastAsia="宋体" w:cs="宋体"/>
          <w:b/>
          <w:bCs/>
          <w:color w:val="000000" w:themeColor="text1"/>
          <w:kern w:val="44"/>
          <w:sz w:val="30"/>
          <w:szCs w:val="30"/>
          <w:highlight w:val="none"/>
          <w:lang w:val="en-US" w:eastAsia="zh-CN" w:bidi="ar-SA"/>
          <w14:textFill>
            <w14:solidFill>
              <w14:schemeClr w14:val="tx1"/>
            </w14:solidFill>
          </w14:textFill>
        </w:rPr>
        <w:t>投标人已完成项目及获奖情况</w:t>
      </w:r>
      <w:bookmarkEnd w:id="134"/>
      <w:bookmarkEnd w:id="135"/>
      <w:bookmarkEnd w:id="136"/>
    </w:p>
    <w:p w14:paraId="02E74ADA">
      <w:pPr>
        <w:spacing w:line="360" w:lineRule="auto"/>
        <w:jc w:val="center"/>
        <w:rPr>
          <w:rFonts w:hint="eastAsia" w:ascii="Calibri" w:hAnsi="Calibri" w:eastAsia="宋体" w:cs="Times New Roman"/>
          <w:b/>
          <w:color w:val="000000" w:themeColor="text1"/>
          <w:spacing w:val="0"/>
          <w:kern w:val="2"/>
          <w:position w:val="0"/>
          <w:sz w:val="28"/>
          <w:szCs w:val="28"/>
          <w:highlight w:val="none"/>
          <w14:textFill>
            <w14:solidFill>
              <w14:schemeClr w14:val="tx1"/>
            </w14:solidFill>
          </w14:textFill>
        </w:rPr>
      </w:pPr>
      <w:r>
        <w:rPr>
          <w:rFonts w:hint="eastAsia" w:ascii="Calibri" w:hAnsi="Calibri" w:eastAsia="宋体" w:cs="Times New Roman"/>
          <w:b/>
          <w:color w:val="000000" w:themeColor="text1"/>
          <w:spacing w:val="0"/>
          <w:kern w:val="2"/>
          <w:position w:val="0"/>
          <w:sz w:val="28"/>
          <w:szCs w:val="28"/>
          <w:highlight w:val="none"/>
          <w14:textFill>
            <w14:solidFill>
              <w14:schemeClr w14:val="tx1"/>
            </w14:solidFill>
          </w14:textFill>
        </w:rPr>
        <w:t>投标人已完成项目及获奖情况</w:t>
      </w:r>
    </w:p>
    <w:tbl>
      <w:tblPr>
        <w:tblStyle w:val="15"/>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46"/>
        <w:gridCol w:w="1846"/>
        <w:gridCol w:w="1846"/>
        <w:gridCol w:w="1192"/>
        <w:gridCol w:w="904"/>
      </w:tblGrid>
      <w:tr w14:paraId="08C8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30830B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合同签订时间</w:t>
            </w:r>
          </w:p>
        </w:tc>
        <w:tc>
          <w:tcPr>
            <w:tcW w:w="1846" w:type="dxa"/>
            <w:tcBorders>
              <w:top w:val="single" w:color="auto" w:sz="4" w:space="0"/>
              <w:left w:val="nil"/>
              <w:bottom w:val="single" w:color="auto" w:sz="4" w:space="0"/>
              <w:right w:val="single" w:color="auto" w:sz="4" w:space="0"/>
            </w:tcBorders>
            <w:vAlign w:val="center"/>
          </w:tcPr>
          <w:p w14:paraId="231621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项目概况</w:t>
            </w:r>
          </w:p>
        </w:tc>
        <w:tc>
          <w:tcPr>
            <w:tcW w:w="1846" w:type="dxa"/>
            <w:tcBorders>
              <w:top w:val="single" w:color="auto" w:sz="4" w:space="0"/>
              <w:left w:val="nil"/>
              <w:bottom w:val="single" w:color="auto" w:sz="4" w:space="0"/>
              <w:right w:val="single" w:color="auto" w:sz="4" w:space="0"/>
            </w:tcBorders>
            <w:vAlign w:val="center"/>
          </w:tcPr>
          <w:p w14:paraId="69BCCD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业主单位</w:t>
            </w:r>
          </w:p>
        </w:tc>
        <w:tc>
          <w:tcPr>
            <w:tcW w:w="1846" w:type="dxa"/>
            <w:tcBorders>
              <w:top w:val="single" w:color="auto" w:sz="4" w:space="0"/>
              <w:left w:val="nil"/>
              <w:bottom w:val="single" w:color="auto" w:sz="4" w:space="0"/>
              <w:right w:val="single" w:color="auto" w:sz="4" w:space="0"/>
            </w:tcBorders>
            <w:vAlign w:val="center"/>
          </w:tcPr>
          <w:p w14:paraId="526E59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完成情况</w:t>
            </w:r>
          </w:p>
        </w:tc>
        <w:tc>
          <w:tcPr>
            <w:tcW w:w="1192" w:type="dxa"/>
            <w:tcBorders>
              <w:top w:val="single" w:color="auto" w:sz="4" w:space="0"/>
              <w:left w:val="nil"/>
              <w:bottom w:val="single" w:color="auto" w:sz="4" w:space="0"/>
              <w:right w:val="single" w:color="auto" w:sz="4" w:space="0"/>
            </w:tcBorders>
            <w:vAlign w:val="center"/>
          </w:tcPr>
          <w:p w14:paraId="48DC18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Calibri"/>
                <w:color w:val="000000" w:themeColor="text1"/>
                <w:sz w:val="24"/>
                <w:szCs w:val="24"/>
                <w:highlight w:val="none"/>
                <w14:textFill>
                  <w14:solidFill>
                    <w14:schemeClr w14:val="tx1"/>
                  </w14:solidFill>
                </w14:textFill>
              </w:rPr>
              <w:t>获奖情况</w:t>
            </w:r>
          </w:p>
        </w:tc>
        <w:tc>
          <w:tcPr>
            <w:tcW w:w="904" w:type="dxa"/>
            <w:tcBorders>
              <w:top w:val="single" w:color="auto" w:sz="4" w:space="0"/>
              <w:left w:val="nil"/>
              <w:bottom w:val="single" w:color="auto" w:sz="4" w:space="0"/>
              <w:right w:val="single" w:color="auto" w:sz="4" w:space="0"/>
            </w:tcBorders>
            <w:vAlign w:val="center"/>
          </w:tcPr>
          <w:p w14:paraId="2C9558B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r>
      <w:tr w14:paraId="4F47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2303F6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7FE585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47C62C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5100BC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60DAA4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42D427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r w14:paraId="7E6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5FEB75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716077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753F18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1BA9E6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7DB2EF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1DDC54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r w14:paraId="03F3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3F003A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17AC31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164467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33416B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540C5A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071C10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r w14:paraId="0DC3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2D4C07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49F993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2519F9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7C8792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500427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0FD4F2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r w14:paraId="1DD2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7E33D5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765A239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256D2A8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69826DE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68B18B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1700EB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bl>
    <w:p w14:paraId="3C0918EC">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注：投标人应将已完成的类似项目情况填入本表中，</w:t>
      </w:r>
      <w:r>
        <w:rPr>
          <w:rFonts w:hint="eastAsia" w:ascii="宋体" w:hAnsi="宋体" w:eastAsia="宋体" w:cs="宋体"/>
          <w:color w:val="000000" w:themeColor="text1"/>
          <w:szCs w:val="21"/>
          <w:highlight w:val="none"/>
          <w:lang w:val="en-US" w:eastAsia="zh-CN"/>
          <w14:textFill>
            <w14:solidFill>
              <w14:schemeClr w14:val="tx1"/>
            </w14:solidFill>
          </w14:textFill>
        </w:rPr>
        <w:t>根据定标原则中业绩因素评审因素提供相关的证明材料</w:t>
      </w:r>
      <w:r>
        <w:rPr>
          <w:rFonts w:hint="default" w:ascii="宋体" w:hAnsi="宋体" w:eastAsia="宋体" w:cs="宋体"/>
          <w:color w:val="000000" w:themeColor="text1"/>
          <w:szCs w:val="21"/>
          <w:highlight w:val="none"/>
          <w:lang w:val="en-US" w:eastAsia="zh-CN"/>
          <w14:textFill>
            <w14:solidFill>
              <w14:schemeClr w14:val="tx1"/>
            </w14:solidFill>
          </w14:textFill>
        </w:rPr>
        <w:t>。</w:t>
      </w:r>
    </w:p>
    <w:p w14:paraId="0D97EF70">
      <w:pPr>
        <w:spacing w:line="360" w:lineRule="auto"/>
        <w:jc w:val="left"/>
        <w:rPr>
          <w:rFonts w:ascii="宋体" w:hAnsi="宋体" w:eastAsia="宋体" w:cs="Calibri"/>
          <w:color w:val="000000" w:themeColor="text1"/>
          <w:sz w:val="18"/>
          <w:szCs w:val="18"/>
          <w:highlight w:val="none"/>
          <w14:textFill>
            <w14:solidFill>
              <w14:schemeClr w14:val="tx1"/>
            </w14:solidFill>
          </w14:textFill>
        </w:rPr>
      </w:pPr>
    </w:p>
    <w:p w14:paraId="79A586DB">
      <w:pPr>
        <w:widowControl/>
        <w:jc w:val="left"/>
        <w:rPr>
          <w:rFonts w:ascii="宋体" w:hAnsi="宋体" w:eastAsia="宋体" w:cs="Times New Roman"/>
          <w:color w:val="000000" w:themeColor="text1"/>
          <w:kern w:val="0"/>
          <w:sz w:val="24"/>
          <w:highlight w:val="none"/>
          <w14:textFill>
            <w14:solidFill>
              <w14:schemeClr w14:val="tx1"/>
            </w14:solidFill>
          </w14:textFill>
        </w:rPr>
      </w:pPr>
    </w:p>
    <w:p w14:paraId="65F8E506">
      <w:pPr>
        <w:widowControl/>
        <w:jc w:val="left"/>
        <w:rPr>
          <w:rFonts w:ascii="宋体" w:hAnsi="宋体" w:eastAsia="宋体" w:cs="Times New Roman"/>
          <w:color w:val="000000" w:themeColor="text1"/>
          <w:kern w:val="0"/>
          <w:sz w:val="24"/>
          <w:highlight w:val="none"/>
          <w14:textFill>
            <w14:solidFill>
              <w14:schemeClr w14:val="tx1"/>
            </w14:solidFill>
          </w14:textFill>
        </w:rPr>
      </w:pPr>
      <w:r>
        <w:rPr>
          <w:rFonts w:ascii="宋体" w:hAnsi="宋体" w:eastAsia="宋体" w:cs="Times New Roman"/>
          <w:color w:val="000000" w:themeColor="text1"/>
          <w:kern w:val="0"/>
          <w:sz w:val="24"/>
          <w:highlight w:val="none"/>
          <w14:textFill>
            <w14:solidFill>
              <w14:schemeClr w14:val="tx1"/>
            </w14:solidFill>
          </w14:textFill>
        </w:rPr>
        <w:br w:type="page"/>
      </w:r>
    </w:p>
    <w:p w14:paraId="338BB529">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37" w:name="_Toc1278"/>
      <w:bookmarkStart w:id="138" w:name="_Toc12588"/>
      <w:bookmarkStart w:id="139" w:name="_Toc23616"/>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 xml:space="preserve">附录19 </w:t>
      </w:r>
      <w:r>
        <w:rPr>
          <w:rFonts w:hint="eastAsia" w:ascii="宋体" w:hAnsi="宋体" w:eastAsia="宋体" w:cs="宋体"/>
          <w:b/>
          <w:bCs/>
          <w:color w:val="000000" w:themeColor="text1"/>
          <w:kern w:val="44"/>
          <w:sz w:val="30"/>
          <w:szCs w:val="30"/>
          <w:highlight w:val="none"/>
          <w:lang w:eastAsia="zh-CN" w:bidi="ar-SA"/>
          <w14:textFill>
            <w14:solidFill>
              <w14:schemeClr w14:val="tx1"/>
            </w14:solidFill>
          </w14:textFill>
        </w:rPr>
        <w:t>基础资料和</w:t>
      </w:r>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勘察设计任务书</w:t>
      </w:r>
      <w:bookmarkEnd w:id="137"/>
    </w:p>
    <w:p w14:paraId="6EBB61DA">
      <w:pPr>
        <w:spacing w:line="360" w:lineRule="auto"/>
        <w:jc w:val="center"/>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基础资料和</w:t>
      </w: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勘察</w:t>
      </w:r>
      <w:r>
        <w:rPr>
          <w:rFonts w:hint="eastAsia" w:ascii="宋体" w:hAnsi="宋体" w:eastAsia="宋体" w:cs="Times New Roman"/>
          <w:b/>
          <w:color w:val="000000" w:themeColor="text1"/>
          <w:sz w:val="28"/>
          <w:szCs w:val="28"/>
          <w:highlight w:val="none"/>
          <w14:textFill>
            <w14:solidFill>
              <w14:schemeClr w14:val="tx1"/>
            </w14:solidFill>
          </w14:textFill>
        </w:rPr>
        <w:t>设计任务书</w:t>
      </w:r>
    </w:p>
    <w:p w14:paraId="030E5846">
      <w:pPr>
        <w:spacing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u w:val="single"/>
          <w14:textFill>
            <w14:solidFill>
              <w14:schemeClr w14:val="tx1"/>
            </w14:solidFill>
          </w14:textFill>
        </w:rPr>
        <w:t>另册</w:t>
      </w:r>
    </w:p>
    <w:p w14:paraId="7F68CC55">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06D96F49">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559CD17B">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185B4F15">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168C6B19">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28217C85">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28F858D3">
      <w:pPr>
        <w:keepNext w:val="0"/>
        <w:keepLines w:val="0"/>
        <w:widowControl/>
        <w:suppressLineNumbers w:val="0"/>
        <w:spacing w:before="0" w:beforeAutospacing="0" w:after="0" w:afterAutospacing="0"/>
        <w:ind w:left="0" w:right="0"/>
        <w:jc w:val="left"/>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r>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br w:type="page"/>
      </w:r>
    </w:p>
    <w:p w14:paraId="2EEDFEF0">
      <w:pPr>
        <w:keepNext/>
        <w:keepLines/>
        <w:widowControl/>
        <w:suppressLineNumbers w:val="0"/>
        <w:spacing w:before="157" w:beforeLines="50" w:beforeAutospacing="0" w:after="157" w:afterLines="50" w:afterAutospacing="0" w:line="360" w:lineRule="auto"/>
        <w:ind w:left="0" w:right="0"/>
        <w:jc w:val="left"/>
        <w:outlineLvl w:val="1"/>
        <w:rPr>
          <w:rFonts w:hint="eastAsia" w:ascii="宋体" w:hAnsi="宋体" w:eastAsia="宋体" w:cs="宋体"/>
          <w:b/>
          <w:bCs/>
          <w:color w:val="000000" w:themeColor="text1"/>
          <w:kern w:val="44"/>
          <w:sz w:val="30"/>
          <w:szCs w:val="30"/>
          <w:highlight w:val="none"/>
          <w:lang w:val="en-US"/>
          <w14:textFill>
            <w14:solidFill>
              <w14:schemeClr w14:val="tx1"/>
            </w14:solidFill>
          </w14:textFill>
        </w:rPr>
      </w:pPr>
      <w:bookmarkStart w:id="140" w:name="_Toc20643"/>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附录20 评标委员会成员声明</w:t>
      </w:r>
      <w:bookmarkEnd w:id="140"/>
    </w:p>
    <w:p w14:paraId="3AA6BBC2">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评标委员会成员声明</w:t>
      </w:r>
    </w:p>
    <w:p w14:paraId="7E05337F">
      <w:pPr>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广州市重点公共建设项目管理中心</w:t>
      </w:r>
      <w:r>
        <w:rPr>
          <w:rFonts w:hint="eastAsia" w:ascii="宋体" w:hAnsi="宋体" w:eastAsia="宋体" w:cs="宋体"/>
          <w:color w:val="000000" w:themeColor="text1"/>
          <w:sz w:val="24"/>
          <w:szCs w:val="24"/>
          <w:highlight w:val="none"/>
          <w14:textFill>
            <w14:solidFill>
              <w14:schemeClr w14:val="tx1"/>
            </w14:solidFill>
          </w14:textFill>
        </w:rPr>
        <w:t>：</w:t>
      </w:r>
    </w:p>
    <w:p w14:paraId="6285877D">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本人就参与</w:t>
      </w:r>
      <w:r>
        <w:rPr>
          <w:rFonts w:hint="eastAsia" w:ascii="宋体" w:hAnsi="宋体" w:eastAsia="宋体" w:cs="宋体"/>
          <w:color w:val="000000" w:themeColor="text1"/>
          <w:sz w:val="24"/>
          <w:szCs w:val="24"/>
          <w:highlight w:val="none"/>
          <w:u w:val="single"/>
          <w14:textFill>
            <w14:solidFill>
              <w14:schemeClr w14:val="tx1"/>
            </w14:solidFill>
          </w14:textFill>
        </w:rPr>
        <w:t>广州市农业农村科学院东涌基地建设项目勘察设计</w:t>
      </w:r>
      <w:r>
        <w:rPr>
          <w:rFonts w:hint="eastAsia" w:ascii="宋体" w:hAnsi="宋体" w:eastAsia="宋体" w:cs="宋体"/>
          <w:color w:val="000000" w:themeColor="text1"/>
          <w:sz w:val="24"/>
          <w:szCs w:val="24"/>
          <w:highlight w:val="none"/>
          <w14:textFill>
            <w14:solidFill>
              <w14:schemeClr w14:val="tx1"/>
            </w14:solidFill>
          </w14:textFill>
        </w:rPr>
        <w:t>的评标工作，作出郑重声明：</w:t>
      </w:r>
    </w:p>
    <w:p w14:paraId="6C413380">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B51D60D">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CDFFEE5">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B1DD158">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2DA43B7">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637329C">
      <w:pPr>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如果本人违反上述声明内容，造成的后果由本人自行承担。</w:t>
      </w:r>
    </w:p>
    <w:p w14:paraId="08DD9BAE">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声明人：（签名） </w:t>
      </w:r>
    </w:p>
    <w:p w14:paraId="4EECBED4">
      <w:pPr>
        <w:spacing w:line="240" w:lineRule="auto"/>
        <w:ind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7ED5C97">
      <w:pPr>
        <w:keepNext/>
        <w:keepLines/>
        <w:widowControl/>
        <w:spacing w:before="157" w:beforeLines="50" w:beforeAutospacing="0" w:after="157" w:afterLines="50" w:afterAutospacing="0" w:line="360" w:lineRule="auto"/>
        <w:jc w:val="left"/>
        <w:outlineLvl w:val="1"/>
        <w:rPr>
          <w:rFonts w:hint="default" w:ascii="宋体" w:hAnsi="宋体" w:eastAsia="宋体" w:cs="宋体"/>
          <w:b/>
          <w:bCs/>
          <w:color w:val="000000" w:themeColor="text1"/>
          <w:spacing w:val="0"/>
          <w:kern w:val="44"/>
          <w:sz w:val="30"/>
          <w:szCs w:val="30"/>
          <w:highlight w:val="none"/>
          <w14:textFill>
            <w14:solidFill>
              <w14:schemeClr w14:val="tx1"/>
            </w14:solidFill>
          </w14:textFill>
        </w:rPr>
      </w:pPr>
      <w:bookmarkStart w:id="141" w:name="_Toc16185"/>
      <w:r>
        <w:rPr>
          <w:rFonts w:hint="default" w:ascii="宋体" w:hAnsi="宋体" w:eastAsia="宋体" w:cs="宋体"/>
          <w:b/>
          <w:bCs/>
          <w:color w:val="000000" w:themeColor="text1"/>
          <w:spacing w:val="0"/>
          <w:kern w:val="44"/>
          <w:sz w:val="30"/>
          <w:szCs w:val="30"/>
          <w:highlight w:val="none"/>
          <w:lang w:eastAsia="zh-CN" w:bidi="ar-SA"/>
          <w14:textFill>
            <w14:solidFill>
              <w14:schemeClr w14:val="tx1"/>
            </w14:solidFill>
          </w14:textFill>
        </w:rPr>
        <w:t>附录</w:t>
      </w:r>
      <w:r>
        <w:rPr>
          <w:rFonts w:hint="eastAsia" w:ascii="宋体" w:hAnsi="宋体" w:eastAsia="宋体" w:cs="宋体"/>
          <w:b/>
          <w:bCs/>
          <w:color w:val="000000" w:themeColor="text1"/>
          <w:spacing w:val="0"/>
          <w:kern w:val="44"/>
          <w:sz w:val="30"/>
          <w:szCs w:val="30"/>
          <w:highlight w:val="none"/>
          <w:lang w:val="en-US" w:eastAsia="zh-CN" w:bidi="ar-SA"/>
          <w14:textFill>
            <w14:solidFill>
              <w14:schemeClr w14:val="tx1"/>
            </w14:solidFill>
          </w14:textFill>
        </w:rPr>
        <w:t xml:space="preserve">21 </w:t>
      </w:r>
      <w:r>
        <w:rPr>
          <w:rFonts w:hint="default" w:ascii="宋体" w:hAnsi="宋体" w:eastAsia="宋体" w:cs="宋体"/>
          <w:b/>
          <w:bCs/>
          <w:color w:val="000000" w:themeColor="text1"/>
          <w:spacing w:val="0"/>
          <w:kern w:val="44"/>
          <w:sz w:val="30"/>
          <w:szCs w:val="30"/>
          <w:highlight w:val="none"/>
          <w:lang w:val="en-US" w:eastAsia="zh-CN" w:bidi="ar-SA"/>
          <w14:textFill>
            <w14:solidFill>
              <w14:schemeClr w14:val="tx1"/>
            </w14:solidFill>
          </w14:textFill>
        </w:rPr>
        <w:t>专业分包情况</w:t>
      </w:r>
      <w:bookmarkEnd w:id="138"/>
      <w:bookmarkEnd w:id="141"/>
    </w:p>
    <w:p w14:paraId="070EFE5F">
      <w:pPr>
        <w:keepNext w:val="0"/>
        <w:keepLines w:val="0"/>
        <w:widowControl/>
        <w:suppressLineNumbers w:val="0"/>
        <w:autoSpaceDE/>
        <w:autoSpaceDN/>
        <w:adjustRightInd/>
        <w:spacing w:before="0" w:beforeLines="-2147483648" w:beforeAutospacing="0" w:after="0" w:afterLines="-2147483648" w:afterAutospacing="0" w:line="360" w:lineRule="auto"/>
        <w:ind w:left="0" w:right="0"/>
        <w:jc w:val="center"/>
        <w:rPr>
          <w:rFonts w:hint="eastAsia" w:ascii="Calibri" w:hAnsi="Calibri" w:eastAsia="宋体" w:cs="Times New Roman"/>
          <w:b/>
          <w:i w:val="0"/>
          <w:caps w:val="0"/>
          <w:color w:val="000000" w:themeColor="text1"/>
          <w:spacing w:val="0"/>
          <w:sz w:val="28"/>
          <w:szCs w:val="28"/>
          <w:highlight w:val="none"/>
          <w14:textFill>
            <w14:solidFill>
              <w14:schemeClr w14:val="tx1"/>
            </w14:solidFill>
          </w14:textFill>
        </w:rPr>
      </w:pPr>
      <w:r>
        <w:rPr>
          <w:rStyle w:val="17"/>
          <w:rFonts w:hint="eastAsia" w:ascii="Calibri" w:hAnsi="Calibri" w:eastAsia="宋体" w:cs="Times New Roman"/>
          <w:b/>
          <w:i w:val="0"/>
          <w:caps w:val="0"/>
          <w:color w:val="000000" w:themeColor="text1"/>
          <w:spacing w:val="0"/>
          <w:kern w:val="2"/>
          <w:sz w:val="28"/>
          <w:szCs w:val="28"/>
          <w:highlight w:val="none"/>
          <w:lang w:val="en-US" w:eastAsia="zh-CN" w:bidi="ar"/>
          <w14:textFill>
            <w14:solidFill>
              <w14:schemeClr w14:val="tx1"/>
            </w14:solidFill>
          </w14:textFill>
        </w:rPr>
        <w:t>不分包的承诺书</w:t>
      </w:r>
    </w:p>
    <w:p w14:paraId="6966EC3A">
      <w:pPr>
        <w:pStyle w:val="24"/>
        <w:widowControl/>
        <w:ind w:left="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广州市住房和城乡建设局、本招标项目招标人及招标监管机构：</w:t>
      </w:r>
    </w:p>
    <w:p w14:paraId="64D2C6A6">
      <w:pPr>
        <w:pStyle w:val="24"/>
        <w:widowControl/>
        <w:ind w:lef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就参加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广州市农业农村科学院东涌基地建设项目勘察设计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（项目名称）投标工作，经结合我</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方自身综合实力</w:t>
      </w:r>
      <w:r>
        <w:rPr>
          <w:rFonts w:hint="eastAsia" w:ascii="宋体" w:hAnsi="宋体" w:eastAsia="宋体" w:cs="宋体"/>
          <w:color w:val="000000" w:themeColor="text1"/>
          <w:sz w:val="24"/>
          <w:szCs w:val="24"/>
          <w:highlight w:val="none"/>
          <w14:textFill>
            <w14:solidFill>
              <w14:schemeClr w14:val="tx1"/>
            </w14:solidFill>
          </w14:textFill>
        </w:rPr>
        <w:t>，作出郑重承诺：</w:t>
      </w:r>
    </w:p>
    <w:p w14:paraId="6E3F3336">
      <w:pPr>
        <w:pStyle w:val="13"/>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i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w:t>
      </w:r>
      <w:r>
        <w:rPr>
          <w:rFonts w:hint="eastAsia" w:ascii="宋体" w:hAnsi="宋体" w:eastAsia="宋体" w:cs="宋体"/>
          <w:b/>
          <w:i w:val="0"/>
          <w:caps w:val="0"/>
          <w:color w:val="000000" w:themeColor="text1"/>
          <w:spacing w:val="0"/>
          <w:kern w:val="0"/>
          <w:sz w:val="24"/>
          <w:szCs w:val="24"/>
          <w:highlight w:val="none"/>
          <w:u w:val="single"/>
          <w:lang w:val="en-US" w:eastAsia="zh-CN" w:bidi="ar"/>
          <w14:textFill>
            <w14:solidFill>
              <w14:schemeClr w14:val="tx1"/>
            </w14:solidFill>
          </w14:textFill>
        </w:rPr>
        <w:t>我方承诺本次招标范围内所有</w:t>
      </w:r>
      <w:r>
        <w:rPr>
          <w:rFonts w:hint="default" w:eastAsia="宋体" w:cs="宋体"/>
          <w:b/>
          <w:i w:val="0"/>
          <w:caps w:val="0"/>
          <w:color w:val="000000" w:themeColor="text1"/>
          <w:spacing w:val="0"/>
          <w:kern w:val="0"/>
          <w:sz w:val="24"/>
          <w:szCs w:val="24"/>
          <w:highlight w:val="none"/>
          <w:u w:val="single"/>
          <w:lang w:eastAsia="zh-CN" w:bidi="ar"/>
          <w14:textFill>
            <w14:solidFill>
              <w14:schemeClr w14:val="tx1"/>
            </w14:solidFill>
          </w14:textFill>
        </w:rPr>
        <w:t>设计</w:t>
      </w:r>
      <w:r>
        <w:rPr>
          <w:rFonts w:hint="eastAsia" w:ascii="宋体" w:hAnsi="宋体" w:eastAsia="宋体" w:cs="宋体"/>
          <w:b/>
          <w:i w:val="0"/>
          <w:caps w:val="0"/>
          <w:color w:val="000000" w:themeColor="text1"/>
          <w:spacing w:val="0"/>
          <w:kern w:val="0"/>
          <w:sz w:val="24"/>
          <w:szCs w:val="24"/>
          <w:highlight w:val="none"/>
          <w:u w:val="single"/>
          <w:lang w:val="en-US" w:eastAsia="zh-CN" w:bidi="ar"/>
          <w14:textFill>
            <w14:solidFill>
              <w14:schemeClr w14:val="tx1"/>
            </w14:solidFill>
          </w14:textFill>
        </w:rPr>
        <w:t>内容</w:t>
      </w:r>
      <w:r>
        <w:rPr>
          <w:rFonts w:hint="eastAsia" w:cs="宋体"/>
          <w:b/>
          <w:bCs w:val="0"/>
          <w:i w:val="0"/>
          <w:caps w:val="0"/>
          <w:color w:val="000000" w:themeColor="text1"/>
          <w:spacing w:val="0"/>
          <w:kern w:val="0"/>
          <w:sz w:val="24"/>
          <w:szCs w:val="24"/>
          <w:highlight w:val="none"/>
          <w:u w:val="single"/>
          <w:lang w:val="en-US" w:eastAsia="zh-CN" w:bidi="ar"/>
          <w14:textFill>
            <w14:solidFill>
              <w14:schemeClr w14:val="tx1"/>
            </w14:solidFill>
          </w14:textFill>
        </w:rPr>
        <w:t>及</w:t>
      </w:r>
      <w:r>
        <w:rPr>
          <w:rFonts w:hint="eastAsia" w:cs="宋体"/>
          <w:b/>
          <w:bCs w:val="0"/>
          <w:color w:val="000000" w:themeColor="text1"/>
          <w:kern w:val="2"/>
          <w:sz w:val="24"/>
          <w:szCs w:val="24"/>
          <w:highlight w:val="none"/>
          <w:u w:val="single"/>
          <w:shd w:val="clear" w:color="auto" w:fill="FFFFFF"/>
          <w:lang w:val="en-US" w:eastAsia="zh-CN" w:bidi="ar"/>
          <w14:textFill>
            <w14:solidFill>
              <w14:schemeClr w14:val="tx1"/>
            </w14:solidFill>
          </w14:textFill>
        </w:rPr>
        <w:t>专项</w:t>
      </w:r>
      <w:r>
        <w:rPr>
          <w:rFonts w:hint="eastAsia" w:eastAsia="宋体" w:cs="宋体"/>
          <w:b/>
          <w:bCs w:val="0"/>
          <w:color w:val="000000" w:themeColor="text1"/>
          <w:kern w:val="2"/>
          <w:sz w:val="24"/>
          <w:szCs w:val="24"/>
          <w:highlight w:val="none"/>
          <w:u w:val="single"/>
          <w:shd w:val="clear" w:color="auto" w:fill="FFFFFF"/>
          <w:lang w:bidi="ar"/>
          <w14:textFill>
            <w14:solidFill>
              <w14:schemeClr w14:val="tx1"/>
            </w14:solidFill>
          </w14:textFill>
        </w:rPr>
        <w:t>工作</w:t>
      </w:r>
      <w:r>
        <w:rPr>
          <w:rFonts w:hint="eastAsia" w:ascii="宋体" w:hAnsi="宋体" w:eastAsia="宋体" w:cs="宋体"/>
          <w:b/>
          <w:i w:val="0"/>
          <w:caps w:val="0"/>
          <w:color w:val="000000" w:themeColor="text1"/>
          <w:spacing w:val="0"/>
          <w:kern w:val="0"/>
          <w:sz w:val="24"/>
          <w:szCs w:val="24"/>
          <w:highlight w:val="none"/>
          <w:u w:val="single"/>
          <w:lang w:val="en-US" w:eastAsia="zh-CN" w:bidi="ar"/>
          <w14:textFill>
            <w14:solidFill>
              <w14:schemeClr w14:val="tx1"/>
            </w14:solidFill>
          </w14:textFill>
        </w:rPr>
        <w:t>全部由我方自行组织实施，对所有专业</w:t>
      </w:r>
      <w:r>
        <w:rPr>
          <w:rFonts w:hint="default" w:eastAsia="宋体" w:cs="宋体"/>
          <w:b/>
          <w:i w:val="0"/>
          <w:caps w:val="0"/>
          <w:color w:val="000000" w:themeColor="text1"/>
          <w:spacing w:val="0"/>
          <w:kern w:val="0"/>
          <w:sz w:val="24"/>
          <w:szCs w:val="24"/>
          <w:highlight w:val="none"/>
          <w:u w:val="single"/>
          <w:lang w:eastAsia="zh-CN" w:bidi="ar"/>
          <w14:textFill>
            <w14:solidFill>
              <w14:schemeClr w14:val="tx1"/>
            </w14:solidFill>
          </w14:textFill>
        </w:rPr>
        <w:t>设计</w:t>
      </w:r>
      <w:r>
        <w:rPr>
          <w:rFonts w:hint="eastAsia" w:cs="宋体"/>
          <w:b/>
          <w:bCs w:val="0"/>
          <w:i w:val="0"/>
          <w:caps w:val="0"/>
          <w:color w:val="000000" w:themeColor="text1"/>
          <w:spacing w:val="0"/>
          <w:kern w:val="0"/>
          <w:sz w:val="24"/>
          <w:szCs w:val="24"/>
          <w:highlight w:val="none"/>
          <w:u w:val="single"/>
          <w:lang w:val="en-US" w:eastAsia="zh-CN" w:bidi="ar"/>
          <w14:textFill>
            <w14:solidFill>
              <w14:schemeClr w14:val="tx1"/>
            </w14:solidFill>
          </w14:textFill>
        </w:rPr>
        <w:t>及</w:t>
      </w:r>
      <w:r>
        <w:rPr>
          <w:rFonts w:hint="eastAsia" w:cs="宋体"/>
          <w:b/>
          <w:bCs w:val="0"/>
          <w:color w:val="000000" w:themeColor="text1"/>
          <w:kern w:val="2"/>
          <w:sz w:val="24"/>
          <w:szCs w:val="24"/>
          <w:highlight w:val="none"/>
          <w:u w:val="single"/>
          <w:shd w:val="clear" w:color="auto" w:fill="FFFFFF"/>
          <w:lang w:val="en-US" w:eastAsia="zh-CN" w:bidi="ar"/>
          <w14:textFill>
            <w14:solidFill>
              <w14:schemeClr w14:val="tx1"/>
            </w14:solidFill>
          </w14:textFill>
        </w:rPr>
        <w:t>专项</w:t>
      </w:r>
      <w:r>
        <w:rPr>
          <w:rFonts w:hint="eastAsia" w:eastAsia="宋体" w:cs="宋体"/>
          <w:b/>
          <w:bCs w:val="0"/>
          <w:color w:val="000000" w:themeColor="text1"/>
          <w:kern w:val="2"/>
          <w:sz w:val="24"/>
          <w:szCs w:val="24"/>
          <w:highlight w:val="none"/>
          <w:u w:val="single"/>
          <w:shd w:val="clear" w:color="auto" w:fill="FFFFFF"/>
          <w:lang w:bidi="ar"/>
          <w14:textFill>
            <w14:solidFill>
              <w14:schemeClr w14:val="tx1"/>
            </w14:solidFill>
          </w14:textFill>
        </w:rPr>
        <w:t>工作</w:t>
      </w:r>
      <w:r>
        <w:rPr>
          <w:rFonts w:hint="eastAsia" w:ascii="宋体" w:hAnsi="宋体" w:eastAsia="宋体" w:cs="宋体"/>
          <w:b/>
          <w:i w:val="0"/>
          <w:caps w:val="0"/>
          <w:color w:val="000000" w:themeColor="text1"/>
          <w:spacing w:val="0"/>
          <w:kern w:val="0"/>
          <w:sz w:val="24"/>
          <w:szCs w:val="24"/>
          <w:highlight w:val="none"/>
          <w:u w:val="single"/>
          <w:lang w:val="en-US" w:eastAsia="zh-CN" w:bidi="ar"/>
          <w14:textFill>
            <w14:solidFill>
              <w14:schemeClr w14:val="tx1"/>
            </w14:solidFill>
          </w14:textFill>
        </w:rPr>
        <w:t>均不实施分包。</w:t>
      </w:r>
    </w:p>
    <w:p w14:paraId="75475F1D">
      <w:pPr>
        <w:pStyle w:val="13"/>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pPr>
      <w:r>
        <w:rPr>
          <w:rStyle w:val="20"/>
          <w:rFonts w:hint="eastAsia" w:ascii="Times New Roman" w:hAnsi="Times New Roman" w:eastAsia="宋体" w:cs="宋体"/>
          <w:b w:val="0"/>
          <w:i w:val="0"/>
          <w:caps w:val="0"/>
          <w:color w:val="000000" w:themeColor="text1"/>
          <w:spacing w:val="0"/>
          <w:sz w:val="24"/>
          <w:szCs w:val="24"/>
          <w:highlight w:val="none"/>
          <w:lang w:val="en-US" w:eastAsia="zh-CN" w:bidi="ar"/>
          <w14:textFill>
            <w14:solidFill>
              <w14:schemeClr w14:val="tx1"/>
            </w14:solidFill>
          </w14:textFill>
        </w:rPr>
        <w:t>2</w:t>
      </w:r>
      <w:r>
        <w:rPr>
          <w:rStyle w:val="20"/>
          <w:rFonts w:hint="eastAsia" w:ascii="宋体" w:hAnsi="宋体" w:eastAsia="宋体" w:cs="宋体"/>
          <w:b w:val="0"/>
          <w:i w:val="0"/>
          <w:caps w:val="0"/>
          <w:color w:val="000000" w:themeColor="text1"/>
          <w:spacing w:val="0"/>
          <w:sz w:val="24"/>
          <w:szCs w:val="24"/>
          <w:highlight w:val="none"/>
          <w:lang w:val="en-US" w:eastAsia="zh-CN" w:bidi="ar"/>
          <w14:textFill>
            <w14:solidFill>
              <w14:schemeClr w14:val="tx1"/>
            </w14:solidFill>
          </w14:textFill>
        </w:rPr>
        <w:t>、</w:t>
      </w: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我方承诺</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对本项目的</w:t>
      </w:r>
      <w:r>
        <w:rPr>
          <w:rFonts w:hint="default" w:eastAsia="宋体" w:cs="宋体"/>
          <w:i w:val="0"/>
          <w:caps w:val="0"/>
          <w:color w:val="000000" w:themeColor="text1"/>
          <w:spacing w:val="0"/>
          <w:kern w:val="0"/>
          <w:sz w:val="24"/>
          <w:szCs w:val="24"/>
          <w:highlight w:val="none"/>
          <w:lang w:eastAsia="zh-CN" w:bidi="ar"/>
          <w14:textFill>
            <w14:solidFill>
              <w14:schemeClr w14:val="tx1"/>
            </w14:solidFill>
          </w14:textFill>
        </w:rPr>
        <w:t>设计</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质量、</w:t>
      </w:r>
      <w:r>
        <w:rPr>
          <w:rFonts w:hint="eastAsia" w:cs="宋体"/>
          <w:b/>
          <w:bCs w:val="0"/>
          <w:color w:val="000000" w:themeColor="text1"/>
          <w:kern w:val="2"/>
          <w:sz w:val="24"/>
          <w:szCs w:val="24"/>
          <w:highlight w:val="none"/>
          <w:u w:val="none"/>
          <w:shd w:val="clear" w:color="auto" w:fill="FFFFFF"/>
          <w:lang w:val="en-US" w:eastAsia="zh-CN" w:bidi="ar"/>
          <w14:textFill>
            <w14:solidFill>
              <w14:schemeClr w14:val="tx1"/>
            </w14:solidFill>
          </w14:textFill>
        </w:rPr>
        <w:t>专项</w:t>
      </w:r>
      <w:r>
        <w:rPr>
          <w:rFonts w:hint="eastAsia" w:eastAsia="宋体" w:cs="宋体"/>
          <w:b/>
          <w:bCs w:val="0"/>
          <w:color w:val="000000" w:themeColor="text1"/>
          <w:kern w:val="2"/>
          <w:sz w:val="24"/>
          <w:szCs w:val="24"/>
          <w:highlight w:val="none"/>
          <w:u w:val="none"/>
          <w:shd w:val="clear" w:color="auto" w:fill="FFFFFF"/>
          <w:lang w:bidi="ar"/>
          <w14:textFill>
            <w14:solidFill>
              <w14:schemeClr w14:val="tx1"/>
            </w14:solidFill>
          </w14:textFill>
        </w:rPr>
        <w:t>工作</w:t>
      </w:r>
      <w:r>
        <w:rPr>
          <w:rFonts w:hint="eastAsia" w:cs="宋体"/>
          <w:b/>
          <w:bCs w:val="0"/>
          <w:color w:val="000000" w:themeColor="text1"/>
          <w:kern w:val="2"/>
          <w:sz w:val="24"/>
          <w:szCs w:val="24"/>
          <w:highlight w:val="none"/>
          <w:u w:val="none"/>
          <w:shd w:val="clear" w:color="auto" w:fill="FFFFFF"/>
          <w:lang w:val="en-US" w:eastAsia="zh-CN" w:bidi="ar"/>
          <w14:textFill>
            <w14:solidFill>
              <w14:schemeClr w14:val="tx1"/>
            </w14:solidFill>
          </w14:textFill>
        </w:rPr>
        <w:t>服务质量、</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进度承担全部责任，确保管理目标符合合同约定，并承担因此引发的一切责任。</w:t>
      </w:r>
    </w:p>
    <w:p w14:paraId="7A9D1DC7">
      <w:pPr>
        <w:pStyle w:val="24"/>
        <w:widowControl/>
        <w:ind w:left="0" w:firstLine="480" w:firstLineChars="200"/>
        <w:jc w:val="left"/>
        <w:rPr>
          <w:rFonts w:hint="eastAsia" w:ascii="宋体" w:hAnsi="宋体" w:eastAsia="宋体" w:cs="宋体"/>
          <w:b w:val="0"/>
          <w:i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sz w:val="24"/>
          <w:szCs w:val="24"/>
          <w:highlight w:val="none"/>
          <w14:textFill>
            <w14:solidFill>
              <w14:schemeClr w14:val="tx1"/>
            </w14:solidFill>
          </w14:textFill>
        </w:rPr>
        <w:t>3、我方承诺中标后不将承包的</w:t>
      </w:r>
      <w:r>
        <w:rPr>
          <w:rFonts w:hint="default" w:ascii="宋体" w:hAnsi="宋体" w:eastAsia="宋体" w:cs="宋体"/>
          <w:b w:val="0"/>
          <w:i w:val="0"/>
          <w:caps w:val="0"/>
          <w:color w:val="000000" w:themeColor="text1"/>
          <w:spacing w:val="0"/>
          <w:sz w:val="24"/>
          <w:szCs w:val="24"/>
          <w:highlight w:val="none"/>
          <w14:textFill>
            <w14:solidFill>
              <w14:schemeClr w14:val="tx1"/>
            </w14:solidFill>
          </w14:textFill>
        </w:rPr>
        <w:t>设计</w:t>
      </w:r>
      <w:r>
        <w:rPr>
          <w:rFonts w:hint="default" w:ascii="宋体" w:hAnsi="宋体" w:eastAsia="宋体" w:cs="宋体"/>
          <w:b w:val="0"/>
          <w:bCs w:val="0"/>
          <w:i w:val="0"/>
          <w:caps w:val="0"/>
          <w:color w:val="000000" w:themeColor="text1"/>
          <w:spacing w:val="0"/>
          <w:sz w:val="24"/>
          <w:szCs w:val="24"/>
          <w:highlight w:val="none"/>
          <w14:textFill>
            <w14:solidFill>
              <w14:schemeClr w14:val="tx1"/>
            </w14:solidFill>
          </w14:textFill>
        </w:rPr>
        <w:t>及专项工作</w:t>
      </w:r>
      <w:r>
        <w:rPr>
          <w:rFonts w:hint="eastAsia" w:ascii="宋体" w:hAnsi="宋体" w:eastAsia="宋体" w:cs="宋体"/>
          <w:b w:val="0"/>
          <w:i w:val="0"/>
          <w:caps w:val="0"/>
          <w:color w:val="000000" w:themeColor="text1"/>
          <w:spacing w:val="0"/>
          <w:sz w:val="24"/>
          <w:szCs w:val="24"/>
          <w:highlight w:val="none"/>
          <w14:textFill>
            <w14:solidFill>
              <w14:schemeClr w14:val="tx1"/>
            </w14:solidFill>
          </w14:textFill>
        </w:rPr>
        <w:t>进行转包或违法分包，不转让、不出借企业资质证书或者以其他方式允许他人以本单位名义承揽工程，严禁个人承揽分包工程业务。</w:t>
      </w:r>
    </w:p>
    <w:p w14:paraId="506E47A2">
      <w:pPr>
        <w:pStyle w:val="13"/>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4、若违反本承诺，我</w:t>
      </w: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方将</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无条件接受招标人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根据合同约定作出的违约处理，</w:t>
      </w:r>
      <w:r>
        <w:rPr>
          <w:rFonts w:hint="eastAsia" w:ascii="宋体" w:hAnsi="宋体" w:eastAsia="宋体" w:cs="宋体"/>
          <w:b/>
          <w:color w:val="000000" w:themeColor="text1"/>
          <w:kern w:val="2"/>
          <w:sz w:val="24"/>
          <w:szCs w:val="24"/>
          <w:highlight w:val="none"/>
          <w:lang w:val="en-US" w:eastAsia="zh-CN" w:bidi="ar"/>
          <w14:textFill>
            <w14:solidFill>
              <w14:schemeClr w14:val="tx1"/>
            </w14:solidFill>
          </w14:textFill>
        </w:rPr>
        <w:t>并</w:t>
      </w:r>
      <w:r>
        <w:rPr>
          <w:rFonts w:hint="eastAsia" w:ascii="宋体" w:hAnsi="宋体" w:eastAsia="宋体" w:cs="宋体"/>
          <w:b/>
          <w:i w:val="0"/>
          <w:caps w:val="0"/>
          <w:color w:val="000000" w:themeColor="text1"/>
          <w:spacing w:val="0"/>
          <w:kern w:val="0"/>
          <w:sz w:val="24"/>
          <w:szCs w:val="24"/>
          <w:highlight w:val="none"/>
          <w:lang w:val="en-US" w:eastAsia="zh-CN" w:bidi="ar"/>
          <w14:textFill>
            <w14:solidFill>
              <w14:schemeClr w14:val="tx1"/>
            </w14:solidFill>
          </w14:textFill>
        </w:rPr>
        <w:t>承担</w:t>
      </w:r>
      <w:r>
        <w:rPr>
          <w:rFonts w:hint="default" w:eastAsia="宋体" w:cs="宋体"/>
          <w:b/>
          <w:i w:val="0"/>
          <w:caps w:val="0"/>
          <w:color w:val="000000" w:themeColor="text1"/>
          <w:spacing w:val="0"/>
          <w:kern w:val="0"/>
          <w:sz w:val="24"/>
          <w:szCs w:val="24"/>
          <w:highlight w:val="none"/>
          <w:lang w:eastAsia="zh-CN" w:bidi="ar"/>
          <w14:textFill>
            <w14:solidFill>
              <w14:schemeClr w14:val="tx1"/>
            </w14:solidFill>
          </w14:textFill>
        </w:rPr>
        <w:t>5</w:t>
      </w:r>
      <w:r>
        <w:rPr>
          <w:rFonts w:hint="eastAsia" w:ascii="宋体" w:hAnsi="宋体" w:eastAsia="宋体" w:cs="宋体"/>
          <w:b/>
          <w:i w:val="0"/>
          <w:caps w:val="0"/>
          <w:color w:val="000000" w:themeColor="text1"/>
          <w:spacing w:val="0"/>
          <w:kern w:val="0"/>
          <w:sz w:val="24"/>
          <w:szCs w:val="24"/>
          <w:highlight w:val="none"/>
          <w:lang w:val="en-US" w:eastAsia="zh-CN" w:bidi="ar"/>
          <w14:textFill>
            <w14:solidFill>
              <w14:schemeClr w14:val="tx1"/>
            </w14:solidFill>
          </w14:textFill>
        </w:rPr>
        <w:t>万元/次</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的违约赔偿及相应责任。同时，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招标人有权拒绝我方参与招标人后续工程投标，并抄送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监管部门进一步处罚。</w:t>
      </w:r>
    </w:p>
    <w:p w14:paraId="116999EF">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 xml:space="preserve"> </w:t>
      </w:r>
    </w:p>
    <w:p w14:paraId="2EE1787D">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 xml:space="preserve"> </w:t>
      </w:r>
    </w:p>
    <w:p w14:paraId="17477112">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 xml:space="preserve"> </w:t>
      </w:r>
    </w:p>
    <w:p w14:paraId="7E32D29A">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投 标 人：</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（盖章）</w:t>
      </w:r>
    </w:p>
    <w:p w14:paraId="363B4A95">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法定代表人或授权代理人：</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（签字或盖章）</w:t>
      </w:r>
    </w:p>
    <w:p w14:paraId="2AA0D83C">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日    期：</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年</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月</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日</w:t>
      </w:r>
    </w:p>
    <w:p w14:paraId="3A982390">
      <w:pPr>
        <w:keepNext w:val="0"/>
        <w:keepLines w:val="0"/>
        <w:widowControl w:val="0"/>
        <w:suppressLineNumbers w:val="0"/>
        <w:autoSpaceDE w:val="0"/>
        <w:autoSpaceDN w:val="0"/>
        <w:adjustRightInd w:val="0"/>
        <w:spacing w:before="0" w:beforeLines="0" w:beforeAutospacing="0" w:after="0" w:afterLines="0" w:afterAutospacing="0"/>
        <w:ind w:left="0" w:right="0"/>
        <w:jc w:val="center"/>
        <w:rPr>
          <w:rFonts w:hint="eastAsia" w:ascii="黑体" w:hAnsi="宋体" w:eastAsia="黑体" w:cs="黑体"/>
          <w:b/>
          <w:color w:val="000000" w:themeColor="text1"/>
          <w:kern w:val="2"/>
          <w:sz w:val="28"/>
          <w:szCs w:val="28"/>
          <w:highlight w:val="none"/>
          <w14:textFill>
            <w14:solidFill>
              <w14:schemeClr w14:val="tx1"/>
            </w14:solidFill>
          </w14:textFill>
        </w:rPr>
      </w:pPr>
      <w:r>
        <w:rPr>
          <w:rFonts w:hint="eastAsia" w:ascii="黑体" w:hAnsi="宋体" w:eastAsia="黑体" w:cs="黑体"/>
          <w:b/>
          <w:color w:val="000000" w:themeColor="text1"/>
          <w:kern w:val="2"/>
          <w:sz w:val="28"/>
          <w:szCs w:val="28"/>
          <w:highlight w:val="none"/>
          <w:lang w:val="en-US" w:eastAsia="zh-CN" w:bidi="ar"/>
          <w14:textFill>
            <w14:solidFill>
              <w14:schemeClr w14:val="tx1"/>
            </w14:solidFill>
          </w14:textFill>
        </w:rPr>
        <w:t xml:space="preserve"> </w:t>
      </w:r>
    </w:p>
    <w:p w14:paraId="30E537B6">
      <w:pPr>
        <w:pStyle w:val="24"/>
        <w:widowControl/>
        <w:ind w:left="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注：《不分包的承诺书》仅适用于招标范围内所有工程内容全部由投标人自行组织实施，对所有专业</w:t>
      </w:r>
      <w:r>
        <w:rPr>
          <w:rFonts w:hint="default" w:ascii="宋体" w:hAnsi="宋体" w:eastAsia="宋体" w:cs="宋体"/>
          <w:b w:val="0"/>
          <w:color w:val="000000" w:themeColor="text1"/>
          <w:sz w:val="21"/>
          <w:szCs w:val="21"/>
          <w:highlight w:val="none"/>
          <w14:textFill>
            <w14:solidFill>
              <w14:schemeClr w14:val="tx1"/>
            </w14:solidFill>
          </w14:textFill>
        </w:rPr>
        <w:t>设计及专项工作</w:t>
      </w:r>
      <w:r>
        <w:rPr>
          <w:rFonts w:hint="eastAsia" w:ascii="宋体" w:hAnsi="宋体" w:eastAsia="宋体" w:cs="宋体"/>
          <w:b w:val="0"/>
          <w:color w:val="000000" w:themeColor="text1"/>
          <w:sz w:val="21"/>
          <w:szCs w:val="21"/>
          <w:highlight w:val="none"/>
          <w14:textFill>
            <w14:solidFill>
              <w14:schemeClr w14:val="tx1"/>
            </w14:solidFill>
          </w14:textFill>
        </w:rPr>
        <w:t>均不实施分包的情况。</w:t>
      </w:r>
    </w:p>
    <w:p w14:paraId="0B173740">
      <w:pPr>
        <w:keepNext w:val="0"/>
        <w:keepLines w:val="0"/>
        <w:widowControl/>
        <w:suppressLineNumbers w:val="0"/>
        <w:autoSpaceDE w:val="0"/>
        <w:autoSpaceDN/>
        <w:spacing w:before="0" w:beforeLines="0" w:beforeAutospacing="0" w:after="0" w:afterLines="0" w:afterAutospacing="0"/>
        <w:ind w:left="0" w:right="0"/>
        <w:jc w:val="left"/>
        <w:rPr>
          <w:rFonts w:hint="eastAsia" w:ascii="黑体" w:hAnsi="宋体" w:eastAsia="黑体" w:cs="黑体"/>
          <w:b/>
          <w:color w:val="000000" w:themeColor="text1"/>
          <w:kern w:val="2"/>
          <w:sz w:val="28"/>
          <w:szCs w:val="28"/>
          <w:highlight w:val="none"/>
          <w14:textFill>
            <w14:solidFill>
              <w14:schemeClr w14:val="tx1"/>
            </w14:solidFill>
          </w14:textFill>
        </w:rPr>
      </w:pPr>
      <w:r>
        <w:rPr>
          <w:rFonts w:hint="eastAsia" w:ascii="黑体" w:hAnsi="宋体" w:eastAsia="黑体" w:cs="黑体"/>
          <w:b/>
          <w:color w:val="000000" w:themeColor="text1"/>
          <w:kern w:val="2"/>
          <w:sz w:val="28"/>
          <w:szCs w:val="28"/>
          <w:highlight w:val="none"/>
          <w:lang w:val="en-US" w:eastAsia="zh-CN" w:bidi="ar"/>
          <w14:textFill>
            <w14:solidFill>
              <w14:schemeClr w14:val="tx1"/>
            </w14:solidFill>
          </w14:textFill>
        </w:rPr>
        <w:br w:type="page"/>
      </w:r>
    </w:p>
    <w:p w14:paraId="655D3F72">
      <w:pPr>
        <w:pStyle w:val="13"/>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
          <w14:textFill>
            <w14:solidFill>
              <w14:schemeClr w14:val="tx1"/>
            </w14:solidFill>
          </w14:textFill>
        </w:rPr>
        <w:t>分包方案情况一览表</w:t>
      </w:r>
    </w:p>
    <w:tbl>
      <w:tblPr>
        <w:tblStyle w:val="15"/>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89"/>
        <w:gridCol w:w="1541"/>
        <w:gridCol w:w="1978"/>
        <w:gridCol w:w="1759"/>
        <w:gridCol w:w="1290"/>
      </w:tblGrid>
      <w:tr w14:paraId="368F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2D63E6C8">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序号</w:t>
            </w:r>
          </w:p>
        </w:tc>
        <w:tc>
          <w:tcPr>
            <w:tcW w:w="1789" w:type="dxa"/>
            <w:tcBorders>
              <w:top w:val="single" w:color="auto" w:sz="4" w:space="0"/>
              <w:left w:val="nil"/>
              <w:bottom w:val="single" w:color="auto" w:sz="4" w:space="0"/>
              <w:right w:val="single" w:color="auto" w:sz="4" w:space="0"/>
            </w:tcBorders>
            <w:noWrap w:val="0"/>
            <w:vAlign w:val="center"/>
          </w:tcPr>
          <w:p w14:paraId="55DCFBF1">
            <w:pPr>
              <w:keepNext w:val="0"/>
              <w:keepLines w:val="0"/>
              <w:widowControl w:val="0"/>
              <w:suppressLineNumbers w:val="0"/>
              <w:spacing w:before="0" w:beforeAutospacing="0" w:after="0" w:afterAutospacing="0"/>
              <w:ind w:left="0" w:right="0"/>
              <w:jc w:val="center"/>
              <w:rPr>
                <w:rFonts w:hint="default"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拟分包专业</w:t>
            </w:r>
            <w:r>
              <w:rPr>
                <w:rFonts w:hint="default" w:ascii="宋体" w:hAnsi="宋体" w:eastAsia="宋体" w:cs="宋体"/>
                <w:b/>
                <w:color w:val="000000" w:themeColor="text1"/>
                <w:kern w:val="2"/>
                <w:sz w:val="21"/>
                <w:szCs w:val="21"/>
                <w:highlight w:val="none"/>
                <w:lang w:eastAsia="zh-CN" w:bidi="ar"/>
                <w14:textFill>
                  <w14:solidFill>
                    <w14:schemeClr w14:val="tx1"/>
                  </w14:solidFill>
                </w14:textFill>
              </w:rPr>
              <w:t>设计或专项工作</w:t>
            </w:r>
          </w:p>
        </w:tc>
        <w:tc>
          <w:tcPr>
            <w:tcW w:w="1541" w:type="dxa"/>
            <w:tcBorders>
              <w:top w:val="single" w:color="auto" w:sz="4" w:space="0"/>
              <w:left w:val="nil"/>
              <w:bottom w:val="single" w:color="auto" w:sz="4" w:space="0"/>
              <w:right w:val="single" w:color="auto" w:sz="4" w:space="0"/>
            </w:tcBorders>
            <w:noWrap w:val="0"/>
            <w:vAlign w:val="center"/>
          </w:tcPr>
          <w:p w14:paraId="0E9A2C53">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专业或专项分包单位名称</w:t>
            </w:r>
          </w:p>
        </w:tc>
        <w:tc>
          <w:tcPr>
            <w:tcW w:w="1978" w:type="dxa"/>
            <w:tcBorders>
              <w:top w:val="single" w:color="auto" w:sz="4" w:space="0"/>
              <w:left w:val="nil"/>
              <w:bottom w:val="single" w:color="auto" w:sz="4" w:space="0"/>
              <w:right w:val="single" w:color="auto" w:sz="4" w:space="0"/>
            </w:tcBorders>
            <w:noWrap w:val="0"/>
            <w:vAlign w:val="center"/>
          </w:tcPr>
          <w:p w14:paraId="51179525">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专业</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或专项</w:t>
            </w: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分包单位的业绩</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名称</w:t>
            </w:r>
          </w:p>
        </w:tc>
        <w:tc>
          <w:tcPr>
            <w:tcW w:w="1759" w:type="dxa"/>
            <w:tcBorders>
              <w:top w:val="single" w:color="auto" w:sz="4" w:space="0"/>
              <w:left w:val="nil"/>
              <w:bottom w:val="single" w:color="auto" w:sz="4" w:space="0"/>
              <w:right w:val="single" w:color="auto" w:sz="4" w:space="0"/>
            </w:tcBorders>
            <w:noWrap w:val="0"/>
            <w:vAlign w:val="center"/>
          </w:tcPr>
          <w:p w14:paraId="35A80E9E">
            <w:pPr>
              <w:keepNext w:val="0"/>
              <w:keepLines w:val="0"/>
              <w:widowControl w:val="0"/>
              <w:suppressLineNumbers w:val="0"/>
              <w:spacing w:before="0" w:beforeAutospacing="0" w:after="0" w:afterAutospacing="0"/>
              <w:ind w:left="0" w:right="0"/>
              <w:jc w:val="center"/>
              <w:rPr>
                <w:rFonts w:hint="default"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专业</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或专项</w:t>
            </w: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分包单位的业绩</w:t>
            </w:r>
            <w:r>
              <w:rPr>
                <w:rFonts w:hint="default" w:ascii="宋体" w:hAnsi="宋体" w:eastAsia="宋体" w:cs="宋体"/>
                <w:b/>
                <w:color w:val="000000" w:themeColor="text1"/>
                <w:kern w:val="2"/>
                <w:sz w:val="21"/>
                <w:szCs w:val="21"/>
                <w:highlight w:val="none"/>
                <w:lang w:eastAsia="zh-CN" w:bidi="ar"/>
                <w14:textFill>
                  <w14:solidFill>
                    <w14:schemeClr w14:val="tx1"/>
                  </w14:solidFill>
                </w14:textFill>
              </w:rPr>
              <w:t>对应</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资质</w:t>
            </w:r>
            <w:r>
              <w:rPr>
                <w:rFonts w:hint="default" w:ascii="宋体" w:hAnsi="宋体" w:eastAsia="宋体" w:cs="宋体"/>
                <w:b/>
                <w:color w:val="000000" w:themeColor="text1"/>
                <w:kern w:val="2"/>
                <w:sz w:val="21"/>
                <w:szCs w:val="21"/>
                <w:highlight w:val="none"/>
                <w:lang w:eastAsia="zh-CN" w:bidi="ar"/>
                <w14:textFill>
                  <w14:solidFill>
                    <w14:schemeClr w14:val="tx1"/>
                  </w14:solidFill>
                </w14:textFill>
              </w:rPr>
              <w:t>（其中，造价工作如需分包的，要求详见备注3）</w:t>
            </w:r>
          </w:p>
        </w:tc>
        <w:tc>
          <w:tcPr>
            <w:tcW w:w="1290" w:type="dxa"/>
            <w:tcBorders>
              <w:top w:val="single" w:color="auto" w:sz="4" w:space="0"/>
              <w:left w:val="nil"/>
              <w:bottom w:val="single" w:color="auto" w:sz="4" w:space="0"/>
              <w:right w:val="single" w:color="auto" w:sz="4" w:space="0"/>
            </w:tcBorders>
            <w:noWrap w:val="0"/>
            <w:vAlign w:val="center"/>
          </w:tcPr>
          <w:p w14:paraId="2AD928C0">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备注</w:t>
            </w:r>
          </w:p>
        </w:tc>
      </w:tr>
      <w:tr w14:paraId="7DE9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05CD116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1789" w:type="dxa"/>
            <w:vMerge w:val="restart"/>
            <w:tcBorders>
              <w:top w:val="nil"/>
              <w:left w:val="nil"/>
              <w:bottom w:val="single" w:color="auto" w:sz="4" w:space="0"/>
              <w:right w:val="single" w:color="auto" w:sz="4" w:space="0"/>
            </w:tcBorders>
            <w:noWrap w:val="0"/>
            <w:vAlign w:val="center"/>
          </w:tcPr>
          <w:p w14:paraId="622CCBB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01A5ACF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47325D5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2D2489B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6E3424C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3741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678C8EAB">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789" w:type="dxa"/>
            <w:vMerge w:val="continue"/>
            <w:tcBorders>
              <w:top w:val="nil"/>
              <w:left w:val="nil"/>
              <w:bottom w:val="single" w:color="auto" w:sz="4" w:space="0"/>
              <w:right w:val="single" w:color="auto" w:sz="4" w:space="0"/>
            </w:tcBorders>
            <w:noWrap w:val="0"/>
            <w:vAlign w:val="center"/>
          </w:tcPr>
          <w:p w14:paraId="1044D426">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661F13E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00BCFFF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649AA0A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0A32C44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2224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04C24025">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789" w:type="dxa"/>
            <w:vMerge w:val="continue"/>
            <w:tcBorders>
              <w:top w:val="nil"/>
              <w:left w:val="nil"/>
              <w:bottom w:val="single" w:color="auto" w:sz="4" w:space="0"/>
              <w:right w:val="single" w:color="auto" w:sz="4" w:space="0"/>
            </w:tcBorders>
            <w:noWrap w:val="0"/>
            <w:vAlign w:val="center"/>
          </w:tcPr>
          <w:p w14:paraId="3C54FD84">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532EA15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5B6C5FC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1A56999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172A17E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62F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FC150E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1789" w:type="dxa"/>
            <w:vMerge w:val="restart"/>
            <w:tcBorders>
              <w:top w:val="nil"/>
              <w:left w:val="nil"/>
              <w:bottom w:val="single" w:color="auto" w:sz="4" w:space="0"/>
              <w:right w:val="single" w:color="auto" w:sz="4" w:space="0"/>
            </w:tcBorders>
            <w:noWrap w:val="0"/>
            <w:vAlign w:val="center"/>
          </w:tcPr>
          <w:p w14:paraId="57B0A68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04A1FCE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6DA2AE4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5629F01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4E8AC72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2363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28467EC1">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789" w:type="dxa"/>
            <w:vMerge w:val="continue"/>
            <w:tcBorders>
              <w:top w:val="nil"/>
              <w:left w:val="nil"/>
              <w:bottom w:val="single" w:color="auto" w:sz="4" w:space="0"/>
              <w:right w:val="single" w:color="auto" w:sz="4" w:space="0"/>
            </w:tcBorders>
            <w:noWrap w:val="0"/>
            <w:vAlign w:val="center"/>
          </w:tcPr>
          <w:p w14:paraId="72D1C70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47DD67A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1C9A127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7E892DE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1130074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1D56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2A9AB36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789" w:type="dxa"/>
            <w:vMerge w:val="continue"/>
            <w:tcBorders>
              <w:top w:val="nil"/>
              <w:left w:val="nil"/>
              <w:bottom w:val="single" w:color="auto" w:sz="4" w:space="0"/>
              <w:right w:val="single" w:color="auto" w:sz="4" w:space="0"/>
            </w:tcBorders>
            <w:noWrap w:val="0"/>
            <w:vAlign w:val="center"/>
          </w:tcPr>
          <w:p w14:paraId="1ACEDFF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4BCD828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750981C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4CC06B5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00E2754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129B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38AF465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1789" w:type="dxa"/>
            <w:tcBorders>
              <w:top w:val="single" w:color="auto" w:sz="4" w:space="0"/>
              <w:left w:val="nil"/>
              <w:bottom w:val="single" w:color="auto" w:sz="4" w:space="0"/>
              <w:right w:val="single" w:color="auto" w:sz="4" w:space="0"/>
            </w:tcBorders>
            <w:noWrap w:val="0"/>
            <w:vAlign w:val="center"/>
          </w:tcPr>
          <w:p w14:paraId="18DFD8D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7AFA90F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4F2A518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170E638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50C1EE1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bl>
    <w:p w14:paraId="39654D7B">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w:t>
      </w:r>
    </w:p>
    <w:p w14:paraId="14BCCBEA">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1.专业分包单位的业绩需按招标文件附录16</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定标原则</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》中设计管理因素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的要求提供，并满足评审要求。</w:t>
      </w:r>
    </w:p>
    <w:p w14:paraId="6E51ABC7">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2.本项目主体、关键</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工作的</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设计</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必须由总承包单位自行完成，严格按照国家、省市相关法律法规执行，不得违法分包及转包。中标后需严格按照招标人分包管理办法执行，需对经招标人审批同意的专业分包单位加强管理，履行</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设计</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总承包单位主体管理责任。</w:t>
      </w:r>
    </w:p>
    <w:p w14:paraId="3CA5CA9C">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3.投标人根据自身企业综合情况，对本项目的部分专业工程或专项工作实施分包的，需按要求提供本表，</w:t>
      </w: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每个拟分包专业工程或专项工作的分包单位数量不得超过</w:t>
      </w:r>
      <w:r>
        <w:rPr>
          <w:rFonts w:hint="default" w:ascii="宋体" w:hAnsi="宋体" w:eastAsia="宋体" w:cs="宋体"/>
          <w:b/>
          <w:color w:val="000000" w:themeColor="text1"/>
          <w:kern w:val="0"/>
          <w:sz w:val="21"/>
          <w:szCs w:val="21"/>
          <w:highlight w:val="none"/>
          <w:shd w:val="clear" w:color="auto" w:fill="FFFFFF"/>
          <w:lang w:eastAsia="zh-CN" w:bidi="ar"/>
          <w14:textFill>
            <w14:solidFill>
              <w14:schemeClr w14:val="tx1"/>
            </w14:solidFill>
          </w14:textFill>
        </w:rPr>
        <w:t>3</w:t>
      </w: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家。</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若未提供或未填报专业或专项分包单位的，则视为无分包需求。项目实施过程中，招标人原则上不再接受分包申请，否则按合同约定及相关规定处理。</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如造价工作进行分包的，可不提供相</w:t>
      </w:r>
      <w:r>
        <w:rPr>
          <w:rFonts w:hint="default" w:ascii="宋体" w:hAnsi="宋体" w:eastAsia="宋体" w:cs="宋体"/>
          <w:b/>
          <w:color w:val="000000" w:themeColor="text1"/>
          <w:kern w:val="2"/>
          <w:sz w:val="21"/>
          <w:szCs w:val="21"/>
          <w:highlight w:val="none"/>
          <w:lang w:eastAsia="zh-CN" w:bidi="ar"/>
          <w14:textFill>
            <w14:solidFill>
              <w14:schemeClr w14:val="tx1"/>
            </w14:solidFill>
          </w14:textFill>
        </w:rPr>
        <w:t>应</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资质</w:t>
      </w:r>
      <w:r>
        <w:rPr>
          <w:rFonts w:hint="default" w:ascii="宋体" w:hAnsi="宋体" w:eastAsia="宋体" w:cs="宋体"/>
          <w:b/>
          <w:color w:val="000000" w:themeColor="text1"/>
          <w:kern w:val="2"/>
          <w:sz w:val="21"/>
          <w:szCs w:val="21"/>
          <w:highlight w:val="none"/>
          <w:lang w:eastAsia="zh-CN" w:bidi="ar"/>
          <w14:textFill>
            <w14:solidFill>
              <w14:schemeClr w14:val="tx1"/>
            </w14:solidFill>
          </w14:textFill>
        </w:rPr>
        <w:t>，需</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持有工商行政管理部门核发的法人营业执照或事业单位登记管理部门核发的事业单位法人证书</w:t>
      </w:r>
      <w:r>
        <w:rPr>
          <w:rFonts w:ascii="宋体" w:hAnsi="宋体" w:eastAsia="宋体" w:cs="宋体"/>
          <w:color w:val="000000" w:themeColor="text1"/>
          <w:kern w:val="0"/>
          <w:sz w:val="24"/>
          <w:szCs w:val="24"/>
          <w:highlight w:val="none"/>
          <w:lang w:eastAsia="zh-CN" w:bidi="ar"/>
          <w14:textFill>
            <w14:solidFill>
              <w14:schemeClr w14:val="tx1"/>
            </w14:solidFill>
          </w14:textFill>
        </w:rPr>
        <w:t>。</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CE7A3A8">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4.承包人投标时漏报又确须分包的，除应按发包人要求的时限提交书面分包申请外，还应按合同约定承担相应违约责任。</w:t>
      </w:r>
    </w:p>
    <w:p w14:paraId="010125EA">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5.为防止违法转包和违法分包等行为，规范中标单位标后履约，若中标单位违反了有关工程分包的合同约定，招标人有权拒绝其参与招标人后续工程投标，并抄送监管部门进一步处罚。</w:t>
      </w:r>
    </w:p>
    <w:p w14:paraId="51BD190D">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602FC92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4471B14A">
      <w:pPr>
        <w:keepNext w:val="0"/>
        <w:keepLines w:val="0"/>
        <w:widowControl/>
        <w:suppressLineNumbers w:val="0"/>
        <w:topLinePunct/>
        <w:adjustRightInd w:val="0"/>
        <w:snapToGrid w:val="0"/>
        <w:spacing w:before="0" w:beforeAutospacing="0" w:after="200" w:afterAutospacing="0"/>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投 标 人：</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（盖章）</w:t>
      </w:r>
    </w:p>
    <w:p w14:paraId="03E8D26A">
      <w:pPr>
        <w:keepNext w:val="0"/>
        <w:keepLines w:val="0"/>
        <w:widowControl/>
        <w:suppressLineNumbers w:val="0"/>
        <w:topLinePunct/>
        <w:adjustRightInd w:val="0"/>
        <w:snapToGrid w:val="0"/>
        <w:spacing w:before="0" w:beforeAutospacing="0" w:after="200" w:afterAutospacing="0"/>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日    期：</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年</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月</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日</w:t>
      </w:r>
    </w:p>
    <w:p w14:paraId="14CB760A">
      <w:pPr>
        <w:pStyle w:val="24"/>
        <w:widowControl/>
        <w:ind w:left="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注：《分包方案情况一览表》仅适用于对本项目非主体、非关键性的专业工程实施分包的情况。</w:t>
      </w:r>
    </w:p>
    <w:bookmarkEnd w:id="139"/>
    <w:p w14:paraId="66F6AF4A">
      <w:pPr>
        <w:spacing w:line="240" w:lineRule="auto"/>
        <w:ind w:firstLine="0"/>
        <w:outlineLvl w:val="9"/>
        <w:rPr>
          <w:color w:val="000000" w:themeColor="text1"/>
          <w:highlight w:val="none"/>
          <w14:textFill>
            <w14:solidFill>
              <w14:schemeClr w14:val="tx1"/>
            </w14:solidFill>
          </w14:textFill>
        </w:rPr>
      </w:pPr>
    </w:p>
    <w:p w14:paraId="519491E3">
      <w:pPr>
        <w:spacing w:line="360" w:lineRule="auto"/>
        <w:jc w:val="center"/>
        <w:rPr>
          <w:rFonts w:hint="default" w:ascii="宋体" w:hAnsi="宋体" w:cs="宋体"/>
          <w:b/>
          <w:bCs w:val="0"/>
          <w:color w:val="000000" w:themeColor="text1"/>
          <w:kern w:val="0"/>
          <w:sz w:val="72"/>
          <w:szCs w:val="72"/>
          <w:highlight w:val="none"/>
          <w:u w:val="none"/>
          <w:lang w:val="en-US" w:eastAsia="zh-CN" w:bidi="ar"/>
          <w14:textFill>
            <w14:solidFill>
              <w14:schemeClr w14:val="tx1"/>
            </w14:solidFill>
          </w14:textFill>
        </w:rPr>
        <w:sectPr>
          <w:headerReference r:id="rId10" w:type="default"/>
          <w:footerReference r:id="rId11" w:type="default"/>
          <w:pgSz w:w="11906" w:h="16838"/>
          <w:pgMar w:top="1417" w:right="1417" w:bottom="1417" w:left="1417" w:header="851" w:footer="992" w:gutter="0"/>
          <w:pgNumType w:fmt="decimal"/>
          <w:cols w:space="0" w:num="1"/>
          <w:rtlGutter w:val="0"/>
          <w:docGrid w:type="lines" w:linePitch="312" w:charSpace="0"/>
        </w:sectPr>
      </w:pPr>
    </w:p>
    <w:p w14:paraId="2A96CB53">
      <w:pPr>
        <w:spacing w:line="360" w:lineRule="auto"/>
        <w:jc w:val="center"/>
        <w:rPr>
          <w:rFonts w:hint="default" w:ascii="宋体" w:hAnsi="宋体" w:cs="宋体"/>
          <w:b/>
          <w:bCs w:val="0"/>
          <w:color w:val="000000" w:themeColor="text1"/>
          <w:kern w:val="0"/>
          <w:sz w:val="72"/>
          <w:szCs w:val="72"/>
          <w:highlight w:val="none"/>
          <w:u w:val="none"/>
          <w:lang w:val="en-US" w:eastAsia="zh-CN" w:bidi="ar"/>
          <w14:textFill>
            <w14:solidFill>
              <w14:schemeClr w14:val="tx1"/>
            </w14:solidFill>
          </w14:textFill>
        </w:rPr>
      </w:pPr>
    </w:p>
    <w:p w14:paraId="18663D21">
      <w:pPr>
        <w:spacing w:line="360" w:lineRule="auto"/>
        <w:jc w:val="center"/>
        <w:rPr>
          <w:rFonts w:hint="eastAsia" w:ascii="宋体" w:hAnsi="宋体" w:cs="宋体" w:eastAsiaTheme="minorEastAsia"/>
          <w:b/>
          <w:bCs w:val="0"/>
          <w:color w:val="000000" w:themeColor="text1"/>
          <w:kern w:val="0"/>
          <w:sz w:val="72"/>
          <w:szCs w:val="72"/>
          <w:highlight w:val="none"/>
          <w:u w:val="none"/>
          <w:lang w:val="en-US" w:eastAsia="zh-CN" w:bidi="ar"/>
          <w14:textFill>
            <w14:solidFill>
              <w14:schemeClr w14:val="tx1"/>
            </w14:solidFill>
          </w14:textFill>
        </w:rPr>
      </w:pPr>
      <w:r>
        <w:rPr>
          <w:rFonts w:hint="eastAsia" w:ascii="宋体" w:hAnsi="宋体" w:cs="宋体"/>
          <w:b/>
          <w:bCs w:val="0"/>
          <w:color w:val="000000" w:themeColor="text1"/>
          <w:kern w:val="0"/>
          <w:sz w:val="72"/>
          <w:szCs w:val="72"/>
          <w:highlight w:val="none"/>
          <w:u w:val="none"/>
          <w:lang w:val="en-US" w:eastAsia="zh-CN" w:bidi="ar"/>
          <w14:textFill>
            <w14:solidFill>
              <w14:schemeClr w14:val="tx1"/>
            </w14:solidFill>
          </w14:textFill>
        </w:rPr>
        <w:t>广州市农业农村科学院东涌基地建设项目</w:t>
      </w:r>
    </w:p>
    <w:p w14:paraId="649A992C">
      <w:pPr>
        <w:spacing w:line="360" w:lineRule="auto"/>
        <w:rPr>
          <w:rFonts w:ascii="宋体" w:hAnsi="宋体" w:cs="宋体"/>
          <w:b/>
          <w:color w:val="000000" w:themeColor="text1"/>
          <w:szCs w:val="21"/>
          <w:highlight w:val="none"/>
          <w14:textFill>
            <w14:solidFill>
              <w14:schemeClr w14:val="tx1"/>
            </w14:solidFill>
          </w14:textFill>
        </w:rPr>
      </w:pPr>
    </w:p>
    <w:p w14:paraId="6946109D">
      <w:pPr>
        <w:spacing w:line="360" w:lineRule="auto"/>
        <w:rPr>
          <w:rFonts w:ascii="宋体" w:hAnsi="宋体" w:cs="宋体"/>
          <w:b/>
          <w:color w:val="000000" w:themeColor="text1"/>
          <w:szCs w:val="21"/>
          <w:highlight w:val="none"/>
          <w14:textFill>
            <w14:solidFill>
              <w14:schemeClr w14:val="tx1"/>
            </w14:solidFill>
          </w14:textFill>
        </w:rPr>
      </w:pPr>
    </w:p>
    <w:p w14:paraId="728C3E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eastAsiaTheme="minorEastAsia"/>
          <w:b/>
          <w:bCs w:val="0"/>
          <w:color w:val="000000" w:themeColor="text1"/>
          <w:kern w:val="0"/>
          <w:sz w:val="72"/>
          <w:szCs w:val="72"/>
          <w:highlight w:val="none"/>
          <w14:textFill>
            <w14:solidFill>
              <w14:schemeClr w14:val="tx1"/>
            </w14:solidFill>
          </w14:textFill>
        </w:rPr>
      </w:pPr>
      <w:r>
        <w:rPr>
          <w:rFonts w:hint="eastAsia" w:ascii="宋体" w:hAnsi="宋体" w:cs="宋体" w:eastAsiaTheme="minorEastAsia"/>
          <w:b/>
          <w:bCs w:val="0"/>
          <w:color w:val="000000" w:themeColor="text1"/>
          <w:kern w:val="0"/>
          <w:sz w:val="72"/>
          <w:szCs w:val="72"/>
          <w:highlight w:val="none"/>
          <w:u w:val="none"/>
          <w:lang w:val="en-US" w:eastAsia="zh-CN" w:bidi="ar"/>
          <w14:textFill>
            <w14:solidFill>
              <w14:schemeClr w14:val="tx1"/>
            </w14:solidFill>
          </w14:textFill>
        </w:rPr>
        <w:t>勘察设计</w:t>
      </w:r>
      <w:r>
        <w:rPr>
          <w:rFonts w:hint="eastAsia" w:ascii="宋体" w:hAnsi="宋体" w:cs="宋体" w:eastAsiaTheme="minorEastAsia"/>
          <w:b/>
          <w:bCs w:val="0"/>
          <w:color w:val="000000" w:themeColor="text1"/>
          <w:kern w:val="0"/>
          <w:sz w:val="72"/>
          <w:szCs w:val="72"/>
          <w:highlight w:val="none"/>
          <w:u w:val="none"/>
          <w:lang w:eastAsia="zh-CN" w:bidi="ar"/>
          <w14:textFill>
            <w14:solidFill>
              <w14:schemeClr w14:val="tx1"/>
            </w14:solidFill>
          </w14:textFill>
        </w:rPr>
        <w:t>合同</w:t>
      </w:r>
    </w:p>
    <w:p w14:paraId="74FA09F9">
      <w:pPr>
        <w:spacing w:line="360" w:lineRule="auto"/>
        <w:rPr>
          <w:rFonts w:ascii="宋体" w:hAnsi="宋体" w:cs="宋体"/>
          <w:b/>
          <w:color w:val="000000" w:themeColor="text1"/>
          <w:szCs w:val="21"/>
          <w:highlight w:val="none"/>
          <w14:textFill>
            <w14:solidFill>
              <w14:schemeClr w14:val="tx1"/>
            </w14:solidFill>
          </w14:textFill>
        </w:rPr>
      </w:pPr>
    </w:p>
    <w:p w14:paraId="5E5376C0">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合同编号：</w:t>
      </w:r>
    </w:p>
    <w:p w14:paraId="02D18238">
      <w:pPr>
        <w:spacing w:line="360" w:lineRule="auto"/>
        <w:rPr>
          <w:rFonts w:ascii="宋体" w:hAnsi="宋体" w:cs="宋体"/>
          <w:b/>
          <w:color w:val="000000" w:themeColor="text1"/>
          <w:szCs w:val="21"/>
          <w:highlight w:val="none"/>
          <w14:textFill>
            <w14:solidFill>
              <w14:schemeClr w14:val="tx1"/>
            </w14:solidFill>
          </w14:textFill>
        </w:rPr>
      </w:pPr>
    </w:p>
    <w:p w14:paraId="1981B1CA">
      <w:pPr>
        <w:spacing w:line="360" w:lineRule="auto"/>
        <w:rPr>
          <w:rFonts w:ascii="宋体" w:hAnsi="宋体" w:cs="宋体"/>
          <w:b/>
          <w:color w:val="000000" w:themeColor="text1"/>
          <w:szCs w:val="21"/>
          <w:highlight w:val="none"/>
          <w14:textFill>
            <w14:solidFill>
              <w14:schemeClr w14:val="tx1"/>
            </w14:solidFill>
          </w14:textFill>
        </w:rPr>
      </w:pPr>
    </w:p>
    <w:p w14:paraId="1A960975">
      <w:pPr>
        <w:spacing w:line="360" w:lineRule="auto"/>
        <w:rPr>
          <w:rFonts w:ascii="宋体" w:hAnsi="宋体" w:cs="宋体"/>
          <w:b/>
          <w:color w:val="000000" w:themeColor="text1"/>
          <w:szCs w:val="21"/>
          <w:highlight w:val="none"/>
          <w14:textFill>
            <w14:solidFill>
              <w14:schemeClr w14:val="tx1"/>
            </w14:solidFill>
          </w14:textFill>
        </w:rPr>
      </w:pPr>
    </w:p>
    <w:p w14:paraId="68AAF326">
      <w:pPr>
        <w:spacing w:line="360" w:lineRule="auto"/>
        <w:rPr>
          <w:rFonts w:ascii="宋体" w:hAnsi="宋体" w:cs="宋体"/>
          <w:b/>
          <w:color w:val="000000" w:themeColor="text1"/>
          <w:szCs w:val="21"/>
          <w:highlight w:val="none"/>
          <w14:textFill>
            <w14:solidFill>
              <w14:schemeClr w14:val="tx1"/>
            </w14:solidFill>
          </w14:textFill>
        </w:rPr>
      </w:pPr>
    </w:p>
    <w:p w14:paraId="6833A60F">
      <w:pPr>
        <w:spacing w:line="360" w:lineRule="auto"/>
        <w:rPr>
          <w:rFonts w:ascii="宋体" w:hAnsi="宋体" w:cs="宋体"/>
          <w:b/>
          <w:color w:val="000000" w:themeColor="text1"/>
          <w:szCs w:val="21"/>
          <w:highlight w:val="none"/>
          <w14:textFill>
            <w14:solidFill>
              <w14:schemeClr w14:val="tx1"/>
            </w14:solidFill>
          </w14:textFill>
        </w:rPr>
      </w:pPr>
    </w:p>
    <w:p w14:paraId="6A7DA9B2">
      <w:pPr>
        <w:spacing w:line="360" w:lineRule="auto"/>
        <w:rPr>
          <w:rFonts w:ascii="宋体" w:hAnsi="宋体" w:cs="宋体"/>
          <w:b/>
          <w:color w:val="000000" w:themeColor="text1"/>
          <w:szCs w:val="21"/>
          <w:highlight w:val="none"/>
          <w14:textFill>
            <w14:solidFill>
              <w14:schemeClr w14:val="tx1"/>
            </w14:solidFill>
          </w14:textFill>
        </w:rPr>
      </w:pPr>
    </w:p>
    <w:p w14:paraId="7C265026">
      <w:pPr>
        <w:spacing w:line="360" w:lineRule="auto"/>
        <w:rPr>
          <w:rFonts w:hint="default" w:ascii="宋体" w:hAnsi="宋体" w:cs="宋体"/>
          <w:b/>
          <w:color w:val="000000" w:themeColor="text1"/>
          <w:szCs w:val="21"/>
          <w:highlight w:val="none"/>
          <w14:textFill>
            <w14:solidFill>
              <w14:schemeClr w14:val="tx1"/>
            </w14:solidFill>
          </w14:textFill>
        </w:rPr>
      </w:pPr>
    </w:p>
    <w:p w14:paraId="4B5D2A17">
      <w:pPr>
        <w:spacing w:line="360" w:lineRule="auto"/>
        <w:rPr>
          <w:rFonts w:hint="default" w:ascii="宋体" w:hAnsi="宋体" w:cs="宋体"/>
          <w:b/>
          <w:color w:val="000000" w:themeColor="text1"/>
          <w:szCs w:val="21"/>
          <w:highlight w:val="none"/>
          <w14:textFill>
            <w14:solidFill>
              <w14:schemeClr w14:val="tx1"/>
            </w14:solidFill>
          </w14:textFill>
        </w:rPr>
      </w:pPr>
    </w:p>
    <w:p w14:paraId="48B92DB9">
      <w:pPr>
        <w:spacing w:line="360" w:lineRule="auto"/>
        <w:rPr>
          <w:rFonts w:hint="default" w:ascii="宋体" w:hAnsi="宋体" w:cs="宋体"/>
          <w:b/>
          <w:color w:val="000000" w:themeColor="text1"/>
          <w:szCs w:val="21"/>
          <w:highlight w:val="none"/>
          <w14:textFill>
            <w14:solidFill>
              <w14:schemeClr w14:val="tx1"/>
            </w14:solidFill>
          </w14:textFill>
        </w:rPr>
      </w:pPr>
    </w:p>
    <w:p w14:paraId="3EB5899F">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甲方：广州市重点公共建设项目管理中心</w:t>
      </w:r>
    </w:p>
    <w:p w14:paraId="40D4693D">
      <w:pPr>
        <w:adjustRightInd w:val="0"/>
        <w:snapToGrid w:val="0"/>
        <w:spacing w:after="249" w:afterLines="80" w:line="800" w:lineRule="exact"/>
        <w:ind w:firstLine="1735" w:firstLineChars="54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乙方：</w:t>
      </w:r>
    </w:p>
    <w:p w14:paraId="38BD9600">
      <w:pPr>
        <w:pStyle w:val="14"/>
        <w:rPr>
          <w:color w:val="000000" w:themeColor="text1"/>
          <w:highlight w:val="none"/>
          <w14:textFill>
            <w14:solidFill>
              <w14:schemeClr w14:val="tx1"/>
            </w14:solidFill>
          </w14:textFill>
        </w:rPr>
        <w:sectPr>
          <w:footerReference r:id="rId12" w:type="default"/>
          <w:pgSz w:w="11906" w:h="16838"/>
          <w:pgMar w:top="1417" w:right="1417" w:bottom="1417" w:left="1417" w:header="851" w:footer="992" w:gutter="0"/>
          <w:pgNumType w:fmt="decimal" w:start="1"/>
          <w:cols w:space="0" w:num="1"/>
          <w:rtlGutter w:val="0"/>
          <w:docGrid w:type="lines" w:linePitch="312" w:charSpace="0"/>
        </w:sectPr>
      </w:pPr>
    </w:p>
    <w:p w14:paraId="2A460F09">
      <w:pPr>
        <w:pStyle w:val="14"/>
        <w:rPr>
          <w:color w:val="000000" w:themeColor="text1"/>
          <w:highlight w:val="none"/>
          <w14:textFill>
            <w14:solidFill>
              <w14:schemeClr w14:val="tx1"/>
            </w14:solidFill>
          </w14:textFill>
        </w:rPr>
      </w:pPr>
    </w:p>
    <w:p w14:paraId="5D972C88">
      <w:pPr>
        <w:adjustRightInd w:val="0"/>
        <w:snapToGrid w:val="0"/>
        <w:spacing w:line="360" w:lineRule="auto"/>
        <w:jc w:val="center"/>
        <w:rPr>
          <w:rFonts w:ascii="宋体" w:hAnsi="宋体" w:cs="宋体"/>
          <w:b/>
          <w:color w:val="000000" w:themeColor="text1"/>
          <w:kern w:val="0"/>
          <w:sz w:val="48"/>
          <w:szCs w:val="48"/>
          <w:highlight w:val="none"/>
          <w14:textFill>
            <w14:solidFill>
              <w14:schemeClr w14:val="tx1"/>
            </w14:solidFill>
          </w14:textFill>
        </w:rPr>
      </w:pPr>
      <w:r>
        <w:rPr>
          <w:rFonts w:hint="eastAsia" w:ascii="宋体" w:hAnsi="宋体" w:cs="宋体"/>
          <w:b/>
          <w:color w:val="000000" w:themeColor="text1"/>
          <w:kern w:val="0"/>
          <w:sz w:val="48"/>
          <w:szCs w:val="48"/>
          <w:highlight w:val="none"/>
          <w14:textFill>
            <w14:solidFill>
              <w14:schemeClr w14:val="tx1"/>
            </w14:solidFill>
          </w14:textFill>
        </w:rPr>
        <w:t>重要提示</w:t>
      </w:r>
    </w:p>
    <w:p w14:paraId="4349E2B4">
      <w:pPr>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p>
    <w:p w14:paraId="0AA93C99">
      <w:pPr>
        <w:adjustRightInd w:val="0"/>
        <w:snapToGrid w:val="0"/>
        <w:spacing w:line="360" w:lineRule="auto"/>
        <w:ind w:firstLine="551" w:firstLineChars="196"/>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本合同</w:t>
      </w:r>
      <w:r>
        <w:rPr>
          <w:rFonts w:hint="eastAsia" w:ascii="宋体" w:hAnsi="宋体" w:cs="宋体"/>
          <w:color w:val="000000" w:themeColor="text1"/>
          <w:kern w:val="0"/>
          <w:sz w:val="28"/>
          <w:szCs w:val="28"/>
          <w:highlight w:val="none"/>
          <w14:textFill>
            <w14:solidFill>
              <w14:schemeClr w14:val="tx1"/>
            </w14:solidFill>
          </w14:textFill>
        </w:rPr>
        <w:t>由《合同协议书》、《合同条款》和《合同附件》三大部分组成，对合同中的部分内容设选项按标准化模式设置，采用“√”或“×”予以选择。合同中此部分内容，标注“√”的选项即为本合同采用，标注“×”的选项为本合同不采用。</w:t>
      </w:r>
    </w:p>
    <w:p w14:paraId="5CFAD32C">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04952EF2">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5ED538BF">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30766B92">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39C021BE">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6CF82E65">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49779CB0">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0BFEF4AA">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62AAE444">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627DFD68">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2A5F9132">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3C2776DE">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74CF95AA">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3C388990">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76D63FB3">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02DEA481">
      <w:pPr>
        <w:adjustRightInd w:val="0"/>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2B21286D">
      <w:pPr>
        <w:adjustRightInd w:val="0"/>
        <w:snapToGrid w:val="0"/>
        <w:spacing w:line="360" w:lineRule="auto"/>
        <w:jc w:val="center"/>
        <w:rPr>
          <w:rFonts w:hint="eastAsia" w:ascii="宋体" w:hAnsi="宋体" w:cs="宋体"/>
          <w:b/>
          <w:color w:val="000000" w:themeColor="text1"/>
          <w:kern w:val="0"/>
          <w:sz w:val="44"/>
          <w:szCs w:val="44"/>
          <w:highlight w:val="none"/>
          <w14:textFill>
            <w14:solidFill>
              <w14:schemeClr w14:val="tx1"/>
            </w14:solidFill>
          </w14:textFill>
        </w:rPr>
        <w:sectPr>
          <w:footerReference r:id="rId13" w:type="default"/>
          <w:pgSz w:w="11906" w:h="16838"/>
          <w:pgMar w:top="1417" w:right="1417" w:bottom="1417" w:left="1417" w:header="851" w:footer="992" w:gutter="0"/>
          <w:pgNumType w:fmt="decimal"/>
          <w:cols w:space="0" w:num="1"/>
          <w:rtlGutter w:val="0"/>
          <w:docGrid w:type="lines" w:linePitch="312" w:charSpace="0"/>
        </w:sectPr>
      </w:pPr>
    </w:p>
    <w:p w14:paraId="2786FE40">
      <w:pPr>
        <w:adjustRightInd w:val="0"/>
        <w:snapToGrid w:val="0"/>
        <w:spacing w:line="360" w:lineRule="auto"/>
        <w:jc w:val="center"/>
        <w:rPr>
          <w:rFonts w:ascii="宋体" w:hAnsi="宋体" w:cs="宋体"/>
          <w:b/>
          <w:color w:val="000000" w:themeColor="text1"/>
          <w:kern w:val="0"/>
          <w:sz w:val="44"/>
          <w:szCs w:val="44"/>
          <w:highlight w:val="none"/>
          <w14:textFill>
            <w14:solidFill>
              <w14:schemeClr w14:val="tx1"/>
            </w14:solidFill>
          </w14:textFill>
        </w:rPr>
      </w:pPr>
      <w:r>
        <w:rPr>
          <w:rFonts w:hint="eastAsia" w:ascii="宋体" w:hAnsi="宋体" w:cs="宋体"/>
          <w:b/>
          <w:color w:val="000000" w:themeColor="text1"/>
          <w:kern w:val="0"/>
          <w:sz w:val="44"/>
          <w:szCs w:val="44"/>
          <w:highlight w:val="none"/>
          <w14:textFill>
            <w14:solidFill>
              <w14:schemeClr w14:val="tx1"/>
            </w14:solidFill>
          </w14:textFill>
        </w:rPr>
        <w:t>目  录</w:t>
      </w:r>
    </w:p>
    <w:p w14:paraId="601AB9CE">
      <w:pPr>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第一篇  合同协议书 ………………………………………………………………</w:t>
      </w:r>
    </w:p>
    <w:p w14:paraId="7EC2F8D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合同协议书附1：中标通知书</w:t>
      </w:r>
    </w:p>
    <w:p w14:paraId="2AE9DE7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合同协议书附2：招标澄清、答疑文件</w:t>
      </w:r>
    </w:p>
    <w:p w14:paraId="30B704E9">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第二篇  合同条款…………………………………………………………………</w:t>
      </w:r>
    </w:p>
    <w:p w14:paraId="73BBC34D">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总则  …………………………………………………………………………</w:t>
      </w:r>
    </w:p>
    <w:p w14:paraId="746A3AC8">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第一章  一般规定  …………………………………………………………</w:t>
      </w:r>
    </w:p>
    <w:p w14:paraId="7FF85D3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1、词语定义</w:t>
      </w:r>
    </w:p>
    <w:p w14:paraId="1D4D2A1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2、语言文字和适用法律、标准及规范</w:t>
      </w:r>
    </w:p>
    <w:p w14:paraId="11D88FD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3、本合同签订依据</w:t>
      </w:r>
    </w:p>
    <w:p w14:paraId="4934B172">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第二章  勘察设计总承包 …………………………………………………</w:t>
      </w:r>
    </w:p>
    <w:p w14:paraId="059B769D">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4、勘察设计总承包管理</w:t>
      </w:r>
    </w:p>
    <w:p w14:paraId="45C3D44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5、勘察、设计分包</w:t>
      </w:r>
    </w:p>
    <w:p w14:paraId="2B190B43">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第三章  设计工作内容………………………………………………………</w:t>
      </w:r>
    </w:p>
    <w:p w14:paraId="7098262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6、设计范围</w:t>
      </w:r>
    </w:p>
    <w:p w14:paraId="2447D13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7、设计服务</w:t>
      </w:r>
    </w:p>
    <w:p w14:paraId="6CC56E6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8、设计人员</w:t>
      </w:r>
    </w:p>
    <w:p w14:paraId="5643A19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9、设计成果文件的提交</w:t>
      </w:r>
    </w:p>
    <w:p w14:paraId="586D4882">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第四章 设计质量 ……………………………………………………………</w:t>
      </w:r>
    </w:p>
    <w:p w14:paraId="6212F12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10、设计的质量要求</w:t>
      </w:r>
    </w:p>
    <w:p w14:paraId="1C3A37C8">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第五章 设计事故 ……………………………………………………………</w:t>
      </w:r>
    </w:p>
    <w:p w14:paraId="562CF2F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11、设计事故</w:t>
      </w:r>
    </w:p>
    <w:p w14:paraId="5C55F440">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第六章 设计变更 ……………………………………………………………</w:t>
      </w:r>
    </w:p>
    <w:p w14:paraId="1241380F">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12、设计变更</w:t>
      </w:r>
    </w:p>
    <w:p w14:paraId="05AB97D6">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第七章 工程投资控制 ………………………………………………………</w:t>
      </w:r>
    </w:p>
    <w:p w14:paraId="3B8C5463">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13、工程投资控制</w:t>
      </w:r>
    </w:p>
    <w:p w14:paraId="12E51103">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第八章 设计评审 ……………………………………………………………</w:t>
      </w:r>
    </w:p>
    <w:p w14:paraId="21915B82">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14、设计评审</w:t>
      </w:r>
    </w:p>
    <w:p w14:paraId="449284E5">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第九章  设计收费的计取及支付……………………………………………</w:t>
      </w:r>
    </w:p>
    <w:p w14:paraId="724AFEB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15、设计收费的计取</w:t>
      </w:r>
    </w:p>
    <w:p w14:paraId="38B8CB5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16、设计收费的支付</w:t>
      </w:r>
    </w:p>
    <w:p w14:paraId="725210C8">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第十章  勘察  ………………………………………………………………</w:t>
      </w:r>
    </w:p>
    <w:p w14:paraId="60AB1D1D">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17、勘察范围</w:t>
      </w:r>
    </w:p>
    <w:p w14:paraId="10FB4CC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18、勘察服务</w:t>
      </w:r>
    </w:p>
    <w:p w14:paraId="5AE51F1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19、勘察人员</w:t>
      </w:r>
    </w:p>
    <w:p w14:paraId="69E9E77A">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20、勘察成果文件的提交</w:t>
      </w:r>
    </w:p>
    <w:p w14:paraId="585FCB72">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21、勘察的质量要求</w:t>
      </w:r>
    </w:p>
    <w:p w14:paraId="2EB762A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22、勘察费的计取及支付</w:t>
      </w:r>
    </w:p>
    <w:p w14:paraId="6D92E38E">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第十一章 综合考评 …………………………………………………………</w:t>
      </w:r>
    </w:p>
    <w:p w14:paraId="2BF6D7D5">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23、综合考评</w:t>
      </w:r>
    </w:p>
    <w:p w14:paraId="03A57E33">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第十二章  信息化管理………………………………………………………</w:t>
      </w:r>
    </w:p>
    <w:p w14:paraId="0C9AC6F0">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24、信息化管理的要求</w:t>
      </w:r>
    </w:p>
    <w:p w14:paraId="236B2F95">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第十三章 甲乙双方的权利和义务 …………………………………………</w:t>
      </w:r>
    </w:p>
    <w:p w14:paraId="4D4B1B5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25、甲方的权利和义务</w:t>
      </w:r>
    </w:p>
    <w:p w14:paraId="51A6E14A">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26、乙方的权利和义务</w:t>
      </w:r>
    </w:p>
    <w:p w14:paraId="2888C68F">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第十四章  违约责任 ………………………………………………………</w:t>
      </w:r>
    </w:p>
    <w:p w14:paraId="6344B6F5">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27、甲方的违约责任</w:t>
      </w:r>
    </w:p>
    <w:p w14:paraId="0E82F535">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28、乙方的违约责任</w:t>
      </w:r>
    </w:p>
    <w:p w14:paraId="15277ED1">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第十五章  索赔  ……………………………………………………………</w:t>
      </w:r>
    </w:p>
    <w:p w14:paraId="28A7193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29、索赔</w:t>
      </w:r>
    </w:p>
    <w:p w14:paraId="014AD777">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第十六章  保险与担保………………………………………………………</w:t>
      </w:r>
    </w:p>
    <w:p w14:paraId="71C04873">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30、保险与担保</w:t>
      </w:r>
    </w:p>
    <w:p w14:paraId="6D3D8C09">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第十七章  税费  ……………………………………………………………</w:t>
      </w:r>
    </w:p>
    <w:p w14:paraId="5DDDC64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31、税费 </w:t>
      </w:r>
    </w:p>
    <w:p w14:paraId="092E2F2C">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第十八章  法律适用及争议的解决方式  …………………………………</w:t>
      </w:r>
    </w:p>
    <w:p w14:paraId="5E2967E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32、法律适用及</w:t>
      </w:r>
      <w:r>
        <w:rPr>
          <w:rFonts w:hint="eastAsia" w:ascii="宋体" w:hAnsi="宋体" w:cs="宋体"/>
          <w:bCs/>
          <w:color w:val="000000" w:themeColor="text1"/>
          <w:kern w:val="0"/>
          <w:sz w:val="24"/>
          <w:szCs w:val="24"/>
          <w:highlight w:val="none"/>
          <w14:textFill>
            <w14:solidFill>
              <w14:schemeClr w14:val="tx1"/>
            </w14:solidFill>
          </w14:textFill>
        </w:rPr>
        <w:t>争议的解决方式</w:t>
      </w:r>
    </w:p>
    <w:p w14:paraId="3A3DEA4F">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第十九章  保密、知识产权与专利技术……………………………………</w:t>
      </w:r>
    </w:p>
    <w:p w14:paraId="5311D9F5">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33、保密、知识产权与专利技术</w:t>
      </w:r>
    </w:p>
    <w:p w14:paraId="5D3F7285">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第二十章  不可抗力  ………………………………………………………</w:t>
      </w:r>
    </w:p>
    <w:p w14:paraId="1464598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34、不可抗力</w:t>
      </w:r>
    </w:p>
    <w:p w14:paraId="6E16385C">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第二十一章  合同生效、解除与其他  ……………………………………</w:t>
      </w:r>
    </w:p>
    <w:p w14:paraId="35460E0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35、合同生效、解除及其他</w:t>
      </w:r>
    </w:p>
    <w:p w14:paraId="0E84BE74">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第三篇  合同附件    ……………………………………………………………</w:t>
      </w:r>
    </w:p>
    <w:p w14:paraId="2C60C3F9">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附件1：工程建设廉洁协议书</w:t>
      </w:r>
    </w:p>
    <w:p w14:paraId="088AB67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：勘察费、设计费计算表</w:t>
      </w:r>
    </w:p>
    <w:p w14:paraId="6C75B7B3">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表一、工程勘察费计算表</w:t>
      </w:r>
    </w:p>
    <w:p w14:paraId="2F67F4D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表二、工程设计费计算表</w:t>
      </w:r>
    </w:p>
    <w:p w14:paraId="43B86769">
      <w:pPr>
        <w:adjustRightInd w:val="0"/>
        <w:snapToGrid w:val="0"/>
        <w:spacing w:line="360" w:lineRule="auto"/>
        <w:ind w:firstLine="488" w:firstLineChars="200"/>
        <w:rPr>
          <w:rFonts w:ascii="宋体" w:hAnsi="宋体" w:cs="宋体"/>
          <w:color w:val="000000" w:themeColor="text1"/>
          <w:spacing w:val="-9"/>
          <w:kern w:val="0"/>
          <w:sz w:val="24"/>
          <w:szCs w:val="24"/>
          <w:highlight w:val="none"/>
          <w14:textFill>
            <w14:solidFill>
              <w14:schemeClr w14:val="tx1"/>
            </w14:solidFill>
          </w14:textFill>
        </w:rPr>
      </w:pPr>
      <w:r>
        <w:rPr>
          <w:rFonts w:hint="eastAsia" w:ascii="宋体" w:hAnsi="宋体" w:cs="宋体"/>
          <w:color w:val="000000" w:themeColor="text1"/>
          <w:spacing w:val="2"/>
          <w:kern w:val="0"/>
          <w:sz w:val="24"/>
          <w:szCs w:val="24"/>
          <w:highlight w:val="none"/>
          <w14:textFill>
            <w14:solidFill>
              <w14:schemeClr w14:val="tx1"/>
            </w14:solidFill>
          </w14:textFill>
        </w:rPr>
        <w:t>表三、工程勘察设计费汇总</w:t>
      </w:r>
      <w:r>
        <w:rPr>
          <w:rFonts w:hint="eastAsia" w:ascii="宋体" w:hAnsi="宋体" w:cs="宋体"/>
          <w:color w:val="000000" w:themeColor="text1"/>
          <w:spacing w:val="-9"/>
          <w:kern w:val="0"/>
          <w:sz w:val="24"/>
          <w:szCs w:val="24"/>
          <w:highlight w:val="none"/>
          <w14:textFill>
            <w14:solidFill>
              <w14:schemeClr w14:val="tx1"/>
            </w14:solidFill>
          </w14:textFill>
        </w:rPr>
        <w:t>表</w:t>
      </w:r>
    </w:p>
    <w:p w14:paraId="09627415">
      <w:pPr>
        <w:adjustRightInd w:val="0"/>
        <w:snapToGrid w:val="0"/>
        <w:spacing w:line="360" w:lineRule="auto"/>
        <w:ind w:firstLine="480" w:firstLineChars="200"/>
        <w:rPr>
          <w:color w:val="000000" w:themeColor="text1"/>
          <w:szCs w:val="21"/>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表四、工程设计费分摊计算表</w:t>
      </w:r>
    </w:p>
    <w:p w14:paraId="20CB613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表五、BIM正向设计技术应用费计算表</w:t>
      </w:r>
    </w:p>
    <w:p w14:paraId="40E075D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表六、设计方案报审（含修建性详细规划调整）费计算表</w:t>
      </w:r>
    </w:p>
    <w:p w14:paraId="54C2B51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：拟投入主要勘察设计人员一览表</w:t>
      </w:r>
    </w:p>
    <w:p w14:paraId="2C24C57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表一、主要勘察设计人员表</w:t>
      </w:r>
    </w:p>
    <w:p w14:paraId="3AB9423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表二、驻场设计及服务人员表</w:t>
      </w:r>
    </w:p>
    <w:p w14:paraId="112F08D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：乙方履约</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（格式）及承诺书</w:t>
      </w:r>
    </w:p>
    <w:p w14:paraId="07E6B38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dstrike/>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：《广州市重点公共建设项目管理中心</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基本建设</w:t>
      </w:r>
      <w:r>
        <w:rPr>
          <w:rFonts w:hint="eastAsia" w:ascii="宋体" w:hAnsi="宋体" w:cs="宋体"/>
          <w:color w:val="000000" w:themeColor="text1"/>
          <w:kern w:val="0"/>
          <w:sz w:val="24"/>
          <w:szCs w:val="24"/>
          <w:highlight w:val="none"/>
          <w14:textFill>
            <w14:solidFill>
              <w14:schemeClr w14:val="tx1"/>
            </w14:solidFill>
          </w14:textFill>
        </w:rPr>
        <w:t>项目计划管理办法》（另册）</w:t>
      </w:r>
    </w:p>
    <w:p w14:paraId="44DB269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Arial"/>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：《市重点办建设项目初步设计概算和</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施工图</w:t>
      </w:r>
      <w:r>
        <w:rPr>
          <w:rFonts w:hint="default" w:ascii="宋体" w:hAnsi="宋体" w:cs="宋体"/>
          <w:color w:val="000000" w:themeColor="text1"/>
          <w:sz w:val="24"/>
          <w:szCs w:val="24"/>
          <w:highlight w:val="none"/>
          <w14:textFill>
            <w14:solidFill>
              <w14:schemeClr w14:val="tx1"/>
            </w14:solidFill>
          </w14:textFill>
        </w:rPr>
        <w:t>预算</w:t>
      </w:r>
      <w:r>
        <w:rPr>
          <w:rFonts w:hint="eastAsia" w:ascii="宋体" w:hAnsi="宋体" w:cs="宋体"/>
          <w:color w:val="000000" w:themeColor="text1"/>
          <w:sz w:val="24"/>
          <w:szCs w:val="24"/>
          <w:highlight w:val="none"/>
          <w14:textFill>
            <w14:solidFill>
              <w14:schemeClr w14:val="tx1"/>
            </w14:solidFill>
          </w14:textFill>
        </w:rPr>
        <w:t>编制、内审及配合评审工作组织管理实施办法》、《广州市重点公共建设项目管理中心建设工程设计概算编审指引》（另册）</w:t>
      </w:r>
    </w:p>
    <w:p w14:paraId="2D2C66F1">
      <w:pPr>
        <w:adjustRightInd w:val="0"/>
        <w:snapToGrid w:val="0"/>
        <w:spacing w:line="360" w:lineRule="auto"/>
        <w:ind w:firstLine="480" w:firstLineChars="200"/>
        <w:rPr>
          <w:rFonts w:ascii="宋体" w:hAnsi="宋体" w:cs="Arial"/>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：《广州市重点公共建设项目管理中心设计变更管理办法》（另册）</w:t>
      </w:r>
    </w:p>
    <w:p w14:paraId="66B8227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cs="宋体"/>
          <w:color w:val="000000" w:themeColor="text1"/>
          <w:kern w:val="0"/>
          <w:sz w:val="24"/>
          <w:szCs w:val="24"/>
          <w:highlight w:val="none"/>
          <w14:textFill>
            <w14:solidFill>
              <w14:schemeClr w14:val="tx1"/>
            </w14:solidFill>
          </w14:textFill>
        </w:rPr>
        <w:t>：本项目</w:t>
      </w:r>
      <w:r>
        <w:rPr>
          <w:rFonts w:ascii="宋体" w:hAnsi="宋体" w:cs="宋体"/>
          <w:color w:val="000000" w:themeColor="text1"/>
          <w:kern w:val="0"/>
          <w:sz w:val="24"/>
          <w:szCs w:val="24"/>
          <w:highlight w:val="none"/>
          <w14:textFill>
            <w14:solidFill>
              <w14:schemeClr w14:val="tx1"/>
            </w14:solidFill>
          </w14:textFill>
        </w:rPr>
        <w:t>勘察设计任务书</w:t>
      </w:r>
    </w:p>
    <w:p w14:paraId="22D1B7E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cs="宋体"/>
          <w:color w:val="000000" w:themeColor="text1"/>
          <w:kern w:val="0"/>
          <w:sz w:val="24"/>
          <w:szCs w:val="24"/>
          <w:highlight w:val="none"/>
          <w14:textFill>
            <w14:solidFill>
              <w14:schemeClr w14:val="tx1"/>
            </w14:solidFill>
          </w14:textFill>
        </w:rPr>
        <w:t>：乙方营业执照及其法定代表人、项目负责人的姓名、身份证复印件、职务、职称、联系方式</w:t>
      </w:r>
    </w:p>
    <w:p w14:paraId="6A89286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：建筑工程质量安全终身责任承诺书及勘察设计项目负责人更换保证书</w:t>
      </w:r>
    </w:p>
    <w:p w14:paraId="63A04F70">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11</w:t>
      </w:r>
      <w:r>
        <w:rPr>
          <w:rFonts w:hint="eastAsia" w:ascii="宋体" w:hAnsi="宋体" w:cs="宋体"/>
          <w:color w:val="000000" w:themeColor="text1"/>
          <w:kern w:val="0"/>
          <w:sz w:val="24"/>
          <w:szCs w:val="24"/>
          <w:highlight w:val="none"/>
          <w14:textFill>
            <w14:solidFill>
              <w14:schemeClr w14:val="tx1"/>
            </w14:solidFill>
          </w14:textFill>
        </w:rPr>
        <w:t>：工程质量终身责任承诺书</w:t>
      </w:r>
    </w:p>
    <w:p w14:paraId="47A0406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p>
    <w:p w14:paraId="3F331650">
      <w:pPr>
        <w:adjustRightInd w:val="0"/>
        <w:snapToGrid w:val="0"/>
        <w:spacing w:line="360" w:lineRule="auto"/>
        <w:jc w:val="center"/>
        <w:outlineLvl w:val="1"/>
        <w:rPr>
          <w:rFonts w:ascii="宋体" w:hAnsi="宋体" w:cs="宋体"/>
          <w:b/>
          <w:color w:val="000000" w:themeColor="text1"/>
          <w:kern w:val="0"/>
          <w:sz w:val="44"/>
          <w:szCs w:val="44"/>
          <w:highlight w:val="none"/>
          <w14:textFill>
            <w14:solidFill>
              <w14:schemeClr w14:val="tx1"/>
            </w14:solidFill>
          </w14:textFill>
        </w:rPr>
      </w:pPr>
      <w:r>
        <w:rPr>
          <w:rFonts w:hint="eastAsia" w:ascii="宋体" w:hAnsi="宋体" w:cs="宋体"/>
          <w:b/>
          <w:color w:val="000000" w:themeColor="text1"/>
          <w:kern w:val="0"/>
          <w:sz w:val="44"/>
          <w:szCs w:val="44"/>
          <w:highlight w:val="none"/>
          <w14:textFill>
            <w14:solidFill>
              <w14:schemeClr w14:val="tx1"/>
            </w14:solidFill>
          </w14:textFill>
        </w:rPr>
        <w:t>第一篇  合同协议书</w:t>
      </w:r>
    </w:p>
    <w:p w14:paraId="66F92B1B">
      <w:pPr>
        <w:adjustRightInd w:val="0"/>
        <w:snapToGrid w:val="0"/>
        <w:spacing w:line="360" w:lineRule="auto"/>
        <w:ind w:firstLine="482" w:firstLineChars="200"/>
        <w:rPr>
          <w:rFonts w:ascii="宋体" w:hAnsi="宋体" w:cs="宋体"/>
          <w:b/>
          <w:color w:val="000000" w:themeColor="text1"/>
          <w:kern w:val="0"/>
          <w:sz w:val="24"/>
          <w:szCs w:val="24"/>
          <w:highlight w:val="none"/>
          <w:u w:val="singl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广州市重点公共建设项目管理中心</w:t>
      </w:r>
      <w:r>
        <w:rPr>
          <w:rFonts w:hint="eastAsia" w:ascii="宋体" w:hAnsi="宋体" w:cs="宋体"/>
          <w:color w:val="000000" w:themeColor="text1"/>
          <w:kern w:val="0"/>
          <w:sz w:val="24"/>
          <w:szCs w:val="24"/>
          <w:highlight w:val="none"/>
          <w14:textFill>
            <w14:solidFill>
              <w14:schemeClr w14:val="tx1"/>
            </w14:solidFill>
          </w14:textFill>
        </w:rPr>
        <w:t>（以下简称甲方）与</w:t>
      </w:r>
      <w:r>
        <w:rPr>
          <w:rFonts w:hint="eastAsia" w:ascii="宋体" w:hAnsi="宋体" w:cs="宋体"/>
          <w:b/>
          <w:color w:val="000000" w:themeColor="text1"/>
          <w:sz w:val="24"/>
          <w:szCs w:val="24"/>
          <w:highlight w:val="none"/>
          <w14:textFill>
            <w14:solidFill>
              <w14:schemeClr w14:val="tx1"/>
            </w14:solidFill>
          </w14:textFill>
        </w:rPr>
        <w:t>_______________</w:t>
      </w:r>
      <w:r>
        <w:rPr>
          <w:rFonts w:hint="eastAsia" w:ascii="宋体" w:hAnsi="宋体" w:cs="宋体"/>
          <w:bCs/>
          <w:color w:val="000000" w:themeColor="text1"/>
          <w:kern w:val="0"/>
          <w:sz w:val="24"/>
          <w:szCs w:val="24"/>
          <w:highlight w:val="none"/>
          <w14:textFill>
            <w14:solidFill>
              <w14:schemeClr w14:val="tx1"/>
            </w14:solidFill>
          </w14:textFill>
        </w:rPr>
        <w:t>（以下简称乙方）依照《中华人民共和国民法典》、《中华人民共和国建筑法》及其他有关法律、行政法规、部门规章、地方性法规和规章，以及国家和广东省、广州市人民政府及有关主管部门关于</w:t>
      </w:r>
      <w:r>
        <w:rPr>
          <w:rFonts w:hint="eastAsia" w:ascii="宋体" w:hAnsi="宋体" w:cs="宋体"/>
          <w:color w:val="000000" w:themeColor="text1"/>
          <w:sz w:val="24"/>
          <w:szCs w:val="24"/>
          <w:highlight w:val="none"/>
          <w:u w:val="single"/>
          <w:lang w:eastAsia="zh-CN"/>
          <w14:textFill>
            <w14:solidFill>
              <w14:schemeClr w14:val="tx1"/>
            </w14:solidFill>
          </w14:textFill>
        </w:rPr>
        <w:t>广州市农业农村科学院东涌基地建设项目</w:t>
      </w:r>
      <w:r>
        <w:rPr>
          <w:rFonts w:hint="eastAsia" w:ascii="宋体" w:hAnsi="宋体" w:cs="宋体"/>
          <w:bCs/>
          <w:color w:val="000000" w:themeColor="text1"/>
          <w:kern w:val="0"/>
          <w:sz w:val="24"/>
          <w:szCs w:val="24"/>
          <w:highlight w:val="none"/>
          <w14:textFill>
            <w14:solidFill>
              <w14:schemeClr w14:val="tx1"/>
            </w14:solidFill>
          </w14:textFill>
        </w:rPr>
        <w:t>（以下称本项目）的有关文件，遵循平等、自愿、公平和诚实信用的原则，双方就</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bCs/>
          <w:color w:val="000000" w:themeColor="text1"/>
          <w:kern w:val="0"/>
          <w:sz w:val="24"/>
          <w:szCs w:val="24"/>
          <w:highlight w:val="none"/>
          <w14:textFill>
            <w14:solidFill>
              <w14:schemeClr w14:val="tx1"/>
            </w14:solidFill>
          </w14:textFill>
        </w:rPr>
        <w:t>勘察设计总承包事宜协商一致，订立本合同。</w:t>
      </w:r>
    </w:p>
    <w:p w14:paraId="4EF74B8C">
      <w:pPr>
        <w:adjustRightInd w:val="0"/>
        <w:snapToGrid w:val="0"/>
        <w:spacing w:line="360" w:lineRule="auto"/>
        <w:ind w:firstLine="482" w:firstLineChars="2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1、合同工程概况</w:t>
      </w:r>
    </w:p>
    <w:p w14:paraId="033AAF2E">
      <w:pPr>
        <w:adjustRightInd w:val="0"/>
        <w:snapToGrid w:val="0"/>
        <w:spacing w:line="360" w:lineRule="auto"/>
        <w:ind w:right="11"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（1）工程名称：</w:t>
      </w:r>
      <w:r>
        <w:rPr>
          <w:rFonts w:hint="eastAsia" w:ascii="宋体" w:hAnsi="宋体" w:cs="宋体"/>
          <w:bCs/>
          <w:color w:val="000000" w:themeColor="text1"/>
          <w:sz w:val="24"/>
          <w:szCs w:val="24"/>
          <w:highlight w:val="none"/>
          <w:u w:val="single"/>
          <w:lang w:eastAsia="zh-CN"/>
          <w14:textFill>
            <w14:solidFill>
              <w14:schemeClr w14:val="tx1"/>
            </w14:solidFill>
          </w14:textFill>
        </w:rPr>
        <w:t>广州市农业农村科学院东涌基地建设项目勘察设计</w:t>
      </w:r>
      <w:r>
        <w:rPr>
          <w:rFonts w:hint="eastAsia" w:ascii="宋体" w:hAnsi="宋体" w:cs="宋体"/>
          <w:bCs/>
          <w:color w:val="000000" w:themeColor="text1"/>
          <w:kern w:val="0"/>
          <w:sz w:val="24"/>
          <w:szCs w:val="24"/>
          <w:highlight w:val="none"/>
          <w14:textFill>
            <w14:solidFill>
              <w14:schemeClr w14:val="tx1"/>
            </w14:solidFill>
          </w14:textFill>
        </w:rPr>
        <w:t>。</w:t>
      </w:r>
    </w:p>
    <w:p w14:paraId="3539ABE9">
      <w:pPr>
        <w:adjustRightInd w:val="0"/>
        <w:snapToGrid w:val="0"/>
        <w:spacing w:line="360" w:lineRule="auto"/>
        <w:ind w:right="11"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（2）工程地点：</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本项目建设地点位于广州市南沙区沙湾水道以南的东涌镇石基村，距离香港科技大学（广州）、地铁东涌站约5公里，距离庆盛枢纽约7公里</w:t>
      </w:r>
      <w:r>
        <w:rPr>
          <w:rFonts w:hint="eastAsia" w:ascii="宋体" w:hAnsi="宋体" w:cs="宋体"/>
          <w:color w:val="000000" w:themeColor="text1"/>
          <w:sz w:val="24"/>
          <w:szCs w:val="24"/>
          <w:highlight w:val="none"/>
          <w14:textFill>
            <w14:solidFill>
              <w14:schemeClr w14:val="tx1"/>
            </w14:solidFill>
          </w14:textFill>
        </w:rPr>
        <w:t>。</w:t>
      </w:r>
    </w:p>
    <w:p w14:paraId="658992ED">
      <w:pPr>
        <w:adjustRightInd w:val="0"/>
        <w:snapToGrid w:val="0"/>
        <w:spacing w:line="360" w:lineRule="auto"/>
        <w:ind w:right="11"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（3）工程立项批准文号：</w:t>
      </w:r>
      <w:r>
        <w:rPr>
          <w:rFonts w:hint="eastAsia" w:ascii="宋体" w:hAnsi="宋体" w:eastAsia="宋体" w:cs="Times New Roman"/>
          <w:color w:val="000000" w:themeColor="text1"/>
          <w:sz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广州市发展和改革委员会关于广州市农业农村科学院东涌基地建设项目项目建议书的批复》（穗发改投批〔2025〕75号）</w:t>
      </w:r>
      <w:r>
        <w:rPr>
          <w:rFonts w:hint="eastAsia" w:ascii="宋体" w:hAnsi="宋体" w:cs="宋体"/>
          <w:bCs/>
          <w:color w:val="000000" w:themeColor="text1"/>
          <w:kern w:val="0"/>
          <w:sz w:val="24"/>
          <w:szCs w:val="24"/>
          <w:highlight w:val="none"/>
          <w14:textFill>
            <w14:solidFill>
              <w14:schemeClr w14:val="tx1"/>
            </w14:solidFill>
          </w14:textFill>
        </w:rPr>
        <w:t>。</w:t>
      </w:r>
    </w:p>
    <w:p w14:paraId="07928F86">
      <w:pPr>
        <w:adjustRightInd w:val="0"/>
        <w:snapToGrid w:val="0"/>
        <w:spacing w:line="360" w:lineRule="auto"/>
        <w:ind w:right="11"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（4）广东省投资项目代码：</w:t>
      </w:r>
      <w:r>
        <w:rPr>
          <w:rFonts w:hint="eastAsia" w:ascii="宋体" w:hAnsi="宋体" w:eastAsia="宋体" w:cs="Times New Roman"/>
          <w:color w:val="000000" w:themeColor="text1"/>
          <w:sz w:val="24"/>
          <w:highlight w:val="none"/>
          <w:u w:val="single"/>
          <w:lang w:eastAsia="zh-CN"/>
          <w14:textFill>
            <w14:solidFill>
              <w14:schemeClr w14:val="tx1"/>
            </w14:solidFill>
          </w14:textFill>
        </w:rPr>
        <w:t>2405-440115-04-01-960120</w:t>
      </w:r>
      <w:r>
        <w:rPr>
          <w:rFonts w:hint="eastAsia" w:ascii="宋体" w:hAnsi="宋体" w:cs="宋体"/>
          <w:bCs/>
          <w:color w:val="000000" w:themeColor="text1"/>
          <w:kern w:val="0"/>
          <w:sz w:val="24"/>
          <w:szCs w:val="24"/>
          <w:highlight w:val="none"/>
          <w14:textFill>
            <w14:solidFill>
              <w14:schemeClr w14:val="tx1"/>
            </w14:solidFill>
          </w14:textFill>
        </w:rPr>
        <w:t>。</w:t>
      </w:r>
    </w:p>
    <w:p w14:paraId="48A68555">
      <w:pPr>
        <w:adjustRightInd w:val="0"/>
        <w:snapToGrid w:val="0"/>
        <w:spacing w:line="360" w:lineRule="auto"/>
        <w:ind w:right="11"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（5）资金来源：</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项目总投资51376.39万元，其中工程费用42925.38万元，工程建设其他费4660.17万元，预备费3790.84万元。项目资金来源为市财政资金</w:t>
      </w:r>
      <w:r>
        <w:rPr>
          <w:rFonts w:hint="eastAsia" w:ascii="宋体" w:hAnsi="宋体" w:cs="宋体"/>
          <w:bCs/>
          <w:color w:val="000000" w:themeColor="text1"/>
          <w:kern w:val="0"/>
          <w:sz w:val="24"/>
          <w:szCs w:val="24"/>
          <w:highlight w:val="none"/>
          <w14:textFill>
            <w14:solidFill>
              <w14:schemeClr w14:val="tx1"/>
            </w14:solidFill>
          </w14:textFill>
        </w:rPr>
        <w:t>。</w:t>
      </w:r>
    </w:p>
    <w:p w14:paraId="43B52BE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（6）本合同工程设计合理使用年限为</w:t>
      </w:r>
      <w:r>
        <w:rPr>
          <w:rFonts w:hint="eastAsia" w:ascii="宋体" w:hAnsi="宋体" w:cs="宋体"/>
          <w:bCs/>
          <w:color w:val="000000" w:themeColor="text1"/>
          <w:kern w:val="0"/>
          <w:sz w:val="24"/>
          <w:szCs w:val="24"/>
          <w:highlight w:val="none"/>
          <w:u w:val="single"/>
          <w14:textFill>
            <w14:solidFill>
              <w14:schemeClr w14:val="tx1"/>
            </w14:solidFill>
          </w14:textFill>
        </w:rPr>
        <w:t>50</w:t>
      </w:r>
      <w:r>
        <w:rPr>
          <w:rFonts w:hint="eastAsia" w:ascii="宋体" w:hAnsi="宋体" w:cs="宋体"/>
          <w:color w:val="000000" w:themeColor="text1"/>
          <w:kern w:val="0"/>
          <w:sz w:val="24"/>
          <w:szCs w:val="24"/>
          <w:highlight w:val="none"/>
          <w14:textFill>
            <w14:solidFill>
              <w14:schemeClr w14:val="tx1"/>
            </w14:solidFill>
          </w14:textFill>
        </w:rPr>
        <w:t>年（主体结构）。</w:t>
      </w:r>
    </w:p>
    <w:p w14:paraId="60E66B36">
      <w:pPr>
        <w:adjustRightInd w:val="0"/>
        <w:snapToGrid w:val="0"/>
        <w:spacing w:line="360" w:lineRule="auto"/>
        <w:ind w:right="11" w:firstLine="482" w:firstLineChars="2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2、勘察设计总承包范围、内容和方式</w:t>
      </w:r>
    </w:p>
    <w:p w14:paraId="29EDC515">
      <w:pPr>
        <w:adjustRightInd w:val="0"/>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w:t>
      </w:r>
      <w:r>
        <w:rPr>
          <w:rFonts w:hint="eastAsia" w:ascii="宋体" w:hAnsi="宋体" w:cs="宋体"/>
          <w:color w:val="000000" w:themeColor="text1"/>
          <w:kern w:val="0"/>
          <w:sz w:val="24"/>
          <w:szCs w:val="24"/>
          <w:highlight w:val="none"/>
          <w14:textFill>
            <w14:solidFill>
              <w14:schemeClr w14:val="tx1"/>
            </w14:solidFill>
          </w14:textFill>
        </w:rPr>
        <w:t>勘察设计总承包范围和内容：</w:t>
      </w:r>
    </w:p>
    <w:p w14:paraId="2C188EC3">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2.1.1工程范围：</w:t>
      </w:r>
    </w:p>
    <w:p w14:paraId="218774F5">
      <w:pPr>
        <w:adjustRightInd w:val="0"/>
        <w:snapToGrid w:val="0"/>
        <w:spacing w:line="360" w:lineRule="auto"/>
        <w:ind w:right="11"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项目位于广州市南沙区东涌镇石基村。项目占地共526666平方米（790亩），其中建设用地53333平方米（80亩）、农用地473333平方米（710亩）。53333平方米（80亩）的建设用地新建总建筑面积50483平方米，其中地上建筑面积44652平方米，地下建筑面积5831平方米[其中地块一总建筑面积27520平方米（地上建筑面积24652平方米，地下建筑面积2868平方米，最高高度为35.1米），地块二总建筑面积22963平方米（地上建筑面积20000平方米，地下建筑面积2963平方米，地块二最高高度为39.3米）]。建设内容包括科研用房、科研辅助用房、农业种质资源大楼、农业环境与农产品分析检测中心、渔业环境与水产品检验中心、广州市农作物种子质量检验中心、广州市蔬菜育种新技术应用研究重点实验室（蔬菜遗传育种实验室）、国家农作物品种区域试验站、农业科普体验与展示区（农作物、动物）、现代农业装备展示厅、公用设施、行政及生活服务用房、人防工程、科研辅助工人宿舍、人才公寓等，并配套实施公用工程、室外工程、其他工程、专项工程等。473333平方米（710亩）的农用地建设现代化智能温室大棚、排水灌溉渠、生态渠、下田坡道、田间道路工程、田间供水工程、田间供电工程、田间照明工程、田间网络工程、田间监控系统、防鸟工程、防鼠工程等。</w:t>
      </w:r>
    </w:p>
    <w:p w14:paraId="2300E427">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2.1.2工作内容：</w:t>
      </w:r>
    </w:p>
    <w:p w14:paraId="217CDE1B">
      <w:pPr>
        <w:keepNext w:val="0"/>
        <w:keepLines w:val="0"/>
        <w:widowControl w:val="0"/>
        <w:suppressLineNumbers w:val="0"/>
        <w:adjustRightInd w:val="0"/>
        <w:snapToGrid w:val="0"/>
        <w:spacing w:before="0" w:beforeAutospacing="0" w:after="0" w:afterAutospacing="0" w:line="360" w:lineRule="auto"/>
        <w:ind w:left="0" w:right="0" w:firstLine="482"/>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乙方需根据基础资料、</w:t>
      </w:r>
      <w:r>
        <w:rPr>
          <w:rFonts w:ascii="宋体" w:hAnsi="宋体" w:cs="宋体"/>
          <w:color w:val="000000" w:themeColor="text1"/>
          <w:sz w:val="24"/>
          <w:szCs w:val="24"/>
          <w:highlight w:val="none"/>
          <w14:textFill>
            <w14:solidFill>
              <w14:schemeClr w14:val="tx1"/>
            </w14:solidFill>
          </w14:textFill>
        </w:rPr>
        <w:t>勘察设计任务书</w:t>
      </w:r>
      <w:r>
        <w:rPr>
          <w:rFonts w:hint="eastAsia" w:ascii="宋体" w:hAnsi="宋体" w:cs="宋体"/>
          <w:color w:val="000000" w:themeColor="text1"/>
          <w:sz w:val="24"/>
          <w:szCs w:val="24"/>
          <w:highlight w:val="none"/>
          <w14:textFill>
            <w14:solidFill>
              <w14:schemeClr w14:val="tx1"/>
            </w14:solidFill>
          </w14:textFill>
        </w:rPr>
        <w:t>要求</w:t>
      </w:r>
      <w:r>
        <w:rPr>
          <w:rFonts w:hint="eastAsia" w:ascii="宋体" w:hAnsi="宋体" w:cs="宋体"/>
          <w:color w:val="000000" w:themeColor="text1"/>
          <w:sz w:val="24"/>
          <w:szCs w:val="24"/>
          <w:highlight w:val="none"/>
          <w:lang w:val="en-US" w:eastAsia="zh-CN"/>
          <w14:textFill>
            <w14:solidFill>
              <w14:schemeClr w14:val="tx1"/>
            </w14:solidFill>
          </w14:textFill>
        </w:rPr>
        <w:t>及项目建设期间新政策新规范等新要求</w:t>
      </w:r>
      <w:r>
        <w:rPr>
          <w:rFonts w:hint="eastAsia" w:ascii="宋体" w:hAnsi="宋体" w:cs="宋体"/>
          <w:color w:val="000000" w:themeColor="text1"/>
          <w:sz w:val="24"/>
          <w:szCs w:val="24"/>
          <w:highlight w:val="none"/>
          <w14:textFill>
            <w14:solidFill>
              <w14:schemeClr w14:val="tx1"/>
            </w14:solidFill>
          </w14:textFill>
        </w:rPr>
        <w:t>，完成本项目</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立项及可行性研究报告批复</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范围内所有</w:t>
      </w:r>
      <w:r>
        <w:rPr>
          <w:rFonts w:hint="eastAsia" w:ascii="Calibri" w:hAnsi="Calibri" w:eastAsia="宋体" w:cs="宋体"/>
          <w:color w:val="000000" w:themeColor="text1"/>
          <w:sz w:val="24"/>
          <w:highlight w:val="none"/>
          <w:u w:val="single"/>
          <w14:textFill>
            <w14:solidFill>
              <w14:schemeClr w14:val="tx1"/>
            </w14:solidFill>
          </w14:textFill>
        </w:rPr>
        <w:t>建设内容的勘察设计</w:t>
      </w:r>
      <w:r>
        <w:rPr>
          <w:rFonts w:hint="eastAsia" w:ascii="Calibri" w:hAnsi="Calibri" w:eastAsia="宋体" w:cs="宋体"/>
          <w:color w:val="000000" w:themeColor="text1"/>
          <w:sz w:val="24"/>
          <w:highlight w:val="none"/>
          <w:u w:val="single"/>
          <w:lang w:val="en-US" w:eastAsia="zh-CN"/>
          <w14:textFill>
            <w14:solidFill>
              <w14:schemeClr w14:val="tx1"/>
            </w14:solidFill>
          </w14:textFill>
        </w:rPr>
        <w:t>等</w:t>
      </w:r>
      <w:r>
        <w:rPr>
          <w:rFonts w:hint="eastAsia" w:ascii="Calibri" w:hAnsi="Calibri" w:eastAsia="宋体" w:cs="宋体"/>
          <w:color w:val="000000" w:themeColor="text1"/>
          <w:sz w:val="24"/>
          <w:highlight w:val="none"/>
          <w:u w:val="single"/>
          <w14:textFill>
            <w14:solidFill>
              <w14:schemeClr w14:val="tx1"/>
            </w14:solidFill>
          </w14:textFill>
        </w:rPr>
        <w:t>工作</w:t>
      </w:r>
      <w:r>
        <w:rPr>
          <w:rFonts w:ascii="宋体" w:hAnsi="宋体" w:cs="宋体"/>
          <w:color w:val="000000" w:themeColor="text1"/>
          <w:sz w:val="24"/>
          <w:szCs w:val="24"/>
          <w:highlight w:val="none"/>
          <w14:textFill>
            <w14:solidFill>
              <w14:schemeClr w14:val="tx1"/>
            </w14:solidFill>
          </w14:textFill>
        </w:rPr>
        <w:t>及满足项目验收与投入使用必须实施建设内容的勘察设计工作</w:t>
      </w:r>
      <w:r>
        <w:rPr>
          <w:rFonts w:hint="eastAsia" w:ascii="宋体" w:hAnsi="宋体" w:cs="宋体"/>
          <w:color w:val="000000" w:themeColor="text1"/>
          <w:sz w:val="24"/>
          <w:szCs w:val="24"/>
          <w:highlight w:val="none"/>
          <w14:textFill>
            <w14:solidFill>
              <w14:schemeClr w14:val="tx1"/>
            </w14:solidFill>
          </w14:textFill>
        </w:rPr>
        <w:t>，包括但不限于：</w:t>
      </w:r>
    </w:p>
    <w:p w14:paraId="530E99E7">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（1）工程勘察工作：岩土工程勘察，包括但不限于</w:t>
      </w:r>
      <w:r>
        <w:rPr>
          <w:rFonts w:hint="eastAsia" w:ascii="宋体" w:hAnsi="宋体" w:cs="宋体"/>
          <w:color w:val="000000" w:themeColor="text1"/>
          <w:sz w:val="24"/>
          <w:szCs w:val="24"/>
          <w:highlight w:val="none"/>
          <w:lang w:val="en-US" w:eastAsia="zh-CN"/>
          <w14:textFill>
            <w14:solidFill>
              <w14:schemeClr w14:val="tx1"/>
            </w14:solidFill>
          </w14:textFill>
        </w:rPr>
        <w:t>报送勘察工作计划（含具体勘察范围、勘察作业量</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、勘察工作计划</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cs="宋体"/>
          <w:color w:val="000000" w:themeColor="text1"/>
          <w:sz w:val="24"/>
          <w:szCs w:val="24"/>
          <w:highlight w:val="none"/>
          <w14:textFill>
            <w14:solidFill>
              <w14:schemeClr w14:val="tx1"/>
            </w14:solidFill>
          </w14:textFill>
        </w:rPr>
        <w:t>初步勘察、详细勘察</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勘察会签、开工告知、生成勘察会签报告以及推送施工图审查工程</w:t>
      </w:r>
      <w:r>
        <w:rPr>
          <w:rFonts w:hint="default"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勘察范围含建设用地及农用地地块，并含项目建成投入使用涉及红线外接驳工程的勘察</w:t>
      </w:r>
      <w:r>
        <w:rPr>
          <w:rFonts w:hint="eastAsia" w:ascii="宋体" w:hAnsi="宋体" w:cs="宋体"/>
          <w:color w:val="000000" w:themeColor="text1"/>
          <w:sz w:val="24"/>
          <w:szCs w:val="24"/>
          <w:highlight w:val="none"/>
          <w14:textFill>
            <w14:solidFill>
              <w14:schemeClr w14:val="tx1"/>
            </w14:solidFill>
          </w14:textFill>
        </w:rPr>
        <w:t>工作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其中建设用地地块一（本期建设用地范围，不含预留发展地块）、建设用地地块二按常规开展勘察工作；农用地地块，仅需对建设温室大棚区域进行勘察，按照每个大棚2个点，每个点深度约20m。具体以审定的勘察方案为准，按实际结算。</w:t>
      </w:r>
    </w:p>
    <w:p w14:paraId="2576DA5B">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（2）现状摸查及编制摸查报告：包含但不限于项目概况、项目现状、地下管线、周边市政条件、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历史文化保护传承对象摸查情况、</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树木资源摸查情况、报批报建工作进展、勘察设计工作进展、建设工作界面、勘察设计工作计划</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项目建设与用地、规划、历史文化、树木保护、环境保护、水域及耕地保护等法规政策的符合性复核，</w:t>
      </w:r>
      <w:r>
        <w:rPr>
          <w:rFonts w:hint="eastAsia" w:ascii="宋体" w:hAnsi="宋体" w:cs="宋体"/>
          <w:color w:val="000000" w:themeColor="text1"/>
          <w:sz w:val="24"/>
          <w:szCs w:val="24"/>
          <w:highlight w:val="none"/>
          <w14:textFill>
            <w14:solidFill>
              <w14:schemeClr w14:val="tx1"/>
            </w14:solidFill>
          </w14:textFill>
        </w:rPr>
        <w:t>存在的问题及相关建议等内容，前期摸查报告</w:t>
      </w:r>
      <w:r>
        <w:rPr>
          <w:rFonts w:hint="eastAsia" w:ascii="宋体" w:hAnsi="宋体" w:cs="宋体"/>
          <w:color w:val="000000" w:themeColor="text1"/>
          <w:sz w:val="24"/>
          <w:szCs w:val="24"/>
          <w:highlight w:val="none"/>
          <w:lang w:val="en-US" w:eastAsia="zh-CN"/>
          <w14:textFill>
            <w14:solidFill>
              <w14:schemeClr w14:val="tx1"/>
            </w14:solidFill>
          </w14:textFill>
        </w:rPr>
        <w:t>需</w:t>
      </w:r>
      <w:r>
        <w:rPr>
          <w:rFonts w:hint="eastAsia" w:ascii="宋体" w:hAnsi="宋体" w:cs="宋体"/>
          <w:color w:val="000000" w:themeColor="text1"/>
          <w:sz w:val="24"/>
          <w:szCs w:val="24"/>
          <w:highlight w:val="none"/>
          <w14:textFill>
            <w14:solidFill>
              <w14:schemeClr w14:val="tx1"/>
            </w14:solidFill>
          </w14:textFill>
        </w:rPr>
        <w:t>经甲方审核通过后视为完成。</w:t>
      </w:r>
    </w:p>
    <w:p w14:paraId="38CF892C">
      <w:pPr>
        <w:adjustRightInd w:val="0"/>
        <w:snapToGrid w:val="0"/>
        <w:spacing w:line="360" w:lineRule="auto"/>
        <w:ind w:right="11" w:firstLine="482"/>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历史文化保护传承对象摸查：对照本市公布的《历史建筑名录》及《传统风貌建筑保护名录》，全面核查拟建设范围是否存在历史文化保护传承对象，及其具体位置、详细现状、保护内容、保护要求、保护措施等情况；同时排查是否存在需要拆迁的建（构）筑物；</w:t>
      </w:r>
    </w:p>
    <w:p w14:paraId="12CBCD66">
      <w:pPr>
        <w:adjustRightInd w:val="0"/>
        <w:snapToGrid w:val="0"/>
        <w:spacing w:line="360" w:lineRule="auto"/>
        <w:ind w:right="11" w:firstLine="482"/>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树木资源摸查：具体包括所有树木的种类、数量、位置、胸径规格、生长状况、立地条件、保护设施现状等情况摸查，其中大树、古树名木、古树后续资源需要有定位坐标（要求“一树一档”），古树名木、古树后续资源需要进行健康状况及安全性综合评估等；若发现严重病虫害、死亡的，还需提供专业机构的鉴定报告作为依据。</w:t>
      </w:r>
    </w:p>
    <w:p w14:paraId="2A49F9BB">
      <w:pPr>
        <w:adjustRightInd w:val="0"/>
        <w:snapToGrid w:val="0"/>
        <w:spacing w:line="360" w:lineRule="auto"/>
        <w:ind w:right="11"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（3）设计方案报审工作</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含修建性详细规划</w:t>
      </w:r>
      <w:r>
        <w:rPr>
          <w:rFonts w:hint="eastAsia" w:ascii="宋体" w:hAnsi="宋体" w:cs="宋体"/>
          <w:color w:val="000000" w:themeColor="text1"/>
          <w:sz w:val="24"/>
          <w:szCs w:val="24"/>
          <w:highlight w:val="none"/>
          <w:lang w:val="en-US" w:eastAsia="zh-CN"/>
          <w14:textFill>
            <w14:solidFill>
              <w14:schemeClr w14:val="tx1"/>
            </w14:solidFill>
          </w14:textFill>
        </w:rPr>
        <w:t>设计、</w:t>
      </w:r>
      <w:r>
        <w:rPr>
          <w:rFonts w:hint="eastAsia" w:ascii="宋体" w:hAnsi="宋体" w:cs="宋体"/>
          <w:color w:val="000000" w:themeColor="text1"/>
          <w:sz w:val="24"/>
          <w:szCs w:val="24"/>
          <w:highlight w:val="none"/>
          <w14:textFill>
            <w14:solidFill>
              <w14:schemeClr w14:val="tx1"/>
            </w14:solidFill>
          </w14:textFill>
        </w:rPr>
        <w:t>调整工作）：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甲方要求</w:t>
      </w:r>
      <w:r>
        <w:rPr>
          <w:rFonts w:hint="eastAsia" w:ascii="宋体" w:hAnsi="宋体" w:cs="宋体"/>
          <w:color w:val="000000" w:themeColor="text1"/>
          <w:kern w:val="0"/>
          <w:sz w:val="24"/>
          <w:szCs w:val="24"/>
          <w:highlight w:val="none"/>
          <w14:textFill>
            <w14:solidFill>
              <w14:schemeClr w14:val="tx1"/>
            </w14:solidFill>
          </w14:textFill>
        </w:rPr>
        <w:t>及规划报建主管部门最新政策要求</w:t>
      </w:r>
      <w:r>
        <w:rPr>
          <w:rFonts w:hint="eastAsia" w:ascii="宋体" w:hAnsi="宋体" w:cs="宋体"/>
          <w:color w:val="000000" w:themeColor="text1"/>
          <w:sz w:val="24"/>
          <w:szCs w:val="24"/>
          <w:highlight w:val="none"/>
          <w14:textFill>
            <w14:solidFill>
              <w14:schemeClr w14:val="tx1"/>
            </w14:solidFill>
          </w14:textFill>
        </w:rPr>
        <w:t>为准）。</w:t>
      </w:r>
    </w:p>
    <w:p w14:paraId="74A44575">
      <w:pPr>
        <w:keepNext w:val="0"/>
        <w:keepLines w:val="0"/>
        <w:widowControl w:val="0"/>
        <w:suppressLineNumbers w:val="0"/>
        <w:adjustRightInd w:val="0"/>
        <w:snapToGrid w:val="0"/>
        <w:spacing w:before="0" w:beforeAutospacing="0" w:after="0" w:afterAutospacing="0" w:line="360" w:lineRule="auto"/>
        <w:ind w:left="0" w:right="0" w:firstLine="482"/>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（4）设计工作：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所有建设内容的方案设计及方案深化设计、初步设计、施工图设计、完整版施工图编制和竣工图审核。包括但不限于：总平面规划、建筑、结构、人防、消防、给排水、电气、建筑智能化系统、暖通、室内装修、电梯、安防设计、标识导引系统、防雷、环保工程、幕墙工程、室外市政、园林工程、市政道路、市政管线、暗渠改道、管线综合平衡、设备选型意见等专业内容。</w:t>
      </w:r>
    </w:p>
    <w:p w14:paraId="25BF8793">
      <w:pPr>
        <w:adjustRightInd w:val="0"/>
        <w:snapToGrid w:val="0"/>
        <w:spacing w:line="360" w:lineRule="auto"/>
        <w:ind w:right="11"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（5）建筑节能新技术的应用及设计：包括但不限于节能、环保、绿色建筑</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二星级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等专项工程设计。根据绿色建筑相关规定，开展项目绿色建筑设计工作，负责广州绿色建筑施工图备案，并负责绿色建筑设计申报资料，完成并跟进绿色建筑标识认定的申报、推荐、审查、公示、公布等各个环节工作直至获得绿色建筑设计标识。</w:t>
      </w:r>
    </w:p>
    <w:p w14:paraId="2AFE7521">
      <w:pPr>
        <w:adjustRightInd w:val="0"/>
        <w:snapToGrid w:val="0"/>
        <w:spacing w:line="360" w:lineRule="auto"/>
        <w:ind w:right="11"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）其他工作：</w:t>
      </w:r>
    </w:p>
    <w:p w14:paraId="3B1EF35A">
      <w:pPr>
        <w:keepNext w:val="0"/>
        <w:keepLines w:val="0"/>
        <w:widowControl w:val="0"/>
        <w:suppressLineNumbers w:val="0"/>
        <w:adjustRightInd w:val="0"/>
        <w:snapToGrid w:val="0"/>
        <w:spacing w:before="0" w:beforeAutospacing="0" w:after="0" w:afterAutospacing="0" w:line="360" w:lineRule="auto"/>
        <w:ind w:left="0" w:right="0" w:firstLine="482"/>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1）造价文件编制工作：完成本项目</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（含立项、可研批复）</w:t>
      </w:r>
      <w:r>
        <w:rPr>
          <w:rFonts w:hint="eastAsia" w:ascii="宋体" w:hAnsi="宋体" w:cs="宋体"/>
          <w:color w:val="000000" w:themeColor="text1"/>
          <w:sz w:val="24"/>
          <w:szCs w:val="24"/>
          <w:highlight w:val="none"/>
          <w14:textFill>
            <w14:solidFill>
              <w14:schemeClr w14:val="tx1"/>
            </w14:solidFill>
          </w14:textFill>
        </w:rPr>
        <w:t>范围内工程投资估算、概算</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预算</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、招标工程量清单编制及招标控制价编制</w:t>
      </w:r>
      <w:r>
        <w:rPr>
          <w:rFonts w:hint="eastAsia" w:ascii="宋体" w:hAnsi="宋体" w:cs="宋体"/>
          <w:color w:val="000000" w:themeColor="text1"/>
          <w:sz w:val="24"/>
          <w:szCs w:val="24"/>
          <w:highlight w:val="none"/>
          <w:lang w:val="en-US" w:eastAsia="zh-CN"/>
          <w14:textFill>
            <w14:solidFill>
              <w14:schemeClr w14:val="tx1"/>
            </w14:solidFill>
          </w14:textFill>
        </w:rPr>
        <w:t>及</w:t>
      </w:r>
      <w:r>
        <w:rPr>
          <w:rFonts w:hint="eastAsia" w:ascii="宋体" w:hAnsi="宋体" w:cs="宋体"/>
          <w:color w:val="000000" w:themeColor="text1"/>
          <w:sz w:val="24"/>
          <w:szCs w:val="24"/>
          <w:highlight w:val="none"/>
          <w14:textFill>
            <w14:solidFill>
              <w14:schemeClr w14:val="tx1"/>
            </w14:solidFill>
          </w14:textFill>
        </w:rPr>
        <w:t>设计变更</w:t>
      </w:r>
      <w:r>
        <w:rPr>
          <w:rFonts w:hint="eastAsia" w:ascii="宋体" w:hAnsi="宋体" w:cs="宋体"/>
          <w:color w:val="000000" w:themeColor="text1"/>
          <w:sz w:val="24"/>
          <w:szCs w:val="24"/>
          <w:highlight w:val="none"/>
          <w:lang w:val="en-US" w:eastAsia="zh-CN"/>
          <w14:textFill>
            <w14:solidFill>
              <w14:schemeClr w14:val="tx1"/>
            </w14:solidFill>
          </w14:textFill>
        </w:rPr>
        <w:t>估算</w:t>
      </w:r>
      <w:r>
        <w:rPr>
          <w:rFonts w:hint="eastAsia" w:ascii="宋体" w:hAnsi="宋体" w:cs="宋体"/>
          <w:color w:val="000000" w:themeColor="text1"/>
          <w:sz w:val="24"/>
          <w:szCs w:val="24"/>
          <w:highlight w:val="none"/>
          <w14:textFill>
            <w14:solidFill>
              <w14:schemeClr w14:val="tx1"/>
            </w14:solidFill>
          </w14:textFill>
        </w:rPr>
        <w:t>等造价文件的编制工作（含场地平整、管线迁移、临设搭建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红线外管线接驳</w:t>
      </w:r>
      <w:r>
        <w:rPr>
          <w:rFonts w:hint="eastAsia" w:ascii="宋体" w:hAnsi="宋体" w:cs="宋体"/>
          <w:color w:val="000000" w:themeColor="text1"/>
          <w:sz w:val="24"/>
          <w:szCs w:val="24"/>
          <w:highlight w:val="none"/>
          <w14:textFill>
            <w14:solidFill>
              <w14:schemeClr w14:val="tx1"/>
            </w14:solidFill>
          </w14:textFill>
        </w:rPr>
        <w:t>等）及相关配合报审工作，细化设计过程的投资控制工作要求，包括分解、落实、反馈各阶段、各专业技术经济指标、限额设计量化指标。</w:t>
      </w:r>
    </w:p>
    <w:p w14:paraId="173103D9">
      <w:pPr>
        <w:adjustRightInd w:val="0"/>
        <w:snapToGrid w:val="0"/>
        <w:spacing w:line="360" w:lineRule="auto"/>
        <w:ind w:right="11"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2）技术配合工作：甲方后续各类（含招标）工作配合、施工配合、现场服务、竣工图编制配合服务</w:t>
      </w:r>
      <w:r>
        <w:rPr>
          <w:rFonts w:ascii="宋体" w:hAnsi="宋体" w:cs="宋体"/>
          <w:color w:val="000000" w:themeColor="text1"/>
          <w:sz w:val="24"/>
          <w:szCs w:val="24"/>
          <w:highlight w:val="none"/>
          <w14:textFill>
            <w14:solidFill>
              <w14:schemeClr w14:val="tx1"/>
            </w14:solidFill>
          </w14:textFill>
        </w:rPr>
        <w:t>（含竣工图审核盖章）</w:t>
      </w:r>
      <w:r>
        <w:rPr>
          <w:rFonts w:hint="eastAsia" w:ascii="宋体" w:hAnsi="宋体" w:cs="宋体"/>
          <w:color w:val="000000" w:themeColor="text1"/>
          <w:sz w:val="24"/>
          <w:szCs w:val="24"/>
          <w:highlight w:val="none"/>
          <w14:textFill>
            <w14:solidFill>
              <w14:schemeClr w14:val="tx1"/>
            </w14:solidFill>
          </w14:textFill>
        </w:rPr>
        <w:t>等。</w:t>
      </w:r>
    </w:p>
    <w:p w14:paraId="0D2F5093">
      <w:pPr>
        <w:adjustRightInd w:val="0"/>
        <w:snapToGrid w:val="0"/>
        <w:spacing w:line="360" w:lineRule="auto"/>
        <w:ind w:right="11"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3）报建配合工作：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立项（含可研）范围内</w:t>
      </w:r>
      <w:r>
        <w:rPr>
          <w:rFonts w:hint="eastAsia" w:ascii="宋体" w:hAnsi="宋体" w:cs="宋体"/>
          <w:color w:val="000000" w:themeColor="text1"/>
          <w:sz w:val="24"/>
          <w:szCs w:val="24"/>
          <w:highlight w:val="none"/>
          <w14:textFill>
            <w14:solidFill>
              <w14:schemeClr w14:val="tx1"/>
            </w14:solidFill>
          </w14:textFill>
        </w:rPr>
        <w:t>综合管线规划设计报批、建筑设计方案审查等的所有用地、规划、建筑、技术、管线、专项等各类报建配合、协调工作等。</w:t>
      </w:r>
    </w:p>
    <w:p w14:paraId="4A9A0145">
      <w:pPr>
        <w:adjustRightInd w:val="0"/>
        <w:snapToGrid w:val="0"/>
        <w:spacing w:line="360" w:lineRule="auto"/>
        <w:ind w:right="11"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设计文件修改、完善工作：乙方应根据政府相关行政主管部门、行业主管部门的审批意见无条件地修改、完善各阶段的设计成果文件，确保其满足相关的审批要求；乙方应根据施工图审查单位的审查、甲方的设计评审、甲方组织的专业人士的意见对设计成果文件进行修改、完善。</w:t>
      </w:r>
    </w:p>
    <w:p w14:paraId="77CB85B4">
      <w:pPr>
        <w:adjustRightInd w:val="0"/>
        <w:snapToGrid w:val="0"/>
        <w:spacing w:line="360" w:lineRule="auto"/>
        <w:ind w:right="11"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7</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u w:val="single"/>
          <w14:textFill>
            <w14:solidFill>
              <w14:schemeClr w14:val="tx1"/>
            </w14:solidFill>
          </w14:textFill>
        </w:rPr>
        <w:t>智能建造设计：满足广州市对于装配式建筑、装配式装修、模块化建筑等最新政策要求的相关设计</w:t>
      </w:r>
      <w:r>
        <w:rPr>
          <w:rFonts w:hint="eastAsia" w:ascii="宋体" w:hAnsi="宋体" w:eastAsia="宋体" w:cs="宋体"/>
          <w:b/>
          <w:bCs/>
          <w:color w:val="000000" w:themeColor="text1"/>
          <w:sz w:val="24"/>
          <w:szCs w:val="24"/>
          <w:highlight w:val="none"/>
          <w:u w:val="single"/>
          <w14:textFill>
            <w14:solidFill>
              <w14:schemeClr w14:val="tx1"/>
            </w14:solidFill>
          </w14:textFill>
        </w:rPr>
        <w:t>。（具体根据项目实际需求决定是否保留）</w:t>
      </w:r>
    </w:p>
    <w:p w14:paraId="33ED9660">
      <w:pPr>
        <w:keepNext w:val="0"/>
        <w:keepLines w:val="0"/>
        <w:widowControl/>
        <w:numPr>
          <w:ilvl w:val="0"/>
          <w:numId w:val="4"/>
        </w:numPr>
        <w:suppressLineNumbers w:val="0"/>
        <w:adjustRightInd w:val="0"/>
        <w:snapToGrid w:val="0"/>
        <w:spacing w:before="0" w:beforeAutospacing="0" w:after="0" w:afterAutospacing="0" w:line="360" w:lineRule="auto"/>
        <w:ind w:left="0" w:right="11" w:rightChars="0" w:firstLine="482" w:firstLineChars="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负责本项目设计阶段正向BIM设计及技术应用：</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设计阶段应用</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设计与施工联合应用</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含建设用地及农用地范围，所有建设内容的BIM运用</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本项目要求充分运用</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技术，要求在项目前期编制全过程</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实施规划，组织编制设计阶段</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任务书、划分工作界面和技术管理要求；利用</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模块进行参数化设计、虚拟仿真漫游、日照能耗分析、交通线规划、面积统计、结构分析、风向分析、环境分析、疏散模拟、造价分析等等；利用</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模型进行设计协调及优化</w:t>
      </w:r>
      <w:r>
        <w:rPr>
          <w:rFonts w:asci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完成设计方案复核、碰撞检测、三维管线综合、竖向净空优化等</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应用，并提交相应的成果报告；组织、参与</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专题会、协调会；对</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数据进行管理和维护，充分考虑</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成果的复用性和沿用性，有效衔接施工管理工作。</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技术造价应用方面：包括实现直接提取工程量，导出工程量清单，与造价软件可互为衔接转换等；将</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模型等数据和资料进行整理，存档以及编号移交给甲方并保存至甲方</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平台。</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农用地地块需方案阶段的BIM运用，但不另计取费用。</w:t>
      </w:r>
    </w:p>
    <w:p w14:paraId="6C8099AF">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cs="宋体"/>
          <w:b w:val="0"/>
          <w:bCs/>
          <w:strike w:val="0"/>
          <w:color w:val="000000" w:themeColor="text1"/>
          <w:sz w:val="24"/>
          <w:szCs w:val="24"/>
          <w:highlight w:val="none"/>
          <w14:textFill>
            <w14:solidFill>
              <w14:schemeClr w14:val="tx1"/>
            </w14:solidFill>
          </w14:textFill>
        </w:rPr>
      </w:pPr>
      <w:r>
        <w:rPr>
          <w:rFonts w:hint="eastAsia" w:ascii="宋体" w:hAnsi="宋体" w:cs="宋体"/>
          <w:b w:val="0"/>
          <w:bCs/>
          <w:strike w:val="0"/>
          <w:color w:val="000000" w:themeColor="text1"/>
          <w:sz w:val="24"/>
          <w:szCs w:val="24"/>
          <w:highlight w:val="none"/>
          <w14:textFill>
            <w14:solidFill>
              <w14:schemeClr w14:val="tx1"/>
            </w14:solidFill>
          </w14:textFill>
        </w:rPr>
        <w:t>（</w:t>
      </w:r>
      <w:r>
        <w:rPr>
          <w:rFonts w:hint="eastAsia" w:ascii="宋体" w:hAnsi="宋体" w:cs="宋体"/>
          <w:b w:val="0"/>
          <w:bCs/>
          <w:strike w:val="0"/>
          <w:color w:val="000000" w:themeColor="text1"/>
          <w:sz w:val="24"/>
          <w:szCs w:val="24"/>
          <w:highlight w:val="none"/>
          <w:lang w:val="en-US" w:eastAsia="zh-CN"/>
          <w14:textFill>
            <w14:solidFill>
              <w14:schemeClr w14:val="tx1"/>
            </w14:solidFill>
          </w14:textFill>
        </w:rPr>
        <w:t>9</w:t>
      </w:r>
      <w:r>
        <w:rPr>
          <w:rFonts w:hint="eastAsia" w:ascii="宋体" w:hAnsi="宋体" w:cs="宋体"/>
          <w:b w:val="0"/>
          <w:bCs/>
          <w:strike w:val="0"/>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按照建设方案联审决策审批要求，需在建设方案中编制“古树名木及大树保护、历史文化风貌保护、防范大规模拆建、海绵城市”等四个专篇内容，进行方案比选及论证，确保建设方案科学、合理、合规。</w:t>
      </w:r>
      <w:r>
        <w:rPr>
          <w:rFonts w:ascii="宋体" w:hAnsi="宋体" w:cs="宋体"/>
          <w:b w:val="0"/>
          <w:bCs/>
          <w:strike w:val="0"/>
          <w:color w:val="000000" w:themeColor="text1"/>
          <w:sz w:val="24"/>
          <w:szCs w:val="24"/>
          <w:highlight w:val="none"/>
          <w14:textFill>
            <w14:solidFill>
              <w14:schemeClr w14:val="tx1"/>
            </w14:solidFill>
          </w14:textFill>
        </w:rPr>
        <w:t>并</w:t>
      </w:r>
      <w:r>
        <w:rPr>
          <w:rFonts w:hint="eastAsia" w:ascii="宋体" w:hAnsi="宋体" w:cs="宋体"/>
          <w:b w:val="0"/>
          <w:bCs/>
          <w:strike w:val="0"/>
          <w:color w:val="000000" w:themeColor="text1"/>
          <w:sz w:val="24"/>
          <w:szCs w:val="24"/>
          <w:highlight w:val="none"/>
          <w14:textFill>
            <w14:solidFill>
              <w14:schemeClr w14:val="tx1"/>
            </w14:solidFill>
          </w14:textFill>
        </w:rPr>
        <w:t>按照绿化行业主管部门审批要求，设计阶段配合树木保护服务单位编制《树木保护专章》（深度按照《广州市城市树木保护专章编制技术指引》）并完成相关报批工作。</w:t>
      </w:r>
    </w:p>
    <w:p w14:paraId="17FE875E">
      <w:pPr>
        <w:adjustRightInd w:val="0"/>
        <w:snapToGrid w:val="0"/>
        <w:spacing w:line="360" w:lineRule="auto"/>
        <w:ind w:right="11" w:firstLine="48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具体工作内容及要求详见本项目</w:t>
      </w:r>
      <w:r>
        <w:rPr>
          <w:rFonts w:ascii="宋体" w:hAnsi="宋体" w:cs="宋体"/>
          <w:color w:val="000000" w:themeColor="text1"/>
          <w:sz w:val="24"/>
          <w:szCs w:val="24"/>
          <w:highlight w:val="none"/>
          <w14:textFill>
            <w14:solidFill>
              <w14:schemeClr w14:val="tx1"/>
            </w14:solidFill>
          </w14:textFill>
        </w:rPr>
        <w:t>基础资料和勘察设计任务书</w:t>
      </w:r>
      <w:r>
        <w:rPr>
          <w:rFonts w:hint="eastAsia" w:ascii="宋体" w:hAnsi="宋体" w:cs="宋体"/>
          <w:color w:val="000000" w:themeColor="text1"/>
          <w:sz w:val="24"/>
          <w:szCs w:val="24"/>
          <w:highlight w:val="none"/>
          <w14:textFill>
            <w14:solidFill>
              <w14:schemeClr w14:val="tx1"/>
            </w14:solidFill>
          </w14:textFill>
        </w:rPr>
        <w:t>及本合同条款的有关约定</w:t>
      </w:r>
      <w:r>
        <w:rPr>
          <w:rFonts w:hint="eastAsia" w:ascii="宋体" w:hAnsi="宋体" w:cs="宋体"/>
          <w:color w:val="000000" w:themeColor="text1"/>
          <w:kern w:val="0"/>
          <w:sz w:val="24"/>
          <w:szCs w:val="24"/>
          <w:highlight w:val="none"/>
          <w14:textFill>
            <w14:solidFill>
              <w14:schemeClr w14:val="tx1"/>
            </w14:solidFill>
          </w14:textFill>
        </w:rPr>
        <w:t>。</w:t>
      </w:r>
    </w:p>
    <w:p w14:paraId="0B798CA0">
      <w:pPr>
        <w:adjustRightInd w:val="0"/>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w:t>
      </w:r>
      <w:r>
        <w:rPr>
          <w:rFonts w:hint="eastAsia" w:ascii="宋体" w:hAnsi="宋体" w:cs="宋体"/>
          <w:color w:val="000000" w:themeColor="text1"/>
          <w:kern w:val="0"/>
          <w:sz w:val="24"/>
          <w:szCs w:val="24"/>
          <w:highlight w:val="none"/>
          <w14:textFill>
            <w14:solidFill>
              <w14:schemeClr w14:val="tx1"/>
            </w14:solidFill>
          </w14:textFill>
        </w:rPr>
        <w:t>承包方式</w:t>
      </w:r>
    </w:p>
    <w:p w14:paraId="6DC3B3A0">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由乙方按照本合同协议书第2.1款约定的范围和内容实行勘察设计总承包的方式，并对勘察设计的进度、质量、安全、工程投资控制、勘察设计总承包管理及设计协调服务（包括设计协调服务、驻场服务等）等全面负责。合同价款计取及支付按本合同协议书第3条、合同条款第九章第15条、16条及第十章第22条的相关约定执行。</w:t>
      </w:r>
    </w:p>
    <w:p w14:paraId="663B8829">
      <w:pPr>
        <w:adjustRightInd w:val="0"/>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2.3</w:t>
      </w:r>
      <w:r>
        <w:rPr>
          <w:rFonts w:hint="eastAsia" w:ascii="宋体" w:hAnsi="宋体" w:cs="宋体"/>
          <w:color w:val="000000" w:themeColor="text1"/>
          <w:kern w:val="0"/>
          <w:sz w:val="24"/>
          <w:szCs w:val="24"/>
          <w:highlight w:val="none"/>
          <w14:textFill>
            <w14:solidFill>
              <w14:schemeClr w14:val="tx1"/>
            </w14:solidFill>
          </w14:textFill>
        </w:rPr>
        <w:t>勘察设计开始实施时间：合同生效之日。</w:t>
      </w:r>
    </w:p>
    <w:p w14:paraId="6B6A663B">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乙方向甲方提交设计成果的时间按本合同条款第三章第9条的约定执行。</w:t>
      </w:r>
    </w:p>
    <w:p w14:paraId="10EAB0F8">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乙方向甲方提交勘察成果的时间按本合同条款第十章第20条的约定执行。</w:t>
      </w:r>
    </w:p>
    <w:p w14:paraId="6EC134E6">
      <w:pPr>
        <w:adjustRightInd w:val="0"/>
        <w:snapToGrid w:val="0"/>
        <w:spacing w:line="360" w:lineRule="auto"/>
        <w:ind w:right="11" w:firstLine="482" w:firstLineChars="200"/>
        <w:rPr>
          <w:rFonts w:ascii="宋体" w:hAnsi="宋体" w:cs="宋体"/>
          <w:strike/>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2.4</w:t>
      </w:r>
      <w:r>
        <w:rPr>
          <w:rFonts w:hint="eastAsia" w:ascii="宋体" w:hAnsi="宋体" w:cs="宋体"/>
          <w:color w:val="000000" w:themeColor="text1"/>
          <w:kern w:val="0"/>
          <w:sz w:val="24"/>
          <w:szCs w:val="24"/>
          <w:highlight w:val="none"/>
          <w14:textFill>
            <w14:solidFill>
              <w14:schemeClr w14:val="tx1"/>
            </w14:solidFill>
          </w14:textFill>
        </w:rPr>
        <w:t>甲方根据工程实施情况，有权对乙方的承包范围及内容进行适当调整，经甲方以书面形式提前通知乙方后，乙方必须无条件服从。</w:t>
      </w:r>
    </w:p>
    <w:p w14:paraId="366329FF">
      <w:pPr>
        <w:adjustRightInd w:val="0"/>
        <w:snapToGrid w:val="0"/>
        <w:spacing w:line="360" w:lineRule="auto"/>
        <w:ind w:right="11" w:firstLine="482" w:firstLineChars="2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合同价款</w:t>
      </w:r>
    </w:p>
    <w:p w14:paraId="71FA50AC">
      <w:pPr>
        <w:adjustRightInd w:val="0"/>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3.1</w:t>
      </w:r>
      <w:r>
        <w:rPr>
          <w:rFonts w:hint="eastAsia" w:ascii="宋体" w:hAnsi="宋体" w:cs="宋体"/>
          <w:color w:val="000000" w:themeColor="text1"/>
          <w:kern w:val="0"/>
          <w:sz w:val="24"/>
          <w:szCs w:val="24"/>
          <w:highlight w:val="none"/>
          <w14:textFill>
            <w14:solidFill>
              <w14:schemeClr w14:val="tx1"/>
            </w14:solidFill>
          </w14:textFill>
        </w:rPr>
        <w:t>本合同以人民币为计价和结算货币，除非甲、乙双方另有约定。</w:t>
      </w:r>
    </w:p>
    <w:p w14:paraId="0D22ED87">
      <w:pPr>
        <w:adjustRightInd w:val="0"/>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3.2</w:t>
      </w:r>
      <w:r>
        <w:rPr>
          <w:rFonts w:hint="eastAsia" w:ascii="宋体" w:hAnsi="宋体" w:cs="宋体"/>
          <w:color w:val="000000" w:themeColor="text1"/>
          <w:kern w:val="0"/>
          <w:sz w:val="24"/>
          <w:szCs w:val="24"/>
          <w:highlight w:val="none"/>
          <w14:textFill>
            <w14:solidFill>
              <w14:schemeClr w14:val="tx1"/>
            </w14:solidFill>
          </w14:textFill>
        </w:rPr>
        <w:t>按本合同条款第九章第15条约定的设计收费计取方式及第十章第22条约定的勘察费计取方式计算的工程勘察设计费总额暂定为</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元（大写：</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元整</w:t>
      </w:r>
      <w:r>
        <w:rPr>
          <w:rFonts w:hint="eastAsia" w:ascii="宋体" w:hAnsi="宋体" w:cs="宋体"/>
          <w:color w:val="000000" w:themeColor="text1"/>
          <w:kern w:val="0"/>
          <w:sz w:val="24"/>
          <w:szCs w:val="24"/>
          <w:highlight w:val="none"/>
          <w14:textFill>
            <w14:solidFill>
              <w14:schemeClr w14:val="tx1"/>
            </w14:solidFill>
          </w14:textFill>
        </w:rPr>
        <w:t>）。</w:t>
      </w:r>
    </w:p>
    <w:p w14:paraId="031F1CED">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其中：</w:t>
      </w:r>
    </w:p>
    <w:p w14:paraId="48C09C41">
      <w:pPr>
        <w:adjustRightInd w:val="0"/>
        <w:snapToGrid w:val="0"/>
        <w:spacing w:line="360" w:lineRule="auto"/>
        <w:ind w:right="11" w:firstLine="480" w:firstLineChars="200"/>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（1）工程勘察费</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14:paraId="392E1A5F">
      <w:pPr>
        <w:adjustRightInd w:val="0"/>
        <w:snapToGrid w:val="0"/>
        <w:spacing w:line="360" w:lineRule="auto"/>
        <w:ind w:right="11" w:firstLine="480" w:firstLineChars="200"/>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（2）工程设计费</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14:paraId="1BFFB82B">
      <w:pPr>
        <w:adjustRightInd w:val="0"/>
        <w:snapToGrid w:val="0"/>
        <w:spacing w:line="360" w:lineRule="auto"/>
        <w:ind w:right="11" w:firstLine="480" w:firstLineChars="200"/>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r>
        <w:rPr>
          <w:rFonts w:hint="default" w:ascii="宋体" w:hAnsi="宋体" w:cs="宋体"/>
          <w:color w:val="000000" w:themeColor="text1"/>
          <w:kern w:val="0"/>
          <w:sz w:val="24"/>
          <w:szCs w:val="24"/>
          <w:highlight w:val="none"/>
          <w14:textFill>
            <w14:solidFill>
              <w14:schemeClr w14:val="tx1"/>
            </w14:solidFill>
          </w14:textFill>
        </w:rPr>
        <w:t>技术设计费</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14:paraId="50EEB0CA">
      <w:pPr>
        <w:pStyle w:val="13"/>
        <w:keepNext w:val="0"/>
        <w:keepLines w:val="0"/>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rPr>
          <w:rFonts w:hint="default" w:ascii="Times New Roman" w:hAnsi="Times New Roman"/>
          <w:color w:val="000000" w:themeColor="text1"/>
          <w:sz w:val="20"/>
          <w:szCs w:val="20"/>
          <w:highlight w:val="none"/>
          <w14:textFill>
            <w14:solidFill>
              <w14:schemeClr w14:val="tx1"/>
            </w14:solidFill>
          </w14:textFill>
        </w:rPr>
      </w:pPr>
      <w:r>
        <w:rPr>
          <w:rFonts w:cs="宋体"/>
          <w:color w:val="000000" w:themeColor="text1"/>
          <w:highlight w:val="none"/>
          <w14:textFill>
            <w14:solidFill>
              <w14:schemeClr w14:val="tx1"/>
            </w14:solidFill>
          </w14:textFill>
        </w:rPr>
        <w:t>2）造价预算编制（含配合施工招标工作）费</w:t>
      </w:r>
      <w:r>
        <w:rPr>
          <w:rFonts w:hint="default" w:cs="宋体"/>
          <w:color w:val="000000" w:themeColor="text1"/>
          <w:highlight w:val="none"/>
          <w:u w:val="single"/>
          <w14:textFill>
            <w14:solidFill>
              <w14:schemeClr w14:val="tx1"/>
            </w14:solidFill>
          </w14:textFill>
        </w:rPr>
        <w:t xml:space="preserve">      </w:t>
      </w:r>
      <w:r>
        <w:rPr>
          <w:rFonts w:cs="宋体"/>
          <w:color w:val="000000" w:themeColor="text1"/>
          <w:highlight w:val="none"/>
          <w14:textFill>
            <w14:solidFill>
              <w14:schemeClr w14:val="tx1"/>
            </w14:solidFill>
          </w14:textFill>
        </w:rPr>
        <w:t>元；</w:t>
      </w:r>
    </w:p>
    <w:p w14:paraId="10F6D333">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3）其它设计收费：</w:t>
      </w:r>
    </w:p>
    <w:p w14:paraId="6D0D5BF2">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①设计协调费：包含在工程设计费中，不再另行计取；</w:t>
      </w:r>
    </w:p>
    <w:p w14:paraId="679DA188">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②驻场设计费：包含在工程设计费中，不再另行计取；</w:t>
      </w:r>
    </w:p>
    <w:p w14:paraId="7D489FF4">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③其他费用：包括施工阶段的设计变更造价变化分析、设计文件修改完善等费用，已包含在工程设计费用中，不再另行计取。 </w:t>
      </w:r>
    </w:p>
    <w:p w14:paraId="18E8D987">
      <w:pPr>
        <w:adjustRightInd w:val="0"/>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）设计方案报审</w:t>
      </w:r>
      <w:r>
        <w:rPr>
          <w:rFonts w:hint="eastAsia" w:ascii="宋体" w:hAnsi="宋体" w:eastAsia="宋体" w:cs="Times New Roman"/>
          <w:color w:val="000000" w:themeColor="text1"/>
          <w:sz w:val="24"/>
          <w:szCs w:val="24"/>
          <w:highlight w:val="none"/>
          <w:u w:val="none"/>
          <w14:textFill>
            <w14:solidFill>
              <w14:schemeClr w14:val="tx1"/>
            </w14:solidFill>
          </w14:textFill>
        </w:rPr>
        <w:t>（含修建性详细规划编制）</w:t>
      </w:r>
      <w:r>
        <w:rPr>
          <w:rFonts w:hint="eastAsia" w:ascii="宋体" w:hAnsi="宋体" w:cs="宋体"/>
          <w:color w:val="000000" w:themeColor="text1"/>
          <w:kern w:val="0"/>
          <w:sz w:val="24"/>
          <w:szCs w:val="24"/>
          <w:highlight w:val="none"/>
          <w14:textFill>
            <w14:solidFill>
              <w14:schemeClr w14:val="tx1"/>
            </w14:solidFill>
          </w14:textFill>
        </w:rPr>
        <w:t>费：</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14:paraId="78F2D61D">
      <w:pPr>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）BIM正向设计技术应用费：</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14:paraId="417797BD">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（5）技术考察组织费：包含在投标总报价中，不再另行计取。</w:t>
      </w:r>
    </w:p>
    <w:p w14:paraId="6A717AD7">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注：本项目为配合完成合同范围内工作（包括工程勘察、工程设计等）</w:t>
      </w:r>
      <w:r>
        <w:rPr>
          <w:rFonts w:ascii="宋体" w:hAnsi="宋体" w:cs="宋体"/>
          <w:color w:val="000000" w:themeColor="text1"/>
          <w:kern w:val="0"/>
          <w:sz w:val="24"/>
          <w:szCs w:val="24"/>
          <w:highlight w:val="none"/>
          <w14:textFill>
            <w14:solidFill>
              <w14:schemeClr w14:val="tx1"/>
            </w14:solidFill>
          </w14:textFill>
        </w:rPr>
        <w:t>，按国家、省、市的勘察、设计规范所需进行的辅助测量等工作，相应的辅助性工作费用</w:t>
      </w:r>
      <w:r>
        <w:rPr>
          <w:rFonts w:hint="eastAsia" w:ascii="宋体" w:hAnsi="宋体" w:cs="宋体"/>
          <w:color w:val="000000" w:themeColor="text1"/>
          <w:kern w:val="0"/>
          <w:sz w:val="24"/>
          <w:szCs w:val="24"/>
          <w:highlight w:val="none"/>
          <w14:textFill>
            <w14:solidFill>
              <w14:schemeClr w14:val="tx1"/>
            </w14:solidFill>
          </w14:textFill>
        </w:rPr>
        <w:t>，已包含在勘察设计费中，不单独计费。如发生辅助测量之外的工程测量等工作，该部分勘察费参照国家发展计划委员会、住建部2002年颁布的《工程勘察设计收费标准》计算，工程测量费浮动幅度为-20%。</w:t>
      </w:r>
    </w:p>
    <w:p w14:paraId="555603CA">
      <w:pPr>
        <w:adjustRightInd w:val="0"/>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3.3</w:t>
      </w:r>
      <w:r>
        <w:rPr>
          <w:rFonts w:hint="eastAsia" w:ascii="宋体" w:hAnsi="宋体" w:cs="宋体"/>
          <w:color w:val="000000" w:themeColor="text1"/>
          <w:kern w:val="0"/>
          <w:sz w:val="24"/>
          <w:szCs w:val="24"/>
          <w:highlight w:val="none"/>
          <w14:textFill>
            <w14:solidFill>
              <w14:schemeClr w14:val="tx1"/>
            </w14:solidFill>
          </w14:textFill>
        </w:rPr>
        <w:t>合同价款的支付</w:t>
      </w:r>
    </w:p>
    <w:p w14:paraId="5C1C9EB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甲方受项目业主单位（或项目使用单位）委托，实施本项目建设管理，</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建设资金由项目业主单位（或其他权责单位）负责落实。本合同款项具体支付方式按照甲方与项目业主单位（或其他权责单位）签订的《建设资金支付协议》或甲方、乙方与项目业主单位（或其他权责单位）另行签订三方协议执行，具体支付时间以财政部门或资金主管部门实际支付时间为准。乙方承诺不因财政或上级主管部门等原因导致的支付延迟而向甲方及项目业主单位（或其他权责单位）索赔费用或主张相关违约责任，并且此情况不能成为乙方中止或拒绝履行合同约定义务的理由。</w:t>
      </w:r>
    </w:p>
    <w:p w14:paraId="2E81AD9D">
      <w:pPr>
        <w:adjustRightInd w:val="0"/>
        <w:snapToGrid w:val="0"/>
        <w:spacing w:line="360" w:lineRule="auto"/>
        <w:ind w:right="11" w:firstLine="482" w:firstLineChars="2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组成合同的文件</w:t>
      </w:r>
    </w:p>
    <w:p w14:paraId="4457AF51">
      <w:pPr>
        <w:adjustRightInd w:val="0"/>
        <w:snapToGrid w:val="0"/>
        <w:spacing w:line="360" w:lineRule="auto"/>
        <w:ind w:right="11"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4.1</w:t>
      </w:r>
      <w:r>
        <w:rPr>
          <w:rFonts w:hint="eastAsia" w:ascii="宋体" w:hAnsi="宋体" w:cs="宋体"/>
          <w:color w:val="000000" w:themeColor="text1"/>
          <w:kern w:val="0"/>
          <w:sz w:val="24"/>
          <w:szCs w:val="24"/>
          <w:highlight w:val="none"/>
          <w14:textFill>
            <w14:solidFill>
              <w14:schemeClr w14:val="tx1"/>
            </w14:solidFill>
          </w14:textFill>
        </w:rPr>
        <w:t>下列文件应被认为是组成本合同的一部分，并互为补充和解释，如各文件存在冲突之处，以如下排列次序在前者优先适用：</w:t>
      </w:r>
    </w:p>
    <w:p w14:paraId="1BC1A5DF">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（1）国家和广东省、广州市关于本项目的有关文件；</w:t>
      </w:r>
    </w:p>
    <w:p w14:paraId="65D7C2E2">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（2）本合同履行期间甲方与乙方双方签订的补充合同（协议）或修正文件；</w:t>
      </w:r>
    </w:p>
    <w:p w14:paraId="73B4B9A3">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（3）本合同协议书；</w:t>
      </w:r>
    </w:p>
    <w:p w14:paraId="14E4AD8C">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（4）中标通知书；</w:t>
      </w:r>
    </w:p>
    <w:p w14:paraId="39425793">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（5）本合同条款；</w:t>
      </w:r>
    </w:p>
    <w:p w14:paraId="4C8E7A4B">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（6）甲方针对项目管理的各项制度、规定</w:t>
      </w:r>
      <w:r>
        <w:rPr>
          <w:rFonts w:hint="eastAsia" w:ascii="宋体" w:hAnsi="宋体" w:cs="宋体"/>
          <w:bCs/>
          <w:color w:val="000000" w:themeColor="text1"/>
          <w:kern w:val="0"/>
          <w:sz w:val="24"/>
          <w:szCs w:val="24"/>
          <w:highlight w:val="none"/>
          <w14:textFill>
            <w14:solidFill>
              <w14:schemeClr w14:val="tx1"/>
            </w14:solidFill>
          </w14:textFill>
        </w:rPr>
        <w:t>，包括继续沿用甲方更名前的各项管理制度及规定（如有更新则按更新后的执行，下同）</w:t>
      </w:r>
      <w:r>
        <w:rPr>
          <w:rFonts w:hint="eastAsia" w:ascii="宋体" w:hAnsi="宋体" w:cs="宋体"/>
          <w:color w:val="000000" w:themeColor="text1"/>
          <w:kern w:val="0"/>
          <w:sz w:val="24"/>
          <w:szCs w:val="24"/>
          <w:highlight w:val="none"/>
          <w14:textFill>
            <w14:solidFill>
              <w14:schemeClr w14:val="tx1"/>
            </w14:solidFill>
          </w14:textFill>
        </w:rPr>
        <w:t>；</w:t>
      </w:r>
    </w:p>
    <w:p w14:paraId="6A4A3A44">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（7）本合同附件[属本条第（1）项和第（6）项内容的除外]；</w:t>
      </w:r>
    </w:p>
    <w:p w14:paraId="2C16090E">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（8）招标文件[含招标文件补充文件、招标澄清文件、答疑文件等，属本条第（7）项内容的除外]；</w:t>
      </w:r>
    </w:p>
    <w:p w14:paraId="2401D7FC">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（9）乙方投标文件及其附件[含投标文件澄清等，属本条第（7）项内容的除外]；</w:t>
      </w:r>
    </w:p>
    <w:p w14:paraId="66BF2DB6">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（10）国家及广东省、广州市的标准、规范及有关技术文件；</w:t>
      </w:r>
    </w:p>
    <w:p w14:paraId="726D06F6">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（11）组成本合同的其他文件。</w:t>
      </w:r>
    </w:p>
    <w:p w14:paraId="1EF21F8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条款第32条的约定处理，但在有关单位作出正式裁判之前，乙方必须无条件先行执行甲方的决定。</w:t>
      </w:r>
    </w:p>
    <w:p w14:paraId="56593711">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6A1B95BA">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、乙方应在收到中标通知书之日起5日内以书面形式向甲方提交其法定代表人、项目负责人的姓名、身份证复印件、职务、职称、联系方式（包括办公电话、手机、传真号码）、通信地址等信息作为合同附件。</w:t>
      </w:r>
    </w:p>
    <w:p w14:paraId="4CBAB8DD">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14:paraId="029B08A8">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、在本合同有效期内，乙方更换项目负责人的，除按合同条款的有关约定承担违约责任外，还应在更换后7日内将新项目负责人的姓名、职务、职称、联系电话、通信地址等信息提交给甲方。</w:t>
      </w:r>
    </w:p>
    <w:p w14:paraId="4A3F4EC5">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w:t>
      </w:r>
      <w:r>
        <w:rPr>
          <w:rFonts w:hint="eastAsia" w:ascii="宋体" w:hAnsi="宋体" w:cs="宋体"/>
          <w:color w:val="000000" w:themeColor="text1"/>
          <w:kern w:val="0"/>
          <w:sz w:val="24"/>
          <w:szCs w:val="24"/>
          <w:highlight w:val="none"/>
          <w14:textFill>
            <w14:solidFill>
              <w14:schemeClr w14:val="tx1"/>
            </w14:solidFill>
          </w14:textFill>
        </w:rPr>
        <w:t>甲方已建立工程信息管理系统，乙方应投入足够的人员并配备足够的设备与该系统联接，确保及时准确地按甲方要求进行信息沟通及管理。</w:t>
      </w:r>
    </w:p>
    <w:p w14:paraId="05B144A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就本合同在甲方工程项目信息管理系统开通账号，账号操作人在该系统上的所有操作行为均视为乙方行为、已获得乙方授权及认可；通过该账号提交的信息、文件与资料，无论是否加盖乙方公章，均视为已获得乙方认可并属乙方向甲方提交的正式文件与资料。与该账号操作相关的行为与内容，其法律效果和法律责任一律由乙方承受及承担。前述信息、文件与资料如有需要形成纸质文件并加盖公章的，乙方必须按甲方要求提供。</w:t>
      </w:r>
    </w:p>
    <w:p w14:paraId="494CB30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w:t>
      </w:r>
      <w:r>
        <w:rPr>
          <w:rFonts w:hint="eastAsia" w:ascii="宋体" w:hAnsi="宋体" w:cs="宋体"/>
          <w:color w:val="000000" w:themeColor="text1"/>
          <w:kern w:val="0"/>
          <w:sz w:val="24"/>
          <w:szCs w:val="24"/>
          <w:highlight w:val="none"/>
          <w14:textFill>
            <w14:solidFill>
              <w14:schemeClr w14:val="tx1"/>
            </w14:solidFill>
          </w14:textFill>
        </w:rPr>
        <w:t>本合同协议书中有关词语定义与合同条款中分别赋予它们的定义相同。</w:t>
      </w:r>
    </w:p>
    <w:p w14:paraId="480A548D">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乙方向甲方承诺按照本合同约定履行义务。</w:t>
      </w:r>
    </w:p>
    <w:p w14:paraId="4FC94DFE">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w:t>
      </w:r>
      <w:r>
        <w:rPr>
          <w:rFonts w:hint="eastAsia" w:ascii="宋体" w:hAnsi="宋体" w:cs="宋体"/>
          <w:color w:val="000000" w:themeColor="text1"/>
          <w:kern w:val="0"/>
          <w:sz w:val="24"/>
          <w:szCs w:val="24"/>
          <w:highlight w:val="none"/>
          <w14:textFill>
            <w14:solidFill>
              <w14:schemeClr w14:val="tx1"/>
            </w14:solidFill>
          </w14:textFill>
        </w:rPr>
        <w:t>甲方向乙方承诺按照本合同约定履行义务。</w:t>
      </w:r>
    </w:p>
    <w:p w14:paraId="11A965F6">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w:t>
      </w:r>
      <w:r>
        <w:rPr>
          <w:rFonts w:hint="eastAsia" w:ascii="宋体" w:hAnsi="宋体" w:cs="宋体"/>
          <w:color w:val="000000" w:themeColor="text1"/>
          <w:kern w:val="0"/>
          <w:sz w:val="24"/>
          <w:szCs w:val="24"/>
          <w:highlight w:val="none"/>
          <w14:textFill>
            <w14:solidFill>
              <w14:schemeClr w14:val="tx1"/>
            </w14:solidFill>
          </w14:textFill>
        </w:rPr>
        <w:t>本合同自甲乙双方签字盖章（公章或合同专用章）之日起生效。</w:t>
      </w:r>
      <w:r>
        <w:rPr>
          <w:rFonts w:hint="eastAsia" w:ascii="宋体" w:hAnsi="宋体" w:cs="宋体"/>
          <w:bCs/>
          <w:color w:val="000000" w:themeColor="text1"/>
          <w:kern w:val="0"/>
          <w:sz w:val="24"/>
          <w:szCs w:val="24"/>
          <w:highlight w:val="none"/>
          <w14:textFill>
            <w14:solidFill>
              <w14:schemeClr w14:val="tx1"/>
            </w14:solidFill>
          </w14:textFill>
        </w:rPr>
        <w:t>委托代理人签字的需经另一方同意。</w:t>
      </w:r>
      <w:r>
        <w:rPr>
          <w:rFonts w:hint="eastAsia" w:ascii="宋体" w:hAnsi="宋体" w:cs="宋体"/>
          <w:color w:val="000000" w:themeColor="text1"/>
          <w:kern w:val="0"/>
          <w:sz w:val="24"/>
          <w:szCs w:val="24"/>
          <w:highlight w:val="none"/>
          <w14:textFill>
            <w14:solidFill>
              <w14:schemeClr w14:val="tx1"/>
            </w14:solidFill>
          </w14:textFill>
        </w:rPr>
        <w:t>双方履行完成合同约定义务及责任后，本合同自行终止。</w:t>
      </w:r>
    </w:p>
    <w:p w14:paraId="4318A076">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w:t>
      </w:r>
      <w:r>
        <w:rPr>
          <w:rFonts w:hint="eastAsia" w:ascii="宋体" w:hAnsi="宋体" w:cs="宋体"/>
          <w:color w:val="000000" w:themeColor="text1"/>
          <w:kern w:val="0"/>
          <w:sz w:val="24"/>
          <w:szCs w:val="24"/>
          <w:highlight w:val="none"/>
          <w14:textFill>
            <w14:solidFill>
              <w14:schemeClr w14:val="tx1"/>
            </w14:solidFill>
          </w14:textFill>
        </w:rPr>
        <w:t>本合同正本一式两份，甲乙双方各执一份；副本</w:t>
      </w:r>
      <w:r>
        <w:rPr>
          <w:rFonts w:hint="eastAsia" w:ascii="宋体" w:hAnsi="宋体" w:eastAsia="宋体" w:cs="宋体"/>
          <w:color w:val="000000" w:themeColor="text1"/>
          <w:kern w:val="0"/>
          <w:sz w:val="24"/>
          <w:szCs w:val="24"/>
          <w:highlight w:val="none"/>
          <w14:textFill>
            <w14:solidFill>
              <w14:schemeClr w14:val="tx1"/>
            </w14:solidFill>
          </w14:textFill>
        </w:rPr>
        <w:t>七</w:t>
      </w:r>
      <w:r>
        <w:rPr>
          <w:rFonts w:hint="eastAsia" w:ascii="宋体" w:hAnsi="宋体" w:cs="宋体"/>
          <w:color w:val="000000" w:themeColor="text1"/>
          <w:kern w:val="0"/>
          <w:sz w:val="24"/>
          <w:szCs w:val="24"/>
          <w:highlight w:val="none"/>
          <w14:textFill>
            <w14:solidFill>
              <w14:schemeClr w14:val="tx1"/>
            </w14:solidFill>
          </w14:textFill>
        </w:rPr>
        <w:t>份，甲方执</w:t>
      </w:r>
      <w:r>
        <w:rPr>
          <w:rFonts w:hint="default" w:ascii="宋体" w:hAnsi="宋体" w:cs="宋体"/>
          <w:color w:val="000000" w:themeColor="text1"/>
          <w:kern w:val="0"/>
          <w:sz w:val="24"/>
          <w:szCs w:val="24"/>
          <w:highlight w:val="none"/>
          <w14:textFill>
            <w14:solidFill>
              <w14:schemeClr w14:val="tx1"/>
            </w14:solidFill>
          </w14:textFill>
        </w:rPr>
        <w:t>五</w:t>
      </w:r>
      <w:r>
        <w:rPr>
          <w:rFonts w:hint="eastAsia" w:ascii="宋体" w:hAnsi="宋体" w:cs="宋体"/>
          <w:color w:val="000000" w:themeColor="text1"/>
          <w:kern w:val="0"/>
          <w:sz w:val="24"/>
          <w:szCs w:val="24"/>
          <w:highlight w:val="none"/>
          <w14:textFill>
            <w14:solidFill>
              <w14:schemeClr w14:val="tx1"/>
            </w14:solidFill>
          </w14:textFill>
        </w:rPr>
        <w:t>份，乙方执两份。合同正、副本具有同等效力，但当合同正本与副本的表述不一致时，以合同正本为准。</w:t>
      </w:r>
    </w:p>
    <w:p w14:paraId="3A6AB343">
      <w:pPr>
        <w:adjustRightInd w:val="0"/>
        <w:snapToGrid w:val="0"/>
        <w:spacing w:line="360" w:lineRule="auto"/>
        <w:ind w:right="11"/>
        <w:rPr>
          <w:rFonts w:ascii="宋体" w:hAnsi="宋体" w:cs="宋体"/>
          <w:dstrike/>
          <w:color w:val="000000" w:themeColor="text1"/>
          <w:kern w:val="0"/>
          <w:sz w:val="24"/>
          <w:szCs w:val="24"/>
          <w:highlight w:val="none"/>
          <w14:textFill>
            <w14:solidFill>
              <w14:schemeClr w14:val="tx1"/>
            </w14:solidFill>
          </w14:textFill>
        </w:rPr>
      </w:pPr>
    </w:p>
    <w:p w14:paraId="2188F2DC">
      <w:pPr>
        <w:adjustRightInd w:val="0"/>
        <w:snapToGrid w:val="0"/>
        <w:spacing w:line="360" w:lineRule="auto"/>
        <w:ind w:right="11"/>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s="宋体"/>
          <w:color w:val="000000" w:themeColor="text1"/>
          <w:kern w:val="0"/>
          <w:sz w:val="24"/>
          <w:szCs w:val="24"/>
          <w:highlight w:val="none"/>
          <w14:textFill>
            <w14:solidFill>
              <w14:schemeClr w14:val="tx1"/>
            </w14:solidFill>
          </w14:textFill>
        </w:rPr>
        <w:t>（本页无正文，为签署页）</w:t>
      </w:r>
    </w:p>
    <w:p w14:paraId="7DE9C90B">
      <w:pPr>
        <w:pStyle w:val="13"/>
        <w:widowControl w:val="0"/>
        <w:spacing w:beforeAutospacing="0" w:afterAutospacing="0"/>
        <w:ind w:firstLine="480" w:firstLineChars="200"/>
        <w:jc w:val="both"/>
        <w:rPr>
          <w:rFonts w:hint="default"/>
          <w:color w:val="000000" w:themeColor="text1"/>
          <w:highlight w:val="none"/>
          <w14:textFill>
            <w14:solidFill>
              <w14:schemeClr w14:val="tx1"/>
            </w14:solidFill>
          </w14:textFill>
        </w:rPr>
      </w:pPr>
    </w:p>
    <w:p w14:paraId="7E08343A">
      <w:pPr>
        <w:pStyle w:val="13"/>
        <w:widowControl w:val="0"/>
        <w:spacing w:beforeAutospacing="0" w:afterAutospacing="0"/>
        <w:ind w:firstLine="480" w:firstLineChars="200"/>
        <w:jc w:val="both"/>
        <w:rPr>
          <w:rFonts w:hint="default"/>
          <w:color w:val="000000" w:themeColor="text1"/>
          <w:highlight w:val="none"/>
          <w14:textFill>
            <w14:solidFill>
              <w14:schemeClr w14:val="tx1"/>
            </w14:solidFill>
          </w14:textFill>
        </w:rPr>
      </w:pPr>
    </w:p>
    <w:p w14:paraId="4A116CBC">
      <w:pPr>
        <w:adjustRightInd w:val="0"/>
        <w:snapToGrid w:val="0"/>
        <w:spacing w:line="400" w:lineRule="exact"/>
        <w:ind w:left="6000" w:right="11" w:hanging="6000" w:hangingChars="25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甲方：</w:t>
      </w:r>
      <w:r>
        <w:rPr>
          <w:rFonts w:hint="eastAsia" w:ascii="宋体" w:hAnsi="宋体" w:cs="宋体"/>
          <w:b/>
          <w:color w:val="000000" w:themeColor="text1"/>
          <w:spacing w:val="-20"/>
          <w:kern w:val="0"/>
          <w:sz w:val="24"/>
          <w:szCs w:val="24"/>
          <w:highlight w:val="none"/>
          <w14:textFill>
            <w14:solidFill>
              <w14:schemeClr w14:val="tx1"/>
            </w14:solidFill>
          </w14:textFill>
        </w:rPr>
        <w:t>广州市重点公共建设项目管理中心</w:t>
      </w:r>
      <w:r>
        <w:rPr>
          <w:rFonts w:hint="eastAsia" w:ascii="宋体" w:hAnsi="宋体" w:cs="宋体"/>
          <w:color w:val="000000" w:themeColor="text1"/>
          <w:kern w:val="0"/>
          <w:sz w:val="24"/>
          <w:szCs w:val="24"/>
          <w:highlight w:val="none"/>
          <w14:textFill>
            <w14:solidFill>
              <w14:schemeClr w14:val="tx1"/>
            </w14:solidFill>
          </w14:textFill>
        </w:rPr>
        <w:t xml:space="preserve">    乙方：</w:t>
      </w:r>
    </w:p>
    <w:p w14:paraId="0CB98969">
      <w:pPr>
        <w:adjustRightInd w:val="0"/>
        <w:snapToGrid w:val="0"/>
        <w:spacing w:line="400" w:lineRule="exact"/>
        <w:ind w:left="5995" w:leftChars="855" w:right="11" w:hanging="4200" w:hangingChars="17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（盖章）                            （盖章）</w:t>
      </w:r>
    </w:p>
    <w:p w14:paraId="5E1251B6">
      <w:pPr>
        <w:adjustRightInd w:val="0"/>
        <w:snapToGrid w:val="0"/>
        <w:spacing w:line="400" w:lineRule="exact"/>
        <w:rPr>
          <w:rFonts w:ascii="宋体" w:hAnsi="宋体" w:cs="宋体"/>
          <w:color w:val="000000" w:themeColor="text1"/>
          <w:kern w:val="0"/>
          <w:sz w:val="24"/>
          <w:szCs w:val="24"/>
          <w:highlight w:val="none"/>
          <w14:textFill>
            <w14:solidFill>
              <w14:schemeClr w14:val="tx1"/>
            </w14:solidFill>
          </w14:textFill>
        </w:rPr>
      </w:pPr>
    </w:p>
    <w:p w14:paraId="4717CF06">
      <w:pPr>
        <w:adjustRightInd w:val="0"/>
        <w:snapToGrid w:val="0"/>
        <w:spacing w:line="400" w:lineRule="exac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                       法定代表人：</w:t>
      </w:r>
    </w:p>
    <w:p w14:paraId="13958F74">
      <w:pPr>
        <w:adjustRightInd w:val="0"/>
        <w:snapToGrid w:val="0"/>
        <w:spacing w:line="400" w:lineRule="exact"/>
        <w:rPr>
          <w:rFonts w:ascii="宋体" w:hAnsi="宋体" w:cs="宋体"/>
          <w:color w:val="000000" w:themeColor="text1"/>
          <w:kern w:val="0"/>
          <w:sz w:val="24"/>
          <w:szCs w:val="24"/>
          <w:highlight w:val="none"/>
          <w14:textFill>
            <w14:solidFill>
              <w14:schemeClr w14:val="tx1"/>
            </w14:solidFill>
          </w14:textFill>
        </w:rPr>
      </w:pPr>
    </w:p>
    <w:p w14:paraId="2BF7E994">
      <w:pPr>
        <w:adjustRightInd w:val="0"/>
        <w:snapToGrid w:val="0"/>
        <w:spacing w:line="400" w:lineRule="exact"/>
        <w:ind w:left="5760" w:hanging="5760" w:hangingChars="24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委托代理人：                       委托代理人：</w:t>
      </w:r>
    </w:p>
    <w:p w14:paraId="5A60A4E4">
      <w:pPr>
        <w:adjustRightInd w:val="0"/>
        <w:snapToGrid w:val="0"/>
        <w:spacing w:line="400" w:lineRule="exact"/>
        <w:ind w:left="5760" w:hanging="5760" w:hangingChars="2400"/>
        <w:rPr>
          <w:rFonts w:ascii="宋体" w:hAnsi="宋体" w:cs="宋体"/>
          <w:color w:val="000000" w:themeColor="text1"/>
          <w:kern w:val="0"/>
          <w:sz w:val="24"/>
          <w:szCs w:val="24"/>
          <w:highlight w:val="none"/>
          <w14:textFill>
            <w14:solidFill>
              <w14:schemeClr w14:val="tx1"/>
            </w14:solidFill>
          </w14:textFill>
        </w:rPr>
      </w:pPr>
    </w:p>
    <w:p w14:paraId="3F4111A6">
      <w:pPr>
        <w:adjustRightInd w:val="0"/>
        <w:snapToGrid w:val="0"/>
        <w:spacing w:line="400" w:lineRule="exact"/>
        <w:ind w:left="5760" w:hanging="5760" w:hangingChars="24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地址：</w:t>
      </w:r>
      <w:r>
        <w:rPr>
          <w:rFonts w:hint="eastAsia" w:ascii="宋体" w:hAnsi="宋体" w:cs="宋体"/>
          <w:color w:val="000000" w:themeColor="text1"/>
          <w:spacing w:val="-10"/>
          <w:kern w:val="0"/>
          <w:sz w:val="24"/>
          <w:szCs w:val="24"/>
          <w:highlight w:val="none"/>
          <w14:textFill>
            <w14:solidFill>
              <w14:schemeClr w14:val="tx1"/>
            </w14:solidFill>
          </w14:textFill>
        </w:rPr>
        <w:t>广州大学城内环东星运路1号</w:t>
      </w:r>
      <w:r>
        <w:rPr>
          <w:rFonts w:hint="eastAsia" w:ascii="宋体" w:hAnsi="宋体" w:cs="宋体"/>
          <w:color w:val="000000" w:themeColor="text1"/>
          <w:spacing w:val="-10"/>
          <w:kern w:val="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 xml:space="preserve">地址： </w:t>
      </w:r>
    </w:p>
    <w:p w14:paraId="7E96573E">
      <w:pPr>
        <w:adjustRightInd w:val="0"/>
        <w:snapToGrid w:val="0"/>
        <w:spacing w:line="400" w:lineRule="exac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邮政编码：510006                   邮政编码：</w:t>
      </w:r>
      <w:r>
        <w:rPr>
          <w:rFonts w:hint="eastAsia" w:ascii="宋体" w:hAnsi="宋体" w:cs="宋体"/>
          <w:color w:val="000000" w:themeColor="text1"/>
          <w:kern w:val="0"/>
          <w:sz w:val="24"/>
          <w:szCs w:val="24"/>
          <w:highlight w:val="none"/>
          <w14:textFill>
            <w14:solidFill>
              <w14:schemeClr w14:val="tx1"/>
            </w14:solidFill>
          </w14:textFill>
        </w:rPr>
        <w:br w:type="textWrapping"/>
      </w:r>
      <w:r>
        <w:rPr>
          <w:rFonts w:hint="eastAsia" w:ascii="宋体" w:hAnsi="宋体" w:cs="宋体"/>
          <w:color w:val="000000" w:themeColor="text1"/>
          <w:kern w:val="0"/>
          <w:sz w:val="24"/>
          <w:szCs w:val="24"/>
          <w:highlight w:val="none"/>
          <w14:textFill>
            <w14:solidFill>
              <w14:schemeClr w14:val="tx1"/>
            </w14:solidFill>
          </w14:textFill>
        </w:rPr>
        <w:t>电话：                             电话：</w:t>
      </w:r>
    </w:p>
    <w:p w14:paraId="079994E9">
      <w:pPr>
        <w:adjustRightInd w:val="0"/>
        <w:snapToGrid w:val="0"/>
        <w:spacing w:line="400" w:lineRule="exac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传真：                             传真： </w:t>
      </w:r>
      <w:r>
        <w:rPr>
          <w:rFonts w:hint="eastAsia" w:ascii="宋体" w:hAnsi="宋体" w:cs="宋体"/>
          <w:color w:val="000000" w:themeColor="text1"/>
          <w:kern w:val="0"/>
          <w:sz w:val="24"/>
          <w:szCs w:val="24"/>
          <w:highlight w:val="none"/>
          <w14:textFill>
            <w14:solidFill>
              <w14:schemeClr w14:val="tx1"/>
            </w14:solidFill>
          </w14:textFill>
        </w:rPr>
        <w:br w:type="textWrapping"/>
      </w:r>
      <w:r>
        <w:rPr>
          <w:rFonts w:hint="eastAsia" w:ascii="宋体" w:hAnsi="宋体" w:cs="宋体"/>
          <w:color w:val="000000" w:themeColor="text1"/>
          <w:kern w:val="0"/>
          <w:sz w:val="24"/>
          <w:szCs w:val="24"/>
          <w:highlight w:val="none"/>
          <w14:textFill>
            <w14:solidFill>
              <w14:schemeClr w14:val="tx1"/>
            </w14:solidFill>
          </w14:textFill>
        </w:rPr>
        <w:t xml:space="preserve">签约日期：    年  月  日           开户银行： </w:t>
      </w:r>
      <w:r>
        <w:rPr>
          <w:rFonts w:hint="eastAsia" w:ascii="宋体" w:hAnsi="宋体" w:cs="宋体"/>
          <w:color w:val="000000" w:themeColor="text1"/>
          <w:kern w:val="0"/>
          <w:sz w:val="24"/>
          <w:szCs w:val="24"/>
          <w:highlight w:val="none"/>
          <w14:textFill>
            <w14:solidFill>
              <w14:schemeClr w14:val="tx1"/>
            </w14:solidFill>
          </w14:textFill>
        </w:rPr>
        <w:br w:type="textWrapping"/>
      </w:r>
      <w:r>
        <w:rPr>
          <w:rFonts w:hint="eastAsia" w:ascii="宋体" w:hAnsi="宋体" w:cs="宋体"/>
          <w:color w:val="000000" w:themeColor="text1"/>
          <w:kern w:val="0"/>
          <w:sz w:val="24"/>
          <w:szCs w:val="24"/>
          <w:highlight w:val="none"/>
          <w14:textFill>
            <w14:solidFill>
              <w14:schemeClr w14:val="tx1"/>
            </w14:solidFill>
          </w14:textFill>
        </w:rPr>
        <w:t xml:space="preserve">                                   银行账号：</w:t>
      </w:r>
    </w:p>
    <w:p w14:paraId="5E9F23FE">
      <w:pPr>
        <w:adjustRightInd w:val="0"/>
        <w:snapToGrid w:val="0"/>
        <w:spacing w:line="400" w:lineRule="exact"/>
        <w:ind w:firstLine="3240" w:firstLineChars="13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签约日期：    年  月  日</w:t>
      </w:r>
    </w:p>
    <w:p w14:paraId="06F0A710">
      <w:pPr>
        <w:adjustRightInd w:val="0"/>
        <w:snapToGrid w:val="0"/>
        <w:spacing w:line="400" w:lineRule="exact"/>
        <w:ind w:left="5250" w:right="11" w:hanging="5250" w:hangingChars="2500"/>
        <w:rPr>
          <w:color w:val="000000" w:themeColor="text1"/>
          <w:szCs w:val="21"/>
          <w:highlight w:val="none"/>
          <w14:textFill>
            <w14:solidFill>
              <w14:schemeClr w14:val="tx1"/>
            </w14:solidFill>
          </w14:textFill>
        </w:rPr>
      </w:pPr>
    </w:p>
    <w:p w14:paraId="379AEA79">
      <w:pPr>
        <w:pStyle w:val="13"/>
        <w:widowControl w:val="0"/>
        <w:spacing w:beforeAutospacing="0" w:afterAutospacing="0" w:line="400" w:lineRule="exact"/>
        <w:ind w:firstLine="480" w:firstLineChars="200"/>
        <w:jc w:val="both"/>
        <w:rPr>
          <w:rFonts w:hint="default" w:cs="宋体"/>
          <w:color w:val="000000" w:themeColor="text1"/>
          <w:highlight w:val="none"/>
          <w14:textFill>
            <w14:solidFill>
              <w14:schemeClr w14:val="tx1"/>
            </w14:solidFill>
          </w14:textFill>
        </w:rPr>
      </w:pPr>
    </w:p>
    <w:p w14:paraId="0CB2032F">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签约地点：广东省广州市番禺区。</w:t>
      </w:r>
    </w:p>
    <w:p w14:paraId="033F6C7E">
      <w:pPr>
        <w:adjustRightInd w:val="0"/>
        <w:snapToGrid w:val="0"/>
        <w:spacing w:line="400" w:lineRule="exact"/>
        <w:rPr>
          <w:rFonts w:ascii="宋体" w:hAnsi="宋体" w:cs="宋体"/>
          <w:color w:val="000000" w:themeColor="text1"/>
          <w:kern w:val="0"/>
          <w:sz w:val="24"/>
          <w:szCs w:val="24"/>
          <w:highlight w:val="none"/>
          <w14:textFill>
            <w14:solidFill>
              <w14:schemeClr w14:val="tx1"/>
            </w14:solidFill>
          </w14:textFill>
        </w:rPr>
      </w:pPr>
    </w:p>
    <w:p w14:paraId="6A0689A7">
      <w:pPr>
        <w:pStyle w:val="13"/>
        <w:widowControl w:val="0"/>
        <w:spacing w:beforeAutospacing="0" w:afterAutospacing="0"/>
        <w:ind w:firstLine="480" w:firstLineChars="200"/>
        <w:jc w:val="both"/>
        <w:rPr>
          <w:rFonts w:hint="default"/>
          <w:color w:val="000000" w:themeColor="text1"/>
          <w:highlight w:val="none"/>
          <w14:textFill>
            <w14:solidFill>
              <w14:schemeClr w14:val="tx1"/>
            </w14:solidFill>
          </w14:textFill>
        </w:rPr>
      </w:pPr>
    </w:p>
    <w:p w14:paraId="389F2C50">
      <w:pPr>
        <w:adjustRightInd w:val="0"/>
        <w:snapToGrid w:val="0"/>
        <w:spacing w:line="360" w:lineRule="auto"/>
        <w:jc w:val="center"/>
        <w:rPr>
          <w:rFonts w:ascii="宋体" w:hAnsi="宋体" w:cs="宋体"/>
          <w:b/>
          <w:color w:val="000000" w:themeColor="text1"/>
          <w:kern w:val="0"/>
          <w:sz w:val="24"/>
          <w:szCs w:val="24"/>
          <w:highlight w:val="none"/>
          <w14:textFill>
            <w14:solidFill>
              <w14:schemeClr w14:val="tx1"/>
            </w14:solidFill>
          </w14:textFill>
        </w:rPr>
      </w:pPr>
    </w:p>
    <w:p w14:paraId="0009219B">
      <w:pPr>
        <w:topLinePunct/>
        <w:adjustRightInd w:val="0"/>
        <w:snapToGrid w:val="0"/>
        <w:spacing w:line="360" w:lineRule="auto"/>
        <w:rPr>
          <w:rFonts w:ascii="宋体" w:hAnsi="宋体" w:cs="宋体"/>
          <w:b/>
          <w:color w:val="000000" w:themeColor="text1"/>
          <w:spacing w:val="4"/>
          <w:kern w:val="0"/>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br w:type="page"/>
      </w:r>
      <w:r>
        <w:rPr>
          <w:rFonts w:hint="eastAsia" w:ascii="宋体" w:hAnsi="宋体" w:cs="宋体"/>
          <w:color w:val="000000" w:themeColor="text1"/>
          <w:spacing w:val="4"/>
          <w:kern w:val="0"/>
          <w:sz w:val="24"/>
          <w:szCs w:val="24"/>
          <w:highlight w:val="none"/>
          <w14:textFill>
            <w14:solidFill>
              <w14:schemeClr w14:val="tx1"/>
            </w14:solidFill>
          </w14:textFill>
        </w:rPr>
        <w:t>合同协议书附1：</w:t>
      </w:r>
      <w:r>
        <w:rPr>
          <w:rFonts w:hint="eastAsia" w:ascii="宋体" w:hAnsi="宋体" w:cs="宋体"/>
          <w:b/>
          <w:color w:val="000000" w:themeColor="text1"/>
          <w:spacing w:val="4"/>
          <w:kern w:val="0"/>
          <w:sz w:val="24"/>
          <w:szCs w:val="24"/>
          <w:highlight w:val="none"/>
          <w14:textFill>
            <w14:solidFill>
              <w14:schemeClr w14:val="tx1"/>
            </w14:solidFill>
          </w14:textFill>
        </w:rPr>
        <w:t>中标通知书</w:t>
      </w:r>
    </w:p>
    <w:p w14:paraId="7800F3DB">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32B2F10D">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68C796AB">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22ED0CDA">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0702AE8E">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35AD5A35">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091838D9">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176B2724">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37E88BE">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0477DDF1">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91E42A9">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5E9C2E91">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52E0706E">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04B3B06A">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4727D01">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096B1FC8">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5EDC7DEF">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1CE647A2">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68D3B7E0">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6CFA8931">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1BCD9373">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215FD7F">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0DE68D8E">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1FD5CD35">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7D4B2C82">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93BCB2B">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21BDD3F0">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11E1FA64">
      <w:pPr>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s="宋体"/>
          <w:color w:val="000000" w:themeColor="text1"/>
          <w:spacing w:val="4"/>
          <w:kern w:val="0"/>
          <w:sz w:val="24"/>
          <w:szCs w:val="24"/>
          <w:highlight w:val="none"/>
          <w14:textFill>
            <w14:solidFill>
              <w14:schemeClr w14:val="tx1"/>
            </w14:solidFill>
          </w14:textFill>
        </w:rPr>
        <w:t>合同协议书附2：</w:t>
      </w:r>
      <w:r>
        <w:rPr>
          <w:rFonts w:hint="eastAsia" w:ascii="宋体" w:hAnsi="宋体" w:cs="宋体"/>
          <w:b/>
          <w:color w:val="000000" w:themeColor="text1"/>
          <w:kern w:val="0"/>
          <w:sz w:val="24"/>
          <w:szCs w:val="24"/>
          <w:highlight w:val="none"/>
          <w14:textFill>
            <w14:solidFill>
              <w14:schemeClr w14:val="tx1"/>
            </w14:solidFill>
          </w14:textFill>
        </w:rPr>
        <w:t>招标澄清、答疑文件</w:t>
      </w:r>
    </w:p>
    <w:p w14:paraId="4C8343D1">
      <w:pPr>
        <w:adjustRightInd w:val="0"/>
        <w:snapToGrid w:val="0"/>
        <w:spacing w:line="360" w:lineRule="auto"/>
        <w:jc w:val="center"/>
        <w:outlineLvl w:val="1"/>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kern w:val="0"/>
          <w:sz w:val="44"/>
          <w:szCs w:val="44"/>
          <w:highlight w:val="none"/>
          <w14:textFill>
            <w14:solidFill>
              <w14:schemeClr w14:val="tx1"/>
            </w14:solidFill>
          </w14:textFill>
        </w:rPr>
        <w:t>第二篇  合同条款</w:t>
      </w:r>
    </w:p>
    <w:p w14:paraId="275F2F6F">
      <w:pPr>
        <w:pStyle w:val="3"/>
        <w:keepNext w:val="0"/>
        <w:keepLines w:val="0"/>
        <w:widowControl/>
        <w:spacing w:before="0" w:after="0" w:line="41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总  则</w:t>
      </w:r>
    </w:p>
    <w:p w14:paraId="1EC836E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1ACC151F">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一、</w:t>
      </w:r>
      <w:r>
        <w:rPr>
          <w:rFonts w:hint="eastAsia" w:ascii="宋体" w:hAnsi="宋体" w:cs="宋体"/>
          <w:color w:val="000000" w:themeColor="text1"/>
          <w:kern w:val="0"/>
          <w:sz w:val="24"/>
          <w:szCs w:val="24"/>
          <w:highlight w:val="none"/>
          <w14:textFill>
            <w14:solidFill>
              <w14:schemeClr w14:val="tx1"/>
            </w14:solidFill>
          </w14:textFill>
        </w:rPr>
        <w:t>根据项目勘察、设计管理相关规定和本项目管理实际，本合同工程将实行社会化、专业化、信息化的管理模式。甲方将委托具有相应资质等级的施工图审查单位，负责本合同工程施工图审查工作。</w:t>
      </w:r>
    </w:p>
    <w:p w14:paraId="1FF18457">
      <w:pPr>
        <w:adjustRightInd w:val="0"/>
        <w:snapToGrid w:val="0"/>
        <w:spacing w:line="360" w:lineRule="auto"/>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w:t>
      </w:r>
      <w:r>
        <w:rPr>
          <w:rFonts w:hint="eastAsia" w:ascii="宋体" w:hAnsi="宋体" w:cs="宋体"/>
          <w:color w:val="000000" w:themeColor="text1"/>
          <w:kern w:val="0"/>
          <w:sz w:val="24"/>
          <w:szCs w:val="24"/>
          <w:highlight w:val="none"/>
          <w14:textFill>
            <w14:solidFill>
              <w14:schemeClr w14:val="tx1"/>
            </w14:solidFill>
          </w14:textFill>
        </w:rPr>
        <w:t>乙方承诺遵守甲方所制订的针对本合同工程管理的各项制度、规定，这些管理制度、规定必须符合下列原则：</w:t>
      </w:r>
    </w:p>
    <w:p w14:paraId="348B4EC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（1）符合国家、广东省、广州市的有关法律法规、规范和标准；</w:t>
      </w:r>
    </w:p>
    <w:p w14:paraId="15EC1C7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（2）符合对本合同工程进行有效管理的基本精神和要求；</w:t>
      </w:r>
    </w:p>
    <w:p w14:paraId="17855A6F">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（3）为确保勘察、设计质量、进度、效果所必须；</w:t>
      </w:r>
    </w:p>
    <w:p w14:paraId="79791D12">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（4）不是针对某一特定的勘察、设计人。</w:t>
      </w:r>
    </w:p>
    <w:p w14:paraId="22BAB70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24F7D558">
      <w:pPr>
        <w:pStyle w:val="3"/>
        <w:keepNext w:val="0"/>
        <w:keepLines w:val="0"/>
        <w:widowControl/>
        <w:spacing w:before="0" w:after="0" w:line="41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第一章  一般规定</w:t>
      </w:r>
    </w:p>
    <w:p w14:paraId="0159C1FC">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2F625684">
      <w:pPr>
        <w:adjustRightInd w:val="0"/>
        <w:snapToGrid w:val="0"/>
        <w:spacing w:line="360" w:lineRule="auto"/>
        <w:ind w:firstLine="472" w:firstLineChars="196"/>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1、词语定义</w:t>
      </w:r>
    </w:p>
    <w:p w14:paraId="7EB5C1C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w:t>
      </w:r>
      <w:r>
        <w:rPr>
          <w:rFonts w:hint="eastAsia" w:ascii="宋体" w:hAnsi="宋体" w:cs="宋体"/>
          <w:color w:val="000000" w:themeColor="text1"/>
          <w:kern w:val="0"/>
          <w:sz w:val="24"/>
          <w:szCs w:val="24"/>
          <w:highlight w:val="none"/>
          <w14:textFill>
            <w14:solidFill>
              <w14:schemeClr w14:val="tx1"/>
            </w14:solidFill>
          </w14:textFill>
        </w:rPr>
        <w:t>本合同工程：指</w:t>
      </w:r>
      <w:r>
        <w:rPr>
          <w:rFonts w:hint="eastAsia" w:ascii="宋体" w:hAnsi="宋体" w:cs="宋体"/>
          <w:color w:val="000000" w:themeColor="text1"/>
          <w:kern w:val="0"/>
          <w:sz w:val="24"/>
          <w:szCs w:val="24"/>
          <w:highlight w:val="none"/>
          <w:u w:val="single"/>
          <w:lang w:eastAsia="zh-CN"/>
          <w14:textFill>
            <w14:solidFill>
              <w14:schemeClr w14:val="tx1"/>
            </w14:solidFill>
          </w14:textFill>
        </w:rPr>
        <w:t>广州市农业农村科学院东涌基地建设项目</w:t>
      </w:r>
      <w:r>
        <w:rPr>
          <w:rFonts w:hint="eastAsia" w:ascii="宋体" w:hAnsi="宋体" w:cs="宋体"/>
          <w:color w:val="000000" w:themeColor="text1"/>
          <w:kern w:val="0"/>
          <w:sz w:val="24"/>
          <w:szCs w:val="24"/>
          <w:highlight w:val="none"/>
          <w14:textFill>
            <w14:solidFill>
              <w14:schemeClr w14:val="tx1"/>
            </w14:solidFill>
          </w14:textFill>
        </w:rPr>
        <w:t>。</w:t>
      </w:r>
    </w:p>
    <w:p w14:paraId="3C96434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w:t>
      </w:r>
      <w:r>
        <w:rPr>
          <w:rFonts w:hint="eastAsia" w:ascii="宋体" w:hAnsi="宋体" w:cs="宋体"/>
          <w:color w:val="000000" w:themeColor="text1"/>
          <w:kern w:val="0"/>
          <w:sz w:val="24"/>
          <w:szCs w:val="24"/>
          <w:highlight w:val="none"/>
          <w14:textFill>
            <w14:solidFill>
              <w14:schemeClr w14:val="tx1"/>
            </w14:solidFill>
          </w14:textFill>
        </w:rPr>
        <w:t>甲方：指具有本合同工程勘察设计发包主体资格和审核确认本合同工程勘察、设计合同价款能力的当事人，在本合同中特指广州市重点公共建设项目管理中心及其合法继承人。</w:t>
      </w:r>
    </w:p>
    <w:p w14:paraId="796687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w:t>
      </w:r>
      <w:r>
        <w:rPr>
          <w:rFonts w:hint="eastAsia" w:ascii="宋体" w:hAnsi="宋体" w:cs="宋体"/>
          <w:color w:val="000000" w:themeColor="text1"/>
          <w:kern w:val="0"/>
          <w:sz w:val="24"/>
          <w:szCs w:val="24"/>
          <w:highlight w:val="none"/>
          <w14:textFill>
            <w14:solidFill>
              <w14:schemeClr w14:val="tx1"/>
            </w14:solidFill>
          </w14:textFill>
        </w:rPr>
        <w:t>乙方：指在本合同中约定，被甲方接受的具有（</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工程勘察设计总承包，</w:t>
      </w:r>
      <w:r>
        <w:rPr>
          <w:rFonts w:hint="eastAsia" w:ascii="宋体" w:hAnsi="宋体" w:cs="宋体"/>
          <w:b/>
          <w:bCs/>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工程设计承包）主体资格的当事人以及取得该当事人资格的合法继承人。</w:t>
      </w:r>
    </w:p>
    <w:p w14:paraId="31C70E6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1.4</w:t>
      </w:r>
      <w:r>
        <w:rPr>
          <w:rFonts w:hint="eastAsia" w:ascii="宋体" w:hAnsi="宋体" w:cs="宋体"/>
          <w:color w:val="000000" w:themeColor="text1"/>
          <w:kern w:val="0"/>
          <w:sz w:val="24"/>
          <w:szCs w:val="24"/>
          <w:highlight w:val="none"/>
          <w14:textFill>
            <w14:solidFill>
              <w14:schemeClr w14:val="tx1"/>
            </w14:solidFill>
          </w14:textFill>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125F4A6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1.5</w:t>
      </w:r>
      <w:r>
        <w:rPr>
          <w:rFonts w:hint="eastAsia" w:ascii="宋体" w:hAnsi="宋体" w:cs="宋体"/>
          <w:color w:val="000000" w:themeColor="text1"/>
          <w:kern w:val="0"/>
          <w:sz w:val="24"/>
          <w:szCs w:val="24"/>
          <w:highlight w:val="none"/>
          <w14:textFill>
            <w14:solidFill>
              <w14:schemeClr w14:val="tx1"/>
            </w14:solidFill>
          </w14:textFill>
        </w:rPr>
        <w:t>项目负责人：指乙方委派的负责本合同工程(</w:t>
      </w:r>
      <w:r>
        <w:rPr>
          <w:rFonts w:hint="eastAsia" w:ascii="宋体" w:hAnsi="宋体" w:cs="宋体"/>
          <w:b/>
          <w:bCs/>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勘察、</w:t>
      </w:r>
      <w:r>
        <w:rPr>
          <w:rFonts w:hint="eastAsia" w:ascii="宋体" w:hAnsi="宋体" w:cs="宋体"/>
          <w:b/>
          <w:bCs/>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设计管理、</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勘察设计总承包管理）和履行合同的代表。</w:t>
      </w:r>
    </w:p>
    <w:p w14:paraId="77268C0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勘察设计总承包，</w:t>
      </w:r>
      <w:r>
        <w:rPr>
          <w:rFonts w:hint="eastAsia" w:ascii="宋体" w:hAnsi="宋体" w:cs="宋体"/>
          <w:b/>
          <w:bCs/>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设计承包</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单位：在本合同中特指乙方。</w:t>
      </w:r>
    </w:p>
    <w:p w14:paraId="035C955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w:t>
      </w:r>
      <w:r>
        <w:rPr>
          <w:rFonts w:hint="eastAsia" w:ascii="宋体" w:hAnsi="宋体" w:cs="宋体"/>
          <w:color w:val="000000" w:themeColor="text1"/>
          <w:kern w:val="0"/>
          <w:sz w:val="24"/>
          <w:szCs w:val="24"/>
          <w:highlight w:val="none"/>
          <w14:textFill>
            <w14:solidFill>
              <w14:schemeClr w14:val="tx1"/>
            </w14:solidFill>
          </w14:textFill>
        </w:rPr>
        <w:t>勘察设计总承包管理：指乙方按照本合同约定及项目建设管理需要对其总承包管理范围内的专业勘察、设计单位在勘察、设计的进度、质量、安全、工程投资控制和勘察、设计配合协调、接口衔接等方面的管理。</w:t>
      </w:r>
    </w:p>
    <w:p w14:paraId="38A3481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1.8</w:t>
      </w:r>
      <w:r>
        <w:rPr>
          <w:rFonts w:hint="eastAsia" w:ascii="宋体" w:hAnsi="宋体" w:cs="宋体"/>
          <w:color w:val="000000" w:themeColor="text1"/>
          <w:kern w:val="0"/>
          <w:sz w:val="24"/>
          <w:szCs w:val="24"/>
          <w:highlight w:val="none"/>
          <w14:textFill>
            <w14:solidFill>
              <w14:schemeClr w14:val="tx1"/>
            </w14:solidFill>
          </w14:textFill>
        </w:rPr>
        <w:t>施工图审查单位：指受甲方委托负责本合同工程施工勘察设计成果文件审查并具有相应资质的单位。</w:t>
      </w:r>
    </w:p>
    <w:p w14:paraId="5B4A27C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本合同工程的施工图审查单位由甲方另行通知。</w:t>
      </w:r>
    </w:p>
    <w:p w14:paraId="3A110E6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1.9</w:t>
      </w:r>
      <w:r>
        <w:rPr>
          <w:rFonts w:hint="eastAsia" w:ascii="宋体" w:hAnsi="宋体" w:cs="宋体"/>
          <w:color w:val="000000" w:themeColor="text1"/>
          <w:kern w:val="0"/>
          <w:sz w:val="24"/>
          <w:szCs w:val="24"/>
          <w:highlight w:val="none"/>
          <w14:textFill>
            <w14:solidFill>
              <w14:schemeClr w14:val="tx1"/>
            </w14:solidFill>
          </w14:textFill>
        </w:rPr>
        <w:t>甲方驻场代表：指甲方委派的履行本合同的驻场代表。</w:t>
      </w:r>
    </w:p>
    <w:p w14:paraId="4D119054">
      <w:pPr>
        <w:adjustRightInd w:val="0"/>
        <w:snapToGrid w:val="0"/>
        <w:spacing w:line="360" w:lineRule="auto"/>
        <w:ind w:right="11"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1.10</w:t>
      </w:r>
      <w:r>
        <w:rPr>
          <w:rFonts w:hint="eastAsia" w:ascii="宋体" w:hAnsi="宋体" w:cs="宋体"/>
          <w:color w:val="000000" w:themeColor="text1"/>
          <w:kern w:val="0"/>
          <w:sz w:val="24"/>
          <w:szCs w:val="24"/>
          <w:highlight w:val="none"/>
          <w14:textFill>
            <w14:solidFill>
              <w14:schemeClr w14:val="tx1"/>
            </w14:solidFill>
          </w14:textFill>
        </w:rPr>
        <w:t>勘察、设计管理部门：指国务院有关部门、县级以上人民政府建设行政主管部门或机构。</w:t>
      </w:r>
    </w:p>
    <w:p w14:paraId="6CEE95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1.11</w:t>
      </w:r>
      <w:r>
        <w:rPr>
          <w:rFonts w:hint="eastAsia" w:ascii="宋体" w:hAnsi="宋体" w:cs="宋体"/>
          <w:color w:val="000000" w:themeColor="text1"/>
          <w:kern w:val="0"/>
          <w:sz w:val="24"/>
          <w:szCs w:val="24"/>
          <w:highlight w:val="none"/>
          <w14:textFill>
            <w14:solidFill>
              <w14:schemeClr w14:val="tx1"/>
            </w14:solidFill>
          </w14:textFill>
        </w:rPr>
        <w:t>勘察、设计：指乙方在本合同中约定的承包范围内的工程勘察、设计运作和勘察、设计服务。</w:t>
      </w:r>
    </w:p>
    <w:p w14:paraId="1A93988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1.12</w:t>
      </w:r>
      <w:r>
        <w:rPr>
          <w:rFonts w:hint="eastAsia" w:ascii="宋体" w:hAnsi="宋体" w:cs="宋体"/>
          <w:color w:val="000000" w:themeColor="text1"/>
          <w:kern w:val="0"/>
          <w:sz w:val="24"/>
          <w:szCs w:val="24"/>
          <w:highlight w:val="none"/>
          <w14:textFill>
            <w14:solidFill>
              <w14:schemeClr w14:val="tx1"/>
            </w14:solidFill>
          </w14:textFill>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AutoCAD软件生成的电子格式文件的光盘、工程估算、概算、预算、配合甲方招标工作而提供的技术规格书等技术资料。</w:t>
      </w:r>
    </w:p>
    <w:p w14:paraId="302001C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1.13</w:t>
      </w:r>
      <w:r>
        <w:rPr>
          <w:rFonts w:hint="eastAsia" w:ascii="宋体" w:hAnsi="宋体" w:cs="宋体"/>
          <w:color w:val="000000" w:themeColor="text1"/>
          <w:kern w:val="0"/>
          <w:sz w:val="24"/>
          <w:szCs w:val="24"/>
          <w:highlight w:val="none"/>
          <w14:textFill>
            <w14:solidFill>
              <w14:schemeClr w14:val="tx1"/>
            </w14:solidFill>
          </w14:textFill>
        </w:rPr>
        <w:t>工程投资估算：指以方案设计为基础编制而成，且编制深度达到国家有关的编制规定，并经甲方委托的第三方或按政府规定的评审通过的工程造价文件。</w:t>
      </w:r>
    </w:p>
    <w:p w14:paraId="26559CD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1.14</w:t>
      </w:r>
      <w:r>
        <w:rPr>
          <w:rFonts w:hint="eastAsia" w:ascii="宋体" w:hAnsi="宋体" w:cs="宋体"/>
          <w:color w:val="000000" w:themeColor="text1"/>
          <w:kern w:val="0"/>
          <w:sz w:val="24"/>
          <w:szCs w:val="24"/>
          <w:highlight w:val="none"/>
          <w14:textFill>
            <w14:solidFill>
              <w14:schemeClr w14:val="tx1"/>
            </w14:solidFill>
          </w14:textFill>
        </w:rPr>
        <w:t>工程设计概算：指以初步设计为基础根据甲方关于本项目工程概算文件编制的指引文件（合同附件</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）的相关要求编制而成，且编制深度达到国家有关的编制规定，并经甲方委托的施工图审查单位审核及有权审核部门批准的工程造价文件。</w:t>
      </w:r>
    </w:p>
    <w:p w14:paraId="56BA0E9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1.15</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：指以通过甲方及施工图审查单位审查的施工图为基础根据甲方关于建设项目</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编制指引文件（合同附件</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）的相关要求编制而成，且编制深度达到国家有关的编制规定，并经有关方面审查通过的工程造价文件。</w:t>
      </w:r>
    </w:p>
    <w:p w14:paraId="71AB647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1.16</w:t>
      </w:r>
      <w:r>
        <w:rPr>
          <w:rFonts w:hint="eastAsia" w:ascii="宋体" w:hAnsi="宋体" w:cs="宋体"/>
          <w:color w:val="000000" w:themeColor="text1"/>
          <w:kern w:val="0"/>
          <w:sz w:val="24"/>
          <w:szCs w:val="24"/>
          <w:highlight w:val="none"/>
          <w14:textFill>
            <w14:solidFill>
              <w14:schemeClr w14:val="tx1"/>
            </w14:solidFill>
          </w14:textFill>
        </w:rPr>
        <w:t>合同价款：指甲、乙双方在本合同中约定，由甲方用以支付乙方按照合同约定完成勘察、设计总承包范围内工程勘察、设计、管理及服务的款项。</w:t>
      </w:r>
    </w:p>
    <w:p w14:paraId="245913F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1.17</w:t>
      </w:r>
      <w:r>
        <w:rPr>
          <w:rFonts w:hint="eastAsia" w:ascii="宋体" w:hAnsi="宋体" w:cs="宋体"/>
          <w:color w:val="000000" w:themeColor="text1"/>
          <w:kern w:val="0"/>
          <w:sz w:val="24"/>
          <w:szCs w:val="24"/>
          <w:highlight w:val="none"/>
          <w14:textFill>
            <w14:solidFill>
              <w14:schemeClr w14:val="tx1"/>
            </w14:solidFill>
          </w14:textFill>
        </w:rPr>
        <w:t>追加合同价款：指在合同履行中发生需要增加合同价款的情况，经甲方根据合同约定书面确认增加的合同价款。</w:t>
      </w:r>
    </w:p>
    <w:p w14:paraId="47EEDA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1.18</w:t>
      </w:r>
      <w:r>
        <w:rPr>
          <w:rFonts w:hint="eastAsia" w:ascii="宋体" w:hAnsi="宋体" w:cs="宋体"/>
          <w:color w:val="000000" w:themeColor="text1"/>
          <w:kern w:val="0"/>
          <w:sz w:val="24"/>
          <w:szCs w:val="24"/>
          <w:highlight w:val="none"/>
          <w14:textFill>
            <w14:solidFill>
              <w14:schemeClr w14:val="tx1"/>
            </w14:solidFill>
          </w14:textFill>
        </w:rPr>
        <w:t>勘察、设计周期：指甲、乙双方在本合同中约定，按总日历天数（包括法定节假日）计算的提交勘察、设计成果文件的天数。</w:t>
      </w:r>
    </w:p>
    <w:p w14:paraId="1F83095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1.19</w:t>
      </w:r>
      <w:r>
        <w:rPr>
          <w:rFonts w:hint="eastAsia" w:ascii="宋体" w:hAnsi="宋体" w:cs="宋体"/>
          <w:color w:val="000000" w:themeColor="text1"/>
          <w:kern w:val="0"/>
          <w:sz w:val="24"/>
          <w:szCs w:val="24"/>
          <w:highlight w:val="none"/>
          <w14:textFill>
            <w14:solidFill>
              <w14:schemeClr w14:val="tx1"/>
            </w14:solidFill>
          </w14:textFill>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2FB93A3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1.20</w:t>
      </w:r>
      <w:r>
        <w:rPr>
          <w:rFonts w:hint="eastAsia" w:ascii="宋体" w:hAnsi="宋体" w:cs="宋体"/>
          <w:color w:val="000000" w:themeColor="text1"/>
          <w:kern w:val="0"/>
          <w:sz w:val="24"/>
          <w:szCs w:val="24"/>
          <w:highlight w:val="none"/>
          <w14:textFill>
            <w14:solidFill>
              <w14:schemeClr w14:val="tx1"/>
            </w14:solidFill>
          </w14:textFill>
        </w:rPr>
        <w:t>完整性：指乙方每批次交付的文件是合同及附件中规定的全部文件，并保证与提交人自己保留的该部分文件完全一致。</w:t>
      </w:r>
    </w:p>
    <w:p w14:paraId="5043D8F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1.21</w:t>
      </w:r>
      <w:r>
        <w:rPr>
          <w:rFonts w:hint="eastAsia" w:ascii="宋体" w:hAnsi="宋体" w:cs="宋体"/>
          <w:color w:val="000000" w:themeColor="text1"/>
          <w:kern w:val="0"/>
          <w:sz w:val="24"/>
          <w:szCs w:val="24"/>
          <w:highlight w:val="none"/>
          <w14:textFill>
            <w14:solidFill>
              <w14:schemeClr w14:val="tx1"/>
            </w14:solidFill>
          </w14:textFill>
        </w:rPr>
        <w:t>有效性：指乙方每批次交付的文件均符合合同约定并符合现行相关规范和标准规定的要求。</w:t>
      </w:r>
    </w:p>
    <w:p w14:paraId="2DE21D9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1.22</w:t>
      </w:r>
      <w:r>
        <w:rPr>
          <w:rFonts w:hint="eastAsia" w:ascii="宋体" w:hAnsi="宋体" w:cs="宋体"/>
          <w:color w:val="000000" w:themeColor="text1"/>
          <w:kern w:val="0"/>
          <w:sz w:val="24"/>
          <w:szCs w:val="24"/>
          <w:highlight w:val="none"/>
          <w14:textFill>
            <w14:solidFill>
              <w14:schemeClr w14:val="tx1"/>
            </w14:solidFill>
          </w14:textFill>
        </w:rPr>
        <w:t>正确性：指乙方每批次交付的勘察、设计成果文件均符合本合同的有关约定，同时保证勘察、设计输入的基础资料完整、正确，勘察、设计方法、计算方法与结果、技术参数的选用正确、合理，构造合理，图面表达清楚、文字叙述准确，各专业勘察、设计协调统一。</w:t>
      </w:r>
    </w:p>
    <w:p w14:paraId="668BA85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1.23</w:t>
      </w:r>
      <w:r>
        <w:rPr>
          <w:rFonts w:hint="eastAsia" w:ascii="宋体" w:hAnsi="宋体" w:cs="宋体"/>
          <w:color w:val="000000" w:themeColor="text1"/>
          <w:kern w:val="0"/>
          <w:sz w:val="24"/>
          <w:szCs w:val="24"/>
          <w:highlight w:val="none"/>
          <w14:textFill>
            <w14:solidFill>
              <w14:schemeClr w14:val="tx1"/>
            </w14:solidFill>
          </w14:textFill>
        </w:rPr>
        <w:t>经济合理性：指乙方提交的设计成果文件是在符合有效性要求的基础上，采用方案经济比选、价值工程等评价手段，经过甲方组织的评审产生确定的。</w:t>
      </w:r>
    </w:p>
    <w:p w14:paraId="5CB0367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1.24</w:t>
      </w:r>
      <w:r>
        <w:rPr>
          <w:rFonts w:hint="eastAsia" w:ascii="宋体" w:hAnsi="宋体" w:cs="宋体"/>
          <w:color w:val="000000" w:themeColor="text1"/>
          <w:kern w:val="0"/>
          <w:sz w:val="24"/>
          <w:szCs w:val="24"/>
          <w:highlight w:val="none"/>
          <w14:textFill>
            <w14:solidFill>
              <w14:schemeClr w14:val="tx1"/>
            </w14:solidFill>
          </w14:textFill>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7560271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1.25</w:t>
      </w:r>
      <w:r>
        <w:rPr>
          <w:rFonts w:hint="eastAsia" w:ascii="宋体" w:hAnsi="宋体" w:cs="宋体"/>
          <w:color w:val="000000" w:themeColor="text1"/>
          <w:kern w:val="0"/>
          <w:sz w:val="24"/>
          <w:szCs w:val="24"/>
          <w:highlight w:val="none"/>
          <w14:textFill>
            <w14:solidFill>
              <w14:schemeClr w14:val="tx1"/>
            </w14:solidFill>
          </w14:textFill>
        </w:rPr>
        <w:t>先进性：指乙方的设计成果文件</w:t>
      </w:r>
      <w:r>
        <w:rPr>
          <w:rFonts w:hint="eastAsia" w:ascii="宋体" w:hAnsi="宋体" w:cs="宋体"/>
          <w:color w:val="000000" w:themeColor="text1"/>
          <w:sz w:val="24"/>
          <w:szCs w:val="24"/>
          <w:highlight w:val="none"/>
          <w14:textFill>
            <w14:solidFill>
              <w14:schemeClr w14:val="tx1"/>
            </w14:solidFill>
          </w14:textFill>
        </w:rPr>
        <w:t>采用国际上先进和适用的施工</w:t>
      </w:r>
      <w:r>
        <w:rPr>
          <w:rFonts w:hint="eastAsia" w:ascii="宋体" w:hAnsi="宋体" w:cs="宋体"/>
          <w:color w:val="000000" w:themeColor="text1"/>
          <w:kern w:val="0"/>
          <w:sz w:val="24"/>
          <w:szCs w:val="24"/>
          <w:highlight w:val="none"/>
          <w14:textFill>
            <w14:solidFill>
              <w14:schemeClr w14:val="tx1"/>
            </w14:solidFill>
          </w14:textFill>
        </w:rPr>
        <w:t>方案、技术、工艺、工法、设备</w:t>
      </w:r>
      <w:r>
        <w:rPr>
          <w:rFonts w:hint="eastAsia" w:ascii="宋体" w:hAnsi="宋体" w:cs="宋体"/>
          <w:color w:val="000000" w:themeColor="text1"/>
          <w:sz w:val="24"/>
          <w:szCs w:val="24"/>
          <w:highlight w:val="none"/>
          <w14:textFill>
            <w14:solidFill>
              <w14:schemeClr w14:val="tx1"/>
            </w14:solidFill>
          </w14:textFill>
        </w:rPr>
        <w:t>，或所采用的施工</w:t>
      </w:r>
      <w:r>
        <w:rPr>
          <w:rFonts w:hint="eastAsia" w:ascii="宋体" w:hAnsi="宋体" w:cs="宋体"/>
          <w:color w:val="000000" w:themeColor="text1"/>
          <w:kern w:val="0"/>
          <w:sz w:val="24"/>
          <w:szCs w:val="24"/>
          <w:highlight w:val="none"/>
          <w14:textFill>
            <w14:solidFill>
              <w14:schemeClr w14:val="tx1"/>
            </w14:solidFill>
          </w14:textFill>
        </w:rPr>
        <w:t>方案、技术、工艺、工法、设备为国内最优（国内同行业中技术排名前五名以内）。</w:t>
      </w:r>
    </w:p>
    <w:p w14:paraId="552D5FB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Arial"/>
          <w:b/>
          <w:color w:val="000000" w:themeColor="text1"/>
          <w:sz w:val="20"/>
          <w:szCs w:val="20"/>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1.26</w:t>
      </w:r>
      <w:r>
        <w:rPr>
          <w:rFonts w:hint="eastAsia" w:ascii="宋体" w:hAnsi="宋体" w:cs="宋体"/>
          <w:color w:val="000000" w:themeColor="text1"/>
          <w:kern w:val="0"/>
          <w:sz w:val="24"/>
          <w:szCs w:val="24"/>
          <w:highlight w:val="none"/>
          <w14:textFill>
            <w14:solidFill>
              <w14:schemeClr w14:val="tx1"/>
            </w14:solidFill>
          </w14:textFill>
        </w:rPr>
        <w:t>清晰：是指每次交付的勘察、设计成果文件中的图样、线条、术语、符号、尺寸标准、文字说明等清楚准确。</w:t>
      </w:r>
    </w:p>
    <w:p w14:paraId="5705CBD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1.27</w:t>
      </w:r>
      <w:r>
        <w:rPr>
          <w:rFonts w:hint="eastAsia" w:ascii="宋体" w:hAnsi="宋体" w:cs="宋体"/>
          <w:color w:val="000000" w:themeColor="text1"/>
          <w:kern w:val="0"/>
          <w:sz w:val="24"/>
          <w:szCs w:val="24"/>
          <w:highlight w:val="none"/>
          <w14:textFill>
            <w14:solidFill>
              <w14:schemeClr w14:val="tx1"/>
            </w14:solidFill>
          </w14:textFill>
        </w:rPr>
        <w:t>违约责任：指合同任何一方不履行或不完全履行合同约定的义务或者履行义务不符合合同约定所应承担的责任。</w:t>
      </w:r>
    </w:p>
    <w:p w14:paraId="212F326F">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）一般违约责任：指虽然违反本合同的约定，但其违约行为不对本合同的履行造成严重影响而应承担的责任。</w:t>
      </w:r>
    </w:p>
    <w:p w14:paraId="0A56D78D">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）严重违约责任。指违反本合同的约定且其违约行为足以对本合同的履行造成严重或实质性的影响而应承担的责任。</w:t>
      </w:r>
    </w:p>
    <w:p w14:paraId="65B446B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hint="default"/>
          <w:color w:val="000000" w:themeColor="text1"/>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w:t>
      </w:r>
      <w:r>
        <w:rPr>
          <w:rFonts w:hint="eastAsia" w:ascii="宋体" w:hAnsi="宋体" w:cs="宋体"/>
          <w:b/>
          <w:color w:val="000000" w:themeColor="text1"/>
          <w:kern w:val="0"/>
          <w:sz w:val="24"/>
          <w:szCs w:val="24"/>
          <w:highlight w:val="none"/>
          <w:lang w:val="en-US" w:eastAsia="zh-CN"/>
          <w14:textFill>
            <w14:solidFill>
              <w14:schemeClr w14:val="tx1"/>
            </w14:solidFill>
          </w14:textFill>
        </w:rPr>
        <w:t>2</w:t>
      </w:r>
      <w:r>
        <w:rPr>
          <w:rFonts w:hint="eastAsia" w:ascii="宋体" w:hAnsi="宋体" w:cs="宋体"/>
          <w:b/>
          <w:color w:val="000000" w:themeColor="text1"/>
          <w:kern w:val="0"/>
          <w:sz w:val="24"/>
          <w:szCs w:val="24"/>
          <w:highlight w:val="none"/>
          <w14:textFill>
            <w14:solidFill>
              <w14:schemeClr w14:val="tx1"/>
            </w14:solidFill>
          </w14:textFill>
        </w:rPr>
        <w:t>8</w:t>
      </w:r>
      <w:r>
        <w:rPr>
          <w:rFonts w:cs="宋体"/>
          <w:color w:val="000000" w:themeColor="text1"/>
          <w:highlight w:val="none"/>
          <w14:textFill>
            <w14:solidFill>
              <w14:schemeClr w14:val="tx1"/>
            </w14:solidFill>
          </w14:textFill>
        </w:rPr>
        <w:t>设计事故：指因乙方不履行或不完全履行合同约定的义务或履行的义务不符合合同约定，对本合同项目造成极其严重恶劣影响的行为。</w:t>
      </w:r>
    </w:p>
    <w:p w14:paraId="54064EC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1.29</w:t>
      </w:r>
      <w:r>
        <w:rPr>
          <w:rFonts w:hint="eastAsia" w:ascii="宋体" w:hAnsi="宋体" w:cs="宋体"/>
          <w:color w:val="000000" w:themeColor="text1"/>
          <w:kern w:val="0"/>
          <w:sz w:val="24"/>
          <w:szCs w:val="24"/>
          <w:highlight w:val="none"/>
          <w14:textFill>
            <w14:solidFill>
              <w14:schemeClr w14:val="tx1"/>
            </w14:solidFill>
          </w14:textFill>
        </w:rPr>
        <w:t>索赔：指在合同履行过程中，对于并非自己的过错，而由对方造成的实际损失，根据合同的约定，向对方提出经济补偿或其它形式的补偿要求。</w:t>
      </w:r>
    </w:p>
    <w:p w14:paraId="3DAFA15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1.30</w:t>
      </w:r>
      <w:r>
        <w:rPr>
          <w:rFonts w:hint="eastAsia" w:ascii="宋体" w:hAnsi="宋体" w:cs="宋体"/>
          <w:color w:val="000000" w:themeColor="text1"/>
          <w:kern w:val="0"/>
          <w:sz w:val="24"/>
          <w:szCs w:val="24"/>
          <w:highlight w:val="none"/>
          <w14:textFill>
            <w14:solidFill>
              <w14:schemeClr w14:val="tx1"/>
            </w14:solidFill>
          </w14:textFill>
        </w:rPr>
        <w:t>通知、同意、指令、证明和决定：指经甲方认可或按公开、规范的程序授权的驻场代表、勘察、设计负责人分别签字或盖章的书面通知、同意、指令、证明和决定。</w:t>
      </w:r>
    </w:p>
    <w:p w14:paraId="0E2AD70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1.31</w:t>
      </w:r>
      <w:r>
        <w:rPr>
          <w:rFonts w:hint="eastAsia" w:ascii="宋体" w:hAnsi="宋体" w:cs="宋体"/>
          <w:color w:val="000000" w:themeColor="text1"/>
          <w:kern w:val="0"/>
          <w:sz w:val="24"/>
          <w:szCs w:val="24"/>
          <w:highlight w:val="none"/>
          <w14:textFill>
            <w14:solidFill>
              <w14:schemeClr w14:val="tx1"/>
            </w14:solidFill>
          </w14:textFill>
        </w:rPr>
        <w:t>书面材料：指合同书、信件和数据电文（电报、电传、传真、电子数据交换、电子邮件）等可以有形地表现所载内容的文件。</w:t>
      </w:r>
    </w:p>
    <w:p w14:paraId="6CDA328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1.32</w:t>
      </w:r>
      <w:r>
        <w:rPr>
          <w:rFonts w:hint="eastAsia" w:ascii="宋体" w:hAnsi="宋体" w:cs="宋体"/>
          <w:color w:val="000000" w:themeColor="text1"/>
          <w:kern w:val="0"/>
          <w:sz w:val="24"/>
          <w:szCs w:val="24"/>
          <w:highlight w:val="none"/>
          <w14:textFill>
            <w14:solidFill>
              <w14:schemeClr w14:val="tx1"/>
            </w14:solidFill>
          </w14:textFill>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706C836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1.33</w:t>
      </w:r>
      <w:r>
        <w:rPr>
          <w:rFonts w:hint="eastAsia" w:ascii="宋体" w:hAnsi="宋体" w:cs="宋体"/>
          <w:color w:val="000000" w:themeColor="text1"/>
          <w:kern w:val="0"/>
          <w:sz w:val="24"/>
          <w:szCs w:val="24"/>
          <w:highlight w:val="none"/>
          <w14:textFill>
            <w14:solidFill>
              <w14:schemeClr w14:val="tx1"/>
            </w14:solidFill>
          </w14:textFill>
        </w:rPr>
        <w:t>中国或国家：指中华人民共和国。</w:t>
      </w:r>
    </w:p>
    <w:p w14:paraId="6DD2EB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1.34</w:t>
      </w:r>
      <w:r>
        <w:rPr>
          <w:rFonts w:ascii="宋体" w:hAnsi="宋体" w:cs="宋体"/>
          <w:color w:val="000000" w:themeColor="text1"/>
          <w:kern w:val="0"/>
          <w:sz w:val="24"/>
          <w:szCs w:val="24"/>
          <w:highlight w:val="none"/>
          <w14:textFill>
            <w14:solidFill>
              <w14:schemeClr w14:val="tx1"/>
            </w14:solidFill>
          </w14:textFill>
        </w:rPr>
        <w:t>国</w:t>
      </w:r>
      <w:r>
        <w:rPr>
          <w:rFonts w:hint="eastAsia" w:ascii="宋体" w:hAnsi="宋体" w:cs="宋体"/>
          <w:color w:val="000000" w:themeColor="text1"/>
          <w:kern w:val="0"/>
          <w:sz w:val="24"/>
          <w:szCs w:val="24"/>
          <w:highlight w:val="none"/>
          <w14:textFill>
            <w14:solidFill>
              <w14:schemeClr w14:val="tx1"/>
            </w14:solidFill>
          </w14:textFill>
        </w:rPr>
        <w:t>内：</w:t>
      </w:r>
      <w:r>
        <w:rPr>
          <w:rFonts w:ascii="宋体" w:hAnsi="宋体" w:cs="宋体"/>
          <w:color w:val="000000" w:themeColor="text1"/>
          <w:kern w:val="0"/>
          <w:sz w:val="24"/>
          <w:szCs w:val="24"/>
          <w:highlight w:val="none"/>
          <w14:textFill>
            <w14:solidFill>
              <w14:schemeClr w14:val="tx1"/>
            </w14:solidFill>
          </w14:textFill>
        </w:rPr>
        <w:t>本合同中特</w:t>
      </w:r>
      <w:r>
        <w:rPr>
          <w:rFonts w:hint="eastAsia" w:ascii="宋体" w:hAnsi="宋体" w:cs="宋体"/>
          <w:color w:val="000000" w:themeColor="text1"/>
          <w:kern w:val="0"/>
          <w:sz w:val="24"/>
          <w:szCs w:val="24"/>
          <w:highlight w:val="none"/>
          <w14:textFill>
            <w14:solidFill>
              <w14:schemeClr w14:val="tx1"/>
            </w14:solidFill>
          </w14:textFill>
        </w:rPr>
        <w:t>指中华人民共和国大陆境内。</w:t>
      </w:r>
    </w:p>
    <w:p w14:paraId="3D89DE2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1.35</w:t>
      </w:r>
      <w:r>
        <w:rPr>
          <w:rFonts w:hint="eastAsia" w:ascii="宋体" w:hAnsi="宋体" w:cs="宋体"/>
          <w:color w:val="000000" w:themeColor="text1"/>
          <w:kern w:val="0"/>
          <w:sz w:val="24"/>
          <w:szCs w:val="24"/>
          <w:highlight w:val="none"/>
          <w14:textFill>
            <w14:solidFill>
              <w14:schemeClr w14:val="tx1"/>
            </w14:solidFill>
          </w14:textFill>
        </w:rPr>
        <w:t>元：指人民币元。</w:t>
      </w:r>
    </w:p>
    <w:p w14:paraId="37A804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1.36</w:t>
      </w:r>
      <w:r>
        <w:rPr>
          <w:rFonts w:hint="eastAsia" w:ascii="宋体" w:hAnsi="宋体" w:cs="宋体"/>
          <w:color w:val="000000" w:themeColor="text1"/>
          <w:kern w:val="0"/>
          <w:sz w:val="24"/>
          <w:szCs w:val="24"/>
          <w:highlight w:val="none"/>
          <w14:textFill>
            <w14:solidFill>
              <w14:schemeClr w14:val="tx1"/>
            </w14:solidFill>
          </w14:textFill>
        </w:rPr>
        <w:t>完整版施工图：指乙方按甲方要求，在项目全部设计变更设计完成后，汇总全部设计变更内容并将其反映在设计图纸上形成的施工图纸（即完整版施工图=原版施工图+设计变更）。</w:t>
      </w:r>
    </w:p>
    <w:p w14:paraId="675C4156">
      <w:pPr>
        <w:adjustRightInd w:val="0"/>
        <w:snapToGrid w:val="0"/>
        <w:spacing w:line="360" w:lineRule="auto"/>
        <w:ind w:firstLine="482"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1.37</w:t>
      </w:r>
      <w:r>
        <w:rPr>
          <w:rFonts w:hint="eastAsia" w:ascii="宋体" w:hAnsi="宋体" w:cs="宋体"/>
          <w:color w:val="000000" w:themeColor="text1"/>
          <w:kern w:val="0"/>
          <w:sz w:val="24"/>
          <w:szCs w:val="24"/>
          <w:highlight w:val="none"/>
          <w14:textFill>
            <w14:solidFill>
              <w14:schemeClr w14:val="tx1"/>
            </w14:solidFill>
          </w14:textFill>
        </w:rPr>
        <w:t>保证人：指按本合同条款第30.1款约定向甲方提交乙方履约担保的机构。</w:t>
      </w:r>
    </w:p>
    <w:p w14:paraId="4CE86070">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5646B77A">
      <w:pPr>
        <w:adjustRightInd w:val="0"/>
        <w:snapToGrid w:val="0"/>
        <w:spacing w:line="360" w:lineRule="auto"/>
        <w:ind w:firstLine="472" w:firstLineChars="196"/>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2、语言文字和适用法律、标准及规范</w:t>
      </w:r>
    </w:p>
    <w:p w14:paraId="6574B0B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w:t>
      </w:r>
      <w:r>
        <w:rPr>
          <w:rFonts w:hint="eastAsia" w:ascii="宋体" w:hAnsi="宋体" w:cs="宋体"/>
          <w:color w:val="000000" w:themeColor="text1"/>
          <w:kern w:val="0"/>
          <w:sz w:val="24"/>
          <w:szCs w:val="24"/>
          <w:highlight w:val="none"/>
          <w14:textFill>
            <w14:solidFill>
              <w14:schemeClr w14:val="tx1"/>
            </w14:solidFill>
          </w14:textFill>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0FB643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w:t>
      </w:r>
      <w:r>
        <w:rPr>
          <w:rFonts w:hint="eastAsia" w:ascii="宋体" w:hAnsi="宋体" w:cs="宋体"/>
          <w:color w:val="000000" w:themeColor="text1"/>
          <w:kern w:val="0"/>
          <w:sz w:val="24"/>
          <w:szCs w:val="24"/>
          <w:highlight w:val="none"/>
          <w14:textFill>
            <w14:solidFill>
              <w14:schemeClr w14:val="tx1"/>
            </w14:solidFill>
          </w14:textFill>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3C93BD65">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5FAE0BF3">
      <w:pPr>
        <w:adjustRightInd w:val="0"/>
        <w:snapToGrid w:val="0"/>
        <w:spacing w:line="360" w:lineRule="auto"/>
        <w:ind w:firstLine="482" w:firstLineChars="2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3、本合同签订依据</w:t>
      </w:r>
    </w:p>
    <w:p w14:paraId="11ED78A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（1）中华人民共和国民法典；</w:t>
      </w:r>
    </w:p>
    <w:p w14:paraId="2BD67BF0">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（2）中华人民共和国建筑法；</w:t>
      </w:r>
    </w:p>
    <w:p w14:paraId="71758013">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（3）中华人民共和国城乡规划法；</w:t>
      </w:r>
    </w:p>
    <w:p w14:paraId="357DB8B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（4）建设工程勘察设计管理条例；</w:t>
      </w:r>
    </w:p>
    <w:p w14:paraId="391DC060">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（5）建设工程质量管理条例；</w:t>
      </w:r>
    </w:p>
    <w:p w14:paraId="0559779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（6）《建筑工程设计文件编制深度规定》；</w:t>
      </w:r>
    </w:p>
    <w:p w14:paraId="3D3A6B7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（7）《市政公用工程设计文件编制深度规定》；</w:t>
      </w:r>
    </w:p>
    <w:p w14:paraId="75697BAC">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（8）本合同协议书第4.1款第（1）项、第（4）项、第（6）项、第（7）项、第（8）项、第（9）项、第（10）项所约定的有关文件；</w:t>
      </w:r>
    </w:p>
    <w:p w14:paraId="126F3F0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（9）建设项目批准文件（包括但不限于立项批复文件、</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可研批复文件、</w:t>
      </w:r>
      <w:r>
        <w:rPr>
          <w:rFonts w:hint="eastAsia" w:ascii="宋体" w:hAnsi="宋体" w:cs="宋体"/>
          <w:color w:val="000000" w:themeColor="text1"/>
          <w:kern w:val="0"/>
          <w:sz w:val="24"/>
          <w:szCs w:val="24"/>
          <w:highlight w:val="none"/>
          <w14:textFill>
            <w14:solidFill>
              <w14:schemeClr w14:val="tx1"/>
            </w14:solidFill>
          </w14:textFill>
        </w:rPr>
        <w:t>规划部门认可的用地红线和地形图、规划建设主管部门对本合同约定项目的规划设计要点）；</w:t>
      </w:r>
    </w:p>
    <w:p w14:paraId="12FF917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w:t>
      </w:r>
      <w:r>
        <w:rPr>
          <w:rFonts w:ascii="宋体" w:hAnsi="宋体" w:cs="宋体"/>
          <w:color w:val="000000" w:themeColor="text1"/>
          <w:kern w:val="0"/>
          <w:sz w:val="24"/>
          <w:szCs w:val="24"/>
          <w:highlight w:val="none"/>
          <w14:textFill>
            <w14:solidFill>
              <w14:schemeClr w14:val="tx1"/>
            </w14:solidFill>
          </w14:textFill>
        </w:rPr>
        <w:t>基础资料和勘察设计任务书</w:t>
      </w:r>
      <w:r>
        <w:rPr>
          <w:rFonts w:hint="eastAsia" w:ascii="宋体" w:hAnsi="宋体" w:cs="宋体"/>
          <w:color w:val="000000" w:themeColor="text1"/>
          <w:kern w:val="0"/>
          <w:sz w:val="24"/>
          <w:szCs w:val="24"/>
          <w:highlight w:val="none"/>
          <w14:textFill>
            <w14:solidFill>
              <w14:schemeClr w14:val="tx1"/>
            </w14:solidFill>
          </w14:textFill>
        </w:rPr>
        <w:t>；</w:t>
      </w:r>
    </w:p>
    <w:p w14:paraId="2831611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（11）本合同约定的项目基础资料，包括用地红线坐标(表)、场地标高、现有市政设施图的资料（绿化、道路、管线、建构筑物等）、地质勘察资料等；</w:t>
      </w:r>
    </w:p>
    <w:p w14:paraId="17C8E6AF">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（12）设计和建设过程中的政府审批意见，政府或甲方委托或组织的评审机构（会议）提出的或甲方发出的阶段性书面意见，双方来往的与双方权利义务有关的各类书面文件、会议纪要等；</w:t>
      </w:r>
    </w:p>
    <w:p w14:paraId="5D6D798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（13）乙方参加投标的方案、评标委员会的意见、甲方提出的修改意见，和版权属于甲方的其他投标方案。</w:t>
      </w:r>
    </w:p>
    <w:p w14:paraId="52E30E1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上述法律法规及有关文件应是现行有效的，如国家或有关部门对上述法律法规及有关文件进行修改或补充并提出新的要求，双方均应按新的要求执行，必要时另行签订补充合同。</w:t>
      </w:r>
    </w:p>
    <w:p w14:paraId="6C2931BD">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2FC13B55">
      <w:pPr>
        <w:pStyle w:val="3"/>
        <w:keepNext w:val="0"/>
        <w:keepLines w:val="0"/>
        <w:widowControl/>
        <w:spacing w:before="0" w:after="0" w:line="41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第二章 勘察设计总承包</w:t>
      </w:r>
    </w:p>
    <w:p w14:paraId="289E8078">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outlineLvl w:val="9"/>
        <w:rPr>
          <w:rFonts w:ascii="宋体" w:hAnsi="宋体" w:cs="宋体"/>
          <w:bCs/>
          <w:color w:val="000000" w:themeColor="text1"/>
          <w:kern w:val="0"/>
          <w:sz w:val="24"/>
          <w:szCs w:val="24"/>
          <w:highlight w:val="none"/>
          <w14:textFill>
            <w14:solidFill>
              <w14:schemeClr w14:val="tx1"/>
            </w14:solidFill>
          </w14:textFill>
        </w:rPr>
      </w:pPr>
    </w:p>
    <w:p w14:paraId="28ADDA9A">
      <w:pPr>
        <w:adjustRightInd w:val="0"/>
        <w:snapToGrid w:val="0"/>
        <w:spacing w:line="360" w:lineRule="auto"/>
        <w:ind w:firstLine="241" w:firstLineChars="1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4、勘察设计总承包管理</w:t>
      </w:r>
    </w:p>
    <w:p w14:paraId="2F8CF0C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4.1</w:t>
      </w:r>
      <w:r>
        <w:rPr>
          <w:rFonts w:hint="eastAsia" w:ascii="宋体" w:hAnsi="宋体" w:cs="宋体"/>
          <w:color w:val="000000" w:themeColor="text1"/>
          <w:kern w:val="0"/>
          <w:sz w:val="24"/>
          <w:szCs w:val="24"/>
          <w:highlight w:val="none"/>
          <w14:textFill>
            <w14:solidFill>
              <w14:schemeClr w14:val="tx1"/>
            </w14:solidFill>
          </w14:textFill>
        </w:rPr>
        <w:t>如乙方为联合体，则联合体主办人代表乙方承担责任和接受甲方指令、指示和通知，并根据本合同条款的约定进行勘察设计总承包及配合协调服务工作。</w:t>
      </w:r>
    </w:p>
    <w:p w14:paraId="7F25BEA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乙方应按合同约定及项目建设管理需要做好下列勘察设计总承包管理及配合协调服务工作（包括但不限于）：</w:t>
      </w:r>
    </w:p>
    <w:p w14:paraId="013A29D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对其总承包管理范围内的专业勘察、设计单位在勘察、设计的进度、质量、安全、工程投资控制和勘察、设计配合协调、接口衔接等方面进行管理，确保各勘察、设计单位之间的勘察、设计界面和工作内容清晰，不出现勘察、设计重复或交叉的现象，并保证本合同工程各专业接口及与周边工程接口（包括与市政工程接口）的良好衔接。</w:t>
      </w:r>
    </w:p>
    <w:p w14:paraId="3FE6CB1C">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乙方应在实施本合同工程方案优化设计、初步设计、施工图设计、勘察、设计现场服务各阶段向甲方提供技术咨询与管理咨询，配合对本项目相关的可行性研究、节能评估、环境评价、地铁保护等报告中涉及的设计内容进行复核并给予确认，配合解决施工过程中有关工程勘察、设计问题，并协助甲方的工程实施、设备与材料的采购招标工作、隐蔽工程的验收、设备与材料的看样定板、技术验收及工程验收等活动。</w:t>
      </w:r>
    </w:p>
    <w:p w14:paraId="6308F2C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对于在乙方提交的勘察、设计成果文件的基础上由甲方另行发包的设计单位进行的初步设计、施工图设计等工作，乙方除须对于其提交给甲方的勘察、设计成果文件的完整性、有效性进行预审把关外，还须积极配合相关的设计工作，提供相关的勘察、设计成果文件（包括但不限于报告、数据、图表、设计图纸、设计说明、相关的计算原理和方法等），不得以专利和知识产权为借口拒绝配合。</w:t>
      </w:r>
    </w:p>
    <w:p w14:paraId="142C017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6B045B52">
      <w:pPr>
        <w:adjustRightInd w:val="0"/>
        <w:snapToGrid w:val="0"/>
        <w:spacing w:line="360" w:lineRule="auto"/>
        <w:ind w:firstLine="480" w:firstLineChars="200"/>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乙方应编制勘察设计总进度计划，年度（季度）计划，并负责审核专业勘察、设计单位的实施性计划、月度（旬度）计划，定期对专业勘察、设计单位进行月度（旬度）计划检查，并将相关的计划信息上传到甲方的计算机工程信息管理系统。同时要根据甲方信息管理系统要求及时把相关设计成果、设计变更等资料输入甲方信息管理系统。</w:t>
      </w:r>
    </w:p>
    <w:p w14:paraId="2A8FAA36">
      <w:pPr>
        <w:adjustRightInd w:val="0"/>
        <w:snapToGrid w:val="0"/>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p>
    <w:p w14:paraId="3A67181D">
      <w:pPr>
        <w:adjustRightInd w:val="0"/>
        <w:snapToGrid w:val="0"/>
        <w:spacing w:line="360" w:lineRule="auto"/>
        <w:ind w:firstLine="482" w:firstLineChars="200"/>
        <w:outlineLvl w:val="2"/>
        <w:rPr>
          <w:rFonts w:ascii="宋体" w:hAnsi="宋体" w:cs="宋体"/>
          <w:b/>
          <w:color w:val="000000" w:themeColor="text1"/>
          <w:kern w:val="0"/>
          <w:sz w:val="24"/>
          <w:szCs w:val="24"/>
          <w:highlight w:val="none"/>
          <w:u w:val="singl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5、勘察、设计分包</w:t>
      </w:r>
    </w:p>
    <w:p w14:paraId="360C4AE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5.1</w:t>
      </w:r>
      <w:r>
        <w:rPr>
          <w:rFonts w:hint="eastAsia" w:ascii="宋体" w:hAnsi="宋体" w:cs="宋体"/>
          <w:color w:val="000000" w:themeColor="text1"/>
          <w:kern w:val="0"/>
          <w:sz w:val="24"/>
          <w:szCs w:val="24"/>
          <w:highlight w:val="none"/>
          <w14:textFill>
            <w14:solidFill>
              <w14:schemeClr w14:val="tx1"/>
            </w14:solidFill>
          </w14:textFill>
        </w:rPr>
        <w:t>本合同工程的主体及关键性工作必须由乙方自行完成，不得分包。</w:t>
      </w:r>
    </w:p>
    <w:p w14:paraId="063241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dstrike/>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5.2</w:t>
      </w:r>
      <w:r>
        <w:rPr>
          <w:rFonts w:hint="eastAsia" w:ascii="宋体" w:hAnsi="宋体" w:cs="宋体"/>
          <w:color w:val="000000" w:themeColor="text1"/>
          <w:kern w:val="0"/>
          <w:sz w:val="24"/>
          <w:szCs w:val="24"/>
          <w:highlight w:val="none"/>
          <w14:textFill>
            <w14:solidFill>
              <w14:schemeClr w14:val="tx1"/>
            </w14:solidFill>
          </w14:textFill>
        </w:rPr>
        <w:t>乙方所承接的专项设计内容（如:外水工程、外电工程、燃气工程、幕墙工程、人防工程、装饰装修工程</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工程造价咨询</w:t>
      </w:r>
      <w:r>
        <w:rPr>
          <w:rFonts w:hint="eastAsia" w:ascii="宋体" w:hAnsi="宋体" w:cs="宋体"/>
          <w:color w:val="000000" w:themeColor="text1"/>
          <w:kern w:val="0"/>
          <w:sz w:val="24"/>
          <w:szCs w:val="24"/>
          <w:highlight w:val="none"/>
          <w14:textFill>
            <w14:solidFill>
              <w14:schemeClr w14:val="tx1"/>
            </w14:solidFill>
          </w14:textFill>
        </w:rPr>
        <w:t>等专业工程）的设计专业要求高，若由于乙方自身的资质及所属设计人员的限制，或者乙方指定的专项设计分包单位不能满足甲方的要求，乙方可进行分包或由甲方将该项专业设计内容另行发包给专业设计单位</w:t>
      </w:r>
      <w:r>
        <w:rPr>
          <w:rFonts w:hint="eastAsia" w:ascii="宋体" w:hAnsi="宋体" w:cs="宋体"/>
          <w:color w:val="000000" w:themeColor="text1"/>
          <w:kern w:val="0"/>
          <w:sz w:val="24"/>
          <w:szCs w:val="24"/>
          <w:highlight w:val="none"/>
          <w:lang w:val="en-US" w:eastAsia="zh-CN"/>
          <w14:textFill>
            <w14:solidFill>
              <w14:schemeClr w14:val="tx1"/>
            </w14:solidFill>
          </w14:textFill>
        </w:rPr>
        <w:t>或服务单位</w:t>
      </w:r>
      <w:r>
        <w:rPr>
          <w:rFonts w:hint="eastAsia" w:ascii="宋体" w:hAnsi="宋体" w:cs="宋体"/>
          <w:color w:val="000000" w:themeColor="text1"/>
          <w:kern w:val="0"/>
          <w:sz w:val="24"/>
          <w:szCs w:val="24"/>
          <w:highlight w:val="none"/>
          <w14:textFill>
            <w14:solidFill>
              <w14:schemeClr w14:val="tx1"/>
            </w14:solidFill>
          </w14:textFill>
        </w:rPr>
        <w:t>；乙方因自行分包进行勘察、设计的，须事先征得甲方书面同意，并须根据国家有关规定分包给具有相应能力且获得甲方认可的专业单位实施。</w:t>
      </w:r>
      <w:r>
        <w:rPr>
          <w:rFonts w:hint="eastAsia" w:ascii="宋体" w:hAnsi="宋体" w:cs="宋体"/>
          <w:b/>
          <w:color w:val="000000" w:themeColor="text1"/>
          <w:kern w:val="0"/>
          <w:sz w:val="24"/>
          <w:szCs w:val="24"/>
          <w:highlight w:val="none"/>
          <w14:textFill>
            <w14:solidFill>
              <w14:schemeClr w14:val="tx1"/>
            </w14:solidFill>
          </w14:textFill>
        </w:rPr>
        <w:t>专项分包设计费由乙方承担。乙方全面负责管理和协调专业分包单位。专项分包各阶段设计文件须由乙方校核确认，并由项目负责人及专项分包方人员进行会签、盖章确认（设计图要求含有两个单位的图签，双图签出图）。</w:t>
      </w:r>
    </w:p>
    <w:p w14:paraId="6095252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5.3</w:t>
      </w:r>
      <w:r>
        <w:rPr>
          <w:rFonts w:hint="eastAsia" w:ascii="宋体" w:hAnsi="宋体" w:cs="宋体"/>
          <w:color w:val="000000" w:themeColor="text1"/>
          <w:kern w:val="0"/>
          <w:sz w:val="24"/>
          <w:szCs w:val="24"/>
          <w:highlight w:val="none"/>
          <w14:textFill>
            <w14:solidFill>
              <w14:schemeClr w14:val="tx1"/>
            </w14:solidFill>
          </w14:textFill>
        </w:rPr>
        <w:t>乙方应严格按照本合同约定及项目建设管理需要做好分包管理工作，禁止转包或违法分包，禁止转让、出借企业资质证书或者以其他方式允许他人以本企业名义承揽勘察、设计业务。</w:t>
      </w:r>
    </w:p>
    <w:p w14:paraId="622194F5">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5"/>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5.3.1</w:t>
      </w:r>
      <w:r>
        <w:rPr>
          <w:rFonts w:hint="eastAsia" w:ascii="宋体" w:hAnsi="宋体" w:cs="宋体"/>
          <w:color w:val="000000" w:themeColor="text1"/>
          <w:kern w:val="0"/>
          <w:sz w:val="24"/>
          <w:szCs w:val="24"/>
          <w:highlight w:val="none"/>
          <w14:textFill>
            <w14:solidFill>
              <w14:schemeClr w14:val="tx1"/>
            </w14:solidFill>
          </w14:textFill>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6195C76B">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5"/>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5.3.2</w:t>
      </w:r>
      <w:r>
        <w:rPr>
          <w:rFonts w:hint="eastAsia" w:ascii="宋体" w:hAnsi="宋体" w:cs="宋体"/>
          <w:color w:val="000000" w:themeColor="text1"/>
          <w:kern w:val="0"/>
          <w:sz w:val="24"/>
          <w:szCs w:val="24"/>
          <w:highlight w:val="none"/>
          <w14:textFill>
            <w14:solidFill>
              <w14:schemeClr w14:val="tx1"/>
            </w14:solidFill>
          </w14:textFill>
        </w:rPr>
        <w:t>下列行为，属于违法分包：</w:t>
      </w:r>
    </w:p>
    <w:p w14:paraId="36519652">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（1）乙方将勘察、设计项目分包给不具备相应资质条件的分包人的；</w:t>
      </w:r>
    </w:p>
    <w:p w14:paraId="1634A7B1">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（2）本合同中未有约定，又未经甲方认可，乙方将承包的部分勘察、设计项目分包给他人的。</w:t>
      </w:r>
    </w:p>
    <w:p w14:paraId="0CB91EBE">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5"/>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5.3.3</w:t>
      </w:r>
      <w:r>
        <w:rPr>
          <w:rFonts w:hint="eastAsia" w:ascii="宋体" w:hAnsi="宋体" w:cs="宋体"/>
          <w:color w:val="000000" w:themeColor="text1"/>
          <w:kern w:val="0"/>
          <w:sz w:val="24"/>
          <w:szCs w:val="24"/>
          <w:highlight w:val="none"/>
          <w14:textFill>
            <w14:solidFill>
              <w14:schemeClr w14:val="tx1"/>
            </w14:solidFill>
          </w14:textFill>
        </w:rPr>
        <w:t>乙方虽然没有将其承包的勘察、设计项目进行分包，但在勘察、设计现场所设项目管理机构的总负责人、总承包管理负责人、各专业负责人、驻场总负责人和驻场代表不是乙方本单位人员的，视同允许他人以本企业名义承揽勘察、设计业务。</w:t>
      </w:r>
    </w:p>
    <w:p w14:paraId="6654C05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5"/>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5.3.4</w:t>
      </w:r>
      <w:r>
        <w:rPr>
          <w:rFonts w:hint="eastAsia" w:ascii="宋体" w:hAnsi="宋体" w:cs="宋体"/>
          <w:color w:val="000000" w:themeColor="text1"/>
          <w:kern w:val="0"/>
          <w:sz w:val="24"/>
          <w:szCs w:val="24"/>
          <w:highlight w:val="none"/>
          <w14:textFill>
            <w14:solidFill>
              <w14:schemeClr w14:val="tx1"/>
            </w14:solidFill>
          </w14:textFill>
        </w:rPr>
        <w:t>分包单位必须自行完成所承包的勘察、设计，严禁再分包，并承担下列责任（包括但不限于）：</w:t>
      </w:r>
    </w:p>
    <w:p w14:paraId="19E2ED46">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接受甲方及勘察设计总承包单位的管理，无条件执行甲方及勘察设计总承包单位的指令。当甲方的指令与勘察设计总承包单位的指令相冲突时，以甲方的指令为准；其他指令之间发生冲突时，应立即提请甲方协调处理。</w:t>
      </w:r>
    </w:p>
    <w:p w14:paraId="6F29C13C">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（2）按本合同及分包合同约定按时、按质、按量完成分包的勘察、设计任务并提交勘察、设计成果文件，对分包勘察、设计的进度、质量、安全、工程投资控制等负责。</w:t>
      </w:r>
    </w:p>
    <w:p w14:paraId="77BD6D18">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（3）本合同及分包合同中与分包勘察、设计项目有关的其他工作内容。</w:t>
      </w:r>
    </w:p>
    <w:p w14:paraId="30D75D6C">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5.4</w:t>
      </w:r>
      <w:r>
        <w:rPr>
          <w:rFonts w:hint="eastAsia" w:ascii="宋体" w:hAnsi="宋体" w:cs="宋体"/>
          <w:color w:val="000000" w:themeColor="text1"/>
          <w:kern w:val="0"/>
          <w:sz w:val="24"/>
          <w:szCs w:val="24"/>
          <w:highlight w:val="none"/>
          <w14:textFill>
            <w14:solidFill>
              <w14:schemeClr w14:val="tx1"/>
            </w14:solidFill>
          </w14:textFill>
        </w:rPr>
        <w:t>乙方的勘察设计总承包管理部是乙方的分包项目管理机构，应当具有与所承包勘察、设计的规模、技术复杂程度相适应的技术、经济管理人员；其中，勘察、设计总负责人及勘察、设计总承包管理负责人必须是本单位的人员。</w:t>
      </w:r>
    </w:p>
    <w:p w14:paraId="6CB2E7C4">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乙方应按照本合同条款第8.1款等有关约定，在甲方批准分包后5天内将分包单位勘察、设计技术管理人员名单及设备仪器投入计划报送甲方且负责落实到位，并接受施工图审查单位和甲方代表的查验。</w:t>
      </w:r>
    </w:p>
    <w:p w14:paraId="6D070DF0">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14D0BDAC">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5.5专业勘察、设计分包单位的管理</w:t>
      </w:r>
    </w:p>
    <w:p w14:paraId="5D9812FE">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乙方负责各项专业勘察、设计的相关专业和接口、界面的协调工作。</w:t>
      </w:r>
    </w:p>
    <w:p w14:paraId="6EF97FD1">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5.6</w:t>
      </w:r>
      <w:r>
        <w:rPr>
          <w:rFonts w:hint="eastAsia" w:ascii="宋体" w:hAnsi="宋体" w:cs="宋体"/>
          <w:color w:val="000000" w:themeColor="text1"/>
          <w:sz w:val="24"/>
          <w:szCs w:val="24"/>
          <w:highlight w:val="none"/>
          <w14:textFill>
            <w14:solidFill>
              <w14:schemeClr w14:val="tx1"/>
            </w14:solidFill>
          </w14:textFill>
        </w:rPr>
        <w:t>专业</w:t>
      </w:r>
      <w:r>
        <w:rPr>
          <w:rFonts w:hint="eastAsia" w:ascii="宋体" w:hAnsi="宋体" w:cs="宋体"/>
          <w:color w:val="000000" w:themeColor="text1"/>
          <w:kern w:val="0"/>
          <w:sz w:val="24"/>
          <w:szCs w:val="24"/>
          <w:highlight w:val="none"/>
          <w14:textFill>
            <w14:solidFill>
              <w14:schemeClr w14:val="tx1"/>
            </w14:solidFill>
          </w14:textFill>
        </w:rPr>
        <w:t>勘察、设计分包单位</w:t>
      </w:r>
      <w:r>
        <w:rPr>
          <w:rFonts w:hint="eastAsia" w:ascii="宋体" w:hAnsi="宋体" w:cs="宋体"/>
          <w:color w:val="000000" w:themeColor="text1"/>
          <w:sz w:val="24"/>
          <w:szCs w:val="24"/>
          <w:highlight w:val="none"/>
          <w14:textFill>
            <w14:solidFill>
              <w14:schemeClr w14:val="tx1"/>
            </w14:solidFill>
          </w14:textFill>
        </w:rPr>
        <w:t>与施工图审查单位的关系</w:t>
      </w:r>
    </w:p>
    <w:p w14:paraId="011166AD">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无论是乙方分包的专业勘察、设计分包单位还是甲方另外发包的专业勘察、设计承包单位，都要接受施工图审查单位对其成果文件的审查。</w:t>
      </w:r>
    </w:p>
    <w:p w14:paraId="24198E2A">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5.7</w:t>
      </w:r>
      <w:r>
        <w:rPr>
          <w:rFonts w:hint="eastAsia" w:ascii="宋体" w:hAnsi="宋体" w:cs="宋体"/>
          <w:color w:val="000000" w:themeColor="text1"/>
          <w:kern w:val="0"/>
          <w:sz w:val="24"/>
          <w:szCs w:val="24"/>
          <w:highlight w:val="none"/>
          <w14:textFill>
            <w14:solidFill>
              <w14:schemeClr w14:val="tx1"/>
            </w14:solidFill>
          </w14:textFill>
        </w:rPr>
        <w:t>各专业勘察、设计单位的权利和义务详见各专项勘察、设计的分包合同。</w:t>
      </w:r>
    </w:p>
    <w:p w14:paraId="3044B679">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5.8</w:t>
      </w:r>
      <w:r>
        <w:rPr>
          <w:rFonts w:hint="eastAsia" w:ascii="宋体" w:hAnsi="宋体" w:cs="宋体"/>
          <w:color w:val="000000" w:themeColor="text1"/>
          <w:kern w:val="0"/>
          <w:sz w:val="24"/>
          <w:szCs w:val="24"/>
          <w:highlight w:val="none"/>
          <w14:textFill>
            <w14:solidFill>
              <w14:schemeClr w14:val="tx1"/>
            </w14:solidFill>
          </w14:textFill>
        </w:rPr>
        <w:t>分包勘察、设计项目的价款由乙方与甲方结算。乙方应按本合同及分包合同的有关约定及时审核、申请支付各种勘察、设计款项。</w:t>
      </w:r>
    </w:p>
    <w:p w14:paraId="4CDC5481">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5.9</w:t>
      </w:r>
      <w:r>
        <w:rPr>
          <w:rFonts w:hint="eastAsia" w:ascii="宋体" w:hAnsi="宋体" w:cs="宋体"/>
          <w:color w:val="000000" w:themeColor="text1"/>
          <w:kern w:val="0"/>
          <w:sz w:val="24"/>
          <w:szCs w:val="24"/>
          <w:highlight w:val="none"/>
          <w14:textFill>
            <w14:solidFill>
              <w14:schemeClr w14:val="tx1"/>
            </w14:solidFill>
          </w14:textFill>
        </w:rPr>
        <w:t>乙方对勘察、设计现场安全负责，并对专业勘察、设计单位的安全生产进行管理，发现事故隐患，应当及时作出处理。</w:t>
      </w:r>
    </w:p>
    <w:p w14:paraId="2CA5EF3E">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专业勘察、设计单位就其所在的勘察、设计现场安全向乙方负责，服从乙方对勘察、设计现场的安全管理。</w:t>
      </w:r>
    </w:p>
    <w:p w14:paraId="0B35DD9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5.10</w:t>
      </w:r>
      <w:r>
        <w:rPr>
          <w:rFonts w:hint="eastAsia" w:ascii="宋体" w:hAnsi="宋体" w:cs="宋体"/>
          <w:color w:val="000000" w:themeColor="text1"/>
          <w:kern w:val="0"/>
          <w:sz w:val="24"/>
          <w:szCs w:val="24"/>
          <w:highlight w:val="none"/>
          <w14:textFill>
            <w14:solidFill>
              <w14:schemeClr w14:val="tx1"/>
            </w14:solidFill>
          </w14:textFill>
        </w:rPr>
        <w:t>乙方应按照合同约定协调所有专业勘察、设计单位的工作，确保由不同专业单位所完成的勘察、设计之间的配合和接口顺利、有效和可靠。乙方应负责保证本合同工程勘察、设计的完整性和整体性。相关费用已经含于合同总价中。</w:t>
      </w:r>
    </w:p>
    <w:p w14:paraId="244F326B">
      <w:pPr>
        <w:adjustRightInd w:val="0"/>
        <w:snapToGrid w:val="0"/>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p>
    <w:p w14:paraId="5E1F02A9">
      <w:pPr>
        <w:pStyle w:val="3"/>
        <w:keepNext w:val="0"/>
        <w:keepLines w:val="0"/>
        <w:widowControl/>
        <w:spacing w:before="0" w:after="0" w:line="410" w:lineRule="auto"/>
        <w:jc w:val="center"/>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第三章  设计工作内容</w:t>
      </w:r>
    </w:p>
    <w:p w14:paraId="171A23B7">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4844874C">
      <w:pPr>
        <w:adjustRightInd w:val="0"/>
        <w:snapToGrid w:val="0"/>
        <w:spacing w:line="360" w:lineRule="auto"/>
        <w:ind w:firstLine="482" w:firstLineChars="2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6、设计范围</w:t>
      </w:r>
    </w:p>
    <w:p w14:paraId="0EC2D685">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6.1</w:t>
      </w:r>
      <w:r>
        <w:rPr>
          <w:rFonts w:hint="eastAsia" w:ascii="宋体" w:hAnsi="宋体" w:cs="宋体"/>
          <w:color w:val="000000" w:themeColor="text1"/>
          <w:kern w:val="0"/>
          <w:sz w:val="24"/>
          <w:szCs w:val="24"/>
          <w:highlight w:val="none"/>
          <w14:textFill>
            <w14:solidFill>
              <w14:schemeClr w14:val="tx1"/>
            </w14:solidFill>
          </w14:textFill>
        </w:rPr>
        <w:t>工程设计范围：完成立项（含可研）批复范围内所有建设内容的设计，包括但不限于以下：</w:t>
      </w:r>
    </w:p>
    <w:p w14:paraId="38C9B82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color w:val="000000" w:themeColor="text1"/>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bidi="ar"/>
          <w14:textFill>
            <w14:solidFill>
              <w14:schemeClr w14:val="tx1"/>
            </w14:solidFill>
          </w14:textFill>
        </w:rPr>
        <w:t>1</w:t>
      </w:r>
      <w:r>
        <w:rPr>
          <w:rFonts w:hint="eastAsia" w:ascii="宋体" w:hAnsi="宋体" w:cs="宋体"/>
          <w:snapToGrid w:val="0"/>
          <w:color w:val="000000" w:themeColor="text1"/>
          <w:kern w:val="0"/>
          <w:sz w:val="24"/>
          <w:highlight w:val="none"/>
          <w:lang w:bidi="ar"/>
          <w14:textFill>
            <w14:solidFill>
              <w14:schemeClr w14:val="tx1"/>
            </w14:solidFill>
          </w14:textFill>
        </w:rPr>
        <w:t>）规划用地红线内（含代征用地）及红线外（管线）所涉及建设内容的全部勘察：根据地下、地上物探成果报告，收集周边地下、地上管线、建筑物、构筑物相关资料，</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收集项目建设已有的依据资料及与项目建设相关的行业规范规定</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bidi="ar"/>
          <w14:textFill>
            <w14:solidFill>
              <w14:schemeClr w14:val="tx1"/>
            </w14:solidFill>
          </w14:textFill>
        </w:rPr>
        <w:t>编制项目前期摸查报告（</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包括但不限于项目概况、现场场地状况情况（含</w:t>
      </w:r>
      <w:r>
        <w:rPr>
          <w:rFonts w:hint="eastAsia" w:ascii="宋体" w:hAnsi="宋体" w:cs="宋体"/>
          <w:snapToGrid w:val="0"/>
          <w:color w:val="000000" w:themeColor="text1"/>
          <w:kern w:val="0"/>
          <w:sz w:val="24"/>
          <w:highlight w:val="none"/>
          <w:lang w:bidi="ar"/>
          <w14:textFill>
            <w14:solidFill>
              <w14:schemeClr w14:val="tx1"/>
            </w14:solidFill>
          </w14:textFill>
        </w:rPr>
        <w:t>周边给水、排水、供电、燃气、市政道路接驳等市政条件、地形地貌及水文地质、</w:t>
      </w:r>
      <w:r>
        <w:rPr>
          <w:rFonts w:hint="eastAsia" w:ascii="宋体" w:hAnsi="宋体" w:cs="宋体"/>
          <w:strike w:val="0"/>
          <w:snapToGrid w:val="0"/>
          <w:color w:val="000000" w:themeColor="text1"/>
          <w:kern w:val="0"/>
          <w:sz w:val="24"/>
          <w:highlight w:val="none"/>
          <w:lang w:bidi="ar"/>
          <w14:textFill>
            <w14:solidFill>
              <w14:schemeClr w14:val="tx1"/>
            </w14:solidFill>
          </w14:textFill>
        </w:rPr>
        <w:t>历史文化保护传承对象、树木资源</w:t>
      </w:r>
      <w:r>
        <w:rPr>
          <w:rFonts w:hint="eastAsia" w:ascii="宋体" w:hAnsi="宋体" w:cs="宋体"/>
          <w:snapToGrid w:val="0"/>
          <w:color w:val="000000" w:themeColor="text1"/>
          <w:kern w:val="0"/>
          <w:sz w:val="24"/>
          <w:highlight w:val="none"/>
          <w:lang w:bidi="ar"/>
          <w14:textFill>
            <w14:solidFill>
              <w14:schemeClr w14:val="tx1"/>
            </w14:solidFill>
          </w14:textFill>
        </w:rPr>
        <w:t>等</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）、项目资料梳理、项目合规符合性（含</w:t>
      </w:r>
      <w:r>
        <w:rPr>
          <w:rFonts w:hint="eastAsia" w:ascii="宋体" w:hAnsi="宋体" w:cs="宋体"/>
          <w:snapToGrid w:val="0"/>
          <w:color w:val="000000" w:themeColor="text1"/>
          <w:kern w:val="0"/>
          <w:sz w:val="24"/>
          <w:highlight w:val="none"/>
          <w:lang w:bidi="ar"/>
          <w14:textFill>
            <w14:solidFill>
              <w14:schemeClr w14:val="tx1"/>
            </w14:solidFill>
          </w14:textFill>
        </w:rPr>
        <w:t>规划条件符合性</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摸查、项目建设基础要求、项目建设界面及投资界面梳理、资料咨询评估、设计工作重难点、设计工作计划及拟分包设计工作、田间工程、洁净实验室、冷库等专项工程需建设单位委托事项清单、报建事项清单、检测监测等事项清单及项目验收注意事项清单等</w:t>
      </w:r>
      <w:r>
        <w:rPr>
          <w:rFonts w:hint="eastAsia" w:ascii="宋体" w:hAnsi="宋体" w:cs="宋体"/>
          <w:snapToGrid w:val="0"/>
          <w:color w:val="000000" w:themeColor="text1"/>
          <w:kern w:val="0"/>
          <w:sz w:val="24"/>
          <w:highlight w:val="none"/>
          <w:lang w:bidi="ar"/>
          <w14:textFill>
            <w14:solidFill>
              <w14:schemeClr w14:val="tx1"/>
            </w14:solidFill>
          </w14:textFill>
        </w:rPr>
        <w:t>摸查内容）；进行初步勘察、详细勘察和</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勘察相关的</w:t>
      </w:r>
      <w:r>
        <w:rPr>
          <w:rFonts w:hint="eastAsia" w:ascii="宋体" w:hAnsi="宋体" w:cs="宋体"/>
          <w:snapToGrid w:val="0"/>
          <w:color w:val="000000" w:themeColor="text1"/>
          <w:kern w:val="0"/>
          <w:sz w:val="24"/>
          <w:highlight w:val="none"/>
          <w:lang w:bidi="ar"/>
          <w14:textFill>
            <w14:solidFill>
              <w14:schemeClr w14:val="tx1"/>
            </w14:solidFill>
          </w14:textFill>
        </w:rPr>
        <w:t>初测、定测实施工作，编制勘探、测量技术文件，编制勘探、土洞溶洞探测等相关总图，负责协调和配合相关主管部门对相关工作成果进行审批，直至获得批复。</w:t>
      </w:r>
    </w:p>
    <w:p w14:paraId="3A6B15D4">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s="宋体"/>
          <w:snapToGrid w:val="0"/>
          <w:color w:val="000000" w:themeColor="text1"/>
          <w:kern w:val="0"/>
          <w:sz w:val="24"/>
          <w:highlight w:val="none"/>
          <w:lang w:bidi="ar"/>
          <w14:textFill>
            <w14:solidFill>
              <w14:schemeClr w14:val="tx1"/>
            </w14:solidFill>
          </w14:textFill>
        </w:rPr>
        <w:t>1</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bidi="ar"/>
          <w14:textFill>
            <w14:solidFill>
              <w14:schemeClr w14:val="tx1"/>
            </w14:solidFill>
          </w14:textFill>
        </w:rPr>
        <w:t>历史文化保护传承对象摸查：对照我市公布的《历史建筑名录》及《传统风貌建筑保护名录》，全面核查拟建设范围是否存在历史文化保护传承对象，及其具体位置、详细现状、保护内容、保护要求、保护措施等情况；同时排查是否存在需要拆迁的建（构）筑物；</w:t>
      </w:r>
    </w:p>
    <w:p w14:paraId="30F9A3A0">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cs="宋体"/>
          <w:snapToGrid w:val="0"/>
          <w:color w:val="000000" w:themeColor="text1"/>
          <w:kern w:val="0"/>
          <w:sz w:val="24"/>
          <w:highlight w:val="none"/>
          <w:lang w:bidi="ar"/>
          <w14:textFill>
            <w14:solidFill>
              <w14:schemeClr w14:val="tx1"/>
            </w14:solidFill>
          </w14:textFill>
        </w:rPr>
        <w:t>2</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bidi="ar"/>
          <w14:textFill>
            <w14:solidFill>
              <w14:schemeClr w14:val="tx1"/>
            </w14:solidFill>
          </w14:textFill>
        </w:rPr>
        <w:t>树木资源摸查：具体包括所有树木的种类、数量、位置、胸径规格、生长状况、立地条件、保护设施现状等情况摸查，其中大树、古树名木、古树后续资源需要有定位坐标（要求“一树一档”），古树名木、古树后续资源需要进行健康状况及安全性综合评估等；若发现严重病虫害、死亡的，还需提供专业机构的鉴定报告作为依据。</w:t>
      </w:r>
    </w:p>
    <w:p w14:paraId="78DF80C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2</w:t>
      </w:r>
      <w:r>
        <w:rPr>
          <w:rFonts w:hint="eastAsia" w:ascii="宋体" w:hAnsi="宋体" w:cs="宋体"/>
          <w:snapToGrid w:val="0"/>
          <w:color w:val="000000" w:themeColor="text1"/>
          <w:kern w:val="0"/>
          <w:sz w:val="24"/>
          <w:highlight w:val="none"/>
          <w:lang w:bidi="ar"/>
          <w14:textFill>
            <w14:solidFill>
              <w14:schemeClr w14:val="tx1"/>
            </w14:solidFill>
          </w14:textFill>
        </w:rPr>
        <w:t>）方案修改及完善：</w:t>
      </w:r>
      <w:r>
        <w:rPr>
          <w:rFonts w:hint="eastAsia" w:ascii="宋体" w:hAnsi="宋体" w:cs="宋体"/>
          <w:snapToGrid w:val="0"/>
          <w:color w:val="000000" w:themeColor="text1"/>
          <w:kern w:val="0"/>
          <w:sz w:val="24"/>
          <w:highlight w:val="none"/>
          <w:u w:val="none"/>
          <w:lang w:bidi="ar"/>
          <w14:textFill>
            <w14:solidFill>
              <w14:schemeClr w14:val="tx1"/>
            </w14:solidFill>
          </w14:textFill>
        </w:rPr>
        <w:t>根据现行《建筑工程设计文件编制深度规定》、《市政公用工程设计文件编制深度规定》</w:t>
      </w:r>
      <w:r>
        <w:rPr>
          <w:rFonts w:hint="eastAsia" w:ascii="宋体" w:hAnsi="宋体" w:cs="宋体"/>
          <w:snapToGrid w:val="0"/>
          <w:color w:val="000000" w:themeColor="text1"/>
          <w:kern w:val="0"/>
          <w:sz w:val="24"/>
          <w:highlight w:val="none"/>
          <w:lang w:bidi="ar"/>
          <w14:textFill>
            <w14:solidFill>
              <w14:schemeClr w14:val="tx1"/>
            </w14:solidFill>
          </w14:textFill>
        </w:rPr>
        <w:t>中关于方案设计应达到的设计深度要求，同时根据</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甲方</w:t>
      </w:r>
      <w:r>
        <w:rPr>
          <w:rFonts w:hint="eastAsia" w:ascii="宋体" w:hAnsi="宋体" w:cs="宋体"/>
          <w:snapToGrid w:val="0"/>
          <w:color w:val="000000" w:themeColor="text1"/>
          <w:kern w:val="0"/>
          <w:sz w:val="24"/>
          <w:highlight w:val="none"/>
          <w:lang w:bidi="ar"/>
          <w14:textFill>
            <w14:solidFill>
              <w14:schemeClr w14:val="tx1"/>
            </w14:solidFill>
          </w14:textFill>
        </w:rPr>
        <w:t>专家评审意见及有关职能部门提出的修改意见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、规划部门关于本项目建设的意见</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等</w:t>
      </w:r>
      <w:r>
        <w:rPr>
          <w:rFonts w:hint="eastAsia" w:ascii="宋体" w:hAnsi="宋体" w:cs="宋体"/>
          <w:snapToGrid w:val="0"/>
          <w:color w:val="000000" w:themeColor="text1"/>
          <w:kern w:val="0"/>
          <w:sz w:val="24"/>
          <w:highlight w:val="none"/>
          <w:lang w:bidi="ar"/>
          <w14:textFill>
            <w14:solidFill>
              <w14:schemeClr w14:val="tx1"/>
            </w14:solidFill>
          </w14:textFill>
        </w:rPr>
        <w:t>，对甲方选定的设计方案进行修改和完善。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涉及如洁净实验室、冷库专项、田间工程温室大棚等特殊工艺专项、重点空间设计内容、技术方案对投资影响较大的设计内容，乙方应组织专家技术评审会，确保建设方案科学、经济合规。</w:t>
      </w:r>
    </w:p>
    <w:p w14:paraId="254049B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建筑工程设计方案审查</w:t>
      </w:r>
      <w:r>
        <w:rPr>
          <w:rFonts w:hint="eastAsia" w:ascii="宋体" w:hAnsi="宋体" w:eastAsia="宋体" w:cs="宋体"/>
          <w:color w:val="000000" w:themeColor="text1"/>
          <w:kern w:val="2"/>
          <w:sz w:val="24"/>
          <w:szCs w:val="24"/>
          <w:highlight w:val="none"/>
          <w14:textFill>
            <w14:solidFill>
              <w14:schemeClr w14:val="tx1"/>
            </w14:solidFill>
          </w14:textFill>
        </w:rPr>
        <w:t>、报审工作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（含修建性详细规划设计、调整工作，如有）</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：在编制设计方案过程中，根据业主需求对实际功能布局进行深化优化，在现行政策规定下完成设计方案审查并同步推进控制性详细规划修正（如有）。</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本项目用地红线范围内（具体以业主书面要求为准，含建设用地及农用地范围）包括但不限于总平面及竖向规划设计、管线综合设计、建筑布局、交通组织、建筑立面、各市政专项规划设计、景观规划设计、</w:t>
      </w:r>
      <w:r>
        <w:rPr>
          <w:rFonts w:hint="eastAsia" w:ascii="宋体" w:hAnsi="宋体" w:eastAsia="宋体" w:cs="宋体"/>
          <w:color w:val="000000" w:themeColor="text1"/>
          <w:kern w:val="0"/>
          <w:sz w:val="24"/>
          <w:szCs w:val="24"/>
          <w:highlight w:val="none"/>
          <w:u w:val="single"/>
          <w14:textFill>
            <w14:solidFill>
              <w14:schemeClr w14:val="tx1"/>
            </w14:solidFill>
          </w14:textFill>
        </w:rPr>
        <w:t>建筑平立面、</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场地建设规划、消防分析、日照分析、环境节能保护等（含修规编制及报审）。（具体以业主要求及规划报建主管部门最新政策要求为准）。</w:t>
      </w:r>
    </w:p>
    <w:p w14:paraId="499F817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总平面规划方案设计：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于委托人指定建设范围进行总体统筹规划设计，并结合批复立项分期建设情况与项目实际情况，完善分期建设设计方案与分期建设界面（若有）。总平面规划设计方案范围不小于用地红线范围，总体建设方案及分期实施方案（若有）需通过委托人确认及通过广州市政府投资项目联合审批</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p>
    <w:p w14:paraId="4AF5F667">
      <w:pPr>
        <w:adjustRightInd w:val="0"/>
        <w:snapToGrid w:val="0"/>
        <w:spacing w:line="360" w:lineRule="auto"/>
        <w:ind w:firstLine="480" w:firstLineChars="200"/>
        <w:rPr>
          <w:rFonts w:ascii="宋体" w:hAnsi="宋体" w:cs="宋体"/>
          <w:strike w:val="0"/>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strike w:val="0"/>
          <w:snapToGrid w:val="0"/>
          <w:color w:val="000000" w:themeColor="text1"/>
          <w:kern w:val="0"/>
          <w:sz w:val="24"/>
          <w:highlight w:val="none"/>
          <w:lang w:bidi="ar"/>
          <w14:textFill>
            <w14:solidFill>
              <w14:schemeClr w14:val="tx1"/>
            </w14:solidFill>
          </w14:textFill>
        </w:rPr>
        <w:t>（</w:t>
      </w:r>
      <w:r>
        <w:rPr>
          <w:rFonts w:hint="eastAsia" w:ascii="宋体" w:hAnsi="宋体" w:cs="宋体"/>
          <w:strike w:val="0"/>
          <w:snapToGrid w:val="0"/>
          <w:color w:val="000000" w:themeColor="text1"/>
          <w:kern w:val="0"/>
          <w:sz w:val="24"/>
          <w:highlight w:val="none"/>
          <w:lang w:val="en-US" w:eastAsia="zh-CN" w:bidi="ar"/>
          <w14:textFill>
            <w14:solidFill>
              <w14:schemeClr w14:val="tx1"/>
            </w14:solidFill>
          </w14:textFill>
        </w:rPr>
        <w:t>5</w:t>
      </w:r>
      <w:r>
        <w:rPr>
          <w:rFonts w:hint="eastAsia" w:ascii="宋体" w:hAnsi="宋体" w:cs="宋体"/>
          <w:strike w:val="0"/>
          <w:snapToGrid w:val="0"/>
          <w:color w:val="000000" w:themeColor="text1"/>
          <w:kern w:val="0"/>
          <w:sz w:val="24"/>
          <w:highlight w:val="none"/>
          <w:lang w:bidi="ar"/>
          <w14:textFill>
            <w14:solidFill>
              <w14:schemeClr w14:val="tx1"/>
            </w14:solidFill>
          </w14:textFill>
        </w:rPr>
        <w:t>）按照绿化行业主管部门审批要求，</w:t>
      </w:r>
      <w:r>
        <w:rPr>
          <w:rFonts w:hint="eastAsia" w:ascii="宋体" w:hAnsi="宋体" w:cs="宋体"/>
          <w:strike w:val="0"/>
          <w:snapToGrid w:val="0"/>
          <w:color w:val="000000" w:themeColor="text1"/>
          <w:kern w:val="0"/>
          <w:sz w:val="24"/>
          <w:highlight w:val="none"/>
          <w:u w:val="single"/>
          <w:lang w:bidi="ar"/>
          <w14:textFill>
            <w14:solidFill>
              <w14:schemeClr w14:val="tx1"/>
            </w14:solidFill>
          </w14:textFill>
        </w:rPr>
        <w:t>配合树木保护服务单位编制设计方案阶段的《树木保护专章》（编制深度按照《广州市城市树木保护专章编制技术指引》）。</w:t>
      </w:r>
    </w:p>
    <w:p w14:paraId="53CACDC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6</w:t>
      </w:r>
      <w:r>
        <w:rPr>
          <w:rFonts w:hint="eastAsia" w:ascii="宋体" w:hAnsi="宋体" w:cs="宋体"/>
          <w:snapToGrid w:val="0"/>
          <w:color w:val="000000" w:themeColor="text1"/>
          <w:kern w:val="0"/>
          <w:sz w:val="24"/>
          <w:highlight w:val="none"/>
          <w:lang w:bidi="ar"/>
          <w14:textFill>
            <w14:solidFill>
              <w14:schemeClr w14:val="tx1"/>
            </w14:solidFill>
          </w14:textFill>
        </w:rPr>
        <w:t>）室外市政、园林工程设计：</w:t>
      </w:r>
      <w:r>
        <w:rPr>
          <w:rFonts w:ascii="宋体" w:hAnsi="宋体" w:cs="宋体"/>
          <w:snapToGrid w:val="0"/>
          <w:color w:val="000000" w:themeColor="text1"/>
          <w:kern w:val="0"/>
          <w:sz w:val="24"/>
          <w:highlight w:val="none"/>
          <w:lang w:bidi="ar"/>
          <w14:textFill>
            <w14:solidFill>
              <w14:schemeClr w14:val="tx1"/>
            </w14:solidFill>
          </w14:textFill>
        </w:rPr>
        <w:t>本</w:t>
      </w:r>
      <w:r>
        <w:rPr>
          <w:rFonts w:hint="eastAsia" w:ascii="宋体" w:hAnsi="宋体" w:cs="宋体"/>
          <w:bCs/>
          <w:color w:val="000000" w:themeColor="text1"/>
          <w:kern w:val="0"/>
          <w:sz w:val="24"/>
          <w:highlight w:val="none"/>
          <w:u w:val="none"/>
          <w:lang w:bidi="ar"/>
          <w14:textFill>
            <w14:solidFill>
              <w14:schemeClr w14:val="tx1"/>
            </w14:solidFill>
          </w14:textFill>
        </w:rPr>
        <w:t>项目</w:t>
      </w:r>
      <w:r>
        <w:rPr>
          <w:rFonts w:hint="eastAsia" w:ascii="宋体" w:hAnsi="宋体" w:cs="宋体"/>
          <w:snapToGrid w:val="0"/>
          <w:color w:val="000000" w:themeColor="text1"/>
          <w:kern w:val="0"/>
          <w:sz w:val="24"/>
          <w:highlight w:val="none"/>
          <w:lang w:bidi="ar"/>
          <w14:textFill>
            <w14:solidFill>
              <w14:schemeClr w14:val="tx1"/>
            </w14:solidFill>
          </w14:textFill>
        </w:rPr>
        <w:t>范围内</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（含为满足项目建设使用涉及的红线范围外的建设内容的勘察设计）</w:t>
      </w:r>
      <w:r>
        <w:rPr>
          <w:rFonts w:hint="eastAsia" w:ascii="宋体" w:hAnsi="宋体" w:cs="宋体"/>
          <w:snapToGrid w:val="0"/>
          <w:color w:val="000000" w:themeColor="text1"/>
          <w:kern w:val="0"/>
          <w:sz w:val="24"/>
          <w:highlight w:val="none"/>
          <w:lang w:bidi="ar"/>
          <w14:textFill>
            <w14:solidFill>
              <w14:schemeClr w14:val="tx1"/>
            </w14:solidFill>
          </w14:textFill>
        </w:rPr>
        <w:t>的道路、园林景观绿化、停车场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（含停车场系统交道指引及标识系统等）</w:t>
      </w:r>
      <w:r>
        <w:rPr>
          <w:rFonts w:hint="eastAsia" w:ascii="宋体" w:hAnsi="宋体" w:cs="宋体"/>
          <w:snapToGrid w:val="0"/>
          <w:color w:val="000000" w:themeColor="text1"/>
          <w:kern w:val="0"/>
          <w:sz w:val="24"/>
          <w:highlight w:val="none"/>
          <w:lang w:bidi="ar"/>
          <w14:textFill>
            <w14:solidFill>
              <w14:schemeClr w14:val="tx1"/>
            </w14:solidFill>
          </w14:textFill>
        </w:rPr>
        <w:t>、供电系统、照明系统、广播音响系统、安全防范监视系统、大屏幕显示系统、标识系统、室外给排水系统、自动喷淋系统、消防系统等设计，室外各种管线综合平衡设计。</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道路、燃气等市政接驳工程（含各类接口工程）以及其他室外配套工程系统等设计。</w:t>
      </w:r>
    </w:p>
    <w:p w14:paraId="32BA6B51">
      <w:pPr>
        <w:adjustRightInd w:val="0"/>
        <w:snapToGrid w:val="0"/>
        <w:spacing w:line="360" w:lineRule="auto"/>
        <w:ind w:firstLine="480" w:firstLineChars="200"/>
        <w:rPr>
          <w:rFonts w:hint="eastAsia" w:ascii="宋体" w:hAnsi="宋体" w:cs="宋体" w:eastAsiaTheme="minorEastAsia"/>
          <w:snapToGrid w:val="0"/>
          <w:color w:val="000000" w:themeColor="text1"/>
          <w:kern w:val="0"/>
          <w:sz w:val="24"/>
          <w:highlight w:val="none"/>
          <w:lang w:eastAsia="zh-CN"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7</w:t>
      </w:r>
      <w:r>
        <w:rPr>
          <w:rFonts w:hint="eastAsia" w:ascii="宋体" w:hAnsi="宋体" w:cs="宋体"/>
          <w:snapToGrid w:val="0"/>
          <w:color w:val="000000" w:themeColor="text1"/>
          <w:kern w:val="0"/>
          <w:sz w:val="24"/>
          <w:highlight w:val="none"/>
          <w:lang w:bidi="ar"/>
          <w14:textFill>
            <w14:solidFill>
              <w14:schemeClr w14:val="tx1"/>
            </w14:solidFill>
          </w14:textFill>
        </w:rPr>
        <w:t>）基坑、边坡工程及土方平衡设计</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u w:val="single"/>
          <w:lang w:eastAsia="zh-CN" w:bidi="ar"/>
          <w14:textFill>
            <w14:solidFill>
              <w14:schemeClr w14:val="tx1"/>
            </w14:solidFill>
          </w14:textFill>
        </w:rPr>
        <w:t>基坑支护设计、主体建筑与附属建筑的砼结构与钢结构构架及雨蓬、地基处理、红线范围内不大于5m高的挡土墙及边坡等。</w:t>
      </w:r>
    </w:p>
    <w:p w14:paraId="0033C572">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8</w:t>
      </w:r>
      <w:r>
        <w:rPr>
          <w:rFonts w:hint="eastAsia" w:ascii="宋体" w:hAnsi="宋体" w:cs="宋体"/>
          <w:snapToGrid w:val="0"/>
          <w:color w:val="000000" w:themeColor="text1"/>
          <w:kern w:val="0"/>
          <w:sz w:val="24"/>
          <w:highlight w:val="none"/>
          <w:lang w:bidi="ar"/>
          <w14:textFill>
            <w14:solidFill>
              <w14:schemeClr w14:val="tx1"/>
            </w14:solidFill>
          </w14:textFill>
        </w:rPr>
        <w:t>）建筑设计：</w:t>
      </w:r>
      <w:r>
        <w:rPr>
          <w:rFonts w:hint="eastAsia" w:ascii="宋体" w:hAnsi="宋体" w:cs="宋体"/>
          <w:snapToGrid w:val="0"/>
          <w:color w:val="000000" w:themeColor="text1"/>
          <w:kern w:val="0"/>
          <w:sz w:val="24"/>
          <w:highlight w:val="none"/>
          <w:u w:val="single"/>
          <w:lang w:val="en-US" w:eastAsia="zh-CN" w:bidi="ar"/>
          <w14:textFill>
            <w14:solidFill>
              <w14:schemeClr w14:val="tx1"/>
            </w14:solidFill>
          </w14:textFill>
        </w:rPr>
        <w:t>建筑设计包括但不限于本项目合同范围内新建建筑设计、建筑防火设计、建筑环境分析、室内装修设计(含洁净实验室专项、标识系统)、田间工程温室大棚建筑设计。</w:t>
      </w:r>
    </w:p>
    <w:p w14:paraId="7D2F6D11">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9</w:t>
      </w:r>
      <w:r>
        <w:rPr>
          <w:rFonts w:hint="eastAsia" w:ascii="宋体" w:hAnsi="宋体" w:cs="宋体"/>
          <w:snapToGrid w:val="0"/>
          <w:color w:val="000000" w:themeColor="text1"/>
          <w:kern w:val="0"/>
          <w:sz w:val="24"/>
          <w:highlight w:val="none"/>
          <w:lang w:bidi="ar"/>
          <w14:textFill>
            <w14:solidFill>
              <w14:schemeClr w14:val="tx1"/>
            </w14:solidFill>
          </w14:textFill>
        </w:rPr>
        <w:t>）结构设计：</w:t>
      </w:r>
      <w:r>
        <w:rPr>
          <w:rFonts w:hint="eastAsia" w:ascii="宋体" w:hAnsi="宋体" w:cs="宋体"/>
          <w:snapToGrid w:val="0"/>
          <w:color w:val="000000" w:themeColor="text1"/>
          <w:kern w:val="0"/>
          <w:sz w:val="24"/>
          <w:highlight w:val="none"/>
          <w:u w:val="single"/>
          <w:lang w:val="en-US" w:eastAsia="zh-CN" w:bidi="ar"/>
          <w14:textFill>
            <w14:solidFill>
              <w14:schemeClr w14:val="tx1"/>
            </w14:solidFill>
          </w14:textFill>
        </w:rPr>
        <w:t>结构设计包括但不限于本项目合同范围内建筑体的结构设计、幕墙等装修工程、挡土墙护坡及室外工程、田间工程结构设计等。</w:t>
      </w:r>
      <w:r>
        <w:rPr>
          <w:rFonts w:ascii="宋体" w:hAnsi="宋体" w:cs="宋体"/>
          <w:snapToGrid w:val="0"/>
          <w:color w:val="000000" w:themeColor="text1"/>
          <w:kern w:val="0"/>
          <w:sz w:val="24"/>
          <w:highlight w:val="none"/>
          <w:lang w:bidi="ar"/>
          <w14:textFill>
            <w14:solidFill>
              <w14:schemeClr w14:val="tx1"/>
            </w14:solidFill>
          </w14:textFill>
        </w:rPr>
        <w:t>进行</w:t>
      </w:r>
      <w:r>
        <w:rPr>
          <w:rFonts w:hint="eastAsia" w:ascii="宋体" w:hAnsi="宋体" w:cs="宋体"/>
          <w:snapToGrid w:val="0"/>
          <w:color w:val="000000" w:themeColor="text1"/>
          <w:kern w:val="0"/>
          <w:sz w:val="24"/>
          <w:highlight w:val="none"/>
          <w:lang w:bidi="ar"/>
          <w14:textFill>
            <w14:solidFill>
              <w14:schemeClr w14:val="tx1"/>
            </w14:solidFill>
          </w14:textFill>
        </w:rPr>
        <w:t>装配式建筑的方案比选</w:t>
      </w:r>
      <w:r>
        <w:rPr>
          <w:rFonts w:ascii="宋体" w:hAnsi="宋体" w:cs="宋体"/>
          <w:snapToGrid w:val="0"/>
          <w:color w:val="000000" w:themeColor="text1"/>
          <w:kern w:val="0"/>
          <w:sz w:val="24"/>
          <w:highlight w:val="none"/>
          <w:lang w:bidi="ar"/>
          <w14:textFill>
            <w14:solidFill>
              <w14:schemeClr w14:val="tx1"/>
            </w14:solidFill>
          </w14:textFill>
        </w:rPr>
        <w:t>，以及完成改造范围建筑抗震等相关鉴定（如有）</w:t>
      </w:r>
      <w:r>
        <w:rPr>
          <w:rFonts w:hint="eastAsia" w:ascii="宋体" w:hAnsi="宋体" w:cs="宋体"/>
          <w:snapToGrid w:val="0"/>
          <w:color w:val="000000" w:themeColor="text1"/>
          <w:kern w:val="0"/>
          <w:sz w:val="24"/>
          <w:highlight w:val="none"/>
          <w:lang w:bidi="ar"/>
          <w14:textFill>
            <w14:solidFill>
              <w14:schemeClr w14:val="tx1"/>
            </w14:solidFill>
          </w14:textFill>
        </w:rPr>
        <w:t>。</w:t>
      </w:r>
    </w:p>
    <w:p w14:paraId="01BCA5A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Courier New"/>
          <w:color w:val="000000" w:themeColor="text1"/>
          <w:kern w:val="2"/>
          <w:sz w:val="24"/>
          <w:szCs w:val="24"/>
          <w:highlight w:val="none"/>
          <w14:textFill>
            <w14:solidFill>
              <w14:schemeClr w14:val="tx1"/>
            </w14:solidFill>
          </w14:textFill>
        </w:rPr>
      </w:pP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10</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空调通风设计</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空调通风设计包括不限于空调系统、采暖系统、通风系统、智能化机房空调系统（如网络机房、消控室等）、抗震支吊架、农业工程通风系统、热回收系统及其他能源有效利用设施装置系统。</w:t>
      </w:r>
    </w:p>
    <w:p w14:paraId="718175A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11</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给排水设计</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u w:val="single"/>
          <w14:textFill>
            <w14:solidFill>
              <w14:schemeClr w14:val="tx1"/>
            </w14:solidFill>
          </w14:textFill>
        </w:rPr>
        <w:t>给排水设计（含外水接入、接出部分需设计接至主管部门指定接口）</w:t>
      </w:r>
      <w:r>
        <w:rPr>
          <w:rFonts w:hint="eastAsia" w:ascii="宋体" w:hAnsi="宋体" w:eastAsia="宋体"/>
          <w:snapToGrid w:val="0"/>
          <w:color w:val="000000" w:themeColor="text1"/>
          <w:kern w:val="0"/>
          <w:sz w:val="24"/>
          <w:highlight w:val="none"/>
          <w:u w:val="single"/>
          <w14:textFill>
            <w14:solidFill>
              <w14:schemeClr w14:val="tx1"/>
            </w14:solidFill>
          </w14:textFill>
        </w:rPr>
        <w:t>包括但不限于用地红线范围内</w:t>
      </w:r>
      <w:r>
        <w:rPr>
          <w:rFonts w:hint="eastAsia" w:ascii="宋体" w:hAnsi="宋体" w:eastAsia="宋体"/>
          <w:snapToGrid w:val="0"/>
          <w:color w:val="000000" w:themeColor="text1"/>
          <w:kern w:val="0"/>
          <w:sz w:val="24"/>
          <w:highlight w:val="none"/>
          <w:u w:val="single"/>
          <w:lang w:eastAsia="zh-CN"/>
          <w14:textFill>
            <w14:solidFill>
              <w14:schemeClr w14:val="tx1"/>
            </w14:solidFill>
          </w14:textFill>
        </w:rPr>
        <w:t>，</w:t>
      </w:r>
      <w:r>
        <w:rPr>
          <w:rFonts w:hint="eastAsia" w:ascii="宋体" w:hAnsi="宋体" w:eastAsia="宋体"/>
          <w:snapToGrid w:val="0"/>
          <w:color w:val="000000" w:themeColor="text1"/>
          <w:kern w:val="0"/>
          <w:sz w:val="24"/>
          <w:highlight w:val="none"/>
          <w:u w:val="single"/>
          <w14:textFill>
            <w14:solidFill>
              <w14:schemeClr w14:val="tx1"/>
            </w14:solidFill>
          </w14:textFill>
        </w:rPr>
        <w:t>室内外生活冷热水给水系统</w:t>
      </w:r>
      <w:r>
        <w:rPr>
          <w:rFonts w:hint="eastAsia" w:ascii="宋体" w:hAnsi="宋体"/>
          <w:snapToGrid w:val="0"/>
          <w:color w:val="000000" w:themeColor="text1"/>
          <w:kern w:val="0"/>
          <w:sz w:val="24"/>
          <w:highlight w:val="none"/>
          <w:u w:val="single"/>
          <w14:textFill>
            <w14:solidFill>
              <w14:schemeClr w14:val="tx1"/>
            </w14:solidFill>
          </w14:textFill>
        </w:rPr>
        <w:t>（包含直饮水供水系统</w:t>
      </w:r>
      <w:r>
        <w:rPr>
          <w:rFonts w:hint="eastAsia" w:ascii="宋体" w:hAnsi="宋体"/>
          <w:snapToGrid w:val="0"/>
          <w:color w:val="000000" w:themeColor="text1"/>
          <w:kern w:val="0"/>
          <w:sz w:val="24"/>
          <w:highlight w:val="none"/>
          <w:u w:val="single"/>
          <w:lang w:eastAsia="zh-CN"/>
          <w14:textFill>
            <w14:solidFill>
              <w14:schemeClr w14:val="tx1"/>
            </w14:solidFill>
          </w14:textFill>
        </w:rPr>
        <w:t>）、</w:t>
      </w:r>
      <w:r>
        <w:rPr>
          <w:rFonts w:hint="eastAsia" w:ascii="宋体" w:hAnsi="宋体"/>
          <w:snapToGrid w:val="0"/>
          <w:color w:val="000000" w:themeColor="text1"/>
          <w:kern w:val="0"/>
          <w:sz w:val="24"/>
          <w:highlight w:val="none"/>
          <w:u w:val="single"/>
          <w:lang w:val="en-US" w:eastAsia="zh-CN"/>
          <w14:textFill>
            <w14:solidFill>
              <w14:schemeClr w14:val="tx1"/>
            </w14:solidFill>
          </w14:textFill>
        </w:rPr>
        <w:t>集中热水供应系统</w:t>
      </w:r>
      <w:r>
        <w:rPr>
          <w:rFonts w:hint="eastAsia" w:ascii="宋体" w:hAnsi="宋体" w:eastAsia="宋体"/>
          <w:snapToGrid w:val="0"/>
          <w:color w:val="000000" w:themeColor="text1"/>
          <w:kern w:val="0"/>
          <w:sz w:val="24"/>
          <w:highlight w:val="none"/>
          <w:u w:val="single"/>
          <w14:textFill>
            <w14:solidFill>
              <w14:schemeClr w14:val="tx1"/>
            </w14:solidFill>
          </w14:textFill>
        </w:rPr>
        <w:t>、污废水排水系统、雨水排水系统、雨水控制及利用系统、田</w:t>
      </w:r>
      <w:r>
        <w:rPr>
          <w:rFonts w:hint="eastAsia" w:ascii="宋体" w:hAnsi="宋体" w:eastAsia="宋体"/>
          <w:snapToGrid w:val="0"/>
          <w:color w:val="000000" w:themeColor="text1"/>
          <w:kern w:val="0"/>
          <w:sz w:val="24"/>
          <w:highlight w:val="none"/>
          <w:u w:val="single"/>
          <w:lang w:val="en-US" w:eastAsia="zh-CN"/>
          <w14:textFill>
            <w14:solidFill>
              <w14:schemeClr w14:val="tx1"/>
            </w14:solidFill>
          </w14:textFill>
        </w:rPr>
        <w:t>间</w:t>
      </w:r>
      <w:r>
        <w:rPr>
          <w:rFonts w:hint="eastAsia" w:ascii="宋体" w:hAnsi="宋体" w:eastAsia="宋体"/>
          <w:snapToGrid w:val="0"/>
          <w:color w:val="000000" w:themeColor="text1"/>
          <w:kern w:val="0"/>
          <w:sz w:val="24"/>
          <w:highlight w:val="none"/>
          <w:u w:val="single"/>
          <w14:textFill>
            <w14:solidFill>
              <w14:schemeClr w14:val="tx1"/>
            </w14:solidFill>
          </w14:textFill>
        </w:rPr>
        <w:t>工程灌溉及排涝调蓄设计</w:t>
      </w:r>
      <w:r>
        <w:rPr>
          <w:rFonts w:hint="eastAsia" w:ascii="宋体" w:hAnsi="宋体" w:eastAsia="宋体"/>
          <w:snapToGrid w:val="0"/>
          <w:color w:val="000000" w:themeColor="text1"/>
          <w:kern w:val="0"/>
          <w:sz w:val="24"/>
          <w:highlight w:val="none"/>
          <w:u w:val="single"/>
          <w:lang w:eastAsia="zh-CN"/>
          <w14:textFill>
            <w14:solidFill>
              <w14:schemeClr w14:val="tx1"/>
            </w14:solidFill>
          </w14:textFill>
        </w:rPr>
        <w:t>，</w:t>
      </w:r>
      <w:r>
        <w:rPr>
          <w:rFonts w:hint="eastAsia" w:ascii="宋体" w:hAnsi="宋体" w:eastAsia="宋体"/>
          <w:snapToGrid w:val="0"/>
          <w:color w:val="000000" w:themeColor="text1"/>
          <w:kern w:val="0"/>
          <w:sz w:val="24"/>
          <w:highlight w:val="none"/>
          <w:u w:val="single"/>
          <w14:textFill>
            <w14:solidFill>
              <w14:schemeClr w14:val="tx1"/>
            </w14:solidFill>
          </w14:textFill>
        </w:rPr>
        <w:t>园林绿化配套的给排水系统和用地内与市政管线接驳设计。</w:t>
      </w:r>
    </w:p>
    <w:p w14:paraId="178BB8D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12</w:t>
      </w:r>
      <w:r>
        <w:rPr>
          <w:rFonts w:hint="eastAsia" w:ascii="宋体" w:hAnsi="宋体" w:cs="宋体"/>
          <w:snapToGrid w:val="0"/>
          <w:color w:val="000000" w:themeColor="text1"/>
          <w:kern w:val="0"/>
          <w:sz w:val="24"/>
          <w:highlight w:val="none"/>
          <w:lang w:bidi="ar"/>
          <w14:textFill>
            <w14:solidFill>
              <w14:schemeClr w14:val="tx1"/>
            </w14:solidFill>
          </w14:textFill>
        </w:rPr>
        <w:t>）电气设计：</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电气设计（含外电接入、接出部分，需设计接至主管部门指定接口）包括但不限于</w:t>
      </w:r>
      <w:r>
        <w:rPr>
          <w:rFonts w:hint="eastAsia" w:ascii="宋体" w:hAnsi="宋体"/>
          <w:snapToGrid w:val="0"/>
          <w:color w:val="000000" w:themeColor="text1"/>
          <w:kern w:val="0"/>
          <w:sz w:val="24"/>
          <w:highlight w:val="none"/>
          <w:u w:val="single"/>
          <w14:textFill>
            <w14:solidFill>
              <w14:schemeClr w14:val="tx1"/>
            </w14:solidFill>
          </w14:textFill>
        </w:rPr>
        <w:t>高低压变配电系统、</w:t>
      </w:r>
      <w:r>
        <w:rPr>
          <w:rFonts w:hint="eastAsia" w:ascii="宋体" w:hAnsi="宋体" w:eastAsia="宋体" w:cs="宋体"/>
          <w:color w:val="000000" w:themeColor="text1"/>
          <w:kern w:val="0"/>
          <w:sz w:val="24"/>
          <w:szCs w:val="24"/>
          <w:highlight w:val="none"/>
          <w:u w:val="single"/>
          <w14:textFill>
            <w14:solidFill>
              <w14:schemeClr w14:val="tx1"/>
            </w14:solidFill>
          </w14:textFill>
        </w:rPr>
        <w:t>UPS不间断电源、备用电源系统、</w:t>
      </w:r>
      <w:r>
        <w:rPr>
          <w:rFonts w:hint="eastAsia" w:ascii="宋体" w:hAnsi="宋体"/>
          <w:snapToGrid w:val="0"/>
          <w:color w:val="000000" w:themeColor="text1"/>
          <w:kern w:val="0"/>
          <w:sz w:val="24"/>
          <w:highlight w:val="none"/>
          <w:u w:val="single"/>
          <w14:textFill>
            <w14:solidFill>
              <w14:schemeClr w14:val="tx1"/>
            </w14:solidFill>
          </w14:textFill>
        </w:rPr>
        <w:t>动力、照明配电、消防应急照明和疏散指示系统</w:t>
      </w:r>
      <w:r>
        <w:rPr>
          <w:rFonts w:hint="eastAsia" w:ascii="宋体" w:hAnsi="宋体"/>
          <w:snapToGrid w:val="0"/>
          <w:color w:val="000000" w:themeColor="text1"/>
          <w:kern w:val="0"/>
          <w:sz w:val="24"/>
          <w:highlight w:val="none"/>
          <w:u w:val="single"/>
          <w:lang w:eastAsia="zh-CN"/>
          <w14:textFill>
            <w14:solidFill>
              <w14:schemeClr w14:val="tx1"/>
            </w14:solidFill>
          </w14:textFill>
        </w:rPr>
        <w:t>、</w:t>
      </w:r>
      <w:r>
        <w:rPr>
          <w:rFonts w:hint="eastAsia" w:ascii="宋体" w:hAnsi="宋体"/>
          <w:snapToGrid w:val="0"/>
          <w:color w:val="000000" w:themeColor="text1"/>
          <w:kern w:val="0"/>
          <w:sz w:val="24"/>
          <w:highlight w:val="none"/>
          <w:u w:val="single"/>
          <w14:textFill>
            <w14:solidFill>
              <w14:schemeClr w14:val="tx1"/>
            </w14:solidFill>
          </w14:textFill>
        </w:rPr>
        <w:t>防雷及接地</w:t>
      </w:r>
      <w:r>
        <w:rPr>
          <w:rFonts w:hint="eastAsia" w:ascii="宋体" w:hAnsi="宋体"/>
          <w:snapToGrid w:val="0"/>
          <w:color w:val="000000" w:themeColor="text1"/>
          <w:kern w:val="0"/>
          <w:sz w:val="24"/>
          <w:highlight w:val="none"/>
          <w:u w:val="single"/>
          <w:lang w:eastAsia="zh-CN"/>
          <w14:textFill>
            <w14:solidFill>
              <w14:schemeClr w14:val="tx1"/>
            </w14:solidFill>
          </w14:textFill>
        </w:rPr>
        <w:t>；田间工程及</w:t>
      </w:r>
      <w:r>
        <w:rPr>
          <w:rFonts w:hint="eastAsia" w:ascii="宋体" w:hAnsi="宋体"/>
          <w:snapToGrid w:val="0"/>
          <w:color w:val="000000" w:themeColor="text1"/>
          <w:kern w:val="0"/>
          <w:sz w:val="24"/>
          <w:highlight w:val="none"/>
          <w:u w:val="single"/>
          <w14:textFill>
            <w14:solidFill>
              <w14:schemeClr w14:val="tx1"/>
            </w14:solidFill>
          </w14:textFill>
        </w:rPr>
        <w:t>室外配套工程配电和照明工程（含泛光照明）</w:t>
      </w:r>
      <w:r>
        <w:rPr>
          <w:rFonts w:hint="eastAsia" w:ascii="宋体" w:hAnsi="宋体"/>
          <w:snapToGrid w:val="0"/>
          <w:color w:val="000000" w:themeColor="text1"/>
          <w:kern w:val="0"/>
          <w:sz w:val="24"/>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外电接入(按照《广州市住房和城乡建设委员会 广州供电局有限公司关于供电设施投资界面调整有关工作的通知》（穗建公共[2015]982号，如有新规则按新规执行），需完成本项目投资建设界面内的供电设施设计)，充电桩配电系统、</w:t>
      </w:r>
      <w:r>
        <w:rPr>
          <w:rFonts w:hint="eastAsia" w:ascii="宋体" w:hAnsi="宋体"/>
          <w:snapToGrid w:val="0"/>
          <w:color w:val="000000" w:themeColor="text1"/>
          <w:kern w:val="0"/>
          <w:sz w:val="24"/>
          <w:highlight w:val="none"/>
          <w:u w:val="single"/>
          <w14:textFill>
            <w14:solidFill>
              <w14:schemeClr w14:val="tx1"/>
            </w14:solidFill>
          </w14:textFill>
        </w:rPr>
        <w:t>红线内电力等管线平衡</w:t>
      </w:r>
      <w:r>
        <w:rPr>
          <w:rFonts w:hint="eastAsia" w:ascii="宋体" w:hAnsi="宋体"/>
          <w:snapToGrid w:val="0"/>
          <w:color w:val="000000" w:themeColor="text1"/>
          <w:kern w:val="0"/>
          <w:sz w:val="24"/>
          <w:highlight w:val="none"/>
          <w:u w:val="single"/>
          <w:lang w:eastAsia="zh-CN"/>
          <w14:textFill>
            <w14:solidFill>
              <w14:schemeClr w14:val="tx1"/>
            </w14:solidFill>
          </w14:textFill>
        </w:rPr>
        <w:t>；</w:t>
      </w:r>
      <w:r>
        <w:rPr>
          <w:rFonts w:hint="eastAsia" w:ascii="宋体" w:hAnsi="宋体"/>
          <w:snapToGrid w:val="0"/>
          <w:color w:val="000000" w:themeColor="text1"/>
          <w:kern w:val="0"/>
          <w:sz w:val="24"/>
          <w:highlight w:val="none"/>
          <w:u w:val="single"/>
          <w14:textFill>
            <w14:solidFill>
              <w14:schemeClr w14:val="tx1"/>
            </w14:solidFill>
          </w14:textFill>
        </w:rPr>
        <w:t>永久用电10kV供电工程设计</w:t>
      </w:r>
      <w:r>
        <w:rPr>
          <w:rFonts w:hint="eastAsia" w:ascii="宋体" w:hAnsi="宋体" w:cs="宋体"/>
          <w:snapToGrid w:val="0"/>
          <w:color w:val="000000" w:themeColor="text1"/>
          <w:kern w:val="0"/>
          <w:sz w:val="24"/>
          <w:highlight w:val="none"/>
          <w:u w:val="single"/>
          <w:lang w:bidi="ar"/>
          <w14:textFill>
            <w14:solidFill>
              <w14:schemeClr w14:val="tx1"/>
            </w14:solidFill>
          </w14:textFill>
        </w:rPr>
        <w:t>。</w:t>
      </w:r>
    </w:p>
    <w:p w14:paraId="45E474AE">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13</w:t>
      </w:r>
      <w:r>
        <w:rPr>
          <w:rFonts w:hint="eastAsia" w:ascii="宋体" w:hAnsi="宋体" w:cs="宋体"/>
          <w:snapToGrid w:val="0"/>
          <w:color w:val="000000" w:themeColor="text1"/>
          <w:kern w:val="0"/>
          <w:sz w:val="24"/>
          <w:highlight w:val="none"/>
          <w:lang w:bidi="ar"/>
          <w14:textFill>
            <w14:solidFill>
              <w14:schemeClr w14:val="tx1"/>
            </w14:solidFill>
          </w14:textFill>
        </w:rPr>
        <w:t>）建筑智能化系统设计：</w:t>
      </w:r>
    </w:p>
    <w:p w14:paraId="32242888">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1）通信网络系统：包括计算机网络系统、电话（语音）网络系统、综合布线系统、有线电视及卫星电视接收系统、公共广播及消防广播系统、引导系统、手机信号覆盖系统、室内手机信号屏蔽系统、无线上网系统等；</w:t>
      </w:r>
    </w:p>
    <w:p w14:paraId="0998C43E">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2</w:t>
      </w:r>
      <w:r>
        <w:rPr>
          <w:rFonts w:hint="eastAsia" w:ascii="宋体" w:hAnsi="宋体" w:cs="宋体"/>
          <w:snapToGrid w:val="0"/>
          <w:color w:val="000000" w:themeColor="text1"/>
          <w:kern w:val="0"/>
          <w:sz w:val="24"/>
          <w:highlight w:val="none"/>
          <w:lang w:bidi="ar"/>
          <w14:textFill>
            <w14:solidFill>
              <w14:schemeClr w14:val="tx1"/>
            </w14:solidFill>
          </w14:textFill>
        </w:rPr>
        <w:t>）建筑设备监控系统；</w:t>
      </w:r>
    </w:p>
    <w:p w14:paraId="7AD9987D">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3</w:t>
      </w:r>
      <w:r>
        <w:rPr>
          <w:rFonts w:hint="eastAsia" w:ascii="宋体" w:hAnsi="宋体" w:cs="宋体"/>
          <w:snapToGrid w:val="0"/>
          <w:color w:val="000000" w:themeColor="text1"/>
          <w:kern w:val="0"/>
          <w:sz w:val="24"/>
          <w:highlight w:val="none"/>
          <w:lang w:bidi="ar"/>
          <w14:textFill>
            <w14:solidFill>
              <w14:schemeClr w14:val="tx1"/>
            </w14:solidFill>
          </w14:textFill>
        </w:rPr>
        <w:t>）安全防范系统：包括入侵报警系统、视频监控系统、出入口控制系统、电子巡更系统、停车场管理系统、智能卡系统、安全防范系统集成（设计范围内的所有建筑、公众区域、停车场、出入口通道等区域的安保设计）等；</w:t>
      </w:r>
    </w:p>
    <w:p w14:paraId="658AE02D">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4</w:t>
      </w:r>
      <w:r>
        <w:rPr>
          <w:rFonts w:hint="eastAsia" w:ascii="宋体" w:hAnsi="宋体" w:cs="宋体"/>
          <w:snapToGrid w:val="0"/>
          <w:color w:val="000000" w:themeColor="text1"/>
          <w:kern w:val="0"/>
          <w:sz w:val="24"/>
          <w:highlight w:val="none"/>
          <w:lang w:bidi="ar"/>
          <w14:textFill>
            <w14:solidFill>
              <w14:schemeClr w14:val="tx1"/>
            </w14:solidFill>
          </w14:textFill>
        </w:rPr>
        <w:t>）弱电防雷系统；</w:t>
      </w:r>
    </w:p>
    <w:p w14:paraId="3148FE9B">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5</w:t>
      </w:r>
      <w:r>
        <w:rPr>
          <w:rFonts w:hint="eastAsia" w:ascii="宋体" w:hAnsi="宋体" w:cs="宋体"/>
          <w:snapToGrid w:val="0"/>
          <w:color w:val="000000" w:themeColor="text1"/>
          <w:kern w:val="0"/>
          <w:sz w:val="24"/>
          <w:highlight w:val="none"/>
          <w:lang w:bidi="ar"/>
          <w14:textFill>
            <w14:solidFill>
              <w14:schemeClr w14:val="tx1"/>
            </w14:solidFill>
          </w14:textFill>
        </w:rPr>
        <w:t>）机房工程；</w:t>
      </w:r>
    </w:p>
    <w:p w14:paraId="6E84D112">
      <w:pPr>
        <w:adjustRightInd w:val="0"/>
        <w:snapToGrid w:val="0"/>
        <w:spacing w:line="360" w:lineRule="auto"/>
        <w:ind w:firstLine="480" w:firstLineChars="200"/>
        <w:rPr>
          <w:rFonts w:hint="eastAsia" w:ascii="宋体" w:hAnsi="宋体" w:cs="宋体" w:eastAsiaTheme="minorEastAsia"/>
          <w:snapToGrid w:val="0"/>
          <w:color w:val="000000" w:themeColor="text1"/>
          <w:kern w:val="0"/>
          <w:sz w:val="24"/>
          <w:highlight w:val="none"/>
          <w:lang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6</w:t>
      </w:r>
      <w:r>
        <w:rPr>
          <w:rFonts w:hint="eastAsia" w:ascii="宋体" w:hAnsi="宋体" w:cs="宋体"/>
          <w:snapToGrid w:val="0"/>
          <w:color w:val="000000" w:themeColor="text1"/>
          <w:kern w:val="0"/>
          <w:sz w:val="24"/>
          <w:highlight w:val="none"/>
          <w:lang w:bidi="ar"/>
          <w14:textFill>
            <w14:solidFill>
              <w14:schemeClr w14:val="tx1"/>
            </w14:solidFill>
          </w14:textFill>
        </w:rPr>
        <w:t>）监控中心</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p>
    <w:p w14:paraId="3A6B4111">
      <w:pPr>
        <w:adjustRightInd w:val="0"/>
        <w:snapToGrid w:val="0"/>
        <w:spacing w:line="360" w:lineRule="auto"/>
        <w:ind w:firstLine="480" w:firstLineChars="200"/>
        <w:rPr>
          <w:rFonts w:hint="eastAsia" w:ascii="宋体" w:hAnsi="宋体" w:cs="宋体" w:eastAsiaTheme="minorEastAsia"/>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14</w:t>
      </w:r>
      <w:r>
        <w:rPr>
          <w:rFonts w:hint="eastAsia" w:ascii="宋体" w:hAnsi="宋体" w:cs="宋体"/>
          <w:snapToGrid w:val="0"/>
          <w:color w:val="000000" w:themeColor="text1"/>
          <w:kern w:val="0"/>
          <w:sz w:val="24"/>
          <w:highlight w:val="none"/>
          <w:lang w:bidi="ar"/>
          <w14:textFill>
            <w14:solidFill>
              <w14:schemeClr w14:val="tx1"/>
            </w14:solidFill>
          </w14:textFill>
        </w:rPr>
        <w:t>）建筑节能、绿色建筑设计</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u w:val="single"/>
          <w:lang w:eastAsia="zh-CN" w:bidi="ar"/>
          <w14:textFill>
            <w14:solidFill>
              <w14:schemeClr w14:val="tx1"/>
            </w14:solidFill>
          </w14:textFill>
        </w:rPr>
        <w:t>建筑节能、绿色建筑设计包括但不限于节能、环保、绿色建筑等专项工程设计。根据绿色建筑相关规定，开展项目绿色建筑设计工作，负责绿色建筑设计申报资料并获得绿色建筑设计标识。</w:t>
      </w:r>
    </w:p>
    <w:p w14:paraId="4FEACE3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15</w:t>
      </w:r>
      <w:r>
        <w:rPr>
          <w:rFonts w:hint="eastAsia" w:ascii="宋体" w:hAnsi="宋体" w:cs="宋体"/>
          <w:snapToGrid w:val="0"/>
          <w:color w:val="000000" w:themeColor="text1"/>
          <w:kern w:val="0"/>
          <w:sz w:val="24"/>
          <w:highlight w:val="none"/>
          <w:lang w:bidi="ar"/>
          <w14:textFill>
            <w14:solidFill>
              <w14:schemeClr w14:val="tx1"/>
            </w14:solidFill>
          </w14:textFill>
        </w:rPr>
        <w:t>）标识导引系统设计</w:t>
      </w:r>
    </w:p>
    <w:p w14:paraId="5B5F16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16</w:t>
      </w:r>
      <w:r>
        <w:rPr>
          <w:rFonts w:hint="eastAsia" w:ascii="宋体" w:hAnsi="宋体" w:cs="宋体"/>
          <w:snapToGrid w:val="0"/>
          <w:color w:val="000000" w:themeColor="text1"/>
          <w:kern w:val="0"/>
          <w:sz w:val="24"/>
          <w:highlight w:val="none"/>
          <w:lang w:bidi="ar"/>
          <w14:textFill>
            <w14:solidFill>
              <w14:schemeClr w14:val="tx1"/>
            </w14:solidFill>
          </w14:textFill>
        </w:rPr>
        <w:t>）人防工程设计</w:t>
      </w:r>
    </w:p>
    <w:p w14:paraId="75ABD01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17</w:t>
      </w:r>
      <w:r>
        <w:rPr>
          <w:rFonts w:hint="eastAsia" w:ascii="宋体" w:hAnsi="宋体" w:cs="宋体"/>
          <w:snapToGrid w:val="0"/>
          <w:color w:val="000000" w:themeColor="text1"/>
          <w:kern w:val="0"/>
          <w:sz w:val="24"/>
          <w:highlight w:val="none"/>
          <w:lang w:bidi="ar"/>
          <w14:textFill>
            <w14:solidFill>
              <w14:schemeClr w14:val="tx1"/>
            </w14:solidFill>
          </w14:textFill>
        </w:rPr>
        <w:t>）电梯工程设计</w:t>
      </w:r>
    </w:p>
    <w:p w14:paraId="738E294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18</w:t>
      </w:r>
      <w:r>
        <w:rPr>
          <w:rFonts w:hint="eastAsia" w:ascii="宋体" w:hAnsi="宋体" w:cs="宋体"/>
          <w:snapToGrid w:val="0"/>
          <w:color w:val="000000" w:themeColor="text1"/>
          <w:kern w:val="0"/>
          <w:sz w:val="24"/>
          <w:highlight w:val="none"/>
          <w:lang w:bidi="ar"/>
          <w14:textFill>
            <w14:solidFill>
              <w14:schemeClr w14:val="tx1"/>
            </w14:solidFill>
          </w14:textFill>
        </w:rPr>
        <w:t>）环保工程设计</w:t>
      </w:r>
    </w:p>
    <w:p w14:paraId="7B8C35A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19</w:t>
      </w:r>
      <w:r>
        <w:rPr>
          <w:rFonts w:hint="eastAsia" w:ascii="宋体" w:hAnsi="宋体" w:cs="宋体"/>
          <w:snapToGrid w:val="0"/>
          <w:color w:val="000000" w:themeColor="text1"/>
          <w:kern w:val="0"/>
          <w:sz w:val="24"/>
          <w:highlight w:val="none"/>
          <w:lang w:bidi="ar"/>
          <w14:textFill>
            <w14:solidFill>
              <w14:schemeClr w14:val="tx1"/>
            </w14:solidFill>
          </w14:textFill>
        </w:rPr>
        <w:t>）消防设计：</w:t>
      </w:r>
      <w:r>
        <w:rPr>
          <w:rFonts w:hint="eastAsia" w:ascii="宋体" w:hAnsi="宋体" w:eastAsia="宋体"/>
          <w:snapToGrid w:val="0"/>
          <w:color w:val="000000" w:themeColor="text1"/>
          <w:kern w:val="0"/>
          <w:sz w:val="24"/>
          <w:highlight w:val="none"/>
          <w:u w:val="single"/>
          <w14:textFill>
            <w14:solidFill>
              <w14:schemeClr w14:val="tx1"/>
            </w14:solidFill>
          </w14:textFill>
        </w:rPr>
        <w:t>消防设计包括但不限于室内外消火栓系统、自动灭火系统、建筑灭火器设计</w:t>
      </w:r>
      <w:r>
        <w:rPr>
          <w:rFonts w:hint="eastAsia" w:ascii="宋体" w:hAnsi="宋体" w:eastAsia="宋体"/>
          <w:snapToGrid w:val="0"/>
          <w:color w:val="000000" w:themeColor="text1"/>
          <w:kern w:val="0"/>
          <w:sz w:val="24"/>
          <w:highlight w:val="none"/>
          <w:u w:val="single"/>
          <w:lang w:eastAsia="zh-CN"/>
          <w14:textFill>
            <w14:solidFill>
              <w14:schemeClr w14:val="tx1"/>
            </w14:solidFill>
          </w14:textFill>
        </w:rPr>
        <w:t>、</w:t>
      </w:r>
      <w:r>
        <w:rPr>
          <w:rFonts w:hint="eastAsia" w:ascii="宋体" w:hAnsi="宋体" w:eastAsia="宋体"/>
          <w:snapToGrid w:val="0"/>
          <w:color w:val="000000" w:themeColor="text1"/>
          <w:kern w:val="0"/>
          <w:sz w:val="24"/>
          <w:highlight w:val="none"/>
          <w:u w:val="single"/>
          <w14:textFill>
            <w14:solidFill>
              <w14:schemeClr w14:val="tx1"/>
            </w14:solidFill>
          </w14:textFill>
        </w:rPr>
        <w:t>防排烟系统、火灾自动报警及联动控制系统。</w:t>
      </w:r>
    </w:p>
    <w:p w14:paraId="7867F2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000000" w:themeColor="text1"/>
          <w:kern w:val="0"/>
          <w:sz w:val="24"/>
          <w:highlight w:val="none"/>
          <w:u w:val="singl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20</w:t>
      </w:r>
      <w:r>
        <w:rPr>
          <w:rFonts w:hint="eastAsia" w:ascii="宋体" w:hAnsi="宋体" w:cs="宋体"/>
          <w:snapToGrid w:val="0"/>
          <w:color w:val="000000" w:themeColor="text1"/>
          <w:kern w:val="0"/>
          <w:sz w:val="24"/>
          <w:highlight w:val="none"/>
          <w:lang w:bidi="ar"/>
          <w14:textFill>
            <w14:solidFill>
              <w14:schemeClr w14:val="tx1"/>
            </w14:solidFill>
          </w14:textFill>
        </w:rPr>
        <w:t>）幕墙工程</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Courier New"/>
          <w:snapToGrid w:val="0"/>
          <w:color w:val="000000" w:themeColor="text1"/>
          <w:sz w:val="24"/>
          <w:szCs w:val="21"/>
          <w:highlight w:val="none"/>
          <w14:textFill>
            <w14:solidFill>
              <w14:schemeClr w14:val="tx1"/>
            </w14:solidFill>
          </w14:textFill>
        </w:rPr>
        <w:t>设计深度必须达到按国家相关法律法规、行业规范要求的施工图设计深度，同时满足财政主管部门对施工图预算编制及评审的要求。须进行技术方案比选分析。如果需要深化设计，设计单位应提前将深化设计清单报审发包人同意；若审核同意后确需深化设计的，设计单位应在施工图纸明确提出</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p>
    <w:p w14:paraId="7CC5A5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21</w:t>
      </w:r>
      <w:r>
        <w:rPr>
          <w:rFonts w:hint="eastAsia" w:ascii="宋体" w:hAnsi="宋体" w:cs="宋体"/>
          <w:snapToGrid w:val="0"/>
          <w:color w:val="000000" w:themeColor="text1"/>
          <w:kern w:val="0"/>
          <w:sz w:val="24"/>
          <w:highlight w:val="none"/>
          <w:lang w:bidi="ar"/>
          <w14:textFill>
            <w14:solidFill>
              <w14:schemeClr w14:val="tx1"/>
            </w14:solidFill>
          </w14:textFill>
        </w:rPr>
        <w:t>）防雷设计</w:t>
      </w:r>
    </w:p>
    <w:p w14:paraId="3340E2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22</w:t>
      </w:r>
      <w:r>
        <w:rPr>
          <w:rFonts w:hint="eastAsia" w:ascii="宋体" w:hAnsi="宋体" w:cs="宋体"/>
          <w:snapToGrid w:val="0"/>
          <w:color w:val="000000" w:themeColor="text1"/>
          <w:kern w:val="0"/>
          <w:sz w:val="24"/>
          <w:highlight w:val="none"/>
          <w:lang w:bidi="ar"/>
          <w14:textFill>
            <w14:solidFill>
              <w14:schemeClr w14:val="tx1"/>
            </w14:solidFill>
          </w14:textFill>
        </w:rPr>
        <w:t>）厨房设计</w:t>
      </w:r>
    </w:p>
    <w:p w14:paraId="475177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23</w:t>
      </w:r>
      <w:r>
        <w:rPr>
          <w:rFonts w:hint="eastAsia" w:ascii="宋体" w:hAnsi="宋体" w:cs="宋体"/>
          <w:snapToGrid w:val="0"/>
          <w:color w:val="000000" w:themeColor="text1"/>
          <w:kern w:val="0"/>
          <w:sz w:val="24"/>
          <w:highlight w:val="none"/>
          <w:lang w:bidi="ar"/>
          <w14:textFill>
            <w14:solidFill>
              <w14:schemeClr w14:val="tx1"/>
            </w14:solidFill>
          </w14:textFill>
        </w:rPr>
        <w:t>）特殊工艺设计</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乙方</w:t>
      </w:r>
      <w:r>
        <w:rPr>
          <w:rFonts w:hint="eastAsia" w:ascii="宋体" w:hAnsi="宋体" w:cs="宋体"/>
          <w:snapToGrid w:val="0"/>
          <w:color w:val="000000" w:themeColor="text1"/>
          <w:kern w:val="0"/>
          <w:sz w:val="24"/>
          <w:highlight w:val="none"/>
          <w:lang w:eastAsia="zh-CN" w:bidi="ar"/>
          <w14:textFill>
            <w14:solidFill>
              <w14:schemeClr w14:val="tx1"/>
            </w14:solidFill>
          </w14:textFill>
        </w:rPr>
        <w:t>应按照项目的冷库、洁净实验室、田间工程温室大棚、声学、光学等特殊工艺设计要求进行建筑、结构及其配套设备专业的设计与相关配合。</w:t>
      </w:r>
    </w:p>
    <w:p w14:paraId="3F0D0D5A">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24</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eastAsia="zh-CN" w:bidi="ar"/>
          <w14:textFill>
            <w14:solidFill>
              <w14:schemeClr w14:val="tx1"/>
            </w14:solidFill>
          </w14:textFill>
        </w:rPr>
        <w:t>智能建造</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设计</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满足广州市对于装配式建筑、装配式装修、模块化建筑等最新政策要求的相关设计</w:t>
      </w:r>
      <w:r>
        <w:rPr>
          <w:rFonts w:hint="eastAsia" w:ascii="宋体" w:hAnsi="宋体"/>
          <w:snapToGrid w:val="0"/>
          <w:color w:val="000000" w:themeColor="text1"/>
          <w:kern w:val="0"/>
          <w:sz w:val="24"/>
          <w:highlight w:val="none"/>
          <w:lang w:eastAsia="zh-CN"/>
          <w14:textFill>
            <w14:solidFill>
              <w14:schemeClr w14:val="tx1"/>
            </w14:solidFill>
          </w14:textFill>
        </w:rPr>
        <w:t>。</w:t>
      </w:r>
    </w:p>
    <w:p w14:paraId="2DFA5094">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25</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海绵城市专篇</w:t>
      </w:r>
    </w:p>
    <w:p w14:paraId="7DB47447">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26</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项目5G通信基础配套设施及室内分布系统设计</w:t>
      </w:r>
    </w:p>
    <w:p w14:paraId="52412B3A">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27</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光伏设计</w:t>
      </w:r>
    </w:p>
    <w:p w14:paraId="015F9A70">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28</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机械停车设计</w:t>
      </w:r>
    </w:p>
    <w:p w14:paraId="27B6CF82">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29</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抗震支架设计</w:t>
      </w:r>
    </w:p>
    <w:p w14:paraId="3CCE8176">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30</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绿色建筑设计</w:t>
      </w:r>
    </w:p>
    <w:p w14:paraId="4B55E743">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31</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室外工程设计</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乙方应按照建设范围开展室外工程规划设计，包括但不限于道路、园林景观绿化、停车场、供电系统、照明系统、广播音响系统、安全防范监视系统、大屏幕显示系统、室外给排水系统、自动喷淋系统、消防系统以及室外各种管线综合平衡设计工作，田间工程设计，市政接驳工程设计（道路、给排水、燃气、通信的具体接驳设计）</w:t>
      </w:r>
      <w:r>
        <w:rPr>
          <w:rFonts w:hint="eastAsia" w:ascii="宋体" w:hAnsi="宋体"/>
          <w:snapToGrid w:val="0"/>
          <w:color w:val="000000" w:themeColor="text1"/>
          <w:kern w:val="0"/>
          <w:sz w:val="24"/>
          <w:highlight w:val="none"/>
          <w:lang w:eastAsia="zh-CN"/>
          <w14:textFill>
            <w14:solidFill>
              <w14:schemeClr w14:val="tx1"/>
            </w14:solidFill>
          </w14:textFill>
        </w:rPr>
        <w:t>。</w:t>
      </w:r>
    </w:p>
    <w:p w14:paraId="258BD624">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32</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临水、临电、施工围墙、施工便道、施工总平面等工程设计</w:t>
      </w:r>
    </w:p>
    <w:p w14:paraId="2D280C1C">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33</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本项目实施过程中所涉及的现有设施拆除、管线迁改设计</w:t>
      </w:r>
    </w:p>
    <w:p w14:paraId="50DAE5BD">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34</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管线综合平衡设计</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管线综合平衡设计包括各种专业设备、系统的管线在建筑物内、外的路由平衡设计。</w:t>
      </w:r>
      <w:r>
        <w:rPr>
          <w:rFonts w:hint="eastAsia" w:ascii="宋体" w:hAnsi="宋体"/>
          <w:snapToGrid w:val="0"/>
          <w:color w:val="000000" w:themeColor="text1"/>
          <w:kern w:val="0"/>
          <w:sz w:val="24"/>
          <w:highlight w:val="none"/>
          <w:lang w:eastAsia="zh-CN"/>
          <w14:textFill>
            <w14:solidFill>
              <w14:schemeClr w14:val="tx1"/>
            </w14:solidFill>
          </w14:textFill>
        </w:rPr>
        <w:t>各种专业设备、系统的管线在建筑物内系统设计、外的路由平衡设计(要求小管线、线槽做穿梁设计)，进行技术方案比选分析，所有管线不同平面、剖面画出具体定位，画至末端。室外及室内各层需完成管线综合平衡图纸，室内层高最不利点需经各专业核对并确保层高。</w:t>
      </w:r>
    </w:p>
    <w:p w14:paraId="6AA7A589">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35</w:t>
      </w:r>
      <w:r>
        <w:rPr>
          <w:rFonts w:hint="eastAsia" w:ascii="宋体" w:hAnsi="宋体" w:cs="宋体"/>
          <w:snapToGrid w:val="0"/>
          <w:color w:val="000000" w:themeColor="text1"/>
          <w:kern w:val="0"/>
          <w:sz w:val="24"/>
          <w:highlight w:val="none"/>
          <w:lang w:bidi="ar"/>
          <w14:textFill>
            <w14:solidFill>
              <w14:schemeClr w14:val="tx1"/>
            </w14:solidFill>
          </w14:textFill>
        </w:rPr>
        <w:t>）田间工程</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包括温室大棚、排水灌溉、整修生态渠、下田坡道、田间道路混凝土路面、田间供水、田间供电及照明工程、田间网络工程、田间监控系统、泵房装修、防鸟防鼠工程等其他田间工程建设，灌溉及雨水调蓄排涝设计。场地已有部分田间道路、路基，需现场勘探加以利用</w:t>
      </w:r>
      <w:r>
        <w:rPr>
          <w:rFonts w:hint="eastAsia" w:ascii="宋体" w:hAnsi="宋体"/>
          <w:snapToGrid w:val="0"/>
          <w:color w:val="000000" w:themeColor="text1"/>
          <w:kern w:val="0"/>
          <w:sz w:val="24"/>
          <w:highlight w:val="none"/>
          <w14:textFill>
            <w14:solidFill>
              <w14:schemeClr w14:val="tx1"/>
            </w14:solidFill>
          </w14:textFill>
        </w:rPr>
        <w:t>。</w:t>
      </w:r>
    </w:p>
    <w:p w14:paraId="600649EF">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36</w:t>
      </w:r>
      <w:r>
        <w:rPr>
          <w:rFonts w:hint="eastAsia" w:ascii="宋体" w:hAnsi="宋体" w:cs="宋体"/>
          <w:snapToGrid w:val="0"/>
          <w:color w:val="000000" w:themeColor="text1"/>
          <w:kern w:val="0"/>
          <w:sz w:val="24"/>
          <w:highlight w:val="none"/>
          <w:lang w:bidi="ar"/>
          <w14:textFill>
            <w14:solidFill>
              <w14:schemeClr w14:val="tx1"/>
            </w14:solidFill>
          </w14:textFill>
        </w:rPr>
        <w:t>）项目所涉及到的材料及设备应提供相关技术参数规格书</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建筑材料和设备选型就拟采用的建筑材料、专用机电设备、专用电子设备（如大屏幕显示系统、广播音响系统等）的规格型号及选型，应于施工图设计开始前提供相关建筑材料和设备的技术参数规格书</w:t>
      </w:r>
      <w:r>
        <w:rPr>
          <w:rFonts w:hint="eastAsia" w:ascii="宋体" w:hAnsi="宋体"/>
          <w:snapToGrid w:val="0"/>
          <w:color w:val="000000" w:themeColor="text1"/>
          <w:kern w:val="0"/>
          <w:sz w:val="24"/>
          <w:highlight w:val="none"/>
          <w14:textFill>
            <w14:solidFill>
              <w14:schemeClr w14:val="tx1"/>
            </w14:solidFill>
          </w14:textFill>
        </w:rPr>
        <w:t>。</w:t>
      </w:r>
    </w:p>
    <w:p w14:paraId="7E8961BE">
      <w:pPr>
        <w:adjustRightInd w:val="0"/>
        <w:snapToGrid w:val="0"/>
        <w:spacing w:line="360" w:lineRule="auto"/>
        <w:ind w:firstLine="480" w:firstLineChars="200"/>
        <w:rPr>
          <w:rFonts w:hint="eastAsia" w:ascii="宋体" w:hAnsi="宋体" w:eastAsiaTheme="minorEastAsia"/>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37</w:t>
      </w:r>
      <w:r>
        <w:rPr>
          <w:rFonts w:hint="eastAsia" w:ascii="宋体" w:hAnsi="宋体" w:cs="宋体"/>
          <w:snapToGrid w:val="0"/>
          <w:color w:val="000000" w:themeColor="text1"/>
          <w:kern w:val="0"/>
          <w:sz w:val="24"/>
          <w:highlight w:val="none"/>
          <w:lang w:bidi="ar"/>
          <w14:textFill>
            <w14:solidFill>
              <w14:schemeClr w14:val="tx1"/>
            </w14:solidFill>
          </w14:textFill>
        </w:rPr>
        <w:t>）设计阶段BIM技术运用</w:t>
      </w:r>
      <w:r>
        <w:rPr>
          <w:rFonts w:hint="eastAsia" w:ascii="宋体" w:hAnsi="宋体" w:cs="宋体"/>
          <w:snapToGrid w:val="0"/>
          <w:color w:val="000000" w:themeColor="text1"/>
          <w:kern w:val="0"/>
          <w:sz w:val="24"/>
          <w:highlight w:val="none"/>
          <w:lang w:eastAsia="zh-CN" w:bidi="ar"/>
          <w14:textFill>
            <w14:solidFill>
              <w14:schemeClr w14:val="tx1"/>
            </w14:solidFill>
          </w14:textFill>
        </w:rPr>
        <w:t>（含建设用地及农用地范围，所有建设内容的BIM运用）：</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根据《广州市重点公共建设项目管理中心BIM协同项目管理平台操作指引》（2020年V1.0版）、《广州市重点公共建设项目设计阶段BIM技术应用任务书》（2020年）开展设计阶段BIM技术运用，满足项目实施期间对于BIM运用的政策要求及报批报建要求，负责牵头设计阶段BIM协同管理平台的操作</w:t>
      </w:r>
      <w:r>
        <w:rPr>
          <w:rFonts w:hint="default" w:ascii="宋体" w:hAnsi="宋体" w:cs="宋体"/>
          <w:snapToGrid w:val="0"/>
          <w:color w:val="000000" w:themeColor="text1"/>
          <w:kern w:val="0"/>
          <w:sz w:val="24"/>
          <w:highlight w:val="none"/>
          <w:lang w:bidi="ar"/>
          <w14:textFill>
            <w14:solidFill>
              <w14:schemeClr w14:val="tx1"/>
            </w14:solidFill>
          </w14:textFill>
        </w:rPr>
        <w:t>。</w:t>
      </w:r>
    </w:p>
    <w:p w14:paraId="4E71B09D">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38</w:t>
      </w:r>
      <w:r>
        <w:rPr>
          <w:rFonts w:hint="eastAsia" w:ascii="宋体" w:hAnsi="宋体" w:cs="宋体"/>
          <w:snapToGrid w:val="0"/>
          <w:color w:val="000000" w:themeColor="text1"/>
          <w:kern w:val="0"/>
          <w:sz w:val="24"/>
          <w:highlight w:val="none"/>
          <w:lang w:bidi="ar"/>
          <w14:textFill>
            <w14:solidFill>
              <w14:schemeClr w14:val="tx1"/>
            </w14:solidFill>
          </w14:textFill>
        </w:rPr>
        <w:t>）机房、设备减震通风降噪设计</w:t>
      </w:r>
    </w:p>
    <w:p w14:paraId="358B8F02">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39</w:t>
      </w:r>
      <w:r>
        <w:rPr>
          <w:rFonts w:hint="eastAsia" w:ascii="宋体" w:hAnsi="宋体" w:cs="宋体"/>
          <w:snapToGrid w:val="0"/>
          <w:color w:val="000000" w:themeColor="text1"/>
          <w:kern w:val="0"/>
          <w:sz w:val="24"/>
          <w:highlight w:val="none"/>
          <w:lang w:bidi="ar"/>
          <w14:textFill>
            <w14:solidFill>
              <w14:schemeClr w14:val="tx1"/>
            </w14:solidFill>
          </w14:textFill>
        </w:rPr>
        <w:t>）净高分析设计</w:t>
      </w:r>
    </w:p>
    <w:p w14:paraId="2CA0A2FD">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40</w:t>
      </w:r>
      <w:r>
        <w:rPr>
          <w:rFonts w:hint="eastAsia" w:ascii="宋体" w:hAnsi="宋体" w:cs="宋体"/>
          <w:snapToGrid w:val="0"/>
          <w:color w:val="000000" w:themeColor="text1"/>
          <w:kern w:val="0"/>
          <w:sz w:val="24"/>
          <w:highlight w:val="none"/>
          <w:lang w:bidi="ar"/>
          <w14:textFill>
            <w14:solidFill>
              <w14:schemeClr w14:val="tx1"/>
            </w14:solidFill>
          </w14:textFill>
        </w:rPr>
        <w:t>）防水设计，防水设计应在不同阶段行程专章专篇，进行技术方案的比选及论证</w:t>
      </w:r>
    </w:p>
    <w:p w14:paraId="0895F3DF">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41</w:t>
      </w:r>
      <w:r>
        <w:rPr>
          <w:rFonts w:hint="eastAsia" w:ascii="宋体" w:hAnsi="宋体" w:cs="宋体"/>
          <w:snapToGrid w:val="0"/>
          <w:color w:val="000000" w:themeColor="text1"/>
          <w:kern w:val="0"/>
          <w:sz w:val="24"/>
          <w:highlight w:val="none"/>
          <w:lang w:bidi="ar"/>
          <w14:textFill>
            <w14:solidFill>
              <w14:schemeClr w14:val="tx1"/>
            </w14:solidFill>
          </w14:textFill>
        </w:rPr>
        <w:t>）绿色建材设计</w:t>
      </w:r>
    </w:p>
    <w:p w14:paraId="371CA63F">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42</w:t>
      </w:r>
      <w:r>
        <w:rPr>
          <w:rFonts w:hint="eastAsia" w:ascii="宋体" w:hAnsi="宋体" w:cs="宋体"/>
          <w:snapToGrid w:val="0"/>
          <w:color w:val="000000" w:themeColor="text1"/>
          <w:kern w:val="0"/>
          <w:sz w:val="24"/>
          <w:highlight w:val="none"/>
          <w:lang w:bidi="ar"/>
          <w14:textFill>
            <w14:solidFill>
              <w14:schemeClr w14:val="tx1"/>
            </w14:solidFill>
          </w14:textFill>
        </w:rPr>
        <w:t>）建设单位的驻地办公场所设计(临时板房、景观绿化、旗杆等)</w:t>
      </w:r>
    </w:p>
    <w:p w14:paraId="4FE742A2">
      <w:pPr>
        <w:adjustRightInd w:val="0"/>
        <w:snapToGrid w:val="0"/>
        <w:spacing w:line="360" w:lineRule="auto"/>
        <w:ind w:firstLine="480" w:firstLineChars="200"/>
        <w:rPr>
          <w:rFonts w:hint="eastAsia" w:ascii="宋体" w:hAnsi="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43</w:t>
      </w:r>
      <w:r>
        <w:rPr>
          <w:rFonts w:hint="eastAsia" w:ascii="宋体" w:hAnsi="宋体" w:cs="宋体"/>
          <w:snapToGrid w:val="0"/>
          <w:color w:val="000000" w:themeColor="text1"/>
          <w:kern w:val="0"/>
          <w:sz w:val="24"/>
          <w:highlight w:val="none"/>
          <w:lang w:bidi="ar"/>
          <w14:textFill>
            <w14:solidFill>
              <w14:schemeClr w14:val="tx1"/>
            </w14:solidFill>
          </w14:textFill>
        </w:rPr>
        <w:t>）燃气系统设计</w:t>
      </w:r>
    </w:p>
    <w:p w14:paraId="60DA6304">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eastAsia="zh-CN"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44</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可行性研究报告、地震评估、考古勘探、管线物探、地形测量、土壤氡浓度、环境影响评价报告、节能评估报告、树木保护专章、地质灾害评价报告、水土保持方案、洪涝安全评估、防雷评估、风洞试验、振动台试验、节点试验、消防性能化分析及有关专项试验等前期咨询服务，不在设计单位设计范畴内，但是设计单位需负责以下工作</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p>
    <w:p w14:paraId="679D619C">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乙方</w:t>
      </w:r>
      <w:r>
        <w:rPr>
          <w:rFonts w:hint="eastAsia" w:ascii="宋体" w:hAnsi="宋体" w:cs="宋体"/>
          <w:snapToGrid w:val="0"/>
          <w:color w:val="000000" w:themeColor="text1"/>
          <w:kern w:val="0"/>
          <w:sz w:val="24"/>
          <w:highlight w:val="none"/>
          <w:lang w:eastAsia="zh-CN" w:bidi="ar"/>
          <w14:textFill>
            <w14:solidFill>
              <w14:schemeClr w14:val="tx1"/>
            </w14:solidFill>
          </w14:textFill>
        </w:rPr>
        <w:t>需提供相关设计过程资料，作为前期服务工作开展的依据。</w:t>
      </w:r>
    </w:p>
    <w:p w14:paraId="70B67352">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w:t>
      </w:r>
      <w:r>
        <w:rPr>
          <w:rFonts w:hint="eastAsia" w:ascii="宋体" w:hAnsi="宋体" w:cs="宋体"/>
          <w:snapToGrid w:val="0"/>
          <w:color w:val="000000" w:themeColor="text1"/>
          <w:kern w:val="0"/>
          <w:sz w:val="24"/>
          <w:highlight w:val="none"/>
          <w:lang w:eastAsia="zh-CN" w:bidi="ar"/>
          <w14:textFill>
            <w14:solidFill>
              <w14:schemeClr w14:val="tx1"/>
            </w14:solidFill>
          </w14:textFill>
        </w:rPr>
        <w:t>）前期服务报告成果正式报批前，</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乙方</w:t>
      </w:r>
      <w:r>
        <w:rPr>
          <w:rFonts w:hint="eastAsia" w:ascii="宋体" w:hAnsi="宋体" w:cs="宋体"/>
          <w:snapToGrid w:val="0"/>
          <w:color w:val="000000" w:themeColor="text1"/>
          <w:kern w:val="0"/>
          <w:sz w:val="24"/>
          <w:highlight w:val="none"/>
          <w:lang w:eastAsia="zh-CN" w:bidi="ar"/>
          <w14:textFill>
            <w14:solidFill>
              <w14:schemeClr w14:val="tx1"/>
            </w14:solidFill>
          </w14:textFill>
        </w:rPr>
        <w:t>需对报告成果进行复核，确保满足后续设计要求。</w:t>
      </w:r>
    </w:p>
    <w:p w14:paraId="5D420C60">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w:t>
      </w:r>
      <w:r>
        <w:rPr>
          <w:rFonts w:hint="eastAsia" w:ascii="宋体" w:hAnsi="宋体" w:cs="宋体"/>
          <w:snapToGrid w:val="0"/>
          <w:color w:val="000000" w:themeColor="text1"/>
          <w:kern w:val="0"/>
          <w:sz w:val="24"/>
          <w:highlight w:val="none"/>
          <w:lang w:eastAsia="zh-CN" w:bidi="ar"/>
          <w14:textFill>
            <w14:solidFill>
              <w14:schemeClr w14:val="tx1"/>
            </w14:solidFill>
          </w14:textFill>
        </w:rPr>
        <w:t>）报告成果取得批复后，</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乙方</w:t>
      </w:r>
      <w:r>
        <w:rPr>
          <w:rFonts w:hint="eastAsia" w:ascii="宋体" w:hAnsi="宋体" w:cs="宋体"/>
          <w:snapToGrid w:val="0"/>
          <w:color w:val="000000" w:themeColor="text1"/>
          <w:kern w:val="0"/>
          <w:sz w:val="24"/>
          <w:highlight w:val="none"/>
          <w:lang w:eastAsia="zh-CN" w:bidi="ar"/>
          <w14:textFill>
            <w14:solidFill>
              <w14:schemeClr w14:val="tx1"/>
            </w14:solidFill>
          </w14:textFill>
        </w:rPr>
        <w:t>需对批复进行复核，并按批复内容开展设计工作。</w:t>
      </w:r>
    </w:p>
    <w:p w14:paraId="6928FB93">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w:t>
      </w:r>
      <w:r>
        <w:rPr>
          <w:rFonts w:hint="eastAsia" w:ascii="宋体" w:hAnsi="宋体" w:cs="宋体"/>
          <w:snapToGrid w:val="0"/>
          <w:color w:val="000000" w:themeColor="text1"/>
          <w:kern w:val="0"/>
          <w:sz w:val="24"/>
          <w:highlight w:val="none"/>
          <w:lang w:eastAsia="zh-CN" w:bidi="ar"/>
          <w14:textFill>
            <w14:solidFill>
              <w14:schemeClr w14:val="tx1"/>
            </w14:solidFill>
          </w14:textFill>
        </w:rPr>
        <w:t>）对于后续设计与前期服务报告及批复文件有差异情形，应做对比分析书面告知建设管理单位。</w:t>
      </w:r>
    </w:p>
    <w:p w14:paraId="039038F9">
      <w:pPr>
        <w:adjustRightInd w:val="0"/>
        <w:snapToGrid w:val="0"/>
        <w:spacing w:line="360" w:lineRule="auto"/>
        <w:ind w:firstLine="480" w:firstLineChars="200"/>
        <w:rPr>
          <w:rFonts w:hint="eastAsia" w:ascii="宋体" w:hAnsi="宋体" w:cs="宋体" w:eastAsiaTheme="minorEastAsia"/>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45</w:t>
      </w:r>
      <w:r>
        <w:rPr>
          <w:rFonts w:hint="eastAsia" w:ascii="宋体" w:hAnsi="宋体" w:cs="宋体"/>
          <w:snapToGrid w:val="0"/>
          <w:color w:val="000000" w:themeColor="text1"/>
          <w:kern w:val="0"/>
          <w:sz w:val="24"/>
          <w:highlight w:val="none"/>
          <w:lang w:bidi="ar"/>
          <w14:textFill>
            <w14:solidFill>
              <w14:schemeClr w14:val="tx1"/>
            </w14:solidFill>
          </w14:textFill>
        </w:rPr>
        <w:t>）设计报批报建工作</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负责各阶段前期报批报建工作（不含用地办理），以及填报各阶段报建相关资料填报，及报表、纸质报送材料的整理组卷盖章工作、报建资料转送、送审文件和批文的扫描归档、配合协调报建工作等，包括但不限于方案联合审查、修详通、报建通、设计方案审查、消防审查、初设审查、施工图审查，同时含施工临时用水用电、永久用水用电、燃气、路口开设等涉及的报建工作等</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p>
    <w:p w14:paraId="187132BA">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val="en-US" w:eastAsia="zh-CN"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46</w:t>
      </w:r>
      <w:r>
        <w:rPr>
          <w:rFonts w:hint="eastAsia" w:ascii="宋体" w:hAnsi="宋体" w:cs="宋体"/>
          <w:snapToGrid w:val="0"/>
          <w:color w:val="000000" w:themeColor="text1"/>
          <w:kern w:val="0"/>
          <w:sz w:val="24"/>
          <w:highlight w:val="none"/>
          <w:lang w:bidi="ar"/>
          <w14:textFill>
            <w14:solidFill>
              <w14:schemeClr w14:val="tx1"/>
            </w14:solidFill>
          </w14:textFill>
        </w:rPr>
        <w:t>）造价文件编制工作</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完成本项目立项批复范围内工程投资估算、概算、预算及设计变更估算等造价文件的编制工作（含场地平整、管线迁移、临设搭建、红线外管线接驳等）及相关配合报审工作，细化设计过程的投资控制工作要求，包括分解、落实、反馈各阶段、各专业技术经济指标、限额设计量化指标。主要内容为：</w:t>
      </w:r>
    </w:p>
    <w:p w14:paraId="41BFA1E8">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val="en-US"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1）投资控制；</w:t>
      </w:r>
    </w:p>
    <w:p w14:paraId="193B4202">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val="en-US"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2）投资估算编制；</w:t>
      </w:r>
    </w:p>
    <w:p w14:paraId="73C108D8">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val="en-US"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3）设计概算编制及报审，含材料设备汇总表，对设计中采用的主材、设备等提供市场信息及询价定价依据材料；</w:t>
      </w:r>
    </w:p>
    <w:p w14:paraId="2897AB0F">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val="en-US"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4）施工图预算编制及报审，含材料设备汇总表，对设计中采用的主材、设备等提供市场信息及询价定价依据材料；</w:t>
      </w:r>
    </w:p>
    <w:p w14:paraId="6CBC730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负责招标工程量清单编制和招标控制价编制，负责进行市场调查、询价，按要求对招标清单及控制价进行进行对数、编制、调整等；负责根据图纸及技术规范、用户需求书，编制设备、材料询价或采购清单；负责对投标人提出的造价问题的解答；</w:t>
      </w:r>
    </w:p>
    <w:p w14:paraId="46BDCA80">
      <w:pPr>
        <w:adjustRightInd w:val="0"/>
        <w:snapToGrid w:val="0"/>
        <w:spacing w:line="360" w:lineRule="auto"/>
        <w:ind w:firstLine="480" w:firstLineChars="200"/>
        <w:rPr>
          <w:rFonts w:hint="eastAsia" w:ascii="宋体" w:hAnsi="宋体" w:cs="宋体" w:eastAsiaTheme="minorEastAsia"/>
          <w:snapToGrid w:val="0"/>
          <w:color w:val="000000" w:themeColor="text1"/>
          <w:kern w:val="0"/>
          <w:sz w:val="24"/>
          <w:highlight w:val="none"/>
          <w:lang w:eastAsia="zh-CN" w:bidi="ar"/>
          <w14:textFill>
            <w14:solidFill>
              <w14:schemeClr w14:val="tx1"/>
            </w14:solidFill>
          </w14:textFill>
        </w:rPr>
      </w:pPr>
      <w:r>
        <w:rPr>
          <w:rFonts w:hint="default" w:ascii="宋体" w:hAnsi="宋体" w:cs="宋体"/>
          <w:snapToGrid w:val="0"/>
          <w:color w:val="000000" w:themeColor="text1"/>
          <w:kern w:val="0"/>
          <w:sz w:val="24"/>
          <w:highlight w:val="none"/>
          <w:lang w:eastAsia="zh-CN" w:bidi="ar"/>
          <w14:textFill>
            <w14:solidFill>
              <w14:schemeClr w14:val="tx1"/>
            </w14:solidFill>
          </w14:textFill>
        </w:rPr>
        <w:t>6</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）变更估算编制</w:t>
      </w:r>
      <w:r>
        <w:rPr>
          <w:rFonts w:hint="default"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项目在建期间投资情况分析及报告（含投资情况月报），负责施工过程造价控制，定期召开造价控制会议，每月底提交投资控制报告，含项目整体资金使用情况、结算价预估分析、动态成本（须与目标成本对比分析偏差原因及解决方案建议）等</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p>
    <w:p w14:paraId="3BA0CB1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cs="宋体" w:eastAsiaTheme="minorEastAsia"/>
          <w:snapToGrid w:val="0"/>
          <w:color w:val="000000" w:themeColor="text1"/>
          <w:kern w:val="0"/>
          <w:sz w:val="24"/>
          <w:highlight w:val="none"/>
          <w:lang w:val="en-US"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（47）其他设计工作内容：负责对项目其它技术成果进行技术审核，及建设单位要求的其他配合工作。</w:t>
      </w:r>
    </w:p>
    <w:p w14:paraId="25928FBC">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48</w:t>
      </w:r>
      <w:r>
        <w:rPr>
          <w:rFonts w:hint="eastAsia" w:ascii="宋体" w:hAnsi="宋体" w:cs="宋体"/>
          <w:snapToGrid w:val="0"/>
          <w:color w:val="000000" w:themeColor="text1"/>
          <w:kern w:val="0"/>
          <w:sz w:val="24"/>
          <w:highlight w:val="none"/>
          <w:lang w:bidi="ar"/>
          <w14:textFill>
            <w14:solidFill>
              <w14:schemeClr w14:val="tx1"/>
            </w14:solidFill>
          </w14:textFill>
        </w:rPr>
        <w:t>）在规划红线范围内，乙方应保证按规划及建筑功能要求、配套设施要求完成本合同工程造价中包含的全部项目的专业专项勘察、设计。</w:t>
      </w:r>
    </w:p>
    <w:p w14:paraId="090AAF5F">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49</w:t>
      </w:r>
      <w:r>
        <w:rPr>
          <w:rFonts w:hint="eastAsia" w:ascii="宋体" w:hAnsi="宋体" w:cs="宋体"/>
          <w:snapToGrid w:val="0"/>
          <w:color w:val="000000" w:themeColor="text1"/>
          <w:kern w:val="0"/>
          <w:sz w:val="24"/>
          <w:highlight w:val="none"/>
          <w:lang w:bidi="ar"/>
          <w14:textFill>
            <w14:solidFill>
              <w14:schemeClr w14:val="tx1"/>
            </w14:solidFill>
          </w14:textFill>
        </w:rPr>
        <w:t>）对于专项分包勘察、设计文件，须由乙方及专项分包单位人员校核并会签盖章确认。</w:t>
      </w:r>
    </w:p>
    <w:p w14:paraId="104A84CF">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50</w:t>
      </w:r>
      <w:r>
        <w:rPr>
          <w:rFonts w:hint="eastAsia" w:ascii="宋体" w:hAnsi="宋体" w:cs="宋体"/>
          <w:snapToGrid w:val="0"/>
          <w:color w:val="000000" w:themeColor="text1"/>
          <w:kern w:val="0"/>
          <w:sz w:val="24"/>
          <w:highlight w:val="none"/>
          <w:lang w:bidi="ar"/>
          <w14:textFill>
            <w14:solidFill>
              <w14:schemeClr w14:val="tx1"/>
            </w14:solidFill>
          </w14:textFill>
        </w:rPr>
        <w:t>）提供主要设备材料表及技术要求书，配合甲方的招标工作。</w:t>
      </w:r>
    </w:p>
    <w:p w14:paraId="41C522BD">
      <w:pPr>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地震评估、环境评估、防雷评估、风洞试验、振动台试验、点试验、消防性能化分析及有关专项试验、研究与论证不在乙方设计范畴内，但乙方应配合甲方工作。</w:t>
      </w:r>
    </w:p>
    <w:p w14:paraId="0948AA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51</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环保工程设计。</w:t>
      </w:r>
    </w:p>
    <w:p w14:paraId="120288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default"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52</w:t>
      </w:r>
      <w:r>
        <w:rPr>
          <w:rFonts w:hint="default" w:ascii="宋体" w:hAnsi="宋体" w:cs="宋体"/>
          <w:snapToGrid w:val="0"/>
          <w:color w:val="000000" w:themeColor="text1"/>
          <w:kern w:val="0"/>
          <w:sz w:val="24"/>
          <w:highlight w:val="none"/>
          <w:lang w:bidi="ar"/>
          <w14:textFill>
            <w14:solidFill>
              <w14:schemeClr w14:val="tx1"/>
            </w14:solidFill>
          </w14:textFill>
        </w:rPr>
        <w:t>）负责地下管线探测范围确定、现场监督与工作量的确认，以及管线探测成果的复核确认，并按照管线探测成果开展设计工作</w:t>
      </w:r>
      <w:r>
        <w:rPr>
          <w:rFonts w:hint="eastAsia" w:ascii="宋体" w:hAnsi="宋体" w:cs="宋体"/>
          <w:snapToGrid w:val="0"/>
          <w:color w:val="000000" w:themeColor="text1"/>
          <w:kern w:val="0"/>
          <w:sz w:val="24"/>
          <w:highlight w:val="none"/>
          <w:lang w:bidi="ar"/>
          <w14:textFill>
            <w14:solidFill>
              <w14:schemeClr w14:val="tx1"/>
            </w14:solidFill>
          </w14:textFill>
        </w:rPr>
        <w:t>。</w:t>
      </w:r>
    </w:p>
    <w:p w14:paraId="120AF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备注：上述中的专业内容若既不属于</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立项及</w:t>
      </w:r>
      <w:r>
        <w:rPr>
          <w:rFonts w:ascii="宋体" w:hAnsi="宋体" w:cs="宋体"/>
          <w:color w:val="000000" w:themeColor="text1"/>
          <w:sz w:val="24"/>
          <w:szCs w:val="24"/>
          <w:highlight w:val="none"/>
          <w14:textFill>
            <w14:solidFill>
              <w14:schemeClr w14:val="tx1"/>
            </w14:solidFill>
          </w14:textFill>
        </w:rPr>
        <w:t>可研批复范围，也不属于为满足项目验收与投入使用需要而必须实施的建设内容所对应的勘察设计工作的，则无需实施。反之，若属于前述任一情形的，均需实施。</w:t>
      </w:r>
    </w:p>
    <w:p w14:paraId="0974F26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6.2设计界面的划分</w:t>
      </w:r>
    </w:p>
    <w:p w14:paraId="6DF9C1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本项目</w:t>
      </w:r>
      <w:r>
        <w:rPr>
          <w:rFonts w:hint="eastAsia" w:ascii="宋体" w:hAnsi="宋体" w:cs="宋体"/>
          <w:color w:val="000000" w:themeColor="text1"/>
          <w:kern w:val="0"/>
          <w:sz w:val="24"/>
          <w:szCs w:val="24"/>
          <w:highlight w:val="none"/>
          <w14:textFill>
            <w14:solidFill>
              <w14:schemeClr w14:val="tx1"/>
            </w14:solidFill>
          </w14:textFill>
        </w:rPr>
        <w:t>立项（含可研）范围内所有设计专业均由乙方负责组织实施。</w:t>
      </w:r>
    </w:p>
    <w:p w14:paraId="7348CD1B">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6.3工程设计的总体要求</w:t>
      </w:r>
    </w:p>
    <w:p w14:paraId="553884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广州市各专业主管部门的要求，如消防、人防、环保、卫生、交委、交警等部门的报建报审报批要求。</w:t>
      </w:r>
    </w:p>
    <w:p w14:paraId="5B7A7F7A">
      <w:pPr>
        <w:adjustRightInd w:val="0"/>
        <w:snapToGrid w:val="0"/>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（2）乙方应在设计成果文件中明确列出本合同工程设计涉及到的详细的设计规范、规定及标准（名称、编号与版本）。</w:t>
      </w:r>
    </w:p>
    <w:p w14:paraId="1E79FE26">
      <w:pPr>
        <w:adjustRightInd w:val="0"/>
        <w:snapToGrid w:val="0"/>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168B0D85">
      <w:pPr>
        <w:adjustRightInd w:val="0"/>
        <w:snapToGrid w:val="0"/>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（4）乙方应在确定为中标单位后立即进行本合同工程设计策划，建立质量目标，规定质量要求，根据甲方总体实施计划和本合同工程特点编制详细的设计计划，根据《广州市重点公共建设项目管理中心</w:t>
      </w:r>
      <w:r>
        <w:rPr>
          <w:rFonts w:hint="default" w:ascii="宋体" w:hAnsi="宋体" w:cs="宋体"/>
          <w:color w:val="000000" w:themeColor="text1"/>
          <w:kern w:val="0"/>
          <w:sz w:val="24"/>
          <w:szCs w:val="24"/>
          <w:highlight w:val="none"/>
          <w14:textFill>
            <w14:solidFill>
              <w14:schemeClr w14:val="tx1"/>
            </w14:solidFill>
          </w14:textFill>
        </w:rPr>
        <w:t>基本建设</w:t>
      </w:r>
      <w:r>
        <w:rPr>
          <w:rFonts w:hint="eastAsia" w:ascii="宋体" w:hAnsi="宋体" w:cs="宋体"/>
          <w:color w:val="000000" w:themeColor="text1"/>
          <w:kern w:val="0"/>
          <w:sz w:val="24"/>
          <w:szCs w:val="24"/>
          <w:highlight w:val="none"/>
          <w14:textFill>
            <w14:solidFill>
              <w14:schemeClr w14:val="tx1"/>
            </w14:solidFill>
          </w14:textFill>
        </w:rPr>
        <w:t>项目计划管理办法》（合同附件</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）的相关要求合理安排各项活动的实施时间，并保证设计的进度、质量，保证乙方设计范围内工程的施工进度不受影响。</w:t>
      </w:r>
    </w:p>
    <w:p w14:paraId="265DD3DD">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（5）如在项目运作中遇国家或地区颁布新的标准、规定和依据，按新标准、规定和依据执行。</w:t>
      </w:r>
    </w:p>
    <w:p w14:paraId="17EB4352">
      <w:pPr>
        <w:adjustRightInd w:val="0"/>
        <w:snapToGrid w:val="0"/>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（6）乙方根据本合同约定进行设计、资料管理、技术管理、现场配合等工作时，必须同时遵守广州市重点公共建设项目管理中心的相关设计、技术、图文、图档、工程的各项管理办法、规定和细则。</w:t>
      </w:r>
    </w:p>
    <w:p w14:paraId="6332DC4E">
      <w:pPr>
        <w:adjustRightInd w:val="0"/>
        <w:snapToGrid w:val="0"/>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（7）乙方应积极配合政府行政部门或行业主管部门的各项审批、施工图审查单位、甲方的审核、施工图强制审查及图纸会审，对审查过程中发现的设计质量问题，应及时解决并按规定出具修改图纸。</w:t>
      </w:r>
    </w:p>
    <w:p w14:paraId="585A314C">
      <w:pPr>
        <w:adjustRightInd w:val="0"/>
        <w:snapToGrid w:val="0"/>
        <w:spacing w:line="360" w:lineRule="auto"/>
        <w:ind w:firstLine="360" w:firstLineChars="150"/>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乙方应对甲方提供的文件、资料进行认真研究，对本合同工程的特点和不确定因素进行认真考虑，并提出合理建议和评价，每个阶段各专业的主要技术方案、主要系统、重要设备材料选用、管线排布，均要提供至少两个的比选方案，比选项目包括但不限于基坑支护、基础形式、超大超长结构处理、建筑方案存在不同意见时、建筑防水设计、重要设备选型、泛光照明等，比选方案须在技术、经济投资、实施性、运营管理、工期上作比较分析，并应提供方案设计图及效果图、计算书、造价文件进行研究。</w:t>
      </w:r>
    </w:p>
    <w:p w14:paraId="4BE9D845">
      <w:pPr>
        <w:adjustRightInd w:val="0"/>
        <w:snapToGrid w:val="0"/>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（9）乙方的设计成果文件应尽可能减少施工难度，为施工创造方便合理的施工条件；应尽量减少施工对城市交通、市民生活以及水利的干扰，并尽可能减少对施工期的影响。</w:t>
      </w:r>
    </w:p>
    <w:p w14:paraId="34017537">
      <w:pPr>
        <w:adjustRightInd w:val="0"/>
        <w:snapToGrid w:val="0"/>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满足工程投资控制要求。乙方应及时提供修改图纸及调整预算，确保甲方相关招标工作的有效推进。</w:t>
      </w:r>
    </w:p>
    <w:p w14:paraId="3BEABF3C">
      <w:pPr>
        <w:adjustRightInd w:val="0"/>
        <w:snapToGrid w:val="0"/>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（11）在交付项目的部分或全部勘察、设计文件后，如获悉有更好的新工艺、新技术、新材料、新设备等适用于本合同工程，乙方应向甲方推荐并提供科学的评估。</w:t>
      </w:r>
    </w:p>
    <w:p w14:paraId="002C7104">
      <w:pPr>
        <w:adjustRightInd w:val="0"/>
        <w:snapToGrid w:val="0"/>
        <w:spacing w:line="360" w:lineRule="auto"/>
        <w:ind w:firstLine="482" w:firstLineChars="200"/>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6.4方案设计阶段的主要工作及要求</w:t>
      </w:r>
    </w:p>
    <w:p w14:paraId="0E1D12D4">
      <w:pPr>
        <w:adjustRightInd w:val="0"/>
        <w:snapToGrid w:val="0"/>
        <w:spacing w:line="360" w:lineRule="auto"/>
        <w:ind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6.4.1</w:t>
      </w:r>
      <w:r>
        <w:rPr>
          <w:rFonts w:hint="eastAsia" w:ascii="宋体" w:hAnsi="宋体" w:cs="宋体"/>
          <w:color w:val="000000" w:themeColor="text1"/>
          <w:kern w:val="0"/>
          <w:sz w:val="24"/>
          <w:szCs w:val="24"/>
          <w:highlight w:val="none"/>
          <w14:textFill>
            <w14:solidFill>
              <w14:schemeClr w14:val="tx1"/>
            </w14:solidFill>
          </w14:textFill>
        </w:rPr>
        <w:t>方案设计阶段的主要工作</w:t>
      </w:r>
    </w:p>
    <w:p w14:paraId="34E96523">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（1）提交方案设计成果文件</w:t>
      </w:r>
    </w:p>
    <w:p w14:paraId="65B66B5B">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方案设计成果文件应为甲方最终确定方案的设计文件，文件的内容应按照甲方的要求、有权审核部门的审批意见、设计方案招标（竞赛）的技术文件和投标（参赛）文件、住建部现行有效《建筑工程设计文件编制深度规定》、《市政公用工程设计文件编制深度规定》方案设计阶段规定的要求进行编制，包括如下设计文件（包括但不限于）：</w:t>
      </w:r>
    </w:p>
    <w:p w14:paraId="1EA34589">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1）封面（写明方案的名称、方案编制单位、编制时间）；</w:t>
      </w:r>
    </w:p>
    <w:p w14:paraId="3A2FA2BD">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2）扉页（方案编制单位行政及技术负责人、具体编制总负责人签名）；</w:t>
      </w:r>
    </w:p>
    <w:p w14:paraId="6B608870">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3）方案设计文件目录；</w:t>
      </w:r>
    </w:p>
    <w:p w14:paraId="4C9DCAAA">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4）方案设计说明书；</w:t>
      </w:r>
    </w:p>
    <w:p w14:paraId="19A5639D">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5）方案设计图纸（A3图）（具体图纸要求按设计任务书）；</w:t>
      </w:r>
    </w:p>
    <w:p w14:paraId="5DDE19B6">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乙方应按本合同条款第9.1款约定向甲方提交方案设计成果文件（含图纸及相关文本文件）。</w:t>
      </w:r>
    </w:p>
    <w:p w14:paraId="7DE41CF7">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6）三维数据模型：设计方案通过确认后30天内提交三维数据模型（通用3ds max格式）。乙方有责任协助甲方将其他设计单位提供的三维数据模型进行整合工作；</w:t>
      </w:r>
    </w:p>
    <w:p w14:paraId="11A9F2D7">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7）多媒体文件：设计稳定后，提供一份修改稳定版的多媒体演示文件，限时10分钟。</w:t>
      </w:r>
    </w:p>
    <w:p w14:paraId="4F4B0ED9">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（2）按照规划主管部门的规划报建要求，提供规划报建所需相关设计成果文件（包括但不限于以下内容）：</w:t>
      </w:r>
    </w:p>
    <w:p w14:paraId="75F5CC9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1）总平面规划图（包括各项技术经济指标）；</w:t>
      </w:r>
    </w:p>
    <w:p w14:paraId="3B341C9D">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2）绿地规划图；</w:t>
      </w:r>
    </w:p>
    <w:p w14:paraId="2418386C">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3）道路交通系统规划图；</w:t>
      </w:r>
    </w:p>
    <w:p w14:paraId="455A8CF8">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4）用地竖向规划图；</w:t>
      </w:r>
    </w:p>
    <w:p w14:paraId="354B0F7A">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5）管线综合规划图；</w:t>
      </w:r>
    </w:p>
    <w:p w14:paraId="4C5FA2AA">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6）规划方案说明书；</w:t>
      </w:r>
    </w:p>
    <w:p w14:paraId="044A82EB">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7）模型（依据规划主管部门的报建要求、业主要求提交）。</w:t>
      </w:r>
    </w:p>
    <w:p w14:paraId="30D6025A">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按规划主管部门的规划报建要求提交规划报建所需的设计成果文件（含图纸及相关文本文件、电子文档光盘、工作模型），成果文件需加盖规划报建章、设计单位出图章、注册建筑师章；根据相关的审批意见对设计成果文件进行相应修改，并向甲方提交</w:t>
      </w:r>
      <w:r>
        <w:rPr>
          <w:rFonts w:hint="eastAsia" w:ascii="宋体" w:hAnsi="宋体" w:cs="宋体"/>
          <w:color w:val="000000" w:themeColor="text1"/>
          <w:kern w:val="0"/>
          <w:sz w:val="24"/>
          <w:szCs w:val="24"/>
          <w:highlight w:val="none"/>
          <w:u w:val="single"/>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份最终的设计成果文件及电子文档光盘。</w:t>
      </w:r>
    </w:p>
    <w:p w14:paraId="30B14CBF">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（3）按照规划主管部门的报建要求，提供方案设计报建所需相关设计成果文件并根据相关的审批意见对设计成果文件进行相应修改。相关设计成果文件包括但不限于以下内容：</w:t>
      </w:r>
    </w:p>
    <w:p w14:paraId="0D4F0752">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1）总平面图（比例按报建要求，包括各项技术经济指标）；</w:t>
      </w:r>
    </w:p>
    <w:p w14:paraId="6B216E83">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2）设计方案图；</w:t>
      </w:r>
    </w:p>
    <w:p w14:paraId="4AE87D27">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3）设计说明；</w:t>
      </w:r>
    </w:p>
    <w:p w14:paraId="0BBE7715">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4）工程投资估算（含非标设备、材料、构配件的报价）。</w:t>
      </w:r>
    </w:p>
    <w:p w14:paraId="1B96A76E">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乙方应向甲方提交方案设计报建所需要的设计成果文件（含图纸及相关文本文件、电子文档光盘，具体数量以报建要求为准）；成果文件均须加盖设计单位出图章、注册建筑师章。</w:t>
      </w:r>
    </w:p>
    <w:p w14:paraId="652084A1">
      <w:pPr>
        <w:adjustRightInd w:val="0"/>
        <w:snapToGrid w:val="0"/>
        <w:spacing w:line="360" w:lineRule="auto"/>
        <w:ind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6.4.2</w:t>
      </w:r>
      <w:r>
        <w:rPr>
          <w:rFonts w:hint="eastAsia" w:ascii="宋体" w:hAnsi="宋体" w:cs="宋体"/>
          <w:color w:val="000000" w:themeColor="text1"/>
          <w:kern w:val="0"/>
          <w:sz w:val="24"/>
          <w:szCs w:val="24"/>
          <w:highlight w:val="none"/>
          <w14:textFill>
            <w14:solidFill>
              <w14:schemeClr w14:val="tx1"/>
            </w14:solidFill>
          </w14:textFill>
        </w:rPr>
        <w:t>方案设计阶段的要求</w:t>
      </w:r>
    </w:p>
    <w:p w14:paraId="4EEF89C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（1）乙方应在甲方选定方案的基础上，按专家意见和甲方要求进行完善，达到报建送审方案要求，并根据规划部门提出的设计条件进行调整。</w:t>
      </w:r>
    </w:p>
    <w:p w14:paraId="1AECE79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（2）方案设计应对本合同条款第6.3（8）款所述比选项目，提供至少两个比选方案，实施性方案应达到和满足进行初步设计的要求。</w:t>
      </w:r>
    </w:p>
    <w:p w14:paraId="32B76202">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（3）乙方设计方案中应包含节能环保篇，采用节能环保的新技术、新工艺。方案设计应对设计中采用的新技术及节能技术的应用进行三个以上方案技术经济比较，提出比较分析报告和推荐方案。</w:t>
      </w:r>
    </w:p>
    <w:p w14:paraId="5B059E6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（4）乙方应根据实施方案提交工程投资估算编制说明及投资估算表。</w:t>
      </w:r>
    </w:p>
    <w:p w14:paraId="3E3AF6A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（5）结构体系应进行初步的计算，保证结构方案是可行的。</w:t>
      </w:r>
    </w:p>
    <w:p w14:paraId="61CC88E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（6）乙方对各专业采用的新技术应作详细的介绍，以便进行评审和据以进行下一步的设计。</w:t>
      </w:r>
    </w:p>
    <w:p w14:paraId="08B15C6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（7）在深化方案设计时，乙方应以书面形式明确设计中确有需要进行试验的项目，并在初步设计之前提交给甲方审查确认；经甲方确认后，乙方应及时提供试验方案及相关技术要求。</w:t>
      </w:r>
    </w:p>
    <w:p w14:paraId="29EECAEC">
      <w:pPr>
        <w:adjustRightInd w:val="0"/>
        <w:snapToGrid w:val="0"/>
        <w:spacing w:line="360" w:lineRule="auto"/>
        <w:ind w:firstLine="482" w:firstLineChars="200"/>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6.5初步设计阶段的主要工作及要求</w:t>
      </w:r>
    </w:p>
    <w:p w14:paraId="19C230E7">
      <w:pPr>
        <w:adjustRightInd w:val="0"/>
        <w:snapToGrid w:val="0"/>
        <w:spacing w:line="360" w:lineRule="auto"/>
        <w:ind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6.5.1</w:t>
      </w:r>
      <w:r>
        <w:rPr>
          <w:rFonts w:hint="eastAsia" w:ascii="宋体" w:hAnsi="宋体" w:cs="宋体"/>
          <w:color w:val="000000" w:themeColor="text1"/>
          <w:kern w:val="0"/>
          <w:sz w:val="24"/>
          <w:szCs w:val="24"/>
          <w:highlight w:val="none"/>
          <w14:textFill>
            <w14:solidFill>
              <w14:schemeClr w14:val="tx1"/>
            </w14:solidFill>
          </w14:textFill>
        </w:rPr>
        <w:t>提交</w:t>
      </w:r>
      <w:r>
        <w:rPr>
          <w:rFonts w:hint="eastAsia" w:ascii="宋体" w:hAnsi="宋体" w:cs="宋体"/>
          <w:color w:val="000000" w:themeColor="text1"/>
          <w:spacing w:val="-4"/>
          <w:kern w:val="0"/>
          <w:sz w:val="24"/>
          <w:szCs w:val="24"/>
          <w:highlight w:val="none"/>
          <w14:textFill>
            <w14:solidFill>
              <w14:schemeClr w14:val="tx1"/>
            </w14:solidFill>
          </w14:textFill>
        </w:rPr>
        <w:t>初步</w:t>
      </w:r>
      <w:r>
        <w:rPr>
          <w:rFonts w:hint="eastAsia" w:ascii="宋体" w:hAnsi="宋体" w:cs="宋体"/>
          <w:color w:val="000000" w:themeColor="text1"/>
          <w:kern w:val="0"/>
          <w:sz w:val="24"/>
          <w:szCs w:val="24"/>
          <w:highlight w:val="none"/>
          <w14:textFill>
            <w14:solidFill>
              <w14:schemeClr w14:val="tx1"/>
            </w14:solidFill>
          </w14:textFill>
        </w:rPr>
        <w:t>设计成果文件</w:t>
      </w:r>
    </w:p>
    <w:p w14:paraId="2563286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初步设计成果文件应按住建部批准的现行有效《建筑工程设计文件编制深度规定》、《市政公用工程设计文件编制深度规定》初步设计阶段的要求进行编制，由总章和各专业设计文件分章编制而成，应包括如下设计成果文件（包括但不限于）：</w:t>
      </w:r>
    </w:p>
    <w:p w14:paraId="3B137FC3">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（1）初步设计方案编制；</w:t>
      </w:r>
    </w:p>
    <w:p w14:paraId="38D8162F">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（2）设计说明书（含设计总说明、各专业的设计说明书、结构计算书）；</w:t>
      </w:r>
    </w:p>
    <w:p w14:paraId="011537C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（3）设计图纸（由各专业设计图纸组成）；</w:t>
      </w:r>
    </w:p>
    <w:p w14:paraId="0C9A78E9">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（4）设计概算（甲方另行发包的专项设计由专项设计单位提供相应的概算文件，由乙方负责汇总）；</w:t>
      </w:r>
    </w:p>
    <w:p w14:paraId="2708F73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（5）效果图及透视图；</w:t>
      </w:r>
    </w:p>
    <w:p w14:paraId="27B35179">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（6）报批模型（按报建审批部门的要求提交）；</w:t>
      </w:r>
    </w:p>
    <w:p w14:paraId="55ABCE2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（7）主要材料样板。</w:t>
      </w:r>
    </w:p>
    <w:p w14:paraId="0D35DB4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乙方应按本合同条款第9.1款约定向甲方提交初步设计成果文件（含图纸及相关文本文件</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、效果图各一式</w:t>
      </w:r>
      <w:r>
        <w:rPr>
          <w:rFonts w:hint="eastAsia" w:ascii="宋体" w:hAnsi="宋体" w:cs="宋体"/>
          <w:color w:val="000000" w:themeColor="text1"/>
          <w:kern w:val="0"/>
          <w:sz w:val="24"/>
          <w:szCs w:val="24"/>
          <w:highlight w:val="none"/>
          <w:u w:val="single"/>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套，专业报建（交通、市政、人防、消防、环保、卫生、绿化）所需设计成果文件数量</w:t>
      </w:r>
      <w:r>
        <w:rPr>
          <w:rFonts w:hint="eastAsia" w:ascii="宋体" w:hAnsi="宋体" w:cs="宋体"/>
          <w:color w:val="000000" w:themeColor="text1"/>
          <w:kern w:val="0"/>
          <w:sz w:val="24"/>
          <w:szCs w:val="24"/>
          <w:highlight w:val="none"/>
          <w:u w:val="single"/>
          <w14:textFill>
            <w14:solidFill>
              <w14:schemeClr w14:val="tx1"/>
            </w14:solidFill>
          </w14:textFill>
        </w:rPr>
        <w:t>按报建要求提供</w:t>
      </w:r>
      <w:r>
        <w:rPr>
          <w:rFonts w:hint="eastAsia" w:ascii="宋体" w:hAnsi="宋体" w:cs="宋体"/>
          <w:color w:val="000000" w:themeColor="text1"/>
          <w:kern w:val="0"/>
          <w:sz w:val="24"/>
          <w:szCs w:val="24"/>
          <w:highlight w:val="none"/>
          <w14:textFill>
            <w14:solidFill>
              <w14:schemeClr w14:val="tx1"/>
            </w14:solidFill>
          </w14:textFill>
        </w:rPr>
        <w:t>；成果文件加盖设计单位出图章、注册建筑师章、注册结构工程师章，各专业负责人、乙方签署。</w:t>
      </w:r>
    </w:p>
    <w:p w14:paraId="1242A20E">
      <w:pPr>
        <w:adjustRightInd w:val="0"/>
        <w:snapToGrid w:val="0"/>
        <w:spacing w:line="360" w:lineRule="auto"/>
        <w:ind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6.5.2</w:t>
      </w:r>
      <w:r>
        <w:rPr>
          <w:rFonts w:hint="eastAsia" w:ascii="宋体" w:hAnsi="宋体" w:cs="宋体"/>
          <w:color w:val="000000" w:themeColor="text1"/>
          <w:kern w:val="0"/>
          <w:sz w:val="24"/>
          <w:szCs w:val="24"/>
          <w:highlight w:val="none"/>
          <w14:textFill>
            <w14:solidFill>
              <w14:schemeClr w14:val="tx1"/>
            </w14:solidFill>
          </w14:textFill>
        </w:rPr>
        <w:t>初步设计阶段的工作要求</w:t>
      </w:r>
    </w:p>
    <w:p w14:paraId="0404FCAF">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（1）初步设计文件均以各工程子项为编制单位。</w:t>
      </w:r>
    </w:p>
    <w:p w14:paraId="62F8747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（2）初步设计阶段须对本合同条款第6.3（8）款所述比选项目，至少提供两个比选方案，使设计具备先进性、可靠性和经济合理性，并满足以下要求：</w:t>
      </w:r>
    </w:p>
    <w:p w14:paraId="38C3D98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1）应符合甲方批准的设计方案和实施性方案；</w:t>
      </w:r>
    </w:p>
    <w:p w14:paraId="14B3FC3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2）能据以准备各主要设备、材料及饰面材料（送板）；</w:t>
      </w:r>
    </w:p>
    <w:p w14:paraId="09A841D7">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3）能据以编制、审核工程设计概算；</w:t>
      </w:r>
    </w:p>
    <w:p w14:paraId="16776E65">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4）能据以进行施工准备；</w:t>
      </w:r>
    </w:p>
    <w:p w14:paraId="36D439A8">
      <w:pPr>
        <w:adjustRightInd w:val="0"/>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5）能作为各专业施工图设计的依据。</w:t>
      </w:r>
    </w:p>
    <w:p w14:paraId="0F9B7802">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（3）初步设计中的结构设计文件，应对结构的选型、布置、截面尺寸、材料用量等予以明确。</w:t>
      </w:r>
    </w:p>
    <w:p w14:paraId="3AF70F6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乙方须根据甲方的相关规定和要求进行工程设计概算的编制，概算文件中的开项必须齐全完整，造价指标必须准确，须满足工程投资控制的要求。乙方编制的工程概算须同时满足甲方信息化管理的相关要求（本合同条款第24条）。</w:t>
      </w:r>
    </w:p>
    <w:p w14:paraId="74D4327A">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如果乙方的概算编制质量和进度不能满足本合同约定或甲方要求，则甲方可另行委托专业造价咨询单位实施设计概算编制工作，所发生的费用根据《关于调整我省建设工程造价咨询服务收费的复函》（粤价函[2011]742号，如有新规则按新规执行）规定并结合专业造价咨询单位实际工作比例计取，由乙方负责支付。</w:t>
      </w:r>
    </w:p>
    <w:p w14:paraId="1C893F0F">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（5）乙方应重点对设计范围内的给水、排水、电气、采暖通风、空调、动力等管线进行各专业综合分析,协调并解决其中矛盾,成果包括室内外管线综合平衡图、场外管线综合总图和相关专业图纸及说明书。</w:t>
      </w:r>
    </w:p>
    <w:p w14:paraId="0F6F13D0">
      <w:pPr>
        <w:adjustRightInd w:val="0"/>
        <w:snapToGrid w:val="0"/>
        <w:spacing w:line="360" w:lineRule="auto"/>
        <w:ind w:firstLine="480" w:firstLineChars="200"/>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（6）乙方必须准确计算建筑面积，完善建设规模及经济指标说明。</w:t>
      </w:r>
    </w:p>
    <w:p w14:paraId="187F5AAB">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（7）乙方应确保相关的初步设计成果文件深度能够有效满足专项施工图设计工程投资控制的要求。本合同范围如包含以下专业工程，乙方提供的相关初步设计成果文件应满足以下要求：</w:t>
      </w:r>
    </w:p>
    <w:p w14:paraId="2506250F">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①钢结构工程：</w:t>
      </w:r>
    </w:p>
    <w:p w14:paraId="66375337">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乙方提供的设计成果文件应满足住建部初步设计文件深度要求的相关规定，结构形式、布置、受力杆件、构件型号、材料种类、节点类型等设计内容须成熟稳定，具体要求如下：</w:t>
      </w:r>
    </w:p>
    <w:p w14:paraId="18FD791B">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a、设计成果文件中应提供杆件的控制内力，设计计算应考虑施工工序及稳定应力。</w:t>
      </w:r>
    </w:p>
    <w:p w14:paraId="749D6AD5">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b、补充钢结构设计总说明：详细材料要求、加工要求、连接要求、焊接质量要求、防腐、防火要求，并对安装条件做出说明。</w:t>
      </w:r>
    </w:p>
    <w:p w14:paraId="0D0E751E">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c、主桁架未有桁架剪力墙的连接大样的，典型节点应作有限之分析，关键节点应作有关试验。</w:t>
      </w:r>
    </w:p>
    <w:p w14:paraId="3A432AEB">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d、优化结构体系，取消或减少部分主、次桁架，完善支撑系统，支撑的布置应考虑结构的整体稳定。</w:t>
      </w:r>
    </w:p>
    <w:p w14:paraId="06E2400B">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乙方须保证，在其提供的设计成果文件的基础上进行的达至施工图设计程度的专项设计，其总用钢量增加在5%以内。</w:t>
      </w:r>
    </w:p>
    <w:p w14:paraId="1AAB2610">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②幕墙工程：</w:t>
      </w:r>
    </w:p>
    <w:p w14:paraId="322A7C18">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乙方提供的设计成果文件中幕墙外观、用材料品种档次、幕墙主要受力体系、预埋件设计、细部节点和幕墙与其他专业的界面处理等设计内容须成熟稳定。</w:t>
      </w:r>
    </w:p>
    <w:p w14:paraId="20570E79">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③室内装饰工程：</w:t>
      </w:r>
    </w:p>
    <w:p w14:paraId="009EA185">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乙方提供的设计成果文件中，以下内容须成熟稳定：</w:t>
      </w:r>
    </w:p>
    <w:p w14:paraId="36EFB4D5">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a、所有室内可视范围内的装饰风格、空间效果、构件尺寸等主要设计要素；</w:t>
      </w:r>
    </w:p>
    <w:p w14:paraId="3F40072B">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b、室内装饰设计部分中，所有与其他专业关联的技术界面（特别是给排水、消防、建筑声学、机电、智能化、扩声等专业的技术界面）；</w:t>
      </w:r>
    </w:p>
    <w:p w14:paraId="48EE9281">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c、室内装饰设计部分中，所有相关专业要求室内装饰专业须满足的技术条件；</w:t>
      </w:r>
    </w:p>
    <w:p w14:paraId="784244C8">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d、室内装饰设计部分中，主要机电管线的综合平衡；</w:t>
      </w:r>
    </w:p>
    <w:p w14:paraId="027B4968">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e、室内装饰设计部分中，所有的主要装饰材料的技术要求。</w:t>
      </w:r>
    </w:p>
    <w:p w14:paraId="7A1834AD">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④机电设备安装工程：</w:t>
      </w:r>
    </w:p>
    <w:p w14:paraId="5005BB9D">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乙方提供的设计成果文件中，系统的构成、强制性的系统功能要求（功能要求点表）、设备技术参数中的强制性条目要求等设计内容须成熟稳定。</w:t>
      </w:r>
    </w:p>
    <w:p w14:paraId="1EE2B9C1">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⑤弱电智能化工程：</w:t>
      </w:r>
    </w:p>
    <w:p w14:paraId="7124F872">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乙方提供的设计成果文件中，系统的构成、强制性的系统功能要求（系统图及功能要求点表）、主要设备材料技术参数中的强制性条目要求等设计内容须成熟稳定。</w:t>
      </w:r>
    </w:p>
    <w:p w14:paraId="7D9A65F9">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⑥其他：详见</w:t>
      </w:r>
      <w:r>
        <w:rPr>
          <w:rFonts w:ascii="宋体" w:hAnsi="宋体" w:cs="宋体"/>
          <w:color w:val="000000" w:themeColor="text1"/>
          <w:kern w:val="0"/>
          <w:sz w:val="24"/>
          <w:szCs w:val="24"/>
          <w:highlight w:val="none"/>
          <w14:textFill>
            <w14:solidFill>
              <w14:schemeClr w14:val="tx1"/>
            </w14:solidFill>
          </w14:textFill>
        </w:rPr>
        <w:t>基础资料和勘察设计任务书</w:t>
      </w:r>
      <w:r>
        <w:rPr>
          <w:rFonts w:hint="eastAsia" w:ascii="宋体" w:hAnsi="宋体" w:cs="宋体"/>
          <w:color w:val="000000" w:themeColor="text1"/>
          <w:kern w:val="0"/>
          <w:sz w:val="24"/>
          <w:szCs w:val="24"/>
          <w:highlight w:val="none"/>
          <w14:textFill>
            <w14:solidFill>
              <w14:schemeClr w14:val="tx1"/>
            </w14:solidFill>
          </w14:textFill>
        </w:rPr>
        <w:t>。</w:t>
      </w:r>
    </w:p>
    <w:p w14:paraId="21AD7738">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（8）对于各类专项技术的设计，乙方须按照甲方建设需求和专项单位最终确定的研究成果、相关技术指标和标准，开展设计工作。</w:t>
      </w:r>
    </w:p>
    <w:p w14:paraId="203C2AE9">
      <w:pPr>
        <w:adjustRightInd w:val="0"/>
        <w:snapToGrid w:val="0"/>
        <w:spacing w:line="360" w:lineRule="auto"/>
        <w:ind w:firstLine="482" w:firstLineChars="200"/>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6.6施工图设计阶段的主要工作及要求</w:t>
      </w:r>
    </w:p>
    <w:p w14:paraId="1ADFCE1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6.6.1</w:t>
      </w:r>
      <w:r>
        <w:rPr>
          <w:rFonts w:hint="eastAsia" w:ascii="宋体" w:hAnsi="宋体" w:cs="宋体"/>
          <w:color w:val="000000" w:themeColor="text1"/>
          <w:kern w:val="0"/>
          <w:sz w:val="24"/>
          <w:szCs w:val="24"/>
          <w:highlight w:val="none"/>
          <w14:textFill>
            <w14:solidFill>
              <w14:schemeClr w14:val="tx1"/>
            </w14:solidFill>
          </w14:textFill>
        </w:rPr>
        <w:t>施工图设计阶段的主要工作</w:t>
      </w:r>
    </w:p>
    <w:p w14:paraId="3417201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（1）将施工图设计阶段的成果文件送施工图审查单位及甲方审查，并根据审查意见修改相关设计成果文件。</w:t>
      </w:r>
    </w:p>
    <w:p w14:paraId="6FC3B1C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（2）按照规划主管部门的报建要求，提供建筑施工报建所需相关设计成果文件并根据相关的审批意见对设计成果文件进行相应修改。相关设计成果文件包括但不限于以下内容： </w:t>
      </w:r>
    </w:p>
    <w:p w14:paraId="6D6175A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1）总平面图（比例按报建要求，包括各项技术经济指标）；</w:t>
      </w:r>
    </w:p>
    <w:p w14:paraId="7FD6A3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2）建筑构造和主要建筑材料说明；</w:t>
      </w:r>
    </w:p>
    <w:p w14:paraId="7FEA223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3）建筑平、立、剖面图；</w:t>
      </w:r>
    </w:p>
    <w:p w14:paraId="42A45D0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4）建筑综合管线图；</w:t>
      </w:r>
    </w:p>
    <w:p w14:paraId="2B21633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5）规划主管部门要求的其他报建设计文件。</w:t>
      </w:r>
    </w:p>
    <w:p w14:paraId="7D302C9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乙方应按报建要求向甲方提交建筑施工报建所需相关设计成果文件，含文件、图纸、电子文档光盘（具体数量以报建要求为准）；成果文件加盖设计单位出图章、注册建筑师章。</w:t>
      </w:r>
    </w:p>
    <w:p w14:paraId="2F01BE3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对各专项设计施工图的技术接口进行审核并进行设计联络及完善；</w:t>
      </w:r>
      <w:r>
        <w:rPr>
          <w:rFonts w:hint="eastAsia" w:ascii="宋体" w:hAnsi="宋体" w:cs="宋体"/>
          <w:color w:val="000000" w:themeColor="text1"/>
          <w:kern w:val="0"/>
          <w:sz w:val="24"/>
          <w:szCs w:val="24"/>
          <w:highlight w:val="none"/>
          <w14:textFill>
            <w14:solidFill>
              <w14:schemeClr w14:val="tx1"/>
            </w14:solidFill>
          </w14:textFill>
        </w:rPr>
        <w:t>对本合同范围内的所有的施工图设计成果文件（包括甲方另行发包的专项设计的成果及乙方自行分包的设计成果文件）进行总体设计协调，提交本合同范围内的全部施工图，包括但不限于如下设计成果文件：</w:t>
      </w:r>
    </w:p>
    <w:p w14:paraId="24660C3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1）总平面图；</w:t>
      </w:r>
    </w:p>
    <w:p w14:paraId="1F6202D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2）合同要求所涉及的所有专业（包括道路、隧道、建筑、结构、给排水、电气、空调、园林景观等专业及各专项设计）的设计图纸及设计说明、计算书；</w:t>
      </w:r>
    </w:p>
    <w:p w14:paraId="506EB6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3）设备材料表以及满足招投标要求的技术规格书；</w:t>
      </w:r>
    </w:p>
    <w:p w14:paraId="630584B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4）管线综合图（室外管线迁移图）；</w:t>
      </w:r>
    </w:p>
    <w:p w14:paraId="0CC9763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5）苗木迁移方案（图）（如有）；</w:t>
      </w:r>
    </w:p>
    <w:p w14:paraId="193923F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6）</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（包括配合施工招标工作）（甲方另行发包的专项设计由专项设计单位提供相应的预算文件，由乙方负责汇总）。</w:t>
      </w:r>
    </w:p>
    <w:p w14:paraId="1F8180A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乙方应按本合同条款第9.1款约定向甲方提交施工图设计成果文件（含图纸及相关文本文件）；成果文件加盖设计单位出图章、注册建筑师章。</w:t>
      </w:r>
    </w:p>
    <w:p w14:paraId="5C6DED0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（4）在项目全部设计变更完成后，核实工程实施过程中发生的所有设计变更，并将全部设计变更内容综合汇总并将其反映在设计图纸上而形成完整版施工图，并按如下要求在</w:t>
      </w:r>
      <w:r>
        <w:rPr>
          <w:rFonts w:hint="eastAsia" w:ascii="宋体" w:hAnsi="宋体" w:cs="宋体"/>
          <w:b/>
          <w:color w:val="000000" w:themeColor="text1"/>
          <w:kern w:val="0"/>
          <w:sz w:val="24"/>
          <w:szCs w:val="24"/>
          <w:highlight w:val="none"/>
          <w14:textFill>
            <w14:solidFill>
              <w14:schemeClr w14:val="tx1"/>
            </w14:solidFill>
          </w14:textFill>
        </w:rPr>
        <w:t>竣工验收前</w:t>
      </w:r>
      <w:r>
        <w:rPr>
          <w:rFonts w:hint="eastAsia" w:ascii="宋体" w:hAnsi="宋体" w:cs="宋体"/>
          <w:color w:val="000000" w:themeColor="text1"/>
          <w:kern w:val="0"/>
          <w:sz w:val="24"/>
          <w:szCs w:val="24"/>
          <w:highlight w:val="none"/>
          <w14:textFill>
            <w14:solidFill>
              <w14:schemeClr w14:val="tx1"/>
            </w14:solidFill>
          </w14:textFill>
        </w:rPr>
        <w:t>向甲方提供完整版施工图：</w:t>
      </w:r>
    </w:p>
    <w:p w14:paraId="2EA6F10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乙方应按本合同条款第9.1款约定向甲方提交施工图设计成果文件（含图纸及相关文本文件）；成果文件加盖设计单位出图章、注册建筑师章。</w:t>
      </w:r>
    </w:p>
    <w:p w14:paraId="7176C24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6.6.2</w:t>
      </w:r>
      <w:r>
        <w:rPr>
          <w:rFonts w:hint="eastAsia" w:ascii="宋体" w:hAnsi="宋体" w:cs="宋体"/>
          <w:color w:val="000000" w:themeColor="text1"/>
          <w:kern w:val="0"/>
          <w:sz w:val="24"/>
          <w:szCs w:val="24"/>
          <w:highlight w:val="none"/>
          <w14:textFill>
            <w14:solidFill>
              <w14:schemeClr w14:val="tx1"/>
            </w14:solidFill>
          </w14:textFill>
        </w:rPr>
        <w:t>施工图设计阶段的工作要求</w:t>
      </w:r>
    </w:p>
    <w:p w14:paraId="774433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（1）施工图设计文件均以各工程子项为编制单位。</w:t>
      </w:r>
    </w:p>
    <w:p w14:paraId="72E454E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（2）施工图设计文件的深度要满足以下要求：</w:t>
      </w:r>
    </w:p>
    <w:p w14:paraId="73E5806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1)应根据政府有关主管部门批准的初步设计进行编制；</w:t>
      </w:r>
    </w:p>
    <w:p w14:paraId="2238A09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2)满足住建部批准的现行有效《建筑工程设计文件编制深度规定》、《市政公用工程设计文件编制深度规定》施工图设计阶段的要求；</w:t>
      </w:r>
    </w:p>
    <w:p w14:paraId="6294BD1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3）能据以编制</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和招标最高投标限价及招标工程量清单；</w:t>
      </w:r>
    </w:p>
    <w:p w14:paraId="1E03684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4）能据以编制招标文件；</w:t>
      </w:r>
    </w:p>
    <w:p w14:paraId="03549B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5）能据以安排材料、设备订货和非标准设备的制作；</w:t>
      </w:r>
    </w:p>
    <w:p w14:paraId="2749E0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6）能据以进行施工和安装；</w:t>
      </w:r>
    </w:p>
    <w:p w14:paraId="3650582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7）能据以进行工程竣工验收。</w:t>
      </w:r>
    </w:p>
    <w:p w14:paraId="6A5A35E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（3）乙方提交给甲方的施工图设计成果文件应不存在错、漏、碰等问题。</w:t>
      </w:r>
    </w:p>
    <w:p w14:paraId="7C459CC2">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（4）乙方按本合同协议书相关约定选定</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编制单位后，须要求</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编制单位根据甲方关于本项目工程量清单计价的指引文件的相关要求，进行</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的编制工作（包括配合施工招标工作），</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中的开项必须齐全完整，须满足工程投资控制的要求和甲方工程信息管理的相关要求。</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编制单位就其完成的工作和乙方对甲方承担连带责任。为确保概预算工作的连续性和一致性，</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编制单位需同时承担设计概算审核工作。</w:t>
      </w:r>
    </w:p>
    <w:p w14:paraId="38D7341E">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编制工作要求：</w:t>
      </w:r>
    </w:p>
    <w:p w14:paraId="068ABEB5">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1）乙方</w:t>
      </w:r>
      <w:r>
        <w:rPr>
          <w:rFonts w:hint="eastAsia" w:ascii="宋体" w:hAnsi="宋体" w:cs="宋体"/>
          <w:bCs/>
          <w:color w:val="000000" w:themeColor="text1"/>
          <w:kern w:val="0"/>
          <w:sz w:val="24"/>
          <w:szCs w:val="24"/>
          <w:highlight w:val="none"/>
          <w14:textFill>
            <w14:solidFill>
              <w14:schemeClr w14:val="tx1"/>
            </w14:solidFill>
          </w14:textFill>
        </w:rPr>
        <w:t>在提交本工程施工图设计文件时需同时提交对应的</w:t>
      </w:r>
      <w:r>
        <w:rPr>
          <w:rFonts w:hint="default" w:ascii="宋体" w:hAnsi="宋体" w:cs="宋体"/>
          <w:b/>
          <w:color w:val="000000" w:themeColor="text1"/>
          <w:kern w:val="0"/>
          <w:sz w:val="24"/>
          <w:szCs w:val="24"/>
          <w:highlight w:val="none"/>
          <w14:textFill>
            <w14:solidFill>
              <w14:schemeClr w14:val="tx1"/>
            </w14:solidFill>
          </w14:textFill>
        </w:rPr>
        <w:t>造价预算</w:t>
      </w:r>
      <w:r>
        <w:rPr>
          <w:rFonts w:hint="eastAsia" w:ascii="宋体" w:hAnsi="宋体" w:cs="宋体"/>
          <w:b/>
          <w:color w:val="000000" w:themeColor="text1"/>
          <w:kern w:val="0"/>
          <w:sz w:val="24"/>
          <w:szCs w:val="24"/>
          <w:highlight w:val="none"/>
          <w14:textFill>
            <w14:solidFill>
              <w14:schemeClr w14:val="tx1"/>
            </w14:solidFill>
          </w14:textFill>
        </w:rPr>
        <w:t>文件</w:t>
      </w:r>
      <w:r>
        <w:rPr>
          <w:rFonts w:hint="eastAsia" w:ascii="宋体" w:hAnsi="宋体" w:cs="宋体"/>
          <w:bCs/>
          <w:color w:val="000000" w:themeColor="text1"/>
          <w:kern w:val="0"/>
          <w:sz w:val="24"/>
          <w:szCs w:val="24"/>
          <w:highlight w:val="none"/>
          <w14:textFill>
            <w14:solidFill>
              <w14:schemeClr w14:val="tx1"/>
            </w14:solidFill>
          </w14:textFill>
        </w:rPr>
        <w:t>，并</w:t>
      </w:r>
      <w:r>
        <w:rPr>
          <w:rFonts w:hint="eastAsia" w:ascii="宋体" w:hAnsi="宋体" w:cs="宋体"/>
          <w:color w:val="000000" w:themeColor="text1"/>
          <w:kern w:val="0"/>
          <w:sz w:val="24"/>
          <w:szCs w:val="24"/>
          <w:highlight w:val="none"/>
          <w14:textFill>
            <w14:solidFill>
              <w14:schemeClr w14:val="tx1"/>
            </w14:solidFill>
          </w14:textFill>
        </w:rPr>
        <w:t>应确保本工程</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编制工作质量，开项齐全、工程量准确、造价合理，并满足工程投资控制的要求。如乙方不具备相应的工程造价咨询资质及编制能力，或乙方</w:t>
      </w:r>
      <w:r>
        <w:rPr>
          <w:rFonts w:hint="eastAsia" w:ascii="宋体" w:hAnsi="宋体" w:cs="宋体"/>
          <w:bCs/>
          <w:color w:val="000000" w:themeColor="text1"/>
          <w:kern w:val="0"/>
          <w:sz w:val="24"/>
          <w:szCs w:val="24"/>
          <w:highlight w:val="none"/>
          <w14:textFill>
            <w14:solidFill>
              <w14:schemeClr w14:val="tx1"/>
            </w14:solidFill>
          </w14:textFill>
        </w:rPr>
        <w:t>提供的</w:t>
      </w:r>
      <w:r>
        <w:rPr>
          <w:rFonts w:hint="default" w:ascii="宋体" w:hAnsi="宋体" w:cs="宋体"/>
          <w:bCs/>
          <w:color w:val="000000" w:themeColor="text1"/>
          <w:kern w:val="0"/>
          <w:sz w:val="24"/>
          <w:szCs w:val="24"/>
          <w:highlight w:val="none"/>
          <w14:textFill>
            <w14:solidFill>
              <w14:schemeClr w14:val="tx1"/>
            </w14:solidFill>
          </w14:textFill>
        </w:rPr>
        <w:t>造价预算</w:t>
      </w:r>
      <w:r>
        <w:rPr>
          <w:rFonts w:hint="eastAsia" w:ascii="宋体" w:hAnsi="宋体" w:cs="宋体"/>
          <w:bCs/>
          <w:color w:val="000000" w:themeColor="text1"/>
          <w:kern w:val="0"/>
          <w:sz w:val="24"/>
          <w:szCs w:val="24"/>
          <w:highlight w:val="none"/>
          <w14:textFill>
            <w14:solidFill>
              <w14:schemeClr w14:val="tx1"/>
            </w14:solidFill>
          </w14:textFill>
        </w:rPr>
        <w:t>编制成果达不到合同约定质量要求的</w:t>
      </w:r>
      <w:r>
        <w:rPr>
          <w:rFonts w:hint="eastAsia" w:ascii="宋体" w:hAnsi="宋体" w:cs="宋体"/>
          <w:color w:val="000000" w:themeColor="text1"/>
          <w:kern w:val="0"/>
          <w:sz w:val="24"/>
          <w:szCs w:val="24"/>
          <w:highlight w:val="none"/>
          <w14:textFill>
            <w14:solidFill>
              <w14:schemeClr w14:val="tx1"/>
            </w14:solidFill>
          </w14:textFill>
        </w:rPr>
        <w:t>，乙方应将</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编制相关工作（包括概算复核、</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w:t>
      </w:r>
      <w:r>
        <w:rPr>
          <w:rFonts w:hint="eastAsia" w:ascii="宋体" w:hAnsi="宋体" w:cs="宋体"/>
          <w:bCs/>
          <w:color w:val="000000" w:themeColor="text1"/>
          <w:kern w:val="0"/>
          <w:sz w:val="24"/>
          <w:szCs w:val="24"/>
          <w:highlight w:val="none"/>
          <w14:textFill>
            <w14:solidFill>
              <w14:schemeClr w14:val="tx1"/>
            </w14:solidFill>
          </w14:textFill>
        </w:rPr>
        <w:t>施工招标控制价</w:t>
      </w:r>
      <w:r>
        <w:rPr>
          <w:rFonts w:hint="eastAsia" w:ascii="宋体" w:hAnsi="宋体" w:cs="宋体"/>
          <w:color w:val="000000" w:themeColor="text1"/>
          <w:kern w:val="0"/>
          <w:sz w:val="24"/>
          <w:szCs w:val="24"/>
          <w:highlight w:val="none"/>
          <w14:textFill>
            <w14:solidFill>
              <w14:schemeClr w14:val="tx1"/>
            </w14:solidFill>
          </w14:textFill>
        </w:rPr>
        <w:t>以及施工招标配合、设计变更预算编制等）委托给专业造价咨询单位实施。乙方所委托的</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编制单位应经甲方审核确认。乙方和</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编制单位就本项目的</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编制（含施工招标配合工作）工作对甲方承担连带责任。</w:t>
      </w:r>
      <w:r>
        <w:rPr>
          <w:rFonts w:hint="eastAsia" w:ascii="宋体" w:hAnsi="宋体" w:cs="宋体"/>
          <w:bCs/>
          <w:color w:val="000000" w:themeColor="text1"/>
          <w:kern w:val="0"/>
          <w:sz w:val="24"/>
          <w:szCs w:val="24"/>
          <w:highlight w:val="none"/>
          <w14:textFill>
            <w14:solidFill>
              <w14:schemeClr w14:val="tx1"/>
            </w14:solidFill>
          </w14:textFill>
        </w:rPr>
        <w:t>如果乙方的</w:t>
      </w:r>
      <w:r>
        <w:rPr>
          <w:rFonts w:hint="default" w:ascii="宋体" w:hAnsi="宋体" w:cs="宋体"/>
          <w:bCs/>
          <w:color w:val="000000" w:themeColor="text1"/>
          <w:kern w:val="0"/>
          <w:sz w:val="24"/>
          <w:szCs w:val="24"/>
          <w:highlight w:val="none"/>
          <w14:textFill>
            <w14:solidFill>
              <w14:schemeClr w14:val="tx1"/>
            </w14:solidFill>
          </w14:textFill>
        </w:rPr>
        <w:t>造价预算</w:t>
      </w:r>
      <w:r>
        <w:rPr>
          <w:rFonts w:hint="eastAsia" w:ascii="宋体" w:hAnsi="宋体" w:cs="宋体"/>
          <w:bCs/>
          <w:color w:val="000000" w:themeColor="text1"/>
          <w:kern w:val="0"/>
          <w:sz w:val="24"/>
          <w:szCs w:val="24"/>
          <w:highlight w:val="none"/>
          <w14:textFill>
            <w14:solidFill>
              <w14:schemeClr w14:val="tx1"/>
            </w14:solidFill>
          </w14:textFill>
        </w:rPr>
        <w:t>编制工作质量和进度不能满足本合同约定或甲方要求，则甲方有权另行委托专业造价咨询单位实施</w:t>
      </w:r>
      <w:r>
        <w:rPr>
          <w:rFonts w:hint="default" w:ascii="宋体" w:hAnsi="宋体" w:cs="宋体"/>
          <w:bCs/>
          <w:color w:val="000000" w:themeColor="text1"/>
          <w:kern w:val="0"/>
          <w:sz w:val="24"/>
          <w:szCs w:val="24"/>
          <w:highlight w:val="none"/>
          <w14:textFill>
            <w14:solidFill>
              <w14:schemeClr w14:val="tx1"/>
            </w14:solidFill>
          </w14:textFill>
        </w:rPr>
        <w:t>造价预算</w:t>
      </w:r>
      <w:r>
        <w:rPr>
          <w:rFonts w:hint="eastAsia" w:ascii="宋体" w:hAnsi="宋体" w:cs="宋体"/>
          <w:bCs/>
          <w:color w:val="000000" w:themeColor="text1"/>
          <w:kern w:val="0"/>
          <w:sz w:val="24"/>
          <w:szCs w:val="24"/>
          <w:highlight w:val="none"/>
          <w14:textFill>
            <w14:solidFill>
              <w14:schemeClr w14:val="tx1"/>
            </w14:solidFill>
          </w14:textFill>
        </w:rPr>
        <w:t>编制工作，届时，甲方将相应扣减本合同约定的</w:t>
      </w:r>
      <w:r>
        <w:rPr>
          <w:rFonts w:hint="default" w:ascii="宋体" w:hAnsi="宋体" w:cs="宋体"/>
          <w:bCs/>
          <w:color w:val="000000" w:themeColor="text1"/>
          <w:kern w:val="0"/>
          <w:sz w:val="24"/>
          <w:szCs w:val="24"/>
          <w:highlight w:val="none"/>
          <w14:textFill>
            <w14:solidFill>
              <w14:schemeClr w14:val="tx1"/>
            </w14:solidFill>
          </w14:textFill>
        </w:rPr>
        <w:t>造价预算</w:t>
      </w:r>
      <w:r>
        <w:rPr>
          <w:rFonts w:hint="eastAsia" w:ascii="宋体" w:hAnsi="宋体" w:cs="宋体"/>
          <w:bCs/>
          <w:color w:val="000000" w:themeColor="text1"/>
          <w:kern w:val="0"/>
          <w:sz w:val="24"/>
          <w:szCs w:val="24"/>
          <w:highlight w:val="none"/>
          <w14:textFill>
            <w14:solidFill>
              <w14:schemeClr w14:val="tx1"/>
            </w14:solidFill>
          </w14:textFill>
        </w:rPr>
        <w:t>编制费并将该项费用支付给该专业造价咨询单位。</w:t>
      </w:r>
    </w:p>
    <w:p w14:paraId="2A464D47">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2）乙方应按《建设工程工程量清单计价规范（GB 50500-2013）》编制预算文件（如实施新规范应按最新要求编制）。措施项目清单必须结合项目的实际情况编制。</w:t>
      </w:r>
    </w:p>
    <w:p w14:paraId="37BC750E">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3）乙方提供的</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文件应包括但并不限于：编制说明、工程量清单（含造价软件版）、工程量计算书、经济指标分析表、主要材料设备定价依据文件（含询价文件等）。其中，若主材价格在广州市建设工程造价管理站发布的《广州地区建设工程常用材料税前综合价格》（以下简称“综合价格”）中有价格的，则按《综合价格》中相应材料综合价格执行；若主材价格在《综合价格》中没有价格的，则在招标当季度广州市建设工程造价管理站发布的《广州地区建设工程材料（设备）厂商价格信息》（以下简称“《厂商价格信息》”）的基础上合理考虑下浮率后确定；若《综合价格》和《厂商价格信息》中均没有价格的，乙方应开展市场询价相关工作，询价单位不得少于3家，并编制询价报告，按合理的市场价格确定。</w:t>
      </w:r>
    </w:p>
    <w:p w14:paraId="2886C5F8">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4）如</w:t>
      </w:r>
      <w:r>
        <w:rPr>
          <w:rFonts w:hint="eastAsia" w:ascii="宋体" w:hAnsi="宋体" w:cs="宋体"/>
          <w:bCs/>
          <w:color w:val="000000" w:themeColor="text1"/>
          <w:kern w:val="0"/>
          <w:sz w:val="24"/>
          <w:szCs w:val="24"/>
          <w:highlight w:val="none"/>
          <w14:textFill>
            <w14:solidFill>
              <w14:schemeClr w14:val="tx1"/>
            </w14:solidFill>
          </w14:textFill>
        </w:rPr>
        <w:t>在本工程施工招标阶段</w:t>
      </w:r>
      <w:r>
        <w:rPr>
          <w:rFonts w:hint="eastAsia" w:ascii="宋体" w:hAnsi="宋体" w:cs="宋体"/>
          <w:color w:val="000000" w:themeColor="text1"/>
          <w:kern w:val="0"/>
          <w:sz w:val="24"/>
          <w:szCs w:val="24"/>
          <w:highlight w:val="none"/>
          <w14:textFill>
            <w14:solidFill>
              <w14:schemeClr w14:val="tx1"/>
            </w14:solidFill>
          </w14:textFill>
        </w:rPr>
        <w:t>发生设计调整，乙方应根据设计调整内容编制预算修改说明，并相应修改预算文件，同时按上述第3）点的要求提供修改后的预算文件。</w:t>
      </w:r>
    </w:p>
    <w:p w14:paraId="7CDD44CB">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5）乙方应配合本项目的施工招标工作。</w:t>
      </w:r>
      <w:r>
        <w:rPr>
          <w:rFonts w:hint="eastAsia" w:ascii="宋体" w:hAnsi="宋体" w:cs="宋体"/>
          <w:bCs/>
          <w:color w:val="000000" w:themeColor="text1"/>
          <w:kern w:val="0"/>
          <w:sz w:val="24"/>
          <w:szCs w:val="24"/>
          <w:highlight w:val="none"/>
          <w14:textFill>
            <w14:solidFill>
              <w14:schemeClr w14:val="tx1"/>
            </w14:solidFill>
          </w14:textFill>
        </w:rPr>
        <w:t>如在本项目施工招标过程中，甲方对乙方编制的</w:t>
      </w:r>
      <w:r>
        <w:rPr>
          <w:rFonts w:hint="default" w:ascii="宋体" w:hAnsi="宋体" w:cs="宋体"/>
          <w:bCs/>
          <w:color w:val="000000" w:themeColor="text1"/>
          <w:kern w:val="0"/>
          <w:sz w:val="24"/>
          <w:szCs w:val="24"/>
          <w:highlight w:val="none"/>
          <w14:textFill>
            <w14:solidFill>
              <w14:schemeClr w14:val="tx1"/>
            </w14:solidFill>
          </w14:textFill>
        </w:rPr>
        <w:t>造价预算</w:t>
      </w:r>
      <w:r>
        <w:rPr>
          <w:rFonts w:hint="eastAsia" w:ascii="宋体" w:hAnsi="宋体" w:cs="宋体"/>
          <w:bCs/>
          <w:color w:val="000000" w:themeColor="text1"/>
          <w:kern w:val="0"/>
          <w:sz w:val="24"/>
          <w:szCs w:val="24"/>
          <w:highlight w:val="none"/>
          <w14:textFill>
            <w14:solidFill>
              <w14:schemeClr w14:val="tx1"/>
            </w14:solidFill>
          </w14:textFill>
        </w:rPr>
        <w:t>有异议的</w:t>
      </w:r>
      <w:r>
        <w:rPr>
          <w:rFonts w:hint="eastAsia" w:ascii="宋体" w:hAnsi="宋体" w:cs="宋体"/>
          <w:color w:val="000000" w:themeColor="text1"/>
          <w:kern w:val="0"/>
          <w:sz w:val="24"/>
          <w:szCs w:val="24"/>
          <w:highlight w:val="none"/>
          <w14:textFill>
            <w14:solidFill>
              <w14:schemeClr w14:val="tx1"/>
            </w14:solidFill>
          </w14:textFill>
        </w:rPr>
        <w:t>，乙方应无条件配合甲方修改预算清单及价款，并配合解答招标过程中投标单位提出的关于清单及价款方面的疑问或异议。</w:t>
      </w:r>
    </w:p>
    <w:p w14:paraId="3985C801">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6）招标控制价的配合工作包括但不限于在甲方指定地点进行工程量、定额、主材的对数等。</w:t>
      </w:r>
    </w:p>
    <w:p w14:paraId="70F3053E">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（5）乙方应重点对设计范围内的给水、排水、电气、采暖通风、空调、动力等管线进行</w:t>
      </w:r>
      <w:r>
        <w:rPr>
          <w:rFonts w:hint="default" w:ascii="宋体" w:hAnsi="宋体" w:cs="宋体"/>
          <w:color w:val="000000" w:themeColor="text1"/>
          <w:kern w:val="0"/>
          <w:sz w:val="24"/>
          <w:szCs w:val="24"/>
          <w:highlight w:val="none"/>
          <w14:textFill>
            <w14:solidFill>
              <w14:schemeClr w14:val="tx1"/>
            </w14:solidFill>
          </w14:textFill>
        </w:rPr>
        <w:t>各</w:t>
      </w:r>
      <w:r>
        <w:rPr>
          <w:rFonts w:hint="eastAsia" w:ascii="宋体" w:hAnsi="宋体" w:cs="宋体"/>
          <w:color w:val="000000" w:themeColor="text1"/>
          <w:kern w:val="0"/>
          <w:sz w:val="24"/>
          <w:szCs w:val="24"/>
          <w:highlight w:val="none"/>
          <w14:textFill>
            <w14:solidFill>
              <w14:schemeClr w14:val="tx1"/>
            </w14:solidFill>
          </w14:textFill>
        </w:rPr>
        <w:t>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14:paraId="115ED385">
      <w:pPr>
        <w:keepNext w:val="0"/>
        <w:keepLines w:val="0"/>
        <w:pageBreakBefore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（6）乙方应确保设计成果的完整性、有效性、正确性、可靠性及经济合理性。</w:t>
      </w:r>
    </w:p>
    <w:p w14:paraId="52FB011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对于需要进一步深化设计的专业工程，乙方应在施工图初稿审核阶段，列出清单和深化设计具体要求，报甲方审核确认。经甲方审核确认后，乙方须提供施工图及用于指导深化设计的设计文件和资料（明确系统、设备、材料的技术指标及深化设计范围），并对深化设计成果文件进行完整性、有效性、正确性、可靠性及经济合理性审核。具体工作职责包括但不限于如下：</w:t>
      </w:r>
    </w:p>
    <w:p w14:paraId="2E3D35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1）审核深化设计文件是否符合原设计文件的要求；</w:t>
      </w:r>
    </w:p>
    <w:p w14:paraId="6EEDF12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2）审核是否符合国家的法律法规、国家规范规程、行业标准、地区标准；</w:t>
      </w:r>
    </w:p>
    <w:p w14:paraId="4E8E076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3）审核是否满足功能要求、使用要求及实施的可行性；</w:t>
      </w:r>
    </w:p>
    <w:p w14:paraId="680EB5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4）审核技术经济性；</w:t>
      </w:r>
    </w:p>
    <w:p w14:paraId="3C869EB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5）对相关各专业的协调性进行审核；</w:t>
      </w:r>
    </w:p>
    <w:p w14:paraId="45C5CD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6）复核及审查深化后的结构安全性及稳定性；</w:t>
      </w:r>
    </w:p>
    <w:p w14:paraId="5C0665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7）结合施工图审查单位及甲方的审核意见督促专项工程的深化设计单位修改完善相关的深化设计文件；</w:t>
      </w:r>
    </w:p>
    <w:p w14:paraId="7BBE9BF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8）乙方须根据最终完善的深化设计文件对其设计范围内的相关专业的设计成果文件的接口、界面进行修改完善，并确保最终通过甲方及施工图审查单位的审核；</w:t>
      </w:r>
    </w:p>
    <w:p w14:paraId="19640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对各专项设计施工图的技术接口进行审核并进行设计联络及完善，并结合二次装修施工图提供各相关设备专业末端设计施工图；</w:t>
      </w:r>
    </w:p>
    <w:p w14:paraId="709ABF4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对通过审核的各专项施工工程深化设计图纸进行签章确认。</w:t>
      </w:r>
    </w:p>
    <w:p w14:paraId="2C26EC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（8）乙方应根据本合同工程设计的特点，提供施工安装操作、安全防护的有关要求。</w:t>
      </w:r>
    </w:p>
    <w:p w14:paraId="1BA2095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6.7材料、设备选型的设计配合</w:t>
      </w:r>
    </w:p>
    <w:p w14:paraId="63F9AB1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6.7.1</w:t>
      </w:r>
      <w:r>
        <w:rPr>
          <w:rFonts w:hint="eastAsia" w:ascii="宋体" w:hAnsi="宋体" w:cs="宋体"/>
          <w:color w:val="000000" w:themeColor="text1"/>
          <w:kern w:val="0"/>
          <w:sz w:val="24"/>
          <w:szCs w:val="24"/>
          <w:highlight w:val="none"/>
          <w14:textFill>
            <w14:solidFill>
              <w14:schemeClr w14:val="tx1"/>
            </w14:solidFill>
          </w14:textFill>
        </w:rPr>
        <w:t>设计成果文件中选用的建筑材料、建筑构配件和设备，其质量标准必须符合国家规范、标准要求。</w:t>
      </w:r>
    </w:p>
    <w:p w14:paraId="7E081C48">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6.7.2</w:t>
      </w:r>
      <w:r>
        <w:rPr>
          <w:rFonts w:hint="eastAsia" w:ascii="宋体" w:hAnsi="宋体" w:cs="宋体"/>
          <w:color w:val="000000" w:themeColor="text1"/>
          <w:kern w:val="0"/>
          <w:sz w:val="24"/>
          <w:szCs w:val="24"/>
          <w:highlight w:val="none"/>
          <w14:textFill>
            <w14:solidFill>
              <w14:schemeClr w14:val="tx1"/>
            </w14:solidFill>
          </w14:textFill>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14:paraId="23E2B01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6.7.3</w:t>
      </w:r>
      <w:r>
        <w:rPr>
          <w:rFonts w:hint="eastAsia" w:ascii="宋体" w:hAnsi="宋体" w:cs="宋体"/>
          <w:color w:val="000000" w:themeColor="text1"/>
          <w:kern w:val="0"/>
          <w:sz w:val="24"/>
          <w:szCs w:val="24"/>
          <w:highlight w:val="none"/>
          <w14:textFill>
            <w14:solidFill>
              <w14:schemeClr w14:val="tx1"/>
            </w14:solidFill>
          </w14:textFill>
        </w:rPr>
        <w:t>设计文件对于工艺、技术、材料、设备的选用应该满足施工工期的要求，充分考虑设计的可实施性，重视和吸收施工单位对施工安装提出的意见，并充分考虑国内承建商的施工能力。</w:t>
      </w:r>
    </w:p>
    <w:p w14:paraId="350E0D9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6.7.4</w:t>
      </w:r>
      <w:r>
        <w:rPr>
          <w:rFonts w:hint="eastAsia" w:ascii="宋体" w:hAnsi="宋体" w:cs="宋体"/>
          <w:color w:val="000000" w:themeColor="text1"/>
          <w:kern w:val="0"/>
          <w:sz w:val="24"/>
          <w:szCs w:val="24"/>
          <w:highlight w:val="none"/>
          <w14:textFill>
            <w14:solidFill>
              <w14:schemeClr w14:val="tx1"/>
            </w14:solidFill>
          </w14:textFill>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450D303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6.7.5</w:t>
      </w:r>
      <w:r>
        <w:rPr>
          <w:rFonts w:hint="eastAsia" w:ascii="宋体" w:hAnsi="宋体" w:cs="宋体"/>
          <w:color w:val="000000" w:themeColor="text1"/>
          <w:kern w:val="0"/>
          <w:sz w:val="24"/>
          <w:szCs w:val="24"/>
          <w:highlight w:val="none"/>
          <w14:textFill>
            <w14:solidFill>
              <w14:schemeClr w14:val="tx1"/>
            </w14:solidFill>
          </w14:textFill>
        </w:rPr>
        <w:t>乙方应及时提供工程的各主要建筑材料和设备的生产厂商及价格等资料，供甲方选择时参考。</w:t>
      </w:r>
    </w:p>
    <w:p w14:paraId="29BD353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6.7.6</w:t>
      </w:r>
      <w:r>
        <w:rPr>
          <w:rFonts w:hint="eastAsia" w:ascii="宋体" w:hAnsi="宋体" w:cs="宋体"/>
          <w:color w:val="000000" w:themeColor="text1"/>
          <w:kern w:val="0"/>
          <w:sz w:val="24"/>
          <w:szCs w:val="24"/>
          <w:highlight w:val="none"/>
          <w14:textFill>
            <w14:solidFill>
              <w14:schemeClr w14:val="tx1"/>
            </w14:solidFill>
          </w14:textFill>
        </w:rPr>
        <w:t>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14:paraId="2A4A676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6.7.7</w:t>
      </w:r>
      <w:r>
        <w:rPr>
          <w:rFonts w:hint="eastAsia" w:ascii="宋体" w:hAnsi="宋体" w:cs="宋体"/>
          <w:color w:val="000000" w:themeColor="text1"/>
          <w:kern w:val="0"/>
          <w:sz w:val="24"/>
          <w:szCs w:val="24"/>
          <w:highlight w:val="none"/>
          <w14:textFill>
            <w14:solidFill>
              <w14:schemeClr w14:val="tx1"/>
            </w14:solidFill>
          </w14:textFill>
        </w:rPr>
        <w:t>对于由甲方拟定的候选建筑材料和设备，在厂商提供符合设计要求的技术资料后，乙方须协助甲方鉴别其优劣并提供相关咨询意见。同时，乙方应派本项目专业负责人参与甲方组织的相关看样定板工作，出具材料</w:t>
      </w:r>
      <w:r>
        <w:rPr>
          <w:rFonts w:hint="default" w:ascii="宋体" w:hAnsi="宋体" w:cs="宋体"/>
          <w:color w:val="000000" w:themeColor="text1"/>
          <w:kern w:val="0"/>
          <w:sz w:val="24"/>
          <w:szCs w:val="24"/>
          <w:highlight w:val="none"/>
          <w14:textFill>
            <w14:solidFill>
              <w14:schemeClr w14:val="tx1"/>
            </w14:solidFill>
          </w14:textFill>
        </w:rPr>
        <w:t>和</w:t>
      </w:r>
      <w:r>
        <w:rPr>
          <w:rFonts w:hint="eastAsia" w:ascii="宋体" w:hAnsi="宋体" w:cs="宋体"/>
          <w:color w:val="000000" w:themeColor="text1"/>
          <w:kern w:val="0"/>
          <w:sz w:val="24"/>
          <w:szCs w:val="24"/>
          <w:highlight w:val="none"/>
          <w14:textFill>
            <w14:solidFill>
              <w14:schemeClr w14:val="tx1"/>
            </w14:solidFill>
          </w14:textFill>
        </w:rPr>
        <w:t>设备选型的相关技术意见。</w:t>
      </w:r>
    </w:p>
    <w:p w14:paraId="7943CCF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6.7.8</w:t>
      </w:r>
      <w:r>
        <w:rPr>
          <w:rFonts w:hint="eastAsia" w:ascii="宋体" w:hAnsi="宋体" w:cs="宋体"/>
          <w:color w:val="000000" w:themeColor="text1"/>
          <w:kern w:val="0"/>
          <w:sz w:val="24"/>
          <w:szCs w:val="24"/>
          <w:highlight w:val="none"/>
          <w14:textFill>
            <w14:solidFill>
              <w14:schemeClr w14:val="tx1"/>
            </w14:solidFill>
          </w14:textFill>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7FE4091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6.7.9</w:t>
      </w:r>
      <w:r>
        <w:rPr>
          <w:rFonts w:hint="eastAsia" w:ascii="宋体" w:hAnsi="宋体" w:cs="宋体"/>
          <w:color w:val="000000" w:themeColor="text1"/>
          <w:kern w:val="0"/>
          <w:sz w:val="24"/>
          <w:szCs w:val="24"/>
          <w:highlight w:val="none"/>
          <w14:textFill>
            <w14:solidFill>
              <w14:schemeClr w14:val="tx1"/>
            </w14:solidFill>
          </w14:textFill>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6FF7A57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6.7.10</w:t>
      </w:r>
      <w:r>
        <w:rPr>
          <w:rFonts w:hint="eastAsia" w:ascii="宋体" w:hAnsi="宋体" w:cs="宋体"/>
          <w:color w:val="000000" w:themeColor="text1"/>
          <w:kern w:val="0"/>
          <w:sz w:val="24"/>
          <w:szCs w:val="24"/>
          <w:highlight w:val="none"/>
          <w14:textFill>
            <w14:solidFill>
              <w14:schemeClr w14:val="tx1"/>
            </w14:solidFill>
          </w14:textFill>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6A0D893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7、设计服务</w:t>
      </w:r>
    </w:p>
    <w:p w14:paraId="31F804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乙方的服务应符合国际通用的ISO—9000质量管理体系对于工程设计所规定的标准及质量要求。乙方应及时地提供服务，满足甲方在时间上的要求。</w:t>
      </w:r>
    </w:p>
    <w:p w14:paraId="5F5D57A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7.1驻场设计及服务</w:t>
      </w:r>
    </w:p>
    <w:p w14:paraId="617014E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7.1.1</w:t>
      </w:r>
      <w:r>
        <w:rPr>
          <w:rFonts w:hint="eastAsia" w:ascii="宋体" w:hAnsi="宋体" w:cs="宋体"/>
          <w:color w:val="000000" w:themeColor="text1"/>
          <w:kern w:val="0"/>
          <w:sz w:val="24"/>
          <w:szCs w:val="24"/>
          <w:highlight w:val="none"/>
          <w14:textFill>
            <w14:solidFill>
              <w14:schemeClr w14:val="tx1"/>
            </w14:solidFill>
          </w14:textFill>
        </w:rPr>
        <w:t>驻场设计</w:t>
      </w:r>
    </w:p>
    <w:p w14:paraId="79BBA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cs="宋体" w:eastAsiaTheme="minorEastAsia"/>
          <w:color w:val="000000" w:themeColor="text1"/>
          <w:kern w:val="0"/>
          <w:sz w:val="24"/>
          <w:szCs w:val="24"/>
          <w:highlight w:val="none"/>
          <w:u w:val="none"/>
          <w14:textFill>
            <w14:solidFill>
              <w14:schemeClr w14:val="tx1"/>
            </w14:solidFill>
          </w14:textFill>
        </w:rPr>
      </w:pPr>
      <w:r>
        <w:rPr>
          <w:rFonts w:hint="eastAsia" w:ascii="宋体" w:hAnsi="宋体" w:cs="宋体" w:eastAsiaTheme="minorEastAsia"/>
          <w:color w:val="000000" w:themeColor="text1"/>
          <w:kern w:val="0"/>
          <w:sz w:val="24"/>
          <w:szCs w:val="24"/>
          <w:highlight w:val="none"/>
          <w:u w:val="none"/>
          <w:lang w:bidi="ar"/>
          <w14:textFill>
            <w14:solidFill>
              <w14:schemeClr w14:val="tx1"/>
            </w14:solidFill>
          </w14:textFill>
        </w:rPr>
        <w:t>根据项目进度</w:t>
      </w:r>
      <w:r>
        <w:rPr>
          <w:rFonts w:hint="default" w:ascii="宋体" w:hAnsi="宋体" w:cs="宋体"/>
          <w:color w:val="000000" w:themeColor="text1"/>
          <w:kern w:val="0"/>
          <w:sz w:val="24"/>
          <w:szCs w:val="24"/>
          <w:highlight w:val="none"/>
          <w:u w:val="none"/>
          <w:lang w:bidi="ar"/>
          <w14:textFill>
            <w14:solidFill>
              <w14:schemeClr w14:val="tx1"/>
            </w14:solidFill>
          </w14:textFill>
        </w:rPr>
        <w:t>要求</w:t>
      </w:r>
      <w:r>
        <w:rPr>
          <w:rFonts w:hint="eastAsia" w:ascii="宋体" w:hAnsi="宋体" w:cs="宋体" w:eastAsiaTheme="minorEastAsia"/>
          <w:color w:val="000000" w:themeColor="text1"/>
          <w:kern w:val="0"/>
          <w:sz w:val="24"/>
          <w:szCs w:val="24"/>
          <w:highlight w:val="none"/>
          <w:u w:val="none"/>
          <w:lang w:bidi="ar"/>
          <w14:textFill>
            <w14:solidFill>
              <w14:schemeClr w14:val="tx1"/>
            </w14:solidFill>
          </w14:textFill>
        </w:rPr>
        <w:t>，</w:t>
      </w:r>
      <w:r>
        <w:rPr>
          <w:rFonts w:hint="eastAsia" w:ascii="宋体" w:hAnsi="宋体" w:cs="宋体" w:eastAsiaTheme="minorEastAsia"/>
          <w:color w:val="000000" w:themeColor="text1"/>
          <w:kern w:val="0"/>
          <w:sz w:val="24"/>
          <w:szCs w:val="24"/>
          <w:highlight w:val="none"/>
          <w:lang w:val="en-US" w:eastAsia="zh-CN" w:bidi="ar"/>
          <w14:textFill>
            <w14:solidFill>
              <w14:schemeClr w14:val="tx1"/>
            </w14:solidFill>
          </w14:textFill>
        </w:rPr>
        <w:t>乙方根据勘察设计任务书及甲方要求选派人员驻场。驻场人员费用已包含在设计费用中，不另外计费</w:t>
      </w:r>
      <w:r>
        <w:rPr>
          <w:rFonts w:hint="eastAsia" w:ascii="宋体" w:hAnsi="宋体" w:cs="宋体" w:eastAsiaTheme="minorEastAsia"/>
          <w:color w:val="000000" w:themeColor="text1"/>
          <w:kern w:val="0"/>
          <w:sz w:val="24"/>
          <w:szCs w:val="24"/>
          <w:highlight w:val="none"/>
          <w:u w:val="none"/>
          <w14:textFill>
            <w14:solidFill>
              <w14:schemeClr w14:val="tx1"/>
            </w14:solidFill>
          </w14:textFill>
        </w:rPr>
        <w:t>。</w:t>
      </w:r>
    </w:p>
    <w:p w14:paraId="412F0B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若设计工作不满足工程进度要求，甲方有权要求乙方全部设计人员（包括各专业设计人和项目负责人员）在甲方指定地点驻场设计，时间可从签订设计合同开始到施工图完成为止。</w:t>
      </w:r>
    </w:p>
    <w:p w14:paraId="0D2D8FD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实施驻场设计所需的场地、办公、交通等均由乙方自行解决。</w:t>
      </w:r>
    </w:p>
    <w:p w14:paraId="75CCAF8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7.1.2</w:t>
      </w:r>
      <w:r>
        <w:rPr>
          <w:rFonts w:hint="eastAsia" w:ascii="宋体" w:hAnsi="宋体" w:cs="宋体"/>
          <w:color w:val="000000" w:themeColor="text1"/>
          <w:kern w:val="0"/>
          <w:sz w:val="24"/>
          <w:szCs w:val="24"/>
          <w:highlight w:val="none"/>
          <w14:textFill>
            <w14:solidFill>
              <w14:schemeClr w14:val="tx1"/>
            </w14:solidFill>
          </w14:textFill>
        </w:rPr>
        <w:t>驻场服务</w:t>
      </w:r>
    </w:p>
    <w:p w14:paraId="0EE6506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为便于甲方与乙方及时沟通及协调，保证报批报建验收及乙方统筹协调管理等工作的顺利开展，本项目要求乙方派驻驻场服务人员提供驻场服务。服务时间从签订设计合同开始到项目验收为止。服务的主要工作内容包括统筹协调、报批报建报验、资料整理、与乙方单位对接等工作。</w:t>
      </w:r>
    </w:p>
    <w:p w14:paraId="6B14720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（2）驻场服务人员的办公场地和家具由甲方提供；办公设备和办公用品（包括电脑、彩色打印机、复印机、扫描仪等）由乙方自备；驻场服务人员交通保障由乙方自行解决。</w:t>
      </w:r>
    </w:p>
    <w:p w14:paraId="1B91757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（3）乙方驻场服务人员应满足招标文件及合同条款的相关要求，并全部统一纳入甲方的统一管理，其出勤、休假等考勤由甲方负责，具体工作由甲方统一安排。</w:t>
      </w:r>
    </w:p>
    <w:p w14:paraId="2C8F16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（4）乙方驻场服务人员的名单须在进场前提交甲方审核，具体要求按设计任务书，所有人员必须通过甲方现场面试确认。甲方有权根据实际情况在驻场服务过程中对乙方的驻场人员进行适当调整。</w:t>
      </w:r>
    </w:p>
    <w:p w14:paraId="16C04EC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（5）乙方应保证驻场人员的稳定性，原则</w:t>
      </w:r>
      <w:r>
        <w:rPr>
          <w:rFonts w:hint="default" w:ascii="宋体" w:hAnsi="宋体" w:cs="宋体"/>
          <w:color w:val="000000" w:themeColor="text1"/>
          <w:kern w:val="0"/>
          <w:sz w:val="24"/>
          <w:szCs w:val="24"/>
          <w:highlight w:val="none"/>
          <w14:textFill>
            <w14:solidFill>
              <w14:schemeClr w14:val="tx1"/>
            </w14:solidFill>
          </w14:textFill>
        </w:rPr>
        <w:t>上</w:t>
      </w:r>
      <w:r>
        <w:rPr>
          <w:rFonts w:hint="eastAsia" w:ascii="宋体" w:hAnsi="宋体" w:cs="宋体"/>
          <w:color w:val="000000" w:themeColor="text1"/>
          <w:kern w:val="0"/>
          <w:sz w:val="24"/>
          <w:szCs w:val="24"/>
          <w:highlight w:val="none"/>
          <w14:textFill>
            <w14:solidFill>
              <w14:schemeClr w14:val="tx1"/>
            </w14:solidFill>
          </w14:textFill>
        </w:rPr>
        <w:t>在驻场期间不得更换，确须更换的应向甲方提出书面报告且征得同意后方可更换。</w:t>
      </w:r>
    </w:p>
    <w:p w14:paraId="5A97C72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7.2报审报建配合服务</w:t>
      </w:r>
    </w:p>
    <w:p w14:paraId="17A1FA7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7.2.1</w:t>
      </w:r>
      <w:r>
        <w:rPr>
          <w:rFonts w:hint="eastAsia" w:ascii="宋体" w:hAnsi="宋体" w:cs="宋体"/>
          <w:color w:val="000000" w:themeColor="text1"/>
          <w:kern w:val="0"/>
          <w:sz w:val="24"/>
          <w:szCs w:val="24"/>
          <w:highlight w:val="none"/>
          <w14:textFill>
            <w14:solidFill>
              <w14:schemeClr w14:val="tx1"/>
            </w14:solidFill>
          </w14:textFill>
        </w:rPr>
        <w:t>乙方应安排专人（1名）全面配合跟进所有报审报建工作，在设计过程各阶段按照本项目报审报建的要求，提交所有必需的文件、图纸及其相应的电子文件（刻制成光盘），并配合报审报建过程中必要的技术协调、送审技术性文件等工作，直至完成所有审批手续。</w:t>
      </w:r>
    </w:p>
    <w:p w14:paraId="50C1352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7.2.2</w:t>
      </w:r>
      <w:r>
        <w:rPr>
          <w:rFonts w:hint="eastAsia" w:ascii="宋体" w:hAnsi="宋体" w:cs="宋体"/>
          <w:color w:val="000000" w:themeColor="text1"/>
          <w:kern w:val="0"/>
          <w:sz w:val="24"/>
          <w:szCs w:val="24"/>
          <w:highlight w:val="none"/>
          <w14:textFill>
            <w14:solidFill>
              <w14:schemeClr w14:val="tx1"/>
            </w14:solidFill>
          </w14:textFill>
        </w:rPr>
        <w:t>对乙方提交报审报建资料的要求：提交的文件、图纸及其相应的电子文件按照相关报审报建职能部门或主管部门的提交要求和份数要求。报建涉及的费用（除行政事业性收费由甲方负责缴纳外）包括公示费、管线图纸、报建通编制、竣工通配合编制、各阶段的汇报文件和送审文件晒制、加晒加印图纸资料费用等均包含在设计费中，不再单独计取。</w:t>
      </w:r>
    </w:p>
    <w:p w14:paraId="6786A00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7.3招标配合服务</w:t>
      </w:r>
    </w:p>
    <w:p w14:paraId="2DDE622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7.3.1</w:t>
      </w:r>
      <w:r>
        <w:rPr>
          <w:rFonts w:hint="eastAsia" w:ascii="宋体" w:hAnsi="宋体" w:cs="宋体"/>
          <w:color w:val="000000" w:themeColor="text1"/>
          <w:kern w:val="0"/>
          <w:sz w:val="24"/>
          <w:szCs w:val="24"/>
          <w:highlight w:val="none"/>
          <w14:textFill>
            <w14:solidFill>
              <w14:schemeClr w14:val="tx1"/>
            </w14:solidFill>
          </w14:textFill>
        </w:rPr>
        <w:t>乙方应在甲方进行的工程施工招标、设备材料采购招标过程中提供技术指导，编制用户需求书，制定技术文件（包括设备、材料采购清单、技术规格书、性能要求、必要的附图、技术参数表、推荐档次及品牌建议、采购说明和采购时间表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14:paraId="6B028FE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7.3.2</w:t>
      </w:r>
      <w:r>
        <w:rPr>
          <w:rFonts w:hint="eastAsia" w:ascii="宋体" w:hAnsi="宋体" w:cs="宋体"/>
          <w:color w:val="000000" w:themeColor="text1"/>
          <w:kern w:val="0"/>
          <w:sz w:val="24"/>
          <w:szCs w:val="24"/>
          <w:highlight w:val="none"/>
          <w14:textFill>
            <w14:solidFill>
              <w14:schemeClr w14:val="tx1"/>
            </w14:solidFill>
          </w14:textFill>
        </w:rPr>
        <w:t>对于甲方召开的相关招标会议（如招投标答疑会、预算及招标控制价编制工作协调会议等），乙方应根据甲方的要求派出相关专业人员参加，并积极配合甲方做好投标答疑文件、招标澄清文件等的编制工作。</w:t>
      </w:r>
    </w:p>
    <w:p w14:paraId="7553D37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7.3.3</w:t>
      </w:r>
      <w:r>
        <w:rPr>
          <w:rFonts w:hint="eastAsia" w:ascii="宋体" w:hAnsi="宋体" w:cs="宋体"/>
          <w:color w:val="000000" w:themeColor="text1"/>
          <w:kern w:val="0"/>
          <w:sz w:val="24"/>
          <w:szCs w:val="24"/>
          <w:highlight w:val="none"/>
          <w14:textFill>
            <w14:solidFill>
              <w14:schemeClr w14:val="tx1"/>
            </w14:solidFill>
          </w14:textFill>
        </w:rPr>
        <w:t>乙方根据甲方要求（包括时间要求、深度要求等）提供本合同工程进行招标所需的设计成果文件，包括必要的施工图、材料说明书、设备技术说明书等文本文件10套、电子光盘2张。如甲方需乙方晒制超出合同约定数量的设计成果文件，乙方按照合同约定的价格清单收取相应图纸晒制费用。</w:t>
      </w:r>
    </w:p>
    <w:p w14:paraId="0D107548">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7.3.4</w:t>
      </w:r>
      <w:r>
        <w:rPr>
          <w:rFonts w:hint="eastAsia" w:ascii="宋体" w:hAnsi="宋体" w:cs="宋体"/>
          <w:color w:val="000000" w:themeColor="text1"/>
          <w:kern w:val="0"/>
          <w:sz w:val="24"/>
          <w:szCs w:val="24"/>
          <w:highlight w:val="none"/>
          <w14:textFill>
            <w14:solidFill>
              <w14:schemeClr w14:val="tx1"/>
            </w14:solidFill>
          </w14:textFill>
        </w:rPr>
        <w:t>乙方应负责协调各专业设计单位编写工程施工、材料设备等招标文件中的技术和质量标准。</w:t>
      </w:r>
    </w:p>
    <w:p w14:paraId="5E0A83A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7.3.5</w:t>
      </w:r>
      <w:r>
        <w:rPr>
          <w:rFonts w:hint="eastAsia" w:ascii="宋体" w:hAnsi="宋体" w:cs="宋体"/>
          <w:color w:val="000000" w:themeColor="text1"/>
          <w:kern w:val="0"/>
          <w:sz w:val="24"/>
          <w:szCs w:val="24"/>
          <w:highlight w:val="none"/>
          <w14:textFill>
            <w14:solidFill>
              <w14:schemeClr w14:val="tx1"/>
            </w14:solidFill>
          </w14:textFill>
        </w:rPr>
        <w:t>在甲方组织采购招标或项目施工阶段，如需由投标单位或实施单位制作实体模型的，乙方须提供需制作模型的具体要求和必要的模型图纸。</w:t>
      </w:r>
    </w:p>
    <w:p w14:paraId="79B4B6A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7.3.6</w:t>
      </w:r>
      <w:r>
        <w:rPr>
          <w:rFonts w:hint="eastAsia" w:ascii="宋体" w:hAnsi="宋体" w:cs="宋体"/>
          <w:color w:val="000000" w:themeColor="text1"/>
          <w:kern w:val="0"/>
          <w:sz w:val="24"/>
          <w:szCs w:val="24"/>
          <w:highlight w:val="none"/>
          <w14:textFill>
            <w14:solidFill>
              <w14:schemeClr w14:val="tx1"/>
            </w14:solidFill>
          </w14:textFill>
        </w:rPr>
        <w:t>对于需要进行整套系统采购的设备，乙方应在施工图或设备、材料采购的技术文件中予以明确。</w:t>
      </w:r>
    </w:p>
    <w:p w14:paraId="4A8DC42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7.4施工阶段的现场服务</w:t>
      </w:r>
    </w:p>
    <w:p w14:paraId="5C2BBDF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7.4.1</w:t>
      </w:r>
      <w:r>
        <w:rPr>
          <w:rFonts w:hint="eastAsia" w:ascii="宋体" w:hAnsi="宋体" w:cs="宋体"/>
          <w:color w:val="000000" w:themeColor="text1"/>
          <w:kern w:val="0"/>
          <w:sz w:val="24"/>
          <w:szCs w:val="24"/>
          <w:highlight w:val="none"/>
          <w14:textFill>
            <w14:solidFill>
              <w14:schemeClr w14:val="tx1"/>
            </w14:solidFill>
          </w14:textFill>
        </w:rPr>
        <w:t>乙方承诺将根据本合同工程建设进展情况和甲方的要求提供现场服务，及时派出各专业工程师解决工程中涉及到的勘察、设计问题。主要工作如下（包括但不限于）：</w:t>
      </w:r>
    </w:p>
    <w:p w14:paraId="5DB5926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参与勘察、设计的技术协调会，做好勘察、设计交底工作。在工程施工招标、设备材料采购完成评标工作的前一周内，乙方根据甲方要求提供对应采购招标范围的施工图、材料说明书及设备技术说明书等设计成果文件共10套、电子光盘2张。</w:t>
      </w:r>
    </w:p>
    <w:p w14:paraId="3D9F82D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（2）各施工阶段开始前，按乙方的勘察、设计分工，参与图纸会审，解答有关勘察、设计问题，并按规定及时出具相应的修改图纸、补充图纸及技术文件。</w:t>
      </w:r>
    </w:p>
    <w:p w14:paraId="213604D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14:paraId="086DDDB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（4）乙方派出的常驻本合同工程工地的勘察设计人员，应做好本合同工程全部勘察设计项目的总承包管理服务工作，</w:t>
      </w:r>
      <w:r>
        <w:rPr>
          <w:rFonts w:ascii="宋体" w:hAnsi="宋体" w:cs="宋体"/>
          <w:color w:val="000000" w:themeColor="text1"/>
          <w:kern w:val="0"/>
          <w:sz w:val="24"/>
          <w:szCs w:val="24"/>
          <w:highlight w:val="none"/>
          <w14:textFill>
            <w14:solidFill>
              <w14:schemeClr w14:val="tx1"/>
            </w14:solidFill>
          </w14:textFill>
        </w:rPr>
        <w:t>按甲方要求进行现场巡查并相应提交巡场报告</w:t>
      </w:r>
      <w:r>
        <w:rPr>
          <w:rFonts w:hint="eastAsia" w:ascii="宋体" w:hAnsi="宋体" w:cs="宋体"/>
          <w:color w:val="000000" w:themeColor="text1"/>
          <w:kern w:val="0"/>
          <w:sz w:val="24"/>
          <w:szCs w:val="24"/>
          <w:highlight w:val="none"/>
          <w14:textFill>
            <w14:solidFill>
              <w14:schemeClr w14:val="tx1"/>
            </w14:solidFill>
          </w14:textFill>
        </w:rPr>
        <w:t>，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4AE1EE6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（5）乙方应参加本合同工程的每周监理例会，并及时解决会议提出的应由乙方解决的技术问题。</w:t>
      </w:r>
    </w:p>
    <w:p w14:paraId="23F3969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1336C81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（7）乙方应在设备、材料采购订货前对有关性能、参数、规格及主要设备数量进行确认；按甲方要求对己订购的主要设备、材料进行到货验收。</w:t>
      </w:r>
    </w:p>
    <w:p w14:paraId="3B4235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（8）乙方应协助制订设备系统的调试计划和参与设备试车调试。</w:t>
      </w:r>
    </w:p>
    <w:p w14:paraId="166E32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（9）乙方应参与工程的报建与竣工验收，参与编写工程总结。</w:t>
      </w:r>
    </w:p>
    <w:p w14:paraId="24CEED9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（10）乙方项目负责人应参加甲方召开的协调会、调度会。</w:t>
      </w:r>
    </w:p>
    <w:p w14:paraId="03C1DF4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7.4.2</w:t>
      </w:r>
      <w:r>
        <w:rPr>
          <w:rFonts w:hint="eastAsia" w:ascii="宋体" w:hAnsi="宋体" w:cs="宋体"/>
          <w:color w:val="000000" w:themeColor="text1"/>
          <w:kern w:val="0"/>
          <w:sz w:val="24"/>
          <w:szCs w:val="24"/>
          <w:highlight w:val="none"/>
          <w14:textFill>
            <w14:solidFill>
              <w14:schemeClr w14:val="tx1"/>
            </w14:solidFill>
          </w14:textFill>
        </w:rPr>
        <w:t>根据工程进展情况和需要，对一些特殊工程（如基坑支护方案），乙方应向甲方提供施工组织设计的书面建议，配合编写工程施工技术标准（施工作业指导书），对设计各部分所应满足的规范、标准进行总说明，对各条文进行摘录汇编；对超规范（标准）之处，应初拟技术标准，供专家论证后执行。</w:t>
      </w:r>
    </w:p>
    <w:p w14:paraId="70DBFF8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7.4.</w:t>
      </w:r>
      <w:r>
        <w:rPr>
          <w:rFonts w:hint="eastAsia" w:ascii="宋体" w:hAnsi="宋体" w:cs="宋体"/>
          <w:b/>
          <w:color w:val="000000" w:themeColor="text1"/>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参加隐蔽工程验收、分部子分部及工程竣工验收，根据国家、省、市相关规定出具隐蔽工程验收、分部子分部工程和工程竣工验收意见。在工程竣工验收时按时提交《设计文件质量检查报告》各一式六份。</w:t>
      </w:r>
    </w:p>
    <w:p w14:paraId="6F5123C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7.4.4</w:t>
      </w:r>
      <w:r>
        <w:rPr>
          <w:rFonts w:hint="eastAsia" w:ascii="宋体" w:hAnsi="宋体" w:cs="宋体"/>
          <w:color w:val="000000" w:themeColor="text1"/>
          <w:sz w:val="24"/>
          <w:szCs w:val="24"/>
          <w:highlight w:val="none"/>
          <w14:textFill>
            <w14:solidFill>
              <w14:schemeClr w14:val="tx1"/>
            </w14:solidFill>
          </w14:textFill>
        </w:rPr>
        <w:t>对项目各专项工程（包括规划、防雷、卫生防预、环保、煤气、给水、消防、电梯、人防、节能、园林绿化等）的验收、备案工作予以配合，具体验收配合工作包括但不限于：</w:t>
      </w:r>
    </w:p>
    <w:p w14:paraId="0B1650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（1）于各专项验收申请表送达后3天内，出具设计单位意见；</w:t>
      </w:r>
    </w:p>
    <w:p w14:paraId="22552C5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（2）对因专项工程验收、备案需增加晒制的图纸，在收到甲方通知后3天内提交，相关费用按合同条款第16.1</w:t>
      </w:r>
      <w:r>
        <w:rPr>
          <w:rFonts w:hint="default"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条的相关约定执行。</w:t>
      </w:r>
    </w:p>
    <w:p w14:paraId="5EB1721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7.5工程结算配合服务</w:t>
      </w:r>
    </w:p>
    <w:p w14:paraId="312627E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7.5.1</w:t>
      </w:r>
      <w:r>
        <w:rPr>
          <w:rFonts w:hint="eastAsia" w:ascii="宋体" w:hAnsi="宋体" w:cs="宋体"/>
          <w:color w:val="000000" w:themeColor="text1"/>
          <w:kern w:val="0"/>
          <w:sz w:val="24"/>
          <w:szCs w:val="24"/>
          <w:highlight w:val="none"/>
          <w14:textFill>
            <w14:solidFill>
              <w14:schemeClr w14:val="tx1"/>
            </w14:solidFill>
          </w14:textFill>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1C6CEEC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7.5.2</w:t>
      </w:r>
      <w:r>
        <w:rPr>
          <w:rFonts w:hint="eastAsia" w:ascii="宋体" w:hAnsi="宋体" w:cs="宋体"/>
          <w:color w:val="000000" w:themeColor="text1"/>
          <w:kern w:val="0"/>
          <w:sz w:val="24"/>
          <w:szCs w:val="24"/>
          <w:highlight w:val="none"/>
          <w14:textFill>
            <w14:solidFill>
              <w14:schemeClr w14:val="tx1"/>
            </w14:solidFill>
          </w14:textFill>
        </w:rPr>
        <w:t>乙方应根据甲方的要求提供结算工作所涉及的设计变更的相关设计文件（如设计变更预估算书等）。</w:t>
      </w:r>
    </w:p>
    <w:p w14:paraId="78EE860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7.5.3</w:t>
      </w:r>
      <w:r>
        <w:rPr>
          <w:rFonts w:hint="eastAsia" w:ascii="宋体" w:hAnsi="宋体" w:cs="宋体"/>
          <w:color w:val="000000" w:themeColor="text1"/>
          <w:kern w:val="0"/>
          <w:sz w:val="24"/>
          <w:szCs w:val="24"/>
          <w:highlight w:val="none"/>
          <w14:textFill>
            <w14:solidFill>
              <w14:schemeClr w14:val="tx1"/>
            </w14:solidFill>
          </w14:textFill>
        </w:rPr>
        <w:t>乙方应积极配合其设计范围内的竣工图的编制工作，包括但不限于以下工作（相关费用已含于设计费用中）：</w:t>
      </w:r>
    </w:p>
    <w:p w14:paraId="318DF9E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(1)复核施工单位编制的竣工图纸，并进行签章确认；</w:t>
      </w:r>
    </w:p>
    <w:p w14:paraId="212D5FC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(2)复核施工单位编制的规划验收竣工图纸及规划验收电子报批文件（即“验收通”）。</w:t>
      </w:r>
    </w:p>
    <w:p w14:paraId="7C56888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7.5.4</w:t>
      </w:r>
      <w:r>
        <w:rPr>
          <w:rFonts w:hint="eastAsia" w:ascii="宋体" w:hAnsi="宋体" w:cs="宋体"/>
          <w:color w:val="000000" w:themeColor="text1"/>
          <w:kern w:val="0"/>
          <w:sz w:val="24"/>
          <w:szCs w:val="24"/>
          <w:highlight w:val="none"/>
          <w14:textFill>
            <w14:solidFill>
              <w14:schemeClr w14:val="tx1"/>
            </w14:solidFill>
          </w14:textFill>
        </w:rPr>
        <w:t>乙方应根据甲方要求在工程结算过程中提供相关的技术支持。</w:t>
      </w:r>
    </w:p>
    <w:p w14:paraId="3303D091">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7.5.5</w:t>
      </w:r>
      <w:r>
        <w:rPr>
          <w:rFonts w:hint="eastAsia" w:ascii="宋体" w:hAnsi="宋体" w:cs="宋体"/>
          <w:color w:val="000000" w:themeColor="text1"/>
          <w:kern w:val="0"/>
          <w:sz w:val="24"/>
          <w:szCs w:val="24"/>
          <w:highlight w:val="none"/>
          <w14:textFill>
            <w14:solidFill>
              <w14:schemeClr w14:val="tx1"/>
            </w14:solidFill>
          </w14:textFill>
        </w:rPr>
        <w:t>本合同设计范围内存在甲方另行发包的专项工程设计服务内容的，乙方负责整理汇总其合同设计范围内所有设计单位的结算工作。</w:t>
      </w:r>
    </w:p>
    <w:p w14:paraId="01A89B0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7.5.6</w:t>
      </w:r>
      <w:r>
        <w:rPr>
          <w:rFonts w:hint="eastAsia" w:ascii="宋体" w:hAnsi="宋体" w:cs="宋体"/>
          <w:color w:val="000000" w:themeColor="text1"/>
          <w:kern w:val="0"/>
          <w:sz w:val="24"/>
          <w:szCs w:val="24"/>
          <w:highlight w:val="none"/>
          <w14:textFill>
            <w14:solidFill>
              <w14:schemeClr w14:val="tx1"/>
            </w14:solidFill>
          </w14:textFill>
        </w:rPr>
        <w:t>为确保本合同工程结算的顺利进行，甲方可能对本合同工程按分部分项或单位工程进行分段结算，乙方在接到甲方关于分段结算配合工作的指令后7天内向甲方提交相关的分段结算配合服务工作计划。</w:t>
      </w:r>
    </w:p>
    <w:p w14:paraId="4648DCB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乙方应根据经过甲方批准的分段结算配合服务工作计划积极配合相关的分段结算工作。</w:t>
      </w:r>
    </w:p>
    <w:p w14:paraId="6123C22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7.5.7</w:t>
      </w:r>
      <w:r>
        <w:rPr>
          <w:rFonts w:hint="eastAsia" w:ascii="宋体" w:hAnsi="宋体" w:cs="宋体"/>
          <w:color w:val="000000" w:themeColor="text1"/>
          <w:kern w:val="0"/>
          <w:sz w:val="24"/>
          <w:szCs w:val="24"/>
          <w:highlight w:val="none"/>
          <w14:textFill>
            <w14:solidFill>
              <w14:schemeClr w14:val="tx1"/>
            </w14:solidFill>
          </w14:textFill>
        </w:rPr>
        <w:t>乙方应将结算配合服务工作计划（包括分段结算配合服务工作计划）录入甲方的计算机工程信息管理系统，并根据实际工作进展情况及时更新。</w:t>
      </w:r>
    </w:p>
    <w:p w14:paraId="58BD188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7.6保修阶段的服务</w:t>
      </w:r>
    </w:p>
    <w:p w14:paraId="002FB8C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乙方应根据甲方或本合同工程使用单位的要求积极配合并参与工程的保修工作，提供相应的技术支持，对</w:t>
      </w:r>
      <w:r>
        <w:rPr>
          <w:rFonts w:hint="eastAsia" w:ascii="宋体" w:hAnsi="宋体" w:cs="宋体"/>
          <w:color w:val="000000" w:themeColor="text1"/>
          <w:sz w:val="24"/>
          <w:szCs w:val="24"/>
          <w:highlight w:val="none"/>
          <w14:textFill>
            <w14:solidFill>
              <w14:schemeClr w14:val="tx1"/>
            </w14:solidFill>
          </w14:textFill>
        </w:rPr>
        <w:t>工程保修阶段（竣工证书发出之日起两年）</w:t>
      </w:r>
      <w:r>
        <w:rPr>
          <w:rFonts w:hint="eastAsia" w:ascii="宋体" w:hAnsi="宋体" w:cs="宋体"/>
          <w:color w:val="000000" w:themeColor="text1"/>
          <w:kern w:val="0"/>
          <w:sz w:val="24"/>
          <w:szCs w:val="24"/>
          <w:highlight w:val="none"/>
          <w14:textFill>
            <w14:solidFill>
              <w14:schemeClr w14:val="tx1"/>
            </w14:solidFill>
          </w14:textFill>
        </w:rPr>
        <w:t>发生的工程问题提交书面的技术建议及相关的工程设计资料。</w:t>
      </w:r>
    </w:p>
    <w:p w14:paraId="70E59B0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hint="default"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7.7规划设计、文件编制</w:t>
      </w:r>
      <w:r>
        <w:rPr>
          <w:rFonts w:hint="default" w:ascii="宋体" w:hAnsi="宋体" w:cs="宋体"/>
          <w:b/>
          <w:color w:val="000000" w:themeColor="text1"/>
          <w:kern w:val="0"/>
          <w:sz w:val="24"/>
          <w:szCs w:val="24"/>
          <w:highlight w:val="none"/>
          <w14:textFill>
            <w14:solidFill>
              <w14:schemeClr w14:val="tx1"/>
            </w14:solidFill>
          </w14:textFill>
        </w:rPr>
        <w:t>服务</w:t>
      </w:r>
    </w:p>
    <w:p w14:paraId="5A1D37E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7.7.1</w:t>
      </w:r>
      <w:r>
        <w:rPr>
          <w:rFonts w:hint="eastAsia" w:ascii="宋体" w:hAnsi="宋体" w:cs="宋体"/>
          <w:color w:val="000000" w:themeColor="text1"/>
          <w:kern w:val="0"/>
          <w:sz w:val="24"/>
          <w:szCs w:val="24"/>
          <w:highlight w:val="none"/>
          <w14:textFill>
            <w14:solidFill>
              <w14:schemeClr w14:val="tx1"/>
            </w14:solidFill>
          </w14:textFill>
        </w:rPr>
        <w:t>在编制设计方案过程中，根据业主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业主要求及规划报建主管部门最新政策要求为准）。</w:t>
      </w:r>
    </w:p>
    <w:p w14:paraId="1D07572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dstrike/>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7.7.2</w:t>
      </w:r>
      <w:r>
        <w:rPr>
          <w:rFonts w:hint="eastAsia" w:ascii="宋体" w:hAnsi="宋体" w:cs="宋体"/>
          <w:color w:val="000000" w:themeColor="text1"/>
          <w:kern w:val="0"/>
          <w:sz w:val="24"/>
          <w:szCs w:val="24"/>
          <w:highlight w:val="none"/>
          <w14:textFill>
            <w14:solidFill>
              <w14:schemeClr w14:val="tx1"/>
            </w14:solidFill>
          </w14:textFill>
        </w:rPr>
        <w:t>乙方应按照批复文件完成修订版设计文件编制。乙方项目总负责人和规划设计人应参加技术上门沟通解释工作。</w:t>
      </w:r>
    </w:p>
    <w:p w14:paraId="4B9504E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7.7.3</w:t>
      </w:r>
      <w:r>
        <w:rPr>
          <w:rFonts w:hint="eastAsia" w:ascii="宋体" w:hAnsi="宋体" w:cs="宋体"/>
          <w:color w:val="000000" w:themeColor="text1"/>
          <w:kern w:val="0"/>
          <w:sz w:val="24"/>
          <w:szCs w:val="24"/>
          <w:highlight w:val="none"/>
          <w14:textFill>
            <w14:solidFill>
              <w14:schemeClr w14:val="tx1"/>
            </w14:solidFill>
          </w14:textFill>
        </w:rPr>
        <w:t>乙方应无条件按照主管部门的相关批复意见，修改好设计和相关文件，并提交修改后的终稿5份。</w:t>
      </w:r>
    </w:p>
    <w:p w14:paraId="23D2F67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p>
    <w:p w14:paraId="3E61172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8、设计人员</w:t>
      </w:r>
    </w:p>
    <w:p w14:paraId="03C832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outlineLvl w:val="9"/>
        <w:rPr>
          <w:rFonts w:ascii="宋体" w:hAnsi="宋体" w:cs="宋体"/>
          <w:b/>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u w:val="single"/>
          <w:lang w:val="en-US" w:eastAsia="zh-CN" w:bidi="ar"/>
          <w14:textFill>
            <w14:solidFill>
              <w14:schemeClr w14:val="tx1"/>
            </w14:solidFill>
          </w14:textFill>
        </w:rPr>
        <w:t>无论是投标文件中承诺的相关人员或者是根据甲方要求更换、增加的相关人员，均必须是乙方在职人员（需提供社保证明，退休返聘人员除外；如为后者，需提供退休证明及单位聘用证明）。在设计管理等本合同履行期间，甲方有权要求乙方提供相应人员近一个月或以上的在本单位的有效社保缴纳证明文件。乙方无法提供的，视为未按合同约定投入人员</w:t>
      </w:r>
      <w:r>
        <w:rPr>
          <w:rFonts w:hint="eastAsia" w:ascii="宋体" w:hAnsi="宋体" w:cs="宋体"/>
          <w:b/>
          <w:color w:val="000000" w:themeColor="text1"/>
          <w:kern w:val="0"/>
          <w:sz w:val="24"/>
          <w:szCs w:val="24"/>
          <w:highlight w:val="none"/>
          <w:u w:val="single"/>
          <w14:textFill>
            <w14:solidFill>
              <w14:schemeClr w14:val="tx1"/>
            </w14:solidFill>
          </w14:textFill>
        </w:rPr>
        <w:t>。</w:t>
      </w:r>
    </w:p>
    <w:p w14:paraId="22DA1F0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8.1</w:t>
      </w:r>
      <w:r>
        <w:rPr>
          <w:rFonts w:hint="eastAsia" w:ascii="宋体" w:hAnsi="宋体" w:cs="宋体"/>
          <w:color w:val="000000" w:themeColor="text1"/>
          <w:kern w:val="0"/>
          <w:sz w:val="24"/>
          <w:szCs w:val="24"/>
          <w:highlight w:val="none"/>
          <w14:textFill>
            <w14:solidFill>
              <w14:schemeClr w14:val="tx1"/>
            </w14:solidFill>
          </w14:textFill>
        </w:rPr>
        <w:t>为确保本合同工程的设计质量，在明确分工各负其责的基础上，乙方（包括乙方分包单位）在本合同履行期内为本合同工程派出的设计总负责人、设计驻场总负责人、各专业设计负责人、各专业设计驻场代表的职务、资历、资格须满足招标文件及合同约定。在本合同履行期间，非经过甲方同意，不得更换或再参与本合同项目以外的其他工作。设计总负责人可以参与学术及公司经营，但设计总负责人必须履行负责人职责，不得缺席要求由总负责人参加的会议。</w:t>
      </w:r>
    </w:p>
    <w:p w14:paraId="096F7D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项目总负责人及各专业负责人须参加与本项目相关的勘察设计的工作联席会议、各阶段设计成果汇报会议、重大技术问题协调会议、方案比选研究会议、专家评审会议等，并做好汇报工作。</w:t>
      </w:r>
    </w:p>
    <w:p w14:paraId="5853E6F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8.2</w:t>
      </w:r>
      <w:r>
        <w:rPr>
          <w:rFonts w:hint="eastAsia" w:ascii="宋体" w:hAnsi="宋体" w:cs="宋体"/>
          <w:color w:val="000000" w:themeColor="text1"/>
          <w:kern w:val="0"/>
          <w:sz w:val="24"/>
          <w:szCs w:val="24"/>
          <w:highlight w:val="none"/>
          <w14:textFill>
            <w14:solidFill>
              <w14:schemeClr w14:val="tx1"/>
            </w14:solidFill>
          </w14:textFill>
        </w:rPr>
        <w:t>乙方应根据设计任务建立项目组，项目组设组长1名，副组长2名（其中1人为设计驻场总负责人）。乙方须从组织上保证投入的人力、物力能满足设计开展的需要，保证不同设计时段设计工作的连续性和外部条件接口衔接的连贯性。</w:t>
      </w:r>
    </w:p>
    <w:p w14:paraId="672A7FE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8.3</w:t>
      </w:r>
      <w:r>
        <w:rPr>
          <w:rFonts w:hint="eastAsia" w:ascii="宋体" w:hAnsi="宋体" w:cs="宋体"/>
          <w:color w:val="000000" w:themeColor="text1"/>
          <w:kern w:val="0"/>
          <w:sz w:val="24"/>
          <w:szCs w:val="24"/>
          <w:highlight w:val="none"/>
          <w14:textFill>
            <w14:solidFill>
              <w14:schemeClr w14:val="tx1"/>
            </w14:solidFill>
          </w14:textFill>
        </w:rPr>
        <w:t>乙方如为境外机构，必须自行配备专业翻译一名。</w:t>
      </w:r>
    </w:p>
    <w:p w14:paraId="6C9C8BB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8.4</w:t>
      </w:r>
      <w:r>
        <w:rPr>
          <w:rFonts w:hint="eastAsia" w:ascii="宋体" w:hAnsi="宋体" w:cs="宋体"/>
          <w:color w:val="000000" w:themeColor="text1"/>
          <w:kern w:val="0"/>
          <w:sz w:val="24"/>
          <w:szCs w:val="24"/>
          <w:highlight w:val="none"/>
          <w14:textFill>
            <w14:solidFill>
              <w14:schemeClr w14:val="tx1"/>
            </w14:solidFill>
          </w14:textFill>
        </w:rPr>
        <w:t>专业设计单位（如有）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14:paraId="04E118E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8.5</w:t>
      </w:r>
      <w:r>
        <w:rPr>
          <w:rFonts w:hint="eastAsia" w:ascii="宋体" w:hAnsi="宋体" w:cs="宋体"/>
          <w:color w:val="000000" w:themeColor="text1"/>
          <w:kern w:val="0"/>
          <w:sz w:val="24"/>
          <w:szCs w:val="24"/>
          <w:highlight w:val="none"/>
          <w14:textFill>
            <w14:solidFill>
              <w14:schemeClr w14:val="tx1"/>
            </w14:solidFill>
          </w14:textFill>
        </w:rPr>
        <w:t>甲方认为设计总负责人、设计驻场总负责人、各专业设计负责人、各专业设计驻场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56CA206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8.6</w:t>
      </w:r>
      <w:r>
        <w:rPr>
          <w:rFonts w:hint="eastAsia" w:ascii="宋体" w:hAnsi="宋体" w:cs="宋体"/>
          <w:color w:val="000000" w:themeColor="text1"/>
          <w:kern w:val="0"/>
          <w:sz w:val="24"/>
          <w:szCs w:val="24"/>
          <w:highlight w:val="none"/>
          <w14:textFill>
            <w14:solidFill>
              <w14:schemeClr w14:val="tx1"/>
            </w14:solidFill>
          </w14:textFill>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14:paraId="036D434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dstrike/>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8.7</w:t>
      </w:r>
      <w:r>
        <w:rPr>
          <w:rFonts w:hint="eastAsia" w:ascii="宋体" w:hAnsi="宋体" w:cs="宋体"/>
          <w:color w:val="000000" w:themeColor="text1"/>
          <w:kern w:val="0"/>
          <w:sz w:val="24"/>
          <w:szCs w:val="24"/>
          <w:highlight w:val="none"/>
          <w14:textFill>
            <w14:solidFill>
              <w14:schemeClr w14:val="tx1"/>
            </w14:solidFill>
          </w14:textFill>
        </w:rPr>
        <w:t>在设计高峰或甲方认为有必要时，乙方必须集中力量确保设计进度。</w:t>
      </w:r>
    </w:p>
    <w:p w14:paraId="370B473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8.8</w:t>
      </w:r>
      <w:r>
        <w:rPr>
          <w:rFonts w:hint="eastAsia" w:ascii="宋体" w:hAnsi="宋体" w:cs="宋体"/>
          <w:color w:val="000000" w:themeColor="text1"/>
          <w:kern w:val="0"/>
          <w:sz w:val="24"/>
          <w:szCs w:val="24"/>
          <w:highlight w:val="none"/>
          <w14:textFill>
            <w14:solidFill>
              <w14:schemeClr w14:val="tx1"/>
            </w14:solidFill>
          </w14:textFill>
        </w:rPr>
        <w:t>为保证项目组人员的稳定性，对设计人员实施拍照式管理，要求乙方提供项目全部设计人员及驻场服务人员的照片和签字证明，在项目实施过程中不可随意撤换，且短时离开本地须向甲方请假并指定离开后的协调人，否则必须承担相应责任。</w:t>
      </w:r>
    </w:p>
    <w:p w14:paraId="1D4A1C8D">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color w:val="000000" w:themeColor="text1"/>
          <w:highlight w:val="none"/>
          <w14:textFill>
            <w14:solidFill>
              <w14:schemeClr w14:val="tx1"/>
            </w14:solidFill>
          </w14:textFill>
        </w:rPr>
      </w:pPr>
    </w:p>
    <w:p w14:paraId="1228D33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9、设计成果文件的提交</w:t>
      </w:r>
    </w:p>
    <w:p w14:paraId="436ADDE2">
      <w:pPr>
        <w:adjustRightInd w:val="0"/>
        <w:snapToGrid w:val="0"/>
        <w:spacing w:line="360" w:lineRule="auto"/>
        <w:ind w:firstLine="482" w:firstLineChars="200"/>
        <w:outlineLvl w:val="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9.1</w:t>
      </w:r>
      <w:r>
        <w:rPr>
          <w:rFonts w:hint="eastAsia" w:ascii="宋体" w:hAnsi="宋体" w:cs="宋体"/>
          <w:color w:val="000000" w:themeColor="text1"/>
          <w:sz w:val="24"/>
          <w:szCs w:val="24"/>
          <w:highlight w:val="none"/>
          <w14:textFill>
            <w14:solidFill>
              <w14:schemeClr w14:val="tx1"/>
            </w14:solidFill>
          </w14:textFill>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Pr>
          <w:rFonts w:hint="eastAsia" w:ascii="宋体" w:hAnsi="宋体" w:cs="宋体"/>
          <w:b/>
          <w:color w:val="000000" w:themeColor="text1"/>
          <w:sz w:val="24"/>
          <w:szCs w:val="24"/>
          <w:highlight w:val="none"/>
          <w14:textFill>
            <w14:solidFill>
              <w14:schemeClr w14:val="tx1"/>
            </w14:solidFill>
          </w14:textFill>
        </w:rPr>
        <w:t>乙方除应按以下要求向甲方交付设计成果文件外，还应提交模型、施工图设计文件中所引用图集的复印件、专业工程施工大样图、材料设备技术要求书等。</w:t>
      </w:r>
      <w:r>
        <w:rPr>
          <w:rFonts w:hint="eastAsia" w:ascii="宋体" w:hAnsi="宋体" w:cs="宋体"/>
          <w:color w:val="000000" w:themeColor="text1"/>
          <w:sz w:val="24"/>
          <w:szCs w:val="24"/>
          <w:highlight w:val="none"/>
          <w14:textFill>
            <w14:solidFill>
              <w14:schemeClr w14:val="tx1"/>
            </w14:solidFill>
          </w14:textFill>
        </w:rPr>
        <w:t>设计成果文件提交的时间及套数如下，乙方对应本合同范围内各阶段相应提交：</w:t>
      </w:r>
    </w:p>
    <w:tbl>
      <w:tblPr>
        <w:tblStyle w:val="15"/>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135"/>
        <w:gridCol w:w="1239"/>
        <w:gridCol w:w="1453"/>
        <w:gridCol w:w="1560"/>
        <w:gridCol w:w="1559"/>
        <w:gridCol w:w="1807"/>
      </w:tblGrid>
      <w:tr w14:paraId="6822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4574786">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791A9126">
            <w:pPr>
              <w:keepNext w:val="0"/>
              <w:keepLines w:val="0"/>
              <w:widowControl w:val="0"/>
              <w:suppressLineNumbers w:val="0"/>
              <w:spacing w:before="0" w:beforeAutospacing="0" w:after="0" w:afterAutospacing="0"/>
              <w:ind w:left="0" w:right="0" w:firstLine="420" w:firstLineChars="20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资料及文件名称</w:t>
            </w:r>
          </w:p>
        </w:tc>
        <w:tc>
          <w:tcPr>
            <w:tcW w:w="1560" w:type="dxa"/>
            <w:tcBorders>
              <w:top w:val="single" w:color="auto" w:sz="4" w:space="0"/>
              <w:left w:val="nil"/>
              <w:bottom w:val="single" w:color="auto" w:sz="4" w:space="0"/>
              <w:right w:val="single" w:color="auto" w:sz="4" w:space="0"/>
            </w:tcBorders>
            <w:shd w:val="clear" w:color="auto" w:fill="auto"/>
            <w:vAlign w:val="center"/>
          </w:tcPr>
          <w:p w14:paraId="1A26BB2C">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提交日期</w:t>
            </w:r>
          </w:p>
        </w:tc>
        <w:tc>
          <w:tcPr>
            <w:tcW w:w="1559" w:type="dxa"/>
            <w:tcBorders>
              <w:top w:val="single" w:color="auto" w:sz="4" w:space="0"/>
              <w:left w:val="nil"/>
              <w:bottom w:val="single" w:color="auto" w:sz="4" w:space="0"/>
              <w:right w:val="single" w:color="auto" w:sz="4" w:space="0"/>
            </w:tcBorders>
            <w:shd w:val="clear" w:color="auto" w:fill="auto"/>
            <w:vAlign w:val="center"/>
          </w:tcPr>
          <w:p w14:paraId="5AF36984">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份数</w:t>
            </w:r>
          </w:p>
        </w:tc>
        <w:tc>
          <w:tcPr>
            <w:tcW w:w="1807" w:type="dxa"/>
            <w:tcBorders>
              <w:top w:val="single" w:color="auto" w:sz="4" w:space="0"/>
              <w:left w:val="nil"/>
              <w:bottom w:val="single" w:color="auto" w:sz="4" w:space="0"/>
              <w:right w:val="single" w:color="auto" w:sz="4" w:space="0"/>
            </w:tcBorders>
            <w:shd w:val="clear" w:color="auto" w:fill="auto"/>
            <w:vAlign w:val="center"/>
          </w:tcPr>
          <w:p w14:paraId="79897503">
            <w:pPr>
              <w:keepNext w:val="0"/>
              <w:keepLines w:val="0"/>
              <w:widowControl w:val="0"/>
              <w:suppressLineNumbers w:val="0"/>
              <w:spacing w:before="0" w:beforeAutospacing="0" w:after="0" w:afterAutospacing="0"/>
              <w:ind w:left="0" w:right="0" w:firstLine="420" w:firstLineChars="20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5382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817" w:type="dxa"/>
            <w:vMerge w:val="restart"/>
            <w:tcBorders>
              <w:top w:val="single" w:color="auto" w:sz="4" w:space="0"/>
              <w:left w:val="single" w:color="auto" w:sz="4" w:space="0"/>
              <w:right w:val="single" w:color="auto" w:sz="4" w:space="0"/>
            </w:tcBorders>
            <w:shd w:val="clear" w:color="auto" w:fill="auto"/>
            <w:vAlign w:val="center"/>
          </w:tcPr>
          <w:p w14:paraId="6EA14F15">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2374" w:type="dxa"/>
            <w:gridSpan w:val="2"/>
            <w:vMerge w:val="restart"/>
            <w:tcBorders>
              <w:top w:val="single" w:color="auto" w:sz="4" w:space="0"/>
              <w:left w:val="nil"/>
              <w:right w:val="single" w:color="auto" w:sz="4" w:space="0"/>
            </w:tcBorders>
            <w:shd w:val="clear" w:color="auto" w:fill="auto"/>
            <w:vAlign w:val="center"/>
          </w:tcPr>
          <w:p w14:paraId="34FCB2B4">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勘察成果文件</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D6AA961">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初步勘察成果文件</w:t>
            </w:r>
          </w:p>
        </w:tc>
        <w:tc>
          <w:tcPr>
            <w:tcW w:w="1560" w:type="dxa"/>
            <w:vMerge w:val="restart"/>
            <w:tcBorders>
              <w:top w:val="single" w:color="auto" w:sz="4" w:space="0"/>
              <w:left w:val="nil"/>
              <w:right w:val="single" w:color="auto" w:sz="4" w:space="0"/>
            </w:tcBorders>
            <w:shd w:val="clear" w:color="auto" w:fill="auto"/>
            <w:vAlign w:val="center"/>
          </w:tcPr>
          <w:p w14:paraId="7F3021C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中标后30天内或按工作计划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324F62DB">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10份</w:t>
            </w:r>
          </w:p>
        </w:tc>
        <w:tc>
          <w:tcPr>
            <w:tcW w:w="1807" w:type="dxa"/>
            <w:tcBorders>
              <w:top w:val="single" w:color="auto" w:sz="4" w:space="0"/>
              <w:left w:val="nil"/>
              <w:bottom w:val="single" w:color="auto" w:sz="4" w:space="0"/>
              <w:right w:val="single" w:color="auto" w:sz="4" w:space="0"/>
            </w:tcBorders>
            <w:shd w:val="clear" w:color="auto" w:fill="auto"/>
            <w:vAlign w:val="center"/>
          </w:tcPr>
          <w:p w14:paraId="5C19E50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电子文档各2份</w:t>
            </w:r>
          </w:p>
        </w:tc>
      </w:tr>
      <w:tr w14:paraId="31BA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817" w:type="dxa"/>
            <w:vMerge w:val="continue"/>
            <w:tcBorders>
              <w:left w:val="single" w:color="auto" w:sz="4" w:space="0"/>
              <w:bottom w:val="single" w:color="auto" w:sz="4" w:space="0"/>
              <w:right w:val="single" w:color="auto" w:sz="4" w:space="0"/>
            </w:tcBorders>
            <w:shd w:val="clear" w:color="auto" w:fill="auto"/>
            <w:vAlign w:val="center"/>
          </w:tcPr>
          <w:p w14:paraId="3C41A25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p>
        </w:tc>
        <w:tc>
          <w:tcPr>
            <w:tcW w:w="2374" w:type="dxa"/>
            <w:gridSpan w:val="2"/>
            <w:vMerge w:val="continue"/>
            <w:tcBorders>
              <w:left w:val="nil"/>
              <w:bottom w:val="single" w:color="auto" w:sz="4" w:space="0"/>
              <w:right w:val="single" w:color="auto" w:sz="4" w:space="0"/>
            </w:tcBorders>
            <w:shd w:val="clear" w:color="auto" w:fill="auto"/>
            <w:vAlign w:val="center"/>
          </w:tcPr>
          <w:p w14:paraId="0047F5F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1CFA3FCA">
            <w:pPr>
              <w:keepNext w:val="0"/>
              <w:keepLines w:val="0"/>
              <w:widowControl w:val="0"/>
              <w:suppressLineNumbers w:val="0"/>
              <w:spacing w:before="0" w:beforeAutospacing="0" w:after="0" w:afterAutospacing="0"/>
              <w:ind w:left="0" w:right="0" w:rightChars="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详细勘察成果文件</w:t>
            </w:r>
          </w:p>
        </w:tc>
        <w:tc>
          <w:tcPr>
            <w:tcW w:w="1560" w:type="dxa"/>
            <w:vMerge w:val="continue"/>
            <w:tcBorders>
              <w:left w:val="nil"/>
              <w:bottom w:val="single" w:color="auto" w:sz="4" w:space="0"/>
              <w:right w:val="single" w:color="auto" w:sz="4" w:space="0"/>
            </w:tcBorders>
            <w:shd w:val="clear" w:color="auto" w:fill="auto"/>
            <w:vAlign w:val="center"/>
          </w:tcPr>
          <w:p w14:paraId="65414AF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426ABE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20份</w:t>
            </w:r>
          </w:p>
        </w:tc>
        <w:tc>
          <w:tcPr>
            <w:tcW w:w="1807" w:type="dxa"/>
            <w:tcBorders>
              <w:top w:val="single" w:color="auto" w:sz="4" w:space="0"/>
              <w:left w:val="nil"/>
              <w:bottom w:val="single" w:color="auto" w:sz="4" w:space="0"/>
              <w:right w:val="single" w:color="auto" w:sz="4" w:space="0"/>
            </w:tcBorders>
            <w:shd w:val="clear" w:color="auto" w:fill="auto"/>
            <w:vAlign w:val="center"/>
          </w:tcPr>
          <w:p w14:paraId="56F9757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电子文档各2份</w:t>
            </w:r>
          </w:p>
        </w:tc>
      </w:tr>
      <w:tr w14:paraId="52E2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8C8D224">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16DE9150">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深化方案设计成果文件（含</w:t>
            </w:r>
            <w:r>
              <w:rPr>
                <w:rFonts w:hint="eastAsia" w:cs="仿宋"/>
                <w:color w:val="000000" w:themeColor="text1"/>
                <w:sz w:val="21"/>
                <w:szCs w:val="21"/>
                <w:highlight w:val="none"/>
                <w:lang w:val="en-US" w:eastAsia="zh-CN"/>
                <w14:textFill>
                  <w14:solidFill>
                    <w14:schemeClr w14:val="tx1"/>
                  </w14:solidFill>
                </w14:textFill>
              </w:rPr>
              <w:t>方案视频、</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工程估算、三维数据模型</w:t>
            </w:r>
            <w:r>
              <w:rPr>
                <w:rFonts w:hint="default" w:ascii="宋体" w:hAnsi="宋体" w:eastAsia="宋体" w:cs="宋体"/>
                <w:strike w:val="0"/>
                <w:dstrike w:val="0"/>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strike w:val="0"/>
                <w:dstrike w:val="0"/>
                <w:color w:val="000000" w:themeColor="text1"/>
                <w:kern w:val="2"/>
                <w:sz w:val="22"/>
                <w:szCs w:val="22"/>
                <w:highlight w:val="none"/>
                <w:lang w:val="en-US" w:eastAsia="zh-CN" w:bidi="ar"/>
                <w14:textFill>
                  <w14:solidFill>
                    <w14:schemeClr w14:val="tx1"/>
                  </w14:solidFill>
                </w14:textFill>
              </w:rPr>
              <w:t>前期摸查报告等</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1560" w:type="dxa"/>
            <w:tcBorders>
              <w:top w:val="single" w:color="auto" w:sz="4" w:space="0"/>
              <w:left w:val="nil"/>
              <w:bottom w:val="single" w:color="auto" w:sz="4" w:space="0"/>
              <w:right w:val="single" w:color="auto" w:sz="4" w:space="0"/>
            </w:tcBorders>
            <w:shd w:val="clear" w:color="auto" w:fill="auto"/>
            <w:vAlign w:val="center"/>
          </w:tcPr>
          <w:p w14:paraId="3D81BB25">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中标后30天内或按工作计划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2A062855">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14:paraId="52CB4F02">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tc>
      </w:tr>
      <w:tr w14:paraId="521E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5EF2B7C">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6C52429B">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规划报建相关设计成果文件</w:t>
            </w:r>
          </w:p>
        </w:tc>
        <w:tc>
          <w:tcPr>
            <w:tcW w:w="1560" w:type="dxa"/>
            <w:tcBorders>
              <w:top w:val="single" w:color="auto" w:sz="4" w:space="0"/>
              <w:left w:val="nil"/>
              <w:bottom w:val="single" w:color="auto" w:sz="4" w:space="0"/>
              <w:right w:val="single" w:color="auto" w:sz="4" w:space="0"/>
            </w:tcBorders>
            <w:shd w:val="clear" w:color="auto" w:fill="auto"/>
            <w:vAlign w:val="center"/>
          </w:tcPr>
          <w:p w14:paraId="269E9059">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76A99E0A">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按报建要求或甲方要求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63C8A512">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tc>
      </w:tr>
      <w:tr w14:paraId="6F19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00121DC">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54FBF4F1">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方案设计报建相关设计成果文件</w:t>
            </w:r>
          </w:p>
        </w:tc>
        <w:tc>
          <w:tcPr>
            <w:tcW w:w="1560" w:type="dxa"/>
            <w:tcBorders>
              <w:top w:val="single" w:color="auto" w:sz="4" w:space="0"/>
              <w:left w:val="nil"/>
              <w:bottom w:val="single" w:color="auto" w:sz="4" w:space="0"/>
              <w:right w:val="single" w:color="auto" w:sz="4" w:space="0"/>
            </w:tcBorders>
            <w:shd w:val="clear" w:color="auto" w:fill="auto"/>
            <w:vAlign w:val="center"/>
          </w:tcPr>
          <w:p w14:paraId="405400F5">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03F004A2">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按报建要求或甲方要求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0F369EE7">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tc>
      </w:tr>
      <w:tr w14:paraId="0D45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8D7ADE8">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47C5C60E">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初步设计成果文件（含概算）</w:t>
            </w:r>
          </w:p>
        </w:tc>
        <w:tc>
          <w:tcPr>
            <w:tcW w:w="1560" w:type="dxa"/>
            <w:tcBorders>
              <w:top w:val="single" w:color="auto" w:sz="4" w:space="0"/>
              <w:left w:val="nil"/>
              <w:bottom w:val="single" w:color="auto" w:sz="4" w:space="0"/>
              <w:right w:val="single" w:color="auto" w:sz="4" w:space="0"/>
            </w:tcBorders>
            <w:shd w:val="clear" w:color="auto" w:fill="auto"/>
            <w:vAlign w:val="center"/>
          </w:tcPr>
          <w:p w14:paraId="032691D3">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深化方案确定后45天内或按工作计划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240C4134">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10份，或按甲方要求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355851E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p w14:paraId="4DD89E52">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（含符合评审要求的软件版）</w:t>
            </w:r>
          </w:p>
        </w:tc>
      </w:tr>
      <w:tr w14:paraId="6C20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B77065B">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1828C8F0">
            <w:pPr>
              <w:keepNext w:val="0"/>
              <w:keepLines w:val="0"/>
              <w:widowControl w:val="0"/>
              <w:suppressLineNumbers w:val="0"/>
              <w:spacing w:before="0" w:beforeAutospacing="0" w:after="0" w:afterAutospacing="0"/>
              <w:ind w:left="0" w:right="0"/>
              <w:jc w:val="both"/>
              <w:rPr>
                <w:rFonts w:hint="default" w:ascii="宋体" w:hAnsi="宋体" w:eastAsia="宋体" w:cs="Courier New"/>
                <w:b/>
                <w:bCs w:val="0"/>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初步设计阶段相关报建、报批成果文件</w:t>
            </w:r>
          </w:p>
        </w:tc>
        <w:tc>
          <w:tcPr>
            <w:tcW w:w="1560" w:type="dxa"/>
            <w:tcBorders>
              <w:top w:val="single" w:color="auto" w:sz="4" w:space="0"/>
              <w:left w:val="nil"/>
              <w:bottom w:val="single" w:color="auto" w:sz="4" w:space="0"/>
              <w:right w:val="single" w:color="auto" w:sz="4" w:space="0"/>
            </w:tcBorders>
            <w:shd w:val="clear" w:color="auto" w:fill="auto"/>
            <w:vAlign w:val="center"/>
          </w:tcPr>
          <w:p w14:paraId="23672F76">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1639129C">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按报建要求或甲方要求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37AF554B">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tc>
      </w:tr>
      <w:tr w14:paraId="5FBA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831422F">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336A4868">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施工图设计成果文件（送施工图审查单位审查，含投资分析报告</w:t>
            </w:r>
            <w:r>
              <w:rPr>
                <w:rFonts w:hint="eastAsia" w:ascii="宋体" w:hAnsi="宋体" w:eastAsia="宋体" w:cs="宋体"/>
                <w:strike w:val="0"/>
                <w:dstrike w:val="0"/>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strike w:val="0"/>
                <w:dstrike w:val="0"/>
                <w:color w:val="000000" w:themeColor="text1"/>
                <w:kern w:val="2"/>
                <w:sz w:val="22"/>
                <w:szCs w:val="22"/>
                <w:highlight w:val="none"/>
                <w:lang w:val="en-US" w:eastAsia="zh-CN" w:bidi="ar"/>
                <w14:textFill>
                  <w14:solidFill>
                    <w14:schemeClr w14:val="tx1"/>
                  </w14:solidFill>
                </w14:textFill>
              </w:rPr>
              <w:t>主要设备材料技术要求书</w:t>
            </w:r>
            <w:r>
              <w:rPr>
                <w:rFonts w:hint="eastAsia" w:ascii="宋体" w:hAnsi="宋体" w:eastAsia="宋体" w:cs="宋体"/>
                <w:strike w:val="0"/>
                <w:color w:val="000000" w:themeColor="text1"/>
                <w:kern w:val="2"/>
                <w:sz w:val="21"/>
                <w:szCs w:val="21"/>
                <w:highlight w:val="none"/>
                <w:lang w:val="en-US" w:eastAsia="zh-CN" w:bidi="ar"/>
                <w14:textFill>
                  <w14:solidFill>
                    <w14:schemeClr w14:val="tx1"/>
                  </w14:solidFill>
                </w14:textFill>
              </w:rPr>
              <w:t>）</w:t>
            </w:r>
          </w:p>
        </w:tc>
        <w:tc>
          <w:tcPr>
            <w:tcW w:w="1560" w:type="dxa"/>
            <w:tcBorders>
              <w:top w:val="single" w:color="auto" w:sz="4" w:space="0"/>
              <w:left w:val="nil"/>
              <w:bottom w:val="single" w:color="auto" w:sz="4" w:space="0"/>
              <w:right w:val="single" w:color="auto" w:sz="4" w:space="0"/>
            </w:tcBorders>
            <w:shd w:val="clear" w:color="auto" w:fill="auto"/>
            <w:vAlign w:val="center"/>
          </w:tcPr>
          <w:p w14:paraId="52335F19">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深化方案确定后90天或按工作计划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31A82985">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15份，或按甲方要求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355D5AA2">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投资分析报告20份；电子文档2份</w:t>
            </w:r>
          </w:p>
        </w:tc>
      </w:tr>
      <w:tr w14:paraId="6C6D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17" w:type="dxa"/>
            <w:vMerge w:val="restart"/>
            <w:tcBorders>
              <w:top w:val="nil"/>
              <w:left w:val="single" w:color="auto" w:sz="4" w:space="0"/>
              <w:bottom w:val="single" w:color="auto" w:sz="4" w:space="0"/>
              <w:right w:val="single" w:color="auto" w:sz="4" w:space="0"/>
            </w:tcBorders>
            <w:shd w:val="clear" w:color="auto" w:fill="auto"/>
            <w:vAlign w:val="center"/>
          </w:tcPr>
          <w:p w14:paraId="37FDD79A">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w:t>
            </w:r>
          </w:p>
        </w:tc>
        <w:tc>
          <w:tcPr>
            <w:tcW w:w="1135" w:type="dxa"/>
            <w:vMerge w:val="restart"/>
            <w:tcBorders>
              <w:top w:val="nil"/>
              <w:left w:val="nil"/>
              <w:bottom w:val="single" w:color="auto" w:sz="4" w:space="0"/>
              <w:right w:val="single" w:color="auto" w:sz="4" w:space="0"/>
            </w:tcBorders>
            <w:shd w:val="clear" w:color="auto" w:fill="auto"/>
            <w:vAlign w:val="center"/>
          </w:tcPr>
          <w:p w14:paraId="2FC9AE32">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施工图（按施工图审查单位意见修改并审批通过，包括预算、主要设备材料清单和技术需求书等文件）</w:t>
            </w:r>
          </w:p>
        </w:tc>
        <w:tc>
          <w:tcPr>
            <w:tcW w:w="2692" w:type="dxa"/>
            <w:gridSpan w:val="2"/>
            <w:tcBorders>
              <w:top w:val="single" w:color="auto" w:sz="4" w:space="0"/>
              <w:left w:val="nil"/>
              <w:bottom w:val="single" w:color="auto" w:sz="4" w:space="0"/>
              <w:right w:val="single" w:color="auto" w:sz="4" w:space="0"/>
            </w:tcBorders>
            <w:shd w:val="clear" w:color="auto" w:fill="auto"/>
            <w:vAlign w:val="center"/>
          </w:tcPr>
          <w:p w14:paraId="41D813DD">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施工报建的成果文件</w:t>
            </w:r>
          </w:p>
        </w:tc>
        <w:tc>
          <w:tcPr>
            <w:tcW w:w="1560" w:type="dxa"/>
            <w:tcBorders>
              <w:top w:val="single" w:color="auto" w:sz="4" w:space="0"/>
              <w:left w:val="nil"/>
              <w:bottom w:val="single" w:color="auto" w:sz="4" w:space="0"/>
              <w:right w:val="single" w:color="auto" w:sz="4" w:space="0"/>
            </w:tcBorders>
            <w:shd w:val="clear" w:color="auto" w:fill="auto"/>
            <w:vAlign w:val="center"/>
          </w:tcPr>
          <w:p w14:paraId="093CC55B">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64799D13">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按报建要求或甲方要求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61FEEE15">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tc>
      </w:tr>
      <w:tr w14:paraId="4B75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17" w:type="dxa"/>
            <w:vMerge w:val="continue"/>
            <w:tcBorders>
              <w:top w:val="nil"/>
              <w:left w:val="single" w:color="auto" w:sz="4" w:space="0"/>
              <w:bottom w:val="single" w:color="auto" w:sz="4" w:space="0"/>
              <w:right w:val="single" w:color="auto" w:sz="4" w:space="0"/>
            </w:tcBorders>
            <w:shd w:val="clear" w:color="auto" w:fill="auto"/>
            <w:vAlign w:val="center"/>
          </w:tcPr>
          <w:p w14:paraId="061C31C6">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35" w:type="dxa"/>
            <w:vMerge w:val="continue"/>
            <w:tcBorders>
              <w:top w:val="nil"/>
              <w:left w:val="nil"/>
              <w:bottom w:val="single" w:color="auto" w:sz="4" w:space="0"/>
              <w:right w:val="single" w:color="auto" w:sz="4" w:space="0"/>
            </w:tcBorders>
            <w:shd w:val="clear" w:color="auto" w:fill="auto"/>
            <w:vAlign w:val="center"/>
          </w:tcPr>
          <w:p w14:paraId="3337215C">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92" w:type="dxa"/>
            <w:gridSpan w:val="2"/>
            <w:tcBorders>
              <w:top w:val="single" w:color="auto" w:sz="4" w:space="0"/>
              <w:left w:val="nil"/>
              <w:bottom w:val="single" w:color="auto" w:sz="4" w:space="0"/>
              <w:right w:val="single" w:color="auto" w:sz="4" w:space="0"/>
            </w:tcBorders>
            <w:shd w:val="clear" w:color="auto" w:fill="auto"/>
            <w:vAlign w:val="center"/>
          </w:tcPr>
          <w:p w14:paraId="37265062">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施工图</w:t>
            </w: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（含管线三维电子模型、管线综合平衡施工图）</w:t>
            </w:r>
          </w:p>
        </w:tc>
        <w:tc>
          <w:tcPr>
            <w:tcW w:w="1560" w:type="dxa"/>
            <w:tcBorders>
              <w:top w:val="single" w:color="auto" w:sz="4" w:space="0"/>
              <w:left w:val="nil"/>
              <w:bottom w:val="single" w:color="auto" w:sz="4" w:space="0"/>
              <w:right w:val="single" w:color="auto" w:sz="4" w:space="0"/>
            </w:tcBorders>
            <w:shd w:val="clear" w:color="auto" w:fill="auto"/>
            <w:vAlign w:val="center"/>
          </w:tcPr>
          <w:p w14:paraId="4B13D559">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深化方案确定后90天或按工作计划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7D13B9AA">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15份，或按甲方要求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5DB93096">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tc>
      </w:tr>
      <w:tr w14:paraId="673D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17" w:type="dxa"/>
            <w:vMerge w:val="continue"/>
            <w:tcBorders>
              <w:top w:val="nil"/>
              <w:left w:val="single" w:color="auto" w:sz="4" w:space="0"/>
              <w:bottom w:val="single" w:color="auto" w:sz="4" w:space="0"/>
              <w:right w:val="single" w:color="auto" w:sz="4" w:space="0"/>
            </w:tcBorders>
            <w:shd w:val="clear" w:color="auto" w:fill="auto"/>
            <w:vAlign w:val="center"/>
          </w:tcPr>
          <w:p w14:paraId="444A3F5D">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35" w:type="dxa"/>
            <w:vMerge w:val="continue"/>
            <w:tcBorders>
              <w:top w:val="nil"/>
              <w:left w:val="nil"/>
              <w:bottom w:val="single" w:color="auto" w:sz="4" w:space="0"/>
              <w:right w:val="single" w:color="auto" w:sz="4" w:space="0"/>
            </w:tcBorders>
            <w:shd w:val="clear" w:color="auto" w:fill="auto"/>
            <w:vAlign w:val="center"/>
          </w:tcPr>
          <w:p w14:paraId="1F75FB31">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92" w:type="dxa"/>
            <w:gridSpan w:val="2"/>
            <w:tcBorders>
              <w:top w:val="single" w:color="auto" w:sz="4" w:space="0"/>
              <w:left w:val="nil"/>
              <w:bottom w:val="single" w:color="auto" w:sz="4" w:space="0"/>
              <w:right w:val="single" w:color="auto" w:sz="4" w:space="0"/>
            </w:tcBorders>
            <w:shd w:val="clear" w:color="auto" w:fill="auto"/>
            <w:vAlign w:val="center"/>
          </w:tcPr>
          <w:p w14:paraId="08100AB7">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施工图预算文件，招标工程量清单及招标控制价文件</w:t>
            </w:r>
          </w:p>
        </w:tc>
        <w:tc>
          <w:tcPr>
            <w:tcW w:w="1560" w:type="dxa"/>
            <w:tcBorders>
              <w:top w:val="single" w:color="auto" w:sz="4" w:space="0"/>
              <w:left w:val="nil"/>
              <w:bottom w:val="single" w:color="auto" w:sz="4" w:space="0"/>
              <w:right w:val="single" w:color="auto" w:sz="4" w:space="0"/>
            </w:tcBorders>
            <w:shd w:val="clear" w:color="auto" w:fill="auto"/>
            <w:vAlign w:val="center"/>
          </w:tcPr>
          <w:p w14:paraId="7C4633F4">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施工图设计完成后10个工作日内</w:t>
            </w:r>
          </w:p>
        </w:tc>
        <w:tc>
          <w:tcPr>
            <w:tcW w:w="1559" w:type="dxa"/>
            <w:tcBorders>
              <w:top w:val="single" w:color="auto" w:sz="4" w:space="0"/>
              <w:left w:val="nil"/>
              <w:bottom w:val="single" w:color="auto" w:sz="4" w:space="0"/>
              <w:right w:val="single" w:color="auto" w:sz="4" w:space="0"/>
            </w:tcBorders>
            <w:shd w:val="clear" w:color="auto" w:fill="auto"/>
            <w:vAlign w:val="center"/>
          </w:tcPr>
          <w:p w14:paraId="70070973">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15份，或按甲方要求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39AEA01A">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电子文档1份</w:t>
            </w:r>
          </w:p>
        </w:tc>
      </w:tr>
      <w:tr w14:paraId="6624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817" w:type="dxa"/>
            <w:vMerge w:val="continue"/>
            <w:tcBorders>
              <w:top w:val="nil"/>
              <w:left w:val="single" w:color="auto" w:sz="4" w:space="0"/>
              <w:bottom w:val="single" w:color="auto" w:sz="4" w:space="0"/>
              <w:right w:val="single" w:color="auto" w:sz="4" w:space="0"/>
            </w:tcBorders>
            <w:shd w:val="clear" w:color="auto" w:fill="auto"/>
            <w:vAlign w:val="center"/>
          </w:tcPr>
          <w:p w14:paraId="573894D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35" w:type="dxa"/>
            <w:vMerge w:val="continue"/>
            <w:tcBorders>
              <w:top w:val="nil"/>
              <w:left w:val="nil"/>
              <w:bottom w:val="single" w:color="auto" w:sz="4" w:space="0"/>
              <w:right w:val="single" w:color="auto" w:sz="4" w:space="0"/>
            </w:tcBorders>
            <w:shd w:val="clear" w:color="auto" w:fill="auto"/>
            <w:vAlign w:val="center"/>
          </w:tcPr>
          <w:p w14:paraId="0E510130">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92" w:type="dxa"/>
            <w:gridSpan w:val="2"/>
            <w:tcBorders>
              <w:top w:val="single" w:color="auto" w:sz="4" w:space="0"/>
              <w:left w:val="nil"/>
              <w:bottom w:val="single" w:color="auto" w:sz="4" w:space="0"/>
              <w:right w:val="single" w:color="auto" w:sz="4" w:space="0"/>
            </w:tcBorders>
            <w:shd w:val="clear" w:color="auto" w:fill="auto"/>
            <w:vAlign w:val="center"/>
          </w:tcPr>
          <w:p w14:paraId="7C372D33">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项目完工的完整版施工图</w:t>
            </w:r>
          </w:p>
        </w:tc>
        <w:tc>
          <w:tcPr>
            <w:tcW w:w="1560" w:type="dxa"/>
            <w:tcBorders>
              <w:top w:val="single" w:color="auto" w:sz="4" w:space="0"/>
              <w:left w:val="nil"/>
              <w:bottom w:val="single" w:color="auto" w:sz="4" w:space="0"/>
              <w:right w:val="single" w:color="auto" w:sz="4" w:space="0"/>
            </w:tcBorders>
            <w:shd w:val="clear" w:color="auto" w:fill="auto"/>
            <w:vAlign w:val="center"/>
          </w:tcPr>
          <w:p w14:paraId="41C2F904">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竣工验收前</w:t>
            </w:r>
          </w:p>
        </w:tc>
        <w:tc>
          <w:tcPr>
            <w:tcW w:w="1559" w:type="dxa"/>
            <w:tcBorders>
              <w:top w:val="single" w:color="auto" w:sz="4" w:space="0"/>
              <w:left w:val="nil"/>
              <w:bottom w:val="single" w:color="auto" w:sz="4" w:space="0"/>
              <w:right w:val="single" w:color="auto" w:sz="4" w:space="0"/>
            </w:tcBorders>
            <w:shd w:val="clear" w:color="auto" w:fill="auto"/>
            <w:vAlign w:val="center"/>
          </w:tcPr>
          <w:p w14:paraId="3C2AD95B">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15份，或按甲方要求提供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14:paraId="6C1B4D6C">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tc>
      </w:tr>
      <w:tr w14:paraId="0EFE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AA25827">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336507BE">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总图设计成果文件（包括区域内各相关专业、管线综合、园林景观等内容）</w:t>
            </w:r>
          </w:p>
        </w:tc>
        <w:tc>
          <w:tcPr>
            <w:tcW w:w="1560" w:type="dxa"/>
            <w:tcBorders>
              <w:top w:val="single" w:color="auto" w:sz="4" w:space="0"/>
              <w:left w:val="nil"/>
              <w:bottom w:val="single" w:color="auto" w:sz="4" w:space="0"/>
              <w:right w:val="single" w:color="auto" w:sz="4" w:space="0"/>
            </w:tcBorders>
            <w:shd w:val="clear" w:color="auto" w:fill="auto"/>
            <w:vAlign w:val="center"/>
          </w:tcPr>
          <w:p w14:paraId="24093D71">
            <w:pPr>
              <w:keepNext w:val="0"/>
              <w:keepLines w:val="0"/>
              <w:widowControl w:val="0"/>
              <w:suppressLineNumbers w:val="0"/>
              <w:spacing w:before="0" w:beforeAutospacing="0" w:after="0" w:afterAutospacing="0"/>
              <w:ind w:left="0" w:right="0"/>
              <w:jc w:val="both"/>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根据实际情况，按工作计划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14:paraId="4A69514E">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按甲方要求</w:t>
            </w:r>
          </w:p>
        </w:tc>
        <w:tc>
          <w:tcPr>
            <w:tcW w:w="1807" w:type="dxa"/>
            <w:tcBorders>
              <w:top w:val="single" w:color="auto" w:sz="4" w:space="0"/>
              <w:left w:val="nil"/>
              <w:bottom w:val="single" w:color="auto" w:sz="4" w:space="0"/>
              <w:right w:val="single" w:color="auto" w:sz="4" w:space="0"/>
            </w:tcBorders>
            <w:shd w:val="clear" w:color="auto" w:fill="auto"/>
            <w:vAlign w:val="center"/>
          </w:tcPr>
          <w:p w14:paraId="5905BFE7">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电子文档1份</w:t>
            </w:r>
          </w:p>
        </w:tc>
      </w:tr>
    </w:tbl>
    <w:p w14:paraId="05E46EBC">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70" w:firstLineChars="196"/>
        <w:textAlignment w:val="auto"/>
        <w:outlineLvl w:val="9"/>
        <w:rPr>
          <w:rFonts w:ascii="宋体" w:hAnsi="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备注：上述各阶段成果提交时间由甲方控制，可根据实际情况调整；各配合阶段&lt;如招标阶段、施工阶段&gt;及设计变更等所需文件份数及时间按合同约定和甲方要求执行。）</w:t>
      </w:r>
    </w:p>
    <w:p w14:paraId="44F6E699">
      <w:pPr>
        <w:keepNext w:val="0"/>
        <w:keepLines w:val="0"/>
        <w:widowControl/>
        <w:suppressLineNumbers w:val="0"/>
        <w:autoSpaceDE w:val="0"/>
        <w:autoSpaceDN/>
        <w:adjustRightInd w:val="0"/>
        <w:snapToGrid w:val="0"/>
        <w:spacing w:before="0" w:beforeAutospacing="1" w:after="0" w:afterAutospacing="1" w:line="360" w:lineRule="auto"/>
        <w:ind w:left="0" w:right="0" w:firstLine="480" w:firstLineChars="200"/>
        <w:jc w:val="left"/>
        <w:outlineLvl w:val="3"/>
        <w:rPr>
          <w:rFonts w:hint="default" w:ascii="宋体" w:hAnsi="宋体" w:cs="宋体" w:eastAsiaTheme="minorEastAsia"/>
          <w:color w:val="000000" w:themeColor="text1"/>
          <w:kern w:val="0"/>
          <w:sz w:val="24"/>
          <w:szCs w:val="24"/>
          <w:highlight w:val="none"/>
          <w14:textFill>
            <w14:solidFill>
              <w14:schemeClr w14:val="tx1"/>
            </w14:solidFill>
          </w14:textFill>
        </w:rPr>
      </w:pPr>
      <w:r>
        <w:rPr>
          <w:rFonts w:hint="default" w:ascii="宋体" w:hAnsi="宋体" w:cs="宋体" w:eastAsiaTheme="minorEastAsia"/>
          <w:color w:val="000000" w:themeColor="text1"/>
          <w:kern w:val="0"/>
          <w:sz w:val="24"/>
          <w:szCs w:val="24"/>
          <w:highlight w:val="none"/>
          <w:lang w:val="en-US" w:eastAsia="zh-CN" w:bidi="ar"/>
          <w14:textFill>
            <w14:solidFill>
              <w14:schemeClr w14:val="tx1"/>
            </w14:solidFill>
          </w14:textFill>
        </w:rPr>
        <w:t>9.2各阶段所有提供的效果图必须同时提交PSD或PDF电子版文件，精度要求分辨率不低于4kx4k。</w:t>
      </w:r>
    </w:p>
    <w:p w14:paraId="6E98820E">
      <w:pPr>
        <w:keepNext w:val="0"/>
        <w:keepLines w:val="0"/>
        <w:widowControl/>
        <w:suppressLineNumbers w:val="0"/>
        <w:autoSpaceDE w:val="0"/>
        <w:autoSpaceDN/>
        <w:adjustRightInd w:val="0"/>
        <w:snapToGrid w:val="0"/>
        <w:spacing w:before="0" w:beforeAutospacing="1" w:after="0" w:afterAutospacing="1" w:line="360" w:lineRule="auto"/>
        <w:ind w:left="0" w:right="0" w:firstLine="480" w:firstLineChars="200"/>
        <w:jc w:val="left"/>
        <w:outlineLvl w:val="3"/>
        <w:rPr>
          <w:rFonts w:hint="default" w:ascii="宋体" w:hAnsi="宋体" w:cs="宋体" w:eastAsiaTheme="minorEastAsia"/>
          <w:color w:val="000000" w:themeColor="text1"/>
          <w:kern w:val="0"/>
          <w:sz w:val="24"/>
          <w:szCs w:val="24"/>
          <w:highlight w:val="none"/>
          <w14:textFill>
            <w14:solidFill>
              <w14:schemeClr w14:val="tx1"/>
            </w14:solidFill>
          </w14:textFill>
        </w:rPr>
      </w:pPr>
      <w:r>
        <w:rPr>
          <w:rFonts w:hint="default" w:ascii="宋体" w:hAnsi="宋体" w:cs="宋体" w:eastAsiaTheme="minorEastAsia"/>
          <w:color w:val="000000" w:themeColor="text1"/>
          <w:kern w:val="0"/>
          <w:sz w:val="24"/>
          <w:szCs w:val="24"/>
          <w:highlight w:val="none"/>
          <w:lang w:val="en-US" w:eastAsia="zh-CN" w:bidi="ar"/>
          <w14:textFill>
            <w14:solidFill>
              <w14:schemeClr w14:val="tx1"/>
            </w14:solidFill>
          </w14:textFill>
        </w:rPr>
        <w:t>9.3设计文件除应提供设计图、设计说明、土方平衡图、工程项目及数量汇总表外，还应提供设备资料表、用户需求书和设计计算书。每次交付设计文件和资料时应附带清单。</w:t>
      </w:r>
    </w:p>
    <w:p w14:paraId="65AAFBB4">
      <w:pPr>
        <w:keepNext w:val="0"/>
        <w:keepLines w:val="0"/>
        <w:widowControl/>
        <w:suppressLineNumbers w:val="0"/>
        <w:autoSpaceDE w:val="0"/>
        <w:autoSpaceDN/>
        <w:adjustRightInd w:val="0"/>
        <w:snapToGrid w:val="0"/>
        <w:spacing w:before="0" w:beforeAutospacing="1" w:after="0" w:afterAutospacing="1" w:line="360" w:lineRule="auto"/>
        <w:ind w:left="0" w:right="0" w:firstLine="480" w:firstLineChars="200"/>
        <w:jc w:val="left"/>
        <w:outlineLvl w:val="3"/>
        <w:rPr>
          <w:rFonts w:hint="default" w:ascii="宋体" w:hAnsi="宋体" w:cs="宋体" w:eastAsiaTheme="minorEastAsia"/>
          <w:color w:val="000000" w:themeColor="text1"/>
          <w:kern w:val="0"/>
          <w:sz w:val="24"/>
          <w:szCs w:val="24"/>
          <w:highlight w:val="none"/>
          <w14:textFill>
            <w14:solidFill>
              <w14:schemeClr w14:val="tx1"/>
            </w14:solidFill>
          </w14:textFill>
        </w:rPr>
      </w:pPr>
      <w:r>
        <w:rPr>
          <w:rFonts w:hint="default" w:ascii="宋体" w:hAnsi="宋体" w:cs="宋体" w:eastAsiaTheme="minorEastAsia"/>
          <w:color w:val="000000" w:themeColor="text1"/>
          <w:kern w:val="0"/>
          <w:sz w:val="24"/>
          <w:szCs w:val="24"/>
          <w:highlight w:val="none"/>
          <w:lang w:val="en-US" w:eastAsia="zh-CN" w:bidi="ar"/>
          <w14:textFill>
            <w14:solidFill>
              <w14:schemeClr w14:val="tx1"/>
            </w14:solidFill>
          </w14:textFill>
        </w:rPr>
        <w:t>9.4在规划红线范围内，乙方应保证按规划、建筑功能及配套设施要求，完成本工程包含的全部项目的专项设计。限于专业资质问题不能进行的专项设计，如10千伏高压供电、红线外市政给排水、环保工程、燃气工程等专业工程，由乙方报甲方同意后进行分包，专业分包设计费由乙方承担。建筑主体设计单位负责管理和协调专业分包单位。专业分包各阶段设计文件中，须主体设计单位校核确认，并由双方人员进行会签、盖章确认，设计图要求含有两个单位的图签，双图签出图。</w:t>
      </w:r>
    </w:p>
    <w:p w14:paraId="4FDC3E8F">
      <w:pPr>
        <w:keepNext w:val="0"/>
        <w:keepLines w:val="0"/>
        <w:widowControl/>
        <w:suppressLineNumbers w:val="0"/>
        <w:autoSpaceDE w:val="0"/>
        <w:autoSpaceDN/>
        <w:adjustRightInd w:val="0"/>
        <w:snapToGrid w:val="0"/>
        <w:spacing w:before="0" w:beforeAutospacing="1" w:after="0" w:afterAutospacing="1" w:line="360" w:lineRule="auto"/>
        <w:ind w:left="0" w:right="0" w:firstLine="480" w:firstLineChars="200"/>
        <w:jc w:val="left"/>
        <w:outlineLvl w:val="3"/>
        <w:rPr>
          <w:rFonts w:hint="default" w:ascii="宋体" w:hAnsi="宋体" w:cs="宋体" w:eastAsiaTheme="minorEastAsia"/>
          <w:color w:val="000000" w:themeColor="text1"/>
          <w:kern w:val="0"/>
          <w:sz w:val="24"/>
          <w:szCs w:val="24"/>
          <w:highlight w:val="none"/>
          <w14:textFill>
            <w14:solidFill>
              <w14:schemeClr w14:val="tx1"/>
            </w14:solidFill>
          </w14:textFill>
        </w:rPr>
      </w:pPr>
      <w:r>
        <w:rPr>
          <w:rFonts w:hint="default" w:ascii="宋体" w:hAnsi="宋体" w:cs="宋体" w:eastAsiaTheme="minorEastAsia"/>
          <w:color w:val="000000" w:themeColor="text1"/>
          <w:kern w:val="0"/>
          <w:sz w:val="24"/>
          <w:szCs w:val="24"/>
          <w:highlight w:val="none"/>
          <w:lang w:val="en-US" w:eastAsia="zh-CN" w:bidi="ar"/>
          <w14:textFill>
            <w14:solidFill>
              <w14:schemeClr w14:val="tx1"/>
            </w14:solidFill>
          </w14:textFill>
        </w:rPr>
        <w:t>9.5若甲方为建筑主体设计单位，对整个项目的设计进行总体技术把控。由甲方另行招标的设计内容，相关设计图须经过建筑主体设计单位审核确认，以建筑主体设计单位签名盖公章形式或甲方指定方式确认。</w:t>
      </w:r>
    </w:p>
    <w:p w14:paraId="10049EBC">
      <w:pPr>
        <w:keepNext w:val="0"/>
        <w:keepLines w:val="0"/>
        <w:widowControl/>
        <w:suppressLineNumbers w:val="0"/>
        <w:autoSpaceDE w:val="0"/>
        <w:autoSpaceDN/>
        <w:adjustRightInd w:val="0"/>
        <w:snapToGrid w:val="0"/>
        <w:spacing w:before="0" w:beforeAutospacing="1" w:after="0" w:afterAutospacing="1" w:line="360" w:lineRule="auto"/>
        <w:ind w:left="0" w:right="0" w:firstLine="480" w:firstLineChars="200"/>
        <w:jc w:val="left"/>
        <w:outlineLvl w:val="3"/>
        <w:rPr>
          <w:rFonts w:hint="default" w:ascii="宋体" w:hAnsi="宋体" w:cs="宋体" w:eastAsiaTheme="minorEastAsia"/>
          <w:color w:val="000000" w:themeColor="text1"/>
          <w:kern w:val="0"/>
          <w:sz w:val="24"/>
          <w:szCs w:val="24"/>
          <w:highlight w:val="none"/>
          <w14:textFill>
            <w14:solidFill>
              <w14:schemeClr w14:val="tx1"/>
            </w14:solidFill>
          </w14:textFill>
        </w:rPr>
      </w:pPr>
      <w:r>
        <w:rPr>
          <w:rFonts w:hint="default" w:ascii="宋体" w:hAnsi="宋体" w:cs="宋体" w:eastAsiaTheme="minorEastAsia"/>
          <w:color w:val="000000" w:themeColor="text1"/>
          <w:kern w:val="0"/>
          <w:sz w:val="24"/>
          <w:szCs w:val="24"/>
          <w:highlight w:val="none"/>
          <w:lang w:val="en-US" w:eastAsia="zh-CN" w:bidi="ar"/>
          <w14:textFill>
            <w14:solidFill>
              <w14:schemeClr w14:val="tx1"/>
            </w14:solidFill>
          </w14:textFill>
        </w:rPr>
        <w:t>9.6乙方需在各设计阶段的设计成果提交时，同步提交成果文件在乙方内部审查的过程资料，含内部审查意见和意见修改落实情况，以及技术审核签字确认文件。</w:t>
      </w:r>
    </w:p>
    <w:p w14:paraId="517D5D40">
      <w:pPr>
        <w:adjustRightInd w:val="0"/>
        <w:snapToGrid w:val="0"/>
        <w:spacing w:line="360" w:lineRule="auto"/>
        <w:ind w:firstLine="480" w:firstLineChars="200"/>
        <w:outlineLvl w:val="3"/>
        <w:rPr>
          <w:rFonts w:hint="default" w:ascii="宋体" w:hAnsi="宋体" w:cs="宋体"/>
          <w:color w:val="000000" w:themeColor="text1"/>
          <w:kern w:val="0"/>
          <w:sz w:val="24"/>
          <w:szCs w:val="24"/>
          <w:highlight w:val="none"/>
          <w:lang w:bidi="ar"/>
          <w14:textFill>
            <w14:solidFill>
              <w14:schemeClr w14:val="tx1"/>
            </w14:solidFill>
          </w14:textFill>
        </w:rPr>
      </w:pPr>
      <w:r>
        <w:rPr>
          <w:rFonts w:ascii="宋体" w:hAnsi="宋体" w:cs="宋体"/>
          <w:b w:val="0"/>
          <w:color w:val="000000" w:themeColor="text1"/>
          <w:kern w:val="0"/>
          <w:sz w:val="24"/>
          <w:szCs w:val="24"/>
          <w:highlight w:val="none"/>
          <w:lang w:bidi="ar"/>
          <w14:textFill>
            <w14:solidFill>
              <w14:schemeClr w14:val="tx1"/>
            </w14:solidFill>
          </w14:textFill>
        </w:rPr>
        <w:t>9.7</w:t>
      </w:r>
      <w:r>
        <w:rPr>
          <w:rFonts w:ascii="宋体" w:hAnsi="宋体" w:cs="宋体"/>
          <w:color w:val="000000" w:themeColor="text1"/>
          <w:kern w:val="0"/>
          <w:sz w:val="24"/>
          <w:szCs w:val="24"/>
          <w:highlight w:val="none"/>
          <w:lang w:bidi="ar"/>
          <w14:textFill>
            <w14:solidFill>
              <w14:schemeClr w14:val="tx1"/>
            </w14:solidFill>
          </w14:textFill>
        </w:rPr>
        <w:t>乙方必须按照经过甲方审批确定的设计进度计划及时提交设计中间资料，以满足甲方开展有关工作的需要，有关费用已包含在本合同约定的设计费用之内。</w:t>
      </w:r>
    </w:p>
    <w:p w14:paraId="49723F6B">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70" w:firstLineChars="196"/>
        <w:textAlignment w:val="auto"/>
        <w:outlineLvl w:val="9"/>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由于项目工期紧迫，乙方必须按照经过甲方审批确定的设计进度计划采用适当穿插推进的方式开展方案设计、初步设计、施工图设计，以及提供设计服务（包括报审报建配合服务、招标配合服务和现场服务工作等）。在方案设计获得确定后开展初步设计，在初步设计获得甲方确认后同时开展初步设计报建及启动施工图设计工作；在各专业施工图经过甲方确认后，同步配合甲方进行施工招标工作，并按甲方要求提交施工图、设备、材料采购的技术文件等相关设计成果文件供招标使用。</w:t>
      </w:r>
    </w:p>
    <w:p w14:paraId="01C358E5">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w:t>
      </w:r>
      <w:r>
        <w:rPr>
          <w:rFonts w:hint="default" w:ascii="宋体" w:hAnsi="宋体" w:cs="宋体"/>
          <w:b/>
          <w:color w:val="000000" w:themeColor="text1"/>
          <w:kern w:val="0"/>
          <w:sz w:val="24"/>
          <w:szCs w:val="24"/>
          <w:highlight w:val="none"/>
          <w14:textFill>
            <w14:solidFill>
              <w14:schemeClr w14:val="tx1"/>
            </w14:solidFill>
          </w14:textFill>
        </w:rPr>
        <w:t>8</w:t>
      </w:r>
      <w:r>
        <w:rPr>
          <w:rFonts w:hint="eastAsia" w:ascii="宋体" w:hAnsi="宋体" w:cs="宋体"/>
          <w:color w:val="000000" w:themeColor="text1"/>
          <w:kern w:val="0"/>
          <w:sz w:val="24"/>
          <w:szCs w:val="24"/>
          <w:highlight w:val="none"/>
          <w14:textFill>
            <w14:solidFill>
              <w14:schemeClr w14:val="tx1"/>
            </w14:solidFill>
          </w14:textFill>
        </w:rPr>
        <w:t>乙方向甲方提交的各版次设计成果文件应满足勘察设计文件审批的要求及本合同工程各阶段建设的需要。</w:t>
      </w:r>
      <w:r>
        <w:rPr>
          <w:rFonts w:ascii="宋体" w:hAnsi="宋体" w:cs="宋体"/>
          <w:color w:val="000000" w:themeColor="text1"/>
          <w:kern w:val="0"/>
          <w:sz w:val="24"/>
          <w:szCs w:val="24"/>
          <w:highlight w:val="none"/>
          <w14:textFill>
            <w14:solidFill>
              <w14:schemeClr w14:val="tx1"/>
            </w14:solidFill>
          </w14:textFill>
        </w:rPr>
        <w:t>同时，乙方应按照《广州市工程建设项目审批制度改革试点工作领导小组办公室关于开展房屋建筑工程电子图纸全过程流转应用工作的通知》的程序及要求，上传并进行电子图纸（CAD、BIM模型）的全过程流转工作。</w:t>
      </w:r>
    </w:p>
    <w:p w14:paraId="2BEB85DE">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w:t>
      </w:r>
      <w:r>
        <w:rPr>
          <w:rFonts w:hint="default" w:ascii="宋体" w:hAnsi="宋体" w:cs="宋体"/>
          <w:b/>
          <w:color w:val="000000" w:themeColor="text1"/>
          <w:kern w:val="0"/>
          <w:sz w:val="24"/>
          <w:szCs w:val="24"/>
          <w:highlight w:val="none"/>
          <w14:textFill>
            <w14:solidFill>
              <w14:schemeClr w14:val="tx1"/>
            </w14:solidFill>
          </w14:textFill>
        </w:rPr>
        <w:t>9</w:t>
      </w:r>
      <w:r>
        <w:rPr>
          <w:rFonts w:hint="eastAsia" w:ascii="宋体" w:hAnsi="宋体" w:cs="宋体"/>
          <w:color w:val="000000" w:themeColor="text1"/>
          <w:kern w:val="0"/>
          <w:sz w:val="24"/>
          <w:szCs w:val="24"/>
          <w:highlight w:val="none"/>
          <w14:textFill>
            <w14:solidFill>
              <w14:schemeClr w14:val="tx1"/>
            </w14:solidFill>
          </w14:textFill>
        </w:rPr>
        <w:t>乙方按合同约定的时限将设计成果文件或资料交付至甲方指定的地点，相关费用（包括运输、邮寄、电传、关税等费用）已经含于设计费中。</w:t>
      </w:r>
    </w:p>
    <w:p w14:paraId="1681516B">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w:t>
      </w:r>
      <w:r>
        <w:rPr>
          <w:rFonts w:hint="default"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在报建过程中需要提供设计成果文件或设计中间资料的电子文档的，乙方应无偿提供。</w:t>
      </w:r>
    </w:p>
    <w:p w14:paraId="500AED44">
      <w:pPr>
        <w:adjustRightInd w:val="0"/>
        <w:snapToGrid w:val="0"/>
        <w:spacing w:line="360" w:lineRule="auto"/>
        <w:ind w:firstLine="482" w:firstLineChars="200"/>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w:t>
      </w:r>
      <w:r>
        <w:rPr>
          <w:rFonts w:hint="default" w:ascii="宋体" w:hAnsi="宋体" w:cs="宋体"/>
          <w:b/>
          <w:color w:val="000000" w:themeColor="text1"/>
          <w:kern w:val="0"/>
          <w:sz w:val="24"/>
          <w:szCs w:val="24"/>
          <w:highlight w:val="none"/>
          <w14:textFill>
            <w14:solidFill>
              <w14:schemeClr w14:val="tx1"/>
            </w14:solidFill>
          </w14:textFill>
        </w:rPr>
        <w:t>11</w:t>
      </w:r>
      <w:r>
        <w:rPr>
          <w:rFonts w:hint="eastAsia" w:ascii="宋体" w:hAnsi="宋体" w:cs="宋体"/>
          <w:color w:val="000000" w:themeColor="text1"/>
          <w:kern w:val="0"/>
          <w:sz w:val="24"/>
          <w:szCs w:val="24"/>
          <w:highlight w:val="none"/>
          <w14:textFill>
            <w14:solidFill>
              <w14:schemeClr w14:val="tx1"/>
            </w14:solidFill>
          </w14:textFill>
        </w:rPr>
        <w:t>造价文件编制及报审工作</w:t>
      </w:r>
    </w:p>
    <w:p w14:paraId="3043725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a、编制合同设计范围内方案估算、初步设计概算；</w:t>
      </w:r>
    </w:p>
    <w:p w14:paraId="740AF63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b、</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（包括概算复核、</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编制及配合施工招标工作</w:t>
      </w:r>
      <w:r>
        <w:rPr>
          <w:rFonts w:hint="eastAsia" w:ascii="宋体" w:hAnsi="宋体" w:cs="宋体"/>
          <w:color w:val="000000" w:themeColor="text1"/>
          <w:sz w:val="24"/>
          <w:szCs w:val="24"/>
          <w:highlight w:val="none"/>
          <w14:textFill>
            <w14:solidFill>
              <w14:schemeClr w14:val="tx1"/>
            </w14:solidFill>
          </w14:textFill>
        </w:rPr>
        <w:t>、设计变更</w:t>
      </w:r>
      <w:r>
        <w:rPr>
          <w:rFonts w:hint="eastAsia" w:ascii="宋体" w:hAnsi="宋体" w:cs="宋体"/>
          <w:color w:val="000000" w:themeColor="text1"/>
          <w:sz w:val="24"/>
          <w:szCs w:val="24"/>
          <w:highlight w:val="none"/>
          <w:u w:val="single"/>
          <w14:textFill>
            <w14:solidFill>
              <w14:schemeClr w14:val="tx1"/>
            </w14:solidFill>
          </w14:textFill>
        </w:rPr>
        <w:t>预算</w:t>
      </w:r>
      <w:r>
        <w:rPr>
          <w:rFonts w:hint="eastAsia" w:ascii="宋体" w:hAnsi="宋体" w:cs="宋体"/>
          <w:color w:val="000000" w:themeColor="text1"/>
          <w:sz w:val="24"/>
          <w:szCs w:val="24"/>
          <w:highlight w:val="none"/>
          <w14:textFill>
            <w14:solidFill>
              <w14:schemeClr w14:val="tx1"/>
            </w14:solidFill>
          </w14:textFill>
        </w:rPr>
        <w:t>编制等</w:t>
      </w:r>
      <w:r>
        <w:rPr>
          <w:rFonts w:hint="eastAsia" w:ascii="宋体" w:hAnsi="宋体" w:cs="宋体"/>
          <w:color w:val="000000" w:themeColor="text1"/>
          <w:kern w:val="0"/>
          <w:sz w:val="24"/>
          <w:szCs w:val="24"/>
          <w:highlight w:val="none"/>
          <w14:textFill>
            <w14:solidFill>
              <w14:schemeClr w14:val="tx1"/>
            </w14:solidFill>
          </w14:textFill>
        </w:rPr>
        <w:t>）；</w:t>
      </w:r>
    </w:p>
    <w:p w14:paraId="7249135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c、负责配合初步设计概算、</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送报审、评审、对数工作，</w:t>
      </w:r>
      <w:r>
        <w:rPr>
          <w:rFonts w:hint="eastAsia" w:ascii="宋体" w:hAnsi="宋体" w:cs="宋体"/>
          <w:color w:val="000000" w:themeColor="text1"/>
          <w:sz w:val="24"/>
          <w:szCs w:val="24"/>
          <w:highlight w:val="none"/>
          <w14:textFill>
            <w14:solidFill>
              <w14:schemeClr w14:val="tx1"/>
            </w14:solidFill>
          </w14:textFill>
        </w:rPr>
        <w:t>配合甲方或甲方委托的第三方对</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的审核工作</w:t>
      </w:r>
      <w:r>
        <w:rPr>
          <w:rFonts w:hint="eastAsia" w:ascii="宋体" w:hAnsi="宋体" w:cs="宋体"/>
          <w:color w:val="000000" w:themeColor="text1"/>
          <w:kern w:val="0"/>
          <w:sz w:val="24"/>
          <w:szCs w:val="24"/>
          <w:highlight w:val="none"/>
          <w14:textFill>
            <w14:solidFill>
              <w14:schemeClr w14:val="tx1"/>
            </w14:solidFill>
          </w14:textFill>
        </w:rPr>
        <w:t>；</w:t>
      </w:r>
    </w:p>
    <w:p w14:paraId="59D7782F">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d、各设计阶段进行各类方案比选时编制造价分析材料，给出造价分析结论；施工阶段，编制设计变更预算及相应造价增减说明。</w:t>
      </w:r>
    </w:p>
    <w:p w14:paraId="791FAAD3">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w:t>
      </w:r>
      <w:r>
        <w:rPr>
          <w:rFonts w:hint="default" w:ascii="宋体" w:hAnsi="宋体" w:cs="宋体"/>
          <w:b/>
          <w:color w:val="000000" w:themeColor="text1"/>
          <w:kern w:val="0"/>
          <w:sz w:val="24"/>
          <w:szCs w:val="24"/>
          <w:highlight w:val="none"/>
          <w14:textFill>
            <w14:solidFill>
              <w14:schemeClr w14:val="tx1"/>
            </w14:solidFill>
          </w14:textFill>
        </w:rPr>
        <w:t>12</w:t>
      </w:r>
      <w:r>
        <w:rPr>
          <w:rFonts w:hint="eastAsia" w:ascii="宋体" w:hAnsi="宋体" w:cs="宋体"/>
          <w:color w:val="000000" w:themeColor="text1"/>
          <w:kern w:val="0"/>
          <w:sz w:val="24"/>
          <w:szCs w:val="24"/>
          <w:highlight w:val="none"/>
          <w14:textFill>
            <w14:solidFill>
              <w14:schemeClr w14:val="tx1"/>
            </w14:solidFill>
          </w14:textFill>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提供给甲方，份数要求按本合同条款第9.1款执行。其他造价文件，均要求提供5份纸质文件及电子光盘两份。</w:t>
      </w:r>
    </w:p>
    <w:p w14:paraId="1C5AFDA0">
      <w:pPr>
        <w:adjustRightInd w:val="0"/>
        <w:snapToGrid w:val="0"/>
        <w:spacing w:line="360" w:lineRule="auto"/>
        <w:ind w:firstLine="482" w:firstLineChars="200"/>
        <w:outlineLvl w:val="3"/>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9.</w:t>
      </w:r>
      <w:r>
        <w:rPr>
          <w:rFonts w:hint="default" w:ascii="宋体" w:hAnsi="宋体" w:cs="宋体"/>
          <w:b/>
          <w:color w:val="000000" w:themeColor="text1"/>
          <w:kern w:val="0"/>
          <w:sz w:val="24"/>
          <w:szCs w:val="24"/>
          <w:highlight w:val="none"/>
          <w14:textFill>
            <w14:solidFill>
              <w14:schemeClr w14:val="tx1"/>
            </w14:solidFill>
          </w14:textFill>
        </w:rPr>
        <w:t>13</w:t>
      </w:r>
      <w:r>
        <w:rPr>
          <w:rFonts w:hint="eastAsia" w:ascii="宋体" w:hAnsi="宋体" w:cs="宋体"/>
          <w:bCs/>
          <w:color w:val="000000" w:themeColor="text1"/>
          <w:kern w:val="0"/>
          <w:sz w:val="24"/>
          <w:szCs w:val="24"/>
          <w:highlight w:val="none"/>
          <w14:textFill>
            <w14:solidFill>
              <w14:schemeClr w14:val="tx1"/>
            </w14:solidFill>
          </w14:textFill>
        </w:rPr>
        <w:t>乙方提交的设计成果文件中图纸图签栏签名必须由乙方在投标文件中承诺的（或根据本合同条款第8.5款约定甲方要求更换并被接受的）项目负责人及各相应专业负责人签字或加盖私章，不得以印刷字代替。其中，根据本合同条款第5条的约定，经甲方同意分包的专项设计成果文件必须由乙方负责审核，并由乙方项目负责人签字或加盖私章。</w:t>
      </w:r>
    </w:p>
    <w:p w14:paraId="6FF5A9CF">
      <w:pPr>
        <w:pStyle w:val="13"/>
        <w:widowControl w:val="0"/>
        <w:spacing w:beforeAutospacing="0" w:afterAutospacing="0"/>
        <w:ind w:firstLine="480" w:firstLineChars="200"/>
        <w:jc w:val="both"/>
        <w:rPr>
          <w:rFonts w:hint="default" w:ascii="Calibri" w:hAnsi="Calibri" w:cs="Calibri"/>
          <w:color w:val="000000" w:themeColor="text1"/>
          <w:highlight w:val="none"/>
          <w14:textFill>
            <w14:solidFill>
              <w14:schemeClr w14:val="tx1"/>
            </w14:solidFill>
          </w14:textFill>
        </w:rPr>
      </w:pPr>
    </w:p>
    <w:p w14:paraId="6C5C9FD4">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第四章 设计质量</w:t>
      </w:r>
    </w:p>
    <w:p w14:paraId="724658D5">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24780DF9">
      <w:pPr>
        <w:adjustRightInd w:val="0"/>
        <w:snapToGrid w:val="0"/>
        <w:spacing w:line="360" w:lineRule="auto"/>
        <w:ind w:firstLine="472" w:firstLineChars="196"/>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10、设计的质量要求</w:t>
      </w:r>
    </w:p>
    <w:p w14:paraId="65A4D526">
      <w:pPr>
        <w:adjustRightInd w:val="0"/>
        <w:snapToGrid w:val="0"/>
        <w:spacing w:line="360" w:lineRule="auto"/>
        <w:ind w:firstLine="480" w:firstLineChars="200"/>
        <w:outlineLvl w:val="3"/>
        <w:rPr>
          <w:rFonts w:hint="eastAsia" w:ascii="宋体" w:hAnsi="宋体" w:cs="宋体"/>
          <w:b w:val="0"/>
          <w:bCs/>
          <w:color w:val="000000" w:themeColor="text1"/>
          <w:kern w:val="0"/>
          <w:sz w:val="24"/>
          <w:szCs w:val="24"/>
          <w:highlight w:val="none"/>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乙方</w:t>
      </w:r>
      <w:r>
        <w:rPr>
          <w:rFonts w:hint="eastAsia" w:ascii="宋体" w:hAnsi="宋体" w:cs="宋体"/>
          <w:b w:val="0"/>
          <w:bCs/>
          <w:color w:val="000000" w:themeColor="text1"/>
          <w:kern w:val="0"/>
          <w:sz w:val="24"/>
          <w:szCs w:val="24"/>
          <w:highlight w:val="none"/>
          <w:lang w:eastAsia="zh-CN"/>
          <w14:textFill>
            <w14:solidFill>
              <w14:schemeClr w14:val="tx1"/>
            </w14:solidFill>
          </w14:textFill>
        </w:rPr>
        <w:t>应</w:t>
      </w:r>
      <w:r>
        <w:rPr>
          <w:rFonts w:hint="eastAsia" w:ascii="宋体" w:hAnsi="宋体" w:cs="宋体"/>
          <w:b w:val="0"/>
          <w:bCs/>
          <w:color w:val="000000" w:themeColor="text1"/>
          <w:kern w:val="0"/>
          <w:sz w:val="24"/>
          <w:szCs w:val="24"/>
          <w:highlight w:val="none"/>
          <w14:textFill>
            <w14:solidFill>
              <w14:schemeClr w14:val="tx1"/>
            </w14:solidFill>
          </w14:textFill>
        </w:rPr>
        <w:t>遵循法律法规和规范标准，根据项目</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立项文件</w:t>
      </w:r>
      <w:r>
        <w:rPr>
          <w:rFonts w:hint="eastAsia" w:ascii="宋体" w:hAnsi="宋体" w:cs="宋体"/>
          <w:b w:val="0"/>
          <w:bCs/>
          <w:color w:val="000000" w:themeColor="text1"/>
          <w:kern w:val="0"/>
          <w:sz w:val="24"/>
          <w:szCs w:val="24"/>
          <w:highlight w:val="none"/>
          <w:lang w:eastAsia="zh-CN"/>
          <w14:textFill>
            <w14:solidFill>
              <w14:schemeClr w14:val="tx1"/>
            </w14:solidFill>
          </w14:textFill>
        </w:rPr>
        <w:t>、</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业主</w:t>
      </w:r>
      <w:r>
        <w:rPr>
          <w:rFonts w:hint="eastAsia" w:ascii="宋体" w:hAnsi="宋体" w:cs="宋体"/>
          <w:b w:val="0"/>
          <w:bCs/>
          <w:color w:val="000000" w:themeColor="text1"/>
          <w:kern w:val="0"/>
          <w:sz w:val="24"/>
          <w:szCs w:val="24"/>
          <w:highlight w:val="none"/>
          <w14:textFill>
            <w14:solidFill>
              <w14:schemeClr w14:val="tx1"/>
            </w14:solidFill>
          </w14:textFill>
        </w:rPr>
        <w:t>需求书</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及建设管理单位</w:t>
      </w:r>
      <w:r>
        <w:rPr>
          <w:rFonts w:hint="eastAsia" w:ascii="宋体" w:hAnsi="宋体" w:cs="宋体"/>
          <w:b w:val="0"/>
          <w:bCs/>
          <w:color w:val="000000" w:themeColor="text1"/>
          <w:kern w:val="0"/>
          <w:sz w:val="24"/>
          <w:szCs w:val="24"/>
          <w:highlight w:val="none"/>
          <w14:textFill>
            <w14:solidFill>
              <w14:schemeClr w14:val="tx1"/>
            </w14:solidFill>
          </w14:textFill>
        </w:rPr>
        <w:t>的</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相关规定</w:t>
      </w:r>
      <w:r>
        <w:rPr>
          <w:rFonts w:hint="eastAsia" w:ascii="宋体" w:hAnsi="宋体" w:cs="宋体"/>
          <w:b w:val="0"/>
          <w:bCs/>
          <w:color w:val="000000" w:themeColor="text1"/>
          <w:kern w:val="0"/>
          <w:sz w:val="24"/>
          <w:szCs w:val="24"/>
          <w:highlight w:val="none"/>
          <w14:textFill>
            <w14:solidFill>
              <w14:schemeClr w14:val="tx1"/>
            </w14:solidFill>
          </w14:textFill>
        </w:rPr>
        <w:t>进行勘察设计工作。</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勘察</w:t>
      </w:r>
      <w:r>
        <w:rPr>
          <w:rFonts w:hint="eastAsia" w:ascii="宋体" w:hAnsi="宋体" w:cs="宋体"/>
          <w:b w:val="0"/>
          <w:bCs/>
          <w:color w:val="000000" w:themeColor="text1"/>
          <w:kern w:val="0"/>
          <w:sz w:val="24"/>
          <w:szCs w:val="24"/>
          <w:highlight w:val="none"/>
          <w14:textFill>
            <w14:solidFill>
              <w14:schemeClr w14:val="tx1"/>
            </w14:solidFill>
          </w14:textFill>
        </w:rPr>
        <w:t>设计成果文件</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应</w:t>
      </w:r>
      <w:r>
        <w:rPr>
          <w:rFonts w:hint="eastAsia" w:ascii="宋体" w:hAnsi="宋体" w:cs="宋体"/>
          <w:b w:val="0"/>
          <w:bCs/>
          <w:color w:val="000000" w:themeColor="text1"/>
          <w:kern w:val="0"/>
          <w:sz w:val="24"/>
          <w:szCs w:val="24"/>
          <w:highlight w:val="none"/>
          <w14:textFill>
            <w14:solidFill>
              <w14:schemeClr w14:val="tx1"/>
            </w14:solidFill>
          </w14:textFill>
        </w:rPr>
        <w:t>齐全，说明</w:t>
      </w:r>
      <w:r>
        <w:rPr>
          <w:rFonts w:hint="eastAsia" w:ascii="宋体" w:hAnsi="宋体" w:cs="宋体"/>
          <w:b w:val="0"/>
          <w:bCs/>
          <w:color w:val="000000" w:themeColor="text1"/>
          <w:kern w:val="0"/>
          <w:sz w:val="24"/>
          <w:szCs w:val="24"/>
          <w:highlight w:val="none"/>
          <w:lang w:eastAsia="zh-CN"/>
          <w14:textFill>
            <w14:solidFill>
              <w14:schemeClr w14:val="tx1"/>
            </w14:solidFill>
          </w14:textFill>
        </w:rPr>
        <w:t>及</w:t>
      </w:r>
      <w:r>
        <w:rPr>
          <w:rFonts w:hint="eastAsia" w:ascii="宋体" w:hAnsi="宋体" w:cs="宋体"/>
          <w:b w:val="0"/>
          <w:bCs/>
          <w:color w:val="000000" w:themeColor="text1"/>
          <w:kern w:val="0"/>
          <w:sz w:val="24"/>
          <w:szCs w:val="24"/>
          <w:highlight w:val="none"/>
          <w14:textFill>
            <w14:solidFill>
              <w14:schemeClr w14:val="tx1"/>
            </w14:solidFill>
          </w14:textFill>
        </w:rPr>
        <w:t>图纸</w:t>
      </w:r>
      <w:r>
        <w:rPr>
          <w:rFonts w:hint="eastAsia" w:ascii="宋体" w:hAnsi="宋体" w:cs="宋体"/>
          <w:b w:val="0"/>
          <w:bCs/>
          <w:color w:val="000000" w:themeColor="text1"/>
          <w:kern w:val="0"/>
          <w:sz w:val="24"/>
          <w:szCs w:val="24"/>
          <w:highlight w:val="none"/>
          <w:lang w:eastAsia="zh-CN"/>
          <w14:textFill>
            <w14:solidFill>
              <w14:schemeClr w14:val="tx1"/>
            </w14:solidFill>
          </w14:textFill>
        </w:rPr>
        <w:t>应</w:t>
      </w:r>
      <w:r>
        <w:rPr>
          <w:rFonts w:hint="eastAsia" w:ascii="宋体" w:hAnsi="宋体" w:cs="宋体"/>
          <w:b w:val="0"/>
          <w:bCs/>
          <w:color w:val="000000" w:themeColor="text1"/>
          <w:kern w:val="0"/>
          <w:sz w:val="24"/>
          <w:szCs w:val="24"/>
          <w:highlight w:val="none"/>
          <w14:textFill>
            <w14:solidFill>
              <w14:schemeClr w14:val="tx1"/>
            </w14:solidFill>
          </w14:textFill>
        </w:rPr>
        <w:t>清晰,设计</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深度</w:t>
      </w:r>
      <w:r>
        <w:rPr>
          <w:rFonts w:hint="eastAsia" w:ascii="宋体" w:hAnsi="宋体" w:cs="宋体"/>
          <w:b w:val="0"/>
          <w:bCs/>
          <w:color w:val="000000" w:themeColor="text1"/>
          <w:kern w:val="0"/>
          <w:sz w:val="24"/>
          <w:szCs w:val="24"/>
          <w:highlight w:val="none"/>
          <w14:textFill>
            <w14:solidFill>
              <w14:schemeClr w14:val="tx1"/>
            </w14:solidFill>
          </w14:textFill>
        </w:rPr>
        <w:t>应符合政府部门及中心现行的有关规定。初步设计与</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初步设计</w:t>
      </w:r>
      <w:r>
        <w:rPr>
          <w:rFonts w:hint="eastAsia" w:ascii="宋体" w:hAnsi="宋体" w:cs="宋体"/>
          <w:b w:val="0"/>
          <w:bCs/>
          <w:color w:val="000000" w:themeColor="text1"/>
          <w:kern w:val="0"/>
          <w:sz w:val="24"/>
          <w:szCs w:val="24"/>
          <w:highlight w:val="none"/>
          <w14:textFill>
            <w14:solidFill>
              <w14:schemeClr w14:val="tx1"/>
            </w14:solidFill>
          </w14:textFill>
        </w:rPr>
        <w:t>概算</w:t>
      </w:r>
      <w:r>
        <w:rPr>
          <w:rFonts w:hint="eastAsia" w:ascii="宋体" w:hAnsi="宋体" w:cs="宋体"/>
          <w:b w:val="0"/>
          <w:bCs/>
          <w:color w:val="000000" w:themeColor="text1"/>
          <w:kern w:val="0"/>
          <w:sz w:val="24"/>
          <w:szCs w:val="24"/>
          <w:highlight w:val="none"/>
          <w:lang w:eastAsia="zh-CN"/>
          <w14:textFill>
            <w14:solidFill>
              <w14:schemeClr w14:val="tx1"/>
            </w14:solidFill>
          </w14:textFill>
        </w:rPr>
        <w:t>（</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含技术需求书）</w:t>
      </w:r>
      <w:r>
        <w:rPr>
          <w:rFonts w:hint="eastAsia" w:ascii="宋体" w:hAnsi="宋体" w:cs="宋体"/>
          <w:b w:val="0"/>
          <w:bCs/>
          <w:color w:val="000000" w:themeColor="text1"/>
          <w:kern w:val="0"/>
          <w:sz w:val="24"/>
          <w:szCs w:val="24"/>
          <w:highlight w:val="none"/>
          <w:lang w:eastAsia="zh-CN"/>
          <w14:textFill>
            <w14:solidFill>
              <w14:schemeClr w14:val="tx1"/>
            </w14:solidFill>
          </w14:textFill>
        </w:rPr>
        <w:t>，</w:t>
      </w:r>
      <w:r>
        <w:rPr>
          <w:rFonts w:hint="eastAsia" w:ascii="宋体" w:hAnsi="宋体" w:cs="宋体"/>
          <w:b w:val="0"/>
          <w:bCs/>
          <w:color w:val="000000" w:themeColor="text1"/>
          <w:kern w:val="0"/>
          <w:sz w:val="24"/>
          <w:szCs w:val="24"/>
          <w:highlight w:val="none"/>
          <w14:textFill>
            <w14:solidFill>
              <w14:schemeClr w14:val="tx1"/>
            </w14:solidFill>
          </w14:textFill>
        </w:rPr>
        <w:t>施工图设计（含技术需求书）与</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施工图</w:t>
      </w:r>
      <w:r>
        <w:rPr>
          <w:rFonts w:hint="eastAsia" w:ascii="宋体" w:hAnsi="宋体" w:cs="宋体"/>
          <w:b w:val="0"/>
          <w:bCs/>
          <w:color w:val="000000" w:themeColor="text1"/>
          <w:kern w:val="0"/>
          <w:sz w:val="24"/>
          <w:szCs w:val="24"/>
          <w:highlight w:val="none"/>
          <w14:textFill>
            <w14:solidFill>
              <w14:schemeClr w14:val="tx1"/>
            </w14:solidFill>
          </w14:textFill>
        </w:rPr>
        <w:t>预算要同步完成、同步提交。</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乙方应编制符合要求的设计方案报批文件，配合建设管理单位办理报批工作；编制修建性详细规划报建所需设计成果文件，直至取得相关主管审批部门的审批确认。施工图纸、设计变更要同步提交、同步上传至广州市工程图纸全过程管理系统。质量要求包括但不限于以下方面：</w:t>
      </w:r>
    </w:p>
    <w:p w14:paraId="46A10B41">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10.1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53123A04">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10.2乙方的设计成果文件应满足现行有效的《建筑工程设计文件编制深度规定》、《市政公用工程设计文件编制深度规定》、其他设计文件编制深度要求及本项目基础资料和勘察设计任务书中的相关要求，并按照专家评审意见和甲方要求对设计进行深化、优化。乙方对本合同范围内的勘察、设计成果文件达到合同约定的相应设计深度负总体责任。</w:t>
      </w:r>
    </w:p>
    <w:p w14:paraId="40664537">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10.3乙方在设计过程中应考虑工程实施的可操作性，对工序方案提出相应的技术要求，应明确提出关键工序的工艺要求、质量控制要求及安全技术措施方案。</w:t>
      </w:r>
    </w:p>
    <w:p w14:paraId="6A208719">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10.4勘察、设计成果文件的计量单位均应采用国际标准计量单位。</w:t>
      </w:r>
    </w:p>
    <w:p w14:paraId="07F14738">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10.5设计图纸必须按照国家对工程图纸规格的规定绘制，保持同类图纸规格统一。</w:t>
      </w:r>
    </w:p>
    <w:p w14:paraId="665D4F88">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10.6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7D60B6D8">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10.7乙方应提供国际权威机构或国内有关部门对新材料及特殊结构的试验报告，并提供相应新材料及特殊结构在工程中应用的经验供甲方参考。</w:t>
      </w:r>
    </w:p>
    <w:p w14:paraId="10470165">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b/>
          <w:color w:val="000000" w:themeColor="text1"/>
          <w:kern w:val="0"/>
          <w:sz w:val="24"/>
          <w:szCs w:val="24"/>
          <w:highlight w:val="none"/>
          <w:lang w:val="en-US" w:eastAsia="zh-CN"/>
          <w14:textFill>
            <w14:solidFill>
              <w14:schemeClr w14:val="tx1"/>
            </w14:solidFill>
          </w14:textFill>
        </w:rPr>
        <w:t>8规划设计质量要求</w:t>
      </w:r>
    </w:p>
    <w:p w14:paraId="6D1FAB2E">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根据</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建设用地规划条件</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等相关规定</w:t>
      </w:r>
      <w:r>
        <w:rPr>
          <w:rFonts w:hint="eastAsia" w:ascii="宋体" w:hAnsi="宋体" w:cs="宋体"/>
          <w:color w:val="000000" w:themeColor="text1"/>
          <w:kern w:val="0"/>
          <w:sz w:val="24"/>
          <w:szCs w:val="24"/>
          <w:highlight w:val="none"/>
          <w14:textFill>
            <w14:solidFill>
              <w14:schemeClr w14:val="tx1"/>
            </w14:solidFill>
          </w14:textFill>
        </w:rPr>
        <w:t>开展设计，提高</w:t>
      </w:r>
      <w:r>
        <w:rPr>
          <w:rFonts w:hint="eastAsia" w:ascii="宋体" w:hAnsi="宋体" w:cs="宋体"/>
          <w:color w:val="000000" w:themeColor="text1"/>
          <w:kern w:val="0"/>
          <w:sz w:val="24"/>
          <w:szCs w:val="24"/>
          <w:highlight w:val="none"/>
          <w:lang w:val="en-US" w:eastAsia="zh-CN"/>
          <w14:textFill>
            <w14:solidFill>
              <w14:schemeClr w14:val="tx1"/>
            </w14:solidFill>
          </w14:textFill>
        </w:rPr>
        <w:t>设计</w:t>
      </w:r>
      <w:r>
        <w:rPr>
          <w:rFonts w:hint="eastAsia" w:ascii="宋体" w:hAnsi="宋体" w:cs="宋体"/>
          <w:color w:val="000000" w:themeColor="text1"/>
          <w:kern w:val="0"/>
          <w:sz w:val="24"/>
          <w:szCs w:val="24"/>
          <w:highlight w:val="none"/>
          <w14:textFill>
            <w14:solidFill>
              <w14:schemeClr w14:val="tx1"/>
            </w14:solidFill>
          </w14:textFill>
        </w:rPr>
        <w:t>的科学性和前瞻性，提升</w:t>
      </w:r>
      <w:r>
        <w:rPr>
          <w:rFonts w:hint="eastAsia" w:ascii="宋体" w:hAnsi="宋体" w:cs="宋体"/>
          <w:color w:val="000000" w:themeColor="text1"/>
          <w:kern w:val="0"/>
          <w:sz w:val="24"/>
          <w:szCs w:val="24"/>
          <w:highlight w:val="none"/>
          <w:lang w:val="en-US" w:eastAsia="zh-CN"/>
          <w14:textFill>
            <w14:solidFill>
              <w14:schemeClr w14:val="tx1"/>
            </w14:solidFill>
          </w14:textFill>
        </w:rPr>
        <w:t>建筑</w:t>
      </w:r>
      <w:r>
        <w:rPr>
          <w:rFonts w:hint="eastAsia" w:ascii="宋体" w:hAnsi="宋体" w:cs="宋体"/>
          <w:color w:val="000000" w:themeColor="text1"/>
          <w:kern w:val="0"/>
          <w:sz w:val="24"/>
          <w:szCs w:val="24"/>
          <w:highlight w:val="none"/>
          <w14:textFill>
            <w14:solidFill>
              <w14:schemeClr w14:val="tx1"/>
            </w14:solidFill>
          </w14:textFill>
        </w:rPr>
        <w:t>空间立体、平面协调、风貌整体和文脉延续</w:t>
      </w:r>
      <w:r>
        <w:rPr>
          <w:rFonts w:hint="eastAsia" w:ascii="宋体" w:hAnsi="宋体" w:cs="宋体"/>
          <w:color w:val="000000" w:themeColor="text1"/>
          <w:kern w:val="0"/>
          <w:sz w:val="24"/>
          <w:szCs w:val="24"/>
          <w:highlight w:val="none"/>
          <w:lang w:val="en-US" w:eastAsia="zh-CN"/>
          <w14:textFill>
            <w14:solidFill>
              <w14:schemeClr w14:val="tx1"/>
            </w14:solidFill>
          </w14:textFill>
        </w:rPr>
        <w:t>的整体风格</w:t>
      </w:r>
      <w:r>
        <w:rPr>
          <w:rFonts w:hint="eastAsia" w:ascii="宋体" w:hAnsi="宋体" w:cs="宋体"/>
          <w:color w:val="000000" w:themeColor="text1"/>
          <w:kern w:val="0"/>
          <w:sz w:val="24"/>
          <w:szCs w:val="24"/>
          <w:highlight w:val="none"/>
          <w14:textFill>
            <w14:solidFill>
              <w14:schemeClr w14:val="tx1"/>
            </w14:solidFill>
          </w14:textFill>
        </w:rPr>
        <w:t>。</w:t>
      </w:r>
    </w:p>
    <w:p w14:paraId="06AD6A10">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按照停车配建指标</w:t>
      </w:r>
      <w:r>
        <w:rPr>
          <w:rFonts w:hint="eastAsia" w:ascii="宋体" w:hAnsi="宋体" w:cs="宋体"/>
          <w:color w:val="000000" w:themeColor="text1"/>
          <w:kern w:val="0"/>
          <w:sz w:val="24"/>
          <w:szCs w:val="24"/>
          <w:highlight w:val="none"/>
          <w:lang w:val="en-US" w:eastAsia="zh-CN"/>
          <w14:textFill>
            <w14:solidFill>
              <w14:schemeClr w14:val="tx1"/>
            </w14:solidFill>
          </w14:textFill>
        </w:rPr>
        <w:t>相关</w:t>
      </w:r>
      <w:r>
        <w:rPr>
          <w:rFonts w:hint="eastAsia" w:ascii="宋体" w:hAnsi="宋体" w:cs="宋体"/>
          <w:color w:val="000000" w:themeColor="text1"/>
          <w:kern w:val="0"/>
          <w:sz w:val="24"/>
          <w:szCs w:val="24"/>
          <w:highlight w:val="none"/>
          <w14:textFill>
            <w14:solidFill>
              <w14:schemeClr w14:val="tx1"/>
            </w14:solidFill>
          </w14:textFill>
        </w:rPr>
        <w:t>规定</w:t>
      </w:r>
      <w:r>
        <w:rPr>
          <w:rFonts w:hint="eastAsia" w:ascii="宋体" w:hAnsi="宋体" w:cs="宋体"/>
          <w:color w:val="000000" w:themeColor="text1"/>
          <w:kern w:val="0"/>
          <w:sz w:val="24"/>
          <w:szCs w:val="24"/>
          <w:highlight w:val="none"/>
          <w:lang w:val="en-US" w:eastAsia="zh-CN"/>
          <w14:textFill>
            <w14:solidFill>
              <w14:schemeClr w14:val="tx1"/>
            </w14:solidFill>
          </w14:textFill>
        </w:rPr>
        <w:t>进行</w:t>
      </w:r>
      <w:r>
        <w:rPr>
          <w:rFonts w:hint="eastAsia" w:ascii="宋体" w:hAnsi="宋体" w:cs="宋体"/>
          <w:color w:val="000000" w:themeColor="text1"/>
          <w:kern w:val="0"/>
          <w:sz w:val="24"/>
          <w:szCs w:val="24"/>
          <w:highlight w:val="none"/>
          <w14:textFill>
            <w14:solidFill>
              <w14:schemeClr w14:val="tx1"/>
            </w14:solidFill>
          </w14:textFill>
        </w:rPr>
        <w:t>停车配建</w:t>
      </w:r>
      <w:r>
        <w:rPr>
          <w:rFonts w:hint="eastAsia" w:ascii="宋体" w:hAnsi="宋体" w:cs="宋体"/>
          <w:color w:val="000000" w:themeColor="text1"/>
          <w:kern w:val="0"/>
          <w:sz w:val="24"/>
          <w:szCs w:val="24"/>
          <w:highlight w:val="none"/>
          <w:lang w:val="en-US" w:eastAsia="zh-CN"/>
          <w14:textFill>
            <w14:solidFill>
              <w14:schemeClr w14:val="tx1"/>
            </w14:solidFill>
          </w14:textFill>
        </w:rPr>
        <w:t>设计</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若</w:t>
      </w:r>
      <w:r>
        <w:rPr>
          <w:rFonts w:hint="eastAsia" w:ascii="宋体" w:hAnsi="宋体" w:cs="宋体"/>
          <w:color w:val="000000" w:themeColor="text1"/>
          <w:kern w:val="0"/>
          <w:sz w:val="24"/>
          <w:szCs w:val="24"/>
          <w:highlight w:val="none"/>
          <w14:textFill>
            <w14:solidFill>
              <w14:schemeClr w14:val="tx1"/>
            </w14:solidFill>
          </w14:textFill>
        </w:rPr>
        <w:t>不满足停车配建指标规定的</w:t>
      </w:r>
      <w:r>
        <w:rPr>
          <w:rFonts w:hint="eastAsia" w:ascii="宋体" w:hAnsi="宋体" w:cs="宋体"/>
          <w:color w:val="000000" w:themeColor="text1"/>
          <w:kern w:val="0"/>
          <w:sz w:val="24"/>
          <w:szCs w:val="24"/>
          <w:highlight w:val="none"/>
          <w:lang w:val="en-US" w:eastAsia="zh-CN"/>
          <w14:textFill>
            <w14:solidFill>
              <w14:schemeClr w14:val="tx1"/>
            </w14:solidFill>
          </w14:textFill>
        </w:rPr>
        <w:t>情形</w:t>
      </w:r>
      <w:r>
        <w:rPr>
          <w:rFonts w:hint="eastAsia" w:ascii="宋体" w:hAnsi="宋体" w:cs="宋体"/>
          <w:color w:val="000000" w:themeColor="text1"/>
          <w:kern w:val="0"/>
          <w:sz w:val="24"/>
          <w:szCs w:val="24"/>
          <w:highlight w:val="none"/>
          <w14:textFill>
            <w14:solidFill>
              <w14:schemeClr w14:val="tx1"/>
            </w14:solidFill>
          </w14:textFill>
        </w:rPr>
        <w:t>，应提出</w:t>
      </w:r>
      <w:r>
        <w:rPr>
          <w:rFonts w:hint="eastAsia" w:ascii="宋体" w:hAnsi="宋体" w:cs="宋体"/>
          <w:color w:val="000000" w:themeColor="text1"/>
          <w:kern w:val="0"/>
          <w:sz w:val="24"/>
          <w:szCs w:val="24"/>
          <w:highlight w:val="none"/>
          <w:lang w:val="en-US" w:eastAsia="zh-CN"/>
          <w14:textFill>
            <w14:solidFill>
              <w14:schemeClr w14:val="tx1"/>
            </w14:solidFill>
          </w14:textFill>
        </w:rPr>
        <w:t>解决</w:t>
      </w:r>
      <w:r>
        <w:rPr>
          <w:rFonts w:hint="eastAsia" w:ascii="宋体" w:hAnsi="宋体" w:cs="宋体"/>
          <w:color w:val="000000" w:themeColor="text1"/>
          <w:kern w:val="0"/>
          <w:sz w:val="24"/>
          <w:szCs w:val="24"/>
          <w:highlight w:val="none"/>
          <w14:textFill>
            <w14:solidFill>
              <w14:schemeClr w14:val="tx1"/>
            </w14:solidFill>
          </w14:textFill>
        </w:rPr>
        <w:t>处理方案。</w:t>
      </w:r>
    </w:p>
    <w:p w14:paraId="2E7F4BB1">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lang w:eastAsia="zh-CN"/>
          <w14:textFill>
            <w14:solidFill>
              <w14:schemeClr w14:val="tx1"/>
            </w14:solidFill>
          </w14:textFill>
        </w:rPr>
        <w:t>设计方</w:t>
      </w:r>
      <w:r>
        <w:rPr>
          <w:rFonts w:hint="eastAsia" w:ascii="宋体" w:hAnsi="宋体" w:cs="宋体"/>
          <w:color w:val="000000" w:themeColor="text1"/>
          <w:kern w:val="0"/>
          <w:sz w:val="24"/>
          <w:szCs w:val="24"/>
          <w:highlight w:val="none"/>
          <w14:textFill>
            <w14:solidFill>
              <w14:schemeClr w14:val="tx1"/>
            </w14:solidFill>
          </w14:textFill>
        </w:rPr>
        <w:t>案应满足广州市政府联审决策建设方案</w:t>
      </w:r>
      <w:r>
        <w:rPr>
          <w:rFonts w:hint="eastAsia" w:ascii="宋体" w:hAnsi="宋体" w:cs="宋体"/>
          <w:color w:val="000000" w:themeColor="text1"/>
          <w:kern w:val="0"/>
          <w:sz w:val="24"/>
          <w:szCs w:val="24"/>
          <w:highlight w:val="none"/>
          <w:lang w:val="en-US" w:eastAsia="zh-CN"/>
          <w14:textFill>
            <w14:solidFill>
              <w14:schemeClr w14:val="tx1"/>
            </w14:solidFill>
          </w14:textFill>
        </w:rPr>
        <w:t>的</w:t>
      </w:r>
      <w:r>
        <w:rPr>
          <w:rFonts w:hint="eastAsia" w:ascii="宋体" w:hAnsi="宋体" w:cs="宋体"/>
          <w:color w:val="000000" w:themeColor="text1"/>
          <w:kern w:val="0"/>
          <w:sz w:val="24"/>
          <w:szCs w:val="24"/>
          <w:highlight w:val="none"/>
          <w14:textFill>
            <w14:solidFill>
              <w14:schemeClr w14:val="tx1"/>
            </w14:solidFill>
          </w14:textFill>
        </w:rPr>
        <w:t>要求，在建设方案中</w:t>
      </w:r>
      <w:r>
        <w:rPr>
          <w:rFonts w:hint="eastAsia" w:ascii="宋体" w:hAnsi="宋体" w:cs="宋体"/>
          <w:color w:val="000000" w:themeColor="text1"/>
          <w:kern w:val="0"/>
          <w:sz w:val="24"/>
          <w:szCs w:val="24"/>
          <w:highlight w:val="none"/>
          <w:lang w:val="en-US" w:eastAsia="zh-CN"/>
          <w14:textFill>
            <w14:solidFill>
              <w14:schemeClr w14:val="tx1"/>
            </w14:solidFill>
          </w14:textFill>
        </w:rPr>
        <w:t>包含</w:t>
      </w:r>
      <w:r>
        <w:rPr>
          <w:rFonts w:hint="eastAsia" w:ascii="宋体" w:hAnsi="宋体" w:cs="宋体"/>
          <w:color w:val="000000" w:themeColor="text1"/>
          <w:kern w:val="0"/>
          <w:sz w:val="24"/>
          <w:szCs w:val="24"/>
          <w:highlight w:val="none"/>
          <w14:textFill>
            <w14:solidFill>
              <w14:schemeClr w14:val="tx1"/>
            </w14:solidFill>
          </w14:textFill>
        </w:rPr>
        <w:t>“古树名木及大树保护、历史文化风貌保护、防范大规模拆建”等专篇内容，</w:t>
      </w:r>
      <w:r>
        <w:rPr>
          <w:rFonts w:hint="eastAsia" w:ascii="宋体" w:hAnsi="宋体" w:cs="宋体"/>
          <w:color w:val="000000" w:themeColor="text1"/>
          <w:kern w:val="0"/>
          <w:sz w:val="24"/>
          <w:szCs w:val="24"/>
          <w:highlight w:val="none"/>
          <w:lang w:val="en-US" w:eastAsia="zh-CN"/>
          <w14:textFill>
            <w14:solidFill>
              <w14:schemeClr w14:val="tx1"/>
            </w14:solidFill>
          </w14:textFill>
        </w:rPr>
        <w:t>开展</w:t>
      </w:r>
      <w:r>
        <w:rPr>
          <w:rFonts w:hint="eastAsia" w:ascii="宋体" w:hAnsi="宋体" w:cs="宋体"/>
          <w:color w:val="000000" w:themeColor="text1"/>
          <w:kern w:val="0"/>
          <w:sz w:val="24"/>
          <w:szCs w:val="24"/>
          <w:highlight w:val="none"/>
          <w14:textFill>
            <w14:solidFill>
              <w14:schemeClr w14:val="tx1"/>
            </w14:solidFill>
          </w14:textFill>
        </w:rPr>
        <w:t>方案</w:t>
      </w:r>
      <w:r>
        <w:rPr>
          <w:rFonts w:hint="eastAsia" w:ascii="宋体" w:hAnsi="宋体" w:cs="宋体"/>
          <w:color w:val="000000" w:themeColor="text1"/>
          <w:kern w:val="0"/>
          <w:sz w:val="24"/>
          <w:szCs w:val="24"/>
          <w:highlight w:val="none"/>
          <w:lang w:val="en-US" w:eastAsia="zh-CN"/>
          <w14:textFill>
            <w14:solidFill>
              <w14:schemeClr w14:val="tx1"/>
            </w14:solidFill>
          </w14:textFill>
        </w:rPr>
        <w:t>的</w:t>
      </w:r>
      <w:r>
        <w:rPr>
          <w:rFonts w:hint="eastAsia" w:ascii="宋体" w:hAnsi="宋体" w:cs="宋体"/>
          <w:color w:val="000000" w:themeColor="text1"/>
          <w:kern w:val="0"/>
          <w:sz w:val="24"/>
          <w:szCs w:val="24"/>
          <w:highlight w:val="none"/>
          <w14:textFill>
            <w14:solidFill>
              <w14:schemeClr w14:val="tx1"/>
            </w14:solidFill>
          </w14:textFill>
        </w:rPr>
        <w:t>比选及论证</w:t>
      </w:r>
      <w:r>
        <w:rPr>
          <w:rFonts w:hint="eastAsia" w:ascii="宋体" w:hAnsi="宋体" w:cs="宋体"/>
          <w:color w:val="000000" w:themeColor="text1"/>
          <w:kern w:val="0"/>
          <w:sz w:val="24"/>
          <w:szCs w:val="24"/>
          <w:highlight w:val="none"/>
          <w:lang w:val="en-US" w:eastAsia="zh-CN"/>
          <w14:textFill>
            <w14:solidFill>
              <w14:schemeClr w14:val="tx1"/>
            </w14:solidFill>
          </w14:textFill>
        </w:rPr>
        <w:t>工作</w:t>
      </w:r>
      <w:r>
        <w:rPr>
          <w:rFonts w:hint="eastAsia" w:ascii="宋体" w:hAnsi="宋体" w:cs="宋体"/>
          <w:color w:val="000000" w:themeColor="text1"/>
          <w:kern w:val="0"/>
          <w:sz w:val="24"/>
          <w:szCs w:val="24"/>
          <w:highlight w:val="none"/>
          <w14:textFill>
            <w14:solidFill>
              <w14:schemeClr w14:val="tx1"/>
            </w14:solidFill>
          </w14:textFill>
        </w:rPr>
        <w:t>，确保</w:t>
      </w:r>
      <w:r>
        <w:rPr>
          <w:rFonts w:hint="eastAsia" w:ascii="宋体" w:hAnsi="宋体" w:cs="宋体"/>
          <w:color w:val="000000" w:themeColor="text1"/>
          <w:kern w:val="0"/>
          <w:sz w:val="24"/>
          <w:szCs w:val="24"/>
          <w:highlight w:val="none"/>
          <w:lang w:val="en-US" w:eastAsia="zh-CN"/>
          <w14:textFill>
            <w14:solidFill>
              <w14:schemeClr w14:val="tx1"/>
            </w14:solidFill>
          </w14:textFill>
        </w:rPr>
        <w:t>设计</w:t>
      </w:r>
      <w:r>
        <w:rPr>
          <w:rFonts w:hint="eastAsia" w:ascii="宋体" w:hAnsi="宋体" w:cs="宋体"/>
          <w:color w:val="000000" w:themeColor="text1"/>
          <w:kern w:val="0"/>
          <w:sz w:val="24"/>
          <w:szCs w:val="24"/>
          <w:highlight w:val="none"/>
          <w14:textFill>
            <w14:solidFill>
              <w14:schemeClr w14:val="tx1"/>
            </w14:solidFill>
          </w14:textFill>
        </w:rPr>
        <w:t>方案科学、合理、合规。</w:t>
      </w:r>
    </w:p>
    <w:p w14:paraId="2A16BB85">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4）设计方案应满足规划、消防等相关部门的要求，编制规划报建相关设计成果文件，配合办理报批报建工作。</w:t>
      </w:r>
    </w:p>
    <w:p w14:paraId="761F317C">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b/>
          <w:color w:val="000000" w:themeColor="text1"/>
          <w:kern w:val="0"/>
          <w:sz w:val="24"/>
          <w:szCs w:val="24"/>
          <w:highlight w:val="none"/>
          <w:lang w:val="en-US" w:eastAsia="zh-CN"/>
          <w14:textFill>
            <w14:solidFill>
              <w14:schemeClr w14:val="tx1"/>
            </w14:solidFill>
          </w14:textFill>
        </w:rPr>
        <w:t>9建筑与室内装修设计质量要求</w:t>
      </w:r>
    </w:p>
    <w:p w14:paraId="3F90FF73">
      <w:pPr>
        <w:adjustRightInd w:val="0"/>
        <w:snapToGrid w:val="0"/>
        <w:spacing w:line="360" w:lineRule="auto"/>
        <w:ind w:firstLine="480" w:firstLineChars="200"/>
        <w:outlineLvl w:val="3"/>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1）按照绿色建筑相关要求开展绿色建筑设计，通过合理、科学的建筑设计方案，降低建筑的使用与维护能耗水平，采用先进的生态环保技术，体现绿色建筑的宗旨。</w:t>
      </w:r>
    </w:p>
    <w:p w14:paraId="5656EF3D">
      <w:pPr>
        <w:adjustRightInd w:val="0"/>
        <w:snapToGrid w:val="0"/>
        <w:spacing w:line="360" w:lineRule="auto"/>
        <w:ind w:firstLine="480" w:firstLineChars="200"/>
        <w:outlineLvl w:val="3"/>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2）在造价可控前提下，建筑方案、外立面（含幕墙）方案、室内装修方案、景观设计方案、标识设计方案应相互协调一致，体现美观、大方、经济、实用原则，并与周边的城市景观环境协相互协调。</w:t>
      </w:r>
    </w:p>
    <w:p w14:paraId="561FC3FD">
      <w:pPr>
        <w:adjustRightInd w:val="0"/>
        <w:snapToGrid w:val="0"/>
        <w:spacing w:line="360" w:lineRule="auto"/>
        <w:ind w:firstLine="480" w:firstLineChars="200"/>
        <w:outlineLvl w:val="3"/>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3）在考虑运营成本、维护便利性的前提下，设计方案应在前瞻性和经济性之间取得平衡。</w:t>
      </w:r>
    </w:p>
    <w:p w14:paraId="17DFA01E">
      <w:pPr>
        <w:adjustRightInd w:val="0"/>
        <w:snapToGrid w:val="0"/>
        <w:spacing w:line="360" w:lineRule="auto"/>
        <w:ind w:firstLine="480"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4）对重要的建筑节点、装修材料提供设计标准要求，指导样板施工；对重要部位影响外观效果的装饰装修材料，配合提供实物样板。</w:t>
      </w:r>
    </w:p>
    <w:p w14:paraId="69DB8235">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b/>
          <w:color w:val="000000" w:themeColor="text1"/>
          <w:kern w:val="0"/>
          <w:sz w:val="24"/>
          <w:szCs w:val="24"/>
          <w:highlight w:val="none"/>
          <w:lang w:val="en-US" w:eastAsia="zh-CN"/>
          <w14:textFill>
            <w14:solidFill>
              <w14:schemeClr w14:val="tx1"/>
            </w14:solidFill>
          </w14:textFill>
        </w:rPr>
        <w:t>10结构设计质量要求</w:t>
      </w:r>
    </w:p>
    <w:p w14:paraId="26B60F24">
      <w:pPr>
        <w:adjustRightInd w:val="0"/>
        <w:snapToGrid w:val="0"/>
        <w:spacing w:line="360" w:lineRule="auto"/>
        <w:ind w:firstLine="480" w:firstLineChars="200"/>
        <w:outlineLvl w:val="3"/>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1)乙方应开展建筑体、基坑支护、幕墙结构、室内外装修、室外建构筑物的结构设计与结构验算。</w:t>
      </w:r>
      <w:bookmarkStart w:id="142" w:name="_Toc452973721"/>
    </w:p>
    <w:p w14:paraId="0C0B0541">
      <w:pPr>
        <w:adjustRightInd w:val="0"/>
        <w:snapToGrid w:val="0"/>
        <w:spacing w:line="360" w:lineRule="auto"/>
        <w:ind w:firstLine="480" w:firstLineChars="200"/>
        <w:outlineLvl w:val="3"/>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2)对结构体系、楼盖体系、基础形式、溶洞等不良地质处理、基坑设计等概念方案进行经济技术比选，明确设计原则及做法。</w:t>
      </w:r>
    </w:p>
    <w:bookmarkEnd w:id="142"/>
    <w:p w14:paraId="34585E5F">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b/>
          <w:color w:val="000000" w:themeColor="text1"/>
          <w:kern w:val="0"/>
          <w:sz w:val="24"/>
          <w:szCs w:val="24"/>
          <w:highlight w:val="none"/>
          <w:lang w:val="en-US" w:eastAsia="zh-CN"/>
          <w14:textFill>
            <w14:solidFill>
              <w14:schemeClr w14:val="tx1"/>
            </w14:solidFill>
          </w14:textFill>
        </w:rPr>
        <w:t>11通风空调设计质量要求</w:t>
      </w:r>
    </w:p>
    <w:p w14:paraId="0AACC341">
      <w:pPr>
        <w:adjustRightInd w:val="0"/>
        <w:snapToGrid w:val="0"/>
        <w:spacing w:line="360" w:lineRule="auto"/>
        <w:ind w:firstLine="480" w:firstLineChars="200"/>
        <w:outlineLvl w:val="3"/>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通风空调系统选型方式须根据项目投资、使用特点等进行比选分析。</w:t>
      </w:r>
    </w:p>
    <w:p w14:paraId="50D92F8E">
      <w:pPr>
        <w:adjustRightInd w:val="0"/>
        <w:snapToGrid w:val="0"/>
        <w:spacing w:line="360" w:lineRule="auto"/>
        <w:ind w:firstLine="482"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b/>
          <w:color w:val="000000" w:themeColor="text1"/>
          <w:kern w:val="0"/>
          <w:sz w:val="24"/>
          <w:szCs w:val="24"/>
          <w:highlight w:val="none"/>
          <w:lang w:val="en-US" w:eastAsia="zh-CN"/>
          <w14:textFill>
            <w14:solidFill>
              <w14:schemeClr w14:val="tx1"/>
            </w14:solidFill>
          </w14:textFill>
        </w:rPr>
        <w:t>12给排水设计质量要求</w:t>
      </w:r>
      <w:r>
        <w:rPr>
          <w:rFonts w:hint="eastAsia" w:ascii="宋体" w:hAnsi="宋体" w:cs="宋体"/>
          <w:color w:val="000000" w:themeColor="text1"/>
          <w:kern w:val="0"/>
          <w:sz w:val="24"/>
          <w:szCs w:val="24"/>
          <w:highlight w:val="none"/>
          <w14:textFill>
            <w14:solidFill>
              <w14:schemeClr w14:val="tx1"/>
            </w14:solidFill>
          </w14:textFill>
        </w:rPr>
        <w:t>。</w:t>
      </w:r>
    </w:p>
    <w:p w14:paraId="5AF654C3">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eastAsia="zh-CN"/>
          <w14:textFill>
            <w14:solidFill>
              <w14:schemeClr w14:val="tx1"/>
            </w14:solidFill>
          </w14:textFill>
        </w:rPr>
        <w:t>给排水系统应具有应对自然灾害、事故灾难、公共卫生事件和社会安全事件等突发事件的能力，且防洪、防涝标准不应低于所在区域设防的相应要求。</w:t>
      </w:r>
    </w:p>
    <w:p w14:paraId="487686FB">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lang w:eastAsia="zh-CN"/>
          <w14:textFill>
            <w14:solidFill>
              <w14:schemeClr w14:val="tx1"/>
            </w14:solidFill>
          </w14:textFill>
        </w:rPr>
        <w:t>给排水系统材料和设备</w:t>
      </w:r>
      <w:r>
        <w:rPr>
          <w:rFonts w:hint="eastAsia" w:ascii="宋体" w:hAnsi="宋体" w:cs="宋体"/>
          <w:color w:val="000000" w:themeColor="text1"/>
          <w:kern w:val="0"/>
          <w:sz w:val="24"/>
          <w:szCs w:val="24"/>
          <w:highlight w:val="none"/>
          <w:lang w:val="en-US" w:eastAsia="zh-CN"/>
          <w14:textFill>
            <w14:solidFill>
              <w14:schemeClr w14:val="tx1"/>
            </w14:solidFill>
          </w14:textFill>
        </w:rPr>
        <w:t>的</w:t>
      </w:r>
      <w:r>
        <w:rPr>
          <w:rFonts w:hint="eastAsia" w:ascii="宋体" w:hAnsi="宋体" w:cs="宋体"/>
          <w:color w:val="000000" w:themeColor="text1"/>
          <w:kern w:val="0"/>
          <w:sz w:val="24"/>
          <w:szCs w:val="24"/>
          <w:highlight w:val="none"/>
          <w:lang w:eastAsia="zh-CN"/>
          <w14:textFill>
            <w14:solidFill>
              <w14:schemeClr w14:val="tx1"/>
            </w14:solidFill>
          </w14:textFill>
        </w:rPr>
        <w:t>质量</w:t>
      </w:r>
      <w:r>
        <w:rPr>
          <w:rFonts w:hint="eastAsia" w:ascii="宋体" w:hAnsi="宋体" w:cs="宋体"/>
          <w:color w:val="000000" w:themeColor="text1"/>
          <w:kern w:val="0"/>
          <w:sz w:val="24"/>
          <w:szCs w:val="24"/>
          <w:highlight w:val="none"/>
          <w:lang w:val="en-US" w:eastAsia="zh-CN"/>
          <w14:textFill>
            <w14:solidFill>
              <w14:schemeClr w14:val="tx1"/>
            </w14:solidFill>
          </w14:textFill>
        </w:rPr>
        <w:t>应合格</w:t>
      </w:r>
      <w:r>
        <w:rPr>
          <w:rFonts w:hint="eastAsia" w:ascii="宋体" w:hAnsi="宋体" w:cs="宋体"/>
          <w:color w:val="000000" w:themeColor="text1"/>
          <w:kern w:val="0"/>
          <w:sz w:val="24"/>
          <w:szCs w:val="24"/>
          <w:highlight w:val="none"/>
          <w:lang w:eastAsia="zh-CN"/>
          <w14:textFill>
            <w14:solidFill>
              <w14:schemeClr w14:val="tx1"/>
            </w14:solidFill>
          </w14:textFill>
        </w:rPr>
        <w:t>，符合卫生安全规范</w:t>
      </w:r>
      <w:r>
        <w:rPr>
          <w:rFonts w:hint="eastAsia" w:ascii="宋体" w:hAnsi="宋体" w:cs="宋体"/>
          <w:color w:val="000000" w:themeColor="text1"/>
          <w:kern w:val="0"/>
          <w:sz w:val="24"/>
          <w:szCs w:val="24"/>
          <w:highlight w:val="none"/>
          <w:lang w:val="en-US" w:eastAsia="zh-CN"/>
          <w14:textFill>
            <w14:solidFill>
              <w14:schemeClr w14:val="tx1"/>
            </w14:solidFill>
          </w14:textFill>
        </w:rPr>
        <w:t>要求</w:t>
      </w:r>
      <w:r>
        <w:rPr>
          <w:rFonts w:hint="eastAsia" w:ascii="宋体" w:hAnsi="宋体" w:cs="宋体"/>
          <w:color w:val="000000" w:themeColor="text1"/>
          <w:kern w:val="0"/>
          <w:sz w:val="24"/>
          <w:szCs w:val="24"/>
          <w:highlight w:val="none"/>
          <w:lang w:eastAsia="zh-CN"/>
          <w14:textFill>
            <w14:solidFill>
              <w14:schemeClr w14:val="tx1"/>
            </w14:solidFill>
          </w14:textFill>
        </w:rPr>
        <w:t>，优先选用节水节能型产品，落实绿色设计理念。</w:t>
      </w:r>
    </w:p>
    <w:p w14:paraId="2A720EA5">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lang w:eastAsia="zh-CN"/>
          <w14:textFill>
            <w14:solidFill>
              <w14:schemeClr w14:val="tx1"/>
            </w14:solidFill>
          </w14:textFill>
        </w:rPr>
        <w:t>给水管材的选用</w:t>
      </w:r>
      <w:r>
        <w:rPr>
          <w:rFonts w:hint="eastAsia" w:ascii="宋体" w:hAnsi="宋体" w:cs="宋体"/>
          <w:color w:val="000000" w:themeColor="text1"/>
          <w:kern w:val="0"/>
          <w:sz w:val="24"/>
          <w:szCs w:val="24"/>
          <w:highlight w:val="none"/>
          <w:lang w:val="en-US" w:eastAsia="zh-CN"/>
          <w14:textFill>
            <w14:solidFill>
              <w14:schemeClr w14:val="tx1"/>
            </w14:solidFill>
          </w14:textFill>
        </w:rPr>
        <w:t>应结合</w:t>
      </w:r>
      <w:r>
        <w:rPr>
          <w:rFonts w:hint="eastAsia" w:ascii="宋体" w:hAnsi="宋体" w:cs="宋体"/>
          <w:color w:val="000000" w:themeColor="text1"/>
          <w:kern w:val="0"/>
          <w:sz w:val="24"/>
          <w:szCs w:val="24"/>
          <w:highlight w:val="none"/>
          <w:lang w:eastAsia="zh-CN"/>
          <w14:textFill>
            <w14:solidFill>
              <w14:schemeClr w14:val="tx1"/>
            </w14:solidFill>
          </w14:textFill>
        </w:rPr>
        <w:t>项目的现场条件、水质特征、使用需求，</w:t>
      </w:r>
      <w:r>
        <w:rPr>
          <w:rFonts w:hint="eastAsia" w:ascii="宋体" w:hAnsi="宋体" w:cs="宋体"/>
          <w:color w:val="000000" w:themeColor="text1"/>
          <w:kern w:val="0"/>
          <w:sz w:val="24"/>
          <w:szCs w:val="24"/>
          <w:highlight w:val="none"/>
          <w:lang w:val="en-US" w:eastAsia="zh-CN"/>
          <w14:textFill>
            <w14:solidFill>
              <w14:schemeClr w14:val="tx1"/>
            </w14:solidFill>
          </w14:textFill>
        </w:rPr>
        <w:t>在</w:t>
      </w:r>
      <w:r>
        <w:rPr>
          <w:rFonts w:hint="eastAsia" w:ascii="宋体" w:hAnsi="宋体" w:cs="宋体"/>
          <w:color w:val="000000" w:themeColor="text1"/>
          <w:kern w:val="0"/>
          <w:sz w:val="24"/>
          <w:szCs w:val="24"/>
          <w:highlight w:val="none"/>
          <w:lang w:eastAsia="zh-CN"/>
          <w14:textFill>
            <w14:solidFill>
              <w14:schemeClr w14:val="tx1"/>
            </w14:solidFill>
          </w14:textFill>
        </w:rPr>
        <w:t>限额设计要求</w:t>
      </w:r>
      <w:r>
        <w:rPr>
          <w:rFonts w:hint="eastAsia" w:ascii="宋体" w:hAnsi="宋体" w:cs="宋体"/>
          <w:color w:val="000000" w:themeColor="text1"/>
          <w:kern w:val="0"/>
          <w:sz w:val="24"/>
          <w:szCs w:val="24"/>
          <w:highlight w:val="none"/>
          <w:lang w:val="en-US" w:eastAsia="zh-CN"/>
          <w14:textFill>
            <w14:solidFill>
              <w14:schemeClr w14:val="tx1"/>
            </w14:solidFill>
          </w14:textFill>
        </w:rPr>
        <w:t>下</w:t>
      </w:r>
      <w:r>
        <w:rPr>
          <w:rFonts w:hint="eastAsia" w:ascii="宋体" w:hAnsi="宋体" w:cs="宋体"/>
          <w:color w:val="000000" w:themeColor="text1"/>
          <w:kern w:val="0"/>
          <w:sz w:val="24"/>
          <w:szCs w:val="24"/>
          <w:highlight w:val="none"/>
          <w:lang w:eastAsia="zh-CN"/>
          <w14:textFill>
            <w14:solidFill>
              <w14:schemeClr w14:val="tx1"/>
            </w14:solidFill>
          </w14:textFill>
        </w:rPr>
        <w:t>，选用性价比高、经济合理且耐用的给水管材。</w:t>
      </w:r>
    </w:p>
    <w:p w14:paraId="414D7091">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lang w:eastAsia="zh-CN"/>
          <w14:textFill>
            <w14:solidFill>
              <w14:schemeClr w14:val="tx1"/>
            </w14:solidFill>
          </w14:textFill>
        </w:rPr>
        <w:t>排水管材的选用</w:t>
      </w:r>
      <w:r>
        <w:rPr>
          <w:rFonts w:hint="eastAsia" w:ascii="宋体" w:hAnsi="宋体" w:cs="宋体"/>
          <w:color w:val="000000" w:themeColor="text1"/>
          <w:kern w:val="0"/>
          <w:sz w:val="24"/>
          <w:szCs w:val="24"/>
          <w:highlight w:val="none"/>
          <w:lang w:val="en-US" w:eastAsia="zh-CN"/>
          <w14:textFill>
            <w14:solidFill>
              <w14:schemeClr w14:val="tx1"/>
            </w14:solidFill>
          </w14:textFill>
        </w:rPr>
        <w:t>应</w:t>
      </w:r>
      <w:r>
        <w:rPr>
          <w:rFonts w:hint="eastAsia" w:ascii="宋体" w:hAnsi="宋体" w:cs="宋体"/>
          <w:color w:val="000000" w:themeColor="text1"/>
          <w:kern w:val="0"/>
          <w:sz w:val="24"/>
          <w:szCs w:val="24"/>
          <w:highlight w:val="none"/>
          <w:lang w:eastAsia="zh-CN"/>
          <w14:textFill>
            <w14:solidFill>
              <w14:schemeClr w14:val="tx1"/>
            </w14:solidFill>
          </w14:textFill>
        </w:rPr>
        <w:t>结合项目的排水性质，</w:t>
      </w:r>
      <w:r>
        <w:rPr>
          <w:rFonts w:hint="eastAsia" w:ascii="宋体" w:hAnsi="宋体" w:cs="宋体"/>
          <w:color w:val="000000" w:themeColor="text1"/>
          <w:kern w:val="0"/>
          <w:sz w:val="24"/>
          <w:szCs w:val="24"/>
          <w:highlight w:val="none"/>
          <w:lang w:val="en-US" w:eastAsia="zh-CN"/>
          <w14:textFill>
            <w14:solidFill>
              <w14:schemeClr w14:val="tx1"/>
            </w14:solidFill>
          </w14:textFill>
        </w:rPr>
        <w:t>按照</w:t>
      </w:r>
      <w:r>
        <w:rPr>
          <w:rFonts w:hint="eastAsia" w:ascii="宋体" w:hAnsi="宋体" w:cs="宋体"/>
          <w:color w:val="000000" w:themeColor="text1"/>
          <w:kern w:val="0"/>
          <w:sz w:val="24"/>
          <w:szCs w:val="24"/>
          <w:highlight w:val="none"/>
          <w:lang w:eastAsia="zh-CN"/>
          <w14:textFill>
            <w14:solidFill>
              <w14:schemeClr w14:val="tx1"/>
            </w14:solidFill>
          </w14:textFill>
        </w:rPr>
        <w:t>使用场景</w:t>
      </w:r>
      <w:r>
        <w:rPr>
          <w:rFonts w:hint="eastAsia" w:ascii="宋体" w:hAnsi="宋体" w:cs="宋体"/>
          <w:color w:val="000000" w:themeColor="text1"/>
          <w:kern w:val="0"/>
          <w:sz w:val="24"/>
          <w:szCs w:val="24"/>
          <w:highlight w:val="none"/>
          <w:lang w:val="en-US" w:eastAsia="zh-CN"/>
          <w14:textFill>
            <w14:solidFill>
              <w14:schemeClr w14:val="tx1"/>
            </w14:solidFill>
          </w14:textFill>
        </w:rPr>
        <w:t>选择</w:t>
      </w:r>
      <w:r>
        <w:rPr>
          <w:rFonts w:hint="eastAsia" w:ascii="宋体" w:hAnsi="宋体" w:cs="宋体"/>
          <w:color w:val="000000" w:themeColor="text1"/>
          <w:kern w:val="0"/>
          <w:sz w:val="24"/>
          <w:szCs w:val="24"/>
          <w:highlight w:val="none"/>
          <w:lang w:eastAsia="zh-CN"/>
          <w14:textFill>
            <w14:solidFill>
              <w14:schemeClr w14:val="tx1"/>
            </w14:solidFill>
          </w14:textFill>
        </w:rPr>
        <w:t>适宜的管材类型，具</w:t>
      </w:r>
      <w:r>
        <w:rPr>
          <w:rFonts w:hint="eastAsia" w:ascii="宋体" w:hAnsi="宋体" w:cs="宋体"/>
          <w:color w:val="000000" w:themeColor="text1"/>
          <w:kern w:val="0"/>
          <w:sz w:val="24"/>
          <w:szCs w:val="24"/>
          <w:highlight w:val="none"/>
          <w:lang w:val="en-US" w:eastAsia="zh-CN"/>
          <w14:textFill>
            <w14:solidFill>
              <w14:schemeClr w14:val="tx1"/>
            </w14:solidFill>
          </w14:textFill>
        </w:rPr>
        <w:t>有</w:t>
      </w:r>
      <w:r>
        <w:rPr>
          <w:rFonts w:hint="eastAsia" w:ascii="宋体" w:hAnsi="宋体" w:cs="宋体"/>
          <w:color w:val="000000" w:themeColor="text1"/>
          <w:kern w:val="0"/>
          <w:sz w:val="24"/>
          <w:szCs w:val="24"/>
          <w:highlight w:val="none"/>
          <w:lang w:eastAsia="zh-CN"/>
          <w14:textFill>
            <w14:solidFill>
              <w14:schemeClr w14:val="tx1"/>
            </w14:solidFill>
          </w14:textFill>
        </w:rPr>
        <w:t>可获取性，</w:t>
      </w:r>
      <w:r>
        <w:rPr>
          <w:rFonts w:hint="eastAsia" w:ascii="宋体" w:hAnsi="宋体" w:cs="宋体"/>
          <w:color w:val="000000" w:themeColor="text1"/>
          <w:kern w:val="0"/>
          <w:sz w:val="24"/>
          <w:szCs w:val="24"/>
          <w:highlight w:val="none"/>
          <w:lang w:val="en-US" w:eastAsia="zh-CN"/>
          <w14:textFill>
            <w14:solidFill>
              <w14:schemeClr w14:val="tx1"/>
            </w14:solidFill>
          </w14:textFill>
        </w:rPr>
        <w:t>能够实现</w:t>
      </w:r>
      <w:r>
        <w:rPr>
          <w:rFonts w:hint="eastAsia" w:ascii="宋体" w:hAnsi="宋体" w:cs="宋体"/>
          <w:color w:val="000000" w:themeColor="text1"/>
          <w:kern w:val="0"/>
          <w:sz w:val="24"/>
          <w:szCs w:val="24"/>
          <w:highlight w:val="none"/>
          <w:lang w:eastAsia="zh-CN"/>
          <w14:textFill>
            <w14:solidFill>
              <w14:schemeClr w14:val="tx1"/>
            </w14:solidFill>
          </w14:textFill>
        </w:rPr>
        <w:t>便捷高效的安装操作。</w:t>
      </w:r>
    </w:p>
    <w:p w14:paraId="6587D849">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lang w:eastAsia="zh-CN"/>
          <w14:textFill>
            <w14:solidFill>
              <w14:schemeClr w14:val="tx1"/>
            </w14:solidFill>
          </w14:textFill>
        </w:rPr>
        <w:t>涉及新型管材的选用，乙方</w:t>
      </w:r>
      <w:r>
        <w:rPr>
          <w:rFonts w:hint="eastAsia" w:ascii="宋体" w:hAnsi="宋体" w:cs="宋体"/>
          <w:color w:val="000000" w:themeColor="text1"/>
          <w:kern w:val="0"/>
          <w:sz w:val="24"/>
          <w:szCs w:val="24"/>
          <w:highlight w:val="none"/>
          <w:lang w:val="en-US" w:eastAsia="zh-CN"/>
          <w14:textFill>
            <w14:solidFill>
              <w14:schemeClr w14:val="tx1"/>
            </w14:solidFill>
          </w14:textFill>
        </w:rPr>
        <w:t>应</w:t>
      </w:r>
      <w:r>
        <w:rPr>
          <w:rFonts w:hint="eastAsia" w:ascii="宋体" w:hAnsi="宋体" w:cs="宋体"/>
          <w:color w:val="000000" w:themeColor="text1"/>
          <w:kern w:val="0"/>
          <w:sz w:val="24"/>
          <w:szCs w:val="24"/>
          <w:highlight w:val="none"/>
          <w:lang w:eastAsia="zh-CN"/>
          <w14:textFill>
            <w14:solidFill>
              <w14:schemeClr w14:val="tx1"/>
            </w14:solidFill>
          </w14:textFill>
        </w:rPr>
        <w:t>提供详尽的管材说明材料，内容涵盖管材性能的全面解析以及深入的经济分析等关键信息。</w:t>
      </w:r>
    </w:p>
    <w:p w14:paraId="0939D9A3">
      <w:pPr>
        <w:adjustRightInd w:val="0"/>
        <w:snapToGrid w:val="0"/>
        <w:spacing w:line="360" w:lineRule="auto"/>
        <w:ind w:firstLine="482"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b/>
          <w:color w:val="000000" w:themeColor="text1"/>
          <w:kern w:val="0"/>
          <w:sz w:val="24"/>
          <w:szCs w:val="24"/>
          <w:highlight w:val="none"/>
          <w:lang w:val="en-US" w:eastAsia="zh-CN"/>
          <w14:textFill>
            <w14:solidFill>
              <w14:schemeClr w14:val="tx1"/>
            </w14:solidFill>
          </w14:textFill>
        </w:rPr>
        <w:t>13电气设计质量要求</w:t>
      </w:r>
      <w:r>
        <w:rPr>
          <w:rFonts w:hint="eastAsia" w:ascii="宋体" w:hAnsi="宋体" w:cs="宋体"/>
          <w:color w:val="000000" w:themeColor="text1"/>
          <w:kern w:val="0"/>
          <w:sz w:val="24"/>
          <w:szCs w:val="24"/>
          <w:highlight w:val="none"/>
          <w14:textFill>
            <w14:solidFill>
              <w14:schemeClr w14:val="tx1"/>
            </w14:solidFill>
          </w14:textFill>
        </w:rPr>
        <w:t>。</w:t>
      </w:r>
    </w:p>
    <w:p w14:paraId="45F1A91A">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室外照明宜采用LED、太阳能等节能灯</w:t>
      </w:r>
      <w:r>
        <w:rPr>
          <w:rFonts w:hint="eastAsia" w:ascii="宋体" w:hAnsi="宋体" w:cs="宋体"/>
          <w:color w:val="000000" w:themeColor="text1"/>
          <w:kern w:val="0"/>
          <w:sz w:val="24"/>
          <w:szCs w:val="24"/>
          <w:highlight w:val="none"/>
          <w:lang w:val="en-US" w:eastAsia="zh-CN"/>
          <w14:textFill>
            <w14:solidFill>
              <w14:schemeClr w14:val="tx1"/>
            </w14:solidFill>
          </w14:textFill>
        </w:rPr>
        <w:t>具</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室内应采用LED节能灯</w:t>
      </w:r>
      <w:r>
        <w:rPr>
          <w:rFonts w:hint="eastAsia" w:ascii="宋体" w:hAnsi="宋体" w:cs="宋体"/>
          <w:color w:val="000000" w:themeColor="text1"/>
          <w:kern w:val="0"/>
          <w:sz w:val="24"/>
          <w:szCs w:val="24"/>
          <w:highlight w:val="none"/>
          <w:lang w:val="en-US" w:eastAsia="zh-CN"/>
          <w14:textFill>
            <w14:solidFill>
              <w14:schemeClr w14:val="tx1"/>
            </w14:solidFill>
          </w14:textFill>
        </w:rPr>
        <w:t>具</w:t>
      </w:r>
      <w:r>
        <w:rPr>
          <w:rFonts w:hint="eastAsia" w:ascii="宋体" w:hAnsi="宋体" w:cs="宋体"/>
          <w:color w:val="000000" w:themeColor="text1"/>
          <w:kern w:val="0"/>
          <w:sz w:val="24"/>
          <w:szCs w:val="24"/>
          <w:highlight w:val="none"/>
          <w14:textFill>
            <w14:solidFill>
              <w14:schemeClr w14:val="tx1"/>
            </w14:solidFill>
          </w14:textFill>
        </w:rPr>
        <w:t>。</w:t>
      </w:r>
    </w:p>
    <w:p w14:paraId="6527038A">
      <w:pPr>
        <w:adjustRightInd w:val="0"/>
        <w:snapToGrid w:val="0"/>
        <w:spacing w:line="360" w:lineRule="auto"/>
        <w:ind w:firstLine="480"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道路照明按</w:t>
      </w:r>
      <w:r>
        <w:rPr>
          <w:rFonts w:hint="eastAsia" w:ascii="宋体" w:hAnsi="宋体" w:cs="宋体"/>
          <w:color w:val="000000" w:themeColor="text1"/>
          <w:kern w:val="0"/>
          <w:sz w:val="24"/>
          <w:szCs w:val="24"/>
          <w:highlight w:val="none"/>
          <w:lang w:val="en-US" w:eastAsia="zh-CN"/>
          <w14:textFill>
            <w14:solidFill>
              <w14:schemeClr w14:val="tx1"/>
            </w14:solidFill>
          </w14:textFill>
        </w:rPr>
        <w:t>广州市关于道路照明</w:t>
      </w:r>
      <w:r>
        <w:rPr>
          <w:rFonts w:hint="eastAsia" w:ascii="宋体" w:hAnsi="宋体" w:cs="宋体"/>
          <w:color w:val="000000" w:themeColor="text1"/>
          <w:kern w:val="0"/>
          <w:sz w:val="24"/>
          <w:szCs w:val="24"/>
          <w:highlight w:val="none"/>
          <w14:textFill>
            <w14:solidFill>
              <w14:schemeClr w14:val="tx1"/>
            </w14:solidFill>
          </w14:textFill>
        </w:rPr>
        <w:t>的</w:t>
      </w:r>
      <w:r>
        <w:rPr>
          <w:rFonts w:hint="eastAsia" w:ascii="宋体" w:hAnsi="宋体" w:cs="宋体"/>
          <w:color w:val="000000" w:themeColor="text1"/>
          <w:kern w:val="0"/>
          <w:sz w:val="24"/>
          <w:szCs w:val="24"/>
          <w:highlight w:val="none"/>
          <w:lang w:val="en-US" w:eastAsia="zh-CN"/>
          <w14:textFill>
            <w14:solidFill>
              <w14:schemeClr w14:val="tx1"/>
            </w14:solidFill>
          </w14:textFill>
        </w:rPr>
        <w:t>相关</w:t>
      </w:r>
      <w:r>
        <w:rPr>
          <w:rFonts w:hint="eastAsia" w:ascii="宋体" w:hAnsi="宋体" w:cs="宋体"/>
          <w:color w:val="000000" w:themeColor="text1"/>
          <w:kern w:val="0"/>
          <w:sz w:val="24"/>
          <w:szCs w:val="24"/>
          <w:highlight w:val="none"/>
          <w14:textFill>
            <w14:solidFill>
              <w14:schemeClr w14:val="tx1"/>
            </w14:solidFill>
          </w14:textFill>
        </w:rPr>
        <w:t>要求进行设计。</w:t>
      </w:r>
    </w:p>
    <w:p w14:paraId="3145998C">
      <w:pPr>
        <w:adjustRightInd w:val="0"/>
        <w:snapToGrid w:val="0"/>
        <w:spacing w:line="360" w:lineRule="auto"/>
        <w:ind w:firstLine="482" w:firstLineChars="200"/>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b/>
          <w:color w:val="000000" w:themeColor="text1"/>
          <w:kern w:val="0"/>
          <w:sz w:val="24"/>
          <w:szCs w:val="24"/>
          <w:highlight w:val="none"/>
          <w:lang w:val="en-US" w:eastAsia="zh-CN"/>
          <w14:textFill>
            <w14:solidFill>
              <w14:schemeClr w14:val="tx1"/>
            </w14:solidFill>
          </w14:textFill>
        </w:rPr>
        <w:t>14建筑智能化系统设计质量要求</w:t>
      </w:r>
      <w:r>
        <w:rPr>
          <w:rFonts w:hint="eastAsia" w:ascii="宋体" w:hAnsi="宋体" w:cs="宋体"/>
          <w:color w:val="000000" w:themeColor="text1"/>
          <w:kern w:val="0"/>
          <w:sz w:val="24"/>
          <w:szCs w:val="24"/>
          <w:highlight w:val="none"/>
          <w14:textFill>
            <w14:solidFill>
              <w14:schemeClr w14:val="tx1"/>
            </w14:solidFill>
          </w14:textFill>
        </w:rPr>
        <w:t>。</w:t>
      </w:r>
    </w:p>
    <w:p w14:paraId="214C9BC0">
      <w:pPr>
        <w:adjustRightInd w:val="0"/>
        <w:snapToGrid w:val="0"/>
        <w:spacing w:line="360" w:lineRule="auto"/>
        <w:ind w:firstLine="480" w:firstLineChars="200"/>
        <w:outlineLvl w:val="3"/>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1）明确智能化系统的上下、内外数据互联互通接口方式。对于改扩建或改造项目，应对既有智能化系统进行详细摸查，明确智能化、消防报警、医用气体等既有系统的摸查、衔接口。新建建筑与既有智能化系统之间管理与联接关系应予以说明。对于</w:t>
      </w:r>
      <w:r>
        <w:rPr>
          <w:rFonts w:hint="default" w:ascii="宋体" w:hAnsi="宋体" w:cs="宋体"/>
          <w:color w:val="000000" w:themeColor="text1"/>
          <w:kern w:val="0"/>
          <w:sz w:val="24"/>
          <w:szCs w:val="24"/>
          <w:highlight w:val="none"/>
          <w14:textFill>
            <w14:solidFill>
              <w14:schemeClr w14:val="tx1"/>
            </w14:solidFill>
          </w14:textFill>
        </w:rPr>
        <w:t>委托对应资质的单位进行</w:t>
      </w:r>
      <w:r>
        <w:rPr>
          <w:rFonts w:hint="default" w:ascii="宋体" w:hAnsi="宋体" w:cs="宋体"/>
          <w:color w:val="000000" w:themeColor="text1"/>
          <w:kern w:val="0"/>
          <w:sz w:val="24"/>
          <w:szCs w:val="24"/>
          <w:highlight w:val="none"/>
          <w:lang w:eastAsia="zh-CN"/>
          <w14:textFill>
            <w14:solidFill>
              <w14:schemeClr w14:val="tx1"/>
            </w14:solidFill>
          </w14:textFill>
        </w:rPr>
        <w:t>专项子系统</w:t>
      </w:r>
      <w:r>
        <w:rPr>
          <w:rFonts w:hint="default" w:ascii="宋体" w:hAnsi="宋体" w:cs="宋体"/>
          <w:color w:val="000000" w:themeColor="text1"/>
          <w:kern w:val="0"/>
          <w:sz w:val="24"/>
          <w:szCs w:val="24"/>
          <w:highlight w:val="none"/>
          <w14:textFill>
            <w14:solidFill>
              <w14:schemeClr w14:val="tx1"/>
            </w14:solidFill>
          </w14:textFill>
        </w:rPr>
        <w:t>设计，</w:t>
      </w:r>
      <w:r>
        <w:rPr>
          <w:rFonts w:hint="default" w:ascii="宋体" w:hAnsi="宋体" w:cs="宋体"/>
          <w:color w:val="000000" w:themeColor="text1"/>
          <w:kern w:val="0"/>
          <w:sz w:val="24"/>
          <w:szCs w:val="24"/>
          <w:highlight w:val="none"/>
          <w:lang w:val="en-US" w:eastAsia="zh-CN"/>
          <w14:textFill>
            <w14:solidFill>
              <w14:schemeClr w14:val="tx1"/>
            </w14:solidFill>
          </w14:textFill>
        </w:rPr>
        <w:t>总体</w:t>
      </w:r>
      <w:r>
        <w:rPr>
          <w:rFonts w:hint="eastAsia" w:ascii="宋体" w:hAnsi="宋体" w:cs="宋体"/>
          <w:color w:val="000000" w:themeColor="text1"/>
          <w:kern w:val="0"/>
          <w:sz w:val="24"/>
          <w:szCs w:val="24"/>
          <w:highlight w:val="none"/>
          <w:lang w:val="en-US" w:eastAsia="zh-CN"/>
          <w14:textFill>
            <w14:solidFill>
              <w14:schemeClr w14:val="tx1"/>
            </w14:solidFill>
          </w14:textFill>
        </w:rPr>
        <w:t>乙方</w:t>
      </w:r>
      <w:r>
        <w:rPr>
          <w:rFonts w:hint="default" w:ascii="宋体" w:hAnsi="宋体" w:cs="宋体"/>
          <w:color w:val="000000" w:themeColor="text1"/>
          <w:kern w:val="0"/>
          <w:sz w:val="24"/>
          <w:szCs w:val="24"/>
          <w:highlight w:val="none"/>
          <w:lang w:val="en-US" w:eastAsia="zh-CN"/>
          <w14:textFill>
            <w14:solidFill>
              <w14:schemeClr w14:val="tx1"/>
            </w14:solidFill>
          </w14:textFill>
        </w:rPr>
        <w:t>应组织</w:t>
      </w:r>
      <w:r>
        <w:rPr>
          <w:rFonts w:hint="default" w:ascii="宋体" w:hAnsi="宋体" w:cs="宋体"/>
          <w:color w:val="000000" w:themeColor="text1"/>
          <w:kern w:val="0"/>
          <w:sz w:val="24"/>
          <w:szCs w:val="24"/>
          <w:highlight w:val="none"/>
          <w:lang w:eastAsia="zh-CN"/>
          <w14:textFill>
            <w14:solidFill>
              <w14:schemeClr w14:val="tx1"/>
            </w14:solidFill>
          </w14:textFill>
        </w:rPr>
        <w:t>专项子系统的技术沟通、报审等工作，</w:t>
      </w:r>
      <w:r>
        <w:rPr>
          <w:rFonts w:hint="default" w:ascii="宋体" w:hAnsi="宋体" w:cs="宋体"/>
          <w:color w:val="000000" w:themeColor="text1"/>
          <w:kern w:val="0"/>
          <w:sz w:val="24"/>
          <w:szCs w:val="24"/>
          <w:highlight w:val="none"/>
          <w:lang w:val="en-US" w:eastAsia="zh-CN"/>
          <w14:textFill>
            <w14:solidFill>
              <w14:schemeClr w14:val="tx1"/>
            </w14:solidFill>
          </w14:textFill>
        </w:rPr>
        <w:t>承担</w:t>
      </w:r>
      <w:r>
        <w:rPr>
          <w:rFonts w:hint="default" w:ascii="宋体" w:hAnsi="宋体" w:cs="宋体"/>
          <w:color w:val="000000" w:themeColor="text1"/>
          <w:kern w:val="0"/>
          <w:sz w:val="24"/>
          <w:szCs w:val="24"/>
          <w:highlight w:val="none"/>
          <w:lang w:eastAsia="zh-CN"/>
          <w14:textFill>
            <w14:solidFill>
              <w14:schemeClr w14:val="tx1"/>
            </w14:solidFill>
          </w14:textFill>
        </w:rPr>
        <w:t>主体</w:t>
      </w:r>
      <w:r>
        <w:rPr>
          <w:rFonts w:hint="eastAsia" w:ascii="宋体" w:hAnsi="宋体" w:cs="宋体"/>
          <w:color w:val="000000" w:themeColor="text1"/>
          <w:kern w:val="0"/>
          <w:sz w:val="24"/>
          <w:szCs w:val="24"/>
          <w:highlight w:val="none"/>
          <w:lang w:eastAsia="zh-CN"/>
          <w14:textFill>
            <w14:solidFill>
              <w14:schemeClr w14:val="tx1"/>
            </w14:solidFill>
          </w14:textFill>
        </w:rPr>
        <w:t>乙方</w:t>
      </w:r>
      <w:r>
        <w:rPr>
          <w:rFonts w:hint="default" w:ascii="宋体" w:hAnsi="宋体" w:cs="宋体"/>
          <w:color w:val="000000" w:themeColor="text1"/>
          <w:kern w:val="0"/>
          <w:sz w:val="24"/>
          <w:szCs w:val="24"/>
          <w:highlight w:val="none"/>
          <w:lang w:eastAsia="zh-CN"/>
          <w14:textFill>
            <w14:solidFill>
              <w14:schemeClr w14:val="tx1"/>
            </w14:solidFill>
          </w14:textFill>
        </w:rPr>
        <w:t>的技术与管理责任。</w:t>
      </w:r>
    </w:p>
    <w:p w14:paraId="1A571A31">
      <w:pPr>
        <w:adjustRightInd w:val="0"/>
        <w:snapToGrid w:val="0"/>
        <w:spacing w:line="360" w:lineRule="auto"/>
        <w:ind w:firstLine="480" w:firstLineChars="200"/>
        <w:outlineLvl w:val="3"/>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2）应在建筑方案设计阶段同步完成智能化系统设计方案，并取得建设管理单位的审核确认。</w:t>
      </w:r>
    </w:p>
    <w:p w14:paraId="4CF5DD88">
      <w:pPr>
        <w:adjustRightInd w:val="0"/>
        <w:snapToGrid w:val="0"/>
        <w:spacing w:line="360" w:lineRule="auto"/>
        <w:ind w:firstLine="480" w:firstLineChars="200"/>
        <w:outlineLvl w:val="3"/>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3）在项目初步设计、施工图设计阶段应对设计概算、施工图预算中的建筑智能化系统设计投资进行复核，提升投资费用的准确性。</w:t>
      </w:r>
    </w:p>
    <w:p w14:paraId="2731B257">
      <w:pPr>
        <w:adjustRightInd w:val="0"/>
        <w:snapToGrid w:val="0"/>
        <w:spacing w:line="360" w:lineRule="auto"/>
        <w:ind w:firstLine="480" w:firstLineChars="200"/>
        <w:outlineLvl w:val="3"/>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lang w:val="en-US" w:eastAsia="zh-CN"/>
          <w14:textFill>
            <w14:solidFill>
              <w14:schemeClr w14:val="tx1"/>
            </w14:solidFill>
          </w14:textFill>
        </w:rPr>
        <w:t>乙方</w:t>
      </w:r>
      <w:r>
        <w:rPr>
          <w:rFonts w:hint="default" w:ascii="宋体" w:hAnsi="宋体" w:cs="宋体"/>
          <w:color w:val="000000" w:themeColor="text1"/>
          <w:kern w:val="0"/>
          <w:sz w:val="24"/>
          <w:szCs w:val="24"/>
          <w:highlight w:val="none"/>
          <w:lang w:val="en-US" w:eastAsia="zh-CN"/>
          <w14:textFill>
            <w14:solidFill>
              <w14:schemeClr w14:val="tx1"/>
            </w14:solidFill>
          </w14:textFill>
        </w:rPr>
        <w:t>应对有资质单位开展的建筑智能化系统深化设计文件进行审核确认。</w:t>
      </w:r>
    </w:p>
    <w:p w14:paraId="7101BFFE">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10.15 消防工程设计质量要求</w:t>
      </w:r>
    </w:p>
    <w:p w14:paraId="73E9C95C">
      <w:pPr>
        <w:adjustRightInd w:val="0"/>
        <w:snapToGrid w:val="0"/>
        <w:spacing w:line="360" w:lineRule="auto"/>
        <w:ind w:firstLine="480" w:firstLineChars="200"/>
        <w:outlineLvl w:val="3"/>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消防工程设计工作必须严格遵循相关通用规范以及其他相关标准要求。在设计过程中，需依据建筑的规模大小、使用性质、功能用途以及火灾危险性，展开设计单位案的比选与分析，合理规划设计防火分区、安全疏散路径、室内外消防给水系统、火灾自动报警系统、消防应急照明和疏散指示系统、防排烟系统等消防相关内容</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w:t>
      </w:r>
    </w:p>
    <w:p w14:paraId="2B681BD1">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10.16燃气工程设计质量要求</w:t>
      </w:r>
    </w:p>
    <w:p w14:paraId="10D2BB19">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燃气工程应根据接驳条件及能源介质进行设计。</w:t>
      </w:r>
    </w:p>
    <w:p w14:paraId="011DC1E7">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10.17 电梯设备设计质量要求</w:t>
      </w:r>
    </w:p>
    <w:p w14:paraId="2BAE4E6F">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1）根据工程方案中楼房的层高、层数和建筑面积、功能、人流状况设置电梯方案。</w:t>
      </w:r>
    </w:p>
    <w:p w14:paraId="122E8FE1">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2）电梯的主要参数、控制方式、电梯井道、轿厢尺寸及装饰要求、开门方式、功能要求、配置数量等均应在设计阶段配合建筑类型和装饰标准统筹实施。</w:t>
      </w:r>
    </w:p>
    <w:p w14:paraId="016877DE">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3）结构井道预留需应满足电梯安装及使用要求。</w:t>
      </w:r>
    </w:p>
    <w:p w14:paraId="64D0D9AD">
      <w:pPr>
        <w:adjustRightInd w:val="0"/>
        <w:snapToGrid w:val="0"/>
        <w:spacing w:line="360" w:lineRule="auto"/>
        <w:ind w:firstLine="482" w:firstLineChars="200"/>
        <w:outlineLvl w:val="3"/>
        <w:rPr>
          <w:rFonts w:hint="default"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10.18幕墙设计质量要求</w:t>
      </w:r>
    </w:p>
    <w:p w14:paraId="6210C515">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1）幕墙设计深度必须达到按国家相关法律法规、行业规范要求的施工图设计深度，同时满足财政主管部门对施工图预算编制及评审的要求。</w:t>
      </w:r>
    </w:p>
    <w:p w14:paraId="0DFA347B">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2）幕墙设计须进行技术方案比选分析。</w:t>
      </w:r>
    </w:p>
    <w:p w14:paraId="2F01EF00">
      <w:pPr>
        <w:adjustRightInd w:val="0"/>
        <w:snapToGrid w:val="0"/>
        <w:spacing w:line="360" w:lineRule="auto"/>
        <w:ind w:firstLine="482" w:firstLineChars="200"/>
        <w:outlineLvl w:val="3"/>
        <w:rPr>
          <w:rFonts w:hint="eastAsia" w:ascii="宋体" w:hAnsi="宋体" w:cs="宋体"/>
          <w:b/>
          <w:color w:val="000000" w:themeColor="text1"/>
          <w:kern w:val="0"/>
          <w:sz w:val="24"/>
          <w:szCs w:val="24"/>
          <w:highlight w:val="none"/>
          <w:lang w:val="en-US" w:eastAsia="zh-CN"/>
          <w14:textFill>
            <w14:solidFill>
              <w14:schemeClr w14:val="tx1"/>
            </w14:solidFill>
          </w14:textFill>
        </w:rPr>
      </w:pPr>
      <w:bookmarkStart w:id="143" w:name="_Toc1027509682"/>
      <w:bookmarkStart w:id="144" w:name="_Toc1993353798"/>
      <w:r>
        <w:rPr>
          <w:rFonts w:hint="eastAsia" w:ascii="宋体" w:hAnsi="宋体" w:cs="宋体"/>
          <w:b/>
          <w:color w:val="000000" w:themeColor="text1"/>
          <w:kern w:val="0"/>
          <w:sz w:val="24"/>
          <w:szCs w:val="24"/>
          <w:highlight w:val="none"/>
          <w:lang w:val="en-US" w:eastAsia="zh-CN"/>
          <w14:textFill>
            <w14:solidFill>
              <w14:schemeClr w14:val="tx1"/>
            </w14:solidFill>
          </w14:textFill>
        </w:rPr>
        <w:t>10.19室外工程设计质量要求</w:t>
      </w:r>
      <w:bookmarkEnd w:id="143"/>
      <w:bookmarkEnd w:id="144"/>
    </w:p>
    <w:p w14:paraId="1A7A4A46">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1)</w:t>
      </w: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按照广州市相关规定及《广州市重点公共建设项目风景园林工程技术指引（铺装篇）》要求进行设计。石材铺贴设计方案要求大方、整体性强，不宜采用拼花形式和密缝铺贴方式。</w:t>
      </w:r>
    </w:p>
    <w:p w14:paraId="556CD89C">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2）按照《广州市重点公共建设项目风景园林工程技术指引》进行景观园林绿化设计。须对园林景观方案、苗木选用设计进行比选分析，室外苗木采用岭南植物，避免掉皮影响景观效果。现状树木的处置设计应符合广州市城市树木保护相关管理规定的要求，注重生态文明的保护。</w:t>
      </w:r>
    </w:p>
    <w:p w14:paraId="765AA1AA">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3）红线内室外管网设计方案应便于后期维护，各类管网的排布应整齐有序，尽量减少交叉。复杂的管网应绘制管网综合平衡图。</w:t>
      </w:r>
    </w:p>
    <w:p w14:paraId="17845DB1">
      <w:pPr>
        <w:adjustRightInd w:val="0"/>
        <w:snapToGrid w:val="0"/>
        <w:spacing w:line="360" w:lineRule="auto"/>
        <w:ind w:firstLine="480" w:firstLineChars="200"/>
        <w:outlineLvl w:val="3"/>
        <w:rPr>
          <w:rFonts w:hint="default" w:ascii="宋体" w:hAnsi="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cs="宋体"/>
          <w:b w:val="0"/>
          <w:bCs/>
          <w:color w:val="000000" w:themeColor="text1"/>
          <w:kern w:val="0"/>
          <w:sz w:val="24"/>
          <w:szCs w:val="24"/>
          <w:highlight w:val="none"/>
          <w:lang w:val="en-US" w:eastAsia="zh-CN"/>
          <w14:textFill>
            <w14:solidFill>
              <w14:schemeClr w14:val="tx1"/>
            </w14:solidFill>
          </w14:textFill>
        </w:rPr>
        <w:t>4）建筑物立面泛光照明应进行方案经济与技术比选。</w:t>
      </w:r>
    </w:p>
    <w:p w14:paraId="18C1895B">
      <w:pPr>
        <w:adjustRightInd w:val="0"/>
        <w:snapToGrid w:val="0"/>
        <w:spacing w:line="360" w:lineRule="auto"/>
        <w:ind w:firstLine="482" w:firstLineChars="200"/>
        <w:outlineLvl w:val="3"/>
        <w:rPr>
          <w:rFonts w:hint="default"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10.20 造价专业质量要求</w:t>
      </w:r>
    </w:p>
    <w:p w14:paraId="126A45BE">
      <w:pPr>
        <w:pStyle w:val="13"/>
        <w:adjustRightInd w:val="0"/>
        <w:snapToGrid w:val="0"/>
        <w:spacing w:beforeAutospacing="0" w:afterAutospacing="0" w:line="360" w:lineRule="auto"/>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应熟悉并严格按照国家、省、市有关财政、基建、工程造价方面的法律、法规，以及甲方工程造价管理业务制度要求，依据合同相关约定，本着有依有据、合法合规的原则，科学、客观、公正地开展造价工作，提供的工程造价成果文件应合理体现项目投资</w:t>
      </w:r>
      <w:r>
        <w:rPr>
          <w:rFonts w:hint="default"/>
          <w:color w:val="000000" w:themeColor="text1"/>
          <w:highlight w:val="none"/>
          <w:lang w:eastAsia="zh-CN"/>
          <w14:textFill>
            <w14:solidFill>
              <w14:schemeClr w14:val="tx1"/>
            </w14:solidFill>
          </w14:textFill>
        </w:rPr>
        <w:t>控制</w:t>
      </w:r>
      <w:r>
        <w:rPr>
          <w:rFonts w:hint="default"/>
          <w:color w:val="000000" w:themeColor="text1"/>
          <w:highlight w:val="none"/>
          <w:lang w:val="en-US" w:eastAsia="zh-CN"/>
          <w14:textFill>
            <w14:solidFill>
              <w14:schemeClr w14:val="tx1"/>
            </w14:solidFill>
          </w14:textFill>
        </w:rPr>
        <w:t>的要求。</w:t>
      </w:r>
    </w:p>
    <w:p w14:paraId="6094C09E">
      <w:pPr>
        <w:pStyle w:val="13"/>
        <w:adjustRightInd w:val="0"/>
        <w:snapToGrid w:val="0"/>
        <w:spacing w:beforeAutospacing="0" w:afterAutospacing="0" w:line="360" w:lineRule="auto"/>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项目建设实行全过程限额设计和施工。概算金额应低于项目立项批复的估算金额。在不降低勘察设计任务书、初步设计文件、材料设备技术需求书中的主要设计指标（建筑高度、建筑面积等）的前提下，确保施工图预算不超过有权审核部门审定工程设计概算中的建安工程费总额。竣工结算总金额不得超出实际实施范围所对应的批复概算金额。</w:t>
      </w:r>
    </w:p>
    <w:p w14:paraId="6237072C">
      <w:pPr>
        <w:pStyle w:val="13"/>
        <w:adjustRightInd w:val="0"/>
        <w:snapToGrid w:val="0"/>
        <w:spacing w:beforeAutospacing="0" w:afterAutospacing="0" w:line="360" w:lineRule="auto"/>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应确保本工程概算文件、施工图预算文件、招标工程量清单、招标工程量清单等的编制（审核）工作质量，开项必须齐全、工程量必须准确、造价必须合理，并满足工程投资控制和合同的约定。</w:t>
      </w:r>
    </w:p>
    <w:p w14:paraId="2EF2F89B">
      <w:pPr>
        <w:pStyle w:val="13"/>
        <w:adjustRightInd w:val="0"/>
        <w:snapToGrid w:val="0"/>
        <w:spacing w:beforeAutospacing="0" w:afterAutospacing="0" w:line="360" w:lineRule="auto"/>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default"/>
          <w:color w:val="000000" w:themeColor="text1"/>
          <w:highlight w:val="none"/>
          <w:lang w:val="en-US" w:eastAsia="zh-CN"/>
          <w14:textFill>
            <w14:solidFill>
              <w14:schemeClr w14:val="tx1"/>
            </w14:solidFill>
          </w14:textFill>
        </w:rPr>
        <w:t>提供的造价成果文件应包括并不限于：编制说明、造价文件（含软件版）、工程量计算书、经济指标分析表、主要设备材料价格表、主要材料设备定价依据文件（含询价文件等）、审核意见落实情况说明和修改对比表等。</w:t>
      </w:r>
    </w:p>
    <w:p w14:paraId="20C50DDE">
      <w:pPr>
        <w:pStyle w:val="13"/>
        <w:adjustRightInd w:val="0"/>
        <w:snapToGrid w:val="0"/>
        <w:spacing w:beforeAutospacing="0" w:afterAutospacing="0" w:line="360" w:lineRule="auto"/>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至少要提供3个同类项目的技术经济指标供甲方做决策参考。负责对造价成果（含估算（如有）及概算、施工图预算、招标工程量清单编制成果、设计变更及合同变更等）进行分析，对比同类项目，找出技术经济指标偏离内容及原因，及时修正，并提出合理化建议。</w:t>
      </w:r>
    </w:p>
    <w:p w14:paraId="2638D83A">
      <w:pPr>
        <w:pStyle w:val="13"/>
        <w:adjustRightInd w:val="0"/>
        <w:snapToGrid w:val="0"/>
        <w:spacing w:beforeAutospacing="0" w:afterAutospacing="0" w:line="360" w:lineRule="auto"/>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应建立健全内部控制制度、质量保证体系和档案管理制度，保证工程造价成果文件的质量，对其完整性、真实性、准确性、有效性负责，并负有保密责任。确保工程造价成果文件文字表达清晰、装订整齐。确保工程造价成果文件均由专业造价师（造价员）编制，由技术负责人（包括项目总工、土建主管、安装主管）审核，由项目负责人或指挥长审定的三级审查制度。工程造价成果文件的编制人应具有注册造价工程师执业资格或造价员从业资格，工程造价咨询成果文件的审核人、审定人应具有注册造价工程师执业资格。工程造价成果文件的编制人、审核人、审定人应在工程造价咨询的成果文件上签署执业(或从业)资格专用印章，最终的成果文件需经项目指挥长或法定代表人签字并加盖公章。编制人应认真阅读、复核书面资料的有效性、合规性，并应对自身所收集的工程计价基础资料和编制依据的全面性、真实性和适用性负责，全面进行工程的计量与计价，按合同的要求编制工程造价咨询成果文件，并整理好工作过程文件。审核人应进一步审核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审定人应再次审核书面资料的有效性、合规性，编制人使用工程计价基础资料和编制依据的全面性、真实性和有效性，并应依据工程经济指标进行工程造价的合理性分析，对工程造价质量进行整体控制。</w:t>
      </w:r>
    </w:p>
    <w:p w14:paraId="315FE3F4">
      <w:pPr>
        <w:pStyle w:val="13"/>
        <w:adjustRightInd w:val="0"/>
        <w:snapToGrid w:val="0"/>
        <w:spacing w:beforeAutospacing="0" w:afterAutospacing="0" w:line="360" w:lineRule="auto"/>
        <w:ind w:firstLine="482" w:firstLineChars="200"/>
        <w:outlineLvl w:val="2"/>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10.21 其它设计质量要求</w:t>
      </w:r>
    </w:p>
    <w:p w14:paraId="3173D7C8">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1）按照广州市施工围蔽管理要求开展施工围墙设计，施工围墙的大门出入口设施按《市重点项目管理中心施工外围蔽围墙及大门详细方案设计图集》进行设计。</w:t>
      </w:r>
    </w:p>
    <w:p w14:paraId="58F8151E">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2）按照广州市建筑工地安装视频监控装置的相关要求开展工地视频监控的设计。</w:t>
      </w:r>
    </w:p>
    <w:p w14:paraId="61E50458">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3）</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 xml:space="preserve">在方案、初步设计中以单独篇章提交标志标识系统设计成果。          </w:t>
      </w:r>
    </w:p>
    <w:p w14:paraId="4082C40F">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4）洁净实验室、冷库、田间工程等有特殊要求的，需进行专项设计。总体</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应对专项设计图纸进行审核确认并提供各系统的接口。</w:t>
      </w:r>
    </w:p>
    <w:p w14:paraId="70CC461B">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5）设计阶段BIM运用，应按建设管理单位要求落实建设管理单位BIM协调管理平台运用的需求。</w:t>
      </w:r>
    </w:p>
    <w:p w14:paraId="5AD45C70">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bookmarkStart w:id="145" w:name="_Toc452973737"/>
      <w:bookmarkStart w:id="146" w:name="_Toc447612885"/>
      <w:bookmarkStart w:id="147" w:name="_Toc447612406"/>
      <w:bookmarkStart w:id="148" w:name="_Toc25996"/>
      <w:bookmarkStart w:id="149" w:name="_Toc452558332"/>
      <w:r>
        <w:rPr>
          <w:rFonts w:hint="default"/>
          <w:b w:val="0"/>
          <w:bCs/>
          <w:color w:val="000000" w:themeColor="text1"/>
          <w:highlight w:val="none"/>
          <w:lang w:val="en-US" w:eastAsia="zh-CN"/>
          <w14:textFill>
            <w14:solidFill>
              <w14:schemeClr w14:val="tx1"/>
            </w14:solidFill>
          </w14:textFill>
        </w:rPr>
        <w:t>6）按照广州市关于建筑工程施工图审查内容的相关规定，对于不纳入施工图审查范围的事项，包括：建筑废弃物设计专章审查；建筑平、剖面图涉及的规划内容审查；基坑审查；电动汽车充电桩预留条件审查；移动基础设施建设内容审查；餐饮场所关于餐饮功能、专用烟道等审查；一般工程变更签证单、竣工图审查或在一般变更签证单、竣工图上盖章。</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应严格落实有关规定，严格履行主体责任，确保工程设计质量。</w:t>
      </w:r>
    </w:p>
    <w:p w14:paraId="008C37B7">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7）按照广州市绿色建筑和建筑节能管理的相关规定和广州市推广应用绿色建材的要求，推动绿色建材产品在我市建设工程的应用，助推我市城乡建设绿色高质量发展。</w:t>
      </w:r>
    </w:p>
    <w:p w14:paraId="6387CD11">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8）按照广东省、广州市关于分布式光伏高质量发展行动等相关规定要求，开展分布式光伏设计工作。</w:t>
      </w:r>
    </w:p>
    <w:p w14:paraId="24FF6D83">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9）机电设备机房等需要考虑减隔震、降噪、通风等设计对功能房间使用的影响。</w:t>
      </w:r>
    </w:p>
    <w:bookmarkEnd w:id="145"/>
    <w:bookmarkEnd w:id="146"/>
    <w:bookmarkEnd w:id="147"/>
    <w:bookmarkEnd w:id="148"/>
    <w:bookmarkEnd w:id="149"/>
    <w:p w14:paraId="579B6F6B">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10）</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需认真梳理设计界面，全面梳理项目立项批复的建设内容，清晰列明本次设计未包含的建设内容，形成分析报告，以书面形式报送建设管理单位审核。</w:t>
      </w:r>
    </w:p>
    <w:p w14:paraId="13A2F0AF">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11）</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需结合项目建设内容和建设目标，对设计工作的重点、难点进行分析，并编制重点难点解决方案；</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需根据项目特点和项目规模，归纳总结提炼设计亮点。</w:t>
      </w:r>
    </w:p>
    <w:p w14:paraId="7A18F80B">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12）</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需根据施工图阶段各专业设计内容，编制需开展深化设计的内容清单，需经建设管理单位审核同意为准；深化设计清单对于需深化的建设内容，需包含技术要求、造价控制和时间节点要求；深化设计相关要求按中心办法执行。</w:t>
      </w:r>
    </w:p>
    <w:p w14:paraId="6917B1A7">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13）项目设计采用新工艺、新技术，</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需书面说明采用新工艺、新技术的必要性，并单独编制新工艺、新技术篇章。装配式建筑、装配式装修、模块化建筑、绿色建材使用、BIM技术应用、绿色建筑和智能建造需单独编制篇章说明。</w:t>
      </w:r>
    </w:p>
    <w:p w14:paraId="0A235B77">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14）</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均需开展各阶段的设计文件和造价文件的内部审核工作；</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需在各设计阶段的设计成果提交时，同步提交成果文件在</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单位内部审查的过程资料。</w:t>
      </w:r>
    </w:p>
    <w:p w14:paraId="48F8B286">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15）</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需按照项目整体建设进度，编制设计工作计划；</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结合设计工作计划，编制报建工作计划；设计工作计划和报建工作计划的调整，需以报送建设管理单位审核确认。</w:t>
      </w:r>
    </w:p>
    <w:p w14:paraId="458BCB6C">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16）为确保工程质量，建设管理单位将对勘察</w:t>
      </w:r>
      <w:r>
        <w:rPr>
          <w:rFonts w:hint="eastAsia"/>
          <w:b w:val="0"/>
          <w:bCs/>
          <w:color w:val="000000" w:themeColor="text1"/>
          <w:highlight w:val="none"/>
          <w:lang w:val="en-US" w:eastAsia="zh-CN"/>
          <w14:textFill>
            <w14:solidFill>
              <w14:schemeClr w14:val="tx1"/>
            </w14:solidFill>
          </w14:textFill>
        </w:rPr>
        <w:t>乙方</w:t>
      </w:r>
      <w:r>
        <w:rPr>
          <w:rFonts w:hint="default"/>
          <w:b w:val="0"/>
          <w:bCs/>
          <w:color w:val="000000" w:themeColor="text1"/>
          <w:highlight w:val="none"/>
          <w:lang w:val="en-US" w:eastAsia="zh-CN"/>
          <w14:textFill>
            <w14:solidFill>
              <w14:schemeClr w14:val="tx1"/>
            </w14:solidFill>
          </w14:textFill>
        </w:rPr>
        <w:t xml:space="preserve">进行综合考评，并根据综合考评的结果按照相关规定执行。 </w:t>
      </w:r>
    </w:p>
    <w:p w14:paraId="0ABF7417">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17）其他要求： 按建设单位要求完成各项配合工作。</w:t>
      </w:r>
    </w:p>
    <w:p w14:paraId="6B1D2253">
      <w:pPr>
        <w:pStyle w:val="13"/>
        <w:adjustRightInd w:val="0"/>
        <w:snapToGrid w:val="0"/>
        <w:spacing w:beforeAutospacing="0" w:afterAutospacing="0" w:line="360" w:lineRule="auto"/>
        <w:ind w:firstLine="480" w:firstLineChars="200"/>
        <w:outlineLvl w:val="2"/>
        <w:rPr>
          <w:rFonts w:hint="default"/>
          <w:b w:val="0"/>
          <w:bCs/>
          <w:color w:val="000000" w:themeColor="text1"/>
          <w:highlight w:val="none"/>
          <w:lang w:val="en-US" w:eastAsia="zh-CN"/>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10.22 设计巡场要求</w:t>
      </w:r>
    </w:p>
    <w:p w14:paraId="710EE600">
      <w:pPr>
        <w:pStyle w:val="13"/>
        <w:adjustRightInd w:val="0"/>
        <w:snapToGrid w:val="0"/>
        <w:spacing w:beforeAutospacing="0" w:afterAutospacing="0" w:line="360" w:lineRule="auto"/>
        <w:ind w:firstLine="480" w:firstLineChars="200"/>
        <w:outlineLvl w:val="2"/>
        <w:rPr>
          <w:rFonts w:hint="default"/>
          <w:b/>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设计巡场按照《市重点项目管理中心设计巡场管理办法》执行。</w:t>
      </w:r>
    </w:p>
    <w:p w14:paraId="2B75FC47">
      <w:pPr>
        <w:pStyle w:val="3"/>
        <w:keepNext w:val="0"/>
        <w:keepLines w:val="0"/>
        <w:widowControl/>
        <w:spacing w:before="0" w:after="0" w:line="41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第五章 设计事故</w:t>
      </w:r>
    </w:p>
    <w:p w14:paraId="142F283D">
      <w:pPr>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outlineLvl w:val="9"/>
        <w:rPr>
          <w:rFonts w:hint="default"/>
          <w:b/>
          <w:color w:val="000000" w:themeColor="text1"/>
          <w:highlight w:val="none"/>
          <w14:textFill>
            <w14:solidFill>
              <w14:schemeClr w14:val="tx1"/>
            </w14:solidFill>
          </w14:textFill>
        </w:rPr>
      </w:pPr>
    </w:p>
    <w:p w14:paraId="3487A580">
      <w:pPr>
        <w:pStyle w:val="13"/>
        <w:adjustRightInd w:val="0"/>
        <w:snapToGrid w:val="0"/>
        <w:spacing w:beforeAutospacing="0" w:afterAutospacing="0" w:line="360" w:lineRule="auto"/>
        <w:ind w:firstLine="482" w:firstLineChars="200"/>
        <w:outlineLvl w:val="2"/>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11</w:t>
      </w:r>
      <w:r>
        <w:rPr>
          <w:rFonts w:cs="宋体"/>
          <w:b/>
          <w:color w:val="000000" w:themeColor="text1"/>
          <w:highlight w:val="none"/>
          <w14:textFill>
            <w14:solidFill>
              <w14:schemeClr w14:val="tx1"/>
            </w14:solidFill>
          </w14:textFill>
        </w:rPr>
        <w:t>、设计事故</w:t>
      </w:r>
    </w:p>
    <w:p w14:paraId="1DC6DFD6">
      <w:pPr>
        <w:adjustRightInd w:val="0"/>
        <w:snapToGrid w:val="0"/>
        <w:spacing w:line="360" w:lineRule="auto"/>
        <w:ind w:firstLine="482" w:firstLineChars="200"/>
        <w:outlineLvl w:val="3"/>
        <w:rPr>
          <w:rFonts w:hint="default"/>
          <w:color w:val="000000" w:themeColor="text1"/>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11.1</w:t>
      </w:r>
      <w:r>
        <w:rPr>
          <w:rFonts w:cs="宋体"/>
          <w:color w:val="000000" w:themeColor="text1"/>
          <w:highlight w:val="none"/>
          <w14:textFill>
            <w14:solidFill>
              <w14:schemeClr w14:val="tx1"/>
            </w14:solidFill>
          </w14:textFill>
        </w:rPr>
        <w:t>按乙方违约行为的严重，设计事故分为一类设计事故及二类设计事故，具体如下：</w:t>
      </w:r>
    </w:p>
    <w:p w14:paraId="27952CF8">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）一类设计事故（符合下列条件之一，但未达到二类设计事故标准的）：</w:t>
      </w:r>
    </w:p>
    <w:p w14:paraId="209646D0">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①乙方逾期提交设计成果文件</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天以上（含</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天）</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或累计达</w:t>
      </w:r>
      <w:r>
        <w:rPr>
          <w:color w:val="000000" w:themeColor="text1"/>
          <w:highlight w:val="none"/>
          <w14:textFill>
            <w14:solidFill>
              <w14:schemeClr w14:val="tx1"/>
            </w14:solidFill>
          </w14:textFill>
        </w:rPr>
        <w:t>15</w:t>
      </w:r>
      <w:r>
        <w:rPr>
          <w:rFonts w:cs="宋体"/>
          <w:color w:val="000000" w:themeColor="text1"/>
          <w:highlight w:val="none"/>
          <w14:textFill>
            <w14:solidFill>
              <w14:schemeClr w14:val="tx1"/>
            </w14:solidFill>
          </w14:textFill>
        </w:rPr>
        <w:t>天以上（含</w:t>
      </w:r>
      <w:r>
        <w:rPr>
          <w:color w:val="000000" w:themeColor="text1"/>
          <w:highlight w:val="none"/>
          <w14:textFill>
            <w14:solidFill>
              <w14:schemeClr w14:val="tx1"/>
            </w14:solidFill>
          </w14:textFill>
        </w:rPr>
        <w:t>15</w:t>
      </w:r>
      <w:r>
        <w:rPr>
          <w:rFonts w:cs="宋体"/>
          <w:color w:val="000000" w:themeColor="text1"/>
          <w:highlight w:val="none"/>
          <w14:textFill>
            <w14:solidFill>
              <w14:schemeClr w14:val="tx1"/>
            </w14:solidFill>
          </w14:textFill>
        </w:rPr>
        <w:t>天）；</w:t>
      </w:r>
    </w:p>
    <w:p w14:paraId="6DC72526">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②乙方提交的设计成果文件违反国家相关强制性规定累计发生</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例（含</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例，设计成果文件中每</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处违反</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条强制性规定的为</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例）；</w:t>
      </w:r>
    </w:p>
    <w:p w14:paraId="1D64B645">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③如经过甲方或施工图审查单位或甲方委托的第三方对设计变更的审核，发现乙方违反合同约定对设计变更随意进行合并、分拆的累计出现4次以上（含4次）； </w:t>
      </w:r>
    </w:p>
    <w:p w14:paraId="24B6C0DA">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④如</w:t>
      </w:r>
      <w:r>
        <w:rPr>
          <w:rFonts w:hint="eastAsia" w:ascii="宋体" w:hAnsi="宋体" w:cs="宋体"/>
          <w:color w:val="000000" w:themeColor="text1"/>
          <w:kern w:val="0"/>
          <w:sz w:val="24"/>
          <w:szCs w:val="24"/>
          <w:highlight w:val="none"/>
          <w14:textFill>
            <w14:solidFill>
              <w14:schemeClr w14:val="tx1"/>
            </w14:solidFill>
          </w14:textFill>
        </w:rPr>
        <w:t>乙方的设计成果文件中含有明显倾向于某一专门厂商生产的设备、材料的描述，或</w:t>
      </w:r>
      <w:r>
        <w:rPr>
          <w:rFonts w:hint="eastAsia" w:ascii="宋体" w:hAnsi="宋体" w:cs="宋体"/>
          <w:color w:val="000000" w:themeColor="text1"/>
          <w:sz w:val="24"/>
          <w:szCs w:val="24"/>
          <w:highlight w:val="none"/>
          <w14:textFill>
            <w14:solidFill>
              <w14:schemeClr w14:val="tx1"/>
            </w14:solidFill>
          </w14:textFill>
        </w:rPr>
        <w:t xml:space="preserve">在其设计成果文件中选用了具有专一性、排他性的材料、设备而又未事先向甲方书面报告并详细说明理由的，累计出现4次以上（含4次）； </w:t>
      </w:r>
    </w:p>
    <w:p w14:paraId="6785CF98">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⑤乙方设计成果文件出现错、漏、碰，直接导致甲方招标工作进度、项目施工进度逾期累计</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天以上（含</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天），或累计达</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天（含</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天）以上的。</w:t>
      </w:r>
    </w:p>
    <w:p w14:paraId="23743891">
      <w:pPr>
        <w:pStyle w:val="13"/>
        <w:adjustRightInd w:val="0"/>
        <w:snapToGrid w:val="0"/>
        <w:spacing w:beforeAutospacing="0" w:afterAutospacing="0" w:line="360" w:lineRule="auto"/>
        <w:ind w:firstLine="360" w:firstLineChars="15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）二类设计事故（符合下列条件之一）：</w:t>
      </w:r>
    </w:p>
    <w:p w14:paraId="361B138D">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①乙方逾期提交设计成果文件</w:t>
      </w:r>
      <w:r>
        <w:rPr>
          <w:color w:val="000000" w:themeColor="text1"/>
          <w:highlight w:val="none"/>
          <w14:textFill>
            <w14:solidFill>
              <w14:schemeClr w14:val="tx1"/>
            </w14:solidFill>
          </w14:textFill>
        </w:rPr>
        <w:t>15</w:t>
      </w:r>
      <w:r>
        <w:rPr>
          <w:rFonts w:cs="宋体"/>
          <w:color w:val="000000" w:themeColor="text1"/>
          <w:highlight w:val="none"/>
          <w14:textFill>
            <w14:solidFill>
              <w14:schemeClr w14:val="tx1"/>
            </w14:solidFill>
          </w14:textFill>
        </w:rPr>
        <w:t>天（含</w:t>
      </w:r>
      <w:r>
        <w:rPr>
          <w:color w:val="000000" w:themeColor="text1"/>
          <w:highlight w:val="none"/>
          <w14:textFill>
            <w14:solidFill>
              <w14:schemeClr w14:val="tx1"/>
            </w14:solidFill>
          </w14:textFill>
        </w:rPr>
        <w:t>15</w:t>
      </w:r>
      <w:r>
        <w:rPr>
          <w:rFonts w:cs="宋体"/>
          <w:color w:val="000000" w:themeColor="text1"/>
          <w:highlight w:val="none"/>
          <w14:textFill>
            <w14:solidFill>
              <w14:schemeClr w14:val="tx1"/>
            </w14:solidFill>
          </w14:textFill>
        </w:rPr>
        <w:t>天），或累计达</w:t>
      </w:r>
      <w:r>
        <w:rPr>
          <w:color w:val="000000" w:themeColor="text1"/>
          <w:highlight w:val="none"/>
          <w14:textFill>
            <w14:solidFill>
              <w14:schemeClr w14:val="tx1"/>
            </w14:solidFill>
          </w14:textFill>
        </w:rPr>
        <w:t>20</w:t>
      </w:r>
      <w:r>
        <w:rPr>
          <w:rFonts w:cs="宋体"/>
          <w:color w:val="000000" w:themeColor="text1"/>
          <w:highlight w:val="none"/>
          <w14:textFill>
            <w14:solidFill>
              <w14:schemeClr w14:val="tx1"/>
            </w14:solidFill>
          </w14:textFill>
        </w:rPr>
        <w:t>天（含</w:t>
      </w:r>
      <w:r>
        <w:rPr>
          <w:color w:val="000000" w:themeColor="text1"/>
          <w:highlight w:val="none"/>
          <w14:textFill>
            <w14:solidFill>
              <w14:schemeClr w14:val="tx1"/>
            </w14:solidFill>
          </w14:textFill>
        </w:rPr>
        <w:t>20</w:t>
      </w:r>
      <w:r>
        <w:rPr>
          <w:rFonts w:cs="宋体"/>
          <w:color w:val="000000" w:themeColor="text1"/>
          <w:highlight w:val="none"/>
          <w14:textFill>
            <w14:solidFill>
              <w14:schemeClr w14:val="tx1"/>
            </w14:solidFill>
          </w14:textFill>
        </w:rPr>
        <w:t>天）的；</w:t>
      </w:r>
    </w:p>
    <w:p w14:paraId="528499CC">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②乙方提交的设计成果文件违反国家相关强制性规定累计发生</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例（含</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例，设计成果文件中每</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处违反</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条强制性规定的为</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例）；</w:t>
      </w:r>
    </w:p>
    <w:p w14:paraId="4D3B1A15">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③如经过甲方或施工图审查单位或甲方委托的第三方对设计变更的审核，发现乙方违反合同约定对设计变更随意进行合并、分拆的，累计出现7次（含7次）以上的； </w:t>
      </w:r>
    </w:p>
    <w:p w14:paraId="6F08D99C">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④如</w:t>
      </w:r>
      <w:r>
        <w:rPr>
          <w:rFonts w:hint="eastAsia" w:ascii="宋体" w:hAnsi="宋体" w:cs="宋体"/>
          <w:color w:val="000000" w:themeColor="text1"/>
          <w:kern w:val="0"/>
          <w:sz w:val="24"/>
          <w:szCs w:val="24"/>
          <w:highlight w:val="none"/>
          <w14:textFill>
            <w14:solidFill>
              <w14:schemeClr w14:val="tx1"/>
            </w14:solidFill>
          </w14:textFill>
        </w:rPr>
        <w:t>乙方的设计成果文件中含有明显倾向于某一专门厂商生产的设备、材料的描述，或</w:t>
      </w:r>
      <w:r>
        <w:rPr>
          <w:rFonts w:hint="eastAsia" w:ascii="宋体" w:hAnsi="宋体" w:cs="宋体"/>
          <w:color w:val="000000" w:themeColor="text1"/>
          <w:sz w:val="24"/>
          <w:szCs w:val="24"/>
          <w:highlight w:val="none"/>
          <w14:textFill>
            <w14:solidFill>
              <w14:schemeClr w14:val="tx1"/>
            </w14:solidFill>
          </w14:textFill>
        </w:rPr>
        <w:t>在其设计成果文件中选用了具有专一性、排他性的材料、设备而又未事先向甲方书面报告并详细说明理由的，累计出现7次（含7次）以上的；</w:t>
      </w:r>
    </w:p>
    <w:p w14:paraId="2436FE48">
      <w:pPr>
        <w:adjustRightInd w:val="0"/>
        <w:snapToGrid w:val="0"/>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w:t>
      </w:r>
      <w:r>
        <w:rPr>
          <w:rFonts w:hint="eastAsia" w:ascii="宋体" w:hAnsi="宋体" w:cs="宋体"/>
          <w:color w:val="000000" w:themeColor="text1"/>
          <w:sz w:val="24"/>
          <w:szCs w:val="24"/>
          <w:highlight w:val="none"/>
          <w14:textFill>
            <w14:solidFill>
              <w14:schemeClr w14:val="tx1"/>
            </w14:solidFill>
          </w14:textFill>
        </w:rPr>
        <w:t>乙方的设计成果文件无法实施的（包括乙方的设计成果文件中明示的施工方案、工艺及措施难度极大或现有的施工条件无法实现的；设计成果文件中拟采用的材料设备无法采购的）；</w:t>
      </w:r>
    </w:p>
    <w:p w14:paraId="53AB1202">
      <w:pPr>
        <w:adjustRightInd w:val="0"/>
        <w:snapToGrid w:val="0"/>
        <w:spacing w:line="360" w:lineRule="auto"/>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⑥乙方设计成果文件出现错、漏、碰，直接导致甲方招标工作进度、项目施工进度逾期累计10天（含10天），或累计达15天（含15天）以上的。</w:t>
      </w:r>
    </w:p>
    <w:p w14:paraId="5116C44A">
      <w:pPr>
        <w:adjustRightInd w:val="0"/>
        <w:snapToGrid w:val="0"/>
        <w:spacing w:line="360" w:lineRule="auto"/>
        <w:ind w:firstLine="482" w:firstLineChars="200"/>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如发生设计事故，经过甲方审定，甲方有权部分解除合同或解除合同。</w:t>
      </w:r>
    </w:p>
    <w:p w14:paraId="4D66CF5B">
      <w:pPr>
        <w:adjustRightInd w:val="0"/>
        <w:snapToGrid w:val="0"/>
        <w:spacing w:line="360" w:lineRule="auto"/>
        <w:ind w:firstLine="482" w:firstLineChars="200"/>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11.3</w:t>
      </w:r>
      <w:r>
        <w:rPr>
          <w:rFonts w:hint="eastAsia" w:ascii="宋体" w:hAnsi="宋体" w:cs="宋体"/>
          <w:color w:val="000000" w:themeColor="text1"/>
          <w:sz w:val="24"/>
          <w:szCs w:val="24"/>
          <w:highlight w:val="none"/>
          <w14:textFill>
            <w14:solidFill>
              <w14:schemeClr w14:val="tx1"/>
            </w14:solidFill>
          </w14:textFill>
        </w:rPr>
        <w:t>设计事故的认定方式及文件送达程序参照本合同条款第28.10款执行。</w:t>
      </w:r>
    </w:p>
    <w:p w14:paraId="14C2657B">
      <w:pPr>
        <w:adjustRightInd w:val="0"/>
        <w:snapToGrid w:val="0"/>
        <w:spacing w:line="360" w:lineRule="auto"/>
        <w:jc w:val="center"/>
        <w:rPr>
          <w:rFonts w:ascii="宋体" w:hAnsi="宋体" w:cs="宋体"/>
          <w:b/>
          <w:color w:val="000000" w:themeColor="text1"/>
          <w:sz w:val="30"/>
          <w:szCs w:val="30"/>
          <w:highlight w:val="none"/>
          <w14:textFill>
            <w14:solidFill>
              <w14:schemeClr w14:val="tx1"/>
            </w14:solidFill>
          </w14:textFill>
        </w:rPr>
      </w:pPr>
    </w:p>
    <w:p w14:paraId="157188BC">
      <w:pPr>
        <w:pStyle w:val="3"/>
        <w:keepNext w:val="0"/>
        <w:keepLines w:val="0"/>
        <w:widowControl/>
        <w:spacing w:before="0" w:after="0" w:line="410" w:lineRule="auto"/>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第六章 设计变更</w:t>
      </w:r>
    </w:p>
    <w:p w14:paraId="0349D9EE">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5407AE73">
      <w:pPr>
        <w:adjustRightInd w:val="0"/>
        <w:snapToGrid w:val="0"/>
        <w:spacing w:line="360" w:lineRule="auto"/>
        <w:ind w:firstLine="472" w:firstLineChars="196"/>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12、设计变更</w:t>
      </w:r>
    </w:p>
    <w:p w14:paraId="6EC832F6">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bCs/>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12.1</w:t>
      </w:r>
      <w:r>
        <w:rPr>
          <w:rFonts w:cs="宋体"/>
          <w:bCs/>
          <w:color w:val="000000" w:themeColor="text1"/>
          <w:highlight w:val="none"/>
          <w14:textFill>
            <w14:solidFill>
              <w14:schemeClr w14:val="tx1"/>
            </w14:solidFill>
          </w14:textFill>
        </w:rPr>
        <w:t>乙方应本着对工程质量、工期、投资等三大控制相结合的原则及甲方现行《设计变更管理办法》（合同附件</w:t>
      </w:r>
      <w:r>
        <w:rPr>
          <w:rFonts w:hint="eastAsia" w:cs="宋体"/>
          <w:bCs/>
          <w:color w:val="000000" w:themeColor="text1"/>
          <w:highlight w:val="none"/>
          <w:lang w:val="en-US" w:eastAsia="zh-CN"/>
          <w14:textFill>
            <w14:solidFill>
              <w14:schemeClr w14:val="tx1"/>
            </w14:solidFill>
          </w14:textFill>
        </w:rPr>
        <w:t>7</w:t>
      </w:r>
      <w:r>
        <w:rPr>
          <w:bCs/>
          <w:color w:val="000000" w:themeColor="text1"/>
          <w:highlight w:val="none"/>
          <w14:textFill>
            <w14:solidFill>
              <w14:schemeClr w14:val="tx1"/>
            </w14:solidFill>
          </w14:textFill>
        </w:rPr>
        <w:t>）中的相关规定对设计变更进行管理。</w:t>
      </w:r>
    </w:p>
    <w:p w14:paraId="775A2D8A">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12.2</w:t>
      </w:r>
      <w:r>
        <w:rPr>
          <w:rFonts w:cs="宋体"/>
          <w:color w:val="000000" w:themeColor="text1"/>
          <w:highlight w:val="none"/>
          <w14:textFill>
            <w14:solidFill>
              <w14:schemeClr w14:val="tx1"/>
            </w14:solidFill>
          </w14:textFill>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条款第</w:t>
      </w:r>
      <w:r>
        <w:rPr>
          <w:color w:val="000000" w:themeColor="text1"/>
          <w:highlight w:val="none"/>
          <w14:textFill>
            <w14:solidFill>
              <w14:schemeClr w14:val="tx1"/>
            </w14:solidFill>
          </w14:textFill>
        </w:rPr>
        <w:t>28</w:t>
      </w:r>
      <w:r>
        <w:rPr>
          <w:rFonts w:cs="宋体"/>
          <w:color w:val="000000" w:themeColor="text1"/>
          <w:highlight w:val="none"/>
          <w14:textFill>
            <w14:solidFill>
              <w14:schemeClr w14:val="tx1"/>
            </w14:solidFill>
          </w14:textFill>
        </w:rPr>
        <w:t>条的相关约定承担违约责任。</w:t>
      </w:r>
    </w:p>
    <w:p w14:paraId="296F33F2">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12.3</w:t>
      </w:r>
      <w:r>
        <w:rPr>
          <w:rFonts w:cs="宋体"/>
          <w:color w:val="000000" w:themeColor="text1"/>
          <w:highlight w:val="none"/>
          <w14:textFill>
            <w14:solidFill>
              <w14:schemeClr w14:val="tx1"/>
            </w14:solidFill>
          </w14:textFill>
        </w:rPr>
        <w:t>乙方应充分考虑中国的施工安装条件和水平、材料供应的条件（即充分考虑设计与施工的衔接），若由于设计错误导致无法施工或采购材料，乙方应无条件修改或重新设计，并按本合同条款第</w:t>
      </w:r>
      <w:r>
        <w:rPr>
          <w:color w:val="000000" w:themeColor="text1"/>
          <w:highlight w:val="none"/>
          <w14:textFill>
            <w14:solidFill>
              <w14:schemeClr w14:val="tx1"/>
            </w14:solidFill>
          </w14:textFill>
        </w:rPr>
        <w:t>28</w:t>
      </w:r>
      <w:r>
        <w:rPr>
          <w:rFonts w:cs="宋体"/>
          <w:color w:val="000000" w:themeColor="text1"/>
          <w:highlight w:val="none"/>
          <w14:textFill>
            <w14:solidFill>
              <w14:schemeClr w14:val="tx1"/>
            </w14:solidFill>
          </w14:textFill>
        </w:rPr>
        <w:t>条的相关约定承担违约责任。</w:t>
      </w:r>
    </w:p>
    <w:p w14:paraId="0BB3B75F">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12.4</w:t>
      </w:r>
      <w:r>
        <w:rPr>
          <w:rFonts w:cs="宋体"/>
          <w:color w:val="000000" w:themeColor="text1"/>
          <w:highlight w:val="none"/>
          <w14:textFill>
            <w14:solidFill>
              <w14:schemeClr w14:val="tx1"/>
            </w14:solidFill>
          </w14:textFill>
        </w:rPr>
        <w:t>乙方负责根据国家及地方的相关规范、规定及</w:t>
      </w:r>
      <w:r>
        <w:rPr>
          <w:rFonts w:cs="宋体"/>
          <w:bCs/>
          <w:color w:val="000000" w:themeColor="text1"/>
          <w:highlight w:val="none"/>
          <w14:textFill>
            <w14:solidFill>
              <w14:schemeClr w14:val="tx1"/>
            </w14:solidFill>
          </w14:textFill>
        </w:rPr>
        <w:t>甲方现行《设计变更管理办法》</w:t>
      </w:r>
      <w:r>
        <w:rPr>
          <w:rFonts w:cs="宋体"/>
          <w:color w:val="000000" w:themeColor="text1"/>
          <w:highlight w:val="none"/>
          <w14:textFill>
            <w14:solidFill>
              <w14:schemeClr w14:val="tx1"/>
            </w14:solidFill>
          </w14:textFill>
        </w:rPr>
        <w:t>（合同附件</w:t>
      </w:r>
      <w:r>
        <w:rPr>
          <w:rFonts w:hint="eastAsia" w:cs="宋体"/>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）对本合同实施过程中产生的图纸会审记录进行审核；图纸会审记录中的内容须乙方核准并转化为设计变更后方可作为正式的设计文件执行。</w:t>
      </w:r>
    </w:p>
    <w:p w14:paraId="38199A57">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12.5</w:t>
      </w:r>
      <w:r>
        <w:rPr>
          <w:rFonts w:cs="宋体"/>
          <w:color w:val="000000" w:themeColor="text1"/>
          <w:highlight w:val="none"/>
          <w14:textFill>
            <w14:solidFill>
              <w14:schemeClr w14:val="tx1"/>
            </w14:solidFill>
          </w14:textFill>
        </w:rPr>
        <w:t>乙方应在设计变更正式发出前对可能的方案进行比选，综合考虑工期、质量、造价等方面的因素，确保设计变更的经济性及有效性。</w:t>
      </w:r>
    </w:p>
    <w:p w14:paraId="6EE151BB">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12.6</w:t>
      </w:r>
      <w:r>
        <w:rPr>
          <w:rFonts w:cs="宋体"/>
          <w:color w:val="000000" w:themeColor="text1"/>
          <w:highlight w:val="none"/>
          <w14:textFill>
            <w14:solidFill>
              <w14:schemeClr w14:val="tx1"/>
            </w14:solidFill>
          </w14:textFill>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14:paraId="432DAE9C">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12.7</w:t>
      </w:r>
      <w:r>
        <w:rPr>
          <w:rFonts w:cs="宋体"/>
          <w:color w:val="000000" w:themeColor="text1"/>
          <w:highlight w:val="none"/>
          <w14:textFill>
            <w14:solidFill>
              <w14:schemeClr w14:val="tx1"/>
            </w14:solidFill>
          </w14:textFill>
        </w:rPr>
        <w:t>乙方应对本合同范围内的设计变更（包括由甲方另行发包的专项工程设计的设计变更和乙方分包的设计部分的设计变更）的完整性、有效性、正确性、可靠性、可操作性、经济性负总体责任，乙方应按</w:t>
      </w:r>
      <w:r>
        <w:rPr>
          <w:rFonts w:cs="宋体"/>
          <w:bCs/>
          <w:color w:val="000000" w:themeColor="text1"/>
          <w:highlight w:val="none"/>
          <w14:textFill>
            <w14:solidFill>
              <w14:schemeClr w14:val="tx1"/>
            </w14:solidFill>
          </w14:textFill>
        </w:rPr>
        <w:t>甲方现行《设计变更管理办法》</w:t>
      </w:r>
      <w:r>
        <w:rPr>
          <w:rFonts w:cs="宋体"/>
          <w:color w:val="000000" w:themeColor="text1"/>
          <w:highlight w:val="none"/>
          <w14:textFill>
            <w14:solidFill>
              <w14:schemeClr w14:val="tx1"/>
            </w14:solidFill>
          </w14:textFill>
        </w:rPr>
        <w:t>（合同附件</w:t>
      </w:r>
      <w:r>
        <w:rPr>
          <w:rFonts w:hint="eastAsia" w:cs="宋体"/>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）的相关要求对设计变更进行管理，不得随意分拆、合并设计变更。</w:t>
      </w:r>
    </w:p>
    <w:p w14:paraId="788732F9">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12.8</w:t>
      </w:r>
      <w:r>
        <w:rPr>
          <w:rFonts w:cs="宋体"/>
          <w:color w:val="000000" w:themeColor="text1"/>
          <w:highlight w:val="none"/>
          <w14:textFill>
            <w14:solidFill>
              <w14:schemeClr w14:val="tx1"/>
            </w14:solidFill>
          </w14:textFill>
        </w:rPr>
        <w:t>乙方应准确判定设计变更的类别，对因设计变更而引起的工程造价变化须提出预算造价分析，提交设计变更对工期影响评估的书面意见。</w:t>
      </w:r>
    </w:p>
    <w:p w14:paraId="0B865C1E">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12.9</w:t>
      </w:r>
      <w:r>
        <w:rPr>
          <w:rFonts w:hint="eastAsia" w:ascii="宋体" w:hAnsi="宋体" w:cs="宋体"/>
          <w:color w:val="000000" w:themeColor="text1"/>
          <w:kern w:val="0"/>
          <w:sz w:val="24"/>
          <w:szCs w:val="24"/>
          <w:highlight w:val="none"/>
          <w14:textFill>
            <w14:solidFill>
              <w14:schemeClr w14:val="tx1"/>
            </w14:solidFill>
          </w14:textFill>
        </w:rPr>
        <w:t>乙方有关设计的任何修改、变动或由于修改设计所引起的工艺、技术、材料、设备的变更均须经过甲方的同意。</w:t>
      </w:r>
    </w:p>
    <w:p w14:paraId="650B1C2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40B1D0DF">
      <w:pPr>
        <w:pStyle w:val="3"/>
        <w:keepNext w:val="0"/>
        <w:keepLines w:val="0"/>
        <w:widowControl/>
        <w:spacing w:before="0" w:after="0" w:line="41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第七章 工程投资控制</w:t>
      </w:r>
    </w:p>
    <w:p w14:paraId="3ADE08D2">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71035833">
      <w:pPr>
        <w:adjustRightInd w:val="0"/>
        <w:snapToGrid w:val="0"/>
        <w:spacing w:line="360" w:lineRule="auto"/>
        <w:ind w:firstLine="472" w:firstLineChars="196"/>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13、工程投资控制</w:t>
      </w:r>
    </w:p>
    <w:p w14:paraId="2E6F2D0E">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13.1</w:t>
      </w:r>
      <w:r>
        <w:rPr>
          <w:rFonts w:hint="eastAsia" w:ascii="宋体" w:hAnsi="宋体" w:cs="宋体"/>
          <w:color w:val="000000" w:themeColor="text1"/>
          <w:kern w:val="0"/>
          <w:sz w:val="24"/>
          <w:szCs w:val="24"/>
          <w:highlight w:val="none"/>
          <w14:textFill>
            <w14:solidFill>
              <w14:schemeClr w14:val="tx1"/>
            </w14:solidFill>
          </w14:textFill>
        </w:rPr>
        <w:t>乙方承诺在不降低设计任务书中的主要设计指标（建筑高度、建筑面积等）的前提下，确保工程设计概算不超过政府主管部门核准的工程投资估算总额</w:t>
      </w:r>
      <w:r>
        <w:rPr>
          <w:rFonts w:hint="default" w:ascii="宋体" w:hAnsi="宋体" w:cs="宋体"/>
          <w:color w:val="000000" w:themeColor="text1"/>
          <w:kern w:val="0"/>
          <w:sz w:val="24"/>
          <w:szCs w:val="24"/>
          <w:highlight w:val="none"/>
          <w14:textFill>
            <w14:solidFill>
              <w14:schemeClr w14:val="tx1"/>
            </w14:solidFill>
          </w14:textFill>
        </w:rPr>
        <w:t>及业主单位（或其他权责单位）审定的投资估算评审金额（如有）</w:t>
      </w:r>
      <w:r>
        <w:rPr>
          <w:rFonts w:hint="eastAsia" w:ascii="宋体" w:hAnsi="宋体" w:cs="宋体"/>
          <w:color w:val="000000" w:themeColor="text1"/>
          <w:kern w:val="0"/>
          <w:sz w:val="24"/>
          <w:szCs w:val="24"/>
          <w:highlight w:val="none"/>
          <w14:textFill>
            <w14:solidFill>
              <w14:schemeClr w14:val="tx1"/>
            </w14:solidFill>
          </w14:textFill>
        </w:rPr>
        <w:t>，</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不超过有权审核部门审定工程设计概算中的建安工程费总额。</w:t>
      </w:r>
    </w:p>
    <w:p w14:paraId="0AB44ED3">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13.2</w:t>
      </w:r>
      <w:r>
        <w:rPr>
          <w:rFonts w:hint="eastAsia" w:ascii="宋体" w:hAnsi="宋体" w:cs="宋体"/>
          <w:color w:val="000000" w:themeColor="text1"/>
          <w:kern w:val="0"/>
          <w:sz w:val="24"/>
          <w:szCs w:val="24"/>
          <w:highlight w:val="none"/>
          <w14:textFill>
            <w14:solidFill>
              <w14:schemeClr w14:val="tx1"/>
            </w14:solidFill>
          </w14:textFill>
        </w:rPr>
        <w:t>乙方编制的方案估算需达到工程设计概算总表深度，编制的工程设计概算需满足有权审核部门评审的要求，</w:t>
      </w:r>
      <w:r>
        <w:rPr>
          <w:rFonts w:hint="eastAsia" w:ascii="宋体" w:hAnsi="宋体" w:cs="宋体"/>
          <w:color w:val="000000" w:themeColor="text1"/>
          <w:sz w:val="24"/>
          <w:szCs w:val="24"/>
          <w:highlight w:val="none"/>
          <w14:textFill>
            <w14:solidFill>
              <w14:schemeClr w14:val="tx1"/>
            </w14:solidFill>
          </w14:textFill>
        </w:rPr>
        <w:t>编制的</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需满足甲方或甲方委托的第三方审核的要求，</w:t>
      </w:r>
      <w:r>
        <w:rPr>
          <w:rFonts w:hint="eastAsia" w:ascii="宋体" w:hAnsi="宋体" w:cs="宋体"/>
          <w:color w:val="000000" w:themeColor="text1"/>
          <w:kern w:val="0"/>
          <w:sz w:val="24"/>
          <w:szCs w:val="24"/>
          <w:highlight w:val="none"/>
          <w14:textFill>
            <w14:solidFill>
              <w14:schemeClr w14:val="tx1"/>
            </w14:solidFill>
          </w14:textFill>
        </w:rPr>
        <w:t>编制的设计变更预算达到</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深度要求，其他各阶段的造价文件编制需满足对应阶段造价文件深度要求。编制投资估算、概算、预算、结算等建设工程造价文件的质量偏差率，分别不得超过规定的20%、10%、5%、5%。</w:t>
      </w:r>
    </w:p>
    <w:p w14:paraId="2E361BC9">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13.3</w:t>
      </w:r>
      <w:r>
        <w:rPr>
          <w:rFonts w:hint="eastAsia" w:ascii="宋体" w:hAnsi="宋体" w:cs="宋体"/>
          <w:color w:val="000000" w:themeColor="text1"/>
          <w:kern w:val="0"/>
          <w:sz w:val="24"/>
          <w:szCs w:val="24"/>
          <w:highlight w:val="none"/>
          <w14:textFill>
            <w14:solidFill>
              <w14:schemeClr w14:val="tx1"/>
            </w14:solidFill>
          </w14:textFill>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14:paraId="0A7CECA9">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13.4</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须以通过施工图审查单位审查的施工图为基础进行编制，编制范围应包括本合同条款第三章约定的全部设计内容（甲方另外发包的各专项设计的内容的</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由其自行负责）。如招标过程中施工图发生调整，乙方应据此相应对</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进行调整并及时报送甲方，确保招标计划的顺利实施。</w:t>
      </w:r>
    </w:p>
    <w:p w14:paraId="543A9EB7">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13.5</w:t>
      </w:r>
      <w:r>
        <w:rPr>
          <w:rFonts w:hint="eastAsia" w:ascii="宋体" w:hAnsi="宋体" w:cs="宋体"/>
          <w:color w:val="000000" w:themeColor="text1"/>
          <w:kern w:val="0"/>
          <w:sz w:val="24"/>
          <w:szCs w:val="24"/>
          <w:highlight w:val="none"/>
          <w14:textFill>
            <w14:solidFill>
              <w14:schemeClr w14:val="tx1"/>
            </w14:solidFill>
          </w14:textFill>
        </w:rPr>
        <w:t>乙方须保证</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与甲方、施工图审查单位或甲方委托的第三方的审核结果的误差不超过±5%，且不超过有权审核部门审定的工程设计概算中的建安工程费总额，确保满足甲方对工程投资控制的要求。</w:t>
      </w:r>
    </w:p>
    <w:p w14:paraId="5068769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如果因乙方的过错造成</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超出经核准的工程设计概算，乙方必须在初步设计的基础上对施工图进行修改，并保证设计质量标准和施工进度。</w:t>
      </w:r>
    </w:p>
    <w:p w14:paraId="2D91EBEC">
      <w:pPr>
        <w:pStyle w:val="13"/>
        <w:widowControl w:val="0"/>
        <w:spacing w:beforeAutospacing="0" w:afterAutospacing="0"/>
        <w:ind w:firstLine="480" w:firstLineChars="200"/>
        <w:jc w:val="both"/>
        <w:rPr>
          <w:rFonts w:hint="default" w:ascii="Calibri" w:hAnsi="Calibri" w:cs="Calibri"/>
          <w:color w:val="000000" w:themeColor="text1"/>
          <w:highlight w:val="none"/>
          <w14:textFill>
            <w14:solidFill>
              <w14:schemeClr w14:val="tx1"/>
            </w14:solidFill>
          </w14:textFill>
        </w:rPr>
      </w:pPr>
    </w:p>
    <w:p w14:paraId="45C5E586">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第八章 设计评审</w:t>
      </w:r>
    </w:p>
    <w:p w14:paraId="355ABED6">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282743FC">
      <w:pPr>
        <w:adjustRightInd w:val="0"/>
        <w:snapToGrid w:val="0"/>
        <w:spacing w:line="360" w:lineRule="auto"/>
        <w:ind w:firstLine="48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14、设计评审</w:t>
      </w:r>
    </w:p>
    <w:p w14:paraId="7ACFD512">
      <w:pPr>
        <w:adjustRightInd w:val="0"/>
        <w:snapToGrid w:val="0"/>
        <w:spacing w:line="360" w:lineRule="auto"/>
        <w:ind w:firstLine="48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14.1</w:t>
      </w:r>
      <w:r>
        <w:rPr>
          <w:rFonts w:hint="eastAsia" w:ascii="宋体" w:hAnsi="宋体" w:cs="宋体"/>
          <w:color w:val="000000" w:themeColor="text1"/>
          <w:sz w:val="24"/>
          <w:szCs w:val="24"/>
          <w:highlight w:val="none"/>
          <w14:textFill>
            <w14:solidFill>
              <w14:schemeClr w14:val="tx1"/>
            </w14:solidFill>
          </w14:textFill>
        </w:rPr>
        <w:t>对乙方设计成果文件的设计评审包括国家相关行政主管部门及行业主管部门的审查、施工图审查单位的审查、甲方的设计管理部门及技术评审部门评审、甲方组织的专家评审。</w:t>
      </w:r>
    </w:p>
    <w:p w14:paraId="7089E21F">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14.2</w:t>
      </w:r>
      <w:r>
        <w:rPr>
          <w:rFonts w:hint="eastAsia" w:ascii="宋体" w:hAnsi="宋体" w:cs="宋体"/>
          <w:color w:val="000000" w:themeColor="text1"/>
          <w:kern w:val="0"/>
          <w:sz w:val="24"/>
          <w:szCs w:val="24"/>
          <w:highlight w:val="none"/>
          <w14:textFill>
            <w14:solidFill>
              <w14:schemeClr w14:val="tx1"/>
            </w14:solidFill>
          </w14:textFill>
        </w:rPr>
        <w:t>设计评审的依据包括：</w:t>
      </w:r>
    </w:p>
    <w:p w14:paraId="5E929B8E">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（1）国家、省、市的施工图设计审查的相关规定；</w:t>
      </w:r>
    </w:p>
    <w:p w14:paraId="19D02CFF">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（2）消防、节能、环保、抗震、卫生、人防等有关工程建设的强制性标准和规范；</w:t>
      </w:r>
    </w:p>
    <w:p w14:paraId="4E826B84">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（3）本合同工程的相关政府批文（包括但不限于立项许可文件、用地规划文件等）；</w:t>
      </w:r>
    </w:p>
    <w:p w14:paraId="280E7C21">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（4）本合同中与设计工作的内容、范围、管理、服务相关的约定；</w:t>
      </w:r>
    </w:p>
    <w:p w14:paraId="14E894B2">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（5）甲方关于设计、图档、图文、工程等的相关管理办法及规定；</w:t>
      </w:r>
    </w:p>
    <w:p w14:paraId="0CF419A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（6）政府相关行政主管部门、行业主管部门对乙方设计成果文件的审批意见；</w:t>
      </w:r>
    </w:p>
    <w:p w14:paraId="0E688346">
      <w:pPr>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（7）甲方在设计过程中提出的明确书面意见。</w:t>
      </w:r>
    </w:p>
    <w:p w14:paraId="381A4124">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14.3</w:t>
      </w:r>
      <w:r>
        <w:rPr>
          <w:rFonts w:hint="eastAsia" w:ascii="宋体" w:hAnsi="宋体" w:cs="宋体"/>
          <w:color w:val="000000" w:themeColor="text1"/>
          <w:kern w:val="0"/>
          <w:sz w:val="24"/>
          <w:szCs w:val="24"/>
          <w:highlight w:val="none"/>
          <w14:textFill>
            <w14:solidFill>
              <w14:schemeClr w14:val="tx1"/>
            </w14:solidFill>
          </w14:textFill>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14:paraId="47543993">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甲方将组织专家对</w:t>
      </w:r>
      <w:r>
        <w:rPr>
          <w:rFonts w:ascii="宋体" w:hAnsi="宋体" w:cs="宋体"/>
          <w:color w:val="000000" w:themeColor="text1"/>
          <w:kern w:val="0"/>
          <w:sz w:val="24"/>
          <w:szCs w:val="24"/>
          <w:highlight w:val="none"/>
          <w14:textFill>
            <w14:solidFill>
              <w14:schemeClr w14:val="tx1"/>
            </w14:solidFill>
          </w14:textFill>
        </w:rPr>
        <w:t>方案设计（含规划、专项方案设计）、</w:t>
      </w:r>
      <w:r>
        <w:rPr>
          <w:rFonts w:hint="eastAsia" w:ascii="宋体" w:hAnsi="宋体" w:cs="宋体"/>
          <w:color w:val="000000" w:themeColor="text1"/>
          <w:kern w:val="0"/>
          <w:sz w:val="24"/>
          <w:szCs w:val="24"/>
          <w:highlight w:val="none"/>
          <w14:textFill>
            <w14:solidFill>
              <w14:schemeClr w14:val="tx1"/>
            </w14:solidFill>
          </w14:textFill>
        </w:rPr>
        <w:t>初步设计及施工图设计成果文件进行质量审核，</w:t>
      </w:r>
      <w:r>
        <w:rPr>
          <w:rFonts w:ascii="宋体" w:hAnsi="宋体" w:cs="宋体"/>
          <w:color w:val="000000" w:themeColor="text1"/>
          <w:kern w:val="0"/>
          <w:sz w:val="24"/>
          <w:szCs w:val="24"/>
          <w:highlight w:val="none"/>
          <w14:textFill>
            <w14:solidFill>
              <w14:schemeClr w14:val="tx1"/>
            </w14:solidFill>
          </w14:textFill>
        </w:rPr>
        <w:t>相关审核费用（含场地费、专家劳务费等）由乙方在工程设计费中综合考虑，不再另行计取。</w:t>
      </w:r>
      <w:r>
        <w:rPr>
          <w:rFonts w:hint="eastAsia" w:ascii="宋体" w:hAnsi="宋体" w:cs="宋体"/>
          <w:color w:val="000000" w:themeColor="text1"/>
          <w:kern w:val="0"/>
          <w:sz w:val="24"/>
          <w:szCs w:val="24"/>
          <w:highlight w:val="none"/>
          <w14:textFill>
            <w14:solidFill>
              <w14:schemeClr w14:val="tx1"/>
            </w14:solidFill>
          </w14:textFill>
        </w:rPr>
        <w:t>如审核发现相关设计成果文件不符合国家设计规范要求、设计深度要求，存在错漏碰、不完整、不合理、不统一等情况，乙方应及时对设计文件进行修改、完善。</w:t>
      </w:r>
    </w:p>
    <w:p w14:paraId="68CCD789">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14.4</w:t>
      </w:r>
      <w:r>
        <w:rPr>
          <w:rFonts w:hint="eastAsia" w:ascii="宋体" w:hAnsi="宋体" w:cs="宋体"/>
          <w:color w:val="000000" w:themeColor="text1"/>
          <w:kern w:val="0"/>
          <w:sz w:val="24"/>
          <w:szCs w:val="24"/>
          <w:highlight w:val="none"/>
          <w14:textFill>
            <w14:solidFill>
              <w14:schemeClr w14:val="tx1"/>
            </w14:solidFill>
          </w14:textFill>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14:paraId="65C8CBF9">
      <w:pPr>
        <w:adjustRightInd w:val="0"/>
        <w:snapToGrid w:val="0"/>
        <w:spacing w:line="360" w:lineRule="auto"/>
        <w:ind w:firstLine="48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14.5</w:t>
      </w:r>
      <w:r>
        <w:rPr>
          <w:rFonts w:hint="eastAsia" w:ascii="宋体" w:hAnsi="宋体" w:cs="宋体"/>
          <w:color w:val="000000" w:themeColor="text1"/>
          <w:kern w:val="0"/>
          <w:sz w:val="24"/>
          <w:szCs w:val="24"/>
          <w:highlight w:val="none"/>
          <w14:textFill>
            <w14:solidFill>
              <w14:schemeClr w14:val="tx1"/>
            </w14:solidFill>
          </w14:textFill>
        </w:rPr>
        <w:t>如乙方未能在设计评审的最终意见发出之日起3日内积极响应或逾期未能完成相关设计成果文件的修改完善工作，乙方应按本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7F7FA851">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14.6</w:t>
      </w:r>
      <w:r>
        <w:rPr>
          <w:rFonts w:hint="eastAsia" w:ascii="宋体" w:hAnsi="宋体" w:cs="宋体"/>
          <w:color w:val="000000" w:themeColor="text1"/>
          <w:kern w:val="0"/>
          <w:sz w:val="24"/>
          <w:szCs w:val="24"/>
          <w:highlight w:val="none"/>
          <w14:textFill>
            <w14:solidFill>
              <w14:schemeClr w14:val="tx1"/>
            </w14:solidFill>
          </w14:textFill>
        </w:rPr>
        <w:t>甲方有权根据乙方提交的各阶段的设计成果文件的设计评审意见、乙方在履行合同各阶段提供的设计服务（包括报审报建服务、招标配合服务、施工阶段的现场服务、结算配合服务的评价、保修阶段的服务）的实际情况，依照甲方现行管理制度对乙方进行考核，并根据考核结果按照本合同条款的相关约定支付设计收费。</w:t>
      </w:r>
    </w:p>
    <w:p w14:paraId="2693DB1F">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ascii="宋体" w:hAnsi="宋体" w:cs="宋体"/>
          <w:b/>
          <w:bCs/>
          <w:color w:val="000000" w:themeColor="text1"/>
          <w:kern w:val="0"/>
          <w:sz w:val="24"/>
          <w:szCs w:val="24"/>
          <w:highlight w:val="none"/>
          <w14:textFill>
            <w14:solidFill>
              <w14:schemeClr w14:val="tx1"/>
            </w14:solidFill>
          </w14:textFill>
        </w:rPr>
        <w:t>14.7</w:t>
      </w:r>
      <w:r>
        <w:rPr>
          <w:rFonts w:ascii="宋体" w:hAnsi="宋体" w:cs="宋体"/>
          <w:color w:val="000000" w:themeColor="text1"/>
          <w:kern w:val="0"/>
          <w:sz w:val="24"/>
          <w:szCs w:val="24"/>
          <w:highlight w:val="none"/>
          <w14:textFill>
            <w14:solidFill>
              <w14:schemeClr w14:val="tx1"/>
            </w14:solidFill>
          </w14:textFill>
        </w:rPr>
        <w:t>施工阶段，如因乙方自身设计问题导致需要组织专家评审会对设计成果文件进行审核、论证的，由此产生的审核、论证相关费用由乙方自行承担。</w:t>
      </w:r>
    </w:p>
    <w:p w14:paraId="1EA3BB5B">
      <w:pPr>
        <w:adjustRightInd w:val="0"/>
        <w:snapToGrid w:val="0"/>
        <w:spacing w:line="360" w:lineRule="auto"/>
        <w:ind w:firstLine="424" w:firstLineChars="177"/>
        <w:jc w:val="left"/>
        <w:rPr>
          <w:rFonts w:ascii="宋体" w:hAnsi="宋体" w:cs="宋体"/>
          <w:color w:val="000000" w:themeColor="text1"/>
          <w:kern w:val="0"/>
          <w:sz w:val="24"/>
          <w:szCs w:val="24"/>
          <w:highlight w:val="none"/>
          <w14:textFill>
            <w14:solidFill>
              <w14:schemeClr w14:val="tx1"/>
            </w14:solidFill>
          </w14:textFill>
        </w:rPr>
      </w:pPr>
    </w:p>
    <w:p w14:paraId="667C6149">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第九章  设计收费的计取及支付</w:t>
      </w:r>
    </w:p>
    <w:p w14:paraId="1EE63710">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7D77E38B">
      <w:pPr>
        <w:adjustRightInd w:val="0"/>
        <w:snapToGrid w:val="0"/>
        <w:spacing w:line="360" w:lineRule="auto"/>
        <w:ind w:left="963" w:leftChars="229" w:hanging="482" w:hangingChars="2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15、设计收费的计取</w:t>
      </w:r>
    </w:p>
    <w:p w14:paraId="78526F5C">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15.1</w:t>
      </w:r>
      <w:r>
        <w:rPr>
          <w:rFonts w:hint="eastAsia" w:ascii="宋体" w:hAnsi="宋体" w:cs="宋体"/>
          <w:color w:val="000000" w:themeColor="text1"/>
          <w:kern w:val="0"/>
          <w:sz w:val="24"/>
          <w:szCs w:val="24"/>
          <w:highlight w:val="none"/>
          <w14:textFill>
            <w14:solidFill>
              <w14:schemeClr w14:val="tx1"/>
            </w14:solidFill>
          </w14:textFill>
        </w:rPr>
        <w:t>基本原则</w:t>
      </w:r>
    </w:p>
    <w:p w14:paraId="4E23AF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79" w:firstLineChars="199"/>
        <w:jc w:val="both"/>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15.1.1</w:t>
      </w:r>
      <w:r>
        <w:rPr>
          <w:rFonts w:hint="eastAsia" w:ascii="宋体" w:hAnsi="宋体" w:cs="宋体"/>
          <w:color w:val="000000" w:themeColor="text1"/>
          <w:kern w:val="0"/>
          <w:sz w:val="24"/>
          <w:szCs w:val="24"/>
          <w:highlight w:val="none"/>
          <w14:textFill>
            <w14:solidFill>
              <w14:schemeClr w14:val="tx1"/>
            </w14:solidFill>
          </w14:textFill>
        </w:rPr>
        <w:t>本项目设计收费中各项费用的中标价即为设计收费合同签约价。设计收费包括工程设计费</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设计方案报审</w:t>
      </w:r>
      <w:r>
        <w:rPr>
          <w:rFonts w:hint="eastAsia" w:ascii="宋体" w:hAnsi="宋体" w:eastAsia="宋体" w:cs="Times New Roman"/>
          <w:color w:val="000000" w:themeColor="text1"/>
          <w:sz w:val="24"/>
          <w:szCs w:val="24"/>
          <w:highlight w:val="none"/>
          <w:u w:val="none"/>
          <w14:textFill>
            <w14:solidFill>
              <w14:schemeClr w14:val="tx1"/>
            </w14:solidFill>
          </w14:textFill>
        </w:rPr>
        <w:t>（含修建性详细规划编制）</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费</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BIM正向设计技术应用费</w:t>
      </w:r>
      <w:r>
        <w:rPr>
          <w:rFonts w:hint="eastAsia" w:ascii="宋体" w:hAnsi="宋体" w:cs="宋体"/>
          <w:color w:val="000000" w:themeColor="text1"/>
          <w:kern w:val="0"/>
          <w:sz w:val="24"/>
          <w:szCs w:val="24"/>
          <w:highlight w:val="none"/>
          <w14:textFill>
            <w14:solidFill>
              <w14:schemeClr w14:val="tx1"/>
            </w14:solidFill>
          </w14:textFill>
        </w:rPr>
        <w:t>等。</w:t>
      </w:r>
    </w:p>
    <w:p w14:paraId="0F2AB9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79" w:firstLineChars="199"/>
        <w:jc w:val="both"/>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15.1.2</w:t>
      </w:r>
      <w:r>
        <w:rPr>
          <w:rFonts w:hint="eastAsia" w:ascii="宋体" w:hAnsi="宋体" w:cs="宋体"/>
          <w:color w:val="000000" w:themeColor="text1"/>
          <w:kern w:val="0"/>
          <w:sz w:val="24"/>
          <w:szCs w:val="24"/>
          <w:highlight w:val="none"/>
          <w14:textFill>
            <w14:solidFill>
              <w14:schemeClr w14:val="tx1"/>
            </w14:solidFill>
          </w14:textFill>
        </w:rPr>
        <w:t>本合同设计收费已包括完成本项目设计范围内所有设计工作所需的费用，计取时已综合考虑各种费率变化、物价变动。</w:t>
      </w:r>
    </w:p>
    <w:p w14:paraId="5916022A">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15.2</w:t>
      </w:r>
      <w:r>
        <w:rPr>
          <w:rFonts w:hint="eastAsia" w:ascii="宋体" w:hAnsi="宋体" w:cs="宋体"/>
          <w:color w:val="000000" w:themeColor="text1"/>
          <w:kern w:val="0"/>
          <w:sz w:val="24"/>
          <w:szCs w:val="24"/>
          <w:highlight w:val="none"/>
          <w14:textFill>
            <w14:solidFill>
              <w14:schemeClr w14:val="tx1"/>
            </w14:solidFill>
          </w14:textFill>
        </w:rPr>
        <w:t>本合同工程设计费为完成本合同条款中所描述的设计及服务工作内容及要求的全部费用，分为</w:t>
      </w:r>
      <w:r>
        <w:rPr>
          <w:rFonts w:hint="default" w:ascii="宋体" w:hAnsi="宋体" w:cs="宋体"/>
          <w:color w:val="000000" w:themeColor="text1"/>
          <w:kern w:val="0"/>
          <w:sz w:val="24"/>
          <w:szCs w:val="24"/>
          <w:highlight w:val="none"/>
          <w14:textFill>
            <w14:solidFill>
              <w14:schemeClr w14:val="tx1"/>
            </w14:solidFill>
          </w14:textFill>
        </w:rPr>
        <w:t>技术设计费</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编制费、其它设计收费三部分：</w:t>
      </w:r>
    </w:p>
    <w:p w14:paraId="65AAF1C8">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r>
        <w:rPr>
          <w:rFonts w:hint="default" w:ascii="宋体" w:hAnsi="宋体" w:cs="宋体"/>
          <w:color w:val="000000" w:themeColor="text1"/>
          <w:sz w:val="24"/>
          <w:szCs w:val="24"/>
          <w:highlight w:val="none"/>
          <w14:textFill>
            <w14:solidFill>
              <w14:schemeClr w14:val="tx1"/>
            </w14:solidFill>
          </w14:textFill>
        </w:rPr>
        <w:t>技术设计费</w:t>
      </w:r>
      <w:r>
        <w:rPr>
          <w:rFonts w:hint="eastAsia" w:ascii="宋体" w:hAnsi="宋体" w:cs="宋体"/>
          <w:color w:val="000000" w:themeColor="text1"/>
          <w:kern w:val="0"/>
          <w:sz w:val="24"/>
          <w:szCs w:val="24"/>
          <w:highlight w:val="none"/>
          <w14:textFill>
            <w14:solidFill>
              <w14:schemeClr w14:val="tx1"/>
            </w14:solidFill>
          </w14:textFill>
        </w:rPr>
        <w:t>：</w:t>
      </w:r>
      <w:r>
        <w:rPr>
          <w:rFonts w:hint="default" w:ascii="宋体" w:hAnsi="宋体" w:cs="宋体"/>
          <w:color w:val="000000" w:themeColor="text1"/>
          <w:kern w:val="0"/>
          <w:sz w:val="24"/>
          <w:szCs w:val="24"/>
          <w:highlight w:val="none"/>
          <w14:textFill>
            <w14:solidFill>
              <w14:schemeClr w14:val="tx1"/>
            </w14:solidFill>
          </w14:textFill>
        </w:rPr>
        <w:t>技术设计费</w:t>
      </w:r>
      <w:r>
        <w:rPr>
          <w:rFonts w:hint="eastAsia" w:ascii="宋体" w:hAnsi="宋体" w:cs="宋体"/>
          <w:color w:val="000000" w:themeColor="text1"/>
          <w:kern w:val="0"/>
          <w:sz w:val="24"/>
          <w:szCs w:val="24"/>
          <w:highlight w:val="none"/>
          <w14:textFill>
            <w14:solidFill>
              <w14:schemeClr w14:val="tx1"/>
            </w14:solidFill>
          </w14:textFill>
        </w:rPr>
        <w:t>包含分项工程设计费、工程投资估算编制费、工程设计概算编制费、报审报建配合服务费、招标配合服务费、现场服务费、完整版施工图设计费、工程结算配合服务费、工程保修阶段服务费。具体如下：</w:t>
      </w:r>
    </w:p>
    <w:p w14:paraId="14854EB5">
      <w:pPr>
        <w:adjustRightInd w:val="0"/>
        <w:snapToGrid w:val="0"/>
        <w:spacing w:line="360" w:lineRule="auto"/>
        <w:ind w:firstLine="477" w:firstLineChars="199"/>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分项工程设计费：指乙方按本合同规定工作内容及要求完成各分项工程的方案设计成果文件、初步设计成果文件、施工图设计成果文件、配合有关部门对设计成果文件的审查的费用。</w:t>
      </w:r>
    </w:p>
    <w:p w14:paraId="16B1E932">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工程投资估算编制费：指乙方根据合同约定编制工程投资估算的费用。</w:t>
      </w:r>
    </w:p>
    <w:p w14:paraId="77172188">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工程设计概算编制费：指乙方根据甲方关于本项目工程概算文件编制的指引文件（合同附件</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）的规定编制初步设计概算的费用。</w:t>
      </w:r>
    </w:p>
    <w:p w14:paraId="18AB4731">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报审报建配合服务费：指乙方根据本合同条款第7.2款的约定，配合本合同工程报审报建过程中进行必要的技术协调、送审技术性文件等工作的费用。</w:t>
      </w:r>
    </w:p>
    <w:p w14:paraId="5926B85E">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招标配合服务费：指乙方根据本合同条款第7.3款的约定，配合甲方各项招标工作的费用，服务内容包括：配合甲方核对招标工程量清单，配合招标图纸答疑，配合甲方进行施工招标、设备材料采购招标工作，提供招标文件技术部分的具体要求，并根据甲方的要求配合甲方进行合同技术条款的谈判工作，其他有关工程招标阶段的配合工作等。</w:t>
      </w:r>
    </w:p>
    <w:p w14:paraId="11DDC06A">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现场服务费：按本合同条款第7.4款的约定，在施工过程中乙方参加施工图纸会审、按约定的时间和质量提供设计成果文件的修改及变更、技术交底、解决施工中的设计技术问题、参加系统调试和联合调试、参加竣工验收等所发生的费用。</w:t>
      </w:r>
    </w:p>
    <w:p w14:paraId="147CEA51">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完整版施工图设计费：指乙方按本合同条款第6.6.1（4）款规定及要求完成最终版的施工图并向甲方提交设计成果文件的费用。</w:t>
      </w:r>
    </w:p>
    <w:p w14:paraId="12150237">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工程结算配合服务费：指乙方根据本合同条款第7.5款的约定，配合甲方进行本合同设计范围的工程竣工结算工作（包括完善施工过程中的设计变更文件、对结算审核部门提出的有关设计问题进行澄清、其他有关工程竣工结算阶段的配合工作等）所发生的费用。</w:t>
      </w:r>
    </w:p>
    <w:p w14:paraId="2368C725">
      <w:pPr>
        <w:adjustRightInd w:val="0"/>
        <w:snapToGrid w:val="0"/>
        <w:spacing w:line="360" w:lineRule="auto"/>
        <w:ind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9）工程保修阶段服务费：指乙方根据本合同条款第7.6款的约定，在工程保修阶段（竣工证书发出之日起开始计算，为期两年）提供相关服务的费用。</w:t>
      </w:r>
    </w:p>
    <w:p w14:paraId="4F709DF2">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（2）</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编制费：指乙方根据甲方关于本项目工程量清单计价的指引文件（合同附件</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）的要求编制</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的费用。</w:t>
      </w:r>
      <w:r>
        <w:rPr>
          <w:rFonts w:hint="eastAsia" w:ascii="宋体" w:hAnsi="宋体" w:cs="宋体"/>
          <w:bCs/>
          <w:color w:val="000000" w:themeColor="text1"/>
          <w:kern w:val="0"/>
          <w:sz w:val="24"/>
          <w:szCs w:val="24"/>
          <w:highlight w:val="none"/>
          <w14:textFill>
            <w14:solidFill>
              <w14:schemeClr w14:val="tx1"/>
            </w14:solidFill>
          </w14:textFill>
        </w:rPr>
        <w:t>占工程设计费总额的10%</w:t>
      </w:r>
      <w:r>
        <w:rPr>
          <w:rFonts w:hint="eastAsia" w:ascii="宋体" w:hAnsi="宋体" w:cs="宋体"/>
          <w:color w:val="000000" w:themeColor="text1"/>
          <w:sz w:val="24"/>
          <w:szCs w:val="24"/>
          <w:highlight w:val="none"/>
          <w14:textFill>
            <w14:solidFill>
              <w14:schemeClr w14:val="tx1"/>
            </w14:solidFill>
          </w14:textFill>
        </w:rPr>
        <w:t>。</w:t>
      </w:r>
    </w:p>
    <w:p w14:paraId="2B6560F5">
      <w:pPr>
        <w:adjustRightInd w:val="0"/>
        <w:snapToGrid w:val="0"/>
        <w:spacing w:line="360" w:lineRule="auto"/>
        <w:ind w:left="2"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（3）其它设计收费包括：</w:t>
      </w:r>
    </w:p>
    <w:p w14:paraId="68D6C470">
      <w:pPr>
        <w:adjustRightInd w:val="0"/>
        <w:snapToGrid w:val="0"/>
        <w:spacing w:line="360" w:lineRule="auto"/>
        <w:ind w:left="2" w:firstLine="477" w:firstLineChars="199"/>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1）设计协调费</w:t>
      </w:r>
      <w:r>
        <w:rPr>
          <w:rFonts w:hint="eastAsia" w:ascii="宋体" w:hAnsi="宋体" w:cs="宋体"/>
          <w:color w:val="000000" w:themeColor="text1"/>
          <w:sz w:val="24"/>
          <w:szCs w:val="24"/>
          <w:highlight w:val="none"/>
          <w14:textFill>
            <w14:solidFill>
              <w14:schemeClr w14:val="tx1"/>
            </w14:solidFill>
          </w14:textFill>
        </w:rPr>
        <w:t>：指乙方按本合同条款第4.2款的约定，提供设计协调服务的费用。</w:t>
      </w:r>
    </w:p>
    <w:p w14:paraId="424474E6">
      <w:pPr>
        <w:adjustRightInd w:val="0"/>
        <w:snapToGrid w:val="0"/>
        <w:spacing w:line="360" w:lineRule="auto"/>
        <w:ind w:left="2" w:leftChars="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2）驻场设计费：指乙方按</w:t>
      </w:r>
      <w:r>
        <w:rPr>
          <w:rFonts w:hint="eastAsia" w:ascii="宋体" w:hAnsi="宋体" w:cs="宋体"/>
          <w:color w:val="000000" w:themeColor="text1"/>
          <w:sz w:val="24"/>
          <w:szCs w:val="24"/>
          <w:highlight w:val="none"/>
          <w14:textFill>
            <w14:solidFill>
              <w14:schemeClr w14:val="tx1"/>
            </w14:solidFill>
          </w14:textFill>
        </w:rPr>
        <w:t>本合同条款第7.1款</w:t>
      </w:r>
      <w:r>
        <w:rPr>
          <w:rFonts w:hint="eastAsia" w:ascii="宋体" w:hAnsi="宋体" w:cs="宋体"/>
          <w:color w:val="000000" w:themeColor="text1"/>
          <w:kern w:val="0"/>
          <w:sz w:val="24"/>
          <w:szCs w:val="24"/>
          <w:highlight w:val="none"/>
          <w14:textFill>
            <w14:solidFill>
              <w14:schemeClr w14:val="tx1"/>
            </w14:solidFill>
          </w14:textFill>
        </w:rPr>
        <w:t>的约定，提供驻场设计和驻场服务所发生的费用</w:t>
      </w:r>
      <w:r>
        <w:rPr>
          <w:rFonts w:hint="eastAsia" w:ascii="宋体" w:hAnsi="宋体" w:cs="宋体"/>
          <w:color w:val="000000" w:themeColor="text1"/>
          <w:sz w:val="24"/>
          <w:szCs w:val="24"/>
          <w:highlight w:val="none"/>
          <w14:textFill>
            <w14:solidFill>
              <w14:schemeClr w14:val="tx1"/>
            </w14:solidFill>
          </w14:textFill>
        </w:rPr>
        <w:t>。</w:t>
      </w:r>
    </w:p>
    <w:p w14:paraId="3DDF5A6D">
      <w:pPr>
        <w:adjustRightInd w:val="0"/>
        <w:snapToGrid w:val="0"/>
        <w:spacing w:line="360" w:lineRule="auto"/>
        <w:ind w:left="2" w:leftChars="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3）其他费用：</w:t>
      </w:r>
      <w:r>
        <w:rPr>
          <w:rFonts w:hint="eastAsia" w:ascii="宋体" w:hAnsi="宋体" w:cs="宋体"/>
          <w:bCs/>
          <w:color w:val="000000" w:themeColor="text1"/>
          <w:kern w:val="0"/>
          <w:sz w:val="24"/>
          <w:szCs w:val="24"/>
          <w:highlight w:val="none"/>
          <w14:textFill>
            <w14:solidFill>
              <w14:schemeClr w14:val="tx1"/>
            </w14:solidFill>
          </w14:textFill>
        </w:rPr>
        <w:t>指在本合同条款未包含但符合招标文件及合同约定的其它费用，</w:t>
      </w:r>
      <w:r>
        <w:rPr>
          <w:rFonts w:hint="eastAsia" w:ascii="宋体" w:hAnsi="宋体" w:cs="宋体"/>
          <w:color w:val="000000" w:themeColor="text1"/>
          <w:kern w:val="0"/>
          <w:sz w:val="24"/>
          <w:szCs w:val="24"/>
          <w:highlight w:val="none"/>
          <w14:textFill>
            <w14:solidFill>
              <w14:schemeClr w14:val="tx1"/>
            </w14:solidFill>
          </w14:textFill>
        </w:rPr>
        <w:t>包括施工阶段的设计变更造价变化分析、设计文件修改完善等费用。</w:t>
      </w:r>
    </w:p>
    <w:p w14:paraId="615C8A7E">
      <w:pPr>
        <w:keepNext w:val="0"/>
        <w:keepLines w:val="0"/>
        <w:pageBreakBefore w:val="0"/>
        <w:widowControl w:val="0"/>
        <w:kinsoku/>
        <w:wordWrap/>
        <w:overflowPunct/>
        <w:topLinePunct w:val="0"/>
        <w:autoSpaceDE/>
        <w:autoSpaceDN/>
        <w:bidi w:val="0"/>
        <w:adjustRightInd w:val="0"/>
        <w:snapToGrid w:val="0"/>
        <w:spacing w:line="360" w:lineRule="auto"/>
        <w:ind w:left="0" w:firstLine="479" w:firstLineChars="199"/>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15.3</w:t>
      </w:r>
      <w:r>
        <w:rPr>
          <w:rFonts w:hint="eastAsia" w:ascii="宋体" w:hAnsi="宋体" w:cs="宋体"/>
          <w:bCs/>
          <w:color w:val="000000" w:themeColor="text1"/>
          <w:kern w:val="0"/>
          <w:sz w:val="24"/>
          <w:szCs w:val="24"/>
          <w:highlight w:val="none"/>
          <w14:textFill>
            <w14:solidFill>
              <w14:schemeClr w14:val="tx1"/>
            </w14:solidFill>
          </w14:textFill>
        </w:rPr>
        <w:t>工程</w:t>
      </w:r>
      <w:r>
        <w:rPr>
          <w:rFonts w:hint="eastAsia" w:ascii="宋体" w:hAnsi="宋体" w:cs="宋体"/>
          <w:color w:val="000000" w:themeColor="text1"/>
          <w:kern w:val="0"/>
          <w:sz w:val="24"/>
          <w:szCs w:val="24"/>
          <w:highlight w:val="none"/>
          <w14:textFill>
            <w14:solidFill>
              <w14:schemeClr w14:val="tx1"/>
            </w14:solidFill>
          </w14:textFill>
        </w:rPr>
        <w:t>设计费的计取及结算方式按下列约定执行：</w:t>
      </w:r>
    </w:p>
    <w:p w14:paraId="69600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77" w:firstLineChars="199"/>
        <w:jc w:val="both"/>
        <w:textAlignment w:val="auto"/>
        <w:outlineLvl w:val="4"/>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b/>
          <w:color w:val="000000" w:themeColor="text1"/>
          <w:kern w:val="0"/>
          <w:sz w:val="24"/>
          <w:szCs w:val="24"/>
          <w:highlight w:val="none"/>
          <w14:textFill>
            <w14:solidFill>
              <w14:schemeClr w14:val="tx1"/>
            </w14:solidFill>
          </w14:textFill>
        </w:rPr>
        <w:t>15.3.1</w:t>
      </w:r>
      <w:r>
        <w:rPr>
          <w:rFonts w:hint="eastAsia" w:ascii="宋体" w:hAnsi="宋体" w:cs="宋体"/>
          <w:color w:val="000000" w:themeColor="text1"/>
          <w:sz w:val="24"/>
          <w:szCs w:val="24"/>
          <w:highlight w:val="none"/>
          <w14:textFill>
            <w14:solidFill>
              <w14:schemeClr w14:val="tx1"/>
            </w14:solidFill>
          </w14:textFill>
        </w:rPr>
        <w:t>本合同暂定工程费限额为__________元，工程设计费暂定为__________元（中标价，其中，</w:t>
      </w:r>
      <w:r>
        <w:rPr>
          <w:rFonts w:hint="default" w:ascii="宋体" w:hAnsi="宋体" w:cs="宋体"/>
          <w:color w:val="000000" w:themeColor="text1"/>
          <w:sz w:val="24"/>
          <w:szCs w:val="24"/>
          <w:highlight w:val="none"/>
          <w14:textFill>
            <w14:solidFill>
              <w14:schemeClr w14:val="tx1"/>
            </w14:solidFill>
          </w14:textFill>
        </w:rPr>
        <w:t>技术设计费</w:t>
      </w:r>
      <w:r>
        <w:rPr>
          <w:rFonts w:hint="eastAsia" w:ascii="宋体" w:hAnsi="宋体" w:cs="宋体"/>
          <w:color w:val="000000" w:themeColor="text1"/>
          <w:sz w:val="24"/>
          <w:szCs w:val="24"/>
          <w:highlight w:val="none"/>
          <w14:textFill>
            <w14:solidFill>
              <w14:schemeClr w14:val="tx1"/>
            </w14:solidFill>
          </w14:textFill>
        </w:rPr>
        <w:t>为__________元，</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编制费为__________元），合同工程设计费费率为____%（中标费率）；</w:t>
      </w:r>
    </w:p>
    <w:p w14:paraId="39D2219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（1）结算时，甲乙双方一致同意按如下约定结算：</w:t>
      </w:r>
    </w:p>
    <w:p w14:paraId="248688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1）工程设计费结算时按有权审核部门审定的本合同乙方实际工程设计范围内所有工程概算中的建筑安装工程费之和乘以合同工程设计费费率（中标费率）及本合同的有关约定进行调整，具体按以下约定计算：</w:t>
      </w:r>
    </w:p>
    <w:p w14:paraId="21E92E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工程设计费=建筑安装工程费×工程设计费费率（中标费率）。其中：</w:t>
      </w:r>
    </w:p>
    <w:p w14:paraId="5CFE2D22">
      <w:pPr>
        <w:pStyle w:val="13"/>
        <w:keepNext w:val="0"/>
        <w:keepLines w:val="0"/>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rPr>
          <w:rFonts w:hint="default"/>
          <w:color w:val="000000" w:themeColor="text1"/>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cs="宋体"/>
          <w:bCs/>
          <w:color w:val="000000" w:themeColor="text1"/>
          <w:kern w:val="2"/>
          <w:highlight w:val="none"/>
          <w14:textFill>
            <w14:solidFill>
              <w14:schemeClr w14:val="tx1"/>
            </w14:solidFill>
          </w14:textFill>
        </w:rPr>
        <w:t>造价预算编制费：__________元，占工程设计费总额的10%。若造价预算编制工作不由乙方实施，或乙方未能在施工图设计完成后7个工作日内提交造价预算书的，甲方不予支付本项费用；</w:t>
      </w:r>
    </w:p>
    <w:p w14:paraId="7098095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2）其他设计收费：</w:t>
      </w:r>
    </w:p>
    <w:p w14:paraId="2A469D51">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①设计协调费：已包含在工程设计费中，不再另行计取；</w:t>
      </w:r>
    </w:p>
    <w:p w14:paraId="4718032B">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②驻场设计费：已包含在工程设计费中，不再另行计取；</w:t>
      </w:r>
    </w:p>
    <w:p w14:paraId="44DB7270">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③其他费用：已包含在工程设计费中，不再另行计取。</w:t>
      </w:r>
    </w:p>
    <w:p w14:paraId="78C4943F">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
          <w:strike/>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结算时，按第</w:t>
      </w: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）项的结算金额作为本合同工程设计费最终结算价；若上述第</w:t>
      </w: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）项的金额超过批复概算中对应的</w:t>
      </w:r>
      <w:r>
        <w:rPr>
          <w:rFonts w:hint="default" w:ascii="宋体" w:hAnsi="宋体" w:cs="宋体"/>
          <w:color w:val="000000" w:themeColor="text1"/>
          <w:kern w:val="0"/>
          <w:sz w:val="24"/>
          <w:highlight w:val="none"/>
          <w14:textFill>
            <w14:solidFill>
              <w14:schemeClr w14:val="tx1"/>
            </w14:solidFill>
          </w14:textFill>
        </w:rPr>
        <w:t>基本设计费</w:t>
      </w: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扣除</w:t>
      </w:r>
      <w:r>
        <w:rPr>
          <w:rFonts w:hint="eastAsia" w:ascii="宋体" w:hAnsi="宋体"/>
          <w:color w:val="000000" w:themeColor="text1"/>
          <w:sz w:val="24"/>
          <w:highlight w:val="none"/>
          <w14:textFill>
            <w14:solidFill>
              <w14:schemeClr w14:val="tx1"/>
            </w14:solidFill>
          </w14:textFill>
        </w:rPr>
        <w:t>未中标单位经济补偿费</w:t>
      </w:r>
      <w:r>
        <w:rPr>
          <w:rFonts w:hint="eastAsia" w:ascii="宋体" w:hAnsi="宋体" w:cs="宋体"/>
          <w:color w:val="000000" w:themeColor="text1"/>
          <w:kern w:val="0"/>
          <w:sz w:val="24"/>
          <w:highlight w:val="none"/>
          <w14:textFill>
            <w14:solidFill>
              <w14:schemeClr w14:val="tx1"/>
            </w14:solidFill>
          </w14:textFill>
        </w:rPr>
        <w:t>后的费用，则按批复概算中对应的</w:t>
      </w:r>
      <w:r>
        <w:rPr>
          <w:rFonts w:hint="default" w:ascii="宋体" w:hAnsi="宋体" w:cs="宋体"/>
          <w:color w:val="000000" w:themeColor="text1"/>
          <w:kern w:val="0"/>
          <w:sz w:val="24"/>
          <w:highlight w:val="none"/>
          <w14:textFill>
            <w14:solidFill>
              <w14:schemeClr w14:val="tx1"/>
            </w14:solidFill>
          </w14:textFill>
        </w:rPr>
        <w:t>基本设计费</w:t>
      </w: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扣除</w:t>
      </w:r>
      <w:r>
        <w:rPr>
          <w:rFonts w:hint="eastAsia" w:ascii="宋体" w:hAnsi="宋体"/>
          <w:color w:val="000000" w:themeColor="text1"/>
          <w:sz w:val="24"/>
          <w:highlight w:val="none"/>
          <w14:textFill>
            <w14:solidFill>
              <w14:schemeClr w14:val="tx1"/>
            </w14:solidFill>
          </w14:textFill>
        </w:rPr>
        <w:t>未中标单位经济补偿费</w:t>
      </w:r>
      <w:r>
        <w:rPr>
          <w:rFonts w:hint="eastAsia" w:ascii="宋体" w:hAnsi="宋体" w:cs="宋体"/>
          <w:color w:val="000000" w:themeColor="text1"/>
          <w:kern w:val="0"/>
          <w:sz w:val="24"/>
          <w:highlight w:val="none"/>
          <w14:textFill>
            <w14:solidFill>
              <w14:schemeClr w14:val="tx1"/>
            </w14:solidFill>
          </w14:textFill>
        </w:rPr>
        <w:t>后的费用作为结算费用。【</w:t>
      </w: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b/>
          <w:bCs/>
          <w:snapToGrid w:val="0"/>
          <w:color w:val="000000" w:themeColor="text1"/>
          <w:kern w:val="0"/>
          <w:sz w:val="24"/>
          <w:highlight w:val="none"/>
          <w14:textFill>
            <w14:solidFill>
              <w14:schemeClr w14:val="tx1"/>
            </w14:solidFill>
          </w14:textFill>
        </w:rPr>
        <w:t>本项目未中标单位经济补偿费为</w:t>
      </w:r>
      <w:r>
        <w:rPr>
          <w:rFonts w:hint="eastAsia" w:ascii="宋体" w:hAnsi="宋体" w:eastAsia="宋体" w:cs="宋体"/>
          <w:b/>
          <w:color w:val="000000" w:themeColor="text1"/>
          <w:kern w:val="0"/>
          <w:sz w:val="24"/>
          <w:szCs w:val="24"/>
          <w:highlight w:val="none"/>
          <w:u w:val="single"/>
          <w:lang w:val="en-US" w:eastAsia="zh-CN" w:bidi="ar"/>
          <w14:textFill>
            <w14:solidFill>
              <w14:schemeClr w14:val="tx1"/>
            </w14:solidFill>
          </w14:textFill>
        </w:rPr>
        <w:t xml:space="preserve">   </w:t>
      </w:r>
      <w:r>
        <w:rPr>
          <w:rFonts w:hint="default" w:ascii="宋体" w:hAnsi="宋体"/>
          <w:b/>
          <w:bCs/>
          <w:snapToGrid w:val="0"/>
          <w:color w:val="000000" w:themeColor="text1"/>
          <w:kern w:val="0"/>
          <w:sz w:val="24"/>
          <w:highlight w:val="none"/>
          <w:u w:val="single"/>
          <w:lang w:eastAsia="zh-CN"/>
          <w14:textFill>
            <w14:solidFill>
              <w14:schemeClr w14:val="tx1"/>
            </w14:solidFill>
          </w14:textFill>
        </w:rPr>
        <w:t>万</w:t>
      </w:r>
      <w:r>
        <w:rPr>
          <w:rFonts w:hint="eastAsia" w:ascii="宋体" w:hAnsi="宋体"/>
          <w:b/>
          <w:bCs/>
          <w:snapToGrid w:val="0"/>
          <w:color w:val="000000" w:themeColor="text1"/>
          <w:kern w:val="0"/>
          <w:sz w:val="24"/>
          <w:highlight w:val="none"/>
          <w14:textFill>
            <w14:solidFill>
              <w14:schemeClr w14:val="tx1"/>
            </w14:solidFill>
          </w14:textFill>
        </w:rPr>
        <w:t>元（详见本项目招标公告），不包含在本合同价款中，由甲方另行支付给各受补偿的投标单位】。</w:t>
      </w:r>
    </w:p>
    <w:p w14:paraId="65CFE0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79" w:firstLineChars="199"/>
        <w:jc w:val="both"/>
        <w:textAlignment w:val="auto"/>
        <w:outlineLvl w:val="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15.3.2本项目概算最终批复后，若按上述计取方式测算的工程设计费超过本合同工程设计费暂定金额10%（不含10%），则超过部分的工程设计费的计取及结算方式由双方另行商定并应考虑</w:t>
      </w:r>
      <w:r>
        <w:rPr>
          <w:rFonts w:ascii="宋体" w:hAnsi="宋体" w:cs="宋体"/>
          <w:b/>
          <w:color w:val="000000" w:themeColor="text1"/>
          <w:sz w:val="24"/>
          <w:szCs w:val="24"/>
          <w:highlight w:val="none"/>
          <w14:textFill>
            <w14:solidFill>
              <w14:schemeClr w14:val="tx1"/>
            </w14:solidFill>
          </w14:textFill>
        </w:rPr>
        <w:t>一定</w:t>
      </w:r>
      <w:r>
        <w:rPr>
          <w:rFonts w:hint="eastAsia" w:ascii="宋体" w:hAnsi="宋体" w:cs="宋体"/>
          <w:b/>
          <w:color w:val="000000" w:themeColor="text1"/>
          <w:sz w:val="24"/>
          <w:szCs w:val="24"/>
          <w:highlight w:val="none"/>
          <w14:textFill>
            <w14:solidFill>
              <w14:schemeClr w14:val="tx1"/>
            </w14:solidFill>
          </w14:textFill>
        </w:rPr>
        <w:t>的折扣率。</w:t>
      </w:r>
    </w:p>
    <w:p w14:paraId="7BAF7C36">
      <w:pPr>
        <w:keepNext w:val="0"/>
        <w:keepLines w:val="0"/>
        <w:pageBreakBefore w:val="0"/>
        <w:widowControl w:val="0"/>
        <w:kinsoku/>
        <w:wordWrap/>
        <w:overflowPunct/>
        <w:topLinePunct w:val="0"/>
        <w:autoSpaceDE/>
        <w:autoSpaceDN/>
        <w:bidi w:val="0"/>
        <w:adjustRightInd w:val="0"/>
        <w:snapToGrid w:val="0"/>
        <w:spacing w:line="360" w:lineRule="auto"/>
        <w:ind w:left="0" w:firstLine="477" w:firstLineChars="199"/>
        <w:textAlignment w:val="auto"/>
        <w:outlineLvl w:val="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15.4</w:t>
      </w:r>
      <w:r>
        <w:rPr>
          <w:rFonts w:hint="eastAsia" w:ascii="宋体" w:hAnsi="宋体" w:cs="宋体"/>
          <w:color w:val="000000" w:themeColor="text1"/>
          <w:sz w:val="24"/>
          <w:szCs w:val="24"/>
          <w:highlight w:val="none"/>
          <w14:textFill>
            <w14:solidFill>
              <w14:schemeClr w14:val="tx1"/>
            </w14:solidFill>
          </w14:textFill>
        </w:rPr>
        <w:t>设计方案报审</w:t>
      </w:r>
      <w:r>
        <w:rPr>
          <w:rFonts w:hint="eastAsia" w:ascii="宋体" w:hAnsi="宋体" w:eastAsia="宋体" w:cs="Times New Roman"/>
          <w:color w:val="000000" w:themeColor="text1"/>
          <w:sz w:val="24"/>
          <w:szCs w:val="24"/>
          <w:highlight w:val="none"/>
          <w:u w:val="none"/>
          <w14:textFill>
            <w14:solidFill>
              <w14:schemeClr w14:val="tx1"/>
            </w14:solidFill>
          </w14:textFill>
        </w:rPr>
        <w:t>（含修建性详细规划编制</w:t>
      </w:r>
      <w:r>
        <w:rPr>
          <w:rFonts w:hint="eastAsia" w:ascii="宋体" w:hAnsi="宋体" w:eastAsia="宋体" w:cs="宋体"/>
          <w:color w:val="000000" w:themeColor="text1"/>
          <w:kern w:val="2"/>
          <w:sz w:val="24"/>
          <w:szCs w:val="24"/>
          <w:highlight w:val="none"/>
          <w:u w:val="single"/>
          <w14:textFill>
            <w14:solidFill>
              <w14:schemeClr w14:val="tx1"/>
            </w14:solidFill>
          </w14:textFill>
        </w:rPr>
        <w:t>、调整</w:t>
      </w:r>
      <w:r>
        <w:rPr>
          <w:rFonts w:hint="eastAsia"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费：</w:t>
      </w:r>
    </w:p>
    <w:p w14:paraId="241A3B6D">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暂定为          元（综合单价为        元/公顷）。结算时以设计方案审查批复的</w:t>
      </w:r>
      <w:r>
        <w:rPr>
          <w:rFonts w:hint="eastAsia" w:ascii="宋体" w:hAnsi="宋体" w:eastAsia="宋体" w:cs="宋体"/>
          <w:b/>
          <w:bCs/>
          <w:color w:val="000000" w:themeColor="text1"/>
          <w:kern w:val="2"/>
          <w:sz w:val="24"/>
          <w:szCs w:val="24"/>
          <w:highlight w:val="none"/>
          <w:u w:val="single"/>
          <w:lang w:val="en-US" w:eastAsia="zh-CN" w:bidi="ar"/>
          <w14:textFill>
            <w14:solidFill>
              <w14:schemeClr w14:val="tx1"/>
            </w14:solidFill>
          </w14:textFill>
        </w:rPr>
        <w:t>建设</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用地面积为基数，按每公顷       元（综合单价）计算，最终结算价不超过本合同签约价中对应的设计方案报审（含修建性详细规划编制</w:t>
      </w:r>
      <w:r>
        <w:rPr>
          <w:rFonts w:hint="eastAsia" w:ascii="宋体" w:hAnsi="宋体" w:eastAsia="宋体" w:cs="宋体"/>
          <w:color w:val="000000" w:themeColor="text1"/>
          <w:kern w:val="2"/>
          <w:sz w:val="24"/>
          <w:szCs w:val="24"/>
          <w:highlight w:val="none"/>
          <w:u w:val="single"/>
          <w14:textFill>
            <w14:solidFill>
              <w14:schemeClr w14:val="tx1"/>
            </w14:solidFill>
          </w14:textFill>
        </w:rPr>
        <w:t>、调整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）费。</w:t>
      </w:r>
    </w:p>
    <w:p w14:paraId="62C8CB40">
      <w:pPr>
        <w:keepNext w:val="0"/>
        <w:keepLines w:val="0"/>
        <w:pageBreakBefore w:val="0"/>
        <w:widowControl w:val="0"/>
        <w:kinsoku/>
        <w:wordWrap/>
        <w:overflowPunct/>
        <w:topLinePunct w:val="0"/>
        <w:autoSpaceDE/>
        <w:autoSpaceDN/>
        <w:bidi w:val="0"/>
        <w:adjustRightInd w:val="0"/>
        <w:snapToGrid w:val="0"/>
        <w:spacing w:line="360" w:lineRule="auto"/>
        <w:ind w:left="0" w:firstLine="477" w:firstLineChars="199"/>
        <w:textAlignment w:val="auto"/>
        <w:outlineLvl w:val="3"/>
        <w:rPr>
          <w:rFonts w:ascii="宋体"/>
          <w:color w:val="000000" w:themeColor="text1"/>
          <w:sz w:val="24"/>
          <w:szCs w:val="24"/>
          <w:highlight w:val="none"/>
          <w:u w:val="singl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ascii="宋体" w:hAnsi="宋体" w:cs="宋体"/>
          <w:b/>
          <w:color w:val="000000" w:themeColor="text1"/>
          <w:sz w:val="24"/>
          <w:szCs w:val="24"/>
          <w:highlight w:val="none"/>
          <w14:textFill>
            <w14:solidFill>
              <w14:schemeClr w14:val="tx1"/>
            </w14:solidFill>
          </w14:textFill>
        </w:rPr>
        <w:t>15.5</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正向设计技术应用费：暂定为</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w:t>
      </w:r>
      <w:r>
        <w:rPr>
          <w:rFonts w:hint="eastAsia" w:ascii="宋体" w:hAnsi="宋体" w:cs="宋体"/>
          <w:bCs/>
          <w:color w:val="000000" w:themeColor="text1"/>
          <w:sz w:val="24"/>
          <w:szCs w:val="24"/>
          <w:highlight w:val="none"/>
          <w14:textFill>
            <w14:solidFill>
              <w14:schemeClr w14:val="tx1"/>
            </w14:solidFill>
          </w14:textFill>
        </w:rPr>
        <w:t>结算时，</w:t>
      </w:r>
      <w:r>
        <w:rPr>
          <w:rFonts w:hint="eastAsia" w:ascii="宋体" w:hAnsi="宋体" w:cs="宋体"/>
          <w:color w:val="000000" w:themeColor="text1"/>
          <w:sz w:val="24"/>
          <w:szCs w:val="24"/>
          <w:highlight w:val="none"/>
          <w14:textFill>
            <w14:solidFill>
              <w14:schemeClr w14:val="tx1"/>
            </w14:solidFill>
          </w14:textFill>
        </w:rPr>
        <w:t>以本项目</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建设用地</w:t>
      </w:r>
      <w:r>
        <w:rPr>
          <w:rFonts w:hint="eastAsia" w:ascii="宋体" w:hAnsi="宋体" w:cs="宋体"/>
          <w:color w:val="000000" w:themeColor="text1"/>
          <w:sz w:val="24"/>
          <w:szCs w:val="24"/>
          <w:highlight w:val="none"/>
          <w14:textFill>
            <w14:solidFill>
              <w14:schemeClr w14:val="tx1"/>
            </w14:solidFill>
          </w14:textFill>
        </w:rPr>
        <w:t>的实际竣工面积为基数，按</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元</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平方米（综合单价）计算。最终结算金额不得超过批复概算中相应设计阶段</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费用</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若本项目甲方不委托乙方开展</w:t>
      </w:r>
      <w:r>
        <w:rPr>
          <w:rFonts w:ascii="宋体" w:hAnsi="宋体" w:cs="宋体"/>
          <w:color w:val="000000" w:themeColor="text1"/>
          <w:sz w:val="24"/>
          <w:szCs w:val="24"/>
          <w:highlight w:val="none"/>
          <w14:textFill>
            <w14:solidFill>
              <w14:schemeClr w14:val="tx1"/>
            </w14:solidFill>
          </w14:textFill>
        </w:rPr>
        <w:t>BIM</w:t>
      </w:r>
      <w:r>
        <w:rPr>
          <w:rFonts w:hint="eastAsia" w:ascii="宋体" w:hAnsi="宋体" w:cs="宋体"/>
          <w:color w:val="000000" w:themeColor="text1"/>
          <w:sz w:val="24"/>
          <w:szCs w:val="24"/>
          <w:highlight w:val="none"/>
          <w14:textFill>
            <w14:solidFill>
              <w14:schemeClr w14:val="tx1"/>
            </w14:solidFill>
          </w14:textFill>
        </w:rPr>
        <w:t>设计工作，则本项费用不予结算。</w:t>
      </w:r>
    </w:p>
    <w:p w14:paraId="0436BD80">
      <w:pPr>
        <w:keepNext w:val="0"/>
        <w:keepLines w:val="0"/>
        <w:pageBreakBefore w:val="0"/>
        <w:widowControl w:val="0"/>
        <w:kinsoku/>
        <w:wordWrap/>
        <w:overflowPunct/>
        <w:topLinePunct w:val="0"/>
        <w:autoSpaceDE/>
        <w:autoSpaceDN/>
        <w:bidi w:val="0"/>
        <w:adjustRightInd w:val="0"/>
        <w:snapToGrid w:val="0"/>
        <w:spacing w:line="360" w:lineRule="auto"/>
        <w:ind w:left="0" w:firstLine="477" w:firstLineChars="199"/>
        <w:textAlignment w:val="auto"/>
        <w:outlineLvl w:val="3"/>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ascii="宋体" w:hAnsi="宋体"/>
          <w:b/>
          <w:color w:val="000000" w:themeColor="text1"/>
          <w:sz w:val="24"/>
          <w:szCs w:val="24"/>
          <w:highlight w:val="none"/>
          <w14:textFill>
            <w14:solidFill>
              <w14:schemeClr w14:val="tx1"/>
            </w14:solidFill>
          </w14:textFill>
        </w:rPr>
        <w:t>15.</w:t>
      </w:r>
      <w:r>
        <w:rPr>
          <w:rFonts w:ascii="宋体" w:hAnsi="宋体" w:cs="宋体"/>
          <w:b/>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甲乙双方一致同意，如审计机关对本合同项目结算评审提出修正意见的，双方应当本着实事求是的原则予以纠正。</w:t>
      </w:r>
    </w:p>
    <w:p w14:paraId="4ACA98C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517A52F2">
      <w:pPr>
        <w:adjustRightInd w:val="0"/>
        <w:snapToGrid w:val="0"/>
        <w:spacing w:line="360" w:lineRule="auto"/>
        <w:ind w:firstLine="482" w:firstLineChars="200"/>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16、设计收费的支付</w:t>
      </w:r>
    </w:p>
    <w:p w14:paraId="742C3DC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16.1</w:t>
      </w:r>
      <w:r>
        <w:rPr>
          <w:rFonts w:hint="eastAsia" w:ascii="宋体" w:hAnsi="宋体" w:cs="宋体"/>
          <w:bCs/>
          <w:color w:val="000000" w:themeColor="text1"/>
          <w:kern w:val="0"/>
          <w:sz w:val="24"/>
          <w:szCs w:val="24"/>
          <w:highlight w:val="none"/>
          <w14:textFill>
            <w14:solidFill>
              <w14:schemeClr w14:val="tx1"/>
            </w14:solidFill>
          </w14:textFill>
        </w:rPr>
        <w:t>乙方按招标文件要求提交履约担保</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或</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val="0"/>
          <w:color w:val="000000" w:themeColor="text1"/>
          <w:kern w:val="2"/>
          <w:sz w:val="24"/>
          <w:szCs w:val="24"/>
          <w:highlight w:val="none"/>
          <w:lang w:val="en-US" w:eastAsia="zh-CN" w:bidi="ar"/>
          <w14:textFill>
            <w14:solidFill>
              <w14:schemeClr w14:val="tx1"/>
            </w14:solidFill>
          </w14:textFill>
        </w:rPr>
        <w:t>关于按时提交履约担保的承诺书》</w:t>
      </w:r>
      <w:r>
        <w:rPr>
          <w:rFonts w:hint="eastAsia" w:ascii="宋体" w:hAnsi="宋体" w:cs="宋体"/>
          <w:bCs/>
          <w:color w:val="000000" w:themeColor="text1"/>
          <w:kern w:val="0"/>
          <w:sz w:val="24"/>
          <w:szCs w:val="24"/>
          <w:highlight w:val="none"/>
          <w14:textFill>
            <w14:solidFill>
              <w14:schemeClr w14:val="tx1"/>
            </w14:solidFill>
          </w14:textFill>
        </w:rPr>
        <w:t>且本合同生效后，乙方按甲方财务制度要求提交申请支付文件资料，</w:t>
      </w:r>
      <w:r>
        <w:rPr>
          <w:rFonts w:hint="eastAsia" w:ascii="宋体" w:hAnsi="宋体" w:cs="宋体"/>
          <w:color w:val="000000" w:themeColor="text1"/>
          <w:kern w:val="0"/>
          <w:sz w:val="24"/>
          <w:szCs w:val="24"/>
          <w:highlight w:val="none"/>
          <w14:textFill>
            <w14:solidFill>
              <w14:schemeClr w14:val="tx1"/>
            </w14:solidFill>
          </w14:textFill>
        </w:rPr>
        <w:t>经甲方审核合格后十日内，甲方支付</w:t>
      </w:r>
      <w:r>
        <w:rPr>
          <w:rFonts w:hint="default" w:ascii="宋体" w:hAnsi="宋体" w:cs="宋体"/>
          <w:color w:val="000000" w:themeColor="text1"/>
          <w:kern w:val="0"/>
          <w:sz w:val="24"/>
          <w:szCs w:val="24"/>
          <w:highlight w:val="none"/>
          <w14:textFill>
            <w14:solidFill>
              <w14:schemeClr w14:val="tx1"/>
            </w14:solidFill>
          </w14:textFill>
        </w:rPr>
        <w:t>技术设计费</w:t>
      </w:r>
      <w:r>
        <w:rPr>
          <w:rFonts w:hint="eastAsia" w:ascii="宋体" w:hAnsi="宋体" w:cs="宋体"/>
          <w:color w:val="000000" w:themeColor="text1"/>
          <w:kern w:val="0"/>
          <w:sz w:val="24"/>
          <w:szCs w:val="24"/>
          <w:highlight w:val="none"/>
          <w14:textFill>
            <w14:solidFill>
              <w14:schemeClr w14:val="tx1"/>
            </w14:solidFill>
          </w14:textFill>
        </w:rPr>
        <w:t>的</w:t>
      </w:r>
      <w:r>
        <w:rPr>
          <w:rFonts w:hint="default" w:ascii="宋体" w:hAnsi="宋体" w:cs="宋体"/>
          <w:color w:val="000000" w:themeColor="text1"/>
          <w:kern w:val="0"/>
          <w:sz w:val="24"/>
          <w:szCs w:val="24"/>
          <w:highlight w:val="none"/>
          <w:u w:val="single"/>
          <w14:textFill>
            <w14:solidFill>
              <w14:schemeClr w14:val="tx1"/>
            </w14:solidFill>
          </w14:textFill>
        </w:rPr>
        <w:t>20</w:t>
      </w:r>
      <w:r>
        <w:rPr>
          <w:rFonts w:hint="eastAsia" w:ascii="宋体" w:hAnsi="宋体" w:cs="宋体"/>
          <w:color w:val="000000" w:themeColor="text1"/>
          <w:kern w:val="0"/>
          <w:sz w:val="24"/>
          <w:szCs w:val="24"/>
          <w:highlight w:val="none"/>
          <w:u w:val="singl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作为预付款，合计____________元（大写：____________元整）。本合同开始履行后，预付款在</w:t>
      </w:r>
      <w:r>
        <w:rPr>
          <w:rFonts w:hint="default" w:ascii="宋体" w:hAnsi="宋体" w:cs="宋体"/>
          <w:color w:val="000000" w:themeColor="text1"/>
          <w:kern w:val="0"/>
          <w:sz w:val="24"/>
          <w:szCs w:val="24"/>
          <w:highlight w:val="none"/>
          <w14:textFill>
            <w14:solidFill>
              <w14:schemeClr w14:val="tx1"/>
            </w14:solidFill>
          </w14:textFill>
        </w:rPr>
        <w:t>技术设计费</w:t>
      </w:r>
      <w:r>
        <w:rPr>
          <w:rFonts w:hint="eastAsia" w:ascii="宋体" w:hAnsi="宋体" w:cs="宋体"/>
          <w:color w:val="000000" w:themeColor="text1"/>
          <w:kern w:val="0"/>
          <w:sz w:val="24"/>
          <w:szCs w:val="24"/>
          <w:highlight w:val="none"/>
          <w14:textFill>
            <w14:solidFill>
              <w14:schemeClr w14:val="tx1"/>
            </w14:solidFill>
          </w14:textFill>
        </w:rPr>
        <w:t xml:space="preserve">进度款中予以抵扣。 </w:t>
      </w:r>
    </w:p>
    <w:p w14:paraId="649E5AA8">
      <w:pPr>
        <w:snapToGrid w:val="0"/>
        <w:spacing w:line="360" w:lineRule="auto"/>
        <w:ind w:right="11" w:firstLine="482" w:firstLineChars="200"/>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16.2</w:t>
      </w:r>
      <w:r>
        <w:rPr>
          <w:rFonts w:hint="eastAsia" w:ascii="宋体" w:hAnsi="宋体" w:cs="宋体"/>
          <w:color w:val="000000" w:themeColor="text1"/>
          <w:sz w:val="24"/>
          <w:szCs w:val="24"/>
          <w:highlight w:val="none"/>
          <w14:textFill>
            <w14:solidFill>
              <w14:schemeClr w14:val="tx1"/>
            </w14:solidFill>
          </w14:textFill>
        </w:rPr>
        <w:t>本合同工程设计费按本合同条款第15.3款确定后，</w:t>
      </w:r>
      <w:r>
        <w:rPr>
          <w:rFonts w:hint="eastAsia" w:ascii="宋体" w:hAnsi="宋体" w:cs="宋体"/>
          <w:bCs/>
          <w:color w:val="000000" w:themeColor="text1"/>
          <w:kern w:val="0"/>
          <w:sz w:val="24"/>
          <w:szCs w:val="24"/>
          <w:highlight w:val="none"/>
          <w14:textFill>
            <w14:solidFill>
              <w14:schemeClr w14:val="tx1"/>
            </w14:solidFill>
          </w14:textFill>
        </w:rPr>
        <w:t>依《工程设计费分摊计算表》（合同附件</w:t>
      </w:r>
      <w:r>
        <w:rPr>
          <w:rFonts w:hint="eastAsia" w:ascii="宋体" w:hAnsi="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cs="宋体"/>
          <w:bCs/>
          <w:color w:val="000000" w:themeColor="text1"/>
          <w:kern w:val="0"/>
          <w:sz w:val="24"/>
          <w:szCs w:val="24"/>
          <w:highlight w:val="none"/>
          <w14:textFill>
            <w14:solidFill>
              <w14:schemeClr w14:val="tx1"/>
            </w14:solidFill>
          </w14:textFill>
        </w:rPr>
        <w:t>，表四）约定的支付项目分阶段进行分摊，并按本合同条款第16.3款执行。</w:t>
      </w:r>
      <w:r>
        <w:rPr>
          <w:rFonts w:hint="eastAsia" w:ascii="宋体" w:hAnsi="宋体" w:cs="宋体"/>
          <w:color w:val="000000" w:themeColor="text1"/>
          <w:sz w:val="24"/>
          <w:szCs w:val="24"/>
          <w:highlight w:val="none"/>
          <w14:textFill>
            <w14:solidFill>
              <w14:schemeClr w14:val="tx1"/>
            </w14:solidFill>
          </w14:textFill>
        </w:rPr>
        <w:t>具体支付节点和比例如下（支付节点对应的支付比例仅代表甲方根据合同约定分批次向乙方支付的合同金额，不代表乙方已完成工作内容对应的工作报酬）：</w:t>
      </w:r>
    </w:p>
    <w:p w14:paraId="774183EC">
      <w:pPr>
        <w:adjustRightInd w:val="0"/>
        <w:snapToGrid w:val="0"/>
        <w:spacing w:line="360" w:lineRule="auto"/>
        <w:ind w:right="11"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（1）</w:t>
      </w:r>
      <w:r>
        <w:rPr>
          <w:rFonts w:hint="default" w:ascii="宋体" w:hAnsi="宋体" w:cs="宋体"/>
          <w:bCs/>
          <w:color w:val="000000" w:themeColor="text1"/>
          <w:kern w:val="0"/>
          <w:sz w:val="24"/>
          <w:szCs w:val="24"/>
          <w:highlight w:val="none"/>
          <w14:textFill>
            <w14:solidFill>
              <w14:schemeClr w14:val="tx1"/>
            </w14:solidFill>
          </w14:textFill>
        </w:rPr>
        <w:t>技术设计费</w:t>
      </w:r>
      <w:r>
        <w:rPr>
          <w:rFonts w:hint="eastAsia" w:ascii="宋体" w:hAnsi="宋体" w:cs="宋体"/>
          <w:bCs/>
          <w:color w:val="000000" w:themeColor="text1"/>
          <w:kern w:val="0"/>
          <w:sz w:val="24"/>
          <w:szCs w:val="24"/>
          <w:highlight w:val="none"/>
          <w14:textFill>
            <w14:solidFill>
              <w14:schemeClr w14:val="tx1"/>
            </w14:solidFill>
          </w14:textFill>
        </w:rPr>
        <w:t>：</w:t>
      </w:r>
    </w:p>
    <w:p w14:paraId="1C2C13AD">
      <w:pPr>
        <w:adjustRightInd w:val="0"/>
        <w:snapToGrid w:val="0"/>
        <w:spacing w:line="360" w:lineRule="auto"/>
        <w:ind w:left="719" w:leftChars="228" w:hanging="240" w:hangingChars="1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1)分项工程设计费：各分项工程的方案设计完善阶段工程设计费、初步设计阶段工程设计费、施工图设计阶段工程设计费，按《工程设计费分摊计算表》（合同附件</w:t>
      </w:r>
      <w:r>
        <w:rPr>
          <w:rFonts w:hint="eastAsia" w:ascii="宋体" w:hAnsi="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cs="宋体"/>
          <w:bCs/>
          <w:color w:val="000000" w:themeColor="text1"/>
          <w:kern w:val="0"/>
          <w:sz w:val="24"/>
          <w:szCs w:val="24"/>
          <w:highlight w:val="none"/>
          <w14:textFill>
            <w14:solidFill>
              <w14:schemeClr w14:val="tx1"/>
            </w14:solidFill>
          </w14:textFill>
        </w:rPr>
        <w:t>，表四）确定支付比例。</w:t>
      </w:r>
    </w:p>
    <w:p w14:paraId="25F73CFF">
      <w:pPr>
        <w:adjustRightInd w:val="0"/>
        <w:snapToGrid w:val="0"/>
        <w:spacing w:line="360" w:lineRule="auto"/>
        <w:ind w:left="719" w:leftChars="228" w:hanging="240" w:hangingChars="1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2)完成工程投资估算编制工作支付比例为</w:t>
      </w:r>
      <w:r>
        <w:rPr>
          <w:rFonts w:hint="eastAsia" w:ascii="宋体" w:hAnsi="宋体" w:cs="宋体"/>
          <w:color w:val="000000" w:themeColor="text1"/>
          <w:sz w:val="24"/>
          <w:szCs w:val="24"/>
          <w:highlight w:val="none"/>
          <w14:textFill>
            <w14:solidFill>
              <w14:schemeClr w14:val="tx1"/>
            </w14:solidFill>
          </w14:textFill>
        </w:rPr>
        <w:t>2%。</w:t>
      </w:r>
    </w:p>
    <w:p w14:paraId="24165FE9">
      <w:pPr>
        <w:adjustRightInd w:val="0"/>
        <w:snapToGrid w:val="0"/>
        <w:spacing w:line="360" w:lineRule="auto"/>
        <w:ind w:left="719" w:leftChars="228"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3)完成工程设计概算编制工作支付比例为</w:t>
      </w:r>
      <w:r>
        <w:rPr>
          <w:rFonts w:hint="eastAsia" w:ascii="宋体" w:hAnsi="宋体" w:cs="宋体"/>
          <w:color w:val="000000" w:themeColor="text1"/>
          <w:sz w:val="24"/>
          <w:szCs w:val="24"/>
          <w:highlight w:val="none"/>
          <w14:textFill>
            <w14:solidFill>
              <w14:schemeClr w14:val="tx1"/>
            </w14:solidFill>
          </w14:textFill>
        </w:rPr>
        <w:t>5%。</w:t>
      </w:r>
    </w:p>
    <w:p w14:paraId="4B6F5FC9">
      <w:pPr>
        <w:adjustRightInd w:val="0"/>
        <w:snapToGrid w:val="0"/>
        <w:spacing w:line="360" w:lineRule="auto"/>
        <w:ind w:left="719" w:leftChars="228"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4)完成报审报建配合服务工作支付比例</w:t>
      </w:r>
      <w:r>
        <w:rPr>
          <w:rFonts w:hint="eastAsia" w:ascii="宋体" w:hAnsi="宋体" w:cs="宋体"/>
          <w:bCs/>
          <w:color w:val="000000" w:themeColor="text1"/>
          <w:kern w:val="0"/>
          <w:sz w:val="24"/>
          <w:szCs w:val="24"/>
          <w:highlight w:val="none"/>
          <w14:textFill>
            <w14:solidFill>
              <w14:schemeClr w14:val="tx1"/>
            </w14:solidFill>
          </w14:textFill>
        </w:rPr>
        <w:t>为</w:t>
      </w:r>
      <w:r>
        <w:rPr>
          <w:rFonts w:hint="eastAsia" w:ascii="宋体" w:hAnsi="宋体" w:cs="宋体"/>
          <w:color w:val="000000" w:themeColor="text1"/>
          <w:sz w:val="24"/>
          <w:szCs w:val="24"/>
          <w:highlight w:val="none"/>
          <w14:textFill>
            <w14:solidFill>
              <w14:schemeClr w14:val="tx1"/>
            </w14:solidFill>
          </w14:textFill>
        </w:rPr>
        <w:t>3%。</w:t>
      </w:r>
    </w:p>
    <w:p w14:paraId="0B54D545">
      <w:pPr>
        <w:adjustRightInd w:val="0"/>
        <w:snapToGrid w:val="0"/>
        <w:spacing w:line="360" w:lineRule="auto"/>
        <w:ind w:left="719" w:leftChars="228"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5)完成招标配合服务工作支付比例为</w:t>
      </w:r>
      <w:r>
        <w:rPr>
          <w:rFonts w:hint="eastAsia" w:ascii="宋体" w:hAnsi="宋体" w:cs="宋体"/>
          <w:color w:val="000000" w:themeColor="text1"/>
          <w:sz w:val="24"/>
          <w:szCs w:val="24"/>
          <w:highlight w:val="none"/>
          <w14:textFill>
            <w14:solidFill>
              <w14:schemeClr w14:val="tx1"/>
            </w14:solidFill>
          </w14:textFill>
        </w:rPr>
        <w:t>3%。</w:t>
      </w:r>
    </w:p>
    <w:p w14:paraId="7CE6634C">
      <w:pPr>
        <w:adjustRightInd w:val="0"/>
        <w:snapToGrid w:val="0"/>
        <w:spacing w:line="360" w:lineRule="auto"/>
        <w:ind w:left="719" w:leftChars="228" w:hanging="240" w:hangingChars="1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6完成施工现场服务工作支付比例为</w:t>
      </w:r>
      <w:r>
        <w:rPr>
          <w:rFonts w:hint="eastAsia" w:ascii="宋体" w:hAnsi="宋体" w:cs="宋体"/>
          <w:color w:val="000000" w:themeColor="text1"/>
          <w:sz w:val="24"/>
          <w:szCs w:val="24"/>
          <w:highlight w:val="none"/>
          <w14:textFill>
            <w14:solidFill>
              <w14:schemeClr w14:val="tx1"/>
            </w14:solidFill>
          </w14:textFill>
        </w:rPr>
        <w:t>22%。</w:t>
      </w:r>
    </w:p>
    <w:p w14:paraId="5703E896">
      <w:pPr>
        <w:adjustRightInd w:val="0"/>
        <w:snapToGrid w:val="0"/>
        <w:spacing w:line="360" w:lineRule="auto"/>
        <w:ind w:left="719" w:leftChars="228" w:hanging="240" w:hangingChars="1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7)完成完整版施工图设计工作支付比例为5%。</w:t>
      </w:r>
    </w:p>
    <w:p w14:paraId="2DD98504">
      <w:pPr>
        <w:adjustRightInd w:val="0"/>
        <w:snapToGrid w:val="0"/>
        <w:spacing w:line="360" w:lineRule="auto"/>
        <w:ind w:left="719" w:leftChars="228"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8)完成工程结算配合服务工作支付比例为</w:t>
      </w:r>
      <w:r>
        <w:rPr>
          <w:rFonts w:hint="eastAsia" w:ascii="宋体" w:hAnsi="宋体" w:cs="宋体"/>
          <w:color w:val="000000" w:themeColor="text1"/>
          <w:sz w:val="24"/>
          <w:szCs w:val="24"/>
          <w:highlight w:val="none"/>
          <w14:textFill>
            <w14:solidFill>
              <w14:schemeClr w14:val="tx1"/>
            </w14:solidFill>
          </w14:textFill>
        </w:rPr>
        <w:t>5%。</w:t>
      </w:r>
    </w:p>
    <w:p w14:paraId="08F9D3C5">
      <w:pPr>
        <w:adjustRightInd w:val="0"/>
        <w:snapToGrid w:val="0"/>
        <w:spacing w:line="360" w:lineRule="auto"/>
        <w:ind w:left="719" w:leftChars="228"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9)完成工程保修阶段服务工作支付比例</w:t>
      </w:r>
      <w:r>
        <w:rPr>
          <w:rFonts w:hint="eastAsia" w:ascii="宋体" w:hAnsi="宋体" w:cs="宋体"/>
          <w:bCs/>
          <w:color w:val="000000" w:themeColor="text1"/>
          <w:kern w:val="0"/>
          <w:sz w:val="24"/>
          <w:szCs w:val="24"/>
          <w:highlight w:val="none"/>
          <w14:textFill>
            <w14:solidFill>
              <w14:schemeClr w14:val="tx1"/>
            </w14:solidFill>
          </w14:textFill>
        </w:rPr>
        <w:t>为</w:t>
      </w:r>
      <w:r>
        <w:rPr>
          <w:rFonts w:hint="eastAsia" w:ascii="宋体" w:hAnsi="宋体" w:cs="宋体"/>
          <w:color w:val="000000" w:themeColor="text1"/>
          <w:sz w:val="24"/>
          <w:szCs w:val="24"/>
          <w:highlight w:val="none"/>
          <w14:textFill>
            <w14:solidFill>
              <w14:schemeClr w14:val="tx1"/>
            </w14:solidFill>
          </w14:textFill>
        </w:rPr>
        <w:t>5%。</w:t>
      </w:r>
    </w:p>
    <w:p w14:paraId="34AFBC56">
      <w:pPr>
        <w:adjustRightInd w:val="0"/>
        <w:snapToGrid w:val="0"/>
        <w:spacing w:line="360" w:lineRule="auto"/>
        <w:ind w:left="719" w:leftChars="228" w:hanging="240" w:hangingChars="1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（2）</w:t>
      </w:r>
      <w:r>
        <w:rPr>
          <w:rFonts w:hint="default" w:ascii="宋体" w:hAnsi="宋体" w:cs="宋体"/>
          <w:bCs/>
          <w:color w:val="000000" w:themeColor="text1"/>
          <w:kern w:val="0"/>
          <w:sz w:val="24"/>
          <w:szCs w:val="24"/>
          <w:highlight w:val="none"/>
          <w14:textFill>
            <w14:solidFill>
              <w14:schemeClr w14:val="tx1"/>
            </w14:solidFill>
          </w14:textFill>
        </w:rPr>
        <w:t>造价预算</w:t>
      </w:r>
      <w:r>
        <w:rPr>
          <w:rFonts w:hint="eastAsia" w:ascii="宋体" w:hAnsi="宋体" w:cs="宋体"/>
          <w:bCs/>
          <w:color w:val="000000" w:themeColor="text1"/>
          <w:kern w:val="0"/>
          <w:sz w:val="24"/>
          <w:szCs w:val="24"/>
          <w:highlight w:val="none"/>
          <w14:textFill>
            <w14:solidFill>
              <w14:schemeClr w14:val="tx1"/>
            </w14:solidFill>
          </w14:textFill>
        </w:rPr>
        <w:t>编制费：按本合同条款第15条、第16.4款的相关约定确定。</w:t>
      </w:r>
    </w:p>
    <w:p w14:paraId="06817F04">
      <w:pPr>
        <w:adjustRightInd w:val="0"/>
        <w:snapToGrid w:val="0"/>
        <w:spacing w:line="360" w:lineRule="auto"/>
        <w:ind w:left="719" w:leftChars="228" w:hanging="240" w:hangingChars="1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（3）其它设计收费：</w:t>
      </w:r>
    </w:p>
    <w:p w14:paraId="63D49326">
      <w:pPr>
        <w:adjustRightInd w:val="0"/>
        <w:snapToGrid w:val="0"/>
        <w:spacing w:line="360" w:lineRule="auto"/>
        <w:ind w:left="719" w:leftChars="228" w:hanging="240" w:hangingChars="1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1）设计协调费：按本合同条款第15条、第16.5.1款的相关约定确定。</w:t>
      </w:r>
    </w:p>
    <w:p w14:paraId="6F57FC2C">
      <w:pPr>
        <w:adjustRightInd w:val="0"/>
        <w:snapToGrid w:val="0"/>
        <w:spacing w:line="360" w:lineRule="auto"/>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2）驻场设计费：按本合同条款第15条、第16.5.2款的相关约定确定。</w:t>
      </w:r>
    </w:p>
    <w:p w14:paraId="3768A849">
      <w:pPr>
        <w:adjustRightInd w:val="0"/>
        <w:snapToGrid w:val="0"/>
        <w:spacing w:line="360" w:lineRule="auto"/>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其他费用</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按本合同条款第15条的相关约定确定。</w:t>
      </w:r>
    </w:p>
    <w:p w14:paraId="2421937A">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9"/>
        <w:rPr>
          <w:rFonts w:ascii="宋体" w:hAnsi="宋体" w:cs="宋体"/>
          <w:b/>
          <w:dstrike/>
          <w:color w:val="000000" w:themeColor="text1"/>
          <w:kern w:val="0"/>
          <w:sz w:val="24"/>
          <w:szCs w:val="24"/>
          <w:highlight w:val="none"/>
          <w14:textFill>
            <w14:solidFill>
              <w14:schemeClr w14:val="tx1"/>
            </w14:solidFill>
          </w14:textFill>
        </w:rPr>
      </w:pPr>
    </w:p>
    <w:p w14:paraId="5E76B07A">
      <w:pPr>
        <w:adjustRightInd w:val="0"/>
        <w:snapToGrid w:val="0"/>
        <w:spacing w:line="360" w:lineRule="auto"/>
        <w:ind w:right="11" w:firstLine="482" w:firstLineChars="200"/>
        <w:outlineLvl w:val="3"/>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w:t>
      </w:r>
      <w:r>
        <w:rPr>
          <w:rFonts w:hint="eastAsia" w:ascii="宋体" w:hAnsi="宋体" w:cs="宋体"/>
          <w:bCs/>
          <w:color w:val="000000" w:themeColor="text1"/>
          <w:kern w:val="0"/>
          <w:sz w:val="24"/>
          <w:szCs w:val="24"/>
          <w:highlight w:val="none"/>
          <w14:textFill>
            <w14:solidFill>
              <w14:schemeClr w14:val="tx1"/>
            </w14:solidFill>
          </w14:textFill>
        </w:rPr>
        <w:t>本合同</w:t>
      </w:r>
      <w:r>
        <w:rPr>
          <w:rFonts w:hint="default" w:ascii="宋体" w:hAnsi="宋体" w:cs="宋体"/>
          <w:bCs/>
          <w:color w:val="000000" w:themeColor="text1"/>
          <w:kern w:val="0"/>
          <w:sz w:val="24"/>
          <w:szCs w:val="24"/>
          <w:highlight w:val="none"/>
          <w14:textFill>
            <w14:solidFill>
              <w14:schemeClr w14:val="tx1"/>
            </w14:solidFill>
          </w14:textFill>
        </w:rPr>
        <w:t>技术设计费</w:t>
      </w:r>
      <w:r>
        <w:rPr>
          <w:rFonts w:hint="eastAsia" w:ascii="宋体" w:hAnsi="宋体" w:cs="宋体"/>
          <w:bCs/>
          <w:color w:val="000000" w:themeColor="text1"/>
          <w:kern w:val="0"/>
          <w:sz w:val="24"/>
          <w:szCs w:val="24"/>
          <w:highlight w:val="none"/>
          <w14:textFill>
            <w14:solidFill>
              <w14:schemeClr w14:val="tx1"/>
            </w14:solidFill>
          </w14:textFill>
        </w:rPr>
        <w:t>进度款在抵扣完本合同的预付款后开始支付，并按如下约定执行。</w:t>
      </w:r>
    </w:p>
    <w:p w14:paraId="5C9701BA">
      <w:pPr>
        <w:adjustRightInd w:val="0"/>
        <w:snapToGrid w:val="0"/>
        <w:spacing w:line="360" w:lineRule="auto"/>
        <w:ind w:right="11"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16.3.1</w:t>
      </w:r>
      <w:r>
        <w:rPr>
          <w:rFonts w:hint="eastAsia" w:ascii="宋体" w:hAnsi="宋体" w:cs="宋体"/>
          <w:bCs/>
          <w:color w:val="000000" w:themeColor="text1"/>
          <w:kern w:val="0"/>
          <w:sz w:val="24"/>
          <w:szCs w:val="24"/>
          <w:highlight w:val="none"/>
          <w14:textFill>
            <w14:solidFill>
              <w14:schemeClr w14:val="tx1"/>
            </w14:solidFill>
          </w14:textFill>
        </w:rPr>
        <w:t>方案设计完善阶段工程设计费</w:t>
      </w:r>
      <w:r>
        <w:rPr>
          <w:rFonts w:hint="eastAsia" w:ascii="宋体" w:hAnsi="宋体" w:cs="宋体"/>
          <w:color w:val="000000" w:themeColor="text1"/>
          <w:kern w:val="0"/>
          <w:sz w:val="24"/>
          <w:szCs w:val="24"/>
          <w:highlight w:val="none"/>
          <w14:textFill>
            <w14:solidFill>
              <w14:schemeClr w14:val="tx1"/>
            </w14:solidFill>
          </w14:textFill>
        </w:rPr>
        <w:t>及</w:t>
      </w:r>
      <w:r>
        <w:rPr>
          <w:rFonts w:hint="eastAsia" w:ascii="宋体" w:hAnsi="宋体" w:cs="宋体"/>
          <w:bCs/>
          <w:color w:val="000000" w:themeColor="text1"/>
          <w:kern w:val="0"/>
          <w:sz w:val="24"/>
          <w:szCs w:val="24"/>
          <w:highlight w:val="none"/>
          <w14:textFill>
            <w14:solidFill>
              <w14:schemeClr w14:val="tx1"/>
            </w14:solidFill>
          </w14:textFill>
        </w:rPr>
        <w:t>工程投资估算编制费</w:t>
      </w:r>
      <w:r>
        <w:rPr>
          <w:rFonts w:hint="eastAsia" w:ascii="宋体" w:hAnsi="宋体" w:cs="宋体"/>
          <w:color w:val="000000" w:themeColor="text1"/>
          <w:kern w:val="0"/>
          <w:sz w:val="24"/>
          <w:szCs w:val="24"/>
          <w:highlight w:val="none"/>
          <w14:textFill>
            <w14:solidFill>
              <w14:schemeClr w14:val="tx1"/>
            </w14:solidFill>
          </w14:textFill>
        </w:rPr>
        <w:t>的支付</w:t>
      </w:r>
    </w:p>
    <w:p w14:paraId="7BF53A93">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乙方提交的经过完善的方案设计成果文件满足合同要求并通过甲方或甲方委托的第三方审查，且乙方编制的投资估算获甲方认可后，乙方可申请支付方案设计阶段各分项工程设计费及工程投资估算编制费。</w:t>
      </w:r>
    </w:p>
    <w:p w14:paraId="0D8CAB70">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乙方应一并申请支付方案设计阶段的设计费、投资估算编制费。甲方根据设计评审的等级确定应支付的方案设计阶段的设计收费。</w:t>
      </w:r>
    </w:p>
    <w:p w14:paraId="473213D0">
      <w:pPr>
        <w:adjustRightInd w:val="0"/>
        <w:snapToGrid w:val="0"/>
        <w:spacing w:line="360" w:lineRule="auto"/>
        <w:ind w:right="11"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16.3.2</w:t>
      </w:r>
      <w:r>
        <w:rPr>
          <w:rFonts w:hint="eastAsia" w:ascii="宋体" w:hAnsi="宋体" w:cs="宋体"/>
          <w:color w:val="000000" w:themeColor="text1"/>
          <w:kern w:val="0"/>
          <w:sz w:val="24"/>
          <w:szCs w:val="24"/>
          <w:highlight w:val="none"/>
          <w14:textFill>
            <w14:solidFill>
              <w14:schemeClr w14:val="tx1"/>
            </w14:solidFill>
          </w14:textFill>
        </w:rPr>
        <w:t>初步设计阶段设计费及工程设计概算编制费的支付</w:t>
      </w:r>
    </w:p>
    <w:p w14:paraId="52DCEC82">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乙方提交的初步设计成果文件满足合同要求，通过甲方或甲方委托的第三方审查，且设计概算获甲方认可后，乙方可申请支付初步设计阶段各分项工程的设计费及工程设计概算编制费。</w:t>
      </w:r>
    </w:p>
    <w:p w14:paraId="56389C0D">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乙方应一并申请支付初步设计阶段的设计费、工程设计概算编制费。甲方根据设计评审的等级确定应支付的初步设计阶段的设计收费。 </w:t>
      </w:r>
    </w:p>
    <w:p w14:paraId="62ED73D4">
      <w:pPr>
        <w:adjustRightInd w:val="0"/>
        <w:snapToGrid w:val="0"/>
        <w:spacing w:line="360" w:lineRule="auto"/>
        <w:ind w:right="11"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16.3.3</w:t>
      </w:r>
      <w:r>
        <w:rPr>
          <w:rFonts w:hint="eastAsia" w:ascii="宋体" w:hAnsi="宋体" w:cs="宋体"/>
          <w:color w:val="000000" w:themeColor="text1"/>
          <w:kern w:val="0"/>
          <w:sz w:val="24"/>
          <w:szCs w:val="24"/>
          <w:highlight w:val="none"/>
          <w14:textFill>
            <w14:solidFill>
              <w14:schemeClr w14:val="tx1"/>
            </w14:solidFill>
          </w14:textFill>
        </w:rPr>
        <w:t>施工图设计阶段设计费的支付</w:t>
      </w:r>
    </w:p>
    <w:p w14:paraId="352649E3">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施工图设计阶段各分项工程的设计费分3次支付，施工图审查通过后支付本阶段设计费的30%；提交建筑施工报建的施工图设计成果文件及</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并配合</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送审后支付本阶段设计费的40%；</w:t>
      </w:r>
      <w:r>
        <w:rPr>
          <w:rFonts w:hint="eastAsia" w:ascii="宋体" w:hAnsi="宋体" w:cs="宋体"/>
          <w:color w:val="000000" w:themeColor="text1"/>
          <w:sz w:val="24"/>
          <w:szCs w:val="24"/>
          <w:highlight w:val="none"/>
          <w14:textFill>
            <w14:solidFill>
              <w14:schemeClr w14:val="tx1"/>
            </w14:solidFill>
          </w14:textFill>
        </w:rPr>
        <w:t>乙方根据相关部门的意见进行修改完善施工图并提交甲方，且乙方累计支付</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编制单位</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编制费用50%后支付本阶段设计费的30%。甲</w:t>
      </w:r>
      <w:r>
        <w:rPr>
          <w:rFonts w:hint="eastAsia" w:ascii="宋体" w:hAnsi="宋体" w:cs="宋体"/>
          <w:color w:val="000000" w:themeColor="text1"/>
          <w:kern w:val="0"/>
          <w:sz w:val="24"/>
          <w:szCs w:val="24"/>
          <w:highlight w:val="none"/>
          <w14:textFill>
            <w14:solidFill>
              <w14:schemeClr w14:val="tx1"/>
            </w14:solidFill>
          </w14:textFill>
        </w:rPr>
        <w:t>方根据设计评审的等级确定应支付的施工图设计阶段的设计收费。</w:t>
      </w:r>
    </w:p>
    <w:p w14:paraId="463C1789">
      <w:pPr>
        <w:adjustRightInd w:val="0"/>
        <w:snapToGrid w:val="0"/>
        <w:spacing w:line="360" w:lineRule="auto"/>
        <w:ind w:right="11"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16.3.4</w:t>
      </w:r>
      <w:r>
        <w:rPr>
          <w:rFonts w:hint="eastAsia" w:ascii="宋体" w:hAnsi="宋体" w:cs="宋体"/>
          <w:color w:val="000000" w:themeColor="text1"/>
          <w:kern w:val="0"/>
          <w:sz w:val="24"/>
          <w:szCs w:val="24"/>
          <w:highlight w:val="none"/>
          <w14:textFill>
            <w14:solidFill>
              <w14:schemeClr w14:val="tx1"/>
            </w14:solidFill>
          </w14:textFill>
        </w:rPr>
        <w:t>报审报建配合服务费的支付</w:t>
      </w:r>
    </w:p>
    <w:p w14:paraId="0778EEDA">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甲方在乙方提出支付申请后根据报审报建配合服务的考评等级确定应支付的报审报建配合服务费。</w:t>
      </w:r>
    </w:p>
    <w:p w14:paraId="7838D678">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报审报建配合服务费于本合同工程所有相关审批手续完成后一次性支付。</w:t>
      </w:r>
    </w:p>
    <w:p w14:paraId="0F3997BC">
      <w:pPr>
        <w:adjustRightInd w:val="0"/>
        <w:snapToGrid w:val="0"/>
        <w:spacing w:line="360" w:lineRule="auto"/>
        <w:ind w:right="11"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16.3.5</w:t>
      </w:r>
      <w:r>
        <w:rPr>
          <w:rFonts w:hint="eastAsia" w:ascii="宋体" w:hAnsi="宋体" w:cs="宋体"/>
          <w:color w:val="000000" w:themeColor="text1"/>
          <w:kern w:val="0"/>
          <w:sz w:val="24"/>
          <w:szCs w:val="24"/>
          <w:highlight w:val="none"/>
          <w14:textFill>
            <w14:solidFill>
              <w14:schemeClr w14:val="tx1"/>
            </w14:solidFill>
          </w14:textFill>
        </w:rPr>
        <w:t>招标配合服务费的支付</w:t>
      </w:r>
    </w:p>
    <w:p w14:paraId="39265AAE">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甲方在乙方提出支付申请后根据招标配合服务的考评等级确定应支付的招标配合服务费。</w:t>
      </w:r>
    </w:p>
    <w:p w14:paraId="617F6469">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招标配合服务费于本合同工程全部招标工作完成</w:t>
      </w:r>
      <w:r>
        <w:rPr>
          <w:rFonts w:hint="eastAsia" w:ascii="宋体" w:hAnsi="宋体" w:cs="宋体"/>
          <w:color w:val="000000" w:themeColor="text1"/>
          <w:sz w:val="24"/>
          <w:szCs w:val="24"/>
          <w:highlight w:val="none"/>
          <w14:textFill>
            <w14:solidFill>
              <w14:schemeClr w14:val="tx1"/>
            </w14:solidFill>
          </w14:textFill>
        </w:rPr>
        <w:t>且乙方累计支付</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编制单位</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编制费用90%</w:t>
      </w:r>
      <w:r>
        <w:rPr>
          <w:rFonts w:hint="eastAsia" w:ascii="宋体" w:hAnsi="宋体" w:cs="宋体"/>
          <w:color w:val="000000" w:themeColor="text1"/>
          <w:kern w:val="0"/>
          <w:sz w:val="24"/>
          <w:szCs w:val="24"/>
          <w:highlight w:val="none"/>
          <w14:textFill>
            <w14:solidFill>
              <w14:schemeClr w14:val="tx1"/>
            </w14:solidFill>
          </w14:textFill>
        </w:rPr>
        <w:t>后一次性支付。</w:t>
      </w:r>
    </w:p>
    <w:p w14:paraId="3E4FCC40">
      <w:pPr>
        <w:adjustRightInd w:val="0"/>
        <w:snapToGrid w:val="0"/>
        <w:spacing w:line="360" w:lineRule="auto"/>
        <w:ind w:right="11" w:firstLine="482" w:firstLineChars="200"/>
        <w:outlineLvl w:val="4"/>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16.3.6</w:t>
      </w:r>
      <w:r>
        <w:rPr>
          <w:rFonts w:hint="eastAsia" w:ascii="宋体" w:hAnsi="宋体" w:cs="宋体"/>
          <w:color w:val="000000" w:themeColor="text1"/>
          <w:kern w:val="0"/>
          <w:sz w:val="24"/>
          <w:szCs w:val="24"/>
          <w:highlight w:val="none"/>
          <w14:textFill>
            <w14:solidFill>
              <w14:schemeClr w14:val="tx1"/>
            </w14:solidFill>
          </w14:textFill>
        </w:rPr>
        <w:t>现场服务费用的支付</w:t>
      </w:r>
    </w:p>
    <w:p w14:paraId="313D2FF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乙方现场服务期从本合同工程正式开工之日起，直至本合同工程正式通过工程验收之日止</w:t>
      </w:r>
      <w:r>
        <w:rPr>
          <w:rFonts w:hint="eastAsia" w:ascii="宋体" w:hAnsi="宋体" w:cs="宋体"/>
          <w:color w:val="000000" w:themeColor="text1"/>
          <w:kern w:val="0"/>
          <w:sz w:val="24"/>
          <w:szCs w:val="24"/>
          <w:highlight w:val="none"/>
          <w:u w:val="single"/>
          <w14:textFill>
            <w14:solidFill>
              <w14:schemeClr w14:val="tx1"/>
            </w14:solidFill>
          </w14:textFill>
        </w:rPr>
        <w:t>，预计</w:t>
      </w:r>
      <w:r>
        <w:rPr>
          <w:rFonts w:ascii="宋体" w:hAnsi="宋体" w:cs="宋体"/>
          <w:color w:val="000000" w:themeColor="text1"/>
          <w:kern w:val="0"/>
          <w:sz w:val="24"/>
          <w:szCs w:val="24"/>
          <w:highlight w:val="none"/>
          <w:u w:val="single"/>
          <w14:textFill>
            <w14:solidFill>
              <w14:schemeClr w14:val="tx1"/>
            </w14:solidFill>
          </w14:textFill>
        </w:rPr>
        <w:t>共</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kern w:val="0"/>
          <w:sz w:val="24"/>
          <w:szCs w:val="24"/>
          <w:highlight w:val="none"/>
          <w:u w:val="single"/>
          <w14:textFill>
            <w14:solidFill>
              <w14:schemeClr w14:val="tx1"/>
            </w14:solidFill>
          </w14:textFill>
        </w:rPr>
        <w:t>个月</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现场服务费根据乙方</w:t>
      </w:r>
      <w:r>
        <w:rPr>
          <w:rFonts w:hint="eastAsia" w:ascii="宋体" w:hAnsi="宋体" w:cs="宋体"/>
          <w:color w:val="000000" w:themeColor="text1"/>
          <w:kern w:val="0"/>
          <w:sz w:val="24"/>
          <w:szCs w:val="24"/>
          <w:highlight w:val="none"/>
          <w14:textFill>
            <w14:solidFill>
              <w14:schemeClr w14:val="tx1"/>
            </w14:solidFill>
          </w14:textFill>
        </w:rPr>
        <w:t>现场服务期按月分摊，乙方每6个月可申请一次施工阶段的现场服务费用的支付。甲方根据施工阶段的现场服务的评审结果</w:t>
      </w:r>
      <w:r>
        <w:rPr>
          <w:rFonts w:ascii="宋体" w:hAnsi="宋体" w:cs="宋体"/>
          <w:color w:val="000000" w:themeColor="text1"/>
          <w:kern w:val="0"/>
          <w:sz w:val="24"/>
          <w:szCs w:val="24"/>
          <w:highlight w:val="none"/>
          <w14:textFill>
            <w14:solidFill>
              <w14:schemeClr w14:val="tx1"/>
            </w14:solidFill>
          </w14:textFill>
        </w:rPr>
        <w:t>、乙方在申请周期内提交的完整巡场报告等</w:t>
      </w:r>
      <w:r>
        <w:rPr>
          <w:rFonts w:hint="eastAsia" w:ascii="宋体" w:hAnsi="宋体" w:cs="宋体"/>
          <w:color w:val="000000" w:themeColor="text1"/>
          <w:kern w:val="0"/>
          <w:sz w:val="24"/>
          <w:szCs w:val="24"/>
          <w:highlight w:val="none"/>
          <w14:textFill>
            <w14:solidFill>
              <w14:schemeClr w14:val="tx1"/>
            </w14:solidFill>
          </w14:textFill>
        </w:rPr>
        <w:t>确定应支付的现场服务费。</w:t>
      </w:r>
    </w:p>
    <w:p w14:paraId="055520F6">
      <w:pPr>
        <w:adjustRightInd w:val="0"/>
        <w:snapToGrid w:val="0"/>
        <w:spacing w:line="360" w:lineRule="auto"/>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如在</w:t>
      </w:r>
      <w:r>
        <w:rPr>
          <w:rFonts w:hint="eastAsia" w:ascii="宋体" w:hAnsi="宋体" w:cs="宋体"/>
          <w:color w:val="000000" w:themeColor="text1"/>
          <w:kern w:val="0"/>
          <w:sz w:val="24"/>
          <w:szCs w:val="24"/>
          <w:highlight w:val="none"/>
          <w14:textFill>
            <w14:solidFill>
              <w14:schemeClr w14:val="tx1"/>
            </w14:solidFill>
          </w14:textFill>
        </w:rPr>
        <w:t>乙方现场服务期内</w:t>
      </w:r>
      <w:r>
        <w:rPr>
          <w:rFonts w:hint="eastAsia" w:ascii="宋体" w:hAnsi="宋体" w:cs="宋体"/>
          <w:bCs/>
          <w:color w:val="000000" w:themeColor="text1"/>
          <w:kern w:val="0"/>
          <w:sz w:val="24"/>
          <w:szCs w:val="24"/>
          <w:highlight w:val="none"/>
          <w14:textFill>
            <w14:solidFill>
              <w14:schemeClr w14:val="tx1"/>
            </w14:solidFill>
          </w14:textFill>
        </w:rPr>
        <w:t>，无论任何原因造成本合同工程中间停工而导致乙方现场服务人员必须二次或多次进出场的，本合同价款亦不会因此而有所调整，相关费用均已包含在本合同约定的现场服务费中。工程中间停工却不退场时，乙方可与甲方协商减少驻场人员的数量，本合同价款亦不作调整。</w:t>
      </w:r>
    </w:p>
    <w:p w14:paraId="637D2BF7">
      <w:pPr>
        <w:adjustRightInd w:val="0"/>
        <w:snapToGrid w:val="0"/>
        <w:spacing w:line="360" w:lineRule="auto"/>
        <w:ind w:right="11"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16.3.7</w:t>
      </w:r>
      <w:r>
        <w:rPr>
          <w:rFonts w:hint="eastAsia" w:ascii="宋体" w:hAnsi="宋体" w:cs="宋体"/>
          <w:color w:val="000000" w:themeColor="text1"/>
          <w:kern w:val="0"/>
          <w:sz w:val="24"/>
          <w:szCs w:val="24"/>
          <w:highlight w:val="none"/>
          <w14:textFill>
            <w14:solidFill>
              <w14:schemeClr w14:val="tx1"/>
            </w14:solidFill>
          </w14:textFill>
        </w:rPr>
        <w:t>完整版施工图设计费用的支付</w:t>
      </w:r>
    </w:p>
    <w:p w14:paraId="4036D5DC">
      <w:pPr>
        <w:adjustRightInd w:val="0"/>
        <w:snapToGrid w:val="0"/>
        <w:spacing w:line="360" w:lineRule="auto"/>
        <w:ind w:left="118" w:leftChars="56"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在乙方将完整版施工图提交给甲方审核通过后，甲方向乙方一次性支付完整版施工图设计费用100%。</w:t>
      </w:r>
    </w:p>
    <w:p w14:paraId="7680BEC7">
      <w:pPr>
        <w:adjustRightInd w:val="0"/>
        <w:snapToGrid w:val="0"/>
        <w:spacing w:line="360" w:lineRule="auto"/>
        <w:ind w:right="11" w:firstLine="482" w:firstLineChars="200"/>
        <w:outlineLvl w:val="4"/>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16.3.8</w:t>
      </w:r>
      <w:r>
        <w:rPr>
          <w:rFonts w:hint="eastAsia" w:ascii="宋体" w:hAnsi="宋体" w:cs="宋体"/>
          <w:color w:val="000000" w:themeColor="text1"/>
          <w:kern w:val="0"/>
          <w:sz w:val="24"/>
          <w:szCs w:val="24"/>
          <w:highlight w:val="none"/>
          <w14:textFill>
            <w14:solidFill>
              <w14:schemeClr w14:val="tx1"/>
            </w14:solidFill>
          </w14:textFill>
        </w:rPr>
        <w:t>工程结算配合服务费的支付</w:t>
      </w:r>
    </w:p>
    <w:p w14:paraId="5EF5CDA2">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甲方在乙方提出支付申请后根据工程结算配合服务的考评结果确定应支付的工程结算配合服务费。工程结算配合服务费于本合同设计范围内工程结算经结算终审部门审定</w:t>
      </w:r>
      <w:r>
        <w:rPr>
          <w:rFonts w:hint="eastAsia" w:ascii="宋体" w:hAnsi="宋体" w:cs="宋体"/>
          <w:color w:val="000000" w:themeColor="text1"/>
          <w:sz w:val="24"/>
          <w:szCs w:val="24"/>
          <w:highlight w:val="none"/>
          <w14:textFill>
            <w14:solidFill>
              <w14:schemeClr w14:val="tx1"/>
            </w14:solidFill>
          </w14:textFill>
        </w:rPr>
        <w:t>且乙方已支付</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编制单位</w:t>
      </w:r>
      <w:r>
        <w:rPr>
          <w:rFonts w:hint="default" w:ascii="宋体" w:hAnsi="宋体" w:cs="宋体"/>
          <w:color w:val="000000" w:themeColor="text1"/>
          <w:sz w:val="24"/>
          <w:szCs w:val="24"/>
          <w:highlight w:val="none"/>
          <w14:textFill>
            <w14:solidFill>
              <w14:schemeClr w14:val="tx1"/>
            </w14:solidFill>
          </w14:textFill>
        </w:rPr>
        <w:t>造价预算</w:t>
      </w:r>
      <w:r>
        <w:rPr>
          <w:rFonts w:hint="eastAsia" w:ascii="宋体" w:hAnsi="宋体" w:cs="宋体"/>
          <w:color w:val="000000" w:themeColor="text1"/>
          <w:sz w:val="24"/>
          <w:szCs w:val="24"/>
          <w:highlight w:val="none"/>
          <w14:textFill>
            <w14:solidFill>
              <w14:schemeClr w14:val="tx1"/>
            </w14:solidFill>
          </w14:textFill>
        </w:rPr>
        <w:t>编制费用的余款</w:t>
      </w:r>
      <w:r>
        <w:rPr>
          <w:rFonts w:hint="eastAsia" w:ascii="宋体" w:hAnsi="宋体" w:cs="宋体"/>
          <w:color w:val="000000" w:themeColor="text1"/>
          <w:kern w:val="0"/>
          <w:sz w:val="24"/>
          <w:szCs w:val="24"/>
          <w:highlight w:val="none"/>
          <w14:textFill>
            <w14:solidFill>
              <w14:schemeClr w14:val="tx1"/>
            </w14:solidFill>
          </w14:textFill>
        </w:rPr>
        <w:t>后一次性支付。</w:t>
      </w:r>
    </w:p>
    <w:p w14:paraId="7127EFA0">
      <w:pPr>
        <w:adjustRightInd w:val="0"/>
        <w:snapToGrid w:val="0"/>
        <w:spacing w:line="360" w:lineRule="auto"/>
        <w:ind w:right="11" w:firstLine="482" w:firstLineChars="200"/>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16.3.9</w:t>
      </w:r>
      <w:r>
        <w:rPr>
          <w:rFonts w:hint="eastAsia" w:ascii="宋体" w:hAnsi="宋体" w:cs="宋体"/>
          <w:color w:val="000000" w:themeColor="text1"/>
          <w:kern w:val="0"/>
          <w:sz w:val="24"/>
          <w:szCs w:val="24"/>
          <w:highlight w:val="none"/>
          <w14:textFill>
            <w14:solidFill>
              <w14:schemeClr w14:val="tx1"/>
            </w14:solidFill>
          </w14:textFill>
        </w:rPr>
        <w:t>工程保修阶段服务费的支付</w:t>
      </w:r>
    </w:p>
    <w:p w14:paraId="13AFBF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工程保修阶段服务费以合同工程设计费暂定总额为基数，按本合同条款第15条的有关约定确定；待结算终审部门审定本合同结算金额后，再根据审定结算本合同工程设计费结算总额为基数，按本合同条款第16条的约定调整；甲方在乙方提出支付申请后根据工程保修阶段服务的考评等级确定应支付的工程保修阶段服务费。工程保修阶段服务费于竣工满两年后全部支付。</w:t>
      </w:r>
    </w:p>
    <w:p w14:paraId="57169BAC">
      <w:pPr>
        <w:adjustRightInd w:val="0"/>
        <w:snapToGrid w:val="0"/>
        <w:spacing w:line="360" w:lineRule="auto"/>
        <w:ind w:right="11" w:firstLine="480" w:firstLineChars="200"/>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b/>
          <w:color w:val="000000" w:themeColor="text1"/>
          <w:kern w:val="0"/>
          <w:sz w:val="24"/>
          <w:szCs w:val="24"/>
          <w:highlight w:val="none"/>
          <w14:textFill>
            <w14:solidFill>
              <w14:schemeClr w14:val="tx1"/>
            </w14:solidFill>
          </w14:textFill>
        </w:rPr>
        <w:t>16.4</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编制费的支付</w:t>
      </w:r>
    </w:p>
    <w:p w14:paraId="33F7E7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满足以下条件，甲方根据乙方的申请支付</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编制费的50%：</w:t>
      </w:r>
    </w:p>
    <w:p w14:paraId="412D8C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（1）设计概算在规定的时间内按要求复核完毕；</w:t>
      </w:r>
    </w:p>
    <w:p w14:paraId="2B1017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（2）设计概算经有权审批的部门审批，并取得概算批复；</w:t>
      </w:r>
    </w:p>
    <w:p w14:paraId="7D678C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编制文件组成必须完整（包括但不限于编制说明，工程量计算书、主要材料设备定价依据文件资料等）；</w:t>
      </w:r>
    </w:p>
    <w:p w14:paraId="55CE41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送审金额与有权审批的部门审批金额对比在10%以内（</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送审金额偏差绝对值累计额相对于有权审批的部门审批金额，核减率在10%以内）；</w:t>
      </w:r>
    </w:p>
    <w:p w14:paraId="03FEE64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在规定时间内按要求提交；</w:t>
      </w:r>
    </w:p>
    <w:p w14:paraId="759A6029">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（6）设计范围内</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经有权审批的部门审批，并取得预算批复。</w:t>
      </w:r>
    </w:p>
    <w:p w14:paraId="2906A65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注：在设计范围内如出现批次</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申报的情况，在满足上述条件的情况下，申请支付</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编制费按每批次预算批复金额与对应的批复概算中建安工程费金额的比值乘以50%作为支付比例。</w:t>
      </w:r>
    </w:p>
    <w:p w14:paraId="39D2363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、招标控制价配合及配合施工招标满足以下条件，甲方根据乙方的申请支付</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编制费的40%：</w:t>
      </w:r>
    </w:p>
    <w:p w14:paraId="67153E3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（1）复核招标控制价编制文件组成是否完整（包括但不限于编制说明，工程量计算书、主要材料设备定价依据文件资料等）；</w:t>
      </w:r>
    </w:p>
    <w:p w14:paraId="76531AB9">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（2）招标控制价在规定时间内按要求复核完毕；</w:t>
      </w:r>
    </w:p>
    <w:p w14:paraId="360564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（3）施工招标过程中，如发生设计调整，乙方必须根据设计调整内容，在规定时间内编制预算修改说明及相应修改预算文件，提交修改后的预算文件成果并经甲方确认；</w:t>
      </w:r>
    </w:p>
    <w:p w14:paraId="376DE7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（4）施工招标过程中，如投标单位对预算文件的量和价提出异议，乙方需在规定时间内解答相关问题；</w:t>
      </w:r>
    </w:p>
    <w:p w14:paraId="59383BC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（5）乙方按甲方要求提交全部施工招标控制价配合工作成果并经甲方确认；</w:t>
      </w:r>
    </w:p>
    <w:p w14:paraId="470C5AD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（6）设计范围内全部招标项目取得中标通知书。</w:t>
      </w:r>
    </w:p>
    <w:p w14:paraId="09DC05C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注：在设计范围内如出现多批次施工招标控制价</w:t>
      </w:r>
      <w:r>
        <w:rPr>
          <w:rFonts w:hint="eastAsia" w:ascii="宋体" w:hAnsi="宋体" w:cs="宋体"/>
          <w:color w:val="000000" w:themeColor="text1"/>
          <w:sz w:val="24"/>
          <w:szCs w:val="24"/>
          <w:highlight w:val="none"/>
          <w14:textFill>
            <w14:solidFill>
              <w14:schemeClr w14:val="tx1"/>
            </w14:solidFill>
          </w14:textFill>
        </w:rPr>
        <w:t>配合</w:t>
      </w:r>
      <w:r>
        <w:rPr>
          <w:rFonts w:hint="eastAsia" w:ascii="宋体" w:hAnsi="宋体" w:cs="宋体"/>
          <w:color w:val="000000" w:themeColor="text1"/>
          <w:kern w:val="0"/>
          <w:sz w:val="24"/>
          <w:szCs w:val="24"/>
          <w:highlight w:val="none"/>
          <w14:textFill>
            <w14:solidFill>
              <w14:schemeClr w14:val="tx1"/>
            </w14:solidFill>
          </w14:textFill>
        </w:rPr>
        <w:t>的情况，在满足上述条件的情况下，申请支付</w:t>
      </w:r>
      <w:r>
        <w:rPr>
          <w:rFonts w:hint="default" w:ascii="宋体" w:hAnsi="宋体" w:cs="宋体"/>
          <w:color w:val="000000" w:themeColor="text1"/>
          <w:kern w:val="0"/>
          <w:sz w:val="24"/>
          <w:szCs w:val="24"/>
          <w:highlight w:val="none"/>
          <w14:textFill>
            <w14:solidFill>
              <w14:schemeClr w14:val="tx1"/>
            </w14:solidFill>
          </w14:textFill>
        </w:rPr>
        <w:t>造价预算</w:t>
      </w:r>
      <w:r>
        <w:rPr>
          <w:rFonts w:hint="eastAsia" w:ascii="宋体" w:hAnsi="宋体" w:cs="宋体"/>
          <w:color w:val="000000" w:themeColor="text1"/>
          <w:kern w:val="0"/>
          <w:sz w:val="24"/>
          <w:szCs w:val="24"/>
          <w:highlight w:val="none"/>
          <w14:textFill>
            <w14:solidFill>
              <w14:schemeClr w14:val="tx1"/>
            </w14:solidFill>
          </w14:textFill>
        </w:rPr>
        <w:t>编制费按每批次招标控制价金额与对应批复的概算中建安工程费金额的比值乘以40%作为支付比例。</w:t>
      </w:r>
    </w:p>
    <w:p w14:paraId="052C273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Ansi="宋体"/>
          <w:dstrike/>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（三）有权结算终审部门审定本合同结算金额后，乙方按甲方的财务管理制度办理款项申请手续，经甲方审核确认后一次性付清余下尾款。</w:t>
      </w:r>
    </w:p>
    <w:p w14:paraId="09664691">
      <w:pPr>
        <w:adjustRightInd w:val="0"/>
        <w:snapToGrid w:val="0"/>
        <w:spacing w:line="360" w:lineRule="auto"/>
        <w:ind w:right="11" w:firstLine="482" w:firstLineChars="200"/>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16.5</w:t>
      </w:r>
      <w:r>
        <w:rPr>
          <w:rFonts w:hint="eastAsia" w:ascii="宋体" w:hAnsi="宋体" w:cs="宋体"/>
          <w:color w:val="000000" w:themeColor="text1"/>
          <w:kern w:val="0"/>
          <w:sz w:val="24"/>
          <w:szCs w:val="24"/>
          <w:highlight w:val="none"/>
          <w14:textFill>
            <w14:solidFill>
              <w14:schemeClr w14:val="tx1"/>
            </w14:solidFill>
          </w14:textFill>
        </w:rPr>
        <w:t>其它设计收费的支付</w:t>
      </w:r>
    </w:p>
    <w:p w14:paraId="23C7C6EC">
      <w:pPr>
        <w:keepNext w:val="0"/>
        <w:keepLines w:val="0"/>
        <w:pageBreakBefore w:val="0"/>
        <w:kinsoku/>
        <w:wordWrap/>
        <w:overflowPunct/>
        <w:topLinePunct w:val="0"/>
        <w:autoSpaceDE/>
        <w:autoSpaceDN/>
        <w:bidi w:val="0"/>
        <w:adjustRightInd w:val="0"/>
        <w:snapToGrid w:val="0"/>
        <w:spacing w:line="360" w:lineRule="auto"/>
        <w:ind w:right="11"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16.5.1</w:t>
      </w:r>
      <w:r>
        <w:rPr>
          <w:rFonts w:hint="eastAsia" w:ascii="宋体" w:hAnsi="宋体" w:cs="宋体"/>
          <w:color w:val="000000" w:themeColor="text1"/>
          <w:kern w:val="0"/>
          <w:sz w:val="24"/>
          <w:szCs w:val="24"/>
          <w:highlight w:val="none"/>
          <w14:textFill>
            <w14:solidFill>
              <w14:schemeClr w14:val="tx1"/>
            </w14:solidFill>
          </w14:textFill>
        </w:rPr>
        <w:t>设计协调费的支付</w:t>
      </w:r>
    </w:p>
    <w:p w14:paraId="48F7BEA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已含在设计费中，不再另行计取，不单独支付。</w:t>
      </w:r>
    </w:p>
    <w:p w14:paraId="0ED7D2E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16.5.2</w:t>
      </w:r>
      <w:r>
        <w:rPr>
          <w:rFonts w:hint="eastAsia" w:ascii="宋体" w:hAnsi="宋体" w:cs="宋体"/>
          <w:color w:val="000000" w:themeColor="text1"/>
          <w:kern w:val="0"/>
          <w:sz w:val="24"/>
          <w:szCs w:val="24"/>
          <w:highlight w:val="none"/>
          <w14:textFill>
            <w14:solidFill>
              <w14:schemeClr w14:val="tx1"/>
            </w14:solidFill>
          </w14:textFill>
        </w:rPr>
        <w:t>驻场设计费的支付</w:t>
      </w:r>
    </w:p>
    <w:p w14:paraId="319033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已含在设计费中，不再另行计取，不单独支付。</w:t>
      </w:r>
    </w:p>
    <w:p w14:paraId="27983D15">
      <w:pPr>
        <w:adjustRightInd w:val="0"/>
        <w:snapToGrid w:val="0"/>
        <w:spacing w:line="360" w:lineRule="auto"/>
        <w:ind w:right="11" w:firstLine="480" w:firstLineChars="200"/>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b/>
          <w:color w:val="000000" w:themeColor="text1"/>
          <w:kern w:val="0"/>
          <w:sz w:val="24"/>
          <w:szCs w:val="24"/>
          <w:highlight w:val="none"/>
          <w:lang w:val="en-US" w:eastAsia="zh-CN"/>
          <w14:textFill>
            <w14:solidFill>
              <w14:schemeClr w14:val="tx1"/>
            </w14:solidFill>
          </w14:textFill>
        </w:rPr>
        <w:t>16.6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设计方案报审</w:t>
      </w:r>
      <w:r>
        <w:rPr>
          <w:rFonts w:hint="eastAsia" w:ascii="宋体" w:hAnsi="宋体" w:eastAsia="宋体" w:cs="Times New Roman"/>
          <w:color w:val="000000" w:themeColor="text1"/>
          <w:sz w:val="24"/>
          <w:szCs w:val="24"/>
          <w:highlight w:val="none"/>
          <w:u w:val="none"/>
          <w14:textFill>
            <w14:solidFill>
              <w14:schemeClr w14:val="tx1"/>
            </w14:solidFill>
          </w14:textFill>
        </w:rPr>
        <w:t>（含修建性详细规划编制</w:t>
      </w:r>
      <w:r>
        <w:rPr>
          <w:rFonts w:hint="eastAsia" w:ascii="宋体" w:hAnsi="宋体" w:eastAsia="宋体" w:cs="宋体"/>
          <w:color w:val="000000" w:themeColor="text1"/>
          <w:kern w:val="2"/>
          <w:sz w:val="24"/>
          <w:szCs w:val="24"/>
          <w:highlight w:val="none"/>
          <w14:textFill>
            <w14:solidFill>
              <w14:schemeClr w14:val="tx1"/>
            </w14:solidFill>
          </w14:textFill>
        </w:rPr>
        <w:t>、调整</w:t>
      </w:r>
      <w:r>
        <w:rPr>
          <w:rFonts w:hint="eastAsia"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费的支付</w:t>
      </w:r>
    </w:p>
    <w:p w14:paraId="47EB2B6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leftChars="0" w:right="0" w:firstLine="480" w:firstLineChars="200"/>
        <w:jc w:val="left"/>
        <w:textAlignment w:val="auto"/>
        <w:rPr>
          <w:rFonts w:hint="default" w:ascii="Calibri" w:hAnsi="Calibri" w:eastAsia="宋体" w:cs="Calibri"/>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乙方完成本合同约定设计方案报审（含修建性详细规划调整）工作，且相关工作成果通过甲方及相关主管部门审批通过后，甲方向乙方支付设计方案报审</w:t>
      </w:r>
      <w:r>
        <w:rPr>
          <w:rFonts w:hint="eastAsia" w:ascii="宋体" w:hAnsi="宋体" w:eastAsia="宋体" w:cs="Times New Roman"/>
          <w:color w:val="000000" w:themeColor="text1"/>
          <w:sz w:val="24"/>
          <w:szCs w:val="24"/>
          <w:highlight w:val="none"/>
          <w:u w:val="none"/>
          <w14:textFill>
            <w14:solidFill>
              <w14:schemeClr w14:val="tx1"/>
            </w14:solidFill>
          </w14:textFill>
        </w:rPr>
        <w:t>（含修建性详细规划编制</w:t>
      </w:r>
      <w:r>
        <w:rPr>
          <w:rFonts w:hint="eastAsia" w:ascii="宋体" w:hAnsi="宋体" w:eastAsia="宋体" w:cs="宋体"/>
          <w:color w:val="000000" w:themeColor="text1"/>
          <w:kern w:val="2"/>
          <w:sz w:val="24"/>
          <w:szCs w:val="24"/>
          <w:highlight w:val="none"/>
          <w14:textFill>
            <w14:solidFill>
              <w14:schemeClr w14:val="tx1"/>
            </w14:solidFill>
          </w14:textFill>
        </w:rPr>
        <w:t>、调整</w:t>
      </w:r>
      <w:r>
        <w:rPr>
          <w:rFonts w:hint="eastAsia"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费的100%。</w:t>
      </w:r>
    </w:p>
    <w:p w14:paraId="3CA37E68">
      <w:pPr>
        <w:adjustRightInd w:val="0"/>
        <w:snapToGrid w:val="0"/>
        <w:spacing w:line="360" w:lineRule="auto"/>
        <w:ind w:right="11"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ascii="宋体" w:hAnsi="宋体" w:cs="宋体"/>
          <w:b/>
          <w:bCs/>
          <w:color w:val="000000" w:themeColor="text1"/>
          <w:kern w:val="0"/>
          <w:sz w:val="24"/>
          <w:szCs w:val="24"/>
          <w:highlight w:val="none"/>
          <w14:textFill>
            <w14:solidFill>
              <w14:schemeClr w14:val="tx1"/>
            </w14:solidFill>
          </w14:textFill>
        </w:rPr>
        <w:t>16.7</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BIM正向设计技术应用费的支付</w:t>
      </w:r>
    </w:p>
    <w:p w14:paraId="78BDA859">
      <w:pPr>
        <w:keepNext w:val="0"/>
        <w:keepLines w:val="0"/>
        <w:pageBreakBefore w:val="0"/>
        <w:kinsoku/>
        <w:wordWrap/>
        <w:overflowPunct/>
        <w:topLinePunct w:val="0"/>
        <w:autoSpaceDE/>
        <w:autoSpaceDN/>
        <w:bidi w:val="0"/>
        <w:adjustRightInd w:val="0"/>
        <w:snapToGrid w:val="0"/>
        <w:spacing w:line="360" w:lineRule="auto"/>
        <w:ind w:left="118" w:leftChars="56"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（1）乙方的勘察、设计成果文件通过施工图审查并取得施工图审查合格书后，乙方可申请支付BIM正向设计技术应用费的50%；</w:t>
      </w:r>
    </w:p>
    <w:p w14:paraId="7903BA69">
      <w:pPr>
        <w:keepNext w:val="0"/>
        <w:keepLines w:val="0"/>
        <w:pageBreakBefore w:val="0"/>
        <w:kinsoku/>
        <w:wordWrap/>
        <w:overflowPunct/>
        <w:topLinePunct w:val="0"/>
        <w:autoSpaceDE/>
        <w:autoSpaceDN/>
        <w:bidi w:val="0"/>
        <w:adjustRightInd w:val="0"/>
        <w:snapToGrid w:val="0"/>
        <w:spacing w:line="360" w:lineRule="auto"/>
        <w:ind w:left="118" w:leftChars="56"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（2）乙方按本合同约定提交施工图设计阶段BIM模型及所有成果，且相关工作成果经甲方审核确认后，乙方可申请支付至BIM正向设计技术应用费的70%；</w:t>
      </w:r>
    </w:p>
    <w:p w14:paraId="70FB4E68">
      <w:pPr>
        <w:keepNext w:val="0"/>
        <w:keepLines w:val="0"/>
        <w:pageBreakBefore w:val="0"/>
        <w:kinsoku/>
        <w:wordWrap/>
        <w:overflowPunct/>
        <w:topLinePunct w:val="0"/>
        <w:autoSpaceDE/>
        <w:autoSpaceDN/>
        <w:bidi w:val="0"/>
        <w:adjustRightInd w:val="0"/>
        <w:snapToGrid w:val="0"/>
        <w:spacing w:line="360" w:lineRule="auto"/>
        <w:ind w:left="118" w:leftChars="56"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（3）乙方完成施工阶段、竣工验收阶段BIM模型及相应成果的深化工作，且相关工作成果经甲方审核确认后，乙方可申请支付至BIM正向设计技术应用费的90%；</w:t>
      </w:r>
    </w:p>
    <w:p w14:paraId="7924B9A7">
      <w:pPr>
        <w:keepNext w:val="0"/>
        <w:keepLines w:val="0"/>
        <w:pageBreakBefore w:val="0"/>
        <w:kinsoku/>
        <w:wordWrap/>
        <w:overflowPunct/>
        <w:topLinePunct w:val="0"/>
        <w:autoSpaceDE/>
        <w:autoSpaceDN/>
        <w:bidi w:val="0"/>
        <w:adjustRightInd w:val="0"/>
        <w:snapToGrid w:val="0"/>
        <w:spacing w:line="360" w:lineRule="auto"/>
        <w:ind w:left="118" w:leftChars="56"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 xml:space="preserve">（4）本合同结算定审后，乙方可申请支付至BIM正向设计技术应用费的100%。 </w:t>
      </w:r>
    </w:p>
    <w:p w14:paraId="5D0AC9C6">
      <w:pPr>
        <w:adjustRightInd w:val="0"/>
        <w:snapToGrid w:val="0"/>
        <w:spacing w:line="360" w:lineRule="auto"/>
        <w:ind w:right="11"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16</w:t>
      </w:r>
      <w:r>
        <w:rPr>
          <w:rFonts w:hint="eastAsia" w:ascii="宋体" w:hAnsi="宋体" w:cs="宋体"/>
          <w:b/>
          <w:color w:val="000000" w:themeColor="text1"/>
          <w:kern w:val="0"/>
          <w:sz w:val="24"/>
          <w:szCs w:val="24"/>
          <w:highlight w:val="none"/>
          <w14:textFill>
            <w14:solidFill>
              <w14:schemeClr w14:val="tx1"/>
            </w14:solidFill>
          </w14:textFill>
        </w:rPr>
        <w:t>.</w:t>
      </w:r>
      <w:r>
        <w:rPr>
          <w:rFonts w:hint="default" w:ascii="宋体" w:hAnsi="宋体" w:cs="宋体"/>
          <w:b/>
          <w:color w:val="000000" w:themeColor="text1"/>
          <w:kern w:val="0"/>
          <w:sz w:val="24"/>
          <w:szCs w:val="24"/>
          <w:highlight w:val="none"/>
          <w14:textFill>
            <w14:solidFill>
              <w14:schemeClr w14:val="tx1"/>
            </w14:solidFill>
          </w14:textFill>
        </w:rPr>
        <w:t>8</w:t>
      </w:r>
      <w:r>
        <w:rPr>
          <w:rFonts w:hint="eastAsia" w:ascii="宋体" w:hAnsi="宋体" w:cs="宋体"/>
          <w:color w:val="000000" w:themeColor="text1"/>
          <w:kern w:val="0"/>
          <w:sz w:val="24"/>
          <w:szCs w:val="24"/>
          <w:highlight w:val="none"/>
          <w14:textFill>
            <w14:solidFill>
              <w14:schemeClr w14:val="tx1"/>
            </w14:solidFill>
          </w14:textFill>
        </w:rPr>
        <w:t>本合同设计收费的结算</w:t>
      </w:r>
    </w:p>
    <w:p w14:paraId="64A0CB1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本合同工程竣工</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验收完成</w:t>
      </w:r>
      <w:r>
        <w:rPr>
          <w:rFonts w:hint="eastAsia" w:ascii="宋体" w:hAnsi="宋体" w:cs="宋体"/>
          <w:color w:val="000000" w:themeColor="text1"/>
          <w:sz w:val="24"/>
          <w:szCs w:val="24"/>
          <w:highlight w:val="none"/>
          <w14:textFill>
            <w14:solidFill>
              <w14:schemeClr w14:val="tx1"/>
            </w14:solidFill>
          </w14:textFill>
        </w:rPr>
        <w:t>后</w:t>
      </w:r>
      <w:r>
        <w:rPr>
          <w:rFonts w:hint="default" w:ascii="宋体" w:hAnsi="宋体" w:cs="宋体"/>
          <w:color w:val="000000" w:themeColor="text1"/>
          <w:sz w:val="24"/>
          <w:szCs w:val="24"/>
          <w:highlight w:val="none"/>
          <w14:textFill>
            <w14:solidFill>
              <w14:schemeClr w14:val="tx1"/>
            </w14:solidFill>
          </w14:textFill>
        </w:rPr>
        <w:t>28</w:t>
      </w:r>
      <w:r>
        <w:rPr>
          <w:rFonts w:hint="eastAsia" w:ascii="宋体" w:hAnsi="宋体" w:cs="宋体"/>
          <w:color w:val="000000" w:themeColor="text1"/>
          <w:sz w:val="24"/>
          <w:szCs w:val="24"/>
          <w:highlight w:val="none"/>
          <w14:textFill>
            <w14:solidFill>
              <w14:schemeClr w14:val="tx1"/>
            </w14:solidFill>
          </w14:textFill>
        </w:rPr>
        <w:t>日内，乙方应向甲方提交本合同的结算书及完整的结算资料。否则，甲方将自行进行本合同结算并上报，有权结算终审部门据此审定的金额即为本合同设计收费的结算金额。</w:t>
      </w:r>
    </w:p>
    <w:p w14:paraId="6DECF126">
      <w:pPr>
        <w:keepNext w:val="0"/>
        <w:keepLines w:val="0"/>
        <w:pageBreakBefore w:val="0"/>
        <w:kinsoku/>
        <w:wordWrap/>
        <w:overflowPunct/>
        <w:topLinePunct w:val="0"/>
        <w:autoSpaceDE/>
        <w:autoSpaceDN/>
        <w:bidi w:val="0"/>
        <w:snapToGrid w:val="0"/>
        <w:spacing w:line="360" w:lineRule="auto"/>
        <w:ind w:right="11"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配合甲方完成本合同全部设计项目的实施工作，并按规定提交全部技术档案资料，本合同设计收费结算金额已经获得有权结算终审部门审定，且工程保修阶段已经结束（竣工满两年），乙方可向甲方申请结清本合同设计收费尾款；如工程保修阶段尚未结束（竣工尚未满两年），乙方可根据设计收费实际的支付情况申请支付至本合同设计收费结算金额的95%。</w:t>
      </w:r>
    </w:p>
    <w:p w14:paraId="1C80D2C3">
      <w:pPr>
        <w:adjustRightInd w:val="0"/>
        <w:snapToGrid w:val="0"/>
        <w:spacing w:line="360" w:lineRule="auto"/>
        <w:ind w:right="11" w:firstLine="482" w:firstLineChars="200"/>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b/>
          <w:bCs/>
          <w:snapToGrid w:val="0"/>
          <w:color w:val="000000" w:themeColor="text1"/>
          <w:kern w:val="0"/>
          <w:sz w:val="24"/>
          <w:szCs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szCs w:val="24"/>
          <w:highlight w:val="none"/>
          <w:lang w:bidi="ar"/>
          <w14:textFill>
            <w14:solidFill>
              <w14:schemeClr w14:val="tx1"/>
            </w14:solidFill>
          </w14:textFill>
        </w:rPr>
        <w:t>若本合同工程竣工后两年内，乙方的设计方案获得国家级、省级或者市级奖项的，乙方可按以下标准向甲方申请补充结算</w:t>
      </w:r>
      <w:r>
        <w:rPr>
          <w:rFonts w:ascii="宋体" w:hAnsi="宋体" w:cs="宋体"/>
          <w:color w:val="000000" w:themeColor="text1"/>
          <w:kern w:val="0"/>
          <w:sz w:val="24"/>
          <w:szCs w:val="24"/>
          <w:highlight w:val="none"/>
          <w:lang w:bidi="ar"/>
          <w14:textFill>
            <w14:solidFill>
              <w14:schemeClr w14:val="tx1"/>
            </w14:solidFill>
          </w14:textFill>
        </w:rPr>
        <w:t>(</w:t>
      </w:r>
      <w:r>
        <w:rPr>
          <w:rFonts w:hint="eastAsia" w:ascii="宋体" w:hAnsi="宋体" w:cs="宋体"/>
          <w:snapToGrid w:val="0"/>
          <w:color w:val="000000" w:themeColor="text1"/>
          <w:kern w:val="0"/>
          <w:sz w:val="24"/>
          <w:szCs w:val="24"/>
          <w:highlight w:val="none"/>
          <w:lang w:bidi="ar"/>
          <w14:textFill>
            <w14:solidFill>
              <w14:schemeClr w14:val="tx1"/>
            </w14:solidFill>
          </w14:textFill>
        </w:rPr>
        <w:t>若乙方同时获得多个级别的奖项，则奖励金额按最高级别奖项计取，不可以重复计取</w:t>
      </w:r>
      <w:r>
        <w:rPr>
          <w:rFonts w:ascii="宋体" w:hAnsi="宋体" w:cs="宋体"/>
          <w:color w:val="000000" w:themeColor="text1"/>
          <w:kern w:val="0"/>
          <w:sz w:val="24"/>
          <w:szCs w:val="24"/>
          <w:highlight w:val="none"/>
          <w:lang w:bidi="ar"/>
          <w14:textFill>
            <w14:solidFill>
              <w14:schemeClr w14:val="tx1"/>
            </w14:solidFill>
          </w14:textFill>
        </w:rPr>
        <w:t>)</w:t>
      </w:r>
      <w:r>
        <w:rPr>
          <w:rFonts w:hint="eastAsia" w:ascii="宋体" w:hAnsi="宋体" w:cs="宋体"/>
          <w:snapToGrid w:val="0"/>
          <w:color w:val="000000" w:themeColor="text1"/>
          <w:kern w:val="0"/>
          <w:sz w:val="24"/>
          <w:szCs w:val="24"/>
          <w:highlight w:val="none"/>
          <w:lang w:bidi="ar"/>
          <w14:textFill>
            <w14:solidFill>
              <w14:schemeClr w14:val="tx1"/>
            </w14:solidFill>
          </w14:textFill>
        </w:rPr>
        <w:t>：</w:t>
      </w:r>
    </w:p>
    <w:p w14:paraId="2E70E1B5">
      <w:pPr>
        <w:adjustRightInd w:val="0"/>
        <w:snapToGrid w:val="0"/>
        <w:spacing w:line="360" w:lineRule="auto"/>
        <w:ind w:right="11" w:firstLine="480" w:firstLineChars="200"/>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snapToGrid w:val="0"/>
          <w:color w:val="000000" w:themeColor="text1"/>
          <w:kern w:val="0"/>
          <w:sz w:val="24"/>
          <w:szCs w:val="24"/>
          <w:highlight w:val="none"/>
          <w:lang w:bidi="ar"/>
          <w14:textFill>
            <w14:solidFill>
              <w14:schemeClr w14:val="tx1"/>
            </w14:solidFill>
          </w14:textFill>
        </w:rPr>
        <w:t>（</w:t>
      </w:r>
      <w:r>
        <w:rPr>
          <w:rFonts w:ascii="宋体" w:hAnsi="宋体" w:cs="宋体"/>
          <w:color w:val="000000" w:themeColor="text1"/>
          <w:kern w:val="0"/>
          <w:sz w:val="24"/>
          <w:szCs w:val="24"/>
          <w:highlight w:val="none"/>
          <w:lang w:bidi="ar"/>
          <w14:textFill>
            <w14:solidFill>
              <w14:schemeClr w14:val="tx1"/>
            </w14:solidFill>
          </w14:textFill>
        </w:rPr>
        <w:t>1</w:t>
      </w:r>
      <w:r>
        <w:rPr>
          <w:rFonts w:hint="eastAsia" w:ascii="宋体" w:hAnsi="宋体" w:cs="宋体"/>
          <w:snapToGrid w:val="0"/>
          <w:color w:val="000000" w:themeColor="text1"/>
          <w:kern w:val="0"/>
          <w:sz w:val="24"/>
          <w:szCs w:val="24"/>
          <w:highlight w:val="none"/>
          <w:lang w:bidi="ar"/>
          <w14:textFill>
            <w14:solidFill>
              <w14:schemeClr w14:val="tx1"/>
            </w14:solidFill>
          </w14:textFill>
        </w:rPr>
        <w:t>）若设计方案获得国家级奖项，则奖励</w:t>
      </w:r>
      <w:r>
        <w:rPr>
          <w:rFonts w:ascii="宋体" w:hAnsi="宋体" w:cs="宋体"/>
          <w:color w:val="000000" w:themeColor="text1"/>
          <w:kern w:val="0"/>
          <w:sz w:val="24"/>
          <w:szCs w:val="24"/>
          <w:highlight w:val="none"/>
          <w:lang w:bidi="ar"/>
          <w14:textFill>
            <w14:solidFill>
              <w14:schemeClr w14:val="tx1"/>
            </w14:solidFill>
          </w14:textFill>
        </w:rPr>
        <w:t>5</w:t>
      </w:r>
      <w:r>
        <w:rPr>
          <w:rFonts w:hint="eastAsia" w:ascii="宋体" w:hAnsi="宋体" w:cs="宋体"/>
          <w:snapToGrid w:val="0"/>
          <w:color w:val="000000" w:themeColor="text1"/>
          <w:kern w:val="0"/>
          <w:sz w:val="24"/>
          <w:szCs w:val="24"/>
          <w:highlight w:val="none"/>
          <w:lang w:bidi="ar"/>
          <w14:textFill>
            <w14:solidFill>
              <w14:schemeClr w14:val="tx1"/>
            </w14:solidFill>
          </w14:textFill>
        </w:rPr>
        <w:t>万元；</w:t>
      </w:r>
    </w:p>
    <w:p w14:paraId="0D9A83C2">
      <w:pPr>
        <w:adjustRightInd w:val="0"/>
        <w:snapToGrid w:val="0"/>
        <w:spacing w:line="360" w:lineRule="auto"/>
        <w:ind w:right="11" w:firstLine="480" w:firstLineChars="200"/>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snapToGrid w:val="0"/>
          <w:color w:val="000000" w:themeColor="text1"/>
          <w:kern w:val="0"/>
          <w:sz w:val="24"/>
          <w:szCs w:val="24"/>
          <w:highlight w:val="none"/>
          <w:lang w:bidi="ar"/>
          <w14:textFill>
            <w14:solidFill>
              <w14:schemeClr w14:val="tx1"/>
            </w14:solidFill>
          </w14:textFill>
        </w:rPr>
        <w:t>（</w:t>
      </w:r>
      <w:r>
        <w:rPr>
          <w:rFonts w:ascii="宋体" w:hAnsi="宋体" w:cs="宋体"/>
          <w:color w:val="000000" w:themeColor="text1"/>
          <w:kern w:val="0"/>
          <w:sz w:val="24"/>
          <w:szCs w:val="24"/>
          <w:highlight w:val="none"/>
          <w:lang w:bidi="ar"/>
          <w14:textFill>
            <w14:solidFill>
              <w14:schemeClr w14:val="tx1"/>
            </w14:solidFill>
          </w14:textFill>
        </w:rPr>
        <w:t>2</w:t>
      </w:r>
      <w:r>
        <w:rPr>
          <w:rFonts w:hint="eastAsia" w:ascii="宋体" w:hAnsi="宋体" w:cs="宋体"/>
          <w:snapToGrid w:val="0"/>
          <w:color w:val="000000" w:themeColor="text1"/>
          <w:kern w:val="0"/>
          <w:sz w:val="24"/>
          <w:szCs w:val="24"/>
          <w:highlight w:val="none"/>
          <w:lang w:bidi="ar"/>
          <w14:textFill>
            <w14:solidFill>
              <w14:schemeClr w14:val="tx1"/>
            </w14:solidFill>
          </w14:textFill>
        </w:rPr>
        <w:t>）若设计方案获得省级奖项，则奖励</w:t>
      </w:r>
      <w:r>
        <w:rPr>
          <w:rFonts w:ascii="宋体" w:hAnsi="宋体" w:cs="宋体"/>
          <w:color w:val="000000" w:themeColor="text1"/>
          <w:kern w:val="0"/>
          <w:sz w:val="24"/>
          <w:szCs w:val="24"/>
          <w:highlight w:val="none"/>
          <w:lang w:bidi="ar"/>
          <w14:textFill>
            <w14:solidFill>
              <w14:schemeClr w14:val="tx1"/>
            </w14:solidFill>
          </w14:textFill>
        </w:rPr>
        <w:t>3</w:t>
      </w:r>
      <w:r>
        <w:rPr>
          <w:rFonts w:hint="eastAsia" w:ascii="宋体" w:hAnsi="宋体" w:cs="宋体"/>
          <w:snapToGrid w:val="0"/>
          <w:color w:val="000000" w:themeColor="text1"/>
          <w:kern w:val="0"/>
          <w:sz w:val="24"/>
          <w:szCs w:val="24"/>
          <w:highlight w:val="none"/>
          <w:lang w:bidi="ar"/>
          <w14:textFill>
            <w14:solidFill>
              <w14:schemeClr w14:val="tx1"/>
            </w14:solidFill>
          </w14:textFill>
        </w:rPr>
        <w:t>万元；</w:t>
      </w:r>
    </w:p>
    <w:p w14:paraId="37D2D71B">
      <w:pPr>
        <w:adjustRightInd w:val="0"/>
        <w:snapToGrid w:val="0"/>
        <w:spacing w:line="360" w:lineRule="auto"/>
        <w:ind w:right="11" w:firstLine="480" w:firstLineChars="200"/>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snapToGrid w:val="0"/>
          <w:color w:val="000000" w:themeColor="text1"/>
          <w:kern w:val="0"/>
          <w:sz w:val="24"/>
          <w:szCs w:val="24"/>
          <w:highlight w:val="none"/>
          <w:lang w:bidi="ar"/>
          <w14:textFill>
            <w14:solidFill>
              <w14:schemeClr w14:val="tx1"/>
            </w14:solidFill>
          </w14:textFill>
        </w:rPr>
        <w:t>（</w:t>
      </w:r>
      <w:r>
        <w:rPr>
          <w:rFonts w:ascii="宋体" w:hAnsi="宋体" w:cs="宋体"/>
          <w:color w:val="000000" w:themeColor="text1"/>
          <w:kern w:val="0"/>
          <w:sz w:val="24"/>
          <w:szCs w:val="24"/>
          <w:highlight w:val="none"/>
          <w:lang w:bidi="ar"/>
          <w14:textFill>
            <w14:solidFill>
              <w14:schemeClr w14:val="tx1"/>
            </w14:solidFill>
          </w14:textFill>
        </w:rPr>
        <w:t>3</w:t>
      </w:r>
      <w:r>
        <w:rPr>
          <w:rFonts w:hint="eastAsia" w:ascii="宋体" w:hAnsi="宋体" w:cs="宋体"/>
          <w:snapToGrid w:val="0"/>
          <w:color w:val="000000" w:themeColor="text1"/>
          <w:kern w:val="0"/>
          <w:sz w:val="24"/>
          <w:szCs w:val="24"/>
          <w:highlight w:val="none"/>
          <w:lang w:bidi="ar"/>
          <w14:textFill>
            <w14:solidFill>
              <w14:schemeClr w14:val="tx1"/>
            </w14:solidFill>
          </w14:textFill>
        </w:rPr>
        <w:t>）若设计方案获得广州市级奖项，则奖励</w:t>
      </w:r>
      <w:r>
        <w:rPr>
          <w:rFonts w:ascii="宋体" w:hAnsi="宋体" w:cs="宋体"/>
          <w:color w:val="000000" w:themeColor="text1"/>
          <w:kern w:val="0"/>
          <w:sz w:val="24"/>
          <w:szCs w:val="24"/>
          <w:highlight w:val="none"/>
          <w:lang w:bidi="ar"/>
          <w14:textFill>
            <w14:solidFill>
              <w14:schemeClr w14:val="tx1"/>
            </w14:solidFill>
          </w14:textFill>
        </w:rPr>
        <w:t>1</w:t>
      </w:r>
      <w:r>
        <w:rPr>
          <w:rFonts w:hint="eastAsia" w:ascii="宋体" w:hAnsi="宋体" w:cs="宋体"/>
          <w:snapToGrid w:val="0"/>
          <w:color w:val="000000" w:themeColor="text1"/>
          <w:kern w:val="0"/>
          <w:sz w:val="24"/>
          <w:szCs w:val="24"/>
          <w:highlight w:val="none"/>
          <w:lang w:bidi="ar"/>
          <w14:textFill>
            <w14:solidFill>
              <w14:schemeClr w14:val="tx1"/>
            </w14:solidFill>
          </w14:textFill>
        </w:rPr>
        <w:t>万元。</w:t>
      </w:r>
    </w:p>
    <w:p w14:paraId="2E826328">
      <w:pPr>
        <w:adjustRightInd w:val="0"/>
        <w:snapToGrid w:val="0"/>
        <w:spacing w:line="360" w:lineRule="auto"/>
        <w:ind w:right="11"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bidi="ar"/>
          <w14:textFill>
            <w14:solidFill>
              <w14:schemeClr w14:val="tx1"/>
            </w14:solidFill>
          </w14:textFill>
        </w:rPr>
        <w:t>乙方向甲方提交符合甲方结算制度要求的补充结算资料，并经结算终审部门审核确认后，甲方向乙方支付相应奖励金额。</w:t>
      </w:r>
    </w:p>
    <w:p w14:paraId="17580AB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w:t>
      </w:r>
      <w:r>
        <w:rPr>
          <w:rFonts w:hint="default" w:ascii="宋体" w:hAnsi="宋体" w:cs="宋体"/>
          <w:b/>
          <w:color w:val="000000" w:themeColor="text1"/>
          <w:kern w:val="0"/>
          <w:sz w:val="24"/>
          <w:szCs w:val="24"/>
          <w:highlight w:val="none"/>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如本合同设计收费为暂定价（按本合同条款第15.1.1款约定的方式确定）时，当甲方累计支付的设计收费金额达到本合同设计收费暂定总价的80%时，暂停本合同设计收费的申请、审核及支付。有权审核部门审定的本合同乙方设计范围的工程概算后，乙方可申请支付至以此为基础按合同约定计算的设计收费的85%。本合同设计收费结算金额经有权终审部门审定后，设计收费尾款按本合同条款第16条相关约定支付。</w:t>
      </w:r>
    </w:p>
    <w:p w14:paraId="32B31A3E">
      <w:pPr>
        <w:keepNext w:val="0"/>
        <w:keepLines w:val="0"/>
        <w:pageBreakBefore w:val="0"/>
        <w:kinsoku/>
        <w:wordWrap/>
        <w:overflowPunct/>
        <w:topLinePunct w:val="0"/>
        <w:autoSpaceDE/>
        <w:autoSpaceDN/>
        <w:bidi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16.</w:t>
      </w:r>
      <w:r>
        <w:rPr>
          <w:rFonts w:hint="default" w:ascii="宋体" w:hAnsi="宋体" w:cs="宋体"/>
          <w:b/>
          <w:color w:val="000000" w:themeColor="text1"/>
          <w:kern w:val="0"/>
          <w:sz w:val="24"/>
          <w:szCs w:val="24"/>
          <w:highlight w:val="non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 xml:space="preserve">乙方分包项目的设计费已全部包含在本合同设计收费总额之内，并纳入本合同一并结算。乙方在申请支付各次设计费时应连同其分包单位的设计费一并申报。 </w:t>
      </w:r>
    </w:p>
    <w:p w14:paraId="3E998BD9">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乙方承诺：保证按照本合同及分包合同的约定及时向乙方分包单位支付设计费，甲方有权对乙方的付款情况予以监督。</w:t>
      </w:r>
    </w:p>
    <w:p w14:paraId="69DCF42E">
      <w:pPr>
        <w:adjustRightInd w:val="0"/>
        <w:snapToGrid w:val="0"/>
        <w:spacing w:line="360" w:lineRule="auto"/>
        <w:ind w:right="11" w:firstLine="482" w:firstLineChars="200"/>
        <w:outlineLvl w:val="3"/>
        <w:rPr>
          <w:rFonts w:hint="default"/>
          <w:color w:val="000000" w:themeColor="text1"/>
          <w:highlight w:val="none"/>
          <w14:textFill>
            <w14:solidFill>
              <w14:schemeClr w14:val="tx1"/>
            </w14:solidFill>
          </w14:textFill>
        </w:rPr>
      </w:pPr>
      <w:r>
        <w:rPr>
          <w:rFonts w:ascii="宋体" w:hAnsi="宋体" w:cs="宋体"/>
          <w:b/>
          <w:bCs/>
          <w:color w:val="000000" w:themeColor="text1"/>
          <w:kern w:val="0"/>
          <w:sz w:val="24"/>
          <w:szCs w:val="24"/>
          <w:highlight w:val="none"/>
          <w14:textFill>
            <w14:solidFill>
              <w14:schemeClr w14:val="tx1"/>
            </w14:solidFill>
          </w14:textFill>
        </w:rPr>
        <w:t>16.11</w:t>
      </w:r>
      <w:r>
        <w:rPr>
          <w:rFonts w:hint="default" w:ascii="宋体" w:hAnsi="宋体" w:cs="宋体"/>
          <w:b/>
          <w:bCs/>
          <w:color w:val="000000" w:themeColor="text1"/>
          <w:kern w:val="0"/>
          <w:sz w:val="24"/>
          <w:szCs w:val="24"/>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t>乙方领取款项前须按甲方的财务管理制度办理有关手续并向甲方出具符合本合同约定的合法有效的可报销凭证。</w:t>
      </w:r>
    </w:p>
    <w:p w14:paraId="7DEDA76B">
      <w:pPr>
        <w:adjustRightInd w:val="0"/>
        <w:snapToGrid w:val="0"/>
        <w:spacing w:line="360" w:lineRule="auto"/>
        <w:ind w:right="11" w:firstLine="482" w:firstLineChars="200"/>
        <w:outlineLvl w:val="3"/>
        <w:rPr>
          <w:rFonts w:hint="default"/>
          <w:color w:val="000000" w:themeColor="text1"/>
          <w:highlight w:val="none"/>
          <w14:textFill>
            <w14:solidFill>
              <w14:schemeClr w14:val="tx1"/>
            </w14:solidFill>
          </w14:textFill>
        </w:rPr>
      </w:pPr>
      <w:r>
        <w:rPr>
          <w:rFonts w:hint="default" w:ascii="宋体" w:hAnsi="宋体" w:cs="宋体" w:eastAsiaTheme="minorEastAsia"/>
          <w:b/>
          <w:bCs/>
          <w:color w:val="000000" w:themeColor="text1"/>
          <w:kern w:val="0"/>
          <w:sz w:val="24"/>
          <w:szCs w:val="24"/>
          <w:highlight w:val="none"/>
          <w:lang w:val="en-US" w:eastAsia="zh-CN" w:bidi="ar-SA"/>
          <w14:textFill>
            <w14:solidFill>
              <w14:schemeClr w14:val="tx1"/>
            </w14:solidFill>
          </w14:textFill>
        </w:rPr>
        <w:t xml:space="preserve">16.12 </w:t>
      </w:r>
      <w:r>
        <w:rPr>
          <w:rFonts w:cs="宋体"/>
          <w:color w:val="000000" w:themeColor="text1"/>
          <w:highlight w:val="none"/>
          <w14:textFill>
            <w14:solidFill>
              <w14:schemeClr w14:val="tx1"/>
            </w14:solidFill>
          </w14:textFill>
        </w:rPr>
        <w:t>甲方委托乙方晒制的超过合同约定数量的设计成果文件（含施工图纸），乙方按照双方约定的价格清单加收工本费；没有约定的价格清单的，甲方按以下标准向乙方支付费用：</w:t>
      </w:r>
      <w:r>
        <w:rPr>
          <w:color w:val="000000" w:themeColor="text1"/>
          <w:highlight w:val="none"/>
          <w14:textFill>
            <w14:solidFill>
              <w14:schemeClr w14:val="tx1"/>
            </w14:solidFill>
          </w14:textFill>
        </w:rPr>
        <w:t>A0</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4.0</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w:t>
      </w:r>
      <w:r>
        <w:rPr>
          <w:color w:val="000000" w:themeColor="text1"/>
          <w:highlight w:val="none"/>
          <w14:textFill>
            <w14:solidFill>
              <w14:schemeClr w14:val="tx1"/>
            </w14:solidFill>
          </w14:textFill>
        </w:rPr>
        <w:t>A1</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2.0</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w:t>
      </w:r>
      <w:r>
        <w:rPr>
          <w:color w:val="000000" w:themeColor="text1"/>
          <w:highlight w:val="none"/>
          <w14:textFill>
            <w14:solidFill>
              <w14:schemeClr w14:val="tx1"/>
            </w14:solidFill>
          </w14:textFill>
        </w:rPr>
        <w:t>A2</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w:t>
      </w:r>
      <w:r>
        <w:rPr>
          <w:color w:val="000000" w:themeColor="text1"/>
          <w:highlight w:val="none"/>
          <w14:textFill>
            <w14:solidFill>
              <w14:schemeClr w14:val="tx1"/>
            </w14:solidFill>
          </w14:textFill>
        </w:rPr>
        <w:t>A3</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0.8</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w:t>
      </w:r>
      <w:r>
        <w:rPr>
          <w:color w:val="000000" w:themeColor="text1"/>
          <w:highlight w:val="none"/>
          <w14:textFill>
            <w14:solidFill>
              <w14:schemeClr w14:val="tx1"/>
            </w14:solidFill>
          </w14:textFill>
        </w:rPr>
        <w:t>A4</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0.5</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张。非标图纸按图面大小换算成</w:t>
      </w:r>
      <w:r>
        <w:rPr>
          <w:color w:val="000000" w:themeColor="text1"/>
          <w:highlight w:val="none"/>
          <w14:textFill>
            <w14:solidFill>
              <w14:schemeClr w14:val="tx1"/>
            </w14:solidFill>
          </w14:textFill>
        </w:rPr>
        <w:t>A2</w:t>
      </w:r>
      <w:r>
        <w:rPr>
          <w:rFonts w:cs="宋体"/>
          <w:color w:val="000000" w:themeColor="text1"/>
          <w:highlight w:val="none"/>
          <w14:textFill>
            <w14:solidFill>
              <w14:schemeClr w14:val="tx1"/>
            </w14:solidFill>
          </w14:textFill>
        </w:rPr>
        <w:t>图纸数量，甲方按</w:t>
      </w:r>
      <w:r>
        <w:rPr>
          <w:color w:val="000000" w:themeColor="text1"/>
          <w:highlight w:val="none"/>
          <w14:textFill>
            <w14:solidFill>
              <w14:schemeClr w14:val="tx1"/>
            </w14:solidFill>
          </w14:textFill>
        </w:rPr>
        <w:t>A2</w:t>
      </w:r>
      <w:r>
        <w:rPr>
          <w:rFonts w:cs="宋体"/>
          <w:color w:val="000000" w:themeColor="text1"/>
          <w:highlight w:val="none"/>
          <w14:textFill>
            <w14:solidFill>
              <w14:schemeClr w14:val="tx1"/>
            </w14:solidFill>
          </w14:textFill>
        </w:rPr>
        <w:t>图纸的费用标准支付费用。</w:t>
      </w:r>
    </w:p>
    <w:p w14:paraId="1687F67A">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p>
    <w:p w14:paraId="7B37FD1F">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第十章  勘察</w:t>
      </w:r>
    </w:p>
    <w:p w14:paraId="4489E9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6BFE096F">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17、勘察范围</w:t>
      </w:r>
      <w:r>
        <w:rPr>
          <w:rFonts w:hint="eastAsia" w:ascii="宋体" w:hAnsi="宋体" w:cs="宋体"/>
          <w:color w:val="000000" w:themeColor="text1"/>
          <w:kern w:val="0"/>
          <w:sz w:val="24"/>
          <w:szCs w:val="24"/>
          <w:highlight w:val="none"/>
          <w14:textFill>
            <w14:solidFill>
              <w14:schemeClr w14:val="tx1"/>
            </w14:solidFill>
          </w14:textFill>
        </w:rPr>
        <w:t>：</w:t>
      </w:r>
    </w:p>
    <w:p w14:paraId="616E950B">
      <w:pPr>
        <w:adjustRightInd w:val="0"/>
        <w:snapToGrid w:val="0"/>
        <w:spacing w:line="360" w:lineRule="auto"/>
        <w:ind w:right="11" w:firstLine="482" w:firstLineChars="200"/>
        <w:outlineLvl w:val="3"/>
        <w:rPr>
          <w:rFonts w:hint="default"/>
          <w:color w:val="000000" w:themeColor="text1"/>
          <w:highlight w:val="none"/>
          <w14:textFill>
            <w14:solidFill>
              <w14:schemeClr w14:val="tx1"/>
            </w14:solidFill>
          </w14:textFill>
        </w:rPr>
      </w:pPr>
      <w:r>
        <w:rPr>
          <w:rFonts w:ascii="宋体" w:hAnsi="宋体" w:cs="宋体"/>
          <w:b/>
          <w:bCs/>
          <w:color w:val="000000" w:themeColor="text1"/>
          <w:kern w:val="0"/>
          <w:sz w:val="24"/>
          <w:szCs w:val="24"/>
          <w:highlight w:val="none"/>
          <w14:textFill>
            <w14:solidFill>
              <w14:schemeClr w14:val="tx1"/>
            </w14:solidFill>
          </w14:textFill>
        </w:rPr>
        <w:t>17.1</w:t>
      </w:r>
      <w:r>
        <w:rPr>
          <w:rFonts w:cs="宋体"/>
          <w:color w:val="000000" w:themeColor="text1"/>
          <w:highlight w:val="none"/>
          <w14:textFill>
            <w14:solidFill>
              <w14:schemeClr w14:val="tx1"/>
            </w14:solidFill>
          </w14:textFill>
        </w:rPr>
        <w:t>勘察依据：</w:t>
      </w:r>
    </w:p>
    <w:p w14:paraId="3C986418">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）中华人民共和国现行有关的法律、行政法规、司法解释、部门规章、相关的工程勘察技术规范、规定及标准，和广东省、广州市现行有关的地方性法规、相关的工程勘察技术规范、规定及标准；</w:t>
      </w:r>
    </w:p>
    <w:p w14:paraId="7A725202">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）甲方提供的勘察任务书；</w:t>
      </w:r>
    </w:p>
    <w:p w14:paraId="63AEA259">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）本项目工程勘察许可等批文</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复印件</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w:t>
      </w:r>
    </w:p>
    <w:p w14:paraId="72F499D1">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cs="宋体"/>
          <w:color w:val="000000" w:themeColor="text1"/>
          <w:highlight w:val="none"/>
          <w14:textFill>
            <w14:solidFill>
              <w14:schemeClr w14:val="tx1"/>
            </w14:solidFill>
          </w14:textFill>
        </w:rPr>
        <w:t>）甲方提供由规划部门认可的用地红线和地形图；</w:t>
      </w:r>
    </w:p>
    <w:p w14:paraId="65A8E553">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）本合同工程的基础资料，包括用地红线坐标</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、现状地形图、场地标高、市政设施图的资料（绿化、道路、管线、建构筑物等）、勘察工作范围内地下管线图</w:t>
      </w:r>
      <w:r>
        <w:rPr>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t>包括电力、电讯电缆、煤气、自来水、污水等各种管道</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以及人防设施、洞室等具体位置分布图；</w:t>
      </w:r>
    </w:p>
    <w:p w14:paraId="7ADB40EA">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cs="宋体"/>
          <w:color w:val="000000" w:themeColor="text1"/>
          <w:highlight w:val="none"/>
          <w14:textFill>
            <w14:solidFill>
              <w14:schemeClr w14:val="tx1"/>
            </w14:solidFill>
          </w14:textFill>
        </w:rPr>
        <w:t>）勘察范围的建筑总平面布置图、勘察技术要求、技术资料；</w:t>
      </w:r>
    </w:p>
    <w:p w14:paraId="3BB2A374">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）甲方关于设计、图档、图文、工程等相关管理办法，具体见本合同附件；</w:t>
      </w:r>
    </w:p>
    <w:p w14:paraId="458B5E64">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8</w:t>
      </w:r>
      <w:r>
        <w:rPr>
          <w:rFonts w:cs="宋体"/>
          <w:color w:val="000000" w:themeColor="text1"/>
          <w:highlight w:val="none"/>
          <w14:textFill>
            <w14:solidFill>
              <w14:schemeClr w14:val="tx1"/>
            </w14:solidFill>
          </w14:textFill>
        </w:rPr>
        <w:t>）甲乙双方签署的合同及其附件和补充文件；</w:t>
      </w:r>
    </w:p>
    <w:p w14:paraId="2100AF55">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w:t>
      </w:r>
      <w:r>
        <w:rPr>
          <w:rFonts w:cs="宋体"/>
          <w:color w:val="000000" w:themeColor="text1"/>
          <w:highlight w:val="none"/>
          <w14:textFill>
            <w14:solidFill>
              <w14:schemeClr w14:val="tx1"/>
            </w14:solidFill>
          </w14:textFill>
        </w:rPr>
        <w:t>）设计和建设过程中的政府审批意见，政府或甲方委托或组织的评审机构（会议）提出的或甲方发出的阶段性书面意见，双方来往的各类书面文件、会议纪要等；</w:t>
      </w:r>
    </w:p>
    <w:p w14:paraId="7EC0E0FD">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）中标通知书或甲方的勘察任务委托书。</w:t>
      </w:r>
    </w:p>
    <w:p w14:paraId="48B74E37">
      <w:pPr>
        <w:adjustRightInd w:val="0"/>
        <w:snapToGrid w:val="0"/>
        <w:spacing w:line="360" w:lineRule="auto"/>
        <w:ind w:right="11" w:firstLine="482" w:firstLineChars="200"/>
        <w:outlineLvl w:val="3"/>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17.2</w:t>
      </w:r>
      <w:r>
        <w:rPr>
          <w:rFonts w:hint="eastAsia" w:ascii="宋体" w:hAnsi="宋体" w:cs="宋体"/>
          <w:color w:val="000000" w:themeColor="text1"/>
          <w:kern w:val="0"/>
          <w:sz w:val="24"/>
          <w:szCs w:val="24"/>
          <w:highlight w:val="none"/>
          <w14:textFill>
            <w14:solidFill>
              <w14:schemeClr w14:val="tx1"/>
            </w14:solidFill>
          </w14:textFill>
        </w:rPr>
        <w:t>岩土工程勘察的任务（内容）与技术要求：详见</w:t>
      </w:r>
      <w:r>
        <w:rPr>
          <w:rFonts w:ascii="宋体" w:hAnsi="宋体" w:cs="宋体"/>
          <w:color w:val="000000" w:themeColor="text1"/>
          <w:kern w:val="0"/>
          <w:sz w:val="24"/>
          <w:szCs w:val="24"/>
          <w:highlight w:val="none"/>
          <w14:textFill>
            <w14:solidFill>
              <w14:schemeClr w14:val="tx1"/>
            </w14:solidFill>
          </w14:textFill>
        </w:rPr>
        <w:t>基础资料和勘察设计任务书</w:t>
      </w:r>
      <w:r>
        <w:rPr>
          <w:rFonts w:hint="eastAsia" w:ascii="宋体" w:hAnsi="宋体" w:cs="宋体"/>
          <w:color w:val="000000" w:themeColor="text1"/>
          <w:kern w:val="0"/>
          <w:sz w:val="24"/>
          <w:szCs w:val="24"/>
          <w:highlight w:val="none"/>
          <w14:textFill>
            <w14:solidFill>
              <w14:schemeClr w14:val="tx1"/>
            </w14:solidFill>
          </w14:textFill>
        </w:rPr>
        <w:t>。</w:t>
      </w:r>
    </w:p>
    <w:p w14:paraId="7912BEE3">
      <w:pPr>
        <w:adjustRightInd w:val="0"/>
        <w:snapToGrid w:val="0"/>
        <w:spacing w:line="360" w:lineRule="auto"/>
        <w:ind w:right="11" w:firstLine="482" w:firstLineChars="200"/>
        <w:outlineLvl w:val="3"/>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17.3</w:t>
      </w:r>
      <w:r>
        <w:rPr>
          <w:rFonts w:hint="eastAsia" w:ascii="宋体" w:hAnsi="宋体" w:cs="宋体"/>
          <w:color w:val="000000" w:themeColor="text1"/>
          <w:kern w:val="0"/>
          <w:sz w:val="24"/>
          <w:szCs w:val="24"/>
          <w:highlight w:val="none"/>
          <w14:textFill>
            <w14:solidFill>
              <w14:schemeClr w14:val="tx1"/>
            </w14:solidFill>
          </w14:textFill>
        </w:rPr>
        <w:t>室内试验的任务（内容）与技术要求：详见</w:t>
      </w:r>
      <w:r>
        <w:rPr>
          <w:rFonts w:ascii="宋体" w:hAnsi="宋体" w:cs="宋体"/>
          <w:color w:val="000000" w:themeColor="text1"/>
          <w:kern w:val="0"/>
          <w:sz w:val="24"/>
          <w:szCs w:val="24"/>
          <w:highlight w:val="none"/>
          <w14:textFill>
            <w14:solidFill>
              <w14:schemeClr w14:val="tx1"/>
            </w14:solidFill>
          </w14:textFill>
        </w:rPr>
        <w:t>基础资料和勘察设计任务书</w:t>
      </w:r>
      <w:r>
        <w:rPr>
          <w:rFonts w:hint="eastAsia" w:ascii="宋体" w:hAnsi="宋体" w:cs="宋体"/>
          <w:color w:val="000000" w:themeColor="text1"/>
          <w:kern w:val="0"/>
          <w:sz w:val="24"/>
          <w:szCs w:val="24"/>
          <w:highlight w:val="none"/>
          <w14:textFill>
            <w14:solidFill>
              <w14:schemeClr w14:val="tx1"/>
            </w14:solidFill>
          </w14:textFill>
        </w:rPr>
        <w:t>。</w:t>
      </w:r>
    </w:p>
    <w:p w14:paraId="7341BE57">
      <w:pPr>
        <w:adjustRightInd w:val="0"/>
        <w:snapToGrid w:val="0"/>
        <w:spacing w:line="360" w:lineRule="auto"/>
        <w:ind w:right="11"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17.4</w:t>
      </w:r>
      <w:r>
        <w:rPr>
          <w:rFonts w:hint="eastAsia" w:ascii="宋体" w:hAnsi="宋体" w:cs="宋体"/>
          <w:color w:val="000000" w:themeColor="text1"/>
          <w:kern w:val="0"/>
          <w:sz w:val="24"/>
          <w:szCs w:val="24"/>
          <w:highlight w:val="none"/>
          <w14:textFill>
            <w14:solidFill>
              <w14:schemeClr w14:val="tx1"/>
            </w14:solidFill>
          </w14:textFill>
        </w:rPr>
        <w:t>工程测量的任务与技术要求：详见</w:t>
      </w:r>
      <w:r>
        <w:rPr>
          <w:rFonts w:ascii="宋体" w:hAnsi="宋体" w:cs="宋体"/>
          <w:color w:val="000000" w:themeColor="text1"/>
          <w:kern w:val="0"/>
          <w:sz w:val="24"/>
          <w:szCs w:val="24"/>
          <w:highlight w:val="none"/>
          <w14:textFill>
            <w14:solidFill>
              <w14:schemeClr w14:val="tx1"/>
            </w14:solidFill>
          </w14:textFill>
        </w:rPr>
        <w:t>基础资料和勘察设计任务书</w:t>
      </w:r>
      <w:r>
        <w:rPr>
          <w:rFonts w:hint="eastAsia" w:ascii="宋体" w:hAnsi="宋体" w:cs="宋体"/>
          <w:color w:val="000000" w:themeColor="text1"/>
          <w:kern w:val="0"/>
          <w:sz w:val="24"/>
          <w:szCs w:val="24"/>
          <w:highlight w:val="none"/>
          <w14:textFill>
            <w14:solidFill>
              <w14:schemeClr w14:val="tx1"/>
            </w14:solidFill>
          </w14:textFill>
        </w:rPr>
        <w:t>。</w:t>
      </w:r>
    </w:p>
    <w:p w14:paraId="73B8BC1D">
      <w:pPr>
        <w:adjustRightInd w:val="0"/>
        <w:snapToGrid w:val="0"/>
        <w:spacing w:line="360" w:lineRule="auto"/>
        <w:ind w:right="11" w:firstLine="482" w:firstLineChars="200"/>
        <w:outlineLvl w:val="3"/>
        <w:rPr>
          <w:rFonts w:hint="default"/>
          <w:b/>
          <w:color w:val="000000" w:themeColor="text1"/>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17.5</w:t>
      </w:r>
      <w:r>
        <w:rPr>
          <w:rFonts w:cs="宋体"/>
          <w:color w:val="000000" w:themeColor="text1"/>
          <w:highlight w:val="none"/>
          <w14:textFill>
            <w14:solidFill>
              <w14:schemeClr w14:val="tx1"/>
            </w14:solidFill>
          </w14:textFill>
        </w:rPr>
        <w:t>其他：详见</w:t>
      </w:r>
      <w:r>
        <w:rPr>
          <w:rFonts w:hint="default" w:cs="宋体"/>
          <w:color w:val="000000" w:themeColor="text1"/>
          <w:highlight w:val="none"/>
          <w14:textFill>
            <w14:solidFill>
              <w14:schemeClr w14:val="tx1"/>
            </w14:solidFill>
          </w14:textFill>
        </w:rPr>
        <w:t>基础资料和勘察设计任务书</w:t>
      </w:r>
      <w:r>
        <w:rPr>
          <w:rFonts w:cs="宋体"/>
          <w:color w:val="000000" w:themeColor="text1"/>
          <w:highlight w:val="none"/>
          <w14:textFill>
            <w14:solidFill>
              <w14:schemeClr w14:val="tx1"/>
            </w14:solidFill>
          </w14:textFill>
        </w:rPr>
        <w:t>。</w:t>
      </w:r>
    </w:p>
    <w:p w14:paraId="4E26A1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68DCFB19">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18、勘察服务</w:t>
      </w:r>
    </w:p>
    <w:p w14:paraId="6D560991">
      <w:pPr>
        <w:adjustRightInd w:val="0"/>
        <w:snapToGrid w:val="0"/>
        <w:spacing w:line="360" w:lineRule="auto"/>
        <w:ind w:right="11" w:firstLine="482" w:firstLineChars="200"/>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18.1</w:t>
      </w:r>
      <w:r>
        <w:rPr>
          <w:rFonts w:hint="eastAsia" w:ascii="宋体" w:hAnsi="宋体" w:eastAsia="宋体" w:cs="宋体"/>
          <w:color w:val="000000" w:themeColor="text1"/>
          <w:kern w:val="0"/>
          <w:sz w:val="24"/>
          <w:szCs w:val="24"/>
          <w:highlight w:val="none"/>
          <w14:textFill>
            <w14:solidFill>
              <w14:schemeClr w14:val="tx1"/>
            </w14:solidFill>
          </w14:textFill>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国家现行岩土工程勘察规范的相关规定。当遇到软弱下卧层等不良地质条件时应相应增加钻孔数量。</w:t>
      </w:r>
    </w:p>
    <w:p w14:paraId="3012EA26">
      <w:pPr>
        <w:adjustRightInd w:val="0"/>
        <w:snapToGrid w:val="0"/>
        <w:spacing w:line="360" w:lineRule="auto"/>
        <w:ind w:right="11" w:firstLine="482" w:firstLineChars="200"/>
        <w:outlineLvl w:val="3"/>
        <w:rPr>
          <w:rFonts w:hint="default"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18.2</w:t>
      </w:r>
      <w:r>
        <w:rPr>
          <w:rFonts w:hint="eastAsia" w:ascii="宋体" w:hAnsi="宋体" w:eastAsia="宋体" w:cs="宋体"/>
          <w:b w:val="0"/>
          <w:bCs/>
          <w:color w:val="000000" w:themeColor="text1"/>
          <w:kern w:val="0"/>
          <w:sz w:val="24"/>
          <w:szCs w:val="24"/>
          <w:highlight w:val="none"/>
          <w14:textFill>
            <w14:solidFill>
              <w14:schemeClr w14:val="tx1"/>
            </w14:solidFill>
          </w14:textFill>
        </w:rPr>
        <w:t>乙方应到基础验槽、桩基础持力层岩性鉴定等施工现场进行配合服务。</w:t>
      </w:r>
    </w:p>
    <w:p w14:paraId="0353D8D2">
      <w:pPr>
        <w:adjustRightInd w:val="0"/>
        <w:snapToGrid w:val="0"/>
        <w:spacing w:line="360" w:lineRule="auto"/>
        <w:ind w:right="11" w:firstLine="482" w:firstLineChars="200"/>
        <w:outlineLvl w:val="3"/>
        <w:rPr>
          <w:rFonts w:hint="default"/>
          <w:color w:val="000000" w:themeColor="text1"/>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18.3</w:t>
      </w:r>
      <w:r>
        <w:rPr>
          <w:rFonts w:cs="宋体"/>
          <w:color w:val="000000" w:themeColor="text1"/>
          <w:highlight w:val="none"/>
          <w14:textFill>
            <w14:solidFill>
              <w14:schemeClr w14:val="tx1"/>
            </w14:solidFill>
          </w14:textFill>
        </w:rPr>
        <w:t>乙方应参加施工图图纸会审、技术问题汇总与回复、各种技术协调会。</w:t>
      </w:r>
    </w:p>
    <w:p w14:paraId="7A1EE009">
      <w:pPr>
        <w:adjustRightInd w:val="0"/>
        <w:snapToGrid w:val="0"/>
        <w:spacing w:line="360" w:lineRule="auto"/>
        <w:ind w:right="11" w:firstLine="482" w:firstLineChars="200"/>
        <w:outlineLvl w:val="3"/>
        <w:rPr>
          <w:rFonts w:hint="default"/>
          <w:color w:val="000000" w:themeColor="text1"/>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SA"/>
          <w14:textFill>
            <w14:solidFill>
              <w14:schemeClr w14:val="tx1"/>
            </w14:solidFill>
          </w14:textFill>
        </w:rPr>
        <w:t>18.4</w:t>
      </w:r>
      <w:r>
        <w:rPr>
          <w:rFonts w:cs="宋体"/>
          <w:color w:val="000000" w:themeColor="text1"/>
          <w:highlight w:val="none"/>
          <w14:textFill>
            <w14:solidFill>
              <w14:schemeClr w14:val="tx1"/>
            </w14:solidFill>
          </w14:textFill>
        </w:rPr>
        <w:t>乙方应参加基础工程验收。</w:t>
      </w:r>
    </w:p>
    <w:p w14:paraId="01B3AFAA">
      <w:pPr>
        <w:keepNext w:val="0"/>
        <w:keepLines w:val="0"/>
        <w:pageBreakBefore w:val="0"/>
        <w:kinsoku/>
        <w:wordWrap/>
        <w:overflowPunct/>
        <w:topLinePunct w:val="0"/>
        <w:autoSpaceDE/>
        <w:autoSpaceDN/>
        <w:bidi w:val="0"/>
        <w:ind w:left="0" w:leftChars="0" w:right="0" w:firstLine="420" w:firstLineChars="200"/>
        <w:textAlignment w:val="auto"/>
        <w:rPr>
          <w:rFonts w:ascii="宋体" w:hAnsi="宋体" w:cs="宋体"/>
          <w:color w:val="000000" w:themeColor="text1"/>
          <w:szCs w:val="21"/>
          <w:highlight w:val="none"/>
          <w14:textFill>
            <w14:solidFill>
              <w14:schemeClr w14:val="tx1"/>
            </w14:solidFill>
          </w14:textFill>
        </w:rPr>
      </w:pPr>
    </w:p>
    <w:p w14:paraId="4273DCE1">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19、勘察人员</w:t>
      </w:r>
    </w:p>
    <w:p w14:paraId="2933AE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both"/>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19.1</w:t>
      </w:r>
      <w:r>
        <w:rPr>
          <w:rFonts w:hint="eastAsia" w:ascii="宋体" w:hAnsi="宋体" w:cs="宋体"/>
          <w:color w:val="000000" w:themeColor="text1"/>
          <w:kern w:val="0"/>
          <w:sz w:val="24"/>
          <w:szCs w:val="24"/>
          <w:highlight w:val="none"/>
          <w14:textFill>
            <w14:solidFill>
              <w14:schemeClr w14:val="tx1"/>
            </w14:solidFill>
          </w14:textFill>
        </w:rPr>
        <w:t>为确保本合同工程的勘察设计质量，在本合同履行期内，在明确分工各负其责的基础上，乙方为本合同工程派出的勘察专业负责人、勘察驻场服务人员的职务、资历、资格须满足招标文件</w:t>
      </w:r>
      <w:r>
        <w:rPr>
          <w:rFonts w:hint="default" w:ascii="宋体" w:hAnsi="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勘察设计任务书</w:t>
      </w:r>
      <w:r>
        <w:rPr>
          <w:rFonts w:hint="eastAsia" w:ascii="宋体" w:hAnsi="宋体" w:cs="宋体"/>
          <w:color w:val="000000" w:themeColor="text1"/>
          <w:kern w:val="0"/>
          <w:sz w:val="24"/>
          <w:szCs w:val="24"/>
          <w:highlight w:val="none"/>
          <w14:textFill>
            <w14:solidFill>
              <w14:schemeClr w14:val="tx1"/>
            </w14:solidFill>
          </w14:textFill>
        </w:rPr>
        <w:t>及本合同约定。</w:t>
      </w:r>
    </w:p>
    <w:p w14:paraId="126701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19.2</w:t>
      </w:r>
      <w:r>
        <w:rPr>
          <w:rFonts w:hint="eastAsia" w:ascii="宋体" w:hAnsi="宋体" w:cs="宋体"/>
          <w:color w:val="000000" w:themeColor="text1"/>
          <w:kern w:val="0"/>
          <w:sz w:val="24"/>
          <w:szCs w:val="24"/>
          <w:highlight w:val="none"/>
          <w14:textFill>
            <w14:solidFill>
              <w14:schemeClr w14:val="tx1"/>
            </w14:solidFill>
          </w14:textFill>
        </w:rPr>
        <w:t>勘察单位应根据勘察任务建立项目组，从组织上保证投入的人力、物力能满足勘察开展的需要，保证不同勘察时段勘察工作的连续性和外部条件接口衔接的连贯性。</w:t>
      </w:r>
    </w:p>
    <w:p w14:paraId="3E4C03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19.3</w:t>
      </w:r>
      <w:r>
        <w:rPr>
          <w:rFonts w:hint="eastAsia" w:ascii="宋体" w:hAnsi="宋体" w:cs="宋体"/>
          <w:color w:val="000000" w:themeColor="text1"/>
          <w:kern w:val="0"/>
          <w:sz w:val="24"/>
          <w:szCs w:val="24"/>
          <w:highlight w:val="none"/>
          <w14:textFill>
            <w14:solidFill>
              <w14:schemeClr w14:val="tx1"/>
            </w14:solidFill>
          </w14:textFill>
        </w:rPr>
        <w:t>乙方如为境外机构，应自行配备提供专业翻译一名。</w:t>
      </w:r>
    </w:p>
    <w:p w14:paraId="515013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19.4</w:t>
      </w:r>
      <w:r>
        <w:rPr>
          <w:rFonts w:hint="eastAsia" w:ascii="宋体" w:hAnsi="宋体" w:cs="宋体"/>
          <w:color w:val="000000" w:themeColor="text1"/>
          <w:kern w:val="0"/>
          <w:sz w:val="24"/>
          <w:szCs w:val="24"/>
          <w:highlight w:val="none"/>
          <w14:textFill>
            <w14:solidFill>
              <w14:schemeClr w14:val="tx1"/>
            </w14:solidFill>
          </w14:textFill>
        </w:rPr>
        <w:t>乙方承诺投入负责具体勘察工作的人员（合同附件</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），在履行本合同履行期间，非经过甲方同意，不得更换或再参与本合同项目以外的其他工作。</w:t>
      </w:r>
    </w:p>
    <w:p w14:paraId="62593E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19.5</w:t>
      </w:r>
      <w:r>
        <w:rPr>
          <w:rFonts w:hint="eastAsia" w:ascii="宋体" w:hAnsi="宋体" w:cs="宋体"/>
          <w:color w:val="000000" w:themeColor="text1"/>
          <w:kern w:val="0"/>
          <w:sz w:val="24"/>
          <w:szCs w:val="24"/>
          <w:highlight w:val="none"/>
          <w14:textFill>
            <w14:solidFill>
              <w14:schemeClr w14:val="tx1"/>
            </w14:solidFill>
          </w14:textFill>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16578D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19.6</w:t>
      </w:r>
      <w:r>
        <w:rPr>
          <w:rFonts w:hint="eastAsia" w:ascii="宋体" w:hAnsi="宋体" w:cs="宋体"/>
          <w:color w:val="000000" w:themeColor="text1"/>
          <w:kern w:val="0"/>
          <w:sz w:val="24"/>
          <w:szCs w:val="24"/>
          <w:highlight w:val="none"/>
          <w14:textFill>
            <w14:solidFill>
              <w14:schemeClr w14:val="tx1"/>
            </w14:solidFill>
          </w14:textFill>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6F9D6B25">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cs="宋体"/>
          <w:color w:val="000000" w:themeColor="text1"/>
          <w:kern w:val="0"/>
          <w:sz w:val="24"/>
          <w:szCs w:val="24"/>
          <w:highlight w:val="none"/>
          <w:u w:val="single"/>
          <w14:textFill>
            <w14:solidFill>
              <w14:schemeClr w14:val="tx1"/>
            </w14:solidFill>
          </w14:textFill>
        </w:rPr>
      </w:pPr>
    </w:p>
    <w:p w14:paraId="65B7EDAB">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20、勘察成果文件的提交</w:t>
      </w:r>
    </w:p>
    <w:p w14:paraId="57DDE8C8">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20.1</w:t>
      </w:r>
      <w:r>
        <w:rPr>
          <w:rFonts w:hint="eastAsia" w:ascii="宋体" w:hAnsi="宋体" w:cs="宋体"/>
          <w:color w:val="000000" w:themeColor="text1"/>
          <w:kern w:val="0"/>
          <w:sz w:val="24"/>
          <w:szCs w:val="24"/>
          <w:highlight w:val="none"/>
          <w14:textFill>
            <w14:solidFill>
              <w14:schemeClr w14:val="tx1"/>
            </w14:solidFill>
          </w14:textFill>
        </w:rPr>
        <w:t>乙方负责向甲方提交</w:t>
      </w:r>
      <w:r>
        <w:rPr>
          <w:rFonts w:hint="eastAsia" w:ascii="宋体" w:hAnsi="宋体" w:cs="宋体"/>
          <w:b/>
          <w:color w:val="000000" w:themeColor="text1"/>
          <w:sz w:val="24"/>
          <w:szCs w:val="24"/>
          <w:highlight w:val="none"/>
          <w14:textFill>
            <w14:solidFill>
              <w14:schemeClr w14:val="tx1"/>
            </w14:solidFill>
          </w14:textFill>
        </w:rPr>
        <w:t>初步勘察成果文件10套、详细勘察成果文件20套及电子文档各2份</w:t>
      </w:r>
      <w:r>
        <w:rPr>
          <w:rFonts w:hint="eastAsia" w:ascii="宋体" w:hAnsi="宋体" w:cs="宋体"/>
          <w:color w:val="000000" w:themeColor="text1"/>
          <w:kern w:val="0"/>
          <w:sz w:val="24"/>
          <w:szCs w:val="24"/>
          <w:highlight w:val="none"/>
          <w14:textFill>
            <w14:solidFill>
              <w14:schemeClr w14:val="tx1"/>
            </w14:solidFill>
          </w14:textFill>
        </w:rPr>
        <w:t>；如甲方要求乙方提供的勘察成果文件超过合同约定套数的，乙方可按每套300元的标准另行收取工本费。</w:t>
      </w:r>
    </w:p>
    <w:p w14:paraId="08F3E58D">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20.2</w:t>
      </w:r>
      <w:r>
        <w:rPr>
          <w:rFonts w:cs="宋体"/>
          <w:color w:val="000000" w:themeColor="text1"/>
          <w:highlight w:val="none"/>
          <w14:textFill>
            <w14:solidFill>
              <w14:schemeClr w14:val="tx1"/>
            </w14:solidFill>
          </w14:textFill>
        </w:rPr>
        <w:t>乙方提交的勘察成果文件时间按甲方要求；相关勘察成果文件的质量须一次性通过甲方或甲方委托的第三方根据合同约定标准进行的审核。</w:t>
      </w:r>
    </w:p>
    <w:p w14:paraId="67DBA6CB">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20.3</w:t>
      </w:r>
      <w:r>
        <w:rPr>
          <w:rFonts w:cs="宋体"/>
          <w:color w:val="000000" w:themeColor="text1"/>
          <w:highlight w:val="none"/>
          <w14:textFill>
            <w14:solidFill>
              <w14:schemeClr w14:val="tx1"/>
            </w14:solidFill>
          </w14:textFill>
        </w:rPr>
        <w:t>乙方必须按照甲方的要求及时提交勘察中间资料，以满足甲方开展有关工作的需要，相关费用已包含在本合同约定的勘察费中。</w:t>
      </w:r>
    </w:p>
    <w:p w14:paraId="66EDB635">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20.4</w:t>
      </w:r>
      <w:r>
        <w:rPr>
          <w:rFonts w:hint="eastAsia" w:ascii="宋体" w:hAnsi="宋体" w:cs="宋体"/>
          <w:color w:val="000000" w:themeColor="text1"/>
          <w:kern w:val="0"/>
          <w:sz w:val="24"/>
          <w:szCs w:val="24"/>
          <w:highlight w:val="none"/>
          <w14:textFill>
            <w14:solidFill>
              <w14:schemeClr w14:val="tx1"/>
            </w14:solidFill>
          </w14:textFill>
        </w:rPr>
        <w:t>乙方勘察成果文件的提交时间以符合合同约定质量的勘察成果文件的提交时间为准。</w:t>
      </w:r>
    </w:p>
    <w:p w14:paraId="50F34301">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20.5</w:t>
      </w:r>
      <w:r>
        <w:rPr>
          <w:rFonts w:cs="宋体"/>
          <w:color w:val="000000" w:themeColor="text1"/>
          <w:highlight w:val="none"/>
          <w14:textFill>
            <w14:solidFill>
              <w14:schemeClr w14:val="tx1"/>
            </w14:solidFill>
          </w14:textFill>
        </w:rPr>
        <w:t>乙方应在项目竣工阶段提交《勘察文件质量检查报告》一式十份。</w:t>
      </w:r>
    </w:p>
    <w:p w14:paraId="19384281">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cs="宋体"/>
          <w:color w:val="000000" w:themeColor="text1"/>
          <w:kern w:val="0"/>
          <w:sz w:val="24"/>
          <w:szCs w:val="24"/>
          <w:highlight w:val="none"/>
          <w:u w:val="words"/>
          <w14:textFill>
            <w14:solidFill>
              <w14:schemeClr w14:val="tx1"/>
            </w14:solidFill>
          </w14:textFill>
        </w:rPr>
      </w:pPr>
    </w:p>
    <w:p w14:paraId="2209F2DE">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21、勘察的质量要求</w:t>
      </w:r>
    </w:p>
    <w:p w14:paraId="02BDD8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21.1</w:t>
      </w:r>
      <w:r>
        <w:rPr>
          <w:rFonts w:hint="eastAsia" w:ascii="宋体" w:hAnsi="宋体" w:cs="宋体"/>
          <w:color w:val="000000" w:themeColor="text1"/>
          <w:kern w:val="0"/>
          <w:sz w:val="24"/>
          <w:szCs w:val="24"/>
          <w:highlight w:val="none"/>
          <w14:textFill>
            <w14:solidFill>
              <w14:schemeClr w14:val="tx1"/>
            </w14:solidFill>
          </w14:textFill>
        </w:rPr>
        <w:t>乙方在开展勘察工作前，应向甲方提交勘察工作纲要，并按经过甲方审核批准的工作纲要实施开展勘察工作。</w:t>
      </w:r>
      <w:r>
        <w:rPr>
          <w:rFonts w:hint="eastAsia" w:ascii="宋体" w:hAnsi="宋体" w:cs="宋体"/>
          <w:color w:val="000000" w:themeColor="text1"/>
          <w:kern w:val="0"/>
          <w:sz w:val="24"/>
          <w:szCs w:val="24"/>
          <w:highlight w:val="none"/>
          <w:lang w:eastAsia="zh-CN"/>
          <w14:textFill>
            <w14:solidFill>
              <w14:schemeClr w14:val="tx1"/>
            </w14:solidFill>
          </w14:textFill>
        </w:rPr>
        <w:t>勘察作业开始前</w:t>
      </w:r>
      <w:r>
        <w:rPr>
          <w:rFonts w:hint="eastAsia" w:ascii="宋体" w:hAnsi="宋体" w:cs="宋体"/>
          <w:color w:val="000000" w:themeColor="text1"/>
          <w:kern w:val="0"/>
          <w:sz w:val="24"/>
          <w:szCs w:val="24"/>
          <w:highlight w:val="none"/>
          <w14:textFill>
            <w14:solidFill>
              <w14:schemeClr w14:val="tx1"/>
            </w14:solidFill>
          </w14:textFill>
        </w:rPr>
        <w:t>按照工程勘察规范、规程、合同的规定</w:t>
      </w:r>
      <w:r>
        <w:rPr>
          <w:rFonts w:hint="eastAsia" w:ascii="宋体" w:hAnsi="宋体" w:cs="宋体"/>
          <w:color w:val="000000" w:themeColor="text1"/>
          <w:kern w:val="0"/>
          <w:sz w:val="24"/>
          <w:szCs w:val="24"/>
          <w:highlight w:val="none"/>
          <w:lang w:eastAsia="zh-CN"/>
          <w14:textFill>
            <w14:solidFill>
              <w14:schemeClr w14:val="tx1"/>
            </w14:solidFill>
          </w14:textFill>
        </w:rPr>
        <w:t>编制合理的勘察工作方案（含</w:t>
      </w:r>
      <w:r>
        <w:rPr>
          <w:rFonts w:hint="eastAsia" w:ascii="宋体" w:hAnsi="宋体" w:cs="宋体"/>
          <w:color w:val="000000" w:themeColor="text1"/>
          <w:kern w:val="0"/>
          <w:sz w:val="24"/>
          <w:szCs w:val="24"/>
          <w:highlight w:val="none"/>
          <w14:textFill>
            <w14:solidFill>
              <w14:schemeClr w14:val="tx1"/>
            </w14:solidFill>
          </w14:textFill>
        </w:rPr>
        <w:t>勘察作业</w:t>
      </w:r>
      <w:r>
        <w:rPr>
          <w:rFonts w:hint="eastAsia" w:ascii="宋体" w:hAnsi="宋体" w:cs="宋体"/>
          <w:color w:val="000000" w:themeColor="text1"/>
          <w:kern w:val="0"/>
          <w:sz w:val="24"/>
          <w:szCs w:val="24"/>
          <w:highlight w:val="none"/>
          <w:lang w:eastAsia="zh-CN"/>
          <w14:textFill>
            <w14:solidFill>
              <w14:schemeClr w14:val="tx1"/>
            </w14:solidFill>
          </w14:textFill>
        </w:rPr>
        <w:t>范围、作业量等）报项目建设管理单位</w:t>
      </w:r>
      <w:r>
        <w:rPr>
          <w:rFonts w:hint="eastAsia" w:ascii="宋体" w:hAnsi="宋体" w:cs="宋体"/>
          <w:color w:val="000000" w:themeColor="text1"/>
          <w:kern w:val="0"/>
          <w:sz w:val="24"/>
          <w:szCs w:val="24"/>
          <w:highlight w:val="none"/>
          <w14:textFill>
            <w14:solidFill>
              <w14:schemeClr w14:val="tx1"/>
            </w14:solidFill>
          </w14:textFill>
        </w:rPr>
        <w:t>确认</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勘察过程中，根据工程的岩土工程条件（或工作现场地形地貌、地质和水文地质条件）及技术规范要求，向甲方提出增减工作量或修改勘察工作的意见，并办理正式变更手续。</w:t>
      </w:r>
    </w:p>
    <w:p w14:paraId="064C32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21.2</w:t>
      </w:r>
      <w:r>
        <w:rPr>
          <w:rFonts w:hint="eastAsia" w:ascii="宋体" w:hAnsi="宋体" w:cs="宋体"/>
          <w:color w:val="000000" w:themeColor="text1"/>
          <w:kern w:val="0"/>
          <w:sz w:val="24"/>
          <w:szCs w:val="24"/>
          <w:highlight w:val="none"/>
          <w14:textFill>
            <w14:solidFill>
              <w14:schemeClr w14:val="tx1"/>
            </w14:solidFill>
          </w14:textFill>
        </w:rPr>
        <w:t>乙方应按国家技术规范、标准、规程和本合同约定的勘察范围及技术要求实施勘察工作，按本合同约定的时间提交质量合格的勘察成果文件并对其负责。</w:t>
      </w:r>
    </w:p>
    <w:p w14:paraId="03DBE3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21.3</w:t>
      </w:r>
      <w:r>
        <w:rPr>
          <w:rFonts w:hint="eastAsia" w:ascii="宋体" w:hAnsi="宋体" w:cs="宋体"/>
          <w:color w:val="000000" w:themeColor="text1"/>
          <w:kern w:val="0"/>
          <w:sz w:val="24"/>
          <w:szCs w:val="24"/>
          <w:highlight w:val="none"/>
          <w14:textFill>
            <w14:solidFill>
              <w14:schemeClr w14:val="tx1"/>
            </w14:solidFill>
          </w14:textFill>
        </w:rPr>
        <w:t>乙方应在勘察成果文件中明确列出本合同工程勘察涉及到的详细的勘察规范、规定及标准（名称、编号与版本）。</w:t>
      </w:r>
    </w:p>
    <w:p w14:paraId="75640C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21.4</w:t>
      </w:r>
      <w:r>
        <w:rPr>
          <w:rFonts w:hint="eastAsia" w:ascii="宋体" w:hAnsi="宋体" w:cs="宋体"/>
          <w:color w:val="000000" w:themeColor="text1"/>
          <w:sz w:val="24"/>
          <w:szCs w:val="24"/>
          <w:highlight w:val="none"/>
          <w14:textFill>
            <w14:solidFill>
              <w14:schemeClr w14:val="tx1"/>
            </w14:solidFill>
          </w14:textFill>
        </w:rPr>
        <w:t>乙方编制的勘察方案及勘察成果文件（含实际完成的勘察工程量）须经甲方或甲方委托的第三方旁站监督单位审核确认后，再交由施工图审查单位负责审核，并以经审核后的文件作为结算依据，对于超过设计要求的勘察深度的工作量不计算；乙方应确保其提交的勘察成果文件是完整、准确及有效的，且能通过施工图审查单位依据相关规范、规定进行的审核。</w:t>
      </w:r>
    </w:p>
    <w:p w14:paraId="3B7923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21.5</w:t>
      </w:r>
      <w:r>
        <w:rPr>
          <w:rFonts w:hint="eastAsia" w:ascii="宋体" w:hAnsi="宋体" w:cs="宋体"/>
          <w:color w:val="000000" w:themeColor="text1"/>
          <w:kern w:val="0"/>
          <w:sz w:val="24"/>
          <w:szCs w:val="24"/>
          <w:highlight w:val="none"/>
          <w14:textFill>
            <w14:solidFill>
              <w14:schemeClr w14:val="tx1"/>
            </w14:solidFill>
          </w14:textFill>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536AAD08">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cs="宋体"/>
          <w:b/>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在施工过程中发现乙方提交的勘察成果与现场情况严重不符而导致需要补勘时，乙方需无条件配合甲方完成补勘等相关工作。因此而产生的补充勘察等费用由乙方自行承担，甲方不再另行支付。</w:t>
      </w:r>
    </w:p>
    <w:p w14:paraId="27F862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21.6</w:t>
      </w:r>
      <w:r>
        <w:rPr>
          <w:rFonts w:hint="eastAsia" w:ascii="宋体" w:hAnsi="宋体" w:cs="宋体"/>
          <w:color w:val="000000" w:themeColor="text1"/>
          <w:kern w:val="0"/>
          <w:sz w:val="24"/>
          <w:szCs w:val="24"/>
          <w:highlight w:val="none"/>
          <w14:textFill>
            <w14:solidFill>
              <w14:schemeClr w14:val="tx1"/>
            </w14:solidFill>
          </w14:textFill>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4BF579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21.7</w:t>
      </w:r>
      <w:r>
        <w:rPr>
          <w:rFonts w:hint="eastAsia" w:ascii="宋体" w:hAnsi="宋体" w:cs="宋体"/>
          <w:color w:val="000000" w:themeColor="text1"/>
          <w:kern w:val="0"/>
          <w:sz w:val="24"/>
          <w:szCs w:val="24"/>
          <w:highlight w:val="none"/>
          <w14:textFill>
            <w14:solidFill>
              <w14:schemeClr w14:val="tx1"/>
            </w14:solidFill>
          </w14:textFill>
        </w:rPr>
        <w:t>乙方实施岩土工程勘察工作时，应按工程建设各勘察阶段的要求，正确反映工程地质条件，查明不良地质作用和地质灾害，精心勘察，精心分析，提交资料完整、评价正确的勘察报告。</w:t>
      </w:r>
    </w:p>
    <w:p w14:paraId="627C5E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3"/>
        <w:rPr>
          <w:rFonts w:hint="default"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 xml:space="preserve">21.8 </w:t>
      </w:r>
      <w:r>
        <w:rPr>
          <w:rFonts w:hint="eastAsia" w:ascii="宋体" w:hAnsi="宋体" w:cs="宋体"/>
          <w:color w:val="000000" w:themeColor="text1"/>
          <w:kern w:val="0"/>
          <w:sz w:val="24"/>
          <w:szCs w:val="24"/>
          <w:highlight w:val="none"/>
          <w:lang w:val="en-US" w:eastAsia="zh-CN"/>
          <w14:textFill>
            <w14:solidFill>
              <w14:schemeClr w14:val="tx1"/>
            </w14:solidFill>
          </w14:textFill>
        </w:rPr>
        <w:t>对于溶洞发育区域，乙方应采取可靠的技术手段，检测探明溶洞情况，制定经济、合理的溶洞处置方案。</w:t>
      </w:r>
    </w:p>
    <w:p w14:paraId="4B4BEF5C">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cs="宋体"/>
          <w:color w:val="000000" w:themeColor="text1"/>
          <w:kern w:val="0"/>
          <w:sz w:val="24"/>
          <w:szCs w:val="24"/>
          <w:highlight w:val="none"/>
          <w:u w:val="single"/>
          <w14:textFill>
            <w14:solidFill>
              <w14:schemeClr w14:val="tx1"/>
            </w14:solidFill>
          </w14:textFill>
        </w:rPr>
      </w:pPr>
    </w:p>
    <w:p w14:paraId="006301CF">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22、勘察费的计取及支付</w:t>
      </w:r>
    </w:p>
    <w:p w14:paraId="0F875FF7">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22.1</w:t>
      </w:r>
      <w:r>
        <w:rPr>
          <w:rFonts w:hint="eastAsia" w:ascii="宋体" w:hAnsi="宋体" w:cs="宋体"/>
          <w:color w:val="000000" w:themeColor="text1"/>
          <w:kern w:val="0"/>
          <w:sz w:val="24"/>
          <w:szCs w:val="24"/>
          <w:highlight w:val="none"/>
          <w14:textFill>
            <w14:solidFill>
              <w14:schemeClr w14:val="tx1"/>
            </w14:solidFill>
          </w14:textFill>
        </w:rPr>
        <w:t>基本原则</w:t>
      </w:r>
    </w:p>
    <w:p w14:paraId="430F2E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22.1.1</w:t>
      </w:r>
      <w:r>
        <w:rPr>
          <w:rFonts w:hint="eastAsia" w:ascii="宋体" w:hAnsi="宋体" w:cs="宋体"/>
          <w:color w:val="000000" w:themeColor="text1"/>
          <w:kern w:val="0"/>
          <w:sz w:val="24"/>
          <w:szCs w:val="24"/>
          <w:highlight w:val="none"/>
          <w14:textFill>
            <w14:solidFill>
              <w14:schemeClr w14:val="tx1"/>
            </w14:solidFill>
          </w14:textFill>
        </w:rPr>
        <w:t>除非双方另有约定，本合同勘察费计取时已综合考虑各种费率变化、物价变动以及完成勘察工作所需的各项费用。</w:t>
      </w:r>
    </w:p>
    <w:p w14:paraId="0639D0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22.1.2</w:t>
      </w:r>
      <w:r>
        <w:rPr>
          <w:rFonts w:hint="eastAsia" w:ascii="宋体" w:hAnsi="宋体" w:cs="宋体"/>
          <w:color w:val="000000" w:themeColor="text1"/>
          <w:kern w:val="0"/>
          <w:sz w:val="24"/>
          <w:szCs w:val="24"/>
          <w:highlight w:val="none"/>
          <w14:textFill>
            <w14:solidFill>
              <w14:schemeClr w14:val="tx1"/>
            </w14:solidFill>
          </w14:textFill>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22.2款约定综合单价也已包含实施上述所有勘察工作内容的费用。</w:t>
      </w:r>
    </w:p>
    <w:p w14:paraId="613D8E93">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 xml:space="preserve">22.2 </w:t>
      </w:r>
      <w:r>
        <w:rPr>
          <w:rFonts w:hint="eastAsia" w:ascii="宋体" w:hAnsi="宋体" w:cs="宋体"/>
          <w:color w:val="000000" w:themeColor="text1"/>
          <w:kern w:val="0"/>
          <w:sz w:val="24"/>
          <w:szCs w:val="24"/>
          <w:highlight w:val="none"/>
          <w14:textFill>
            <w14:solidFill>
              <w14:schemeClr w14:val="tx1"/>
            </w14:solidFill>
          </w14:textFill>
        </w:rPr>
        <w:t>勘察费的计取及结算方式按下列约定执行：</w:t>
      </w:r>
    </w:p>
    <w:p w14:paraId="0A280902">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bidi="ar"/>
          <w14:textFill>
            <w14:solidFill>
              <w14:schemeClr w14:val="tx1"/>
            </w14:solidFill>
          </w14:textFill>
        </w:rPr>
        <w:t>☒</w:t>
      </w:r>
      <w:r>
        <w:rPr>
          <w:rFonts w:hint="eastAsia" w:ascii="宋体" w:hAnsi="宋体" w:cs="宋体"/>
          <w:color w:val="000000" w:themeColor="text1"/>
          <w:kern w:val="0"/>
          <w:sz w:val="24"/>
          <w:szCs w:val="24"/>
          <w:highlight w:val="none"/>
          <w:lang w:bidi="ar"/>
          <w14:textFill>
            <w14:solidFill>
              <w14:schemeClr w14:val="tx1"/>
            </w14:solidFill>
          </w14:textFill>
        </w:rPr>
        <w:t>由乙方按中标价或双方议定的价格实行勘察费总价包干，不论任何情况的变化均不调整。</w:t>
      </w:r>
    </w:p>
    <w:p w14:paraId="6DB440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bCs/>
          <w:snapToGrid w:val="0"/>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工程勘察费按实</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际</w:t>
      </w:r>
      <w:r>
        <w:rPr>
          <w:rFonts w:hint="eastAsia" w:ascii="宋体" w:hAnsi="宋体" w:cs="宋体"/>
          <w:color w:val="000000" w:themeColor="text1"/>
          <w:kern w:val="0"/>
          <w:sz w:val="24"/>
          <w:szCs w:val="24"/>
          <w:highlight w:val="none"/>
          <w14:textFill>
            <w14:solidFill>
              <w14:schemeClr w14:val="tx1"/>
            </w14:solidFill>
          </w14:textFill>
        </w:rPr>
        <w:t>工作量乘以合同约定的综合单价计算。实</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际</w:t>
      </w:r>
      <w:r>
        <w:rPr>
          <w:rFonts w:hint="eastAsia" w:ascii="宋体" w:hAnsi="宋体" w:cs="宋体"/>
          <w:color w:val="000000" w:themeColor="text1"/>
          <w:kern w:val="0"/>
          <w:sz w:val="24"/>
          <w:szCs w:val="24"/>
          <w:highlight w:val="none"/>
          <w14:textFill>
            <w14:solidFill>
              <w14:schemeClr w14:val="tx1"/>
            </w14:solidFill>
          </w14:textFill>
        </w:rPr>
        <w:t>工作量指按照工程勘察规范、规程、合同的规定及勘察作业实际情况完成且经甲方及甲方委托的第三方共同确认的工作量，但如勘察工作量大于招标勘察工作量110%，则超出招标勘察工作量110%部分不再另行计量。</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且最终结算价不超过经有权审核部门审定的批复概算中对应的勘察费。</w:t>
      </w:r>
      <w:r>
        <w:rPr>
          <w:rFonts w:hint="eastAsia" w:ascii="宋体" w:hAnsi="宋体" w:cs="宋体"/>
          <w:color w:val="000000" w:themeColor="text1"/>
          <w:kern w:val="0"/>
          <w:sz w:val="24"/>
          <w:szCs w:val="24"/>
          <w:highlight w:val="none"/>
          <w14:textFill>
            <w14:solidFill>
              <w14:schemeClr w14:val="tx1"/>
            </w14:solidFill>
          </w14:textFill>
        </w:rPr>
        <w:t>合同综合单价为全费用综合单价。</w:t>
      </w:r>
    </w:p>
    <w:p w14:paraId="1E34D5AB">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本项目岩土工程勘察费中标综合</w:t>
      </w:r>
      <w:r>
        <w:rPr>
          <w:rFonts w:hint="eastAsia" w:ascii="宋体" w:hAnsi="宋体" w:cs="宋体"/>
          <w:color w:val="000000" w:themeColor="text1"/>
          <w:kern w:val="0"/>
          <w:sz w:val="24"/>
          <w:szCs w:val="24"/>
          <w:highlight w:val="none"/>
          <w:u w:val="single"/>
          <w14:textFill>
            <w14:solidFill>
              <w14:schemeClr w14:val="tx1"/>
            </w14:solidFill>
          </w14:textFill>
        </w:rPr>
        <w:t>包干</w:t>
      </w:r>
      <w:r>
        <w:rPr>
          <w:rFonts w:hint="eastAsia" w:ascii="宋体" w:hAnsi="宋体" w:cs="宋体"/>
          <w:color w:val="000000" w:themeColor="text1"/>
          <w:kern w:val="0"/>
          <w:sz w:val="24"/>
          <w:szCs w:val="24"/>
          <w:highlight w:val="none"/>
          <w14:textFill>
            <w14:solidFill>
              <w14:schemeClr w14:val="tx1"/>
            </w14:solidFill>
          </w14:textFill>
        </w:rPr>
        <w:t>单价为</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元/米。（注：本项目为配合完成合同范围内工作（包括工程勘察、工程设计等）所需辅助测量等辅助性工作费用，已包含在勘察设计费中，不单独计费。）</w:t>
      </w:r>
    </w:p>
    <w:p w14:paraId="2E2F3730">
      <w:pPr>
        <w:keepNext w:val="0"/>
        <w:keepLines w:val="0"/>
        <w:pageBreakBefore w:val="0"/>
        <w:kinsoku/>
        <w:wordWrap/>
        <w:overflowPunct/>
        <w:topLinePunct w:val="0"/>
        <w:autoSpaceDE/>
        <w:autoSpaceDN/>
        <w:bidi w:val="0"/>
        <w:adjustRightInd w:val="0"/>
        <w:snapToGrid w:val="0"/>
        <w:spacing w:line="360" w:lineRule="auto"/>
        <w:ind w:left="0" w:leftChars="0" w:right="0" w:firstLine="482" w:firstLineChars="200"/>
        <w:textAlignment w:val="auto"/>
        <w:outlineLvl w:val="3"/>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22.3勘察费的支付：</w:t>
      </w:r>
    </w:p>
    <w:p w14:paraId="0850B9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22.3.1</w:t>
      </w:r>
      <w:r>
        <w:rPr>
          <w:rFonts w:hint="eastAsia" w:ascii="宋体" w:hAnsi="宋体" w:cs="宋体"/>
          <w:color w:val="000000" w:themeColor="text1"/>
          <w:kern w:val="0"/>
          <w:sz w:val="24"/>
          <w:szCs w:val="24"/>
          <w:highlight w:val="none"/>
          <w14:textFill>
            <w14:solidFill>
              <w14:schemeClr w14:val="tx1"/>
            </w14:solidFill>
          </w14:textFill>
        </w:rPr>
        <w:t>乙方提交符合本合同约定的全部勘察成果文件并通过甲方或甲方委托的第三方审查，且实际乙方实施勘察工作的实物工程量得到甲方及甲方委托的第三方确认后，乙方按合同要求提交申请支付的文件资料【必须包括勘察机械设备进出场时间记录，勘察工作的全过程记录（包含全过程作业现场录像光盘）；每个勘探钻孔及钻孔岩土样本的照片】，报甲方审核合格后十日内甲方支付至勘察费总额的85%；本合同勘察结算资料报送有权结算终审部门后，甲方支付至勘察费总额的95%；有权结算终审部门审定本合同勘察费结算金额后甲方支付勘察费的尾款。</w:t>
      </w:r>
    </w:p>
    <w:p w14:paraId="52792C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22.3.2</w:t>
      </w:r>
      <w:r>
        <w:rPr>
          <w:rFonts w:hint="eastAsia" w:ascii="宋体" w:hAnsi="宋体" w:cs="宋体"/>
          <w:color w:val="000000" w:themeColor="text1"/>
          <w:kern w:val="0"/>
          <w:sz w:val="24"/>
          <w:szCs w:val="24"/>
          <w:highlight w:val="none"/>
          <w14:textFill>
            <w14:solidFill>
              <w14:schemeClr w14:val="tx1"/>
            </w14:solidFill>
          </w14:textFill>
        </w:rPr>
        <w:t xml:space="preserve">乙方分包项目的勘察费已全部包含在本合同勘察费之内，并纳入本合同一并结算。乙方在申请支付各次勘察费时应连同其分包单位的勘察费一并申报。 </w:t>
      </w:r>
    </w:p>
    <w:p w14:paraId="307F7D16">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乙方承诺：保证按照本合同及分包合同的约定及时向乙方分包单位支付勘察费，甲方有权对乙方的付款情况予以监督。乙方未按时按量付款的，应依据本合同条款第</w:t>
      </w:r>
      <w:r>
        <w:rPr>
          <w:color w:val="000000" w:themeColor="text1"/>
          <w:highlight w:val="none"/>
          <w14:textFill>
            <w14:solidFill>
              <w14:schemeClr w14:val="tx1"/>
            </w14:solidFill>
          </w14:textFill>
        </w:rPr>
        <w:t>28.8</w:t>
      </w:r>
      <w:r>
        <w:rPr>
          <w:rFonts w:cs="宋体"/>
          <w:color w:val="000000" w:themeColor="text1"/>
          <w:highlight w:val="none"/>
          <w14:textFill>
            <w14:solidFill>
              <w14:schemeClr w14:val="tx1"/>
            </w14:solidFill>
          </w14:textFill>
        </w:rPr>
        <w:t>款第</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项的约定承担违约责任。</w:t>
      </w:r>
    </w:p>
    <w:p w14:paraId="3C6382D3">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outlineLvl w:val="4"/>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22.3.3</w:t>
      </w:r>
      <w:r>
        <w:rPr>
          <w:rFonts w:cs="宋体"/>
          <w:color w:val="000000" w:themeColor="text1"/>
          <w:highlight w:val="none"/>
          <w14:textFill>
            <w14:solidFill>
              <w14:schemeClr w14:val="tx1"/>
            </w14:solidFill>
          </w14:textFill>
        </w:rPr>
        <w:t>乙方领取款项前须按甲方的财务管理制度办理有关手续并向甲方出具符合本合同约定的合法有效的可报销凭证。</w:t>
      </w:r>
    </w:p>
    <w:p w14:paraId="7DB530F2">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outlineLvl w:val="4"/>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22.3.4</w:t>
      </w:r>
      <w:r>
        <w:rPr>
          <w:rFonts w:cs="宋体"/>
          <w:color w:val="000000" w:themeColor="text1"/>
          <w:highlight w:val="none"/>
          <w14:textFill>
            <w14:solidFill>
              <w14:schemeClr w14:val="tx1"/>
            </w14:solidFill>
          </w14:textFill>
        </w:rPr>
        <w:t>甲方委托乙方晒制的超过合同约定数量的勘察成果文件（含施工图纸），乙方按照双方约定的价格清单加收工本费；没有约定的价格清单的，甲方按以下标准向乙方支付费用：</w:t>
      </w:r>
      <w:r>
        <w:rPr>
          <w:color w:val="000000" w:themeColor="text1"/>
          <w:highlight w:val="none"/>
          <w14:textFill>
            <w14:solidFill>
              <w14:schemeClr w14:val="tx1"/>
            </w14:solidFill>
          </w14:textFill>
        </w:rPr>
        <w:t>A0</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4.0</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w:t>
      </w:r>
      <w:r>
        <w:rPr>
          <w:color w:val="000000" w:themeColor="text1"/>
          <w:highlight w:val="none"/>
          <w14:textFill>
            <w14:solidFill>
              <w14:schemeClr w14:val="tx1"/>
            </w14:solidFill>
          </w14:textFill>
        </w:rPr>
        <w:t>A1</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2.0</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w:t>
      </w:r>
      <w:r>
        <w:rPr>
          <w:color w:val="000000" w:themeColor="text1"/>
          <w:highlight w:val="none"/>
          <w14:textFill>
            <w14:solidFill>
              <w14:schemeClr w14:val="tx1"/>
            </w14:solidFill>
          </w14:textFill>
        </w:rPr>
        <w:t>A2</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w:t>
      </w:r>
      <w:r>
        <w:rPr>
          <w:color w:val="000000" w:themeColor="text1"/>
          <w:highlight w:val="none"/>
          <w14:textFill>
            <w14:solidFill>
              <w14:schemeClr w14:val="tx1"/>
            </w14:solidFill>
          </w14:textFill>
        </w:rPr>
        <w:t>A3</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0.8</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w:t>
      </w:r>
      <w:r>
        <w:rPr>
          <w:color w:val="000000" w:themeColor="text1"/>
          <w:highlight w:val="none"/>
          <w14:textFill>
            <w14:solidFill>
              <w14:schemeClr w14:val="tx1"/>
            </w14:solidFill>
          </w14:textFill>
        </w:rPr>
        <w:t>A4</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0.5</w:t>
      </w:r>
      <w:r>
        <w:rPr>
          <w:rFonts w:cs="宋体"/>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张。非标图纸按图面大小换算成</w:t>
      </w:r>
      <w:r>
        <w:rPr>
          <w:color w:val="000000" w:themeColor="text1"/>
          <w:highlight w:val="none"/>
          <w14:textFill>
            <w14:solidFill>
              <w14:schemeClr w14:val="tx1"/>
            </w14:solidFill>
          </w14:textFill>
        </w:rPr>
        <w:t>A2</w:t>
      </w:r>
      <w:r>
        <w:rPr>
          <w:rFonts w:cs="宋体"/>
          <w:color w:val="000000" w:themeColor="text1"/>
          <w:highlight w:val="none"/>
          <w14:textFill>
            <w14:solidFill>
              <w14:schemeClr w14:val="tx1"/>
            </w14:solidFill>
          </w14:textFill>
        </w:rPr>
        <w:t>图纸数量，甲方按</w:t>
      </w:r>
      <w:r>
        <w:rPr>
          <w:color w:val="000000" w:themeColor="text1"/>
          <w:highlight w:val="none"/>
          <w14:textFill>
            <w14:solidFill>
              <w14:schemeClr w14:val="tx1"/>
            </w14:solidFill>
          </w14:textFill>
        </w:rPr>
        <w:t>A2</w:t>
      </w:r>
      <w:r>
        <w:rPr>
          <w:rFonts w:cs="宋体"/>
          <w:color w:val="000000" w:themeColor="text1"/>
          <w:highlight w:val="none"/>
          <w14:textFill>
            <w14:solidFill>
              <w14:schemeClr w14:val="tx1"/>
            </w14:solidFill>
          </w14:textFill>
        </w:rPr>
        <w:t>图纸的费用标准支付费用。</w:t>
      </w:r>
    </w:p>
    <w:p w14:paraId="3484C627">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p>
    <w:p w14:paraId="19F87847">
      <w:pPr>
        <w:pStyle w:val="3"/>
        <w:keepNext w:val="0"/>
        <w:keepLines w:val="0"/>
        <w:widowControl/>
        <w:spacing w:before="0" w:after="0"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第十一章 综合考评</w:t>
      </w:r>
    </w:p>
    <w:p w14:paraId="0521DF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outlineLvl w:val="9"/>
        <w:rPr>
          <w:rFonts w:ascii="宋体" w:hAnsi="宋体" w:cs="宋体"/>
          <w:bCs/>
          <w:color w:val="000000" w:themeColor="text1"/>
          <w:kern w:val="0"/>
          <w:sz w:val="24"/>
          <w:szCs w:val="24"/>
          <w:highlight w:val="none"/>
          <w14:textFill>
            <w14:solidFill>
              <w14:schemeClr w14:val="tx1"/>
            </w14:solidFill>
          </w14:textFill>
        </w:rPr>
      </w:pPr>
    </w:p>
    <w:p w14:paraId="76E3455D">
      <w:pPr>
        <w:adjustRightInd w:val="0"/>
        <w:snapToGrid w:val="0"/>
        <w:spacing w:line="360" w:lineRule="auto"/>
        <w:ind w:firstLine="241" w:firstLineChars="100"/>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23、综合考评</w:t>
      </w:r>
    </w:p>
    <w:p w14:paraId="1E94950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鉴于本合同工程的重要性，为确保本合同工程质量，甲方将对参与本合同项目建设的勘察设计、施工、监理等单位进行综合考评，并根据综合考评的结果按照相关规定执行。 </w:t>
      </w:r>
    </w:p>
    <w:p w14:paraId="5D20E6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outlineLvl w:val="9"/>
        <w:rPr>
          <w:rFonts w:ascii="宋体" w:hAnsi="宋体" w:cs="宋体"/>
          <w:color w:val="000000" w:themeColor="text1"/>
          <w:kern w:val="0"/>
          <w:sz w:val="24"/>
          <w:szCs w:val="24"/>
          <w:highlight w:val="none"/>
          <w14:textFill>
            <w14:solidFill>
              <w14:schemeClr w14:val="tx1"/>
            </w14:solidFill>
          </w14:textFill>
        </w:rPr>
      </w:pPr>
    </w:p>
    <w:p w14:paraId="3C0479A7">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第十二章 信息化管理</w:t>
      </w:r>
    </w:p>
    <w:p w14:paraId="34716E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left"/>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44F40E05">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24、信息化管理的要求</w:t>
      </w:r>
    </w:p>
    <w:p w14:paraId="08433929">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24.1</w:t>
      </w:r>
      <w:r>
        <w:rPr>
          <w:rFonts w:cs="宋体"/>
          <w:color w:val="000000" w:themeColor="text1"/>
          <w:highlight w:val="none"/>
          <w14:textFill>
            <w14:solidFill>
              <w14:schemeClr w14:val="tx1"/>
            </w14:solidFill>
          </w14:textFill>
        </w:rPr>
        <w:t>计算机信息管理的内容和基本要求</w:t>
      </w:r>
    </w:p>
    <w:p w14:paraId="4338F614">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乙方应运用计算机技术对设计项目进行科学管理，全面提高设计管理水平。甲方使用计算机工程信息管理系统对所有合同进行管理，乙方是该系统设计、文档系统方面的重要信息源之一，乙方应配置和运用该系统进行设计管理。</w:t>
      </w:r>
    </w:p>
    <w:p w14:paraId="42773556">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乙方的计算机系统规划、配置和人员等应满足甲方的要求，以确保乙方可正确使用计算机工程信息管理系统。</w:t>
      </w:r>
    </w:p>
    <w:p w14:paraId="5754F6D9">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24.2</w:t>
      </w:r>
      <w:r>
        <w:rPr>
          <w:rFonts w:cs="宋体"/>
          <w:color w:val="000000" w:themeColor="text1"/>
          <w:highlight w:val="none"/>
          <w14:textFill>
            <w14:solidFill>
              <w14:schemeClr w14:val="tx1"/>
            </w14:solidFill>
          </w14:textFill>
        </w:rPr>
        <w:t>设计管理</w:t>
      </w:r>
    </w:p>
    <w:p w14:paraId="4E59060F">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r>
        <w:rPr>
          <w:rFonts w:cs="宋体"/>
          <w:color w:val="000000" w:themeColor="text1"/>
          <w:highlight w:val="none"/>
          <w14:textFill>
            <w14:solidFill>
              <w14:schemeClr w14:val="tx1"/>
            </w14:solidFill>
          </w14:textFill>
        </w:rPr>
        <w:t>乙方必须按照甲方的要求及时提供设计分解结构，并将分解结果输入计算机工程信息管理系统；</w:t>
      </w:r>
    </w:p>
    <w:p w14:paraId="18AB5575">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w:t>
      </w:r>
      <w:r>
        <w:rPr>
          <w:rFonts w:cs="宋体"/>
          <w:color w:val="000000" w:themeColor="text1"/>
          <w:highlight w:val="none"/>
          <w14:textFill>
            <w14:solidFill>
              <w14:schemeClr w14:val="tx1"/>
            </w14:solidFill>
          </w14:textFill>
        </w:rPr>
        <w:t>乙方必须及时提供设计包的划分报告，并且把设计包及其所包含的图纸相关信息录入计算机工程信息管理系统；</w:t>
      </w:r>
    </w:p>
    <w:p w14:paraId="22B31724">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w:t>
      </w:r>
      <w:r>
        <w:rPr>
          <w:rFonts w:cs="宋体"/>
          <w:color w:val="000000" w:themeColor="text1"/>
          <w:highlight w:val="none"/>
          <w14:textFill>
            <w14:solidFill>
              <w14:schemeClr w14:val="tx1"/>
            </w14:solidFill>
          </w14:textFill>
        </w:rPr>
        <w:t>乙方必须及时把设计进度的信息录入计算机工程信息管理系统；</w:t>
      </w:r>
    </w:p>
    <w:p w14:paraId="200CD32C">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w:t>
      </w:r>
      <w:r>
        <w:rPr>
          <w:rFonts w:cs="宋体"/>
          <w:color w:val="000000" w:themeColor="text1"/>
          <w:highlight w:val="none"/>
          <w14:textFill>
            <w14:solidFill>
              <w14:schemeClr w14:val="tx1"/>
            </w14:solidFill>
          </w14:textFill>
        </w:rPr>
        <w:t>乙方应提供计算机工程信息管理系统在线状况的信息报告，应做到正确、完整、及时，但不因此免除乙方按本合同约定提交有效书面文件的责任。</w:t>
      </w:r>
    </w:p>
    <w:p w14:paraId="1A055E89">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24.3</w:t>
      </w:r>
      <w:r>
        <w:rPr>
          <w:rFonts w:cs="宋体"/>
          <w:color w:val="000000" w:themeColor="text1"/>
          <w:highlight w:val="none"/>
          <w14:textFill>
            <w14:solidFill>
              <w14:schemeClr w14:val="tx1"/>
            </w14:solidFill>
          </w14:textFill>
        </w:rPr>
        <w:t>计算机网络</w:t>
      </w:r>
    </w:p>
    <w:p w14:paraId="17A80C8F">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由于甲方的信息管理系统是</w:t>
      </w:r>
      <w:r>
        <w:rPr>
          <w:color w:val="000000" w:themeColor="text1"/>
          <w:highlight w:val="none"/>
          <w14:textFill>
            <w14:solidFill>
              <w14:schemeClr w14:val="tx1"/>
            </w14:solidFill>
          </w14:textFill>
        </w:rPr>
        <w:t>B/S</w:t>
      </w:r>
      <w:r>
        <w:rPr>
          <w:rFonts w:cs="宋体"/>
          <w:color w:val="000000" w:themeColor="text1"/>
          <w:highlight w:val="none"/>
          <w14:textFill>
            <w14:solidFill>
              <w14:schemeClr w14:val="tx1"/>
            </w14:solidFill>
          </w14:textFill>
        </w:rPr>
        <w:t>结构，乙方需以自身提供设备联入互联网登录到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"http://www.gcpo.com.cn" </w:instrText>
      </w:r>
      <w:r>
        <w:rPr>
          <w:color w:val="000000" w:themeColor="text1"/>
          <w:highlight w:val="none"/>
          <w14:textFill>
            <w14:solidFill>
              <w14:schemeClr w14:val="tx1"/>
            </w14:solidFill>
          </w14:textFill>
        </w:rPr>
        <w:fldChar w:fldCharType="separate"/>
      </w:r>
      <w:r>
        <w:rPr>
          <w:rStyle w:val="19"/>
          <w:rFonts w:hint="default" w:ascii="Times New Roman" w:hAnsi="Times New Roman"/>
          <w:color w:val="000000" w:themeColor="text1"/>
          <w:highlight w:val="none"/>
          <w14:textFill>
            <w14:solidFill>
              <w14:schemeClr w14:val="tx1"/>
            </w14:solidFill>
          </w14:textFill>
        </w:rPr>
        <w:t>www.gcpo.com.cn</w:t>
      </w:r>
      <w:r>
        <w:rPr>
          <w:rFonts w:hint="default" w:ascii="Times New Roman" w:hAnsi="Times New Roman"/>
          <w:color w:val="000000" w:themeColor="text1"/>
          <w:highlight w:val="none"/>
          <w14:textFill>
            <w14:solidFill>
              <w14:schemeClr w14:val="tx1"/>
            </w14:solidFill>
          </w14:textFill>
        </w:rPr>
        <w:fldChar w:fldCharType="end"/>
      </w:r>
      <w:r>
        <w:rPr>
          <w:rFonts w:cs="宋体"/>
          <w:color w:val="000000" w:themeColor="text1"/>
          <w:highlight w:val="none"/>
          <w14:textFill>
            <w14:solidFill>
              <w14:schemeClr w14:val="tx1"/>
            </w14:solidFill>
          </w14:textFill>
        </w:rPr>
        <w:t>或</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"http://www.gcpo.org" </w:instrText>
      </w:r>
      <w:r>
        <w:rPr>
          <w:color w:val="000000" w:themeColor="text1"/>
          <w:highlight w:val="none"/>
          <w14:textFill>
            <w14:solidFill>
              <w14:schemeClr w14:val="tx1"/>
            </w14:solidFill>
          </w14:textFill>
        </w:rPr>
        <w:fldChar w:fldCharType="separate"/>
      </w:r>
      <w:r>
        <w:rPr>
          <w:rStyle w:val="19"/>
          <w:rFonts w:hint="default" w:ascii="Times New Roman" w:hAnsi="Times New Roman"/>
          <w:color w:val="000000" w:themeColor="text1"/>
          <w:highlight w:val="none"/>
          <w14:textFill>
            <w14:solidFill>
              <w14:schemeClr w14:val="tx1"/>
            </w14:solidFill>
          </w14:textFill>
        </w:rPr>
        <w:t>www.gcpo.org</w:t>
      </w:r>
      <w:r>
        <w:rPr>
          <w:rFonts w:hint="default" w:ascii="Times New Roman" w:hAnsi="Times New Roman"/>
          <w:color w:val="000000" w:themeColor="text1"/>
          <w:highlight w:val="none"/>
          <w14:textFill>
            <w14:solidFill>
              <w14:schemeClr w14:val="tx1"/>
            </w14:solidFill>
          </w14:textFill>
        </w:rPr>
        <w:fldChar w:fldCharType="end"/>
      </w:r>
      <w:r>
        <w:rPr>
          <w:rFonts w:cs="宋体"/>
          <w:color w:val="000000" w:themeColor="text1"/>
          <w:highlight w:val="none"/>
          <w14:textFill>
            <w14:solidFill>
              <w14:schemeClr w14:val="tx1"/>
            </w14:solidFill>
          </w14:textFill>
        </w:rPr>
        <w:t>。</w:t>
      </w:r>
    </w:p>
    <w:p w14:paraId="0DFF0516">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24.4</w:t>
      </w:r>
      <w:r>
        <w:rPr>
          <w:rFonts w:cs="宋体"/>
          <w:color w:val="000000" w:themeColor="text1"/>
          <w:highlight w:val="none"/>
          <w14:textFill>
            <w14:solidFill>
              <w14:schemeClr w14:val="tx1"/>
            </w14:solidFill>
          </w14:textFill>
        </w:rPr>
        <w:t>计算机硬件</w:t>
      </w:r>
    </w:p>
    <w:p w14:paraId="78C908CE">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b/>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乙方应配置满足计算机工程信息管理系统运行要求的计算机和工作站来支持日常的设计管理工作。接入计算机工程信息管理系统的计算机最低配置为：</w:t>
      </w:r>
      <w:r>
        <w:rPr>
          <w:color w:val="000000" w:themeColor="text1"/>
          <w:highlight w:val="none"/>
          <w14:textFill>
            <w14:solidFill>
              <w14:schemeClr w14:val="tx1"/>
            </w14:solidFill>
          </w14:textFill>
        </w:rPr>
        <w:t>CPU</w:t>
      </w:r>
      <w:r>
        <w:rPr>
          <w:rFonts w:cs="宋体"/>
          <w:color w:val="000000" w:themeColor="text1"/>
          <w:highlight w:val="none"/>
          <w14:textFill>
            <w14:solidFill>
              <w14:schemeClr w14:val="tx1"/>
            </w14:solidFill>
          </w14:textFill>
        </w:rPr>
        <w:t>主频</w:t>
      </w:r>
      <w:r>
        <w:rPr>
          <w:color w:val="000000" w:themeColor="text1"/>
          <w:highlight w:val="none"/>
          <w14:textFill>
            <w14:solidFill>
              <w14:schemeClr w14:val="tx1"/>
            </w14:solidFill>
          </w14:textFill>
        </w:rPr>
        <w:t>1.6GH</w:t>
      </w:r>
      <w:r>
        <w:rPr>
          <w:rFonts w:cs="宋体"/>
          <w:color w:val="000000" w:themeColor="text1"/>
          <w:highlight w:val="none"/>
          <w14:textFill>
            <w14:solidFill>
              <w14:schemeClr w14:val="tx1"/>
            </w14:solidFill>
          </w14:textFill>
        </w:rPr>
        <w:t>以上、内存</w:t>
      </w:r>
      <w:r>
        <w:rPr>
          <w:color w:val="000000" w:themeColor="text1"/>
          <w:highlight w:val="none"/>
          <w14:textFill>
            <w14:solidFill>
              <w14:schemeClr w14:val="tx1"/>
            </w14:solidFill>
          </w14:textFill>
        </w:rPr>
        <w:t>1G</w:t>
      </w:r>
      <w:r>
        <w:rPr>
          <w:rFonts w:cs="宋体"/>
          <w:color w:val="000000" w:themeColor="text1"/>
          <w:highlight w:val="none"/>
          <w14:textFill>
            <w14:solidFill>
              <w14:schemeClr w14:val="tx1"/>
            </w14:solidFill>
          </w14:textFill>
        </w:rPr>
        <w:t>以上、硬盘</w:t>
      </w:r>
      <w:r>
        <w:rPr>
          <w:color w:val="000000" w:themeColor="text1"/>
          <w:highlight w:val="none"/>
          <w14:textFill>
            <w14:solidFill>
              <w14:schemeClr w14:val="tx1"/>
            </w14:solidFill>
          </w14:textFill>
        </w:rPr>
        <w:t>120G</w:t>
      </w:r>
      <w:r>
        <w:rPr>
          <w:rFonts w:cs="宋体"/>
          <w:b/>
          <w:color w:val="000000" w:themeColor="text1"/>
          <w:highlight w:val="none"/>
          <w14:textFill>
            <w14:solidFill>
              <w14:schemeClr w14:val="tx1"/>
            </w14:solidFill>
          </w14:textFill>
        </w:rPr>
        <w:t>。</w:t>
      </w:r>
    </w:p>
    <w:p w14:paraId="292BEC79">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24.5</w:t>
      </w:r>
      <w:r>
        <w:rPr>
          <w:rFonts w:cs="宋体"/>
          <w:color w:val="000000" w:themeColor="text1"/>
          <w:highlight w:val="none"/>
          <w14:textFill>
            <w14:solidFill>
              <w14:schemeClr w14:val="tx1"/>
            </w14:solidFill>
          </w14:textFill>
        </w:rPr>
        <w:t>计算机软件</w:t>
      </w:r>
    </w:p>
    <w:p w14:paraId="1B5F1D3C">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计算机工程信息管理系统运行在</w:t>
      </w:r>
      <w:r>
        <w:rPr>
          <w:color w:val="000000" w:themeColor="text1"/>
          <w:highlight w:val="none"/>
          <w14:textFill>
            <w14:solidFill>
              <w14:schemeClr w14:val="tx1"/>
            </w14:solidFill>
          </w14:textFill>
        </w:rPr>
        <w:t>Windows2000</w:t>
      </w:r>
      <w:r>
        <w:rPr>
          <w:rFonts w:cs="宋体"/>
          <w:color w:val="000000" w:themeColor="text1"/>
          <w:highlight w:val="none"/>
          <w14:textFill>
            <w14:solidFill>
              <w14:schemeClr w14:val="tx1"/>
            </w14:solidFill>
          </w14:textFill>
        </w:rPr>
        <w:t>或更高版本的操作系统上，计划编制软件由乙方自行负责。</w:t>
      </w:r>
    </w:p>
    <w:p w14:paraId="42214009">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24.6</w:t>
      </w:r>
      <w:r>
        <w:rPr>
          <w:rFonts w:cs="宋体"/>
          <w:color w:val="000000" w:themeColor="text1"/>
          <w:highlight w:val="none"/>
          <w14:textFill>
            <w14:solidFill>
              <w14:schemeClr w14:val="tx1"/>
            </w14:solidFill>
          </w14:textFill>
        </w:rPr>
        <w:t>人员配备及培训</w:t>
      </w:r>
    </w:p>
    <w:p w14:paraId="4DEF7A6F">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乙方应配备一定数量的专门人员负责支持和维护计算机工程信息管理系统，并报甲方备案。乙方至少应有</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名数据管理和录入人员，负责采集、录入、核对甲方要求提供的信息，并保证数据的及时准确；负责与甲方计算机系统人员协调解决计算机工程信息管理系统应用中出现的问题。</w:t>
      </w:r>
    </w:p>
    <w:p w14:paraId="075D8D60">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上述人员须参加岗位培训，经考核后方能上岗。计算机工程信息管理系统专用软件培训由甲方或甲方委托的单位提供。</w:t>
      </w:r>
    </w:p>
    <w:p w14:paraId="5562119D">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24.7</w:t>
      </w:r>
      <w:r>
        <w:rPr>
          <w:rFonts w:cs="宋体"/>
          <w:color w:val="000000" w:themeColor="text1"/>
          <w:highlight w:val="none"/>
          <w14:textFill>
            <w14:solidFill>
              <w14:schemeClr w14:val="tx1"/>
            </w14:solidFill>
          </w14:textFill>
        </w:rPr>
        <w:t>信息内容、格式及信息传递要求</w:t>
      </w:r>
    </w:p>
    <w:p w14:paraId="26EB0943">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乙方应及时准确地按甲方所要求的时限、内容和格式将相关工程信息录入并传递给甲方。如乙方未能按甲方相关管理规定将信息录入或传递给甲方，甲方有权缓付或停付本合同价款。</w:t>
      </w:r>
    </w:p>
    <w:p w14:paraId="61D348F2">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24.8</w:t>
      </w:r>
      <w:r>
        <w:rPr>
          <w:rFonts w:cs="宋体"/>
          <w:color w:val="000000" w:themeColor="text1"/>
          <w:highlight w:val="none"/>
          <w14:textFill>
            <w14:solidFill>
              <w14:schemeClr w14:val="tx1"/>
            </w14:solidFill>
          </w14:textFill>
        </w:rPr>
        <w:t>信息安全</w:t>
      </w:r>
    </w:p>
    <w:p w14:paraId="2DC9E9B5">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计算机工程信息管理系统采用授权用户及密码验证以保证合法用户使用。乙方在接入计算机工程信息管理系统过程中，应采取必要的措施，以确保信息的完整、准确和安全。计算机工程信息管理系统中的信息资源所有权属于甲方，在执行设计管理过程中，乙方仅可以访问使用与授权相关的信息。</w:t>
      </w:r>
    </w:p>
    <w:p w14:paraId="0136DBAE">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p>
    <w:p w14:paraId="3CBE3A35">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第十三章  双方的权利与义务</w:t>
      </w:r>
    </w:p>
    <w:p w14:paraId="7AAD12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6662633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25、甲方的权利与义务</w:t>
      </w:r>
    </w:p>
    <w:p w14:paraId="3810BF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25.1</w:t>
      </w:r>
      <w:r>
        <w:rPr>
          <w:rFonts w:hint="eastAsia" w:ascii="宋体" w:hAnsi="宋体" w:cs="宋体"/>
          <w:color w:val="000000" w:themeColor="text1"/>
          <w:kern w:val="0"/>
          <w:sz w:val="24"/>
          <w:szCs w:val="24"/>
          <w:highlight w:val="none"/>
          <w14:textFill>
            <w14:solidFill>
              <w14:schemeClr w14:val="tx1"/>
            </w14:solidFill>
          </w14:textFill>
        </w:rPr>
        <w:t>甲方的权利：</w:t>
      </w:r>
    </w:p>
    <w:p w14:paraId="47C57C5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（1）享有乙方勘察、设计文件的版权和全部使用权。</w:t>
      </w:r>
    </w:p>
    <w:p w14:paraId="3D81D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4807D0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（3）甲方有权聘请施工图审查单位作为本合同工程的勘察、设计咨询单位，乙方应接受该施工图审查单位按照相关勘察、设计咨询法规和甲方赋予的权利所进行的咨询工作。</w:t>
      </w:r>
    </w:p>
    <w:p w14:paraId="2DD995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（4）勘察、设计变更的审批权，勘察、设计进度的监督权。</w:t>
      </w:r>
    </w:p>
    <w:p w14:paraId="5EDF15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（5）其他依据合同和法律规定属于甲方的权利。</w:t>
      </w:r>
    </w:p>
    <w:p w14:paraId="0BE1B18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25.2</w:t>
      </w:r>
      <w:r>
        <w:rPr>
          <w:rFonts w:hint="eastAsia" w:ascii="宋体" w:hAnsi="宋体" w:cs="宋体"/>
          <w:color w:val="000000" w:themeColor="text1"/>
          <w:kern w:val="0"/>
          <w:sz w:val="24"/>
          <w:szCs w:val="24"/>
          <w:highlight w:val="none"/>
          <w14:textFill>
            <w14:solidFill>
              <w14:schemeClr w14:val="tx1"/>
            </w14:solidFill>
          </w14:textFill>
        </w:rPr>
        <w:t>甲方的义务：</w:t>
      </w:r>
    </w:p>
    <w:p w14:paraId="4DA4AC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（1）按本合同约定及时向乙方提供有关资料及文件，甲方提供的资料及文件具体如下：</w:t>
      </w:r>
    </w:p>
    <w:p w14:paraId="3E21BE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方案阶段提供的资料</w:t>
      </w:r>
    </w:p>
    <w:p w14:paraId="2AEFD6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①设计任务书；</w:t>
      </w:r>
    </w:p>
    <w:p w14:paraId="3379C9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②立项批复文件；</w:t>
      </w:r>
    </w:p>
    <w:p w14:paraId="15FE50C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③规划建设主管部门对本合同约定项目的规划设计要点；</w:t>
      </w:r>
    </w:p>
    <w:p w14:paraId="0B11BF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④由规划部门认可的用地红线和地形图；</w:t>
      </w:r>
    </w:p>
    <w:p w14:paraId="7E8D93E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⑤本合同约定的项目基础资料，包括用地红线坐标(表)、场地标高、市政设施图的资料（绿化、道路、管线、建构筑物等）；</w:t>
      </w:r>
    </w:p>
    <w:p w14:paraId="2473B1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⑥若本合同不包括勘察工程的，还应包括地质勘察资料等；</w:t>
      </w:r>
    </w:p>
    <w:p w14:paraId="1C7B55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⑦甲方关于设计、图档、图文、工程等相关管理办法，具体见附件；</w:t>
      </w:r>
    </w:p>
    <w:p w14:paraId="33B6F7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⑧评标委员会的意见、甲方提出的修改意见，和版权属于甲方的其他投标方案。</w:t>
      </w:r>
    </w:p>
    <w:p w14:paraId="45B0DF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初步设计及施工图设计阶段提供的资料</w:t>
      </w:r>
    </w:p>
    <w:p w14:paraId="46D60E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①甲方对于设计方案的修改意见；</w:t>
      </w:r>
    </w:p>
    <w:p w14:paraId="50EAFD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②政府部门、职能部门审批意见；</w:t>
      </w:r>
    </w:p>
    <w:p w14:paraId="158560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③政府或甲方委托，或组织的评审机构（会议）提出的阶段性书面意见；</w:t>
      </w:r>
    </w:p>
    <w:p w14:paraId="2EDC2A5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④双方来往的各类书面文件、会议纪要等。</w:t>
      </w:r>
    </w:p>
    <w:p w14:paraId="39B86A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3)提供勘察相关的文件、资料</w:t>
      </w:r>
    </w:p>
    <w:p w14:paraId="40F3FE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①甲方提供的勘察任务书；</w:t>
      </w:r>
    </w:p>
    <w:p w14:paraId="240A6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②本项目工程勘察许可等批文(复印件)；</w:t>
      </w:r>
    </w:p>
    <w:p w14:paraId="0251F5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③本合同约定的项目基础资料，包括用地红线坐标(表)、现状地形图、场地标高、市政设施图的资料（绿化、道路、管线、建构筑物等）,勘察工作范围内地下管线图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14:paraId="3EDBA0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④勘察范围的建筑总平面布置图（如有），勘察技术要求、技术资料；</w:t>
      </w:r>
    </w:p>
    <w:p w14:paraId="22E9142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⑤甲方关于设计、图档、图文、工程等相关管理办法，具体见附件；</w:t>
      </w:r>
    </w:p>
    <w:p w14:paraId="466B64D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⑥设计和建设过程中的政府审批意见，政府或甲方委托或组织的评审机构（会议）提出的或甲方发出的阶段性书面意见，双方来往的各类书面文件、会议纪要等。</w:t>
      </w:r>
    </w:p>
    <w:p w14:paraId="5FA910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按本合同约定按时办理勘察、设计费支付</w:t>
      </w:r>
      <w:r>
        <w:rPr>
          <w:rFonts w:hint="eastAsia" w:ascii="宋体" w:hAnsi="宋体" w:cs="宋体"/>
          <w:color w:val="000000" w:themeColor="text1"/>
          <w:kern w:val="0"/>
          <w:sz w:val="24"/>
          <w:szCs w:val="24"/>
          <w:highlight w:val="none"/>
          <w14:textFill>
            <w14:solidFill>
              <w14:schemeClr w14:val="tx1"/>
            </w14:solidFill>
          </w14:textFill>
        </w:rPr>
        <w:t>。</w:t>
      </w:r>
    </w:p>
    <w:p w14:paraId="12BE66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（3）甲方单方面原因变更委托勘察、设计项目、规模、条件或所提交资料作较大修改，以致造成乙方勘察、设计返工时，双方应酌情签订补充协议。</w:t>
      </w:r>
    </w:p>
    <w:p w14:paraId="247904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若由于甲方原因造成乙方提交资料错误，相关提交成果资料费用及延期责任由甲方负责，并给予乙方合理修改时间和相关勘察、设计修改费用；由于乙方原因造成提交资料错误的，相关提交成果资料费用及延期责任由乙方承担，另甲方可按实际损失追究乙方责任及相应补偿。</w:t>
      </w:r>
    </w:p>
    <w:p w14:paraId="3CEA4B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14:paraId="0E94C9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（4）工程实施前，若甲方负责提供材料的，应根据乙方提出的工程用料计划，按时提供各种材料及其产品合格证明，派人与乙方的人员一起验收。</w:t>
      </w:r>
    </w:p>
    <w:p w14:paraId="2E661A4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（5）按本合同约定的勘察、设计进度和阶段及时将乙方提交的所有勘察、设计文件转送相关部门审批，并根据时间表的规定将必要的审批件交付乙方。</w:t>
      </w:r>
    </w:p>
    <w:p w14:paraId="56378C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（6）甲方要求乙方比合同约定时间提前交付勘察、设计文件时，须征得乙方同意，并不得严重背离合理勘察、设计周期。</w:t>
      </w:r>
    </w:p>
    <w:p w14:paraId="1BF7E6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甲方及施工图审查单位在收到乙方有关勘察、设计问题及确认问题的函件后，应在5个工作日内给予书面答复，每次勘察、设计会议纪要应在该次会议结束后两日内书面交付乙方或于甲方（广州市重点公共建设项目管理中心）网站上公布。</w:t>
      </w:r>
    </w:p>
    <w:p w14:paraId="5BD27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（8）在施工现场服务阶段，甲方应在施工现场免费给乙方提供必要的办公用房（不含办公设备）。</w:t>
      </w:r>
    </w:p>
    <w:p w14:paraId="4DAB54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6C4BDD39">
      <w:pPr>
        <w:adjustRightInd w:val="0"/>
        <w:snapToGrid w:val="0"/>
        <w:spacing w:line="360" w:lineRule="auto"/>
        <w:ind w:firstLine="472" w:firstLineChars="196"/>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26、乙方的权利与义务</w:t>
      </w:r>
    </w:p>
    <w:p w14:paraId="5FC8A258">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26.1</w:t>
      </w:r>
      <w:r>
        <w:rPr>
          <w:rFonts w:hint="eastAsia" w:ascii="宋体" w:hAnsi="宋体" w:cs="宋体"/>
          <w:color w:val="000000" w:themeColor="text1"/>
          <w:kern w:val="0"/>
          <w:sz w:val="24"/>
          <w:szCs w:val="24"/>
          <w:highlight w:val="none"/>
          <w14:textFill>
            <w14:solidFill>
              <w14:schemeClr w14:val="tx1"/>
            </w14:solidFill>
          </w14:textFill>
        </w:rPr>
        <w:t>乙方的权利：</w:t>
      </w:r>
    </w:p>
    <w:p w14:paraId="0CB7AC1E">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（1）根据合同约定收取勘察费、设计费。</w:t>
      </w:r>
    </w:p>
    <w:p w14:paraId="20AF3A8D">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（2）拥有勘察、设计成果文件的署名权。</w:t>
      </w:r>
    </w:p>
    <w:p w14:paraId="4E677BC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（3）设计方案、图纸未审批之前，在不影响工期及合同约定的提交成果文件的时间的情况下，有权提出修改方案、图纸的建议。</w:t>
      </w:r>
    </w:p>
    <w:p w14:paraId="0A335DBA">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（4）有权依据甲方的意图和本合同工程勘察、设计工作进展情况指令各专业勘察、设计单位按时、按质、按量完成本合同专项工程的勘察、设计工作。</w:t>
      </w:r>
    </w:p>
    <w:p w14:paraId="14F15DC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甲方提交资料或者文件的时间超过约定期限15天以内(含15天)的，乙方交付设计文件时间按合同的约定顺延相应的天数；甲方提交资料或者文件的时间超过约定期限15天以上的，乙方有权重新确定提交设计文件的时间。</w:t>
      </w:r>
    </w:p>
    <w:p w14:paraId="4E1EC8AF">
      <w:pPr>
        <w:adjustRightInd w:val="0"/>
        <w:snapToGrid w:val="0"/>
        <w:spacing w:line="360" w:lineRule="auto"/>
        <w:ind w:firstLine="482" w:firstLineChars="200"/>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26.2</w:t>
      </w:r>
      <w:r>
        <w:rPr>
          <w:rFonts w:hint="eastAsia" w:ascii="宋体" w:hAnsi="宋体" w:cs="宋体"/>
          <w:color w:val="000000" w:themeColor="text1"/>
          <w:kern w:val="0"/>
          <w:sz w:val="24"/>
          <w:szCs w:val="24"/>
          <w:highlight w:val="none"/>
          <w14:textFill>
            <w14:solidFill>
              <w14:schemeClr w14:val="tx1"/>
            </w14:solidFill>
          </w14:textFill>
        </w:rPr>
        <w:t>除根据本合同约定的完成勘察、设计工作外，乙方义务还包括但不限于：</w:t>
      </w:r>
    </w:p>
    <w:p w14:paraId="777FC510">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1B5F61F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（2）在勘察、设计各阶段，乙方应根据甲方或有权审核部门的意见，及时修改、完善勘察、设计，负责完成由于勘察、设计失误未获有权审核部门批准而出现的反复修改的工作。</w:t>
      </w:r>
    </w:p>
    <w:p w14:paraId="4924D170">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（3）乙方不享有对勘察、设计文件的留置权，由乙方或其分包单位完成的勘察、设计文件应依据本合同约定的时间提交给甲方的，不论乙方与其分包单位有何种约定或分工，均不得拒绝或拖延向甲方提交。</w:t>
      </w:r>
    </w:p>
    <w:p w14:paraId="4D4789E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（4）乙方应加强对勘察、设计和管理服务人员职业操守的教育，恪守职业道德守则，并严格遵守下列规定：</w:t>
      </w:r>
    </w:p>
    <w:p w14:paraId="2310F74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1）严防重产值、轻质量倾向，确保公众人身及财产安全；</w:t>
      </w:r>
    </w:p>
    <w:p w14:paraId="1B927FB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2）禁止向甲方及施工单位推销材料、设备，或以倾向性、排他性设计变相推销；</w:t>
      </w:r>
    </w:p>
    <w:p w14:paraId="134393AB">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3）禁止与材料、设备供应商串通，设计中选用价高质次的材料、设备；</w:t>
      </w:r>
    </w:p>
    <w:p w14:paraId="23EF0FD8">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4）禁止与材料、设备供应商串通，在材料、设备的监造或调试过程中对不合格材料、设备产品进行包庇或以次充好，提高产品验收级别；</w:t>
      </w:r>
    </w:p>
    <w:p w14:paraId="06817A36">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5）禁止与施工单位串通，对不合格材料、设备、产品、工程进行包庇及验收；</w:t>
      </w:r>
    </w:p>
    <w:p w14:paraId="4B50663C">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6）禁止与施工单位串通，对材料用量、工程量进行虚假签认；</w:t>
      </w:r>
    </w:p>
    <w:p w14:paraId="0089A791">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7）禁止与施工单位串通，不合理提高施工难度及增加材料用量，以增大施工费用，获取不正当收益。</w:t>
      </w:r>
    </w:p>
    <w:p w14:paraId="102C4864">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乙方对勘察、设计文件及施工过程中由乙方签署的设计变更通知书进行检查，并在工程竣工验收前向甲方提交勘察、设计文件质量检查报告。质量检查报告应经该项目乙方负责人审核签名并加盖公章后，提交给甲方。</w:t>
      </w:r>
    </w:p>
    <w:p w14:paraId="0F6EA83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勘察、设计工作。</w:t>
      </w:r>
    </w:p>
    <w:p w14:paraId="56CDB812">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（7）其他依据法律规定和本合同约定应由乙方履行的义务。</w:t>
      </w:r>
    </w:p>
    <w:p w14:paraId="201B544F">
      <w:pPr>
        <w:pStyle w:val="13"/>
        <w:widowControl w:val="0"/>
        <w:spacing w:beforeAutospacing="0" w:afterAutospacing="0"/>
        <w:ind w:firstLine="480" w:firstLineChars="200"/>
        <w:jc w:val="both"/>
        <w:rPr>
          <w:rFonts w:hint="default" w:ascii="Calibri" w:hAnsi="Calibri" w:cs="Calibri"/>
          <w:color w:val="000000" w:themeColor="text1"/>
          <w:highlight w:val="none"/>
          <w14:textFill>
            <w14:solidFill>
              <w14:schemeClr w14:val="tx1"/>
            </w14:solidFill>
          </w14:textFill>
        </w:rPr>
      </w:pPr>
    </w:p>
    <w:p w14:paraId="27859BF0">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第十四章  违约责任</w:t>
      </w:r>
    </w:p>
    <w:p w14:paraId="5BE3B9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5A1FE008">
      <w:pPr>
        <w:adjustRightInd w:val="0"/>
        <w:snapToGrid w:val="0"/>
        <w:spacing w:line="360" w:lineRule="auto"/>
        <w:ind w:firstLine="472" w:firstLineChars="196"/>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27、甲方的违约责任</w:t>
      </w:r>
    </w:p>
    <w:p w14:paraId="07B51048">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27.1</w:t>
      </w:r>
      <w:r>
        <w:rPr>
          <w:rFonts w:cs="宋体"/>
          <w:color w:val="000000" w:themeColor="text1"/>
          <w:highlight w:val="none"/>
          <w14:textFill>
            <w14:solidFill>
              <w14:schemeClr w14:val="tx1"/>
            </w14:solidFill>
          </w14:textFill>
        </w:rPr>
        <w:t>本合同生效后，甲方无正当理由不按合同约定支付预付款的，除支付本合同约定的预付款外，还应按人民银行同期活期存款利率给乙方计付预付款拖欠期间的利息。</w:t>
      </w:r>
    </w:p>
    <w:p w14:paraId="6CBC791D">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27.2</w:t>
      </w:r>
      <w:r>
        <w:rPr>
          <w:rFonts w:cs="宋体"/>
          <w:bCs/>
          <w:color w:val="000000" w:themeColor="text1"/>
          <w:highlight w:val="none"/>
          <w14:textFill>
            <w14:solidFill>
              <w14:schemeClr w14:val="tx1"/>
            </w14:solidFill>
          </w14:textFill>
        </w:rPr>
        <w:t>甲方</w:t>
      </w:r>
      <w:r>
        <w:rPr>
          <w:rFonts w:cs="宋体"/>
          <w:color w:val="000000" w:themeColor="text1"/>
          <w:highlight w:val="none"/>
          <w14:textFill>
            <w14:solidFill>
              <w14:schemeClr w14:val="tx1"/>
            </w14:solidFill>
          </w14:textFill>
        </w:rPr>
        <w:t>无正当理由不按合同约定支付勘察、设计进度款的，除应支付本合同约定的勘察、设计进度款外，还应按人民银行同期活期存款利率给乙方计付该进度款拖欠期间的利息。</w:t>
      </w:r>
    </w:p>
    <w:p w14:paraId="113C8D55">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27.3</w:t>
      </w:r>
      <w:r>
        <w:rPr>
          <w:rFonts w:cs="宋体"/>
          <w:bCs/>
          <w:color w:val="000000" w:themeColor="text1"/>
          <w:highlight w:val="none"/>
          <w14:textFill>
            <w14:solidFill>
              <w14:schemeClr w14:val="tx1"/>
            </w14:solidFill>
          </w14:textFill>
        </w:rPr>
        <w:t>甲方</w:t>
      </w:r>
      <w:r>
        <w:rPr>
          <w:rFonts w:cs="宋体"/>
          <w:color w:val="000000" w:themeColor="text1"/>
          <w:highlight w:val="none"/>
          <w14:textFill>
            <w14:solidFill>
              <w14:schemeClr w14:val="tx1"/>
            </w14:solidFill>
          </w14:textFill>
        </w:rPr>
        <w:t>无正当理由不支付乙方勘察、设计竣工结算款的，除应支付乙方勘察、设计竣工结算款外，还应按人民银行同期活期存款利率给乙方计付该竣工结算款拖欠期间的利息。</w:t>
      </w:r>
    </w:p>
    <w:p w14:paraId="1764AA94">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27.4</w:t>
      </w:r>
      <w:r>
        <w:rPr>
          <w:rFonts w:cs="宋体"/>
          <w:color w:val="000000" w:themeColor="text1"/>
          <w:highlight w:val="none"/>
          <w14:textFill>
            <w14:solidFill>
              <w14:schemeClr w14:val="tx1"/>
            </w14:solidFill>
          </w14:textFill>
        </w:rPr>
        <w:t>甲方违约给乙方造成损失的，在乙方能够提交足够证据并经查证属实的情况下，相关责任单位应赔偿其直接经济损失。</w:t>
      </w:r>
    </w:p>
    <w:p w14:paraId="488D978D">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p>
    <w:p w14:paraId="3D806985">
      <w:pPr>
        <w:adjustRightInd w:val="0"/>
        <w:snapToGrid w:val="0"/>
        <w:spacing w:line="360" w:lineRule="auto"/>
        <w:ind w:firstLine="472" w:firstLineChars="196"/>
        <w:outlineLvl w:val="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28、乙方的违约责任</w:t>
      </w:r>
    </w:p>
    <w:p w14:paraId="2D40C7B7">
      <w:pPr>
        <w:pStyle w:val="13"/>
        <w:adjustRightInd w:val="0"/>
        <w:snapToGrid w:val="0"/>
        <w:spacing w:beforeAutospacing="0" w:afterAutospacing="0" w:line="360" w:lineRule="auto"/>
        <w:ind w:firstLine="482" w:firstLineChars="200"/>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28.1</w:t>
      </w:r>
      <w:r>
        <w:rPr>
          <w:rFonts w:cs="宋体"/>
          <w:color w:val="000000" w:themeColor="text1"/>
          <w:highlight w:val="none"/>
          <w14:textFill>
            <w14:solidFill>
              <w14:schemeClr w14:val="tx1"/>
            </w14:solidFill>
          </w14:textFill>
        </w:rPr>
        <w:t>乙方承担违约责任的方式包括但不限于：</w:t>
      </w:r>
    </w:p>
    <w:p w14:paraId="5B54BD2C">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）书面警告。乙方未履行、未按时或按质履行义务，或不执行甲方的指令时，甲方有权向乙方发出书面警告。乙方必须在书面警告限定的时间内按要求履行义务或执行指令，否则应承担</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次一般违约责任。</w:t>
      </w:r>
    </w:p>
    <w:p w14:paraId="0CDB9101">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）一般违约责任。乙方违反本合同的约定须承担一般违约责任时，必须向甲方交纳违约金</w:t>
      </w:r>
      <w:r>
        <w:rPr>
          <w:color w:val="000000" w:themeColor="text1"/>
          <w:highlight w:val="none"/>
          <w:u w:val="single"/>
          <w14:textFill>
            <w14:solidFill>
              <w14:schemeClr w14:val="tx1"/>
            </w14:solidFill>
          </w14:textFill>
        </w:rPr>
        <w:t>(</w:t>
      </w:r>
      <w:r>
        <w:rPr>
          <w:rFonts w:hint="eastAsia" w:ascii="MS Mincho" w:hAnsi="MS Mincho" w:cs="MS Mincho"/>
          <w:color w:val="000000" w:themeColor="text1"/>
          <w:highlight w:val="none"/>
          <w:u w:val="single"/>
          <w:lang w:eastAsia="zh-CN"/>
          <w14:textFill>
            <w14:solidFill>
              <w14:schemeClr w14:val="tx1"/>
            </w14:solidFill>
          </w14:textFill>
        </w:rPr>
        <w:t>□</w:t>
      </w:r>
      <w:r>
        <w:rPr>
          <w:color w:val="000000" w:themeColor="text1"/>
          <w:highlight w:val="none"/>
          <w:u w:val="single"/>
          <w14:textFill>
            <w14:solidFill>
              <w14:schemeClr w14:val="tx1"/>
            </w14:solidFill>
          </w14:textFill>
        </w:rPr>
        <w:t>3000</w:t>
      </w:r>
      <w:r>
        <w:rPr>
          <w:rFonts w:cs="宋体"/>
          <w:color w:val="000000" w:themeColor="text1"/>
          <w:highlight w:val="none"/>
          <w:u w:val="single"/>
          <w14:textFill>
            <w14:solidFill>
              <w14:schemeClr w14:val="tx1"/>
            </w14:solidFill>
          </w14:textFill>
        </w:rPr>
        <w:t>元</w:t>
      </w:r>
      <w:r>
        <w:rPr>
          <w:bCs/>
          <w:color w:val="000000" w:themeColor="text1"/>
          <w:highlight w:val="none"/>
          <w:u w:val="single"/>
          <w14:textFill>
            <w14:solidFill>
              <w14:schemeClr w14:val="tx1"/>
            </w14:solidFill>
          </w14:textFill>
        </w:rPr>
        <w:t>/次，</w:t>
      </w:r>
      <w:r>
        <w:rPr>
          <w:rFonts w:cs="宋体"/>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5000</w:t>
      </w:r>
      <w:r>
        <w:rPr>
          <w:rFonts w:cs="宋体"/>
          <w:color w:val="000000" w:themeColor="text1"/>
          <w:highlight w:val="none"/>
          <w:u w:val="single"/>
          <w14:textFill>
            <w14:solidFill>
              <w14:schemeClr w14:val="tx1"/>
            </w14:solidFill>
          </w14:textFill>
        </w:rPr>
        <w:t>元</w:t>
      </w:r>
      <w:r>
        <w:rPr>
          <w:bCs/>
          <w:color w:val="000000" w:themeColor="text1"/>
          <w:highlight w:val="none"/>
          <w:u w:val="single"/>
          <w14:textFill>
            <w14:solidFill>
              <w14:schemeClr w14:val="tx1"/>
            </w14:solidFill>
          </w14:textFill>
        </w:rPr>
        <w:t>/次，</w:t>
      </w:r>
      <w:r>
        <w:rPr>
          <w:rFonts w:hint="eastAsia" w:cs="宋体"/>
          <w:color w:val="000000" w:themeColor="text1"/>
          <w:highlight w:val="none"/>
          <w:u w:val="single"/>
          <w:lang w:eastAsia="zh-CN"/>
          <w14:textFill>
            <w14:solidFill>
              <w14:schemeClr w14:val="tx1"/>
            </w14:solidFill>
          </w14:textFill>
        </w:rPr>
        <w:t>☑</w:t>
      </w:r>
      <w:r>
        <w:rPr>
          <w:color w:val="000000" w:themeColor="text1"/>
          <w:highlight w:val="none"/>
          <w:u w:val="single"/>
          <w14:textFill>
            <w14:solidFill>
              <w14:schemeClr w14:val="tx1"/>
            </w14:solidFill>
          </w14:textFill>
        </w:rPr>
        <w:t>10000元</w:t>
      </w:r>
      <w:r>
        <w:rPr>
          <w:bCs/>
          <w:color w:val="000000" w:themeColor="text1"/>
          <w:highlight w:val="none"/>
          <w:u w:val="single"/>
          <w14:textFill>
            <w14:solidFill>
              <w14:schemeClr w14:val="tx1"/>
            </w14:solidFill>
          </w14:textFill>
        </w:rPr>
        <w:t>/次)</w:t>
      </w:r>
      <w:r>
        <w:rPr>
          <w:rFonts w:cs="宋体"/>
          <w:color w:val="000000" w:themeColor="text1"/>
          <w:highlight w:val="none"/>
          <w14:textFill>
            <w14:solidFill>
              <w14:schemeClr w14:val="tx1"/>
            </w14:solidFill>
          </w14:textFill>
        </w:rPr>
        <w:t>。</w:t>
      </w:r>
    </w:p>
    <w:p w14:paraId="2971F4BE">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）严重违约责任。乙方违反本合同的约定须承担严重违约责任时，必须向甲方交纳违约金</w:t>
      </w:r>
      <w:r>
        <w:rPr>
          <w:color w:val="000000" w:themeColor="text1"/>
          <w:highlight w:val="none"/>
          <w:u w:val="single"/>
          <w14:textFill>
            <w14:solidFill>
              <w14:schemeClr w14:val="tx1"/>
            </w14:solidFill>
          </w14:textFill>
        </w:rPr>
        <w:t>(</w:t>
      </w:r>
      <w:r>
        <w:rPr>
          <w:rFonts w:hint="eastAsia" w:ascii="MS Mincho" w:hAnsi="MS Mincho" w:cs="MS Mincho"/>
          <w:color w:val="000000" w:themeColor="text1"/>
          <w:highlight w:val="none"/>
          <w:u w:val="single"/>
          <w:lang w:eastAsia="zh-CN"/>
          <w14:textFill>
            <w14:solidFill>
              <w14:schemeClr w14:val="tx1"/>
            </w14:solidFill>
          </w14:textFill>
        </w:rPr>
        <w:t>□</w:t>
      </w:r>
      <w:r>
        <w:rPr>
          <w:color w:val="000000" w:themeColor="text1"/>
          <w:highlight w:val="none"/>
          <w:u w:val="single"/>
          <w14:textFill>
            <w14:solidFill>
              <w14:schemeClr w14:val="tx1"/>
            </w14:solidFill>
          </w14:textFill>
        </w:rPr>
        <w:t>10000</w:t>
      </w:r>
      <w:r>
        <w:rPr>
          <w:rFonts w:cs="宋体"/>
          <w:color w:val="000000" w:themeColor="text1"/>
          <w:highlight w:val="none"/>
          <w:u w:val="single"/>
          <w14:textFill>
            <w14:solidFill>
              <w14:schemeClr w14:val="tx1"/>
            </w14:solidFill>
          </w14:textFill>
        </w:rPr>
        <w:t>元</w:t>
      </w:r>
      <w:r>
        <w:rPr>
          <w:color w:val="000000" w:themeColor="text1"/>
          <w:highlight w:val="none"/>
          <w:u w:val="single"/>
          <w14:textFill>
            <w14:solidFill>
              <w14:schemeClr w14:val="tx1"/>
            </w14:solidFill>
          </w14:textFill>
        </w:rPr>
        <w:t>/</w:t>
      </w:r>
      <w:r>
        <w:rPr>
          <w:rFonts w:cs="宋体"/>
          <w:color w:val="000000" w:themeColor="text1"/>
          <w:highlight w:val="none"/>
          <w:u w:val="single"/>
          <w14:textFill>
            <w14:solidFill>
              <w14:schemeClr w14:val="tx1"/>
            </w14:solidFill>
          </w14:textFill>
        </w:rPr>
        <w:t>次，□</w:t>
      </w:r>
      <w:r>
        <w:rPr>
          <w:color w:val="000000" w:themeColor="text1"/>
          <w:highlight w:val="none"/>
          <w:u w:val="single"/>
          <w14:textFill>
            <w14:solidFill>
              <w14:schemeClr w14:val="tx1"/>
            </w14:solidFill>
          </w14:textFill>
        </w:rPr>
        <w:t>20000</w:t>
      </w:r>
      <w:r>
        <w:rPr>
          <w:rFonts w:cs="宋体"/>
          <w:color w:val="000000" w:themeColor="text1"/>
          <w:highlight w:val="none"/>
          <w:u w:val="single"/>
          <w14:textFill>
            <w14:solidFill>
              <w14:schemeClr w14:val="tx1"/>
            </w14:solidFill>
          </w14:textFill>
        </w:rPr>
        <w:t>元</w:t>
      </w:r>
      <w:r>
        <w:rPr>
          <w:color w:val="000000" w:themeColor="text1"/>
          <w:highlight w:val="none"/>
          <w:u w:val="single"/>
          <w14:textFill>
            <w14:solidFill>
              <w14:schemeClr w14:val="tx1"/>
            </w14:solidFill>
          </w14:textFill>
        </w:rPr>
        <w:t>/</w:t>
      </w:r>
      <w:r>
        <w:rPr>
          <w:rFonts w:cs="宋体"/>
          <w:color w:val="000000" w:themeColor="text1"/>
          <w:highlight w:val="none"/>
          <w:u w:val="single"/>
          <w14:textFill>
            <w14:solidFill>
              <w14:schemeClr w14:val="tx1"/>
            </w14:solidFill>
          </w14:textFill>
        </w:rPr>
        <w:t>次，</w:t>
      </w:r>
      <w:r>
        <w:rPr>
          <w:rFonts w:hint="eastAsia" w:cs="宋体"/>
          <w:color w:val="000000" w:themeColor="text1"/>
          <w:highlight w:val="none"/>
          <w:u w:val="single"/>
          <w:lang w:eastAsia="zh-CN"/>
          <w14:textFill>
            <w14:solidFill>
              <w14:schemeClr w14:val="tx1"/>
            </w14:solidFill>
          </w14:textFill>
        </w:rPr>
        <w:t>☑</w:t>
      </w:r>
      <w:r>
        <w:rPr>
          <w:color w:val="000000" w:themeColor="text1"/>
          <w:highlight w:val="none"/>
          <w:u w:val="single"/>
          <w14:textFill>
            <w14:solidFill>
              <w14:schemeClr w14:val="tx1"/>
            </w14:solidFill>
          </w14:textFill>
        </w:rPr>
        <w:t>30000元/</w:t>
      </w:r>
      <w:r>
        <w:rPr>
          <w:rFonts w:cs="宋体"/>
          <w:color w:val="000000" w:themeColor="text1"/>
          <w:highlight w:val="none"/>
          <w:u w:val="single"/>
          <w14:textFill>
            <w14:solidFill>
              <w14:schemeClr w14:val="tx1"/>
            </w14:solidFill>
          </w14:textFill>
        </w:rPr>
        <w:t>次</w:t>
      </w:r>
      <w:r>
        <w:rPr>
          <w:color w:val="000000" w:themeColor="text1"/>
          <w:highlight w:val="none"/>
          <w:u w:val="single"/>
          <w14:textFill>
            <w14:solidFill>
              <w14:schemeClr w14:val="tx1"/>
            </w14:solidFill>
          </w14:textFill>
        </w:rPr>
        <w:t>)</w:t>
      </w:r>
      <w:r>
        <w:rPr>
          <w:rFonts w:cs="宋体"/>
          <w:color w:val="000000" w:themeColor="text1"/>
          <w:highlight w:val="none"/>
          <w14:textFill>
            <w14:solidFill>
              <w14:schemeClr w14:val="tx1"/>
            </w14:solidFill>
          </w14:textFill>
        </w:rPr>
        <w:t>。</w:t>
      </w:r>
    </w:p>
    <w:p w14:paraId="500D5EC8">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cs="宋体"/>
          <w:color w:val="000000" w:themeColor="text1"/>
          <w:highlight w:val="none"/>
          <w14:textFill>
            <w14:solidFill>
              <w14:schemeClr w14:val="tx1"/>
            </w14:solidFill>
          </w14:textFill>
        </w:rPr>
        <w:t>）赔偿损失。因乙方原因造成甲方经济损失的，乙方应赔偿甲方的全部直接和间接经济损失。</w:t>
      </w:r>
    </w:p>
    <w:p w14:paraId="40D9AA80">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）部分解除合同。当乙方违反本合同的约定达到部分解除合同的条件时，甲方有权向乙方发出书面部分解除合同的通知，该通知在送达乙方时即生效。乙方应在该通知生效之日起五天内向甲方支付本合同价款</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14:paraId="00F6197D">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cs="宋体"/>
          <w:color w:val="000000" w:themeColor="text1"/>
          <w:highlight w:val="none"/>
          <w14:textFill>
            <w14:solidFill>
              <w14:schemeClr w14:val="tx1"/>
            </w14:solidFill>
          </w14:textFill>
        </w:rPr>
        <w:t>）解除合同。当乙方违反本合同的约定符合解除合同的条件时，甲方有权向乙方发出书面解除合同的通知，该通知在送达乙方时即生效。乙方应在该通知生效之日起五天内向甲方支付本合同技术设计费</w:t>
      </w:r>
      <w:r>
        <w:rPr>
          <w:color w:val="000000" w:themeColor="text1"/>
          <w:highlight w:val="none"/>
          <w14:textFill>
            <w14:solidFill>
              <w14:schemeClr w14:val="tx1"/>
            </w14:solidFill>
          </w14:textFill>
        </w:rPr>
        <w:t>30%</w:t>
      </w:r>
      <w:r>
        <w:rPr>
          <w:rFonts w:cs="宋体"/>
          <w:color w:val="000000" w:themeColor="text1"/>
          <w:highlight w:val="none"/>
          <w14:textFill>
            <w14:solidFill>
              <w14:schemeClr w14:val="tx1"/>
            </w14:solidFill>
          </w14:textFill>
        </w:rPr>
        <w:t>的违约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14:paraId="0C5A6168">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）乙方按本合同约定应缴纳的违约金和赔偿金应分别计算。违约金累计总额不超过本合同结算价款的</w:t>
      </w:r>
      <w:r>
        <w:rPr>
          <w:color w:val="000000" w:themeColor="text1"/>
          <w:highlight w:val="none"/>
          <w14:textFill>
            <w14:solidFill>
              <w14:schemeClr w14:val="tx1"/>
            </w14:solidFill>
          </w14:textFill>
        </w:rPr>
        <w:t>25%</w:t>
      </w:r>
      <w:r>
        <w:rPr>
          <w:rFonts w:cs="宋体"/>
          <w:color w:val="000000" w:themeColor="text1"/>
          <w:highlight w:val="none"/>
          <w14:textFill>
            <w14:solidFill>
              <w14:schemeClr w14:val="tx1"/>
            </w14:solidFill>
          </w14:textFill>
        </w:rPr>
        <w:t>，如违约金不足以弥补给甲方造成的损失的，乙方应赔偿甲方的损失。</w:t>
      </w:r>
    </w:p>
    <w:p w14:paraId="41B2D71F">
      <w:pPr>
        <w:pStyle w:val="13"/>
        <w:adjustRightInd w:val="0"/>
        <w:snapToGrid w:val="0"/>
        <w:spacing w:beforeAutospacing="0" w:afterAutospacing="0" w:line="360" w:lineRule="auto"/>
        <w:ind w:firstLine="482" w:firstLineChars="200"/>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28.2</w:t>
      </w:r>
      <w:r>
        <w:rPr>
          <w:rFonts w:cs="宋体"/>
          <w:color w:val="000000" w:themeColor="text1"/>
          <w:highlight w:val="none"/>
          <w14:textFill>
            <w14:solidFill>
              <w14:schemeClr w14:val="tx1"/>
            </w14:solidFill>
          </w14:textFill>
        </w:rPr>
        <w:t>乙方承担书面警告累计达</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次的，另行追加一般违约责任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次；乙方承担一般违约责任累计达</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次的，另行追加严重违约责任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次；乙方累计承担严重违约责任达</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次的，甲方有权单方面部分解除合同或解除合同。</w:t>
      </w:r>
    </w:p>
    <w:p w14:paraId="3A2DCB26">
      <w:pPr>
        <w:pStyle w:val="13"/>
        <w:adjustRightInd w:val="0"/>
        <w:snapToGrid w:val="0"/>
        <w:spacing w:beforeAutospacing="0" w:afterAutospacing="0" w:line="360" w:lineRule="auto"/>
        <w:ind w:firstLine="482" w:firstLineChars="200"/>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28.3</w:t>
      </w:r>
      <w:r>
        <w:rPr>
          <w:rFonts w:cs="宋体"/>
          <w:color w:val="000000" w:themeColor="text1"/>
          <w:highlight w:val="none"/>
          <w14:textFill>
            <w14:solidFill>
              <w14:schemeClr w14:val="tx1"/>
            </w14:solidFill>
          </w14:textFill>
        </w:rPr>
        <w:t>乙方违约需向甲方支付违约金、赔偿金时，按本合同条款第</w:t>
      </w:r>
      <w:r>
        <w:rPr>
          <w:color w:val="000000" w:themeColor="text1"/>
          <w:highlight w:val="none"/>
          <w14:textFill>
            <w14:solidFill>
              <w14:schemeClr w14:val="tx1"/>
            </w14:solidFill>
          </w14:textFill>
        </w:rPr>
        <w:t>29</w:t>
      </w:r>
      <w:r>
        <w:rPr>
          <w:rFonts w:cs="宋体"/>
          <w:color w:val="000000" w:themeColor="text1"/>
          <w:highlight w:val="none"/>
          <w14:textFill>
            <w14:solidFill>
              <w14:schemeClr w14:val="tx1"/>
            </w14:solidFill>
          </w14:textFill>
        </w:rPr>
        <w:t>条约定的索赔方式执行。必要时，甲方有权书面通知乙方交纳或从应支付乙方的勘察、设计费中直接扣除，结算时不予退还，乙方不得有任何异议。甲方通知乙方交纳的，乙方必须在甲方规定的时间内主动交纳；逾期交纳的，甲方有权按逾期天数每天加收逾期交纳金额</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‰的逾期违约金。</w:t>
      </w:r>
    </w:p>
    <w:p w14:paraId="775B2AAF">
      <w:pPr>
        <w:pStyle w:val="13"/>
        <w:adjustRightInd w:val="0"/>
        <w:snapToGrid w:val="0"/>
        <w:spacing w:beforeAutospacing="0" w:afterAutospacing="0" w:line="360" w:lineRule="auto"/>
        <w:ind w:firstLine="482" w:firstLineChars="200"/>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28.4</w:t>
      </w:r>
      <w:r>
        <w:rPr>
          <w:rFonts w:cs="宋体"/>
          <w:color w:val="000000" w:themeColor="text1"/>
          <w:highlight w:val="none"/>
          <w14:textFill>
            <w14:solidFill>
              <w14:schemeClr w14:val="tx1"/>
            </w14:solidFill>
          </w14:textFill>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14:paraId="5CD5FEE6">
      <w:pPr>
        <w:pStyle w:val="13"/>
        <w:adjustRightInd w:val="0"/>
        <w:snapToGrid w:val="0"/>
        <w:spacing w:beforeAutospacing="0" w:afterAutospacing="0" w:line="360" w:lineRule="auto"/>
        <w:ind w:firstLine="482" w:firstLineChars="200"/>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28.5</w:t>
      </w:r>
      <w:r>
        <w:rPr>
          <w:rFonts w:cs="宋体"/>
          <w:color w:val="000000" w:themeColor="text1"/>
          <w:highlight w:val="none"/>
          <w14:textFill>
            <w14:solidFill>
              <w14:schemeClr w14:val="tx1"/>
            </w14:solidFill>
          </w14:textFill>
        </w:rPr>
        <w:t>勘察、设计管理、服务方面的违约责任</w:t>
      </w:r>
    </w:p>
    <w:p w14:paraId="7B13761D">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outlineLvl w:val="9"/>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）乙方在本合同工程勘察、设计招投标或履行合同过程中贿赂甲方人员或建设项目有关主管人员的，视为不正当竞争并承担严重违约</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次。情节特别严重的，甲方有权单方面解除合同。涉嫌犯罪的，移交司法部门处理。</w:t>
      </w:r>
    </w:p>
    <w:p w14:paraId="485D9372">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）乙方单方面终止或解除本合同的，应参照本合同条款第</w:t>
      </w:r>
      <w:r>
        <w:rPr>
          <w:color w:val="000000" w:themeColor="text1"/>
          <w:highlight w:val="none"/>
          <w14:textFill>
            <w14:solidFill>
              <w14:schemeClr w14:val="tx1"/>
            </w14:solidFill>
          </w14:textFill>
        </w:rPr>
        <w:t>28.1(6)</w:t>
      </w:r>
      <w:r>
        <w:rPr>
          <w:rFonts w:cs="宋体"/>
          <w:color w:val="000000" w:themeColor="text1"/>
          <w:highlight w:val="none"/>
          <w14:textFill>
            <w14:solidFill>
              <w14:schemeClr w14:val="tx1"/>
            </w14:solidFill>
          </w14:textFill>
        </w:rPr>
        <w:t>款的所约定的标准向甲方支付本合同技术设计费</w:t>
      </w:r>
      <w:r>
        <w:rPr>
          <w:color w:val="000000" w:themeColor="text1"/>
          <w:highlight w:val="none"/>
          <w14:textFill>
            <w14:solidFill>
              <w14:schemeClr w14:val="tx1"/>
            </w14:solidFill>
          </w14:textFill>
        </w:rPr>
        <w:t>30%</w:t>
      </w:r>
      <w:r>
        <w:rPr>
          <w:rFonts w:cs="宋体"/>
          <w:color w:val="000000" w:themeColor="text1"/>
          <w:highlight w:val="none"/>
          <w14:textFill>
            <w14:solidFill>
              <w14:schemeClr w14:val="tx1"/>
            </w14:solidFill>
          </w14:textFill>
        </w:rPr>
        <w:t>的违约金并赔偿损失。</w:t>
      </w:r>
    </w:p>
    <w:p w14:paraId="1D549CE0">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）乙方未能按合同约定投入人员或投入人员没有按时到位的人员为一般勘察、设计人员的，每出现</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人次，乙方承担一般违约责任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次；如该没有投入或者没有按时到位的人员为勘察、设计专业负责人的，每出现</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人次，乙方承担严重违约责任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次。乙方要求更换人员的，按本合同条款第</w:t>
      </w:r>
      <w:r>
        <w:rPr>
          <w:color w:val="000000" w:themeColor="text1"/>
          <w:highlight w:val="none"/>
          <w14:textFill>
            <w14:solidFill>
              <w14:schemeClr w14:val="tx1"/>
            </w14:solidFill>
          </w14:textFill>
        </w:rPr>
        <w:t>28.5(6)</w:t>
      </w:r>
      <w:r>
        <w:rPr>
          <w:rFonts w:cs="宋体"/>
          <w:color w:val="000000" w:themeColor="text1"/>
          <w:highlight w:val="none"/>
          <w14:textFill>
            <w14:solidFill>
              <w14:schemeClr w14:val="tx1"/>
            </w14:solidFill>
          </w14:textFill>
        </w:rPr>
        <w:t>款的约定执行。乙方在甲方规定的宽限期内仍未将人员投入到位的，甲方有权另请他人接替其工作，另请他人的费用从应支付给乙方的勘察、设计费中扣减，乙方不得提出任何异议。</w:t>
      </w:r>
    </w:p>
    <w:p w14:paraId="297EB719">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cs="宋体"/>
          <w:color w:val="000000" w:themeColor="text1"/>
          <w:highlight w:val="none"/>
          <w14:textFill>
            <w14:solidFill>
              <w14:schemeClr w14:val="tx1"/>
            </w14:solidFill>
          </w14:textFill>
        </w:rPr>
        <w:t>）乙方纳入甲方统一管理的勘察、设计服务人员（含现场服务人员）不遵守甲方管理制度或者工作不称职的，甲方有权发出书面警告，乙方必须在甲方规定的时间内予以更换。到期不更换的，视为乙方未能按合同约定投入人员，参照本合同条款第</w:t>
      </w:r>
      <w:r>
        <w:rPr>
          <w:color w:val="000000" w:themeColor="text1"/>
          <w:highlight w:val="none"/>
          <w14:textFill>
            <w14:solidFill>
              <w14:schemeClr w14:val="tx1"/>
            </w14:solidFill>
          </w14:textFill>
        </w:rPr>
        <w:t>28.5(3)</w:t>
      </w:r>
      <w:r>
        <w:rPr>
          <w:rFonts w:cs="宋体"/>
          <w:color w:val="000000" w:themeColor="text1"/>
          <w:highlight w:val="none"/>
          <w14:textFill>
            <w14:solidFill>
              <w14:schemeClr w14:val="tx1"/>
            </w14:solidFill>
          </w14:textFill>
        </w:rPr>
        <w:t>款的约定执行。</w:t>
      </w:r>
    </w:p>
    <w:p w14:paraId="74BA4E63">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）按合同约定投入的专为本合同工程服务的乙方驻场设计人员参与其他工程工作的，每发现一人次，视为乙方未能按合同约定投入人员，参照本合同条款第</w:t>
      </w:r>
      <w:r>
        <w:rPr>
          <w:color w:val="000000" w:themeColor="text1"/>
          <w:highlight w:val="none"/>
          <w14:textFill>
            <w14:solidFill>
              <w14:schemeClr w14:val="tx1"/>
            </w14:solidFill>
          </w14:textFill>
        </w:rPr>
        <w:t xml:space="preserve">28.5(3) </w:t>
      </w:r>
      <w:r>
        <w:rPr>
          <w:rFonts w:cs="宋体"/>
          <w:color w:val="000000" w:themeColor="text1"/>
          <w:highlight w:val="none"/>
          <w14:textFill>
            <w14:solidFill>
              <w14:schemeClr w14:val="tx1"/>
            </w14:solidFill>
          </w14:textFill>
        </w:rPr>
        <w:t>款的约定执行。</w:t>
      </w:r>
    </w:p>
    <w:p w14:paraId="747180D3">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cs="宋体"/>
          <w:color w:val="000000" w:themeColor="text1"/>
          <w:highlight w:val="none"/>
          <w14:textFill>
            <w14:solidFill>
              <w14:schemeClr w14:val="tx1"/>
            </w14:solidFill>
          </w14:textFill>
        </w:rPr>
        <w:t>）在本合同履行期内乙方要求更换人员的，按以下约定处理：</w:t>
      </w:r>
    </w:p>
    <w:p w14:paraId="35BE0FDB">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）未经甲方同意的，更换一般勘察、设计人员须向甲方支付违约金</w:t>
      </w:r>
      <w:r>
        <w:rPr>
          <w:rFonts w:hint="default" w:cs="宋体"/>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万元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人次；更换专业勘察、设计负责人须向甲方支付违约金</w:t>
      </w:r>
      <w:r>
        <w:rPr>
          <w:rFonts w:hint="default" w:cs="宋体"/>
          <w:color w:val="000000" w:themeColor="text1"/>
          <w:highlight w:val="none"/>
          <w14:textFill>
            <w14:solidFill>
              <w14:schemeClr w14:val="tx1"/>
            </w14:solidFill>
          </w14:textFill>
        </w:rPr>
        <w:t>15</w:t>
      </w:r>
      <w:r>
        <w:rPr>
          <w:rFonts w:cs="宋体"/>
          <w:color w:val="000000" w:themeColor="text1"/>
          <w:highlight w:val="none"/>
          <w14:textFill>
            <w14:solidFill>
              <w14:schemeClr w14:val="tx1"/>
            </w14:solidFill>
          </w14:textFill>
        </w:rPr>
        <w:t>万元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人次；更换项目勘察、设计总负责人、勘察、设计总承包管理负责人或者驻场勘察、设计代表总负责人须向甲方支付违约金</w:t>
      </w:r>
      <w:r>
        <w:rPr>
          <w:rFonts w:hint="default" w:cs="宋体"/>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5万元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人次。</w:t>
      </w:r>
    </w:p>
    <w:p w14:paraId="1ADF096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因特殊理由（如伤亡或重大疾病，或离职无法继续履职，或勘察、设计人员被吊销相关资质，或其他经监理人及委托人认可的属乙方无法预见、无法控制的合理事由）</w:t>
      </w:r>
      <w:r>
        <w:rPr>
          <w:rFonts w:hint="eastAsia" w:ascii="宋体" w:hAnsi="宋体" w:eastAsia="宋体" w:cs="宋体"/>
          <w:color w:val="000000" w:themeColor="text1"/>
          <w:sz w:val="24"/>
          <w:szCs w:val="24"/>
          <w:highlight w:val="none"/>
          <w14:textFill>
            <w14:solidFill>
              <w14:schemeClr w14:val="tx1"/>
            </w14:solidFill>
          </w14:textFill>
        </w:rPr>
        <w:t>造成勘察设计人员岗位空缺的，乙方必须在出现空缺之日起五日内按照投标文件承诺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且不低于原先投入人员资历</w:t>
      </w:r>
      <w:r>
        <w:rPr>
          <w:rFonts w:hint="eastAsia" w:ascii="宋体" w:hAnsi="宋体" w:eastAsia="宋体" w:cs="宋体"/>
          <w:color w:val="000000" w:themeColor="text1"/>
          <w:sz w:val="24"/>
          <w:szCs w:val="24"/>
          <w:highlight w:val="none"/>
          <w14:textFill>
            <w14:solidFill>
              <w14:schemeClr w14:val="tx1"/>
            </w14:solidFill>
          </w14:textFill>
        </w:rPr>
        <w:t>的标准予以补充，但无须向甲方支付违约金。逾期未予补充或补充人员不符合投标文件承诺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、低于原先投入人员资历</w:t>
      </w:r>
      <w:r>
        <w:rPr>
          <w:rFonts w:hint="eastAsia" w:ascii="宋体" w:hAnsi="宋体" w:eastAsia="宋体" w:cs="宋体"/>
          <w:color w:val="000000" w:themeColor="text1"/>
          <w:sz w:val="24"/>
          <w:szCs w:val="24"/>
          <w:highlight w:val="none"/>
          <w14:textFill>
            <w14:solidFill>
              <w14:schemeClr w14:val="tx1"/>
            </w14:solidFill>
          </w14:textFill>
        </w:rPr>
        <w:t>标准的，视作乙方未能按照合同约定投入勘察设计人员，参照本合同条款第28.5(3)款的约定执行。</w:t>
      </w:r>
    </w:p>
    <w:p w14:paraId="6A01DFDA">
      <w:pPr>
        <w:adjustRightInd w:val="0"/>
        <w:snapToGrid w:val="0"/>
        <w:spacing w:line="360" w:lineRule="auto"/>
        <w:ind w:right="11"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3D7554A3">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）乙方应支持、服从甲方的管理工作，对甲方的指令和书面通知，若无正当理由又未提前报告、得到认可，而公开或变相拒不执行的，第一次承担一般违约责任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次；第二次及以后，每发生一次承担严重违约</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次，情节特别严重的，甲方有权部分解除合同或解除合同。给甲方造成损失的，乙方应赔偿甲方的全部损失。</w:t>
      </w:r>
    </w:p>
    <w:p w14:paraId="51427E83">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8</w:t>
      </w:r>
      <w:r>
        <w:rPr>
          <w:rFonts w:cs="宋体"/>
          <w:color w:val="000000" w:themeColor="text1"/>
          <w:highlight w:val="none"/>
          <w14:textFill>
            <w14:solidFill>
              <w14:schemeClr w14:val="tx1"/>
            </w14:solidFill>
          </w14:textFill>
        </w:rPr>
        <w:t>）乙方未遵守甲方依据合同条款总则第二条约定所制订的各项制度、规定的，由乙方按所涉及的制度、规定的有关规定承担责任。所涉及的制度、规定没有明确规定的，视作不服从甲方的管理工作，参照本合同条款第</w:t>
      </w:r>
      <w:r>
        <w:rPr>
          <w:color w:val="000000" w:themeColor="text1"/>
          <w:highlight w:val="none"/>
          <w14:textFill>
            <w14:solidFill>
              <w14:schemeClr w14:val="tx1"/>
            </w14:solidFill>
          </w14:textFill>
        </w:rPr>
        <w:t>28.5(7)</w:t>
      </w:r>
      <w:r>
        <w:rPr>
          <w:rFonts w:cs="宋体"/>
          <w:color w:val="000000" w:themeColor="text1"/>
          <w:highlight w:val="none"/>
          <w14:textFill>
            <w14:solidFill>
              <w14:schemeClr w14:val="tx1"/>
            </w14:solidFill>
          </w14:textFill>
        </w:rPr>
        <w:t>款的约定处理。</w:t>
      </w:r>
    </w:p>
    <w:p w14:paraId="6309CB15">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w:t>
      </w:r>
      <w:r>
        <w:rPr>
          <w:rFonts w:cs="宋体"/>
          <w:color w:val="000000" w:themeColor="text1"/>
          <w:highlight w:val="none"/>
          <w14:textFill>
            <w14:solidFill>
              <w14:schemeClr w14:val="tx1"/>
            </w14:solidFill>
          </w14:textFill>
        </w:rPr>
        <w:t>）乙方未按合同约定做好勘察、设计总承包管理或配合协调工作，经施工图审查单位或甲方发出限期改正通知或书面警告后</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天内，乙方仍未能整改至令施工图审查单位或甲方满意的，视作不服从甲方的管理工作，参照本合同条款第</w:t>
      </w:r>
      <w:r>
        <w:rPr>
          <w:color w:val="000000" w:themeColor="text1"/>
          <w:highlight w:val="none"/>
          <w14:textFill>
            <w14:solidFill>
              <w14:schemeClr w14:val="tx1"/>
            </w14:solidFill>
          </w14:textFill>
        </w:rPr>
        <w:t>28.5(7)</w:t>
      </w:r>
      <w:r>
        <w:rPr>
          <w:rFonts w:cs="宋体"/>
          <w:color w:val="000000" w:themeColor="text1"/>
          <w:highlight w:val="none"/>
          <w14:textFill>
            <w14:solidFill>
              <w14:schemeClr w14:val="tx1"/>
            </w14:solidFill>
          </w14:textFill>
        </w:rPr>
        <w:t>款的约定处理。</w:t>
      </w:r>
    </w:p>
    <w:p w14:paraId="338257DC">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次一般违约责任。</w:t>
      </w:r>
    </w:p>
    <w:p w14:paraId="7743FDD4">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11</w:t>
      </w:r>
      <w:r>
        <w:rPr>
          <w:rFonts w:cs="宋体"/>
          <w:color w:val="000000" w:themeColor="text1"/>
          <w:highlight w:val="none"/>
          <w14:textFill>
            <w14:solidFill>
              <w14:schemeClr w14:val="tx1"/>
            </w14:solidFill>
          </w14:textFill>
        </w:rPr>
        <w:t>）乙方未能按合同约定及时提供招标配合服务，或其招标配合服务未能达到合同约定的要求，或其提供的服务不能达到令甲方满意的程度的，导致甲方的招标工作不能按时顺利进行的，每确认</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次，乙方承担一般违约责任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w:t>
      </w:r>
    </w:p>
    <w:p w14:paraId="0987E962">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12</w:t>
      </w:r>
      <w:r>
        <w:rPr>
          <w:rFonts w:cs="宋体"/>
          <w:color w:val="000000" w:themeColor="text1"/>
          <w:highlight w:val="none"/>
          <w14:textFill>
            <w14:solidFill>
              <w14:schemeClr w14:val="tx1"/>
            </w14:solidFill>
          </w14:textFill>
        </w:rPr>
        <w:t>）因乙方未按时按质地提供本合同条款第</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条、第</w:t>
      </w:r>
      <w:r>
        <w:rPr>
          <w:color w:val="000000" w:themeColor="text1"/>
          <w:highlight w:val="none"/>
          <w14:textFill>
            <w14:solidFill>
              <w14:schemeClr w14:val="tx1"/>
            </w14:solidFill>
          </w14:textFill>
        </w:rPr>
        <w:t>18</w:t>
      </w:r>
      <w:r>
        <w:rPr>
          <w:rFonts w:cs="宋体"/>
          <w:color w:val="000000" w:themeColor="text1"/>
          <w:highlight w:val="none"/>
          <w14:textFill>
            <w14:solidFill>
              <w14:schemeClr w14:val="tx1"/>
            </w14:solidFill>
          </w14:textFill>
        </w:rPr>
        <w:t>条等约定的各项勘察、设计服务，导致本合同工程建安费用增加的，乙方按以下公式计算向甲方支付的违约金：</w:t>
      </w:r>
    </w:p>
    <w:p w14:paraId="06ED5F37">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违约金 = A ×（B / C）× 2</w:t>
      </w:r>
    </w:p>
    <w:p w14:paraId="2B2054C9">
      <w:pPr>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其中：A-实际增加的建安工程费；</w:t>
      </w:r>
    </w:p>
    <w:p w14:paraId="44381D79">
      <w:pPr>
        <w:adjustRightInd w:val="0"/>
        <w:snapToGrid w:val="0"/>
        <w:spacing w:line="360" w:lineRule="auto"/>
        <w:ind w:firstLine="1200" w:firstLineChars="5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B-本合同设计收费（包括工程设计费及其它收费）总额（即设计收费签约价）；</w:t>
      </w:r>
    </w:p>
    <w:p w14:paraId="265F2A73">
      <w:pPr>
        <w:adjustRightInd w:val="0"/>
        <w:snapToGrid w:val="0"/>
        <w:spacing w:line="360" w:lineRule="auto"/>
        <w:ind w:firstLine="1200" w:firstLineChars="5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C-本合同工程审定工程设计概算建安工程费总额。</w:t>
      </w:r>
    </w:p>
    <w:p w14:paraId="532FDB5F">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13</w:t>
      </w:r>
      <w:r>
        <w:rPr>
          <w:rFonts w:cs="宋体"/>
          <w:color w:val="000000" w:themeColor="text1"/>
          <w:highlight w:val="none"/>
          <w14:textFill>
            <w14:solidFill>
              <w14:schemeClr w14:val="tx1"/>
            </w14:solidFill>
          </w14:textFill>
        </w:rPr>
        <w:t>）乙方未能按合同约定投入足够的人员、设备、设施满足本合同条款第</w:t>
      </w:r>
      <w:r>
        <w:rPr>
          <w:color w:val="000000" w:themeColor="text1"/>
          <w:highlight w:val="none"/>
          <w14:textFill>
            <w14:solidFill>
              <w14:schemeClr w14:val="tx1"/>
            </w14:solidFill>
          </w14:textFill>
        </w:rPr>
        <w:t>24</w:t>
      </w:r>
      <w:r>
        <w:rPr>
          <w:rFonts w:cs="宋体"/>
          <w:color w:val="000000" w:themeColor="text1"/>
          <w:highlight w:val="none"/>
          <w14:textFill>
            <w14:solidFill>
              <w14:schemeClr w14:val="tx1"/>
            </w14:solidFill>
          </w14:textFill>
        </w:rPr>
        <w:t>条约定的信息化管理要求的，视作不服从甲方的管理工作，参照本合同条款第</w:t>
      </w:r>
      <w:r>
        <w:rPr>
          <w:color w:val="000000" w:themeColor="text1"/>
          <w:highlight w:val="none"/>
          <w14:textFill>
            <w14:solidFill>
              <w14:schemeClr w14:val="tx1"/>
            </w14:solidFill>
          </w14:textFill>
        </w:rPr>
        <w:t>28.5(7)</w:t>
      </w:r>
      <w:r>
        <w:rPr>
          <w:rFonts w:cs="宋体"/>
          <w:color w:val="000000" w:themeColor="text1"/>
          <w:highlight w:val="none"/>
          <w14:textFill>
            <w14:solidFill>
              <w14:schemeClr w14:val="tx1"/>
            </w14:solidFill>
          </w14:textFill>
        </w:rPr>
        <w:t>款的约定执行。</w:t>
      </w:r>
    </w:p>
    <w:p w14:paraId="57D1EF90">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14</w:t>
      </w:r>
      <w:r>
        <w:rPr>
          <w:rFonts w:cs="宋体"/>
          <w:color w:val="000000" w:themeColor="text1"/>
          <w:highlight w:val="none"/>
          <w14:textFill>
            <w14:solidFill>
              <w14:schemeClr w14:val="tx1"/>
            </w14:solidFill>
          </w14:textFill>
        </w:rPr>
        <w:t>）如乙方违反合同协议书第</w:t>
      </w:r>
      <w:r>
        <w:rPr>
          <w:color w:val="000000" w:themeColor="text1"/>
          <w:highlight w:val="none"/>
          <w14:textFill>
            <w14:solidFill>
              <w14:schemeClr w14:val="tx1"/>
            </w14:solidFill>
          </w14:textFill>
        </w:rPr>
        <w:t>6</w:t>
      </w:r>
      <w:r>
        <w:rPr>
          <w:rFonts w:cs="宋体"/>
          <w:color w:val="000000" w:themeColor="text1"/>
          <w:highlight w:val="none"/>
          <w14:textFill>
            <w14:solidFill>
              <w14:schemeClr w14:val="tx1"/>
            </w14:solidFill>
          </w14:textFill>
        </w:rPr>
        <w:t>条、第</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条的约定，未在相关信息发生变化时及时将变更情况书面通知甲方的，经甲方每确认</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次，乙方承担</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次一般违约责任。</w:t>
      </w:r>
    </w:p>
    <w:p w14:paraId="7E1181A5">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b/>
          <w:color w:val="000000" w:themeColor="text1"/>
          <w:highlight w:val="none"/>
          <w:u w:val="singl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15</w:t>
      </w:r>
      <w:r>
        <w:rPr>
          <w:rFonts w:cs="宋体"/>
          <w:color w:val="000000" w:themeColor="text1"/>
          <w:highlight w:val="none"/>
          <w14:textFill>
            <w14:solidFill>
              <w14:schemeClr w14:val="tx1"/>
            </w14:solidFill>
          </w14:textFill>
        </w:rPr>
        <w:t>）如乙方违反投标时的承诺，推卸履行相关专业工程施工图设计及专业工程招标需求书编制工作义务的，经甲方每确认</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次，乙方承担</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次一般违约责任；拒不改正的，甲方有权单方解除合同，由此给甲方造成损失的，乙方应赔偿甲方的全部损失。</w:t>
      </w:r>
    </w:p>
    <w:p w14:paraId="67AB323C">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b/>
          <w:color w:val="000000" w:themeColor="text1"/>
          <w:highlight w:val="none"/>
          <w:u w:val="singl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16</w:t>
      </w:r>
      <w:r>
        <w:rPr>
          <w:rFonts w:cs="宋体"/>
          <w:color w:val="000000" w:themeColor="text1"/>
          <w:highlight w:val="none"/>
          <w14:textFill>
            <w14:solidFill>
              <w14:schemeClr w14:val="tx1"/>
            </w14:solidFill>
          </w14:textFill>
        </w:rPr>
        <w:t>）乙方未及时提供本合同约定的各项服务，或提供的服务未能达到合同约定的要求或不能达到令甲方满意的程度，影响报建、设计变更等相关工作或流程推进的，经甲方每确认</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次，乙方承担一般违约责任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次。给甲方造成损失的，乙方应赔偿甲方的全部损失。</w:t>
      </w:r>
    </w:p>
    <w:p w14:paraId="68F0A0F3">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28.6</w:t>
      </w:r>
      <w:r>
        <w:rPr>
          <w:rFonts w:cs="宋体"/>
          <w:color w:val="000000" w:themeColor="text1"/>
          <w:highlight w:val="none"/>
          <w14:textFill>
            <w14:solidFill>
              <w14:schemeClr w14:val="tx1"/>
            </w14:solidFill>
          </w14:textFill>
        </w:rPr>
        <w:t>勘察、设计成果文件方面的违约责任：</w:t>
      </w:r>
    </w:p>
    <w:p w14:paraId="594C1F39">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）乙方未能按本合同约定的时间或甲方审核同意的勘察、设计进度各类计划要求各阶段提交的勘察、设计成果文件的。逾期</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天以内（或累计达</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天以上</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天以内）的，乙方按</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万元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天向甲方支付违约金，违约金不足以弥补甲方损失的，乙方应继续赔偿；逾期</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天以上（或累计达</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天以上）的，乙方按</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万元</w:t>
      </w:r>
      <w:r>
        <w:rPr>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天向甲方支付违约金，违约金不足以弥补甲方损失的，乙方还须同时向甲方赔偿全部损失。</w:t>
      </w:r>
    </w:p>
    <w:p w14:paraId="4684E77D">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本合同履行期间，乙方的勘察、设计质量不符合合同约定或勘察、设计成果文件出现遗漏、错误的，甲方有权发出书面警告，乙方应在甲方规定的限期内对勘察、设计成果文件及时进行补充、修改、完善；因此造成勘察、设计成果文件逾期交付的，按本合同条款第</w:t>
      </w:r>
      <w:r>
        <w:rPr>
          <w:color w:val="000000" w:themeColor="text1"/>
          <w:highlight w:val="none"/>
          <w14:textFill>
            <w14:solidFill>
              <w14:schemeClr w14:val="tx1"/>
            </w14:solidFill>
          </w14:textFill>
        </w:rPr>
        <w:t>28.6(1)</w:t>
      </w:r>
      <w:r>
        <w:rPr>
          <w:rFonts w:cs="宋体"/>
          <w:color w:val="000000" w:themeColor="text1"/>
          <w:highlight w:val="none"/>
          <w14:textFill>
            <w14:solidFill>
              <w14:schemeClr w14:val="tx1"/>
            </w14:solidFill>
          </w14:textFill>
        </w:rPr>
        <w:t>款的约定处理。</w:t>
      </w:r>
    </w:p>
    <w:p w14:paraId="4B7F7193">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）乙方提交的设计成果文件如有违反国家相关强制性规定的，经政府有关部门确认，每发生</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例，承担严重违约责任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w:t>
      </w:r>
    </w:p>
    <w:p w14:paraId="4DA072E5">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cs="宋体"/>
          <w:color w:val="000000" w:themeColor="text1"/>
          <w:highlight w:val="none"/>
          <w14:textFill>
            <w14:solidFill>
              <w14:schemeClr w14:val="tx1"/>
            </w14:solidFill>
          </w14:textFill>
        </w:rPr>
        <w:t>）如经过甲方或施工图审查单位或甲方委托的第三方对设计变更的审核，发现乙方违反合同约定对设计变更随意进行合并、分拆的，第一次时，乙方承担一般违约</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次；第二次及以后，每违反一次，乙方承担严重违约责任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w:t>
      </w:r>
    </w:p>
    <w:p w14:paraId="70C34627">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w:t>
      </w:r>
    </w:p>
    <w:p w14:paraId="5658482D">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cs="宋体"/>
          <w:color w:val="000000" w:themeColor="text1"/>
          <w:highlight w:val="none"/>
          <w14:textFill>
            <w14:solidFill>
              <w14:schemeClr w14:val="tx1"/>
            </w14:solidFill>
          </w14:textFill>
        </w:rPr>
        <w:t>）非甲方原因造成设计变更并引起工程费用增加的，甲方有权发出书面警告，乙方应负责修改设计，保证工程总投资在投资控制指标内；造成实际发生的建安工程费增加的，参照本合同条款第</w:t>
      </w:r>
      <w:r>
        <w:rPr>
          <w:color w:val="000000" w:themeColor="text1"/>
          <w:highlight w:val="none"/>
          <w14:textFill>
            <w14:solidFill>
              <w14:schemeClr w14:val="tx1"/>
            </w14:solidFill>
          </w14:textFill>
        </w:rPr>
        <w:t>28.5(12)</w:t>
      </w:r>
      <w:r>
        <w:rPr>
          <w:rFonts w:cs="宋体"/>
          <w:color w:val="000000" w:themeColor="text1"/>
          <w:highlight w:val="none"/>
          <w14:textFill>
            <w14:solidFill>
              <w14:schemeClr w14:val="tx1"/>
            </w14:solidFill>
          </w14:textFill>
        </w:rPr>
        <w:t>款约定的计算方法确定违约金；给甲方造成损失的，乙方应赔偿甲方的全部损失。因施工原因造成的设计变更及因本合同所述的因新规范、新标准及新规定所引起的设计变更除外。</w:t>
      </w:r>
    </w:p>
    <w:p w14:paraId="46DA8A24">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）经甲方认可的本合同工程施工投标人或其委托的具有施工图审查能力的单位审查并经甲方或甲方委托的第三方确认，乙方的施工图设计成果文件中存在违反国家相关强制性规定的，参照本合同条款第</w:t>
      </w:r>
      <w:r>
        <w:rPr>
          <w:color w:val="000000" w:themeColor="text1"/>
          <w:highlight w:val="none"/>
          <w14:textFill>
            <w14:solidFill>
              <w14:schemeClr w14:val="tx1"/>
            </w14:solidFill>
          </w14:textFill>
        </w:rPr>
        <w:t>28.6(3)</w:t>
      </w:r>
      <w:r>
        <w:rPr>
          <w:rFonts w:cs="宋体"/>
          <w:color w:val="000000" w:themeColor="text1"/>
          <w:highlight w:val="none"/>
          <w14:textFill>
            <w14:solidFill>
              <w14:schemeClr w14:val="tx1"/>
            </w14:solidFill>
          </w14:textFill>
        </w:rPr>
        <w:t>款的相关约定执行。</w:t>
      </w:r>
    </w:p>
    <w:p w14:paraId="24CF7546">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b/>
          <w:color w:val="000000" w:themeColor="text1"/>
          <w:highlight w:val="none"/>
          <w:u w:val="singl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8</w:t>
      </w:r>
      <w:r>
        <w:rPr>
          <w:rFonts w:cs="宋体"/>
          <w:color w:val="000000" w:themeColor="text1"/>
          <w:highlight w:val="none"/>
          <w14:textFill>
            <w14:solidFill>
              <w14:schemeClr w14:val="tx1"/>
            </w14:solidFill>
          </w14:textFill>
        </w:rPr>
        <w:t>）若乙方提交的设计成果文件相关负责人签章确认情况不满足本合同条款第</w:t>
      </w:r>
      <w:r>
        <w:rPr>
          <w:color w:val="000000" w:themeColor="text1"/>
          <w:highlight w:val="none"/>
          <w14:textFill>
            <w14:solidFill>
              <w14:schemeClr w14:val="tx1"/>
            </w14:solidFill>
          </w14:textFill>
        </w:rPr>
        <w:t>9.8</w:t>
      </w:r>
      <w:r>
        <w:rPr>
          <w:rFonts w:cs="宋体"/>
          <w:color w:val="000000" w:themeColor="text1"/>
          <w:highlight w:val="none"/>
          <w14:textFill>
            <w14:solidFill>
              <w14:schemeClr w14:val="tx1"/>
            </w14:solidFill>
          </w14:textFill>
        </w:rPr>
        <w:t>款约定的，乙方应在</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个日历日内改正，最长不得超过</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个日历日，否则应承担一般违约责任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次；拒不改正的，甲方有权单方解除合同，由此引起的甲方损失，由乙方承担全部赔偿责任。</w:t>
      </w:r>
    </w:p>
    <w:p w14:paraId="275F408A">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28.7</w:t>
      </w:r>
      <w:r>
        <w:rPr>
          <w:rFonts w:cs="宋体"/>
          <w:color w:val="000000" w:themeColor="text1"/>
          <w:highlight w:val="none"/>
          <w14:textFill>
            <w14:solidFill>
              <w14:schemeClr w14:val="tx1"/>
            </w14:solidFill>
          </w14:textFill>
        </w:rPr>
        <w:t>投资控制方面的违约责任：</w:t>
      </w:r>
    </w:p>
    <w:p w14:paraId="46BFB6EB">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）乙方未经甲方同意突破合同约定的投资控制要求的，乙方承担一次严重违约责任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次；乙方应负责修改设计，保证工程总投资控制在合同约定的投资控制要求内；如最终因此造成实际发生的建安工程费增加的，参照本合同条款第</w:t>
      </w:r>
      <w:r>
        <w:rPr>
          <w:color w:val="000000" w:themeColor="text1"/>
          <w:highlight w:val="none"/>
          <w14:textFill>
            <w14:solidFill>
              <w14:schemeClr w14:val="tx1"/>
            </w14:solidFill>
          </w14:textFill>
        </w:rPr>
        <w:t>28.5(12)</w:t>
      </w:r>
      <w:r>
        <w:rPr>
          <w:rFonts w:cs="宋体"/>
          <w:color w:val="000000" w:themeColor="text1"/>
          <w:highlight w:val="none"/>
          <w14:textFill>
            <w14:solidFill>
              <w14:schemeClr w14:val="tx1"/>
            </w14:solidFill>
          </w14:textFill>
        </w:rPr>
        <w:t>款约定的计算方法确定违约金；违约金不足以弥补甲方损失的，乙方应继续赔偿。</w:t>
      </w:r>
    </w:p>
    <w:p w14:paraId="300D8CCA">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）乙方提供的造价预算经过甲方或施工图审查单位或甲方委托的其它单位审核后确定误差超过±</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（不含±</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）的，乙方承担严重违约责任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w:t>
      </w:r>
    </w:p>
    <w:p w14:paraId="0E749C36">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）乙方对乙方分包单位的投资控制方面的违约相应承担连带责任，相关违约责任参照本合同条款第</w:t>
      </w:r>
      <w:r>
        <w:rPr>
          <w:color w:val="000000" w:themeColor="text1"/>
          <w:highlight w:val="none"/>
          <w14:textFill>
            <w14:solidFill>
              <w14:schemeClr w14:val="tx1"/>
            </w14:solidFill>
          </w14:textFill>
        </w:rPr>
        <w:t>28.7</w:t>
      </w:r>
      <w:r>
        <w:rPr>
          <w:rFonts w:cs="宋体"/>
          <w:color w:val="000000" w:themeColor="text1"/>
          <w:highlight w:val="none"/>
          <w14:textFill>
            <w14:solidFill>
              <w14:schemeClr w14:val="tx1"/>
            </w14:solidFill>
          </w14:textFill>
        </w:rPr>
        <w:t>款第</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项的相关约定执行。</w:t>
      </w:r>
    </w:p>
    <w:p w14:paraId="1147A851">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cs="宋体"/>
          <w:color w:val="000000" w:themeColor="text1"/>
          <w:highlight w:val="none"/>
          <w14:textFill>
            <w14:solidFill>
              <w14:schemeClr w14:val="tx1"/>
            </w14:solidFill>
          </w14:textFill>
        </w:rPr>
        <w:t>）如因乙方提供的勘察成果文件的缺陷及不完整、初步设计成果文件深度不够、或其他勘察、设计失误等原因导致甲方另外发包的专项施工图设计无法满足投资控制的要求，甲方有权发出书面警告，乙方应及时完善、修改相关的勘察、设计成果文件；造成实际发生的建安工程费增加的，参照本合同条款第</w:t>
      </w:r>
      <w:r>
        <w:rPr>
          <w:color w:val="000000" w:themeColor="text1"/>
          <w:highlight w:val="none"/>
          <w14:textFill>
            <w14:solidFill>
              <w14:schemeClr w14:val="tx1"/>
            </w14:solidFill>
          </w14:textFill>
        </w:rPr>
        <w:t>28.5(12)</w:t>
      </w:r>
      <w:r>
        <w:rPr>
          <w:rFonts w:cs="宋体"/>
          <w:color w:val="000000" w:themeColor="text1"/>
          <w:highlight w:val="none"/>
          <w14:textFill>
            <w14:solidFill>
              <w14:schemeClr w14:val="tx1"/>
            </w14:solidFill>
          </w14:textFill>
        </w:rPr>
        <w:t>款约定的计算方法确定违约金；给甲方造成损失的，乙方应赔偿甲方的全部损失。</w:t>
      </w:r>
    </w:p>
    <w:p w14:paraId="1288B6B0">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cs="宋体"/>
          <w:color w:val="000000" w:themeColor="text1"/>
          <w:highlight w:val="none"/>
          <w14:textFill>
            <w14:solidFill>
              <w14:schemeClr w14:val="tx1"/>
            </w14:solidFill>
          </w14:textFill>
        </w:rPr>
        <w:t>）因乙方对设计变更随意进行合并、分拆导致本合同工程投资失控，造成实际发生的建安工程费增加的，参照本合同条款第</w:t>
      </w:r>
      <w:r>
        <w:rPr>
          <w:color w:val="000000" w:themeColor="text1"/>
          <w:highlight w:val="none"/>
          <w14:textFill>
            <w14:solidFill>
              <w14:schemeClr w14:val="tx1"/>
            </w14:solidFill>
          </w14:textFill>
        </w:rPr>
        <w:t>28.5(12)</w:t>
      </w:r>
      <w:r>
        <w:rPr>
          <w:rFonts w:cs="宋体"/>
          <w:color w:val="000000" w:themeColor="text1"/>
          <w:highlight w:val="none"/>
          <w14:textFill>
            <w14:solidFill>
              <w14:schemeClr w14:val="tx1"/>
            </w14:solidFill>
          </w14:textFill>
        </w:rPr>
        <w:t>款约定的计算方法确定违约金；给甲方造成损失的，乙方应赔偿甲方的全部损失。</w:t>
      </w:r>
    </w:p>
    <w:p w14:paraId="4D0B2968">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cs="宋体"/>
          <w:color w:val="000000" w:themeColor="text1"/>
          <w:highlight w:val="none"/>
          <w14:textFill>
            <w14:solidFill>
              <w14:schemeClr w14:val="tx1"/>
            </w14:solidFill>
          </w14:textFill>
        </w:rPr>
        <w:t>）在本项目施工招标阶段或施工阶段，因乙方编制的工程概算和（或）造价预算编制不准确而需要调整概算和（或）造价预算的，乙方除应在甲方限定期限内完成修改外，每出现</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次，乙方还必须承担严重违约责任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w:t>
      </w:r>
    </w:p>
    <w:p w14:paraId="279FA7CB">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cs="宋体"/>
          <w:color w:val="000000" w:themeColor="text1"/>
          <w:highlight w:val="none"/>
          <w14:textFill>
            <w14:solidFill>
              <w14:schemeClr w14:val="tx1"/>
            </w14:solidFill>
          </w14:textFill>
        </w:rPr>
        <w:t>）由乙方编制造价预算的，如果出现工程量偏差绝对值累计额相对于乙方报送总数量，误差率在</w:t>
      </w:r>
      <w:r>
        <w:rPr>
          <w:color w:val="000000" w:themeColor="text1"/>
          <w:highlight w:val="none"/>
          <w14:textFill>
            <w14:solidFill>
              <w14:schemeClr w14:val="tx1"/>
            </w14:solidFill>
          </w14:textFill>
        </w:rPr>
        <w:t>10%</w:t>
      </w: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20%</w:t>
      </w:r>
      <w:r>
        <w:rPr>
          <w:rFonts w:cs="宋体"/>
          <w:color w:val="000000" w:themeColor="text1"/>
          <w:highlight w:val="none"/>
          <w14:textFill>
            <w14:solidFill>
              <w14:schemeClr w14:val="tx1"/>
            </w14:solidFill>
          </w14:textFill>
        </w:rPr>
        <w:t>的，乙方除应在甲方限定期限内完成修改外，每出现</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次，还必须承担严重违约责任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次；误差率超过</w:t>
      </w:r>
      <w:r>
        <w:rPr>
          <w:color w:val="000000" w:themeColor="text1"/>
          <w:highlight w:val="none"/>
          <w14:textFill>
            <w14:solidFill>
              <w14:schemeClr w14:val="tx1"/>
            </w14:solidFill>
          </w14:textFill>
        </w:rPr>
        <w:t>20%</w:t>
      </w:r>
      <w:r>
        <w:rPr>
          <w:rFonts w:cs="宋体"/>
          <w:color w:val="000000" w:themeColor="text1"/>
          <w:highlight w:val="none"/>
          <w14:textFill>
            <w14:solidFill>
              <w14:schemeClr w14:val="tx1"/>
            </w14:solidFill>
          </w14:textFill>
        </w:rPr>
        <w:t>的，甲方有权不支付相应工程造价预算编制费。</w:t>
      </w:r>
    </w:p>
    <w:p w14:paraId="2893090B">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28.8</w:t>
      </w:r>
      <w:r>
        <w:rPr>
          <w:rFonts w:cs="宋体"/>
          <w:color w:val="000000" w:themeColor="text1"/>
          <w:highlight w:val="none"/>
          <w14:textFill>
            <w14:solidFill>
              <w14:schemeClr w14:val="tx1"/>
            </w14:solidFill>
          </w14:textFill>
        </w:rPr>
        <w:t>勘察、设计分包、转包、违法分包方面的违约责任</w:t>
      </w:r>
    </w:p>
    <w:p w14:paraId="4135180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（1）乙方不按合同约定进行勘察、设计分包管理的，视同不服从甲方管理，应按本合同条款第28.5(7)款的约定承担违约责任；同时甲方有权暂停支付本合同工程勘察、设计进度款，直到乙方完成相关工作为止。</w:t>
      </w:r>
    </w:p>
    <w:p w14:paraId="56381F0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（2）乙方转包本合同工程勘察、设计或者违反法律法规及本合同约定分包本合同工程勘察、设计的，甲方有权单方面部分解除合同或解除合同，并由乙方承担由此产生的一切责任及损失。</w:t>
      </w:r>
    </w:p>
    <w:p w14:paraId="1545015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（3）招标文件有要求作出分包范围承诺的，若乙方实际分包内容超出其投标文件承诺范围，则即使分包单位符合法定条件并经甲方认可，乙方仍须承担1次严重违约责任</w:t>
      </w:r>
      <w:r>
        <w:rPr>
          <w:rFonts w:hint="eastAsia" w:ascii="宋体" w:hAnsi="宋体" w:cs="宋体"/>
          <w:color w:val="000000" w:themeColor="text1"/>
          <w:szCs w:val="21"/>
          <w:highlight w:val="none"/>
          <w14:textFill>
            <w14:solidFill>
              <w14:schemeClr w14:val="tx1"/>
            </w14:solidFill>
          </w14:textFill>
        </w:rPr>
        <w:t>。</w:t>
      </w:r>
    </w:p>
    <w:p w14:paraId="693AD7DA">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28.9</w:t>
      </w:r>
      <w:r>
        <w:rPr>
          <w:rFonts w:cs="宋体"/>
          <w:color w:val="000000" w:themeColor="text1"/>
          <w:highlight w:val="none"/>
          <w14:textFill>
            <w14:solidFill>
              <w14:schemeClr w14:val="tx1"/>
            </w14:solidFill>
          </w14:textFill>
        </w:rPr>
        <w:t>除上述约定之外，乙方不履行或不完全履行合同其他义务的，均构成违约，应当承担一般违约责任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次。情节较重的，应当承担严重违约责任</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次。</w:t>
      </w:r>
    </w:p>
    <w:p w14:paraId="17D7016C">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28.10</w:t>
      </w:r>
      <w:r>
        <w:rPr>
          <w:rFonts w:cs="宋体"/>
          <w:color w:val="000000" w:themeColor="text1"/>
          <w:highlight w:val="none"/>
          <w14:textFill>
            <w14:solidFill>
              <w14:schemeClr w14:val="tx1"/>
            </w14:solidFill>
          </w14:textFill>
        </w:rPr>
        <w:t>乙方违约责任的认定方式及文件送达程序：</w:t>
      </w:r>
    </w:p>
    <w:p w14:paraId="46305FEF">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）认定方式：以甲方发出的通知、通报、会议纪要等书面文件确定的内容为准。</w:t>
      </w:r>
    </w:p>
    <w:p w14:paraId="4D4C23AB">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）送达程序：甲方以下列方式之一将书面违约处理决定等文书及材料送达乙方：</w:t>
      </w:r>
    </w:p>
    <w:p w14:paraId="402E96B6">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）乙方现场管理机构工作人员签收。</w:t>
      </w:r>
    </w:p>
    <w:p w14:paraId="1EC72F3D">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）乙方其他工作人员签收。</w:t>
      </w:r>
    </w:p>
    <w:p w14:paraId="08558C58">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）甲方邮寄送达。</w:t>
      </w:r>
    </w:p>
    <w:p w14:paraId="55AFD93C">
      <w:pPr>
        <w:pStyle w:val="13"/>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default"/>
          <w:b/>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）甲方以书面形式作出的违约处理决定一经送达乙方立即生效。乙方如有足够证据证明不应由其承担违约责任的，应在收到违约处理决定后</w:t>
      </w:r>
      <w:r>
        <w:rPr>
          <w:color w:val="000000" w:themeColor="text1"/>
          <w:highlight w:val="none"/>
          <w14:textFill>
            <w14:solidFill>
              <w14:schemeClr w14:val="tx1"/>
            </w14:solidFill>
          </w14:textFill>
        </w:rPr>
        <w:t>3</w:t>
      </w:r>
      <w:r>
        <w:rPr>
          <w:rFonts w:cs="宋体"/>
          <w:color w:val="000000" w:themeColor="text1"/>
          <w:highlight w:val="none"/>
          <w14:textFill>
            <w14:solidFill>
              <w14:schemeClr w14:val="tx1"/>
            </w14:solidFill>
          </w14:textFill>
        </w:rPr>
        <w:t>天内以书面形式向甲方提出异议并附上有关证据；甲方在收到乙方的异议后</w:t>
      </w:r>
      <w:r>
        <w:rPr>
          <w:color w:val="000000" w:themeColor="text1"/>
          <w:highlight w:val="none"/>
          <w14:textFill>
            <w14:solidFill>
              <w14:schemeClr w14:val="tx1"/>
            </w14:solidFill>
          </w14:textFill>
        </w:rPr>
        <w:t>15</w:t>
      </w:r>
      <w:r>
        <w:rPr>
          <w:rFonts w:cs="宋体"/>
          <w:color w:val="000000" w:themeColor="text1"/>
          <w:highlight w:val="none"/>
          <w14:textFill>
            <w14:solidFill>
              <w14:schemeClr w14:val="tx1"/>
            </w14:solidFill>
          </w14:textFill>
        </w:rPr>
        <w:t>天内审核完毕且作出书面决定并通知乙方。</w:t>
      </w:r>
    </w:p>
    <w:p w14:paraId="67E87488">
      <w:pPr>
        <w:pStyle w:val="13"/>
        <w:adjustRightInd w:val="0"/>
        <w:snapToGrid w:val="0"/>
        <w:spacing w:beforeAutospacing="0" w:afterAutospacing="0" w:line="360" w:lineRule="auto"/>
        <w:ind w:firstLine="482" w:firstLineChars="200"/>
        <w:rPr>
          <w:rFonts w:hint="default"/>
          <w:b/>
          <w:color w:val="000000" w:themeColor="text1"/>
          <w:highlight w:val="none"/>
          <w14:textFill>
            <w14:solidFill>
              <w14:schemeClr w14:val="tx1"/>
            </w14:solidFill>
          </w14:textFill>
        </w:rPr>
      </w:pPr>
    </w:p>
    <w:p w14:paraId="35A4AA77">
      <w:pPr>
        <w:pStyle w:val="3"/>
        <w:keepNext w:val="0"/>
        <w:keepLines w:val="0"/>
        <w:widowControl/>
        <w:spacing w:before="0" w:after="0" w:line="360" w:lineRule="auto"/>
        <w:jc w:val="center"/>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第十五章  索赔</w:t>
      </w:r>
    </w:p>
    <w:p w14:paraId="1F386D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0B7B6D5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29、索赔</w:t>
      </w:r>
    </w:p>
    <w:p w14:paraId="4A81105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29.1</w:t>
      </w:r>
      <w:r>
        <w:rPr>
          <w:rFonts w:hint="eastAsia" w:ascii="宋体" w:hAnsi="宋体" w:cs="宋体"/>
          <w:color w:val="000000" w:themeColor="text1"/>
          <w:kern w:val="0"/>
          <w:sz w:val="24"/>
          <w:szCs w:val="24"/>
          <w:highlight w:val="none"/>
          <w14:textFill>
            <w14:solidFill>
              <w14:schemeClr w14:val="tx1"/>
            </w14:solidFill>
          </w14:textFill>
        </w:rPr>
        <w:t>乙方未能按合同约定履行自己的各项义务或发生错误，甲方按如下约定向乙方索赔：</w:t>
      </w:r>
    </w:p>
    <w:p w14:paraId="5FCF0F77">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（1）甲方将自己的索赔意向书面通知乙方，并要求乙方在限期内纠正自己的违约行为，否则，甲方将考虑启用履约担保。</w:t>
      </w:r>
    </w:p>
    <w:p w14:paraId="69FD1B06">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（2）限期届满，乙方没有采取纠正行为或者纠正行为不能使甲方满意的，甲方将索赔意向书面通知本合同条款第30.1款约定的保证人。</w:t>
      </w:r>
    </w:p>
    <w:p w14:paraId="11901E60">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（3）甲方向保证人发出书面索赔意向七天内，乙方依然没有用实际行动纠正自己的违约行为或者纠正行为不能使甲方满意或者纠正行为无法弥补甲方的损失，则甲方直接向保证人发出正式书面索赔通知。</w:t>
      </w:r>
    </w:p>
    <w:p w14:paraId="16F20D92">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如果通过向保证人索赔的方式依然不能完全弥补甲方的损失，则甲方有权在应支付给乙方的勘察、设计费中直接扣取。同时甲方有权要求乙方在规定时间内按本合同条款第30.3款的约定向甲方补充提交履约担保。</w:t>
      </w:r>
    </w:p>
    <w:p w14:paraId="07819389">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（5）如果通过向保证人索赔以及直接扣取勘察、设计费等方式依然不能完全弥补甲方损失的，乙方必须在甲方规定的时间内以现金形式支付剩余索赔额。否则，甲方将按本合同条款第32条的约定处理。</w:t>
      </w:r>
    </w:p>
    <w:p w14:paraId="44F6A23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29.2</w:t>
      </w:r>
      <w:r>
        <w:rPr>
          <w:rFonts w:hint="eastAsia" w:ascii="宋体" w:hAnsi="宋体" w:cs="宋体"/>
          <w:color w:val="000000" w:themeColor="text1"/>
          <w:kern w:val="0"/>
          <w:sz w:val="24"/>
          <w:szCs w:val="24"/>
          <w:highlight w:val="none"/>
          <w14:textFill>
            <w14:solidFill>
              <w14:schemeClr w14:val="tx1"/>
            </w14:solidFill>
          </w14:textFill>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593E5044">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9EFBF36">
      <w:pPr>
        <w:pStyle w:val="3"/>
        <w:keepNext w:val="0"/>
        <w:keepLines w:val="0"/>
        <w:widowControl/>
        <w:spacing w:before="0" w:after="0" w:line="360" w:lineRule="auto"/>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第十六章  保险与担保</w:t>
      </w:r>
    </w:p>
    <w:p w14:paraId="26F594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outlineLvl w:val="9"/>
        <w:rPr>
          <w:rFonts w:ascii="宋体" w:hAnsi="宋体" w:cs="宋体"/>
          <w:b/>
          <w:color w:val="000000" w:themeColor="text1"/>
          <w:kern w:val="0"/>
          <w:sz w:val="24"/>
          <w:szCs w:val="24"/>
          <w:highlight w:val="none"/>
          <w14:textFill>
            <w14:solidFill>
              <w14:schemeClr w14:val="tx1"/>
            </w14:solidFill>
          </w14:textFill>
        </w:rPr>
      </w:pPr>
    </w:p>
    <w:p w14:paraId="6AE171A9">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30、保险与担保</w:t>
      </w:r>
    </w:p>
    <w:p w14:paraId="632720CB">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30.1</w:t>
      </w:r>
      <w:r>
        <w:rPr>
          <w:rFonts w:hint="eastAsia" w:ascii="宋体" w:hAnsi="宋体" w:cs="宋体"/>
          <w:color w:val="000000" w:themeColor="text1"/>
          <w:kern w:val="0"/>
          <w:sz w:val="24"/>
          <w:szCs w:val="24"/>
          <w:highlight w:val="none"/>
          <w14:textFill>
            <w14:solidFill>
              <w14:schemeClr w14:val="tx1"/>
            </w14:solidFill>
          </w14:textFill>
        </w:rPr>
        <w:t>双方约定，乙方按照如下约定购买设计责任保险和向甲方提供履约担保文件：</w:t>
      </w:r>
    </w:p>
    <w:p w14:paraId="12BEF6FE">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（1）本合同约定设计工作开展前，乙方应购买建设工程设计责任险。</w:t>
      </w:r>
    </w:p>
    <w:p w14:paraId="3681CBA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（2）乙方不按上述约定购买保险所产生的后果，由乙方自行承担。</w:t>
      </w:r>
    </w:p>
    <w:p w14:paraId="39B19A29">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（3）本合同签订后30日内，乙方按合同附件载明的格式向甲方提交由在中华人民共和国注册并经甲方认可的担保机构开出的担保金额为合同价款的10％，即人民币____________元的《履约担保》原件。</w:t>
      </w:r>
    </w:p>
    <w:p w14:paraId="332931BD">
      <w:pPr>
        <w:keepNext w:val="0"/>
        <w:keepLines w:val="0"/>
        <w:pageBreakBefore w:val="0"/>
        <w:widowControl w:val="0"/>
        <w:kinsoku/>
        <w:wordWrap/>
        <w:overflowPunct/>
        <w:topLinePunct w:val="0"/>
        <w:autoSpaceDE/>
        <w:autoSpaceDN/>
        <w:bidi w:val="0"/>
        <w:snapToGrid w:val="0"/>
        <w:spacing w:line="360" w:lineRule="auto"/>
        <w:ind w:right="0" w:firstLine="480" w:firstLineChars="200"/>
        <w:textAlignment w:val="auto"/>
        <w:rPr>
          <w:rFonts w:ascii="宋体" w:hAnsi="宋体" w:cs="宋体"/>
          <w:strike/>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（4）乙方如未能按约定提交履约担保的，甲方有权取消乙方中标资格并解除合同，</w:t>
      </w:r>
      <w:r>
        <w:rPr>
          <w:rFonts w:ascii="宋体" w:hAnsi="宋体" w:cs="宋体"/>
          <w:color w:val="000000" w:themeColor="text1"/>
          <w:sz w:val="24"/>
          <w:szCs w:val="24"/>
          <w:highlight w:val="none"/>
          <w14:textFill>
            <w14:solidFill>
              <w14:schemeClr w14:val="tx1"/>
            </w14:solidFill>
          </w14:textFill>
        </w:rPr>
        <w:t>给甲方造成损失的，</w:t>
      </w:r>
      <w:r>
        <w:rPr>
          <w:rFonts w:hint="eastAsia" w:ascii="宋体" w:hAnsi="宋体" w:cs="宋体"/>
          <w:color w:val="000000" w:themeColor="text1"/>
          <w:sz w:val="24"/>
          <w:szCs w:val="24"/>
          <w:highlight w:val="none"/>
          <w14:textFill>
            <w14:solidFill>
              <w14:schemeClr w14:val="tx1"/>
            </w14:solidFill>
          </w14:textFill>
        </w:rPr>
        <w:t>甲方有权要求乙方承担赔偿责任。</w:t>
      </w:r>
    </w:p>
    <w:p w14:paraId="5A40B137">
      <w:pPr>
        <w:keepNext w:val="0"/>
        <w:keepLines w:val="0"/>
        <w:pageBreakBefore w:val="0"/>
        <w:widowControl w:val="0"/>
        <w:kinsoku/>
        <w:wordWrap/>
        <w:overflowPunct/>
        <w:topLinePunct w:val="0"/>
        <w:autoSpaceDE/>
        <w:autoSpaceDN/>
        <w:bidi w:val="0"/>
        <w:snapToGrid w:val="0"/>
        <w:spacing w:line="360" w:lineRule="auto"/>
        <w:ind w:right="0"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（5）建设工程发生损失后，应由政府建设行政主管部门按照国家有关建设工程质量事故调查处理的规定做出鉴定结论。</w:t>
      </w:r>
    </w:p>
    <w:p w14:paraId="1766C91B">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30.2</w:t>
      </w:r>
      <w:r>
        <w:rPr>
          <w:rFonts w:hint="eastAsia" w:ascii="宋体" w:hAnsi="宋体" w:cs="宋体"/>
          <w:bCs/>
          <w:color w:val="000000" w:themeColor="text1"/>
          <w:sz w:val="24"/>
          <w:szCs w:val="24"/>
          <w:highlight w:val="none"/>
          <w14:textFill>
            <w14:solidFill>
              <w14:schemeClr w14:val="tx1"/>
            </w14:solidFill>
          </w14:textFill>
        </w:rPr>
        <w:t>乙方提交的履约担保是对本合同约定的乙方的全部义务（包括但不限于乙方违约后应支付的违约金和赔偿金）的担保，乙方的任何一次不履行或不完全履行合同义务的行为，甲方均有权向保证人提出索赔。</w:t>
      </w:r>
    </w:p>
    <w:p w14:paraId="310F30E3">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30</w:t>
      </w:r>
      <w:r>
        <w:rPr>
          <w:rFonts w:hint="eastAsia" w:ascii="宋体" w:hAnsi="宋体" w:cs="宋体"/>
          <w:b/>
          <w:color w:val="000000" w:themeColor="text1"/>
          <w:sz w:val="24"/>
          <w:szCs w:val="24"/>
          <w:highlight w:val="none"/>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乙方不履行或不完全履行合同义务的行为导致甲方依据履约担保向保证人索赔担保金额的一部分或者全部的，乙方必须在甲方规定的时间内补充提交履约担保，使得本合同履行期间有效的担保金额等于乙方第一次提交的担保金额。</w:t>
      </w:r>
    </w:p>
    <w:p w14:paraId="09322BA7">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30.4</w:t>
      </w:r>
      <w:r>
        <w:rPr>
          <w:rFonts w:hint="eastAsia" w:ascii="宋体" w:hAnsi="宋体" w:cs="宋体"/>
          <w:bCs/>
          <w:color w:val="000000" w:themeColor="text1"/>
          <w:sz w:val="24"/>
          <w:szCs w:val="24"/>
          <w:highlight w:val="none"/>
          <w14:textFill>
            <w14:solidFill>
              <w14:schemeClr w14:val="tx1"/>
            </w14:solidFill>
          </w14:textFill>
        </w:rPr>
        <w:t>如果乙方不按甲方的要求及时补充提交履约担保，则甲方有权单方面部分解除或解除本合同，并按合同条款第28.1(5)、(6)款的有关约定执行。</w:t>
      </w:r>
    </w:p>
    <w:p w14:paraId="14CE9BCE">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30.5</w:t>
      </w:r>
      <w:r>
        <w:rPr>
          <w:rFonts w:hint="eastAsia" w:ascii="宋体" w:hAnsi="宋体" w:cs="宋体"/>
          <w:color w:val="000000" w:themeColor="text1"/>
          <w:spacing w:val="-4"/>
          <w:kern w:val="0"/>
          <w:sz w:val="24"/>
          <w:szCs w:val="24"/>
          <w:highlight w:val="none"/>
          <w14:textFill>
            <w14:solidFill>
              <w14:schemeClr w14:val="tx1"/>
            </w14:solidFill>
          </w14:textFill>
        </w:rPr>
        <w:t>乙方提供本项目所需全部分部（子分部）工程质量验收记录（</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地基与基础，</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主体结构，</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建筑装饰装修，</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屋面工程，</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建筑给水、排水及采暖，</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通风与空调，</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建筑电气，</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建筑智能化，</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建筑节能，</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电梯，</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室外设施，</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附属建筑及室外环境，</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室外安装，</w:t>
      </w:r>
      <w:r>
        <w:rPr>
          <w:rFonts w:hint="eastAsia" w:ascii="宋体" w:hAnsi="宋体"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其他</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如有</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spacing w:val="-4"/>
          <w:kern w:val="0"/>
          <w:sz w:val="24"/>
          <w:szCs w:val="24"/>
          <w:highlight w:val="none"/>
          <w14:textFill>
            <w14:solidFill>
              <w14:schemeClr w14:val="tx1"/>
            </w14:solidFill>
          </w14:textFill>
        </w:rPr>
        <w:t>）及已提供竣工图证明文件（经监理人及甲方确认施工单位已提供竣工图的相关文件）后，可以向甲方申请退还履约担保。</w:t>
      </w:r>
    </w:p>
    <w:p w14:paraId="719FC3DE">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3"/>
        <w:rPr>
          <w:rFonts w:hint="eastAsia" w:ascii="宋体" w:hAnsi="宋体" w:cs="宋体"/>
          <w:bCs/>
          <w:color w:val="000000" w:themeColor="text1"/>
          <w:spacing w:val="-4"/>
          <w:kern w:val="0"/>
          <w:sz w:val="24"/>
          <w:szCs w:val="24"/>
          <w:highlight w:val="none"/>
          <w14:textFill>
            <w14:solidFill>
              <w14:schemeClr w14:val="tx1"/>
            </w14:solidFill>
          </w14:textFill>
        </w:rPr>
      </w:pPr>
      <w:r>
        <w:rPr>
          <w:rFonts w:hint="eastAsia" w:ascii="宋体" w:hAnsi="宋体" w:cs="宋体"/>
          <w:b/>
          <w:color w:val="000000" w:themeColor="text1"/>
          <w:spacing w:val="-4"/>
          <w:kern w:val="0"/>
          <w:sz w:val="24"/>
          <w:szCs w:val="24"/>
          <w:highlight w:val="none"/>
          <w14:textFill>
            <w14:solidFill>
              <w14:schemeClr w14:val="tx1"/>
            </w14:solidFill>
          </w14:textFill>
        </w:rPr>
        <w:t>30.6</w:t>
      </w:r>
      <w:r>
        <w:rPr>
          <w:rFonts w:hint="eastAsia" w:ascii="宋体" w:hAnsi="宋体" w:cs="宋体"/>
          <w:bCs/>
          <w:color w:val="000000" w:themeColor="text1"/>
          <w:spacing w:val="-4"/>
          <w:kern w:val="0"/>
          <w:sz w:val="24"/>
          <w:szCs w:val="24"/>
          <w:highlight w:val="none"/>
          <w14:textFill>
            <w14:solidFill>
              <w14:schemeClr w14:val="tx1"/>
            </w14:solidFill>
          </w14:textFill>
        </w:rPr>
        <w:t>乙方需保证履约担保在本合同整个履行期间的有效性；若因工程延期或因其他原因导致担保期限未涵盖本合同整个有效期的，乙方应在担保有效期届满前45天办理履约担保的续期手续，并于原担保有效期届满前10天向甲方提交同样格式且更新日期后的有效履约担保，以替代原履约担保。关于新履约担保担保金额：</w:t>
      </w:r>
    </w:p>
    <w:p w14:paraId="50DF299C">
      <w:pPr>
        <w:keepNext w:val="0"/>
        <w:keepLines w:val="0"/>
        <w:pageBreakBefore w:val="0"/>
        <w:widowControl w:val="0"/>
        <w:kinsoku/>
        <w:wordWrap/>
        <w:overflowPunct/>
        <w:topLinePunct w:val="0"/>
        <w:autoSpaceDE/>
        <w:autoSpaceDN/>
        <w:bidi w:val="0"/>
        <w:adjustRightInd w:val="0"/>
        <w:snapToGrid w:val="0"/>
        <w:spacing w:line="360" w:lineRule="auto"/>
        <w:ind w:right="0" w:firstLine="464" w:firstLineChars="200"/>
        <w:textAlignment w:val="auto"/>
        <w:rPr>
          <w:rFonts w:hint="eastAsia" w:ascii="宋体" w:hAnsi="宋体" w:cs="宋体"/>
          <w:bCs/>
          <w:color w:val="000000" w:themeColor="text1"/>
          <w:spacing w:val="-4"/>
          <w:kern w:val="0"/>
          <w:sz w:val="24"/>
          <w:szCs w:val="24"/>
          <w:highlight w:val="none"/>
          <w14:textFill>
            <w14:solidFill>
              <w14:schemeClr w14:val="tx1"/>
            </w14:solidFill>
          </w14:textFill>
        </w:rPr>
      </w:pPr>
      <w:r>
        <w:rPr>
          <w:rFonts w:hint="eastAsia" w:ascii="宋体" w:hAnsi="宋体" w:cs="宋体"/>
          <w:bCs/>
          <w:color w:val="000000" w:themeColor="text1"/>
          <w:spacing w:val="-4"/>
          <w:kern w:val="0"/>
          <w:sz w:val="24"/>
          <w:szCs w:val="24"/>
          <w:highlight w:val="none"/>
          <w14:textFill>
            <w14:solidFill>
              <w14:schemeClr w14:val="tx1"/>
            </w14:solidFill>
          </w14:textFill>
        </w:rPr>
        <w:t>（1）若实体工程已完工且乙方无欠付甲方相关费用的，则无论原履约担保是否到期，乙方均可申请提交担保金额为原担保金额30%的新履约担保替换原履约担保。经甲方审核同意后方可执行。</w:t>
      </w:r>
    </w:p>
    <w:p w14:paraId="2210D83C">
      <w:pPr>
        <w:keepNext w:val="0"/>
        <w:keepLines w:val="0"/>
        <w:pageBreakBefore w:val="0"/>
        <w:widowControl w:val="0"/>
        <w:kinsoku/>
        <w:wordWrap/>
        <w:overflowPunct/>
        <w:topLinePunct w:val="0"/>
        <w:autoSpaceDE/>
        <w:autoSpaceDN/>
        <w:bidi w:val="0"/>
        <w:adjustRightInd w:val="0"/>
        <w:snapToGrid w:val="0"/>
        <w:spacing w:line="360" w:lineRule="auto"/>
        <w:ind w:right="0" w:firstLine="464" w:firstLineChars="200"/>
        <w:textAlignment w:val="auto"/>
        <w:rPr>
          <w:rFonts w:ascii="宋体" w:hAnsi="宋体" w:cs="宋体"/>
          <w:bCs/>
          <w:color w:val="000000" w:themeColor="text1"/>
          <w:spacing w:val="-4"/>
          <w:kern w:val="0"/>
          <w:sz w:val="24"/>
          <w:szCs w:val="24"/>
          <w:highlight w:val="none"/>
          <w14:textFill>
            <w14:solidFill>
              <w14:schemeClr w14:val="tx1"/>
            </w14:solidFill>
          </w14:textFill>
        </w:rPr>
      </w:pPr>
      <w:r>
        <w:rPr>
          <w:rFonts w:hint="eastAsia" w:ascii="宋体" w:hAnsi="宋体" w:cs="宋体"/>
          <w:bCs/>
          <w:color w:val="000000" w:themeColor="text1"/>
          <w:spacing w:val="-4"/>
          <w:kern w:val="0"/>
          <w:sz w:val="24"/>
          <w:szCs w:val="24"/>
          <w:highlight w:val="none"/>
          <w14:textFill>
            <w14:solidFill>
              <w14:schemeClr w14:val="tx1"/>
            </w14:solidFill>
          </w14:textFill>
        </w:rPr>
        <w:t>（2）若未完成实体工程的，则乙方须按原担保金额办理履约担保续期手续。</w:t>
      </w:r>
    </w:p>
    <w:p w14:paraId="4F4C2C41">
      <w:pPr>
        <w:keepNext w:val="0"/>
        <w:keepLines w:val="0"/>
        <w:pageBreakBefore w:val="0"/>
        <w:widowControl w:val="0"/>
        <w:kinsoku/>
        <w:wordWrap/>
        <w:overflowPunct/>
        <w:topLinePunct w:val="0"/>
        <w:autoSpaceDE/>
        <w:autoSpaceDN/>
        <w:bidi w:val="0"/>
        <w:adjustRightInd w:val="0"/>
        <w:snapToGrid w:val="0"/>
        <w:spacing w:line="360" w:lineRule="auto"/>
        <w:ind w:right="0" w:firstLine="466" w:firstLineChars="200"/>
        <w:textAlignment w:val="auto"/>
        <w:outlineLvl w:val="3"/>
        <w:rPr>
          <w:rFonts w:hint="eastAsia" w:ascii="宋体" w:hAnsi="宋体" w:cs="宋体"/>
          <w:bCs/>
          <w:color w:val="000000" w:themeColor="text1"/>
          <w:spacing w:val="-4"/>
          <w:kern w:val="0"/>
          <w:sz w:val="24"/>
          <w:szCs w:val="24"/>
          <w:highlight w:val="none"/>
          <w14:textFill>
            <w14:solidFill>
              <w14:schemeClr w14:val="tx1"/>
            </w14:solidFill>
          </w14:textFill>
        </w:rPr>
      </w:pPr>
      <w:r>
        <w:rPr>
          <w:rFonts w:hint="eastAsia" w:ascii="宋体" w:hAnsi="宋体" w:cs="宋体"/>
          <w:b/>
          <w:color w:val="000000" w:themeColor="text1"/>
          <w:spacing w:val="-4"/>
          <w:kern w:val="0"/>
          <w:sz w:val="24"/>
          <w:szCs w:val="24"/>
          <w:highlight w:val="none"/>
          <w14:textFill>
            <w14:solidFill>
              <w14:schemeClr w14:val="tx1"/>
            </w14:solidFill>
          </w14:textFill>
        </w:rPr>
        <w:t>30.7</w:t>
      </w:r>
      <w:r>
        <w:rPr>
          <w:rFonts w:hint="eastAsia" w:ascii="宋体" w:hAnsi="宋体" w:cs="宋体"/>
          <w:bCs/>
          <w:color w:val="000000" w:themeColor="text1"/>
          <w:spacing w:val="-4"/>
          <w:kern w:val="0"/>
          <w:sz w:val="24"/>
          <w:szCs w:val="24"/>
          <w:highlight w:val="none"/>
          <w14:textFill>
            <w14:solidFill>
              <w14:schemeClr w14:val="tx1"/>
            </w14:solidFill>
          </w14:textFill>
        </w:rPr>
        <w:t>若乙方未按合同约定更新履约担保的，应按以下约定承担违约责任，且甲方有权以不超过担保金额为限暂停支付余下的合同价款直至乙方提交新履约担保或提供本项目所需全部分部（子分部）工程质量验收记录及已提供竣工图证明文件（经监理人及甲方确认施工单位已提供竣工图的相关文件）。</w:t>
      </w:r>
    </w:p>
    <w:p w14:paraId="2B8BF690">
      <w:pPr>
        <w:keepNext w:val="0"/>
        <w:keepLines w:val="0"/>
        <w:pageBreakBefore w:val="0"/>
        <w:widowControl w:val="0"/>
        <w:kinsoku/>
        <w:wordWrap/>
        <w:overflowPunct/>
        <w:topLinePunct w:val="0"/>
        <w:autoSpaceDE/>
        <w:autoSpaceDN/>
        <w:bidi w:val="0"/>
        <w:adjustRightInd w:val="0"/>
        <w:snapToGrid w:val="0"/>
        <w:spacing w:line="360" w:lineRule="auto"/>
        <w:ind w:right="0" w:firstLine="464" w:firstLineChars="200"/>
        <w:textAlignment w:val="auto"/>
        <w:rPr>
          <w:rFonts w:hint="eastAsia" w:ascii="宋体" w:hAnsi="宋体" w:cs="宋体"/>
          <w:bCs/>
          <w:color w:val="000000" w:themeColor="text1"/>
          <w:spacing w:val="-4"/>
          <w:kern w:val="0"/>
          <w:sz w:val="24"/>
          <w:szCs w:val="24"/>
          <w:highlight w:val="none"/>
          <w14:textFill>
            <w14:solidFill>
              <w14:schemeClr w14:val="tx1"/>
            </w14:solidFill>
          </w14:textFill>
        </w:rPr>
      </w:pPr>
      <w:r>
        <w:rPr>
          <w:rFonts w:hint="eastAsia" w:ascii="宋体" w:hAnsi="宋体" w:cs="宋体"/>
          <w:bCs/>
          <w:color w:val="000000" w:themeColor="text1"/>
          <w:spacing w:val="-4"/>
          <w:kern w:val="0"/>
          <w:sz w:val="24"/>
          <w:szCs w:val="24"/>
          <w:highlight w:val="none"/>
          <w14:textFill>
            <w14:solidFill>
              <w14:schemeClr w14:val="tx1"/>
            </w14:solidFill>
          </w14:textFill>
        </w:rPr>
        <w:t>（1）自原担保期限届满之日起5日内未提交新履约担保的，给予书面警告并限期整改。</w:t>
      </w:r>
    </w:p>
    <w:p w14:paraId="02AF60A5">
      <w:pPr>
        <w:keepNext w:val="0"/>
        <w:keepLines w:val="0"/>
        <w:pageBreakBefore w:val="0"/>
        <w:widowControl w:val="0"/>
        <w:kinsoku/>
        <w:wordWrap/>
        <w:overflowPunct/>
        <w:topLinePunct w:val="0"/>
        <w:autoSpaceDE/>
        <w:autoSpaceDN/>
        <w:bidi w:val="0"/>
        <w:adjustRightInd w:val="0"/>
        <w:snapToGrid w:val="0"/>
        <w:spacing w:line="360" w:lineRule="auto"/>
        <w:ind w:right="0" w:firstLine="464" w:firstLineChars="200"/>
        <w:textAlignment w:val="auto"/>
        <w:rPr>
          <w:rFonts w:hint="eastAsia" w:ascii="宋体" w:hAnsi="宋体" w:cs="宋体"/>
          <w:bCs/>
          <w:color w:val="000000" w:themeColor="text1"/>
          <w:spacing w:val="-4"/>
          <w:kern w:val="0"/>
          <w:sz w:val="24"/>
          <w:szCs w:val="24"/>
          <w:highlight w:val="none"/>
          <w14:textFill>
            <w14:solidFill>
              <w14:schemeClr w14:val="tx1"/>
            </w14:solidFill>
          </w14:textFill>
        </w:rPr>
      </w:pPr>
      <w:r>
        <w:rPr>
          <w:rFonts w:hint="eastAsia" w:ascii="宋体" w:hAnsi="宋体" w:cs="宋体"/>
          <w:bCs/>
          <w:color w:val="000000" w:themeColor="text1"/>
          <w:spacing w:val="-4"/>
          <w:kern w:val="0"/>
          <w:sz w:val="24"/>
          <w:szCs w:val="24"/>
          <w:highlight w:val="none"/>
          <w14:textFill>
            <w14:solidFill>
              <w14:schemeClr w14:val="tx1"/>
            </w14:solidFill>
          </w14:textFill>
        </w:rPr>
        <w:t>（2）若原担保过期达10天（含）仍未提交新履约担保的，则乙方承担一般违约责任；若原担保过期达30天（含）仍未提交新履约担保的，则乙方须再承担严重违约责任。</w:t>
      </w:r>
    </w:p>
    <w:p w14:paraId="4FF9DE5C">
      <w:pPr>
        <w:keepNext w:val="0"/>
        <w:keepLines w:val="0"/>
        <w:pageBreakBefore w:val="0"/>
        <w:widowControl w:val="0"/>
        <w:kinsoku/>
        <w:wordWrap/>
        <w:overflowPunct/>
        <w:topLinePunct w:val="0"/>
        <w:autoSpaceDE/>
        <w:autoSpaceDN/>
        <w:bidi w:val="0"/>
        <w:adjustRightInd w:val="0"/>
        <w:snapToGrid w:val="0"/>
        <w:spacing w:line="360" w:lineRule="auto"/>
        <w:ind w:right="0" w:firstLine="464" w:firstLineChars="200"/>
        <w:textAlignment w:val="auto"/>
        <w:rPr>
          <w:rFonts w:ascii="宋体" w:hAnsi="宋体" w:cs="宋体"/>
          <w:bCs/>
          <w:color w:val="000000" w:themeColor="text1"/>
          <w:spacing w:val="-4"/>
          <w:kern w:val="0"/>
          <w:sz w:val="24"/>
          <w:szCs w:val="24"/>
          <w:highlight w:val="none"/>
          <w14:textFill>
            <w14:solidFill>
              <w14:schemeClr w14:val="tx1"/>
            </w14:solidFill>
          </w14:textFill>
        </w:rPr>
      </w:pPr>
      <w:r>
        <w:rPr>
          <w:rFonts w:hint="eastAsia" w:ascii="宋体" w:hAnsi="宋体" w:cs="宋体"/>
          <w:bCs/>
          <w:color w:val="000000" w:themeColor="text1"/>
          <w:spacing w:val="-4"/>
          <w:kern w:val="0"/>
          <w:sz w:val="24"/>
          <w:szCs w:val="24"/>
          <w:highlight w:val="none"/>
          <w14:textFill>
            <w14:solidFill>
              <w14:schemeClr w14:val="tx1"/>
            </w14:solidFill>
          </w14:textFill>
        </w:rPr>
        <w:t>（3）若原担保过期达60天（含）仍未提交新履约担保的，则乙方除按上述约定承担违约责任外，自原担保届满第60天起，乙方应向甲方支付违约金（</w:t>
      </w:r>
      <w:r>
        <w:rPr>
          <w:rFonts w:hint="eastAsia" w:ascii="宋体" w:hAnsi="宋体" w:cs="宋体"/>
          <w:bCs/>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bCs/>
          <w:color w:val="000000" w:themeColor="text1"/>
          <w:spacing w:val="-4"/>
          <w:kern w:val="0"/>
          <w:sz w:val="24"/>
          <w:szCs w:val="24"/>
          <w:highlight w:val="none"/>
          <w14:textFill>
            <w14:solidFill>
              <w14:schemeClr w14:val="tx1"/>
            </w14:solidFill>
          </w14:textFill>
        </w:rPr>
        <w:t>3000元/天、</w:t>
      </w:r>
      <w:r>
        <w:rPr>
          <w:rFonts w:hint="eastAsia" w:ascii="宋体" w:hAnsi="宋体" w:cs="宋体"/>
          <w:bCs/>
          <w:color w:val="000000" w:themeColor="text1"/>
          <w:spacing w:val="-4"/>
          <w:kern w:val="0"/>
          <w:sz w:val="24"/>
          <w:szCs w:val="24"/>
          <w:highlight w:val="none"/>
          <w:lang w:eastAsia="zh-CN"/>
          <w14:textFill>
            <w14:solidFill>
              <w14:schemeClr w14:val="tx1"/>
            </w14:solidFill>
          </w14:textFill>
        </w:rPr>
        <w:t>☒</w:t>
      </w:r>
      <w:r>
        <w:rPr>
          <w:rFonts w:hint="eastAsia" w:ascii="宋体" w:hAnsi="宋体" w:cs="宋体"/>
          <w:bCs/>
          <w:color w:val="000000" w:themeColor="text1"/>
          <w:spacing w:val="-4"/>
          <w:kern w:val="0"/>
          <w:sz w:val="24"/>
          <w:szCs w:val="24"/>
          <w:highlight w:val="none"/>
          <w14:textFill>
            <w14:solidFill>
              <w14:schemeClr w14:val="tx1"/>
            </w14:solidFill>
          </w14:textFill>
        </w:rPr>
        <w:t>5000元/天、</w:t>
      </w:r>
      <w:r>
        <w:rPr>
          <w:rFonts w:hint="eastAsia" w:ascii="MS Mincho" w:hAnsi="MS Mincho" w:eastAsia="MS Mincho" w:cs="MS Mincho"/>
          <w:color w:val="000000" w:themeColor="text1"/>
          <w:sz w:val="24"/>
          <w:szCs w:val="24"/>
          <w:highlight w:val="none"/>
          <w14:textFill>
            <w14:solidFill>
              <w14:schemeClr w14:val="tx1"/>
            </w14:solidFill>
          </w14:textFill>
        </w:rPr>
        <w:t>☑</w:t>
      </w:r>
      <w:r>
        <w:rPr>
          <w:rFonts w:hint="eastAsia" w:ascii="宋体" w:hAnsi="宋体" w:cs="宋体"/>
          <w:bCs/>
          <w:color w:val="000000" w:themeColor="text1"/>
          <w:spacing w:val="-4"/>
          <w:kern w:val="0"/>
          <w:sz w:val="24"/>
          <w:szCs w:val="24"/>
          <w:highlight w:val="none"/>
          <w14:textFill>
            <w14:solidFill>
              <w14:schemeClr w14:val="tx1"/>
            </w14:solidFill>
          </w14:textFill>
        </w:rPr>
        <w:t>10000元/天），直至乙方提交新履约担保或提供本项目所需全部分部（子分部）工程质量验收记录及已提供竣工图证明文件（经监理人及甲方确认施工单位已提供竣工图的相关文件）。</w:t>
      </w:r>
    </w:p>
    <w:p w14:paraId="6CB30082">
      <w:pPr>
        <w:adjustRightInd w:val="0"/>
        <w:snapToGrid w:val="0"/>
        <w:spacing w:line="360" w:lineRule="auto"/>
        <w:ind w:right="11" w:firstLine="464" w:firstLineChars="200"/>
        <w:rPr>
          <w:rFonts w:ascii="宋体" w:hAnsi="宋体" w:cs="宋体"/>
          <w:color w:val="000000" w:themeColor="text1"/>
          <w:spacing w:val="-4"/>
          <w:kern w:val="0"/>
          <w:sz w:val="24"/>
          <w:szCs w:val="24"/>
          <w:highlight w:val="none"/>
          <w14:textFill>
            <w14:solidFill>
              <w14:schemeClr w14:val="tx1"/>
            </w14:solidFill>
          </w14:textFill>
        </w:rPr>
      </w:pPr>
    </w:p>
    <w:p w14:paraId="57EF8602">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第十七章  税  费</w:t>
      </w:r>
    </w:p>
    <w:p w14:paraId="0046C855">
      <w:pPr>
        <w:adjustRightInd w:val="0"/>
        <w:snapToGrid w:val="0"/>
        <w:spacing w:line="360" w:lineRule="auto"/>
        <w:ind w:firstLine="472" w:firstLineChars="196"/>
        <w:rPr>
          <w:rFonts w:ascii="宋体" w:hAnsi="宋体" w:cs="宋体"/>
          <w:b/>
          <w:color w:val="000000" w:themeColor="text1"/>
          <w:kern w:val="0"/>
          <w:sz w:val="24"/>
          <w:szCs w:val="24"/>
          <w:highlight w:val="none"/>
          <w14:textFill>
            <w14:solidFill>
              <w14:schemeClr w14:val="tx1"/>
            </w14:solidFill>
          </w14:textFill>
        </w:rPr>
      </w:pPr>
    </w:p>
    <w:p w14:paraId="268C819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31、税费</w:t>
      </w:r>
    </w:p>
    <w:p w14:paraId="168E95DD">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31.1</w:t>
      </w:r>
      <w:r>
        <w:rPr>
          <w:rFonts w:hint="eastAsia" w:ascii="宋体" w:hAnsi="宋体" w:cs="宋体"/>
          <w:color w:val="000000" w:themeColor="text1"/>
          <w:kern w:val="0"/>
          <w:sz w:val="24"/>
          <w:szCs w:val="24"/>
          <w:highlight w:val="none"/>
          <w14:textFill>
            <w14:solidFill>
              <w14:schemeClr w14:val="tx1"/>
            </w14:solidFill>
          </w14:textFill>
        </w:rPr>
        <w:t>乙方及其雇员因履行本合同而在中国境内取得的一切收入，必须依照中国税法纳税，税金全部由乙方及其雇员承担。</w:t>
      </w:r>
    </w:p>
    <w:p w14:paraId="7CFCBD34">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31.2</w:t>
      </w:r>
      <w:r>
        <w:rPr>
          <w:rFonts w:hint="eastAsia" w:ascii="宋体" w:hAnsi="宋体" w:cs="宋体"/>
          <w:color w:val="000000" w:themeColor="text1"/>
          <w:kern w:val="0"/>
          <w:sz w:val="24"/>
          <w:szCs w:val="24"/>
          <w:highlight w:val="none"/>
          <w14:textFill>
            <w14:solidFill>
              <w14:schemeClr w14:val="tx1"/>
            </w14:solidFill>
          </w14:textFill>
        </w:rPr>
        <w:t>乙方因履行本合同而在中国境内取得收入，依据中国、广东省、广州市有关法律、法规和行政规章必须缴纳的费用，全部由乙方承担。</w:t>
      </w:r>
    </w:p>
    <w:p w14:paraId="4378875E">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31.3</w:t>
      </w:r>
      <w:r>
        <w:rPr>
          <w:rFonts w:hint="eastAsia" w:ascii="宋体" w:hAnsi="宋体" w:cs="宋体"/>
          <w:color w:val="000000" w:themeColor="text1"/>
          <w:kern w:val="0"/>
          <w:sz w:val="24"/>
          <w:szCs w:val="24"/>
          <w:highlight w:val="none"/>
          <w14:textFill>
            <w14:solidFill>
              <w14:schemeClr w14:val="tx1"/>
            </w14:solidFill>
          </w14:textFill>
        </w:rPr>
        <w:t>凡因履行本合同而发生在中国以外的一切税费，全部由乙方承担。</w:t>
      </w:r>
    </w:p>
    <w:p w14:paraId="4547F890">
      <w:pPr>
        <w:adjustRightInd w:val="0"/>
        <w:snapToGrid w:val="0"/>
        <w:spacing w:line="360" w:lineRule="auto"/>
        <w:ind w:right="11" w:firstLine="403" w:firstLineChars="192"/>
        <w:rPr>
          <w:dstrike/>
          <w:color w:val="000000" w:themeColor="text1"/>
          <w:szCs w:val="21"/>
          <w:highlight w:val="none"/>
          <w14:textFill>
            <w14:solidFill>
              <w14:schemeClr w14:val="tx1"/>
            </w14:solidFill>
          </w14:textFill>
        </w:rPr>
      </w:pPr>
    </w:p>
    <w:p w14:paraId="15FD0F72">
      <w:pPr>
        <w:adjustRightInd w:val="0"/>
        <w:snapToGrid w:val="0"/>
        <w:spacing w:line="360" w:lineRule="auto"/>
        <w:jc w:val="center"/>
        <w:rPr>
          <w:rFonts w:ascii="宋体" w:hAnsi="宋体" w:cs="宋体"/>
          <w:b/>
          <w:color w:val="000000" w:themeColor="text1"/>
          <w:sz w:val="30"/>
          <w:szCs w:val="30"/>
          <w:highlight w:val="none"/>
          <w14:textFill>
            <w14:solidFill>
              <w14:schemeClr w14:val="tx1"/>
            </w14:solidFill>
          </w14:textFill>
        </w:rPr>
      </w:pPr>
    </w:p>
    <w:p w14:paraId="2EC013E4">
      <w:pPr>
        <w:pStyle w:val="3"/>
        <w:keepNext w:val="0"/>
        <w:keepLines w:val="0"/>
        <w:widowControl/>
        <w:spacing w:before="0" w:after="0" w:line="360" w:lineRule="auto"/>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第十八章  法律适用及争议的解决方式</w:t>
      </w:r>
    </w:p>
    <w:p w14:paraId="5A4C2B51">
      <w:pPr>
        <w:adjustRightInd w:val="0"/>
        <w:snapToGrid w:val="0"/>
        <w:spacing w:line="360" w:lineRule="auto"/>
        <w:ind w:firstLine="472" w:firstLineChars="196"/>
        <w:rPr>
          <w:rFonts w:ascii="宋体" w:hAnsi="宋体" w:cs="宋体"/>
          <w:b/>
          <w:color w:val="000000" w:themeColor="text1"/>
          <w:kern w:val="0"/>
          <w:sz w:val="24"/>
          <w:szCs w:val="24"/>
          <w:highlight w:val="none"/>
          <w14:textFill>
            <w14:solidFill>
              <w14:schemeClr w14:val="tx1"/>
            </w14:solidFill>
          </w14:textFill>
        </w:rPr>
      </w:pPr>
    </w:p>
    <w:p w14:paraId="047841EB">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32、法律适用及争议的解决方式</w:t>
      </w:r>
    </w:p>
    <w:p w14:paraId="4EABB6EB">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32.1</w:t>
      </w:r>
      <w:r>
        <w:rPr>
          <w:rFonts w:hint="eastAsia" w:ascii="宋体" w:hAnsi="宋体" w:cs="宋体"/>
          <w:color w:val="000000" w:themeColor="text1"/>
          <w:kern w:val="0"/>
          <w:sz w:val="24"/>
          <w:szCs w:val="24"/>
          <w:highlight w:val="none"/>
          <w14:textFill>
            <w14:solidFill>
              <w14:schemeClr w14:val="tx1"/>
            </w14:solidFill>
          </w14:textFill>
        </w:rPr>
        <w:t>本合同的订立、效力、解释、履行和争议等的解决均受中华人民共和国法律的管辖。</w:t>
      </w:r>
    </w:p>
    <w:p w14:paraId="4AACFE33">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32.2</w:t>
      </w:r>
      <w:r>
        <w:rPr>
          <w:rFonts w:hint="eastAsia" w:ascii="宋体" w:hAnsi="宋体" w:cs="宋体"/>
          <w:color w:val="000000" w:themeColor="text1"/>
          <w:kern w:val="0"/>
          <w:sz w:val="24"/>
          <w:szCs w:val="24"/>
          <w:highlight w:val="none"/>
          <w14:textFill>
            <w14:solidFill>
              <w14:schemeClr w14:val="tx1"/>
            </w14:solidFill>
          </w14:textFill>
        </w:rPr>
        <w:t>凡因履行本合同而引起的一切争议或与本合同有关的争议，应由甲乙双方通过友好协商解决。协商不成时，任何一方均有权向甲方住所地人民法院提起诉讼。</w:t>
      </w:r>
    </w:p>
    <w:p w14:paraId="562B2798">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32.3</w:t>
      </w:r>
      <w:r>
        <w:rPr>
          <w:rFonts w:hint="eastAsia" w:ascii="宋体" w:hAnsi="宋体" w:cs="宋体"/>
          <w:color w:val="000000" w:themeColor="text1"/>
          <w:kern w:val="0"/>
          <w:sz w:val="24"/>
          <w:szCs w:val="24"/>
          <w:highlight w:val="none"/>
          <w14:textFill>
            <w14:solidFill>
              <w14:schemeClr w14:val="tx1"/>
            </w14:solidFill>
          </w14:textFill>
        </w:rPr>
        <w:t>在诉讼过程中，除提交诉讼的部分之外，甲乙双方均应继续履行合同的其他条款。对于甲方依据本合同条款第28条的有关约定单方面解除合同的，乙方应及时移交资料和退场，同时不得妨碍甲方另行委托其他单位实施本合同工程的勘察、设计工作。</w:t>
      </w:r>
    </w:p>
    <w:p w14:paraId="7568D276">
      <w:pPr>
        <w:adjustRightInd w:val="0"/>
        <w:snapToGrid w:val="0"/>
        <w:spacing w:line="360" w:lineRule="auto"/>
        <w:ind w:left="1197" w:leftChars="227" w:hanging="720" w:hangingChars="300"/>
        <w:rPr>
          <w:rFonts w:ascii="宋体" w:hAnsi="宋体" w:cs="宋体"/>
          <w:color w:val="000000" w:themeColor="text1"/>
          <w:kern w:val="0"/>
          <w:sz w:val="24"/>
          <w:szCs w:val="24"/>
          <w:highlight w:val="none"/>
          <w14:textFill>
            <w14:solidFill>
              <w14:schemeClr w14:val="tx1"/>
            </w14:solidFill>
          </w14:textFill>
        </w:rPr>
      </w:pPr>
    </w:p>
    <w:p w14:paraId="1917B0E2">
      <w:pPr>
        <w:pStyle w:val="3"/>
        <w:keepNext w:val="0"/>
        <w:keepLines w:val="0"/>
        <w:widowControl/>
        <w:spacing w:before="0" w:after="0"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第十九章  保密、知识产权与专利技术</w:t>
      </w:r>
    </w:p>
    <w:p w14:paraId="21CF0D63">
      <w:pPr>
        <w:adjustRightInd w:val="0"/>
        <w:snapToGrid w:val="0"/>
        <w:spacing w:line="360" w:lineRule="auto"/>
        <w:ind w:firstLine="472" w:firstLineChars="196"/>
        <w:rPr>
          <w:rFonts w:ascii="宋体" w:hAnsi="宋体" w:cs="宋体"/>
          <w:b/>
          <w:color w:val="000000" w:themeColor="text1"/>
          <w:kern w:val="0"/>
          <w:sz w:val="24"/>
          <w:szCs w:val="24"/>
          <w:highlight w:val="none"/>
          <w14:textFill>
            <w14:solidFill>
              <w14:schemeClr w14:val="tx1"/>
            </w14:solidFill>
          </w14:textFill>
        </w:rPr>
      </w:pPr>
    </w:p>
    <w:p w14:paraId="5706C5BC">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33、保密、知识产权与专利技术</w:t>
      </w:r>
    </w:p>
    <w:p w14:paraId="3A82D2CC">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33.1</w:t>
      </w:r>
      <w:r>
        <w:rPr>
          <w:rFonts w:hint="eastAsia" w:ascii="宋体" w:hAnsi="宋体" w:cs="宋体"/>
          <w:color w:val="000000" w:themeColor="text1"/>
          <w:kern w:val="0"/>
          <w:sz w:val="24"/>
          <w:szCs w:val="24"/>
          <w:highlight w:val="none"/>
          <w14:textFill>
            <w14:solidFill>
              <w14:schemeClr w14:val="tx1"/>
            </w14:solidFill>
          </w14:textFill>
        </w:rPr>
        <w:t>甲、乙双方均负有保密义务，未经对方同意，任何一方都不得向第三方披露其因履行本合同而获得的与对方或本项目相关的资料、信息。否则，泄密方应承担由此引起的一切后果并承担赔偿责任。</w:t>
      </w:r>
    </w:p>
    <w:p w14:paraId="2B7E4B19">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33.2</w:t>
      </w:r>
      <w:r>
        <w:rPr>
          <w:rFonts w:hint="eastAsia" w:ascii="宋体" w:hAnsi="宋体" w:cs="宋体"/>
          <w:color w:val="000000" w:themeColor="text1"/>
          <w:kern w:val="0"/>
          <w:sz w:val="24"/>
          <w:szCs w:val="24"/>
          <w:highlight w:val="none"/>
          <w14:textFill>
            <w14:solidFill>
              <w14:schemeClr w14:val="tx1"/>
            </w14:solidFill>
          </w14:textFill>
        </w:rPr>
        <w:t>本合同项下工程勘察、设计成果的知识产权归甲方所有，署名权除外。乙方享有本合同项下工程勘察、设计成果文件的设计署名权，并经甲方书面同意后，可在展览或书刊中进行展示、介绍及讨论其设计模型、外观图片、装饰效果图。乙方承诺自本合同签订之日起，为本合同工程所做的全部工作的成果，包括方案设计、初步设计、施工图设计及其他勘察、设计文件、资料不再用于其他任何项目的勘察、设计，不得许可他人使用或作其他商业用途，否则甲方有权向乙方追究相关责任。</w:t>
      </w:r>
    </w:p>
    <w:p w14:paraId="59C5D13D">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33.3</w:t>
      </w:r>
      <w:r>
        <w:rPr>
          <w:rFonts w:hint="eastAsia" w:ascii="宋体" w:hAnsi="宋体" w:cs="宋体"/>
          <w:color w:val="000000" w:themeColor="text1"/>
          <w:kern w:val="0"/>
          <w:sz w:val="24"/>
          <w:szCs w:val="24"/>
          <w:highlight w:val="none"/>
          <w14:textFill>
            <w14:solidFill>
              <w14:schemeClr w14:val="tx1"/>
            </w14:solidFill>
          </w14:textFill>
        </w:rPr>
        <w:t>乙方保证本合同工程的设计文件、资料等均未侵犯第三方的知识产权及其他权利，否则必须承担由此而引起的全部法律责任。</w:t>
      </w:r>
    </w:p>
    <w:p w14:paraId="65ABFA70">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33.4</w:t>
      </w:r>
      <w:r>
        <w:rPr>
          <w:rFonts w:hint="eastAsia" w:ascii="宋体" w:hAnsi="宋体" w:cs="宋体"/>
          <w:color w:val="000000" w:themeColor="text1"/>
          <w:kern w:val="0"/>
          <w:sz w:val="24"/>
          <w:szCs w:val="24"/>
          <w:highlight w:val="none"/>
          <w14:textFill>
            <w14:solidFill>
              <w14:schemeClr w14:val="tx1"/>
            </w14:solidFill>
          </w14:textFill>
        </w:rPr>
        <w:t xml:space="preserve"> 甲方拥有乙方为本合同工程勘察、设计且按本合同要求所提交的全部勘察、设计文件、资料等的所有权及完全使用权，并在本合同执行完毕后继续拥有合法使用以上勘察、设计文件、资料等的权利（包括但不限于用作本项目宣传及工程建设学术研究交流之用等）。</w:t>
      </w:r>
    </w:p>
    <w:p w14:paraId="4C2A350A">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33.5</w:t>
      </w:r>
      <w:r>
        <w:rPr>
          <w:rFonts w:hint="eastAsia" w:ascii="宋体" w:hAnsi="宋体" w:cs="宋体"/>
          <w:color w:val="000000" w:themeColor="text1"/>
          <w:kern w:val="0"/>
          <w:sz w:val="24"/>
          <w:szCs w:val="24"/>
          <w:highlight w:val="none"/>
          <w14:textFill>
            <w14:solidFill>
              <w14:schemeClr w14:val="tx1"/>
            </w14:solidFill>
          </w14:textFill>
        </w:rPr>
        <w:t>如工程需要使用专利技术，应先征得甲方的书面认可。甲方负责办理相应的法律手续，因此而涉及的申报、试验、使用等费用列入工程建设其他费用。</w:t>
      </w:r>
    </w:p>
    <w:p w14:paraId="4F4BC9F8">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33.6</w:t>
      </w:r>
      <w:r>
        <w:rPr>
          <w:rFonts w:hint="eastAsia" w:ascii="宋体" w:hAnsi="宋体" w:cs="宋体"/>
          <w:color w:val="000000" w:themeColor="text1"/>
          <w:kern w:val="0"/>
          <w:sz w:val="24"/>
          <w:szCs w:val="24"/>
          <w:highlight w:val="none"/>
          <w14:textFill>
            <w14:solidFill>
              <w14:schemeClr w14:val="tx1"/>
            </w14:solidFill>
          </w14:textFill>
        </w:rPr>
        <w:t>擅自使用专利技术侵犯他人专利权的，由责任方依法承担有关责任。</w:t>
      </w:r>
    </w:p>
    <w:p w14:paraId="7D6C212B">
      <w:pPr>
        <w:adjustRightInd w:val="0"/>
        <w:snapToGrid w:val="0"/>
        <w:spacing w:line="360" w:lineRule="auto"/>
        <w:ind w:right="11" w:firstLine="460" w:firstLineChars="192"/>
        <w:rPr>
          <w:rFonts w:ascii="宋体" w:hAnsi="宋体" w:cs="宋体"/>
          <w:color w:val="000000" w:themeColor="text1"/>
          <w:kern w:val="0"/>
          <w:sz w:val="24"/>
          <w:szCs w:val="24"/>
          <w:highlight w:val="none"/>
          <w14:textFill>
            <w14:solidFill>
              <w14:schemeClr w14:val="tx1"/>
            </w14:solidFill>
          </w14:textFill>
        </w:rPr>
      </w:pPr>
    </w:p>
    <w:p w14:paraId="59548E36">
      <w:pPr>
        <w:pStyle w:val="3"/>
        <w:keepNext w:val="0"/>
        <w:keepLines w:val="0"/>
        <w:widowControl/>
        <w:spacing w:before="0" w:after="0"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第二十章  不可抗力</w:t>
      </w:r>
    </w:p>
    <w:p w14:paraId="4330F408">
      <w:pPr>
        <w:adjustRightInd w:val="0"/>
        <w:snapToGrid w:val="0"/>
        <w:spacing w:line="360" w:lineRule="auto"/>
        <w:ind w:firstLine="472" w:firstLineChars="196"/>
        <w:rPr>
          <w:rFonts w:ascii="宋体" w:hAnsi="宋体" w:cs="宋体"/>
          <w:b/>
          <w:color w:val="000000" w:themeColor="text1"/>
          <w:kern w:val="0"/>
          <w:sz w:val="24"/>
          <w:szCs w:val="24"/>
          <w:highlight w:val="none"/>
          <w14:textFill>
            <w14:solidFill>
              <w14:schemeClr w14:val="tx1"/>
            </w14:solidFill>
          </w14:textFill>
        </w:rPr>
      </w:pPr>
    </w:p>
    <w:p w14:paraId="1FF61785">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2"/>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34、不可抗力</w:t>
      </w:r>
    </w:p>
    <w:p w14:paraId="69C2A8E2">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jc w:val="left"/>
        <w:textAlignment w:val="auto"/>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34.1</w:t>
      </w:r>
      <w:r>
        <w:rPr>
          <w:rFonts w:hint="eastAsia" w:ascii="宋体" w:hAnsi="宋体" w:eastAsia="宋体" w:cs="宋体"/>
          <w:color w:val="000000" w:themeColor="text1"/>
          <w:kern w:val="0"/>
          <w:sz w:val="24"/>
          <w:szCs w:val="24"/>
          <w:highlight w:val="none"/>
          <w14:textFill>
            <w14:solidFill>
              <w14:schemeClr w14:val="tx1"/>
            </w14:solidFill>
          </w14:textFill>
        </w:rPr>
        <w:t>不可抗力，是指不能预见、不能避免并不能克服、对本合同的勘察、设计或服务工作造成实质性影响的自然灾害和战争、动乱（不包括乙方内部的任何纠纷和纷争）等社会事件。</w:t>
      </w:r>
    </w:p>
    <w:p w14:paraId="016F9F1D">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jc w:val="left"/>
        <w:textAlignment w:val="auto"/>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34.2</w:t>
      </w:r>
      <w:r>
        <w:rPr>
          <w:rFonts w:hint="eastAsia" w:ascii="宋体" w:hAnsi="宋体" w:eastAsia="宋体" w:cs="宋体"/>
          <w:color w:val="000000" w:themeColor="text1"/>
          <w:kern w:val="0"/>
          <w:sz w:val="24"/>
          <w:szCs w:val="24"/>
          <w:highlight w:val="none"/>
          <w14:textFill>
            <w14:solidFill>
              <w14:schemeClr w14:val="tx1"/>
            </w14:solidFill>
          </w14:textFill>
        </w:rPr>
        <w:t>自然灾害的范围及其认定方式，按如下约定执行：</w:t>
      </w:r>
    </w:p>
    <w:p w14:paraId="0897F5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14:paraId="647CD8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（2）里氏5级（含5级）以上的地震。</w:t>
      </w:r>
    </w:p>
    <w:p w14:paraId="2D57DCFF">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jc w:val="left"/>
        <w:textAlignment w:val="auto"/>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34.3</w:t>
      </w:r>
      <w:r>
        <w:rPr>
          <w:rFonts w:hint="eastAsia" w:ascii="宋体" w:hAnsi="宋体" w:eastAsia="宋体" w:cs="宋体"/>
          <w:color w:val="000000" w:themeColor="text1"/>
          <w:kern w:val="0"/>
          <w:sz w:val="24"/>
          <w:szCs w:val="24"/>
          <w:highlight w:val="none"/>
          <w14:textFill>
            <w14:solidFill>
              <w14:schemeClr w14:val="tx1"/>
            </w14:solidFill>
          </w14:textFill>
        </w:rPr>
        <w:t>政府关于本项目政策的重大调整或项目建设规划方案重大功能性调整，也属不可抗力。</w:t>
      </w:r>
    </w:p>
    <w:p w14:paraId="2889295F">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jc w:val="left"/>
        <w:textAlignment w:val="auto"/>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34.4</w:t>
      </w:r>
      <w:r>
        <w:rPr>
          <w:rFonts w:hint="eastAsia" w:ascii="宋体" w:hAnsi="宋体" w:eastAsia="宋体" w:cs="宋体"/>
          <w:color w:val="000000" w:themeColor="text1"/>
          <w:sz w:val="24"/>
          <w:szCs w:val="24"/>
          <w:highlight w:val="none"/>
          <w14:textFill>
            <w14:solidFill>
              <w14:schemeClr w14:val="tx1"/>
            </w14:solidFill>
          </w14:textFill>
        </w:rPr>
        <w:t>因不可抗力事件导致的费用损失，由甲、乙双方各自承担自己的损失。对不可抗力事件导致的乙方勘察、设计成果文件提交时间的延误，由双方协商确定乙方提交勘察、设计成果的提交时间。</w:t>
      </w:r>
    </w:p>
    <w:p w14:paraId="7F09A48D">
      <w:pPr>
        <w:pStyle w:val="3"/>
        <w:keepNext w:val="0"/>
        <w:keepLines w:val="0"/>
        <w:widowControl/>
        <w:spacing w:before="0" w:after="0"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第二十一章  合同生效、解除与其他</w:t>
      </w:r>
    </w:p>
    <w:p w14:paraId="5121EAC2">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outlineLvl w:val="2"/>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35、合同生效、解除及其他</w:t>
      </w:r>
    </w:p>
    <w:p w14:paraId="445AC621">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35.1</w:t>
      </w:r>
      <w:r>
        <w:rPr>
          <w:rFonts w:cs="宋体"/>
          <w:color w:val="000000" w:themeColor="text1"/>
          <w:highlight w:val="none"/>
          <w14:textFill>
            <w14:solidFill>
              <w14:schemeClr w14:val="tx1"/>
            </w14:solidFill>
          </w14:textFill>
        </w:rPr>
        <w:t>本合同的生效及终止按本合同协议书第</w:t>
      </w:r>
      <w:r>
        <w:rPr>
          <w:color w:val="000000" w:themeColor="text1"/>
          <w:highlight w:val="none"/>
          <w14:textFill>
            <w14:solidFill>
              <w14:schemeClr w14:val="tx1"/>
            </w14:solidFill>
          </w14:textFill>
        </w:rPr>
        <w:t>12</w:t>
      </w:r>
      <w:r>
        <w:rPr>
          <w:rFonts w:cs="宋体"/>
          <w:color w:val="000000" w:themeColor="text1"/>
          <w:highlight w:val="none"/>
          <w14:textFill>
            <w14:solidFill>
              <w14:schemeClr w14:val="tx1"/>
            </w14:solidFill>
          </w14:textFill>
        </w:rPr>
        <w:t>条的约定执行。</w:t>
      </w:r>
    </w:p>
    <w:p w14:paraId="2E96FF18">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35.2</w:t>
      </w:r>
      <w:r>
        <w:rPr>
          <w:rFonts w:cs="宋体"/>
          <w:color w:val="000000" w:themeColor="text1"/>
          <w:highlight w:val="none"/>
          <w14:textFill>
            <w14:solidFill>
              <w14:schemeClr w14:val="tx1"/>
            </w14:solidFill>
          </w14:textFill>
        </w:rPr>
        <w:t>本合同第三篇所列的附件均为本合同不可分割的组成部分。</w:t>
      </w:r>
    </w:p>
    <w:p w14:paraId="69C83AC5">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35.3</w:t>
      </w:r>
      <w:r>
        <w:rPr>
          <w:rFonts w:cs="宋体"/>
          <w:color w:val="000000" w:themeColor="text1"/>
          <w:highlight w:val="none"/>
          <w14:textFill>
            <w14:solidFill>
              <w14:schemeClr w14:val="tx1"/>
            </w14:solidFill>
          </w14:textFill>
        </w:rPr>
        <w:t>甲、乙双方经协商一致，可以解除合同。</w:t>
      </w:r>
    </w:p>
    <w:p w14:paraId="5BCB4EE5">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35.4</w:t>
      </w:r>
      <w:r>
        <w:rPr>
          <w:rFonts w:cs="宋体"/>
          <w:color w:val="000000" w:themeColor="text1"/>
          <w:highlight w:val="none"/>
          <w14:textFill>
            <w14:solidFill>
              <w14:schemeClr w14:val="tx1"/>
            </w14:solidFill>
          </w14:textFill>
        </w:rPr>
        <w:t>发生下列情形之一，甲、乙任何一方均可解除合同，但应以书面形式向对方发出解除合同的通知，通知到达时合同即解除。对解除合同有争议的，按本合同条款第</w:t>
      </w:r>
      <w:r>
        <w:rPr>
          <w:color w:val="000000" w:themeColor="text1"/>
          <w:highlight w:val="none"/>
          <w14:textFill>
            <w14:solidFill>
              <w14:schemeClr w14:val="tx1"/>
            </w14:solidFill>
          </w14:textFill>
        </w:rPr>
        <w:t>32</w:t>
      </w:r>
      <w:r>
        <w:rPr>
          <w:rFonts w:cs="宋体"/>
          <w:color w:val="000000" w:themeColor="text1"/>
          <w:highlight w:val="none"/>
          <w14:textFill>
            <w14:solidFill>
              <w14:schemeClr w14:val="tx1"/>
            </w14:solidFill>
          </w14:textFill>
        </w:rPr>
        <w:t>条的约定处理。</w:t>
      </w:r>
    </w:p>
    <w:p w14:paraId="2A91D344">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highlight w:val="none"/>
          <w14:textFill>
            <w14:solidFill>
              <w14:schemeClr w14:val="tx1"/>
            </w14:solidFill>
          </w14:textFill>
        </w:rPr>
        <w:t>）因不可抗力致使合同无法履行；</w:t>
      </w:r>
    </w:p>
    <w:p w14:paraId="4BC5AF51">
      <w:pPr>
        <w:pStyle w:val="13"/>
        <w:adjustRightInd w:val="0"/>
        <w:snapToGrid w:val="0"/>
        <w:spacing w:beforeAutospacing="0" w:afterAutospacing="0" w:line="360" w:lineRule="auto"/>
        <w:ind w:firstLine="480" w:firstLineChars="200"/>
        <w:rPr>
          <w:rFonts w:hint="default"/>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）因一方违约致使合同无法履行。</w:t>
      </w:r>
    </w:p>
    <w:p w14:paraId="30AF7CA7">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35.5</w:t>
      </w:r>
      <w:r>
        <w:rPr>
          <w:rFonts w:cs="宋体"/>
          <w:color w:val="000000" w:themeColor="text1"/>
          <w:highlight w:val="none"/>
          <w14:textFill>
            <w14:solidFill>
              <w14:schemeClr w14:val="tx1"/>
            </w14:solidFill>
          </w14:textFill>
        </w:rPr>
        <w:t>合同解除后，不影响双方在合同中约定的结算和清理条款的效力。乙方应妥善做好已完工项目的保护和移交工作。同时，有过错方应当向无过错方赔偿因解除合同所造成的损失。</w:t>
      </w:r>
    </w:p>
    <w:p w14:paraId="603D62DF">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35.6</w:t>
      </w:r>
      <w:r>
        <w:rPr>
          <w:rFonts w:cs="宋体"/>
          <w:color w:val="000000" w:themeColor="text1"/>
          <w:highlight w:val="none"/>
          <w14:textFill>
            <w14:solidFill>
              <w14:schemeClr w14:val="tx1"/>
            </w14:solidFill>
          </w14:textFill>
        </w:rPr>
        <w:t>乙方承诺严格按照合同和招投标文件规定履行义务，并同意甲方将其履行合同、招投标文件义务的情况和不诚信行为（包括但不限于由甲方组织的考核、考评通报、作出的违约责任处理决定等）在甲方网站和建设项目业主网站及其他媒体上公开披露，由此造成的一切损失和不利后果均由乙方自行承担。</w:t>
      </w:r>
    </w:p>
    <w:p w14:paraId="3DDA69EA">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35.7</w:t>
      </w:r>
      <w:r>
        <w:rPr>
          <w:rFonts w:cs="宋体"/>
          <w:color w:val="000000" w:themeColor="text1"/>
          <w:highlight w:val="none"/>
          <w14:textFill>
            <w14:solidFill>
              <w14:schemeClr w14:val="tx1"/>
            </w14:solidFill>
          </w14:textFill>
        </w:rPr>
        <w:t>本合同未尽事宜，由甲乙双方另行签订补充协议。</w:t>
      </w:r>
    </w:p>
    <w:p w14:paraId="66FC8CA2">
      <w:pPr>
        <w:pStyle w:val="1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outlineLvl w:val="9"/>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（本页以下无正文）</w:t>
      </w:r>
    </w:p>
    <w:p w14:paraId="76B92B9D">
      <w:pPr>
        <w:adjustRightInd w:val="0"/>
        <w:snapToGrid w:val="0"/>
        <w:spacing w:line="360" w:lineRule="auto"/>
        <w:jc w:val="center"/>
        <w:outlineLvl w:val="1"/>
        <w:rPr>
          <w:rFonts w:ascii="宋体" w:hAnsi="宋体" w:cs="宋体"/>
          <w:b/>
          <w:color w:val="000000" w:themeColor="text1"/>
          <w:kern w:val="0"/>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kern w:val="0"/>
          <w:sz w:val="44"/>
          <w:szCs w:val="44"/>
          <w:highlight w:val="none"/>
          <w14:textFill>
            <w14:solidFill>
              <w14:schemeClr w14:val="tx1"/>
            </w14:solidFill>
          </w14:textFill>
        </w:rPr>
        <w:t>第三篇  合同附件</w:t>
      </w:r>
    </w:p>
    <w:p w14:paraId="70F740FF">
      <w:pPr>
        <w:adjustRightInd w:val="0"/>
        <w:snapToGrid w:val="0"/>
        <w:spacing w:line="360" w:lineRule="auto"/>
        <w:jc w:val="center"/>
        <w:rPr>
          <w:rFonts w:ascii="宋体" w:hAnsi="宋体" w:cs="宋体"/>
          <w:b/>
          <w:color w:val="000000" w:themeColor="text1"/>
          <w:kern w:val="0"/>
          <w:sz w:val="24"/>
          <w:szCs w:val="24"/>
          <w:highlight w:val="none"/>
          <w14:textFill>
            <w14:solidFill>
              <w14:schemeClr w14:val="tx1"/>
            </w14:solidFill>
          </w14:textFill>
        </w:rPr>
      </w:pPr>
    </w:p>
    <w:p w14:paraId="22D776A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附件1：工程建设廉洁协议书</w:t>
      </w:r>
    </w:p>
    <w:p w14:paraId="3240778A">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工程建设廉洁协议书</w:t>
      </w:r>
    </w:p>
    <w:p w14:paraId="33AE7BE9">
      <w:pPr>
        <w:adjustRightInd w:val="0"/>
        <w:snapToGrid w:val="0"/>
        <w:spacing w:line="312" w:lineRule="auto"/>
        <w:rPr>
          <w:rFonts w:ascii="宋体" w:hAnsi="宋体" w:cs="宋体"/>
          <w:color w:val="000000" w:themeColor="text1"/>
          <w:szCs w:val="21"/>
          <w:highlight w:val="none"/>
          <w14:textFill>
            <w14:solidFill>
              <w14:schemeClr w14:val="tx1"/>
            </w14:solidFill>
          </w14:textFill>
        </w:rPr>
      </w:pPr>
    </w:p>
    <w:p w14:paraId="25B07B5E">
      <w:pPr>
        <w:adjustRightInd w:val="0"/>
        <w:snapToGrid w:val="0"/>
        <w:spacing w:line="312" w:lineRule="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工程项目名称：</w:t>
      </w:r>
      <w:r>
        <w:rPr>
          <w:rFonts w:hint="eastAsia" w:ascii="宋体" w:hAnsi="宋体" w:cs="宋体"/>
          <w:bCs/>
          <w:color w:val="000000" w:themeColor="text1"/>
          <w:kern w:val="0"/>
          <w:sz w:val="24"/>
          <w:szCs w:val="24"/>
          <w:highlight w:val="none"/>
          <w:u w:val="single"/>
          <w:lang w:eastAsia="zh-CN"/>
          <w14:textFill>
            <w14:solidFill>
              <w14:schemeClr w14:val="tx1"/>
            </w14:solidFill>
          </w14:textFill>
        </w:rPr>
        <w:t>广州市农业农村科学院东涌基地建设项目</w:t>
      </w:r>
    </w:p>
    <w:p w14:paraId="6A13329B">
      <w:pPr>
        <w:adjustRightInd w:val="0"/>
        <w:snapToGrid w:val="0"/>
        <w:spacing w:line="312" w:lineRule="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工程项目地址：</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广州市南沙区东涌镇石基村</w:t>
      </w:r>
    </w:p>
    <w:p w14:paraId="1B79D6BA">
      <w:pPr>
        <w:adjustRightInd w:val="0"/>
        <w:snapToGrid w:val="0"/>
        <w:spacing w:line="312" w:lineRule="auto"/>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甲方：广州市重点公共建设项目管理中心</w:t>
      </w:r>
    </w:p>
    <w:p w14:paraId="57C19D2F">
      <w:pPr>
        <w:adjustRightInd w:val="0"/>
        <w:snapToGrid w:val="0"/>
        <w:spacing w:line="312" w:lineRule="auto"/>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乙方：</w:t>
      </w:r>
    </w:p>
    <w:p w14:paraId="10A6379F">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p>
    <w:p w14:paraId="5B68065A">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为切实加强廉洁工程建设，规范甲乙双方的各项建筑活动，预防本工程违法违纪等腐败现象的发生，保障工程建设优质、安全和廉洁，根据国家工程建设相关法律法规和廉政建设责任制的规定，特订立协议书。</w:t>
      </w:r>
    </w:p>
    <w:p w14:paraId="5A1E5E3E">
      <w:pPr>
        <w:adjustRightInd w:val="0"/>
        <w:snapToGrid w:val="0"/>
        <w:spacing w:line="312"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第一条 甲、乙双方责任</w:t>
      </w:r>
    </w:p>
    <w:p w14:paraId="38BA2E3D">
      <w:pPr>
        <w:adjustRightInd w:val="0"/>
        <w:snapToGrid w:val="0"/>
        <w:spacing w:line="312"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（一）严格遵守国家有关法律法规和政策规定，以及廉政建设的各项约定。</w:t>
      </w:r>
    </w:p>
    <w:p w14:paraId="73FE04E0">
      <w:pPr>
        <w:adjustRightInd w:val="0"/>
        <w:snapToGrid w:val="0"/>
        <w:spacing w:line="312"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（二）严格执行建设工程项目承发包合同文件，自觉按合同办事。</w:t>
      </w:r>
    </w:p>
    <w:p w14:paraId="637331AE">
      <w:pPr>
        <w:adjustRightInd w:val="0"/>
        <w:snapToGrid w:val="0"/>
        <w:spacing w:line="312"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建筑活动必须坚持公开、公平、公正、诚信、透明的原则（除法律法规另有规定者外），不得为获取不正当的利益，损害国家、集体和对方利益，不得违反国家、省、市和甲方有关工程建设管理的规章制度。</w:t>
      </w:r>
    </w:p>
    <w:p w14:paraId="76E7B05A">
      <w:pPr>
        <w:adjustRightInd w:val="0"/>
        <w:snapToGrid w:val="0"/>
        <w:spacing w:line="312"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（四）发现对方在建筑活动中存在违规、违纪、违法行为的，有权向其上级主管部门或纪检监察、检察等有关机关举报。</w:t>
      </w:r>
    </w:p>
    <w:p w14:paraId="77FD4200">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（五）甲、乙双方应充分发挥各自职能作用，积极互动形成纵向监督合力，依照本协议书规定，对本工程项目承发包合同履行情况实施监督，及时制止不廉洁行为的发生。</w:t>
      </w:r>
    </w:p>
    <w:p w14:paraId="7A073BBF">
      <w:pPr>
        <w:adjustRightInd w:val="0"/>
        <w:snapToGrid w:val="0"/>
        <w:spacing w:line="312"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第二条 甲方责任</w:t>
      </w:r>
    </w:p>
    <w:p w14:paraId="186E5752">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（一）甲方领导干部和从事该工程建设的管理人员，在建筑活动中须严格遵守以下廉洁从业规定：</w:t>
      </w:r>
    </w:p>
    <w:p w14:paraId="79CFE136">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1.不准向乙方和相关单位或个人索取钱物或接受回扣、礼金、各种有价证券、信用卡和好处费、感谢费以及其它支付凭证等。</w:t>
      </w:r>
    </w:p>
    <w:p w14:paraId="438912A2">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2.不准接受可能影响公正执行公务的乙方和相关单位或个人的礼物馈赠、宴请、各种形式俱乐部会员资格、高消费娱乐活动。</w:t>
      </w:r>
    </w:p>
    <w:p w14:paraId="2E635D02">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3.不准在乙方和相关单位报销任何应由甲方或个人负担的费用。</w:t>
      </w:r>
    </w:p>
    <w:p w14:paraId="406DA186">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4.不准要求、暗示或接受乙方和相关单位或个人为自己、配偶、子女、其他亲属朋友及身边工作人员的装修住房、婚丧嫁娶、工作安排、学习培训、经商办企业以及出国（境）、旅游、度假等支付费用。</w:t>
      </w:r>
    </w:p>
    <w:p w14:paraId="70E44BAB">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5.不准向乙方介绍配偶、子女、其他亲属朋友及身边工作人员参与同甲方项目工程合同有关的设备、材料、工程分包、劳务等经济活动。</w:t>
      </w:r>
    </w:p>
    <w:p w14:paraId="3BBF35A6">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6.不得以任何理由向乙方和相关单位推荐分包单位和要求或暗示乙方购买项目工程合同规定外的材料、设备等。</w:t>
      </w:r>
    </w:p>
    <w:p w14:paraId="22FB3F4A">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（二）合同签订后组织与乙方相关廉洁责任人见面会，进行廉洁工程建设交底，明确廉洁工程建设责任和目标任务、举报方式。</w:t>
      </w:r>
    </w:p>
    <w:p w14:paraId="1024EA95">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（三）加强对合同支付、合同结算等建设管理环节的监督管理，特别是审批效能方面的监察检查，提高建设管理服务水平。</w:t>
      </w:r>
    </w:p>
    <w:p w14:paraId="37A0D541">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（四）组织开展图片展览、法制讲座、参观监狱等活动，加强对员工的法律法规、廉洁和职业道德教育。</w:t>
      </w:r>
    </w:p>
    <w:p w14:paraId="23578006">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（五）成立监督工作机构，不定期对合同履行情况开展监督检查，对发现的有关问题，及时协调给予解决。</w:t>
      </w:r>
    </w:p>
    <w:p w14:paraId="3988824C">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第三条 乙方责任</w:t>
      </w:r>
    </w:p>
    <w:p w14:paraId="240A8B32">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（一）与甲方保持正常的业务交往，遵守以下规定：</w:t>
      </w:r>
    </w:p>
    <w:p w14:paraId="50BBD13E">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1.不准以任何理由向甲方人员行贿或赠送回扣、礼金、各种有价证券、信用卡和好处费、感谢费及其它支付凭证等。</w:t>
      </w:r>
    </w:p>
    <w:p w14:paraId="654AD02D">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2.不准以任何理由为甲方人员组织有可能影响公正执行公务的宴请、各种形式俱乐部及高消费娱乐等活动。</w:t>
      </w:r>
    </w:p>
    <w:p w14:paraId="48A144CA">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3.不准以任何理由为甲方或其个人报销应由对方或个人支付的费用。</w:t>
      </w:r>
    </w:p>
    <w:p w14:paraId="3EC861AE">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4.不准暗示或要求为甲方人员及其配偶、子女、其他亲属朋友及身边工作人员的装修住房、婚丧嫁娶、工作安排、学习培训、经商办企业以及出国（境）、旅游、度假提供方便和支付费用。</w:t>
      </w:r>
    </w:p>
    <w:p w14:paraId="41EC8BDA">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5.不准介绍和安排甲方人员及其配偶、子女、其他亲属朋友及身边工作人员参与同甲方工程项目有关的设备、材料、工程分包、劳务等经济活动。</w:t>
      </w:r>
    </w:p>
    <w:p w14:paraId="72997EEA">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（二）组织项目负责人及相关管理人员层层签订廉洁从业责任状，明确廉洁责任，形成有效的内部监督管理机制。</w:t>
      </w:r>
    </w:p>
    <w:p w14:paraId="4DD42899">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（三）按甲方要求参加廉政座谈、法制讲座、参观监狱等活动，加强对项目负责人及相关管理人员的法律法规、廉洁和职业道德教育，共同筑牢防腐防线。</w:t>
      </w:r>
    </w:p>
    <w:p w14:paraId="70C45C37">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第四条 违约责任</w:t>
      </w:r>
    </w:p>
    <w:p w14:paraId="2BE7806C">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（一）甲方违约责任</w:t>
      </w:r>
    </w:p>
    <w:p w14:paraId="4873DCA3">
      <w:pPr>
        <w:adjustRightInd w:val="0"/>
        <w:snapToGrid w:val="0"/>
        <w:spacing w:line="312"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1.甲方</w:t>
      </w:r>
      <w:r>
        <w:rPr>
          <w:rFonts w:hint="eastAsia" w:ascii="宋体" w:hAnsi="宋体" w:cs="宋体"/>
          <w:bCs/>
          <w:color w:val="000000" w:themeColor="text1"/>
          <w:sz w:val="24"/>
          <w:szCs w:val="24"/>
          <w:highlight w:val="none"/>
          <w14:textFill>
            <w14:solidFill>
              <w14:schemeClr w14:val="tx1"/>
            </w14:solidFill>
          </w14:textFill>
        </w:rPr>
        <w:t>不履行或不完全履行本协议书有关责任义务给乙方造成损失的，在乙方提交足够证据并经查证属实的情况下，由甲方赔偿其直接经济损失。</w:t>
      </w:r>
    </w:p>
    <w:p w14:paraId="7617F626">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甲方人员出现受贿等严重违法违纪违规行为的，按照管理权限，依据有关法律法规和规定给予党纪、政纪处分或组织处理；涉嫌犯罪的，移交司法机关追究刑事责任。</w:t>
      </w:r>
    </w:p>
    <w:p w14:paraId="36AC2309">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（二）乙方违约责任</w:t>
      </w:r>
    </w:p>
    <w:p w14:paraId="58F65770">
      <w:pPr>
        <w:adjustRightInd w:val="0"/>
        <w:snapToGrid w:val="0"/>
        <w:spacing w:line="312"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bCs/>
          <w:color w:val="000000" w:themeColor="text1"/>
          <w:sz w:val="24"/>
          <w:szCs w:val="24"/>
          <w:highlight w:val="none"/>
          <w14:textFill>
            <w14:solidFill>
              <w14:schemeClr w14:val="tx1"/>
            </w14:solidFill>
          </w14:textFill>
        </w:rPr>
        <w:t>乙方不履行或不完全履行本协议书有关责任义务的，</w:t>
      </w:r>
      <w:r>
        <w:rPr>
          <w:rFonts w:hint="eastAsia" w:ascii="宋体" w:hAnsi="宋体" w:cs="宋体"/>
          <w:color w:val="000000" w:themeColor="text1"/>
          <w:sz w:val="24"/>
          <w:szCs w:val="24"/>
          <w:highlight w:val="none"/>
          <w14:textFill>
            <w14:solidFill>
              <w14:schemeClr w14:val="tx1"/>
            </w14:solidFill>
          </w14:textFill>
        </w:rPr>
        <w:t>按勘察设计合同</w:t>
      </w:r>
      <w:r>
        <w:rPr>
          <w:rFonts w:hint="eastAsia" w:ascii="宋体" w:hAnsi="宋体" w:cs="宋体"/>
          <w:bCs/>
          <w:color w:val="000000" w:themeColor="text1"/>
          <w:sz w:val="24"/>
          <w:szCs w:val="24"/>
          <w:highlight w:val="none"/>
          <w14:textFill>
            <w14:solidFill>
              <w14:schemeClr w14:val="tx1"/>
            </w14:solidFill>
          </w14:textFill>
        </w:rPr>
        <w:t>规定须承担一次一般违约责任。情节较轻的，可给予书面警告；情节较重的，须承担一次严重违约责任。</w:t>
      </w:r>
    </w:p>
    <w:p w14:paraId="270ADE6F">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2.乙方</w:t>
      </w:r>
      <w:r>
        <w:rPr>
          <w:rFonts w:hint="eastAsia" w:ascii="宋体" w:hAnsi="宋体" w:cs="宋体"/>
          <w:color w:val="000000" w:themeColor="text1"/>
          <w:sz w:val="24"/>
          <w:szCs w:val="24"/>
          <w:highlight w:val="none"/>
          <w14:textFill>
            <w14:solidFill>
              <w14:schemeClr w14:val="tx1"/>
            </w14:solidFill>
          </w14:textFill>
        </w:rPr>
        <w:t>出现严重违法违纪违规行为的，按照管理权限，依据有关法律法规和规定给予党纪、政纪处分或组织处理；涉嫌犯罪的，移交司法机关追究刑事责任。</w:t>
      </w:r>
    </w:p>
    <w:p w14:paraId="34667EE7">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第五条 甲乙双方监管部门</w:t>
      </w:r>
    </w:p>
    <w:p w14:paraId="515695A5">
      <w:pPr>
        <w:adjustRightInd w:val="0"/>
        <w:snapToGrid w:val="0"/>
        <w:spacing w:line="312" w:lineRule="auto"/>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bCs/>
          <w:color w:val="000000" w:themeColor="text1"/>
          <w:kern w:val="0"/>
          <w:sz w:val="24"/>
          <w:szCs w:val="24"/>
          <w:highlight w:val="none"/>
          <w14:textFill>
            <w14:solidFill>
              <w14:schemeClr w14:val="tx1"/>
            </w14:solidFill>
          </w14:textFill>
        </w:rPr>
        <w:t>甲方监督部门：纪检</w:t>
      </w:r>
      <w:r>
        <w:rPr>
          <w:rFonts w:hint="default" w:ascii="宋体" w:hAnsi="宋体" w:cs="宋体"/>
          <w:bCs/>
          <w:color w:val="000000" w:themeColor="text1"/>
          <w:kern w:val="0"/>
          <w:sz w:val="24"/>
          <w:szCs w:val="24"/>
          <w:highlight w:val="none"/>
          <w14:textFill>
            <w14:solidFill>
              <w14:schemeClr w14:val="tx1"/>
            </w14:solidFill>
          </w14:textFill>
        </w:rPr>
        <w:t>审计</w:t>
      </w:r>
      <w:r>
        <w:rPr>
          <w:rFonts w:hint="eastAsia" w:ascii="宋体" w:hAnsi="宋体" w:cs="宋体"/>
          <w:bCs/>
          <w:color w:val="000000" w:themeColor="text1"/>
          <w:kern w:val="0"/>
          <w:sz w:val="24"/>
          <w:szCs w:val="24"/>
          <w:highlight w:val="none"/>
          <w14:textFill>
            <w14:solidFill>
              <w14:schemeClr w14:val="tx1"/>
            </w14:solidFill>
          </w14:textFill>
        </w:rPr>
        <w:t>室，举报电话/电子邮箱： 020-22905611/gcpcjj@gz.gov.cn（纪委书记信箱）。</w:t>
      </w:r>
    </w:p>
    <w:p w14:paraId="096D0DAB">
      <w:pPr>
        <w:adjustRightInd w:val="0"/>
        <w:snapToGrid w:val="0"/>
        <w:spacing w:line="312" w:lineRule="auto"/>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2.乙方监督部门：</w:t>
      </w:r>
      <w:r>
        <w:rPr>
          <w:rFonts w:hint="eastAsia" w:ascii="宋体" w:hAnsi="宋体" w:cs="宋体"/>
          <w:bCs/>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，举报电话：</w:t>
      </w:r>
      <w:r>
        <w:rPr>
          <w:rFonts w:hint="eastAsia" w:ascii="宋体" w:hAnsi="宋体" w:cs="宋体"/>
          <w:bCs/>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，廉政责任人：</w:t>
      </w:r>
      <w:r>
        <w:rPr>
          <w:rFonts w:hint="eastAsia" w:ascii="宋体" w:hAnsi="宋体" w:cs="宋体"/>
          <w:bCs/>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，职务：</w:t>
      </w:r>
      <w:r>
        <w:rPr>
          <w:rFonts w:hint="eastAsia" w:ascii="宋体" w:hAnsi="宋体" w:cs="宋体"/>
          <w:bCs/>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，上级主管部门：</w:t>
      </w:r>
      <w:r>
        <w:rPr>
          <w:rFonts w:hint="eastAsia" w:ascii="宋体" w:hAnsi="宋体" w:cs="宋体"/>
          <w:bCs/>
          <w:color w:val="000000" w:themeColor="text1"/>
          <w:kern w:val="0"/>
          <w:sz w:val="24"/>
          <w:szCs w:val="24"/>
          <w:highlight w:val="none"/>
          <w:u w:val="single"/>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w:t>
      </w:r>
    </w:p>
    <w:p w14:paraId="7DAF62C5">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第六条 本协议书作为勘察设计合同的附件，与勘察设计合同具有同等法律效力。经双方签字盖章后生效。</w:t>
      </w:r>
    </w:p>
    <w:p w14:paraId="79A230C4">
      <w:pPr>
        <w:adjustRightInd w:val="0"/>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第七条 本协议书有效期为双方签字盖章之日起至所属工程项目合同履行完毕时止。</w:t>
      </w:r>
    </w:p>
    <w:p w14:paraId="593B26DF">
      <w:pPr>
        <w:adjustRightInd w:val="0"/>
        <w:snapToGrid w:val="0"/>
        <w:spacing w:line="312"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第八条 未尽事宜，由双方协商解决。</w:t>
      </w:r>
    </w:p>
    <w:p w14:paraId="37096F1C">
      <w:pPr>
        <w:adjustRightInd w:val="0"/>
        <w:snapToGrid w:val="0"/>
        <w:spacing w:line="312"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（本页以下无正文）</w:t>
      </w:r>
    </w:p>
    <w:p w14:paraId="5E42EBF1">
      <w:pPr>
        <w:pStyle w:val="13"/>
        <w:widowControl w:val="0"/>
        <w:spacing w:beforeAutospacing="0" w:afterAutospacing="0" w:line="312" w:lineRule="auto"/>
        <w:ind w:firstLine="480" w:firstLineChars="200"/>
        <w:jc w:val="both"/>
        <w:rPr>
          <w:rFonts w:hint="default"/>
          <w:color w:val="000000" w:themeColor="text1"/>
          <w:highlight w:val="none"/>
          <w14:textFill>
            <w14:solidFill>
              <w14:schemeClr w14:val="tx1"/>
            </w14:solidFill>
          </w14:textFill>
        </w:rPr>
      </w:pPr>
    </w:p>
    <w:p w14:paraId="4C53B4D5">
      <w:pPr>
        <w:pStyle w:val="13"/>
        <w:widowControl w:val="0"/>
        <w:spacing w:beforeAutospacing="0" w:afterAutospacing="0" w:line="312" w:lineRule="auto"/>
        <w:ind w:firstLine="480" w:firstLineChars="200"/>
        <w:jc w:val="both"/>
        <w:rPr>
          <w:rFonts w:hint="default"/>
          <w:color w:val="000000" w:themeColor="text1"/>
          <w:highlight w:val="none"/>
          <w14:textFill>
            <w14:solidFill>
              <w14:schemeClr w14:val="tx1"/>
            </w14:solidFill>
          </w14:textFill>
        </w:rPr>
      </w:pPr>
    </w:p>
    <w:p w14:paraId="1E0E8D70">
      <w:pPr>
        <w:adjustRightInd w:val="0"/>
        <w:snapToGrid w:val="0"/>
        <w:spacing w:line="312" w:lineRule="auto"/>
        <w:ind w:left="6000" w:hanging="6000" w:hangingChars="25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甲方：</w:t>
      </w:r>
      <w:r>
        <w:rPr>
          <w:rFonts w:hint="eastAsia" w:ascii="宋体" w:hAnsi="宋体" w:cs="宋体"/>
          <w:b/>
          <w:color w:val="000000" w:themeColor="text1"/>
          <w:spacing w:val="-20"/>
          <w:kern w:val="0"/>
          <w:sz w:val="24"/>
          <w:szCs w:val="24"/>
          <w:highlight w:val="none"/>
          <w14:textFill>
            <w14:solidFill>
              <w14:schemeClr w14:val="tx1"/>
            </w14:solidFill>
          </w14:textFill>
        </w:rPr>
        <w:t>广州市重点公共建设项目管理中心</w:t>
      </w:r>
      <w:r>
        <w:rPr>
          <w:rFonts w:hint="eastAsia" w:ascii="宋体" w:hAnsi="宋体" w:cs="宋体"/>
          <w:color w:val="000000" w:themeColor="text1"/>
          <w:kern w:val="0"/>
          <w:sz w:val="24"/>
          <w:szCs w:val="24"/>
          <w:highlight w:val="none"/>
          <w14:textFill>
            <w14:solidFill>
              <w14:schemeClr w14:val="tx1"/>
            </w14:solidFill>
          </w14:textFill>
        </w:rPr>
        <w:t xml:space="preserve">   乙方：</w:t>
      </w:r>
    </w:p>
    <w:p w14:paraId="1CD24E7C">
      <w:pPr>
        <w:adjustRightInd w:val="0"/>
        <w:snapToGrid w:val="0"/>
        <w:spacing w:line="312" w:lineRule="auto"/>
        <w:ind w:left="6000" w:hanging="6000" w:hangingChars="25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（盖章）                       （盖章）</w:t>
      </w:r>
    </w:p>
    <w:p w14:paraId="2AA26FCE">
      <w:pPr>
        <w:adjustRightInd w:val="0"/>
        <w:snapToGrid w:val="0"/>
        <w:spacing w:line="312" w:lineRule="auto"/>
        <w:rPr>
          <w:rFonts w:ascii="宋体" w:hAnsi="宋体" w:cs="宋体"/>
          <w:color w:val="000000" w:themeColor="text1"/>
          <w:kern w:val="0"/>
          <w:sz w:val="24"/>
          <w:szCs w:val="24"/>
          <w:highlight w:val="none"/>
          <w14:textFill>
            <w14:solidFill>
              <w14:schemeClr w14:val="tx1"/>
            </w14:solidFill>
          </w14:textFill>
        </w:rPr>
      </w:pPr>
    </w:p>
    <w:p w14:paraId="65C581E5">
      <w:pPr>
        <w:adjustRightInd w:val="0"/>
        <w:snapToGrid w:val="0"/>
        <w:spacing w:line="312"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                       法定代表人：</w:t>
      </w:r>
    </w:p>
    <w:p w14:paraId="169B9C37">
      <w:pPr>
        <w:adjustRightInd w:val="0"/>
        <w:snapToGrid w:val="0"/>
        <w:spacing w:line="312" w:lineRule="auto"/>
        <w:rPr>
          <w:rFonts w:ascii="宋体" w:hAnsi="宋体" w:cs="宋体"/>
          <w:color w:val="000000" w:themeColor="text1"/>
          <w:kern w:val="0"/>
          <w:sz w:val="24"/>
          <w:szCs w:val="24"/>
          <w:highlight w:val="none"/>
          <w14:textFill>
            <w14:solidFill>
              <w14:schemeClr w14:val="tx1"/>
            </w14:solidFill>
          </w14:textFill>
        </w:rPr>
      </w:pPr>
    </w:p>
    <w:p w14:paraId="6E3B7F38">
      <w:pPr>
        <w:pStyle w:val="13"/>
        <w:widowControl w:val="0"/>
        <w:spacing w:beforeAutospacing="0" w:afterAutospacing="0"/>
        <w:ind w:firstLine="480" w:firstLineChars="200"/>
        <w:jc w:val="both"/>
        <w:rPr>
          <w:rFonts w:hint="default"/>
          <w:color w:val="000000" w:themeColor="text1"/>
          <w:highlight w:val="none"/>
          <w14:textFill>
            <w14:solidFill>
              <w14:schemeClr w14:val="tx1"/>
            </w14:solidFill>
          </w14:textFill>
        </w:rPr>
      </w:pPr>
    </w:p>
    <w:p w14:paraId="7E58AF46">
      <w:pPr>
        <w:adjustRightInd w:val="0"/>
        <w:snapToGrid w:val="0"/>
        <w:spacing w:line="312"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委托代理人：                       委托代理人：</w:t>
      </w:r>
    </w:p>
    <w:p w14:paraId="04763AE5">
      <w:pPr>
        <w:adjustRightInd w:val="0"/>
        <w:snapToGrid w:val="0"/>
        <w:spacing w:line="312" w:lineRule="auto"/>
        <w:rPr>
          <w:rFonts w:ascii="宋体" w:hAnsi="宋体" w:cs="宋体"/>
          <w:color w:val="000000" w:themeColor="text1"/>
          <w:kern w:val="0"/>
          <w:sz w:val="24"/>
          <w:szCs w:val="24"/>
          <w:highlight w:val="none"/>
          <w14:textFill>
            <w14:solidFill>
              <w14:schemeClr w14:val="tx1"/>
            </w14:solidFill>
          </w14:textFill>
        </w:rPr>
      </w:pPr>
    </w:p>
    <w:p w14:paraId="6071C84C">
      <w:pPr>
        <w:adjustRightInd w:val="0"/>
        <w:snapToGrid w:val="0"/>
        <w:spacing w:line="312"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年    月    日                     年    月    日</w:t>
      </w:r>
    </w:p>
    <w:p w14:paraId="548AD0A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3"/>
        <w:rPr>
          <w:rFonts w:hint="eastAsia" w:ascii="宋体" w:hAns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br w:type="page"/>
      </w: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：勘察费、设计费计算表</w:t>
      </w:r>
    </w:p>
    <w:p w14:paraId="78F0FB6D">
      <w:pPr>
        <w:keepNext w:val="0"/>
        <w:keepLines w:val="0"/>
        <w:pageBreakBefore w:val="0"/>
        <w:widowControl w:val="0"/>
        <w:kinsoku/>
        <w:wordWrap/>
        <w:overflowPunct/>
        <w:topLinePunct w:val="0"/>
        <w:autoSpaceDE/>
        <w:autoSpaceDN/>
        <w:bidi w:val="0"/>
        <w:adjustRightInd/>
        <w:snapToGrid/>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表一、工程勘察费计算表</w:t>
      </w:r>
    </w:p>
    <w:p w14:paraId="17F33316">
      <w:pPr>
        <w:adjustRightInd w:val="0"/>
        <w:snapToGrid w:val="0"/>
        <w:spacing w:line="360" w:lineRule="auto"/>
        <w:rPr>
          <w:rFonts w:ascii="宋体" w:hAnsi="宋体" w:cs="宋体"/>
          <w:color w:val="000000" w:themeColor="text1"/>
          <w:spacing w:val="2"/>
          <w:kern w:val="0"/>
          <w:sz w:val="24"/>
          <w:szCs w:val="24"/>
          <w:highlight w:val="none"/>
          <w14:textFill>
            <w14:solidFill>
              <w14:schemeClr w14:val="tx1"/>
            </w14:solidFill>
          </w14:textFill>
        </w:rPr>
      </w:pPr>
    </w:p>
    <w:p w14:paraId="4622A8F6">
      <w:pPr>
        <w:keepNext w:val="0"/>
        <w:keepLines w:val="0"/>
        <w:pageBreakBefore w:val="0"/>
        <w:widowControl w:val="0"/>
        <w:kinsoku/>
        <w:wordWrap/>
        <w:overflowPunct/>
        <w:topLinePunct w:val="0"/>
        <w:autoSpaceDE/>
        <w:autoSpaceDN/>
        <w:bidi w:val="0"/>
        <w:adjustRightInd/>
        <w:snapToGrid/>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表二、工程设计费计算表</w:t>
      </w:r>
    </w:p>
    <w:p w14:paraId="7AFFAA4A">
      <w:pPr>
        <w:adjustRightInd w:val="0"/>
        <w:snapToGrid w:val="0"/>
        <w:spacing w:line="360" w:lineRule="auto"/>
        <w:rPr>
          <w:rFonts w:ascii="宋体" w:hAnsi="宋体" w:cs="宋体"/>
          <w:color w:val="000000" w:themeColor="text1"/>
          <w:spacing w:val="2"/>
          <w:kern w:val="0"/>
          <w:sz w:val="24"/>
          <w:szCs w:val="24"/>
          <w:highlight w:val="none"/>
          <w14:textFill>
            <w14:solidFill>
              <w14:schemeClr w14:val="tx1"/>
            </w14:solidFill>
          </w14:textFill>
        </w:rPr>
      </w:pPr>
    </w:p>
    <w:p w14:paraId="3371D7C8">
      <w:pPr>
        <w:keepNext w:val="0"/>
        <w:keepLines w:val="0"/>
        <w:pageBreakBefore w:val="0"/>
        <w:widowControl w:val="0"/>
        <w:kinsoku/>
        <w:wordWrap/>
        <w:overflowPunct/>
        <w:topLinePunct w:val="0"/>
        <w:autoSpaceDE/>
        <w:autoSpaceDN/>
        <w:bidi w:val="0"/>
        <w:adjustRightInd/>
        <w:snapToGrid/>
        <w:textAlignment w:val="auto"/>
        <w:outlineLvl w:val="4"/>
        <w:rPr>
          <w:rFonts w:ascii="宋体" w:hAnsi="宋体" w:cs="宋体"/>
          <w:color w:val="000000" w:themeColor="text1"/>
          <w:spacing w:val="-9"/>
          <w:kern w:val="0"/>
          <w:sz w:val="24"/>
          <w:szCs w:val="24"/>
          <w:highlight w:val="none"/>
          <w14:textFill>
            <w14:solidFill>
              <w14:schemeClr w14:val="tx1"/>
            </w14:solidFill>
          </w14:textFill>
        </w:rPr>
      </w:pPr>
      <w:r>
        <w:rPr>
          <w:rFonts w:hint="eastAsia" w:ascii="宋体" w:hAnsi="宋体" w:cs="宋体"/>
          <w:color w:val="000000" w:themeColor="text1"/>
          <w:spacing w:val="2"/>
          <w:kern w:val="0"/>
          <w:sz w:val="24"/>
          <w:szCs w:val="24"/>
          <w:highlight w:val="none"/>
          <w14:textFill>
            <w14:solidFill>
              <w14:schemeClr w14:val="tx1"/>
            </w14:solidFill>
          </w14:textFill>
        </w:rPr>
        <w:t>表三、工程勘察设计费汇总</w:t>
      </w:r>
      <w:r>
        <w:rPr>
          <w:rFonts w:hint="eastAsia" w:ascii="宋体" w:hAnsi="宋体" w:cs="宋体"/>
          <w:color w:val="000000" w:themeColor="text1"/>
          <w:spacing w:val="-9"/>
          <w:kern w:val="0"/>
          <w:sz w:val="24"/>
          <w:szCs w:val="24"/>
          <w:highlight w:val="none"/>
          <w14:textFill>
            <w14:solidFill>
              <w14:schemeClr w14:val="tx1"/>
            </w14:solidFill>
          </w14:textFill>
        </w:rPr>
        <w:t>表</w:t>
      </w:r>
    </w:p>
    <w:p w14:paraId="5C7B0C2B">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979307F">
      <w:pPr>
        <w:keepNext w:val="0"/>
        <w:keepLines w:val="0"/>
        <w:pageBreakBefore w:val="0"/>
        <w:widowControl w:val="0"/>
        <w:kinsoku/>
        <w:wordWrap/>
        <w:overflowPunct/>
        <w:topLinePunct w:val="0"/>
        <w:autoSpaceDE/>
        <w:autoSpaceDN/>
        <w:bidi w:val="0"/>
        <w:adjustRightInd/>
        <w:snapToGrid/>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表四、工程设计费分摊计算表（附后）</w:t>
      </w:r>
    </w:p>
    <w:p w14:paraId="248B8826">
      <w:pPr>
        <w:pStyle w:val="13"/>
        <w:widowControl w:val="0"/>
        <w:spacing w:beforeAutospacing="0" w:afterAutospacing="0"/>
        <w:jc w:val="both"/>
        <w:rPr>
          <w:rFonts w:hint="default"/>
          <w:color w:val="000000" w:themeColor="text1"/>
          <w:highlight w:val="none"/>
          <w14:textFill>
            <w14:solidFill>
              <w14:schemeClr w14:val="tx1"/>
            </w14:solidFill>
          </w14:textFill>
        </w:rPr>
      </w:pPr>
    </w:p>
    <w:p w14:paraId="1C9F8F71">
      <w:pPr>
        <w:keepNext w:val="0"/>
        <w:keepLines w:val="0"/>
        <w:pageBreakBefore w:val="0"/>
        <w:widowControl w:val="0"/>
        <w:kinsoku/>
        <w:wordWrap/>
        <w:overflowPunct/>
        <w:topLinePunct w:val="0"/>
        <w:autoSpaceDE/>
        <w:autoSpaceDN/>
        <w:bidi w:val="0"/>
        <w:adjustRightInd/>
        <w:snapToGrid/>
        <w:textAlignment w:val="auto"/>
        <w:outlineLvl w:val="4"/>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表五、BIM正向设计技术应用费计算表</w:t>
      </w:r>
    </w:p>
    <w:p w14:paraId="17D146A4">
      <w:pPr>
        <w:pStyle w:val="14"/>
        <w:rPr>
          <w:rFonts w:hint="eastAsia" w:ascii="宋体" w:hAnsi="宋体" w:cs="宋体"/>
          <w:color w:val="000000" w:themeColor="text1"/>
          <w:kern w:val="0"/>
          <w:sz w:val="24"/>
          <w:szCs w:val="24"/>
          <w:highlight w:val="none"/>
          <w14:textFill>
            <w14:solidFill>
              <w14:schemeClr w14:val="tx1"/>
            </w14:solidFill>
          </w14:textFill>
        </w:rPr>
      </w:pPr>
    </w:p>
    <w:p w14:paraId="714BB2BE">
      <w:pPr>
        <w:keepNext w:val="0"/>
        <w:keepLines w:val="0"/>
        <w:pageBreakBefore w:val="0"/>
        <w:widowControl w:val="0"/>
        <w:kinsoku/>
        <w:wordWrap/>
        <w:overflowPunct/>
        <w:topLinePunct w:val="0"/>
        <w:autoSpaceDE/>
        <w:autoSpaceDN/>
        <w:bidi w:val="0"/>
        <w:adjustRightInd/>
        <w:snapToGrid/>
        <w:textAlignment w:val="auto"/>
        <w:outlineLvl w:val="4"/>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default" w:ascii="Calibri" w:hAnsi="Calibri" w:eastAsia="宋体" w:cs="Calibri"/>
          <w:color w:val="000000" w:themeColor="text1"/>
          <w:kern w:val="0"/>
          <w:sz w:val="24"/>
          <w:szCs w:val="24"/>
          <w:highlight w:val="none"/>
          <w:lang w:val="en-US" w:eastAsia="zh-CN" w:bidi="ar"/>
          <w14:textFill>
            <w14:solidFill>
              <w14:schemeClr w14:val="tx1"/>
            </w14:solidFill>
          </w14:textFill>
        </w:rPr>
        <w:t>表六、设计方案报审</w:t>
      </w:r>
      <w:r>
        <w:rPr>
          <w:rFonts w:hint="eastAsia" w:ascii="宋体" w:hAnsi="宋体" w:eastAsia="宋体" w:cs="Times New Roman"/>
          <w:color w:val="000000" w:themeColor="text1"/>
          <w:sz w:val="24"/>
          <w:szCs w:val="24"/>
          <w:highlight w:val="none"/>
          <w:u w:val="none"/>
          <w14:textFill>
            <w14:solidFill>
              <w14:schemeClr w14:val="tx1"/>
            </w14:solidFill>
          </w14:textFill>
        </w:rPr>
        <w:t>（含修建性详细规划编制）</w:t>
      </w:r>
      <w:r>
        <w:rPr>
          <w:rFonts w:hint="default" w:ascii="Calibri" w:hAnsi="Calibri" w:eastAsia="宋体" w:cs="Calibri"/>
          <w:color w:val="000000" w:themeColor="text1"/>
          <w:kern w:val="0"/>
          <w:sz w:val="24"/>
          <w:szCs w:val="24"/>
          <w:highlight w:val="none"/>
          <w:lang w:val="en-US" w:eastAsia="zh-CN" w:bidi="ar"/>
          <w14:textFill>
            <w14:solidFill>
              <w14:schemeClr w14:val="tx1"/>
            </w14:solidFill>
          </w14:textFill>
        </w:rPr>
        <w:t>费计算表</w:t>
      </w:r>
    </w:p>
    <w:p w14:paraId="5B18A3EE">
      <w:pPr>
        <w:pStyle w:val="14"/>
        <w:ind w:left="0" w:leftChars="0" w:firstLine="0" w:firstLineChars="0"/>
        <w:rPr>
          <w:rFonts w:hint="eastAsia" w:ascii="宋体" w:hAnsi="宋体" w:cs="宋体"/>
          <w:color w:val="000000" w:themeColor="text1"/>
          <w:kern w:val="0"/>
          <w:sz w:val="24"/>
          <w:szCs w:val="24"/>
          <w:highlight w:val="none"/>
          <w14:textFill>
            <w14:solidFill>
              <w14:schemeClr w14:val="tx1"/>
            </w14:solidFill>
          </w14:textFill>
        </w:rPr>
      </w:pPr>
    </w:p>
    <w:p w14:paraId="141AA6D5">
      <w:pPr>
        <w:pStyle w:val="13"/>
        <w:widowControl w:val="0"/>
        <w:spacing w:beforeAutospacing="0" w:afterAutospacing="0"/>
        <w:ind w:firstLine="480" w:firstLineChars="200"/>
        <w:jc w:val="both"/>
        <w:rPr>
          <w:rFonts w:hint="default"/>
          <w:color w:val="000000" w:themeColor="text1"/>
          <w:highlight w:val="none"/>
          <w14:textFill>
            <w14:solidFill>
              <w14:schemeClr w14:val="tx1"/>
            </w14:solidFill>
          </w14:textFill>
        </w:rPr>
      </w:pPr>
    </w:p>
    <w:p w14:paraId="5191D3A8">
      <w:pPr>
        <w:adjustRightInd w:val="0"/>
        <w:snapToGrid w:val="0"/>
        <w:spacing w:line="360" w:lineRule="auto"/>
        <w:rPr>
          <w:rFonts w:ascii="宋体" w:hAnsi="宋体" w:cs="宋体"/>
          <w:color w:val="000000" w:themeColor="text1"/>
          <w:spacing w:val="-9"/>
          <w:kern w:val="0"/>
          <w:sz w:val="24"/>
          <w:szCs w:val="24"/>
          <w:highlight w:val="none"/>
          <w14:textFill>
            <w14:solidFill>
              <w14:schemeClr w14:val="tx1"/>
            </w14:solidFill>
          </w14:textFill>
        </w:rPr>
      </w:pPr>
    </w:p>
    <w:p w14:paraId="6C18568A">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3"/>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pacing w:val="-9"/>
          <w:sz w:val="24"/>
          <w:szCs w:val="24"/>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：拟投入主要勘察设计人员一览表</w:t>
      </w:r>
    </w:p>
    <w:p w14:paraId="67D4BA9E">
      <w:pPr>
        <w:keepNext w:val="0"/>
        <w:keepLines w:val="0"/>
        <w:pageBreakBefore w:val="0"/>
        <w:widowControl w:val="0"/>
        <w:kinsoku/>
        <w:wordWrap/>
        <w:overflowPunct/>
        <w:topLinePunct w:val="0"/>
        <w:autoSpaceDE/>
        <w:autoSpaceDN/>
        <w:bidi w:val="0"/>
        <w:adjustRightInd/>
        <w:snapToGrid/>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表一、主要勘察设计人员表</w:t>
      </w:r>
    </w:p>
    <w:p w14:paraId="6F8F72CD">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主要勘察设计人员表</w:t>
      </w: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557"/>
        <w:gridCol w:w="1100"/>
        <w:gridCol w:w="850"/>
        <w:gridCol w:w="1000"/>
        <w:gridCol w:w="767"/>
        <w:gridCol w:w="2463"/>
      </w:tblGrid>
      <w:tr w14:paraId="1B89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14:paraId="25C20CC0">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2557" w:type="dxa"/>
            <w:tcBorders>
              <w:top w:val="single" w:color="auto" w:sz="4" w:space="0"/>
              <w:left w:val="nil"/>
              <w:bottom w:val="single" w:color="auto" w:sz="4" w:space="0"/>
              <w:right w:val="single" w:color="auto" w:sz="4" w:space="0"/>
            </w:tcBorders>
            <w:noWrap w:val="0"/>
            <w:vAlign w:val="center"/>
          </w:tcPr>
          <w:p w14:paraId="5D53042A">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专业分工</w:t>
            </w:r>
          </w:p>
        </w:tc>
        <w:tc>
          <w:tcPr>
            <w:tcW w:w="1100" w:type="dxa"/>
            <w:tcBorders>
              <w:top w:val="single" w:color="auto" w:sz="4" w:space="0"/>
              <w:left w:val="nil"/>
              <w:bottom w:val="single" w:color="auto" w:sz="4" w:space="0"/>
              <w:right w:val="single" w:color="auto" w:sz="4" w:space="0"/>
            </w:tcBorders>
            <w:noWrap w:val="0"/>
            <w:vAlign w:val="center"/>
          </w:tcPr>
          <w:p w14:paraId="1FC8C3DA">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姓名</w:t>
            </w:r>
          </w:p>
        </w:tc>
        <w:tc>
          <w:tcPr>
            <w:tcW w:w="850" w:type="dxa"/>
            <w:tcBorders>
              <w:top w:val="single" w:color="auto" w:sz="4" w:space="0"/>
              <w:left w:val="nil"/>
              <w:bottom w:val="single" w:color="auto" w:sz="4" w:space="0"/>
              <w:right w:val="single" w:color="auto" w:sz="4" w:space="0"/>
            </w:tcBorders>
            <w:noWrap w:val="0"/>
            <w:vAlign w:val="center"/>
          </w:tcPr>
          <w:p w14:paraId="37A549F8">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年龄</w:t>
            </w:r>
          </w:p>
        </w:tc>
        <w:tc>
          <w:tcPr>
            <w:tcW w:w="1000" w:type="dxa"/>
            <w:tcBorders>
              <w:top w:val="single" w:color="auto" w:sz="4" w:space="0"/>
              <w:left w:val="nil"/>
              <w:bottom w:val="single" w:color="auto" w:sz="4" w:space="0"/>
              <w:right w:val="single" w:color="auto" w:sz="4" w:space="0"/>
            </w:tcBorders>
            <w:noWrap w:val="0"/>
            <w:vAlign w:val="center"/>
          </w:tcPr>
          <w:p w14:paraId="69A7EEC1">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学历</w:t>
            </w:r>
          </w:p>
        </w:tc>
        <w:tc>
          <w:tcPr>
            <w:tcW w:w="767" w:type="dxa"/>
            <w:tcBorders>
              <w:top w:val="single" w:color="auto" w:sz="4" w:space="0"/>
              <w:left w:val="nil"/>
              <w:bottom w:val="single" w:color="auto" w:sz="4" w:space="0"/>
              <w:right w:val="single" w:color="auto" w:sz="4" w:space="0"/>
            </w:tcBorders>
            <w:noWrap w:val="0"/>
            <w:vAlign w:val="center"/>
          </w:tcPr>
          <w:p w14:paraId="44786FF3">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工龄</w:t>
            </w:r>
          </w:p>
        </w:tc>
        <w:tc>
          <w:tcPr>
            <w:tcW w:w="2463" w:type="dxa"/>
            <w:tcBorders>
              <w:top w:val="single" w:color="auto" w:sz="4" w:space="0"/>
              <w:left w:val="nil"/>
              <w:bottom w:val="single" w:color="auto" w:sz="4" w:space="0"/>
              <w:right w:val="single" w:color="auto" w:sz="4" w:space="0"/>
            </w:tcBorders>
            <w:noWrap w:val="0"/>
            <w:vAlign w:val="center"/>
          </w:tcPr>
          <w:p w14:paraId="65D3D6A0">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职称（职务）</w:t>
            </w:r>
          </w:p>
        </w:tc>
      </w:tr>
      <w:tr w14:paraId="0A5F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04E7A91B">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4"/>
                <w:szCs w:val="24"/>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6A7FED7A">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066BADEE">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44CB3E6E">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30AEAD0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24508A9A">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top"/>
          </w:tcPr>
          <w:p w14:paraId="34EFC11A">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4"/>
                <w:szCs w:val="24"/>
                <w:highlight w:val="none"/>
                <w14:textFill>
                  <w14:solidFill>
                    <w14:schemeClr w14:val="tx1"/>
                  </w14:solidFill>
                </w14:textFill>
              </w:rPr>
            </w:pPr>
          </w:p>
        </w:tc>
      </w:tr>
      <w:tr w14:paraId="4943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107FE75E">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08FDB61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049C0E52">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2813A62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40926A9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58FDA64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2E4D1A71">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3D12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2CD620E4">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3CECE08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674DD661">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0A574FC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6145954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7BCE789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37CAB15A">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282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3F87E926">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1382011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1CCCC7C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57AC99B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136B7E0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7274911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3FE4D782">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6C63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141A417A">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34B6083F">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6C934DA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684B63C5">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252D81D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3C57261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006A2841">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23D0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16E1D377">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1B5D0A92">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065F4CD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70CC094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7E562C1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51C1D2A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6CCE29C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6D00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690516B4">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0D3C0072">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09A4518E">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63296B6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6543C60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5469365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34C7595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26E9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2FD95070">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0F556195">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2A98021E">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3C06BF7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63716CC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5626BA7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2F63485E">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40E7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069695F2">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6A5D04A1">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5A29041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07A719EA">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7924680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42ED46C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6E09561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727C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64AD3AAE">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3A233E3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678D1C8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0536B22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0497EFF2">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66D1304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136E73FE">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3C89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102D756E">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7DB6E33F">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51829CF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731F133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19F5307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06F10B8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55A4E5D9">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6A4C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33BB9A8B">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2ABD5D9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39D5DF6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3503FA5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2718F18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3A13A37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7AA8537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bl>
    <w:p w14:paraId="4C894141">
      <w:pPr>
        <w:keepNext w:val="0"/>
        <w:keepLines w:val="0"/>
        <w:pageBreakBefore w:val="0"/>
        <w:widowControl w:val="0"/>
        <w:kinsoku/>
        <w:wordWrap/>
        <w:overflowPunct/>
        <w:topLinePunct w:val="0"/>
        <w:autoSpaceDE/>
        <w:autoSpaceDN/>
        <w:bidi w:val="0"/>
        <w:adjustRightInd/>
        <w:snapToGrid/>
        <w:textAlignment w:val="auto"/>
        <w:outlineLvl w:val="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s="宋体"/>
          <w:color w:val="000000" w:themeColor="text1"/>
          <w:kern w:val="0"/>
          <w:sz w:val="24"/>
          <w:szCs w:val="24"/>
          <w:highlight w:val="none"/>
          <w14:textFill>
            <w14:solidFill>
              <w14:schemeClr w14:val="tx1"/>
            </w14:solidFill>
          </w14:textFill>
        </w:rPr>
        <w:t>表二、驻场设计及服务人员表</w:t>
      </w:r>
    </w:p>
    <w:p w14:paraId="6B596837">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驻场设计及服务人员表</w:t>
      </w: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557"/>
        <w:gridCol w:w="1100"/>
        <w:gridCol w:w="850"/>
        <w:gridCol w:w="1000"/>
        <w:gridCol w:w="767"/>
        <w:gridCol w:w="2463"/>
      </w:tblGrid>
      <w:tr w14:paraId="362F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14:paraId="7BCD8A06">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2557" w:type="dxa"/>
            <w:tcBorders>
              <w:top w:val="single" w:color="auto" w:sz="4" w:space="0"/>
              <w:left w:val="nil"/>
              <w:bottom w:val="single" w:color="auto" w:sz="4" w:space="0"/>
              <w:right w:val="single" w:color="auto" w:sz="4" w:space="0"/>
            </w:tcBorders>
            <w:noWrap w:val="0"/>
            <w:vAlign w:val="center"/>
          </w:tcPr>
          <w:p w14:paraId="469BA2B3">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岗位</w:t>
            </w:r>
          </w:p>
        </w:tc>
        <w:tc>
          <w:tcPr>
            <w:tcW w:w="1100" w:type="dxa"/>
            <w:tcBorders>
              <w:top w:val="single" w:color="auto" w:sz="4" w:space="0"/>
              <w:left w:val="nil"/>
              <w:bottom w:val="single" w:color="auto" w:sz="4" w:space="0"/>
              <w:right w:val="single" w:color="auto" w:sz="4" w:space="0"/>
            </w:tcBorders>
            <w:noWrap w:val="0"/>
            <w:vAlign w:val="center"/>
          </w:tcPr>
          <w:p w14:paraId="65D61447">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姓名</w:t>
            </w:r>
          </w:p>
        </w:tc>
        <w:tc>
          <w:tcPr>
            <w:tcW w:w="850" w:type="dxa"/>
            <w:tcBorders>
              <w:top w:val="single" w:color="auto" w:sz="4" w:space="0"/>
              <w:left w:val="nil"/>
              <w:bottom w:val="single" w:color="auto" w:sz="4" w:space="0"/>
              <w:right w:val="single" w:color="auto" w:sz="4" w:space="0"/>
            </w:tcBorders>
            <w:noWrap w:val="0"/>
            <w:vAlign w:val="center"/>
          </w:tcPr>
          <w:p w14:paraId="0CF582FC">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年龄</w:t>
            </w:r>
          </w:p>
        </w:tc>
        <w:tc>
          <w:tcPr>
            <w:tcW w:w="1000" w:type="dxa"/>
            <w:tcBorders>
              <w:top w:val="single" w:color="auto" w:sz="4" w:space="0"/>
              <w:left w:val="nil"/>
              <w:bottom w:val="single" w:color="auto" w:sz="4" w:space="0"/>
              <w:right w:val="single" w:color="auto" w:sz="4" w:space="0"/>
            </w:tcBorders>
            <w:noWrap w:val="0"/>
            <w:vAlign w:val="center"/>
          </w:tcPr>
          <w:p w14:paraId="3B626F9D">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学历</w:t>
            </w:r>
          </w:p>
        </w:tc>
        <w:tc>
          <w:tcPr>
            <w:tcW w:w="767" w:type="dxa"/>
            <w:tcBorders>
              <w:top w:val="single" w:color="auto" w:sz="4" w:space="0"/>
              <w:left w:val="nil"/>
              <w:bottom w:val="single" w:color="auto" w:sz="4" w:space="0"/>
              <w:right w:val="single" w:color="auto" w:sz="4" w:space="0"/>
            </w:tcBorders>
            <w:noWrap w:val="0"/>
            <w:vAlign w:val="center"/>
          </w:tcPr>
          <w:p w14:paraId="4F59BFAD">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工龄</w:t>
            </w:r>
          </w:p>
        </w:tc>
        <w:tc>
          <w:tcPr>
            <w:tcW w:w="2463" w:type="dxa"/>
            <w:tcBorders>
              <w:top w:val="single" w:color="auto" w:sz="4" w:space="0"/>
              <w:left w:val="nil"/>
              <w:bottom w:val="single" w:color="auto" w:sz="4" w:space="0"/>
              <w:right w:val="single" w:color="auto" w:sz="4" w:space="0"/>
            </w:tcBorders>
            <w:noWrap w:val="0"/>
            <w:vAlign w:val="center"/>
          </w:tcPr>
          <w:p w14:paraId="39B3117D">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职称（职务）</w:t>
            </w:r>
          </w:p>
        </w:tc>
      </w:tr>
      <w:tr w14:paraId="5184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7386B472">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4"/>
                <w:szCs w:val="24"/>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3AD4C21A">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驻场设计</w:t>
            </w:r>
          </w:p>
        </w:tc>
        <w:tc>
          <w:tcPr>
            <w:tcW w:w="1100" w:type="dxa"/>
            <w:tcBorders>
              <w:top w:val="single" w:color="auto" w:sz="4" w:space="0"/>
              <w:left w:val="nil"/>
              <w:bottom w:val="single" w:color="auto" w:sz="4" w:space="0"/>
              <w:right w:val="single" w:color="auto" w:sz="4" w:space="0"/>
            </w:tcBorders>
            <w:noWrap w:val="0"/>
            <w:vAlign w:val="center"/>
          </w:tcPr>
          <w:p w14:paraId="1701583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3E2BC5B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5360656A">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50296E2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top"/>
          </w:tcPr>
          <w:p w14:paraId="76AB452E">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4"/>
                <w:szCs w:val="24"/>
                <w:highlight w:val="none"/>
                <w14:textFill>
                  <w14:solidFill>
                    <w14:schemeClr w14:val="tx1"/>
                  </w14:solidFill>
                </w14:textFill>
              </w:rPr>
            </w:pPr>
          </w:p>
        </w:tc>
      </w:tr>
      <w:tr w14:paraId="56CC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3785762E">
            <w:pPr>
              <w:keepNext w:val="0"/>
              <w:keepLines w:val="0"/>
              <w:suppressLineNumbers w:val="0"/>
              <w:spacing w:before="0" w:beforeAutospacing="0" w:after="0" w:afterAutospacing="0" w:line="360" w:lineRule="auto"/>
              <w:ind w:left="0" w:right="0"/>
              <w:rPr>
                <w:rFonts w:hint="default" w:ascii="宋体" w:hAnsi="宋体" w:cs="宋体"/>
                <w:b/>
                <w:color w:val="000000" w:themeColor="text1"/>
                <w:sz w:val="24"/>
                <w:szCs w:val="24"/>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17D0AD0D">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驻场服务（报建）</w:t>
            </w:r>
          </w:p>
        </w:tc>
        <w:tc>
          <w:tcPr>
            <w:tcW w:w="1100" w:type="dxa"/>
            <w:tcBorders>
              <w:top w:val="single" w:color="auto" w:sz="4" w:space="0"/>
              <w:left w:val="nil"/>
              <w:bottom w:val="single" w:color="auto" w:sz="4" w:space="0"/>
              <w:right w:val="single" w:color="auto" w:sz="4" w:space="0"/>
            </w:tcBorders>
            <w:noWrap w:val="0"/>
            <w:vAlign w:val="center"/>
          </w:tcPr>
          <w:p w14:paraId="688179CE">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2E112FCE">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2273B189">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1790A427">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71CBED60">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p>
        </w:tc>
      </w:tr>
      <w:tr w14:paraId="339B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4EF100AB">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noWrap w:val="0"/>
            <w:vAlign w:val="center"/>
          </w:tcPr>
          <w:p w14:paraId="40FF7942">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center"/>
          </w:tcPr>
          <w:p w14:paraId="0ED6CBFA">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noWrap w:val="0"/>
            <w:vAlign w:val="center"/>
          </w:tcPr>
          <w:p w14:paraId="35374D8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noWrap w:val="0"/>
            <w:vAlign w:val="center"/>
          </w:tcPr>
          <w:p w14:paraId="12C7745F">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noWrap w:val="0"/>
            <w:vAlign w:val="center"/>
          </w:tcPr>
          <w:p w14:paraId="613FD6C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noWrap w:val="0"/>
            <w:vAlign w:val="center"/>
          </w:tcPr>
          <w:p w14:paraId="43D8B575">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bl>
    <w:p w14:paraId="0C279BB8">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r>
        <w:rPr>
          <w:rFonts w:hint="eastAsia" w:ascii="宋体" w:hAnsi="宋体" w:cs="宋体"/>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：乙方履约担保（格式）及承诺书</w:t>
      </w:r>
    </w:p>
    <w:p w14:paraId="25B4AF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宋体" w:hAnsi="宋体" w:cs="宋体"/>
          <w:b/>
          <w:color w:val="000000" w:themeColor="text1"/>
          <w:spacing w:val="4"/>
          <w:kern w:val="0"/>
          <w:sz w:val="36"/>
          <w:szCs w:val="36"/>
          <w:highlight w:val="none"/>
          <w14:textFill>
            <w14:solidFill>
              <w14:schemeClr w14:val="tx1"/>
            </w14:solidFill>
          </w14:textFill>
        </w:rPr>
      </w:pPr>
      <w:r>
        <w:rPr>
          <w:rFonts w:hint="eastAsia" w:ascii="宋体" w:hAnsi="宋体" w:cs="宋体"/>
          <w:b/>
          <w:color w:val="000000" w:themeColor="text1"/>
          <w:spacing w:val="4"/>
          <w:kern w:val="0"/>
          <w:sz w:val="36"/>
          <w:szCs w:val="36"/>
          <w:highlight w:val="none"/>
          <w14:textFill>
            <w14:solidFill>
              <w14:schemeClr w14:val="tx1"/>
            </w14:solidFill>
          </w14:textFill>
        </w:rPr>
        <w:t>履约</w:t>
      </w:r>
      <w:r>
        <w:rPr>
          <w:rFonts w:ascii="宋体" w:hAnsi="宋体" w:cs="宋体"/>
          <w:b/>
          <w:color w:val="000000" w:themeColor="text1"/>
          <w:spacing w:val="4"/>
          <w:kern w:val="0"/>
          <w:sz w:val="36"/>
          <w:szCs w:val="36"/>
          <w:highlight w:val="none"/>
          <w14:textFill>
            <w14:solidFill>
              <w14:schemeClr w14:val="tx1"/>
            </w14:solidFill>
          </w14:textFill>
        </w:rPr>
        <w:t>担保</w:t>
      </w:r>
      <w:r>
        <w:rPr>
          <w:rFonts w:hint="eastAsia" w:ascii="宋体" w:hAnsi="宋体" w:cs="宋体"/>
          <w:b/>
          <w:color w:val="000000" w:themeColor="text1"/>
          <w:spacing w:val="4"/>
          <w:kern w:val="0"/>
          <w:sz w:val="36"/>
          <w:szCs w:val="36"/>
          <w:highlight w:val="none"/>
          <w14:textFill>
            <w14:solidFill>
              <w14:schemeClr w14:val="tx1"/>
            </w14:solidFill>
          </w14:textFill>
        </w:rPr>
        <w:t>（格式）</w:t>
      </w:r>
    </w:p>
    <w:p w14:paraId="2BB0890E">
      <w:pPr>
        <w:autoSpaceDE w:val="0"/>
        <w:autoSpaceDN w:val="0"/>
        <w:adjustRightInd w:val="0"/>
        <w:snapToGrid w:val="0"/>
        <w:spacing w:line="288"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编号：</w:t>
      </w:r>
    </w:p>
    <w:p w14:paraId="23C6B8AF">
      <w:pPr>
        <w:adjustRightInd w:val="0"/>
        <w:snapToGrid w:val="0"/>
        <w:spacing w:line="288"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广州市重点公共建设项目管理中心：</w:t>
      </w:r>
    </w:p>
    <w:p w14:paraId="45721A85">
      <w:pPr>
        <w:adjustRightInd w:val="0"/>
        <w:snapToGrid w:val="0"/>
        <w:spacing w:line="288"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鉴于_______________________（以下称勘察设计人）应依法按照《______________勘察设计招标文件》和勘察设计人的投标文件与贵中心订立《___________________勘察设计合同》（以下简称合同，合同编号：_________）。我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同意为勘察设计人</w:t>
      </w:r>
      <w:r>
        <w:rPr>
          <w:rFonts w:ascii="宋体" w:hAnsi="宋体" w:cs="宋体"/>
          <w:color w:val="000000" w:themeColor="text1"/>
          <w:kern w:val="0"/>
          <w:sz w:val="24"/>
          <w:szCs w:val="24"/>
          <w:highlight w:val="none"/>
          <w14:textFill>
            <w14:solidFill>
              <w14:schemeClr w14:val="tx1"/>
            </w14:solidFill>
          </w14:textFill>
        </w:rPr>
        <w:t>担保，以</w:t>
      </w:r>
      <w:r>
        <w:rPr>
          <w:rFonts w:hint="eastAsia" w:ascii="宋体" w:hAnsi="宋体" w:cs="宋体"/>
          <w:color w:val="000000" w:themeColor="text1"/>
          <w:kern w:val="0"/>
          <w:sz w:val="24"/>
          <w:szCs w:val="24"/>
          <w:highlight w:val="none"/>
          <w14:textFill>
            <w14:solidFill>
              <w14:schemeClr w14:val="tx1"/>
            </w14:solidFill>
          </w14:textFill>
        </w:rPr>
        <w:t>担保金额人民币_________元</w:t>
      </w:r>
      <w:r>
        <w:rPr>
          <w:rFonts w:ascii="宋体" w:hAnsi="宋体" w:cs="宋体"/>
          <w:color w:val="000000" w:themeColor="text1"/>
          <w:kern w:val="0"/>
          <w:sz w:val="24"/>
          <w:szCs w:val="24"/>
          <w:highlight w:val="none"/>
          <w14:textFill>
            <w14:solidFill>
              <w14:schemeClr w14:val="tx1"/>
            </w14:solidFill>
          </w14:textFill>
        </w:rPr>
        <w:t>（大写：</w:t>
      </w:r>
      <w:r>
        <w:rPr>
          <w:rFonts w:hint="eastAsia" w:ascii="宋体" w:hAnsi="宋体" w:cs="宋体"/>
          <w:color w:val="000000" w:themeColor="text1"/>
          <w:kern w:val="0"/>
          <w:sz w:val="24"/>
          <w:szCs w:val="24"/>
          <w:highlight w:val="none"/>
          <w14:textFill>
            <w14:solidFill>
              <w14:schemeClr w14:val="tx1"/>
            </w14:solidFill>
          </w14:textFill>
        </w:rPr>
        <w:t>_____________元）</w:t>
      </w:r>
      <w:r>
        <w:rPr>
          <w:rFonts w:ascii="宋体" w:hAnsi="宋体" w:cs="宋体"/>
          <w:color w:val="000000" w:themeColor="text1"/>
          <w:kern w:val="0"/>
          <w:sz w:val="24"/>
          <w:szCs w:val="24"/>
          <w:highlight w:val="none"/>
          <w14:textFill>
            <w14:solidFill>
              <w14:schemeClr w14:val="tx1"/>
            </w14:solidFill>
          </w14:textFill>
        </w:rPr>
        <w:t>向贵中心提供不可撤销的连带责任保证，</w:t>
      </w:r>
      <w:r>
        <w:rPr>
          <w:rFonts w:hint="eastAsia" w:ascii="宋体" w:hAnsi="宋体" w:cs="宋体"/>
          <w:color w:val="000000" w:themeColor="text1"/>
          <w:kern w:val="0"/>
          <w:sz w:val="24"/>
          <w:szCs w:val="24"/>
          <w:highlight w:val="none"/>
          <w14:textFill>
            <w14:solidFill>
              <w14:schemeClr w14:val="tx1"/>
            </w14:solidFill>
          </w14:textFill>
        </w:rPr>
        <w:t>担保的范围为：勘察设计人按合同约定应向贵中心履行的全部义务，包括但不限于合同约定的义务，应向贵中心支付的利息，人力资源、仪器设备、勘察设计质量及勘察设计工期等方面的违约金，损害赔偿金，实现债权的费用。</w:t>
      </w:r>
    </w:p>
    <w:p w14:paraId="65BEF412">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承诺如下：</w:t>
      </w:r>
    </w:p>
    <w:p w14:paraId="13E10FA1">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1、勘察设计人在履行合同中，由于资金、技术、质量或非不可抗力及违约等原因需向贵中心支付违约金或赔偿金时，在贵中心</w:t>
      </w:r>
      <w:r>
        <w:rPr>
          <w:rFonts w:hint="eastAsia" w:ascii="宋体" w:hAnsi="宋体" w:cs="宋体"/>
          <w:color w:val="000000" w:themeColor="text1"/>
          <w:sz w:val="24"/>
          <w:szCs w:val="24"/>
          <w:highlight w:val="none"/>
          <w14:textFill>
            <w14:solidFill>
              <w14:schemeClr w14:val="tx1"/>
            </w14:solidFill>
          </w14:textFill>
        </w:rPr>
        <w:t>以书面索赔通知纸质原件形式提出要求得到上述金额内的任何付款时（需提供本</w:t>
      </w:r>
      <w:r>
        <w:rPr>
          <w:rFonts w:ascii="宋体" w:hAnsi="宋体" w:cs="宋体"/>
          <w:color w:val="000000" w:themeColor="text1"/>
          <w:sz w:val="24"/>
          <w:szCs w:val="24"/>
          <w:highlight w:val="none"/>
          <w14:textFill>
            <w14:solidFill>
              <w14:schemeClr w14:val="tx1"/>
            </w14:solidFill>
          </w14:textFill>
        </w:rPr>
        <w:t>担保</w:t>
      </w:r>
      <w:r>
        <w:rPr>
          <w:rFonts w:hint="eastAsia" w:ascii="宋体" w:hAnsi="宋体" w:cs="宋体"/>
          <w:color w:val="000000" w:themeColor="text1"/>
          <w:sz w:val="24"/>
          <w:szCs w:val="24"/>
          <w:highlight w:val="none"/>
          <w14:textFill>
            <w14:solidFill>
              <w14:schemeClr w14:val="tx1"/>
            </w14:solidFill>
          </w14:textFill>
        </w:rPr>
        <w:t>正本原件供我</w:t>
      </w:r>
      <w:r>
        <w:rPr>
          <w:rFonts w:ascii="宋体" w:hAnsi="宋体" w:cs="宋体"/>
          <w:color w:val="000000" w:themeColor="text1"/>
          <w:sz w:val="24"/>
          <w:szCs w:val="24"/>
          <w:highlight w:val="none"/>
          <w14:textFill>
            <w14:solidFill>
              <w14:schemeClr w14:val="tx1"/>
            </w14:solidFill>
          </w14:textFill>
        </w:rPr>
        <w:t>方</w:t>
      </w:r>
      <w:r>
        <w:rPr>
          <w:rFonts w:hint="eastAsia" w:ascii="宋体" w:hAnsi="宋体" w:cs="宋体"/>
          <w:color w:val="000000" w:themeColor="text1"/>
          <w:sz w:val="24"/>
          <w:szCs w:val="24"/>
          <w:highlight w:val="none"/>
          <w14:textFill>
            <w14:solidFill>
              <w14:schemeClr w14:val="tx1"/>
            </w14:solidFill>
          </w14:textFill>
        </w:rPr>
        <w:t>核对），我</w:t>
      </w:r>
      <w:r>
        <w:rPr>
          <w:rFonts w:ascii="宋体" w:hAnsi="宋体" w:cs="宋体"/>
          <w:color w:val="000000" w:themeColor="text1"/>
          <w:sz w:val="24"/>
          <w:szCs w:val="24"/>
          <w:highlight w:val="none"/>
          <w14:textFill>
            <w14:solidFill>
              <w14:schemeClr w14:val="tx1"/>
            </w14:solidFill>
          </w14:textFill>
        </w:rPr>
        <w:t>方</w:t>
      </w:r>
      <w:r>
        <w:rPr>
          <w:rFonts w:hint="eastAsia" w:ascii="宋体" w:hAnsi="宋体" w:cs="宋体"/>
          <w:color w:val="000000" w:themeColor="text1"/>
          <w:sz w:val="24"/>
          <w:szCs w:val="24"/>
          <w:highlight w:val="none"/>
          <w14:textFill>
            <w14:solidFill>
              <w14:schemeClr w14:val="tx1"/>
            </w14:solidFill>
          </w14:textFill>
        </w:rPr>
        <w:t>在7个工作日内予以支付累计不超过上述担保金额的款项</w:t>
      </w:r>
      <w:r>
        <w:rPr>
          <w:rFonts w:hint="eastAsia" w:ascii="宋体" w:hAnsi="宋体" w:cs="宋体"/>
          <w:color w:val="000000" w:themeColor="text1"/>
          <w:kern w:val="0"/>
          <w:sz w:val="24"/>
          <w:szCs w:val="24"/>
          <w:highlight w:val="none"/>
          <w14:textFill>
            <w14:solidFill>
              <w14:schemeClr w14:val="tx1"/>
            </w14:solidFill>
          </w14:textFill>
        </w:rPr>
        <w:t>，不挑剔、不争辩，也不要求贵中心出具证明或说明背景、理由。</w:t>
      </w:r>
    </w:p>
    <w:p w14:paraId="6746AAE6">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放弃贵中心应先向勘察设计人要求赔偿上述金额然后再向我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提出要求的权利。</w:t>
      </w:r>
    </w:p>
    <w:p w14:paraId="0A7646D0">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进一步同意，在贵中心和勘察设计人之间的合同条件、合同项下的服务或合同发生变化、补充或修改，</w:t>
      </w:r>
      <w:r>
        <w:rPr>
          <w:rFonts w:hint="eastAsia" w:ascii="宋体" w:hAnsi="宋体" w:cs="宋体"/>
          <w:color w:val="000000" w:themeColor="text1"/>
          <w:sz w:val="24"/>
          <w:szCs w:val="24"/>
          <w:highlight w:val="none"/>
          <w14:textFill>
            <w14:solidFill>
              <w14:schemeClr w14:val="tx1"/>
            </w14:solidFill>
          </w14:textFill>
        </w:rPr>
        <w:t>在不加重我</w:t>
      </w:r>
      <w:r>
        <w:rPr>
          <w:rFonts w:ascii="宋体" w:hAnsi="宋体" w:cs="宋体"/>
          <w:color w:val="000000" w:themeColor="text1"/>
          <w:sz w:val="24"/>
          <w:szCs w:val="24"/>
          <w:highlight w:val="none"/>
          <w14:textFill>
            <w14:solidFill>
              <w14:schemeClr w14:val="tx1"/>
            </w14:solidFill>
          </w14:textFill>
        </w:rPr>
        <w:t>方</w:t>
      </w:r>
      <w:r>
        <w:rPr>
          <w:rFonts w:hint="eastAsia" w:ascii="宋体" w:hAnsi="宋体" w:cs="宋体"/>
          <w:color w:val="000000" w:themeColor="text1"/>
          <w:sz w:val="24"/>
          <w:szCs w:val="24"/>
          <w:highlight w:val="none"/>
          <w14:textFill>
            <w14:solidFill>
              <w14:schemeClr w14:val="tx1"/>
            </w14:solidFill>
          </w14:textFill>
        </w:rPr>
        <w:t>担保责任的情况下，</w:t>
      </w:r>
      <w:r>
        <w:rPr>
          <w:rFonts w:hint="eastAsia" w:ascii="宋体" w:hAnsi="宋体" w:cs="宋体"/>
          <w:color w:val="000000" w:themeColor="text1"/>
          <w:kern w:val="0"/>
          <w:sz w:val="24"/>
          <w:szCs w:val="24"/>
          <w:highlight w:val="none"/>
          <w14:textFill>
            <w14:solidFill>
              <w14:schemeClr w14:val="tx1"/>
            </w14:solidFill>
          </w14:textFill>
        </w:rPr>
        <w:t>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承担本</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的责任也不改变。有关上述变化、补充和修改也无须通知我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w:t>
      </w:r>
    </w:p>
    <w:p w14:paraId="7F3A891C">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b/>
          <w:color w:val="000000" w:themeColor="text1"/>
          <w:sz w:val="24"/>
          <w:szCs w:val="24"/>
          <w:highlight w:val="none"/>
          <w14:textFill>
            <w14:solidFill>
              <w14:schemeClr w14:val="tx1"/>
            </w14:solidFill>
          </w14:textFill>
        </w:rPr>
        <w:t>本</w:t>
      </w:r>
      <w:r>
        <w:rPr>
          <w:rFonts w:ascii="宋体" w:hAnsi="宋体" w:cs="宋体"/>
          <w:b/>
          <w:color w:val="000000" w:themeColor="text1"/>
          <w:sz w:val="24"/>
          <w:szCs w:val="24"/>
          <w:highlight w:val="none"/>
          <w14:textFill>
            <w14:solidFill>
              <w14:schemeClr w14:val="tx1"/>
            </w14:solidFill>
          </w14:textFill>
        </w:rPr>
        <w:t>担保</w:t>
      </w:r>
      <w:r>
        <w:rPr>
          <w:rFonts w:hint="eastAsia" w:ascii="宋体" w:hAnsi="宋体" w:cs="宋体"/>
          <w:b/>
          <w:color w:val="000000" w:themeColor="text1"/>
          <w:sz w:val="24"/>
          <w:szCs w:val="24"/>
          <w:highlight w:val="none"/>
          <w14:textFill>
            <w14:solidFill>
              <w14:schemeClr w14:val="tx1"/>
            </w14:solidFill>
          </w14:textFill>
        </w:rPr>
        <w:t>有效期间为：自本</w:t>
      </w:r>
      <w:r>
        <w:rPr>
          <w:rFonts w:ascii="宋体" w:hAnsi="宋体" w:cs="宋体"/>
          <w:b/>
          <w:color w:val="000000" w:themeColor="text1"/>
          <w:sz w:val="24"/>
          <w:szCs w:val="24"/>
          <w:highlight w:val="none"/>
          <w14:textFill>
            <w14:solidFill>
              <w14:schemeClr w14:val="tx1"/>
            </w14:solidFill>
          </w14:textFill>
        </w:rPr>
        <w:t>担保</w:t>
      </w:r>
      <w:r>
        <w:rPr>
          <w:rFonts w:hint="eastAsia" w:ascii="宋体" w:hAnsi="宋体" w:cs="宋体"/>
          <w:b/>
          <w:color w:val="000000" w:themeColor="text1"/>
          <w:sz w:val="24"/>
          <w:szCs w:val="24"/>
          <w:highlight w:val="none"/>
          <w14:textFill>
            <w14:solidFill>
              <w14:schemeClr w14:val="tx1"/>
            </w14:solidFill>
          </w14:textFill>
        </w:rPr>
        <w:t>签署之日起至勘察设计人提供本项目所需全部分部（子分部）工程质量验收记录及已提供竣工图证明文件（经</w:t>
      </w:r>
      <w:r>
        <w:rPr>
          <w:rFonts w:ascii="宋体" w:hAnsi="宋体" w:cs="宋体"/>
          <w:b/>
          <w:color w:val="000000" w:themeColor="text1"/>
          <w:sz w:val="24"/>
          <w:szCs w:val="24"/>
          <w:highlight w:val="none"/>
          <w14:textFill>
            <w14:solidFill>
              <w14:schemeClr w14:val="tx1"/>
            </w14:solidFill>
          </w14:textFill>
        </w:rPr>
        <w:t>监理人及</w:t>
      </w:r>
      <w:r>
        <w:rPr>
          <w:rFonts w:hint="eastAsia" w:ascii="宋体" w:hAnsi="宋体" w:cs="宋体"/>
          <w:b/>
          <w:color w:val="000000" w:themeColor="text1"/>
          <w:sz w:val="24"/>
          <w:szCs w:val="24"/>
          <w:highlight w:val="none"/>
          <w14:textFill>
            <w14:solidFill>
              <w14:schemeClr w14:val="tx1"/>
            </w14:solidFill>
          </w14:textFill>
        </w:rPr>
        <w:t>贵中心确认施工单位已提供竣工图的相关文件）时止，但最迟不超过</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年</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月</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日。</w:t>
      </w:r>
    </w:p>
    <w:p w14:paraId="7BB85136">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5、本</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适用中华人民共和国法律，任何与本</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有关的争议均需提交工程项目所在地人民法院提起诉讼。</w:t>
      </w:r>
    </w:p>
    <w:p w14:paraId="26D1BCAC">
      <w:pPr>
        <w:autoSpaceDE w:val="0"/>
        <w:autoSpaceDN w:val="0"/>
        <w:adjustRightInd w:val="0"/>
        <w:snapToGrid w:val="0"/>
        <w:spacing w:after="240"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自我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负责人（或委托代理人）签字并加盖公章之日起生效。</w:t>
      </w:r>
    </w:p>
    <w:p w14:paraId="723934F0">
      <w:pPr>
        <w:autoSpaceDE w:val="0"/>
        <w:autoSpaceDN w:val="0"/>
        <w:adjustRightInd w:val="0"/>
        <w:snapToGrid w:val="0"/>
        <w:spacing w:line="288" w:lineRule="auto"/>
        <w:ind w:firstLine="4298" w:firstLineChars="1791"/>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保证</w:t>
      </w:r>
      <w:r>
        <w:rPr>
          <w:rFonts w:hint="eastAsia" w:ascii="宋体" w:hAnsi="宋体" w:cs="宋体"/>
          <w:color w:val="000000" w:themeColor="text1"/>
          <w:kern w:val="0"/>
          <w:sz w:val="24"/>
          <w:szCs w:val="24"/>
          <w:highlight w:val="none"/>
          <w14:textFill>
            <w14:solidFill>
              <w14:schemeClr w14:val="tx1"/>
            </w14:solidFill>
          </w14:textFill>
        </w:rPr>
        <w:t>人：（盖章）</w:t>
      </w:r>
    </w:p>
    <w:p w14:paraId="1E8A4D1E">
      <w:pPr>
        <w:autoSpaceDE w:val="0"/>
        <w:autoSpaceDN w:val="0"/>
        <w:adjustRightInd w:val="0"/>
        <w:snapToGrid w:val="0"/>
        <w:spacing w:line="288" w:lineRule="auto"/>
        <w:ind w:firstLine="4176" w:firstLineChars="18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负责人</w:t>
      </w:r>
      <w:r>
        <w:rPr>
          <w:rFonts w:hint="eastAsia" w:ascii="宋体" w:hAnsi="宋体" w:cs="宋体"/>
          <w:color w:val="000000" w:themeColor="text1"/>
          <w:kern w:val="0"/>
          <w:sz w:val="24"/>
          <w:szCs w:val="24"/>
          <w:highlight w:val="none"/>
          <w14:textFill>
            <w14:solidFill>
              <w14:schemeClr w14:val="tx1"/>
            </w14:solidFill>
          </w14:textFill>
        </w:rPr>
        <w:t>（或委托代理人）：</w:t>
      </w:r>
    </w:p>
    <w:p w14:paraId="4F05B4A0">
      <w:pPr>
        <w:autoSpaceDE w:val="0"/>
        <w:autoSpaceDN w:val="0"/>
        <w:adjustRightInd w:val="0"/>
        <w:snapToGrid w:val="0"/>
        <w:spacing w:line="288" w:lineRule="auto"/>
        <w:ind w:firstLine="4300" w:firstLineChars="179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地址：</w:t>
      </w:r>
    </w:p>
    <w:p w14:paraId="711E8AAC">
      <w:pPr>
        <w:autoSpaceDE w:val="0"/>
        <w:autoSpaceDN w:val="0"/>
        <w:adjustRightInd w:val="0"/>
        <w:snapToGrid w:val="0"/>
        <w:spacing w:line="288" w:lineRule="auto"/>
        <w:ind w:firstLine="4300" w:firstLineChars="179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邮政编码：</w:t>
      </w:r>
    </w:p>
    <w:p w14:paraId="3C616DB2">
      <w:pPr>
        <w:autoSpaceDE w:val="0"/>
        <w:autoSpaceDN w:val="0"/>
        <w:adjustRightInd w:val="0"/>
        <w:snapToGrid w:val="0"/>
        <w:spacing w:line="288" w:lineRule="auto"/>
        <w:ind w:firstLine="4300" w:firstLineChars="179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w:t>
      </w:r>
    </w:p>
    <w:p w14:paraId="0E410C02">
      <w:pPr>
        <w:adjustRightInd w:val="0"/>
        <w:snapToGrid w:val="0"/>
        <w:spacing w:line="288"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日期：___年___月__日</w:t>
      </w:r>
    </w:p>
    <w:p w14:paraId="443456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883" w:firstLineChars="200"/>
        <w:textAlignment w:val="auto"/>
        <w:outlineLvl w:val="9"/>
        <w:rPr>
          <w:rFonts w:ascii="宋体" w:hAnsi="宋体" w:cs="宋体"/>
          <w:b/>
          <w:color w:val="000000" w:themeColor="text1"/>
          <w:kern w:val="0"/>
          <w:sz w:val="44"/>
          <w:szCs w:val="44"/>
          <w:highlight w:val="none"/>
          <w14:textFill>
            <w14:solidFill>
              <w14:schemeClr w14:val="tx1"/>
            </w14:solidFill>
          </w14:textFill>
        </w:rPr>
      </w:pPr>
    </w:p>
    <w:p w14:paraId="76D0D9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宋体" w:hAnsi="宋体" w:cs="宋体"/>
          <w:b/>
          <w:color w:val="000000" w:themeColor="text1"/>
          <w:kern w:val="0"/>
          <w:sz w:val="44"/>
          <w:szCs w:val="44"/>
          <w:highlight w:val="none"/>
          <w14:textFill>
            <w14:solidFill>
              <w14:schemeClr w14:val="tx1"/>
            </w14:solidFill>
          </w14:textFill>
        </w:rPr>
      </w:pPr>
      <w:r>
        <w:rPr>
          <w:rFonts w:hint="eastAsia" w:ascii="宋体" w:hAnsi="宋体" w:cs="宋体"/>
          <w:b/>
          <w:color w:val="000000" w:themeColor="text1"/>
          <w:kern w:val="0"/>
          <w:sz w:val="44"/>
          <w:szCs w:val="44"/>
          <w:highlight w:val="none"/>
          <w14:textFill>
            <w14:solidFill>
              <w14:schemeClr w14:val="tx1"/>
            </w14:solidFill>
          </w14:textFill>
        </w:rPr>
        <w:t>承 诺 书</w:t>
      </w:r>
    </w:p>
    <w:p w14:paraId="1F63A696">
      <w:pPr>
        <w:autoSpaceDE w:val="0"/>
        <w:autoSpaceDN w:val="0"/>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p>
    <w:p w14:paraId="34C52461">
      <w:pPr>
        <w:autoSpaceDE w:val="0"/>
        <w:autoSpaceDN w:val="0"/>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广州市重点公共建设项目管理中心：</w:t>
      </w:r>
    </w:p>
    <w:p w14:paraId="01AE779B">
      <w:pPr>
        <w:autoSpaceDE w:val="0"/>
        <w:autoSpaceDN w:val="0"/>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我单位已于年月日向贵中心提交了______________________工程勘察设计的履约</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s="宋体"/>
          <w:color w:val="000000" w:themeColor="text1"/>
          <w:kern w:val="0"/>
          <w:sz w:val="24"/>
          <w:szCs w:val="24"/>
          <w:highlight w:val="none"/>
          <w14:textFill>
            <w14:solidFill>
              <w14:schemeClr w14:val="tx1"/>
            </w14:solidFill>
          </w14:textFill>
        </w:rPr>
        <w:t>最长有效期至______年___月___日。</w:t>
      </w:r>
    </w:p>
    <w:p w14:paraId="055F3941">
      <w:pPr>
        <w:snapToGrid w:val="0"/>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如在</w:t>
      </w:r>
      <w:r>
        <w:rPr>
          <w:rFonts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t>最长有效期届满时，我单位未提供本项目所需全部分部（子分部）工程质量验收记录及已提供竣工图证明文件（经</w:t>
      </w:r>
      <w:r>
        <w:rPr>
          <w:rFonts w:ascii="宋体" w:hAnsi="宋体" w:cs="宋体"/>
          <w:color w:val="000000" w:themeColor="text1"/>
          <w:sz w:val="24"/>
          <w:szCs w:val="24"/>
          <w:highlight w:val="none"/>
          <w14:textFill>
            <w14:solidFill>
              <w14:schemeClr w14:val="tx1"/>
            </w14:solidFill>
          </w14:textFill>
        </w:rPr>
        <w:t>监理人及</w:t>
      </w:r>
      <w:r>
        <w:rPr>
          <w:rFonts w:hint="eastAsia" w:ascii="宋体" w:hAnsi="宋体" w:cs="宋体"/>
          <w:color w:val="000000" w:themeColor="text1"/>
          <w:sz w:val="24"/>
          <w:szCs w:val="24"/>
          <w:highlight w:val="none"/>
          <w14:textFill>
            <w14:solidFill>
              <w14:schemeClr w14:val="tx1"/>
            </w14:solidFill>
          </w14:textFill>
        </w:rPr>
        <w:t>贵中心确认施工单位已提供竣工图的相关文件），我</w:t>
      </w:r>
      <w:r>
        <w:rPr>
          <w:rFonts w:hint="eastAsia" w:ascii="宋体" w:hAnsi="宋体" w:cs="宋体"/>
          <w:color w:val="000000" w:themeColor="text1"/>
          <w:kern w:val="0"/>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14:textFill>
            <w14:solidFill>
              <w14:schemeClr w14:val="tx1"/>
            </w14:solidFill>
          </w14:textFill>
        </w:rPr>
        <w:t>将在</w:t>
      </w:r>
      <w:r>
        <w:rPr>
          <w:rFonts w:ascii="宋体" w:hAnsi="宋体" w:cs="宋体"/>
          <w:color w:val="000000" w:themeColor="text1"/>
          <w:sz w:val="24"/>
          <w:szCs w:val="24"/>
          <w:highlight w:val="none"/>
          <w14:textFill>
            <w14:solidFill>
              <w14:schemeClr w14:val="tx1"/>
            </w14:solidFill>
          </w14:textFill>
        </w:rPr>
        <w:t>履约担</w:t>
      </w:r>
      <w:r>
        <w:rPr>
          <w:rFonts w:hint="eastAsia" w:ascii="宋体" w:hAnsi="宋体" w:cs="宋体"/>
          <w:color w:val="000000" w:themeColor="text1"/>
          <w:sz w:val="24"/>
          <w:szCs w:val="24"/>
          <w:highlight w:val="none"/>
          <w14:textFill>
            <w14:solidFill>
              <w14:schemeClr w14:val="tx1"/>
            </w14:solidFill>
          </w14:textFill>
        </w:rPr>
        <w:t>保最长有效期届满三天前按原</w:t>
      </w:r>
      <w:r>
        <w:rPr>
          <w:rFonts w:ascii="宋体" w:hAnsi="宋体" w:cs="宋体"/>
          <w:color w:val="000000" w:themeColor="text1"/>
          <w:sz w:val="24"/>
          <w:szCs w:val="24"/>
          <w:highlight w:val="none"/>
          <w14:textFill>
            <w14:solidFill>
              <w14:schemeClr w14:val="tx1"/>
            </w14:solidFill>
          </w14:textFill>
        </w:rPr>
        <w:t>担</w:t>
      </w:r>
      <w:r>
        <w:rPr>
          <w:rFonts w:hint="eastAsia" w:ascii="宋体" w:hAnsi="宋体" w:cs="宋体"/>
          <w:color w:val="000000" w:themeColor="text1"/>
          <w:sz w:val="24"/>
          <w:szCs w:val="24"/>
          <w:highlight w:val="none"/>
          <w14:textFill>
            <w14:solidFill>
              <w14:schemeClr w14:val="tx1"/>
            </w14:solidFill>
          </w14:textFill>
        </w:rPr>
        <w:t>保格式提交新的</w:t>
      </w:r>
      <w:r>
        <w:rPr>
          <w:rFonts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t>，否则，贵中心有权暂停支付余下的合同价款，直至我</w:t>
      </w:r>
      <w:r>
        <w:rPr>
          <w:rFonts w:hint="eastAsia" w:ascii="宋体" w:hAnsi="宋体" w:cs="宋体"/>
          <w:color w:val="000000" w:themeColor="text1"/>
          <w:kern w:val="0"/>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14:textFill>
            <w14:solidFill>
              <w14:schemeClr w14:val="tx1"/>
            </w14:solidFill>
          </w14:textFill>
        </w:rPr>
        <w:t>提交新的</w:t>
      </w:r>
      <w:r>
        <w:rPr>
          <w:rFonts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t>或提供本项目所需全部分部（子分部）工程质量验收记录及已提供竣工图证明文件（经</w:t>
      </w:r>
      <w:r>
        <w:rPr>
          <w:rFonts w:ascii="宋体" w:hAnsi="宋体" w:cs="宋体"/>
          <w:color w:val="000000" w:themeColor="text1"/>
          <w:sz w:val="24"/>
          <w:szCs w:val="24"/>
          <w:highlight w:val="none"/>
          <w14:textFill>
            <w14:solidFill>
              <w14:schemeClr w14:val="tx1"/>
            </w14:solidFill>
          </w14:textFill>
        </w:rPr>
        <w:t>监理人及</w:t>
      </w:r>
      <w:r>
        <w:rPr>
          <w:rFonts w:hint="eastAsia" w:ascii="宋体" w:hAnsi="宋体" w:cs="宋体"/>
          <w:color w:val="000000" w:themeColor="text1"/>
          <w:sz w:val="24"/>
          <w:szCs w:val="24"/>
          <w:highlight w:val="none"/>
          <w14:textFill>
            <w14:solidFill>
              <w14:schemeClr w14:val="tx1"/>
            </w14:solidFill>
          </w14:textFill>
        </w:rPr>
        <w:t>贵中心确认施工单位已提供竣工图的相关文件）。</w:t>
      </w:r>
    </w:p>
    <w:p w14:paraId="7E1C3156">
      <w:pPr>
        <w:autoSpaceDE w:val="0"/>
        <w:autoSpaceDN w:val="0"/>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p>
    <w:p w14:paraId="4047C6BC">
      <w:pPr>
        <w:autoSpaceDE w:val="0"/>
        <w:autoSpaceDN w:val="0"/>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特此承诺。</w:t>
      </w:r>
    </w:p>
    <w:p w14:paraId="4EE23889">
      <w:pPr>
        <w:autoSpaceDE w:val="0"/>
        <w:autoSpaceDN w:val="0"/>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6170522">
      <w:pPr>
        <w:autoSpaceDE w:val="0"/>
        <w:autoSpaceDN w:val="0"/>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6E3F299A">
      <w:pPr>
        <w:adjustRightInd w:val="0"/>
        <w:snapToGrid w:val="0"/>
        <w:spacing w:line="360" w:lineRule="auto"/>
        <w:ind w:firstLine="4320" w:firstLineChars="18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承诺人： </w:t>
      </w:r>
    </w:p>
    <w:p w14:paraId="017CF87C">
      <w:pPr>
        <w:adjustRightInd w:val="0"/>
        <w:snapToGrid w:val="0"/>
        <w:spacing w:line="360" w:lineRule="auto"/>
        <w:ind w:firstLine="6120" w:firstLineChars="25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（盖章）</w:t>
      </w:r>
    </w:p>
    <w:p w14:paraId="21462DBA">
      <w:pPr>
        <w:adjustRightInd w:val="0"/>
        <w:snapToGrid w:val="0"/>
        <w:spacing w:line="360" w:lineRule="auto"/>
        <w:ind w:firstLine="5880" w:firstLineChars="24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年     月    日</w:t>
      </w:r>
    </w:p>
    <w:p w14:paraId="19F74A24">
      <w:pPr>
        <w:adjustRightInd/>
        <w:snapToGrid/>
        <w:spacing w:line="240" w:lineRule="auto"/>
        <w:ind w:firstLine="0" w:firstLineChars="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p>
    <w:p w14:paraId="17791499">
      <w:pPr>
        <w:keepNext w:val="0"/>
        <w:keepLines w:val="0"/>
        <w:widowControl w:val="0"/>
        <w:suppressLineNumbers w:val="0"/>
        <w:adjustRightInd w:val="0"/>
        <w:snapToGrid w:val="0"/>
        <w:spacing w:before="0" w:beforeAutospacing="0" w:after="0" w:afterAutospacing="0" w:line="360" w:lineRule="auto"/>
        <w:ind w:left="0" w:right="0" w:firstLine="0" w:firstLineChars="0"/>
        <w:jc w:val="center"/>
        <w:outlineLvl w:val="2"/>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关于按时提交履约担保的承诺书</w:t>
      </w:r>
    </w:p>
    <w:p w14:paraId="3693FAE5">
      <w:pPr>
        <w:keepNext w:val="0"/>
        <w:keepLines w:val="0"/>
        <w:widowControl w:val="0"/>
        <w:suppressLineNumbers w:val="0"/>
        <w:adjustRightInd w:val="0"/>
        <w:snapToGrid w:val="0"/>
        <w:spacing w:before="0" w:beforeAutospacing="0" w:after="0" w:afterAutospacing="0" w:line="360" w:lineRule="auto"/>
        <w:ind w:left="0" w:right="0" w:firstLine="5880" w:firstLineChars="24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157A0F1">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firstLineChars="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广州市重点公共建设项目管理中心：</w:t>
      </w:r>
    </w:p>
    <w:p w14:paraId="6E5D1E36">
      <w:pPr>
        <w:keepNext w:val="0"/>
        <w:keepLines w:val="0"/>
        <w:widowControl w:val="0"/>
        <w:suppressLineNumbers w:val="0"/>
        <w:snapToGrid w:val="0"/>
        <w:spacing w:before="0" w:beforeAutospacing="0" w:after="0" w:afterAutospacing="0" w:line="360" w:lineRule="auto"/>
        <w:ind w:left="0" w:right="11" w:firstLine="460" w:firstLineChars="192"/>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我司已于  年  月   日收到</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的《中标通知书》。我司承诺在合同签订后一个月内且在贵中心支付第一次进度款前，按招标文件载明的格式向贵中心提交由在中华人民共和国注册并经贵中心认可的担保机构开出的担保金额为合同价款10%的《履约担保》原件。否则，贵中心有权暂停支付进度款，由此造成的一切损失由我司自行承担；且贵中心有权单方面部分解除或解除本合同，并按合同专用条款第28.1(5)、(6)款及29.1、29.2、</w:t>
      </w:r>
      <w:r>
        <w:rPr>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30.1（4）</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款的有关约定执行。</w:t>
      </w:r>
    </w:p>
    <w:p w14:paraId="6BDC813C">
      <w:pPr>
        <w:keepNext w:val="0"/>
        <w:keepLines w:val="0"/>
        <w:widowControl w:val="0"/>
        <w:suppressLineNumbers w:val="0"/>
        <w:snapToGrid w:val="0"/>
        <w:spacing w:before="0" w:beforeAutospacing="0" w:after="0" w:afterAutospacing="0" w:line="360" w:lineRule="auto"/>
        <w:ind w:left="0" w:right="0" w:firstLine="480" w:firstLineChars="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14:paraId="244214CB">
      <w:pPr>
        <w:keepNext w:val="0"/>
        <w:keepLines w:val="0"/>
        <w:widowControl w:val="0"/>
        <w:suppressLineNumbers w:val="0"/>
        <w:snapToGrid w:val="0"/>
        <w:spacing w:before="0" w:beforeAutospacing="0" w:after="0" w:afterAutospacing="0" w:line="360" w:lineRule="auto"/>
        <w:ind w:left="0" w:right="0" w:firstLine="480" w:firstLineChars="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特此承诺。</w:t>
      </w:r>
    </w:p>
    <w:p w14:paraId="230EF2D9">
      <w:pPr>
        <w:keepNext w:val="0"/>
        <w:keepLines w:val="0"/>
        <w:widowControl w:val="0"/>
        <w:suppressLineNumbers w:val="0"/>
        <w:adjustRightInd w:val="0"/>
        <w:snapToGrid w:val="0"/>
        <w:spacing w:before="0" w:beforeAutospacing="0" w:after="0" w:afterAutospacing="0" w:line="360" w:lineRule="auto"/>
        <w:ind w:left="0" w:right="0" w:firstLine="5880" w:firstLineChars="24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9946258">
      <w:pPr>
        <w:keepNext w:val="0"/>
        <w:keepLines w:val="0"/>
        <w:widowControl w:val="0"/>
        <w:suppressLineNumbers w:val="0"/>
        <w:adjustRightInd w:val="0"/>
        <w:snapToGrid w:val="0"/>
        <w:spacing w:before="0" w:beforeAutospacing="0" w:after="0" w:afterAutospacing="0" w:line="360" w:lineRule="auto"/>
        <w:ind w:left="0" w:right="0" w:firstLine="5880" w:firstLineChars="245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承诺人：                 </w:t>
      </w:r>
    </w:p>
    <w:p w14:paraId="718A679E">
      <w:pPr>
        <w:keepNext w:val="0"/>
        <w:keepLines w:val="0"/>
        <w:widowControl w:val="0"/>
        <w:suppressLineNumbers w:val="0"/>
        <w:adjustRightInd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法定代表人：</w:t>
      </w:r>
    </w:p>
    <w:p w14:paraId="2A02B6BE">
      <w:pPr>
        <w:keepNext w:val="0"/>
        <w:keepLines w:val="0"/>
        <w:widowControl w:val="0"/>
        <w:suppressLineNumbers w:val="0"/>
        <w:adjustRightInd w:val="0"/>
        <w:snapToGrid w:val="0"/>
        <w:spacing w:before="0" w:beforeAutospacing="0" w:after="0" w:afterAutospacing="0" w:line="360" w:lineRule="auto"/>
        <w:ind w:left="0" w:right="0" w:firstLine="5880" w:firstLineChars="245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日期：     年   月   日</w:t>
      </w:r>
    </w:p>
    <w:p w14:paraId="19189BB7">
      <w:pPr>
        <w:adjustRightInd w:val="0"/>
        <w:snapToGrid w:val="0"/>
        <w:spacing w:line="360" w:lineRule="auto"/>
        <w:ind w:firstLine="0" w:firstLineChars="0"/>
        <w:rPr>
          <w:rFonts w:hint="eastAsia" w:ascii="宋体" w:hAnsi="宋体" w:cs="宋体"/>
          <w:color w:val="000000" w:themeColor="text1"/>
          <w:kern w:val="0"/>
          <w:sz w:val="24"/>
          <w:szCs w:val="24"/>
          <w:highlight w:val="none"/>
          <w14:textFill>
            <w14:solidFill>
              <w14:schemeClr w14:val="tx1"/>
            </w14:solidFill>
          </w14:textFill>
        </w:rPr>
      </w:pPr>
    </w:p>
    <w:p w14:paraId="3FFE2E98">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7B8F13AD">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127411AC">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6817C40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EB149D4">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B2AA2BE">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827AAF5">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485B620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5AF73236">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5BE713B2">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3219DB4E">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09E113E">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296DC02C">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0FCC022">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附件</w:t>
      </w: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lang w:val="en-US" w:eastAsia="zh-CN"/>
          <w14:textFill>
            <w14:solidFill>
              <w14:schemeClr w14:val="tx1"/>
            </w14:solidFill>
          </w14:textFill>
        </w:rPr>
        <w:t>6</w:t>
      </w:r>
      <w:r>
        <w:rPr>
          <w:rFonts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lang w:val="en-US" w:eastAsia="zh-CN"/>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（另册）</w:t>
      </w:r>
    </w:p>
    <w:p w14:paraId="2905D85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3"/>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附件</w:t>
      </w:r>
      <w:r>
        <w:rPr>
          <w:rFonts w:hint="eastAsia" w:ascii="宋体" w:hAnsi="宋体" w:cs="宋体"/>
          <w:bCs/>
          <w:color w:val="000000" w:themeColor="text1"/>
          <w:kern w:val="0"/>
          <w:sz w:val="24"/>
          <w:szCs w:val="24"/>
          <w:highlight w:val="none"/>
          <w:lang w:val="en-US" w:eastAsia="zh-CN"/>
          <w14:textFill>
            <w14:solidFill>
              <w14:schemeClr w14:val="tx1"/>
            </w14:solidFill>
          </w14:textFill>
        </w:rPr>
        <w:t>8</w:t>
      </w:r>
      <w:r>
        <w:rPr>
          <w:rFonts w:hint="eastAsia" w:ascii="宋体" w:hAnsi="宋体" w:cs="宋体"/>
          <w:bCs/>
          <w:color w:val="000000" w:themeColor="text1"/>
          <w:kern w:val="0"/>
          <w:sz w:val="24"/>
          <w:szCs w:val="24"/>
          <w:highlight w:val="none"/>
          <w14:textFill>
            <w14:solidFill>
              <w14:schemeClr w14:val="tx1"/>
            </w14:solidFill>
          </w14:textFill>
        </w:rPr>
        <w:t>：本项目勘察设计任务书</w:t>
      </w:r>
    </w:p>
    <w:p w14:paraId="6D360849">
      <w:pPr>
        <w:spacing w:line="360" w:lineRule="auto"/>
        <w:ind w:firstLine="480" w:firstLineChars="200"/>
        <w:rPr>
          <w:rFonts w:eastAsia="黑体"/>
          <w:bCs/>
          <w:color w:val="000000" w:themeColor="text1"/>
          <w:kern w:val="0"/>
          <w:sz w:val="24"/>
          <w:szCs w:val="24"/>
          <w:highlight w:val="none"/>
          <w14:textFill>
            <w14:solidFill>
              <w14:schemeClr w14:val="tx1"/>
            </w14:solidFill>
          </w14:textFill>
        </w:rPr>
      </w:pPr>
    </w:p>
    <w:p w14:paraId="0044E13E">
      <w:pPr>
        <w:spacing w:line="360" w:lineRule="auto"/>
        <w:ind w:firstLine="480" w:firstLineChars="200"/>
        <w:rPr>
          <w:rFonts w:ascii="宋体" w:hAnsi="宋体" w:cs="Courier New"/>
          <w:color w:val="000000" w:themeColor="text1"/>
          <w:sz w:val="24"/>
          <w:szCs w:val="24"/>
          <w:highlight w:val="none"/>
          <w14:textFill>
            <w14:solidFill>
              <w14:schemeClr w14:val="tx1"/>
            </w14:solidFill>
          </w14:textFill>
        </w:rPr>
      </w:pPr>
    </w:p>
    <w:p w14:paraId="6CDDDE1D">
      <w:pPr>
        <w:spacing w:line="360" w:lineRule="auto"/>
        <w:ind w:firstLine="480" w:firstLineChars="200"/>
        <w:rPr>
          <w:rFonts w:ascii="宋体" w:hAnsi="宋体" w:cs="Courier New"/>
          <w:color w:val="000000" w:themeColor="text1"/>
          <w:sz w:val="24"/>
          <w:szCs w:val="24"/>
          <w:highlight w:val="none"/>
          <w14:textFill>
            <w14:solidFill>
              <w14:schemeClr w14:val="tx1"/>
            </w14:solidFill>
          </w14:textFill>
        </w:rPr>
      </w:pPr>
    </w:p>
    <w:p w14:paraId="668F4727">
      <w:pPr>
        <w:spacing w:line="360" w:lineRule="auto"/>
        <w:ind w:firstLine="480" w:firstLineChars="200"/>
        <w:rPr>
          <w:rFonts w:ascii="宋体" w:hAnsi="宋体" w:cs="Courier New"/>
          <w:color w:val="000000" w:themeColor="text1"/>
          <w:sz w:val="24"/>
          <w:szCs w:val="24"/>
          <w:highlight w:val="none"/>
          <w14:textFill>
            <w14:solidFill>
              <w14:schemeClr w14:val="tx1"/>
            </w14:solidFill>
          </w14:textFill>
        </w:rPr>
      </w:pPr>
    </w:p>
    <w:p w14:paraId="5D14DB32">
      <w:pPr>
        <w:spacing w:line="360" w:lineRule="auto"/>
        <w:ind w:firstLine="480" w:firstLineChars="200"/>
        <w:rPr>
          <w:rFonts w:ascii="宋体" w:hAnsi="宋体" w:cs="Courier New"/>
          <w:color w:val="000000" w:themeColor="text1"/>
          <w:sz w:val="24"/>
          <w:szCs w:val="24"/>
          <w:highlight w:val="none"/>
          <w14:textFill>
            <w14:solidFill>
              <w14:schemeClr w14:val="tx1"/>
            </w14:solidFill>
          </w14:textFill>
        </w:rPr>
      </w:pPr>
    </w:p>
    <w:p w14:paraId="1B351F40">
      <w:pPr>
        <w:spacing w:line="360" w:lineRule="auto"/>
        <w:ind w:firstLine="480" w:firstLineChars="200"/>
        <w:rPr>
          <w:rFonts w:ascii="宋体" w:hAnsi="宋体" w:cs="Courier New"/>
          <w:color w:val="000000" w:themeColor="text1"/>
          <w:sz w:val="24"/>
          <w:szCs w:val="24"/>
          <w:highlight w:val="none"/>
          <w14:textFill>
            <w14:solidFill>
              <w14:schemeClr w14:val="tx1"/>
            </w14:solidFill>
          </w14:textFill>
        </w:rPr>
      </w:pPr>
    </w:p>
    <w:p w14:paraId="65F55F32">
      <w:pPr>
        <w:spacing w:line="360" w:lineRule="auto"/>
        <w:ind w:firstLine="480" w:firstLineChars="200"/>
        <w:rPr>
          <w:rFonts w:ascii="宋体" w:hAnsi="宋体" w:cs="Courier New"/>
          <w:color w:val="000000" w:themeColor="text1"/>
          <w:sz w:val="24"/>
          <w:szCs w:val="24"/>
          <w:highlight w:val="none"/>
          <w14:textFill>
            <w14:solidFill>
              <w14:schemeClr w14:val="tx1"/>
            </w14:solidFill>
          </w14:textFill>
        </w:rPr>
      </w:pPr>
    </w:p>
    <w:p w14:paraId="73B2B5AE">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60083CB6">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39BB1337">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1EC0FD71">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4324994C">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5616C881">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623EDE58">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5202157E">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15A872F1">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24CAB849">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6F6EC4EC">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6F11ABD3">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7A6743E4">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5C666944">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6DC01236">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0C0C38F2">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121431F3">
      <w:pPr>
        <w:adjustRightInd w:val="0"/>
        <w:snapToGrid w:val="0"/>
        <w:spacing w:line="360" w:lineRule="auto"/>
        <w:rPr>
          <w:rFonts w:ascii="黑体" w:hAnsi="宋体" w:eastAsia="黑体" w:cs="黑体"/>
          <w:color w:val="000000" w:themeColor="text1"/>
          <w:sz w:val="30"/>
          <w:szCs w:val="30"/>
          <w:highlight w:val="none"/>
          <w14:textFill>
            <w14:solidFill>
              <w14:schemeClr w14:val="tx1"/>
            </w14:solidFill>
          </w14:textFill>
        </w:rPr>
      </w:pPr>
    </w:p>
    <w:p w14:paraId="3ACE3CF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附件</w:t>
      </w: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cs="宋体"/>
          <w:color w:val="000000" w:themeColor="text1"/>
          <w:kern w:val="0"/>
          <w:sz w:val="24"/>
          <w:szCs w:val="24"/>
          <w:highlight w:val="none"/>
          <w14:textFill>
            <w14:solidFill>
              <w14:schemeClr w14:val="tx1"/>
            </w14:solidFill>
          </w14:textFill>
        </w:rPr>
        <w:t>：乙方营业执照及其法定代表人、项目负责人的姓名、身份证复印件、职务、职称、联系方式</w:t>
      </w:r>
    </w:p>
    <w:p w14:paraId="13431EFB">
      <w:pPr>
        <w:pStyle w:val="13"/>
        <w:widowControl w:val="0"/>
        <w:spacing w:beforeAutospacing="0" w:afterAutospacing="0"/>
        <w:ind w:firstLine="480" w:firstLineChars="200"/>
        <w:rPr>
          <w:rFonts w:hint="default"/>
          <w:color w:val="000000" w:themeColor="text1"/>
          <w:highlight w:val="none"/>
          <w14:textFill>
            <w14:solidFill>
              <w14:schemeClr w14:val="tx1"/>
            </w14:solidFill>
          </w14:textFill>
        </w:rPr>
      </w:pPr>
    </w:p>
    <w:p w14:paraId="7DEC3D34">
      <w:pPr>
        <w:adjustRightInd w:val="0"/>
        <w:snapToGrid w:val="0"/>
        <w:spacing w:line="360" w:lineRule="auto"/>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乙方营业执照</w:t>
      </w:r>
    </w:p>
    <w:p w14:paraId="7FB7F039">
      <w:pPr>
        <w:pStyle w:val="13"/>
        <w:widowControl w:val="0"/>
        <w:spacing w:beforeAutospacing="0" w:afterAutospacing="0"/>
        <w:ind w:firstLine="480" w:firstLineChars="200"/>
        <w:jc w:val="both"/>
        <w:rPr>
          <w:rFonts w:hint="default"/>
          <w:color w:val="000000" w:themeColor="text1"/>
          <w:highlight w:val="none"/>
          <w14:textFill>
            <w14:solidFill>
              <w14:schemeClr w14:val="tx1"/>
            </w14:solidFill>
          </w14:textFill>
        </w:rPr>
      </w:pPr>
    </w:p>
    <w:tbl>
      <w:tblPr>
        <w:tblStyle w:val="15"/>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2E97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14:paraId="7C61AF6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乙方法定代表人</w:t>
            </w:r>
          </w:p>
        </w:tc>
      </w:tr>
      <w:tr w14:paraId="462E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6A65EB7A">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法定代表人的姓名</w:t>
            </w:r>
          </w:p>
        </w:tc>
        <w:tc>
          <w:tcPr>
            <w:tcW w:w="4278" w:type="dxa"/>
            <w:tcBorders>
              <w:top w:val="single" w:color="auto" w:sz="4" w:space="0"/>
              <w:left w:val="nil"/>
              <w:bottom w:val="single" w:color="auto" w:sz="4" w:space="0"/>
              <w:right w:val="single" w:color="auto" w:sz="4" w:space="0"/>
            </w:tcBorders>
            <w:noWrap w:val="0"/>
            <w:vAlign w:val="center"/>
          </w:tcPr>
          <w:p w14:paraId="42C4ECE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047B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1889534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身份证号码</w:t>
            </w:r>
          </w:p>
        </w:tc>
        <w:tc>
          <w:tcPr>
            <w:tcW w:w="4278" w:type="dxa"/>
            <w:tcBorders>
              <w:top w:val="single" w:color="auto" w:sz="4" w:space="0"/>
              <w:left w:val="nil"/>
              <w:bottom w:val="single" w:color="auto" w:sz="4" w:space="0"/>
              <w:right w:val="single" w:color="auto" w:sz="4" w:space="0"/>
            </w:tcBorders>
            <w:noWrap w:val="0"/>
            <w:vAlign w:val="center"/>
          </w:tcPr>
          <w:p w14:paraId="7995F15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0170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3DCBACD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职务</w:t>
            </w:r>
          </w:p>
        </w:tc>
        <w:tc>
          <w:tcPr>
            <w:tcW w:w="4278" w:type="dxa"/>
            <w:tcBorders>
              <w:top w:val="single" w:color="auto" w:sz="4" w:space="0"/>
              <w:left w:val="nil"/>
              <w:bottom w:val="single" w:color="auto" w:sz="4" w:space="0"/>
              <w:right w:val="single" w:color="auto" w:sz="4" w:space="0"/>
            </w:tcBorders>
            <w:noWrap w:val="0"/>
            <w:vAlign w:val="center"/>
          </w:tcPr>
          <w:p w14:paraId="2151BD1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3CFC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7F79A4B5">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职称</w:t>
            </w:r>
          </w:p>
        </w:tc>
        <w:tc>
          <w:tcPr>
            <w:tcW w:w="4278" w:type="dxa"/>
            <w:tcBorders>
              <w:top w:val="single" w:color="auto" w:sz="4" w:space="0"/>
              <w:left w:val="nil"/>
              <w:bottom w:val="single" w:color="auto" w:sz="4" w:space="0"/>
              <w:right w:val="single" w:color="auto" w:sz="4" w:space="0"/>
            </w:tcBorders>
            <w:noWrap w:val="0"/>
            <w:vAlign w:val="center"/>
          </w:tcPr>
          <w:p w14:paraId="1BC80A9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3453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2760791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联系方式</w:t>
            </w:r>
          </w:p>
        </w:tc>
        <w:tc>
          <w:tcPr>
            <w:tcW w:w="4278" w:type="dxa"/>
            <w:tcBorders>
              <w:top w:val="single" w:color="auto" w:sz="4" w:space="0"/>
              <w:left w:val="nil"/>
              <w:bottom w:val="single" w:color="auto" w:sz="4" w:space="0"/>
              <w:right w:val="single" w:color="auto" w:sz="4" w:space="0"/>
            </w:tcBorders>
            <w:noWrap w:val="0"/>
            <w:vAlign w:val="center"/>
          </w:tcPr>
          <w:p w14:paraId="6052DD7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3E9C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14:paraId="303751DF">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身份证复印件</w:t>
            </w:r>
          </w:p>
        </w:tc>
      </w:tr>
    </w:tbl>
    <w:p w14:paraId="786DE54E">
      <w:pPr>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p>
    <w:tbl>
      <w:tblPr>
        <w:tblStyle w:val="15"/>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241C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14:paraId="7F475BE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乙方项目负责人</w:t>
            </w:r>
          </w:p>
        </w:tc>
      </w:tr>
      <w:tr w14:paraId="569A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029895B9">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项目负责人的姓名</w:t>
            </w:r>
          </w:p>
        </w:tc>
        <w:tc>
          <w:tcPr>
            <w:tcW w:w="4278" w:type="dxa"/>
            <w:tcBorders>
              <w:top w:val="single" w:color="auto" w:sz="4" w:space="0"/>
              <w:left w:val="nil"/>
              <w:bottom w:val="single" w:color="auto" w:sz="4" w:space="0"/>
              <w:right w:val="single" w:color="auto" w:sz="4" w:space="0"/>
            </w:tcBorders>
            <w:noWrap w:val="0"/>
            <w:vAlign w:val="center"/>
          </w:tcPr>
          <w:p w14:paraId="5ACA7C2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0E60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61239F6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身份证号码</w:t>
            </w:r>
          </w:p>
        </w:tc>
        <w:tc>
          <w:tcPr>
            <w:tcW w:w="4278" w:type="dxa"/>
            <w:tcBorders>
              <w:top w:val="single" w:color="auto" w:sz="4" w:space="0"/>
              <w:left w:val="nil"/>
              <w:bottom w:val="single" w:color="auto" w:sz="4" w:space="0"/>
              <w:right w:val="single" w:color="auto" w:sz="4" w:space="0"/>
            </w:tcBorders>
            <w:noWrap w:val="0"/>
            <w:vAlign w:val="center"/>
          </w:tcPr>
          <w:p w14:paraId="04A7AAA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1C36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2E55C42F">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职务</w:t>
            </w:r>
          </w:p>
        </w:tc>
        <w:tc>
          <w:tcPr>
            <w:tcW w:w="4278" w:type="dxa"/>
            <w:tcBorders>
              <w:top w:val="single" w:color="auto" w:sz="4" w:space="0"/>
              <w:left w:val="nil"/>
              <w:bottom w:val="single" w:color="auto" w:sz="4" w:space="0"/>
              <w:right w:val="single" w:color="auto" w:sz="4" w:space="0"/>
            </w:tcBorders>
            <w:noWrap w:val="0"/>
            <w:vAlign w:val="center"/>
          </w:tcPr>
          <w:p w14:paraId="63217C4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6133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3305C6F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职称</w:t>
            </w:r>
          </w:p>
        </w:tc>
        <w:tc>
          <w:tcPr>
            <w:tcW w:w="4278" w:type="dxa"/>
            <w:tcBorders>
              <w:top w:val="single" w:color="auto" w:sz="4" w:space="0"/>
              <w:left w:val="nil"/>
              <w:bottom w:val="single" w:color="auto" w:sz="4" w:space="0"/>
              <w:right w:val="single" w:color="auto" w:sz="4" w:space="0"/>
            </w:tcBorders>
            <w:noWrap w:val="0"/>
            <w:vAlign w:val="center"/>
          </w:tcPr>
          <w:p w14:paraId="0F812819">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190F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6F6F3EA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联系方式</w:t>
            </w:r>
          </w:p>
        </w:tc>
        <w:tc>
          <w:tcPr>
            <w:tcW w:w="4278" w:type="dxa"/>
            <w:tcBorders>
              <w:top w:val="single" w:color="auto" w:sz="4" w:space="0"/>
              <w:left w:val="nil"/>
              <w:bottom w:val="single" w:color="auto" w:sz="4" w:space="0"/>
              <w:right w:val="single" w:color="auto" w:sz="4" w:space="0"/>
            </w:tcBorders>
            <w:noWrap w:val="0"/>
            <w:vAlign w:val="center"/>
          </w:tcPr>
          <w:p w14:paraId="7AD185EF">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146A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14:paraId="260A32B5">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身份证复印件</w:t>
            </w:r>
          </w:p>
        </w:tc>
      </w:tr>
    </w:tbl>
    <w:p w14:paraId="319F6DA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s="宋体"/>
          <w:color w:val="000000" w:themeColor="text1"/>
          <w:kern w:val="0"/>
          <w:sz w:val="24"/>
          <w:szCs w:val="24"/>
          <w:highlight w:val="none"/>
          <w14:textFill>
            <w14:solidFill>
              <w14:schemeClr w14:val="tx1"/>
            </w14:solidFill>
          </w14:textFill>
        </w:rPr>
        <w:t>附件1</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cs="宋体"/>
          <w:color w:val="000000" w:themeColor="text1"/>
          <w:kern w:val="0"/>
          <w:sz w:val="24"/>
          <w:szCs w:val="24"/>
          <w:highlight w:val="none"/>
          <w14:textFill>
            <w14:solidFill>
              <w14:schemeClr w14:val="tx1"/>
            </w14:solidFill>
          </w14:textFill>
        </w:rPr>
        <w:t xml:space="preserve">：建筑工程质量安全终身责任承诺书及勘察设计项目负责人更换保证书 </w:t>
      </w:r>
    </w:p>
    <w:p w14:paraId="2330C13F">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419F7B1A">
      <w:pPr>
        <w:spacing w:before="312" w:beforeLines="100" w:after="312" w:afterLines="100"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法定代表人授权书</w:t>
      </w:r>
    </w:p>
    <w:p w14:paraId="64383E40">
      <w:pPr>
        <w:spacing w:before="468" w:beforeLines="150"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兹授权我单位________担任____________工程项目的勘察项目负责人，对该工程项目的勘察工作实施组织管理，依据国家有关法律法规及标准规范履行职责，并依法对设计使用年限内的工程质量承担相应终身责任。</w:t>
      </w:r>
    </w:p>
    <w:p w14:paraId="6BA9C030">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本授权书自授权之日起生效。</w:t>
      </w:r>
    </w:p>
    <w:p w14:paraId="18B4F4AB">
      <w:pPr>
        <w:spacing w:line="360" w:lineRule="auto"/>
        <w:ind w:firstLine="720" w:firstLineChars="200"/>
        <w:rPr>
          <w:rFonts w:ascii="宋体" w:hAnsi="宋体" w:cs="宋体"/>
          <w:color w:val="000000" w:themeColor="text1"/>
          <w:sz w:val="36"/>
          <w:szCs w:val="36"/>
          <w:highlight w:val="none"/>
          <w14:textFill>
            <w14:solidFill>
              <w14:schemeClr w14:val="tx1"/>
            </w14:solidFill>
          </w14:textFill>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1921"/>
        <w:gridCol w:w="2460"/>
      </w:tblGrid>
      <w:tr w14:paraId="5454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315B4AF0">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被授权人基本情况</w:t>
            </w:r>
          </w:p>
        </w:tc>
      </w:tr>
      <w:tr w14:paraId="7834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0A1AC41E">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  名</w:t>
            </w:r>
          </w:p>
        </w:tc>
        <w:tc>
          <w:tcPr>
            <w:tcW w:w="2011" w:type="dxa"/>
            <w:tcBorders>
              <w:top w:val="single" w:color="auto" w:sz="4" w:space="0"/>
              <w:left w:val="nil"/>
              <w:bottom w:val="single" w:color="auto" w:sz="4" w:space="0"/>
              <w:right w:val="single" w:color="auto" w:sz="4" w:space="0"/>
            </w:tcBorders>
            <w:noWrap w:val="0"/>
            <w:vAlign w:val="center"/>
          </w:tcPr>
          <w:p w14:paraId="119BA291">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921" w:type="dxa"/>
            <w:tcBorders>
              <w:top w:val="single" w:color="auto" w:sz="4" w:space="0"/>
              <w:left w:val="nil"/>
              <w:bottom w:val="single" w:color="auto" w:sz="4" w:space="0"/>
              <w:right w:val="single" w:color="auto" w:sz="4" w:space="0"/>
            </w:tcBorders>
            <w:noWrap w:val="0"/>
            <w:vAlign w:val="center"/>
          </w:tcPr>
          <w:p w14:paraId="58F71C96">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身份证号</w:t>
            </w:r>
          </w:p>
        </w:tc>
        <w:tc>
          <w:tcPr>
            <w:tcW w:w="2460" w:type="dxa"/>
            <w:tcBorders>
              <w:top w:val="single" w:color="auto" w:sz="4" w:space="0"/>
              <w:left w:val="nil"/>
              <w:bottom w:val="single" w:color="auto" w:sz="4" w:space="0"/>
              <w:right w:val="single" w:color="auto" w:sz="4" w:space="0"/>
            </w:tcBorders>
            <w:noWrap w:val="0"/>
            <w:vAlign w:val="center"/>
          </w:tcPr>
          <w:p w14:paraId="7A5010BD">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6474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0539C920">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注册执业资格</w:t>
            </w:r>
          </w:p>
        </w:tc>
        <w:tc>
          <w:tcPr>
            <w:tcW w:w="2011" w:type="dxa"/>
            <w:tcBorders>
              <w:top w:val="single" w:color="auto" w:sz="4" w:space="0"/>
              <w:left w:val="nil"/>
              <w:bottom w:val="single" w:color="auto" w:sz="4" w:space="0"/>
              <w:right w:val="single" w:color="auto" w:sz="4" w:space="0"/>
            </w:tcBorders>
            <w:noWrap w:val="0"/>
            <w:vAlign w:val="center"/>
          </w:tcPr>
          <w:p w14:paraId="74EC41F0">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921" w:type="dxa"/>
            <w:tcBorders>
              <w:top w:val="single" w:color="auto" w:sz="4" w:space="0"/>
              <w:left w:val="nil"/>
              <w:bottom w:val="single" w:color="auto" w:sz="4" w:space="0"/>
              <w:right w:val="single" w:color="auto" w:sz="4" w:space="0"/>
            </w:tcBorders>
            <w:noWrap w:val="0"/>
            <w:vAlign w:val="center"/>
          </w:tcPr>
          <w:p w14:paraId="3134AFE8">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注册执业证号</w:t>
            </w:r>
          </w:p>
        </w:tc>
        <w:tc>
          <w:tcPr>
            <w:tcW w:w="2460" w:type="dxa"/>
            <w:tcBorders>
              <w:top w:val="single" w:color="auto" w:sz="4" w:space="0"/>
              <w:left w:val="nil"/>
              <w:bottom w:val="single" w:color="auto" w:sz="4" w:space="0"/>
              <w:right w:val="single" w:color="auto" w:sz="4" w:space="0"/>
            </w:tcBorders>
            <w:noWrap w:val="0"/>
            <w:vAlign w:val="center"/>
          </w:tcPr>
          <w:p w14:paraId="457F6B2C">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5E9F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061BAC84">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被授权人签字：</w:t>
            </w:r>
          </w:p>
        </w:tc>
      </w:tr>
    </w:tbl>
    <w:p w14:paraId="54E4FFC6">
      <w:pPr>
        <w:spacing w:line="360" w:lineRule="auto"/>
        <w:ind w:firstLine="720" w:firstLineChars="200"/>
        <w:rPr>
          <w:rFonts w:ascii="宋体" w:hAnsi="宋体" w:cs="宋体"/>
          <w:color w:val="000000" w:themeColor="text1"/>
          <w:sz w:val="36"/>
          <w:szCs w:val="36"/>
          <w:highlight w:val="none"/>
          <w14:textFill>
            <w14:solidFill>
              <w14:schemeClr w14:val="tx1"/>
            </w14:solidFill>
          </w14:textFill>
        </w:rPr>
      </w:pPr>
    </w:p>
    <w:p w14:paraId="5A096497">
      <w:pPr>
        <w:spacing w:line="360" w:lineRule="auto"/>
        <w:ind w:firstLine="560" w:firstLineChars="2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授权单位（盖章）：</w:t>
      </w:r>
      <w:r>
        <w:rPr>
          <w:rFonts w:hint="eastAsia" w:ascii="宋体" w:hAnsi="宋体" w:cs="宋体"/>
          <w:color w:val="000000" w:themeColor="text1"/>
          <w:sz w:val="28"/>
          <w:szCs w:val="28"/>
          <w:highlight w:val="none"/>
          <w:u w:val="single"/>
          <w14:textFill>
            <w14:solidFill>
              <w14:schemeClr w14:val="tx1"/>
            </w14:solidFill>
          </w14:textFill>
        </w:rPr>
        <w:t>_______________________</w:t>
      </w:r>
    </w:p>
    <w:p w14:paraId="2492539C">
      <w:pPr>
        <w:spacing w:line="360" w:lineRule="auto"/>
        <w:ind w:firstLine="560" w:firstLineChars="2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法定代表人（签字）：</w:t>
      </w:r>
    </w:p>
    <w:p w14:paraId="61AB9A12">
      <w:pPr>
        <w:spacing w:line="360" w:lineRule="auto"/>
        <w:ind w:firstLine="644" w:firstLineChars="200"/>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pacing w:val="21"/>
          <w:sz w:val="28"/>
          <w:szCs w:val="28"/>
          <w:highlight w:val="none"/>
          <w14:textFill>
            <w14:solidFill>
              <w14:schemeClr w14:val="tx1"/>
            </w14:solidFill>
          </w14:textFill>
        </w:rPr>
        <w:t>授权日期：</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p>
    <w:p w14:paraId="451D583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7EDE0F10">
      <w:pPr>
        <w:widowControl/>
        <w:spacing w:line="360" w:lineRule="auto"/>
        <w:jc w:val="center"/>
        <w:rPr>
          <w:rFonts w:ascii="宋体" w:hAnsi="宋体" w:cs="宋体"/>
          <w:b/>
          <w:color w:val="000000" w:themeColor="text1"/>
          <w:kern w:val="0"/>
          <w:sz w:val="44"/>
          <w:szCs w:val="44"/>
          <w:highlight w:val="none"/>
          <w14:textFill>
            <w14:solidFill>
              <w14:schemeClr w14:val="tx1"/>
            </w14:solidFill>
          </w14:textFill>
        </w:rPr>
      </w:pPr>
      <w:r>
        <w:rPr>
          <w:rFonts w:hint="eastAsia" w:ascii="宋体" w:hAnsi="宋体" w:cs="宋体"/>
          <w:b/>
          <w:color w:val="000000" w:themeColor="text1"/>
          <w:kern w:val="0"/>
          <w:sz w:val="44"/>
          <w:szCs w:val="44"/>
          <w:highlight w:val="none"/>
          <w14:textFill>
            <w14:solidFill>
              <w14:schemeClr w14:val="tx1"/>
            </w14:solidFill>
          </w14:textFill>
        </w:rPr>
        <w:t>建筑工程质量安全终身责任承诺书</w:t>
      </w:r>
    </w:p>
    <w:p w14:paraId="22CC3EE9">
      <w:pPr>
        <w:widowControl/>
        <w:spacing w:line="360" w:lineRule="auto"/>
        <w:jc w:val="center"/>
        <w:rPr>
          <w:rFonts w:ascii="宋体" w:hAnsi="宋体" w:cs="宋体"/>
          <w:color w:val="000000" w:themeColor="text1"/>
          <w:kern w:val="0"/>
          <w:sz w:val="30"/>
          <w:szCs w:val="30"/>
          <w:highlight w:val="none"/>
          <w14:textFill>
            <w14:solidFill>
              <w14:schemeClr w14:val="tx1"/>
            </w14:solidFill>
          </w14:textFill>
        </w:rPr>
      </w:pPr>
      <w:r>
        <w:rPr>
          <w:rFonts w:hint="eastAsia" w:ascii="宋体" w:hAnsi="宋体" w:cs="宋体"/>
          <w:color w:val="000000" w:themeColor="text1"/>
          <w:kern w:val="0"/>
          <w:sz w:val="30"/>
          <w:szCs w:val="30"/>
          <w:highlight w:val="none"/>
          <w14:textFill>
            <w14:solidFill>
              <w14:schemeClr w14:val="tx1"/>
            </w14:solidFill>
          </w14:textFill>
        </w:rPr>
        <w:t>（勘察单位及项目负责人）</w:t>
      </w:r>
    </w:p>
    <w:p w14:paraId="2AE61862">
      <w:pPr>
        <w:widowControl/>
        <w:spacing w:before="312" w:beforeLines="100" w:after="312" w:afterLines="100"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广州市重点公共建设项目管理中心：</w:t>
      </w:r>
    </w:p>
    <w:p w14:paraId="7030A559">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我单位与贵中心就_______________勘察设计事宜签订了《_____________勘察设计合同》（合同编号：_________）。现我单位授权________（职务：__________，执业资格：_________，身份证号码：__________）担任_________________建设工程勘察项目负责人，代表我单位对该工程项目勘察工作实施组织管理。我单位承诺且保证项目负责人将严格依据国家有关法律法规及标准规范履行职责，并对设计使用年限内的工程质量安全承担相应终身责任。现郑重承诺如下：</w:t>
      </w:r>
    </w:p>
    <w:p w14:paraId="4847FC24">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一、保证确认承担项目的勘察人员符合相应的注册执业资格要求，具备相应的专业技术能力，观测员、记录员、机长等现场作业人员符合专业培训要求。不允许他人以本人的名义承担工程勘察项目。</w:t>
      </w:r>
    </w:p>
    <w:p w14:paraId="26513A12">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二、依据有关法律法规、工程建设强制性标准和勘察合同（包括勘察任务委托书），组织编写勘察纲要，就相关要求向勘察人员交底，组织开展工程勘察工作。</w:t>
      </w:r>
    </w:p>
    <w:p w14:paraId="1C293D22">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三、保证勘察现场作业安全，要求勘察作业人员严格执行操作规程，并根据建设单位提供的资料和场地情况，采取措施保证各类人员，场地内和周边建筑物、构筑物及各类管线设施的安全。</w:t>
      </w:r>
    </w:p>
    <w:p w14:paraId="16B7B64D">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四、保证对原始取样、记录的真实性和准确性负责，组织人员及时整理、核对原始记录，核验有关现场和试验人员在记录上的签字，对原始记录、测试报告、土工试验成果等各项作业资料验收签字。</w:t>
      </w:r>
    </w:p>
    <w:p w14:paraId="5972601E">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五、对勘察成果的真实性和准确性负责，保证勘察文件符合国家规定的深度要求，在勘察文件上签字盖章。</w:t>
      </w:r>
    </w:p>
    <w:p w14:paraId="723F77F7">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六、对勘察后期服务工作负责，组织相关勘察人员及时解决工程设计和施工中与勘察工作有关的问题；组织参与施工验槽；组织勘察人员参加工程竣工验收，验收合格后在相关验收文件上签字，对城市轨道交通工程，还应参加单位工程、项目工程验收并在验收文件上签字；组织勘察人员参与相关工程质量安全事故分析，并对因勘察原因造成的质量安全事故，提出与勘察工作有关的技术处理措施。</w:t>
      </w:r>
    </w:p>
    <w:p w14:paraId="471D193D">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七、对勘察资料的归档工作负责，组织相关勘察人员将全部资料分类编目，装订成册，归档保存。</w:t>
      </w:r>
    </w:p>
    <w:p w14:paraId="3D16D5DC">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违反上述承诺，本单位及本单位授权的项目负责人愿意承担一切法律责任，包括但不限于依据住建部《建筑工程五方责任主体项目负责人质量终身责任追究暂行办法》及《建筑工程勘察单位项目负责人质量安全责任七项规定（试行）》的规定承担相应行政责任，及依据《建设工程质量管理条例》及其他相关法律法规承担刑事和民事责任。</w:t>
      </w:r>
    </w:p>
    <w:p w14:paraId="4040DB5D">
      <w:pPr>
        <w:widowControl/>
        <w:spacing w:line="360" w:lineRule="auto"/>
        <w:rPr>
          <w:rFonts w:ascii="宋体" w:hAnsi="宋体" w:cs="宋体"/>
          <w:color w:val="000000" w:themeColor="text1"/>
          <w:kern w:val="0"/>
          <w:sz w:val="24"/>
          <w:szCs w:val="24"/>
          <w:highlight w:val="none"/>
          <w14:textFill>
            <w14:solidFill>
              <w14:schemeClr w14:val="tx1"/>
            </w14:solidFill>
          </w14:textFill>
        </w:rPr>
      </w:pPr>
    </w:p>
    <w:p w14:paraId="26BCC583">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勘察项目负责人（签名）：             ____________________（单位盖章）</w:t>
      </w:r>
    </w:p>
    <w:p w14:paraId="0801D7EB">
      <w:pPr>
        <w:widowControl/>
        <w:spacing w:line="360" w:lineRule="auto"/>
        <w:ind w:firstLine="643"/>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年   月   日</w:t>
      </w:r>
    </w:p>
    <w:p w14:paraId="676D0CBA">
      <w:pPr>
        <w:widowControl/>
        <w:spacing w:line="360" w:lineRule="auto"/>
        <w:rPr>
          <w:rFonts w:ascii="宋体" w:hAnsi="宋体" w:cs="宋体"/>
          <w:color w:val="000000" w:themeColor="text1"/>
          <w:kern w:val="0"/>
          <w:sz w:val="24"/>
          <w:szCs w:val="24"/>
          <w:highlight w:val="none"/>
          <w14:textFill>
            <w14:solidFill>
              <w14:schemeClr w14:val="tx1"/>
            </w14:solidFill>
          </w14:textFill>
        </w:rPr>
      </w:pPr>
    </w:p>
    <w:p w14:paraId="199183CC">
      <w:pPr>
        <w:widowControl/>
        <w:spacing w:line="360" w:lineRule="auto"/>
        <w:rPr>
          <w:rFonts w:ascii="宋体" w:hAnsi="宋体" w:cs="宋体"/>
          <w:color w:val="000000" w:themeColor="text1"/>
          <w:kern w:val="0"/>
          <w:sz w:val="24"/>
          <w:szCs w:val="24"/>
          <w:highlight w:val="none"/>
          <w14:textFill>
            <w14:solidFill>
              <w14:schemeClr w14:val="tx1"/>
            </w14:solidFill>
          </w14:textFill>
        </w:rPr>
      </w:pPr>
    </w:p>
    <w:p w14:paraId="516D4D0C">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附：身份证复印件粘贴</w:t>
      </w:r>
    </w:p>
    <w:tbl>
      <w:tblPr>
        <w:tblStyle w:val="15"/>
        <w:tblW w:w="9007" w:type="dxa"/>
        <w:tblInd w:w="0" w:type="dxa"/>
        <w:tblLayout w:type="fixed"/>
        <w:tblCellMar>
          <w:top w:w="0" w:type="dxa"/>
          <w:left w:w="108" w:type="dxa"/>
          <w:bottom w:w="0" w:type="dxa"/>
          <w:right w:w="108" w:type="dxa"/>
        </w:tblCellMar>
      </w:tblPr>
      <w:tblGrid>
        <w:gridCol w:w="9007"/>
      </w:tblGrid>
      <w:tr w14:paraId="5391FF61">
        <w:tblPrEx>
          <w:tblCellMar>
            <w:top w:w="0" w:type="dxa"/>
            <w:left w:w="108" w:type="dxa"/>
            <w:bottom w:w="0" w:type="dxa"/>
            <w:right w:w="108" w:type="dxa"/>
          </w:tblCellMar>
        </w:tblPrEx>
        <w:trPr>
          <w:trHeight w:val="3508" w:hRule="atLeast"/>
        </w:trPr>
        <w:tc>
          <w:tcPr>
            <w:tcW w:w="9007" w:type="dxa"/>
            <w:tcBorders>
              <w:top w:val="single" w:color="auto" w:sz="4" w:space="0"/>
              <w:left w:val="single" w:color="auto" w:sz="4" w:space="0"/>
              <w:bottom w:val="single" w:color="auto" w:sz="4" w:space="0"/>
              <w:right w:val="single" w:color="auto" w:sz="4" w:space="0"/>
            </w:tcBorders>
            <w:noWrap w:val="0"/>
            <w:vAlign w:val="top"/>
          </w:tcPr>
          <w:p w14:paraId="4F3D86D5">
            <w:pPr>
              <w:keepNext w:val="0"/>
              <w:keepLines w:val="0"/>
              <w:widowControl/>
              <w:suppressLineNumbers w:val="0"/>
              <w:spacing w:before="0" w:beforeAutospacing="0" w:after="0" w:afterAutospacing="0" w:line="360" w:lineRule="auto"/>
              <w:ind w:left="0" w:right="0"/>
              <w:rPr>
                <w:rFonts w:hint="default" w:ascii="宋体" w:hAnsi="宋体" w:cs="宋体"/>
                <w:color w:val="000000" w:themeColor="text1"/>
                <w:kern w:val="0"/>
                <w:sz w:val="32"/>
                <w:szCs w:val="32"/>
                <w:highlight w:val="none"/>
                <w14:textFill>
                  <w14:solidFill>
                    <w14:schemeClr w14:val="tx1"/>
                  </w14:solidFill>
                </w14:textFill>
              </w:rPr>
            </w:pPr>
          </w:p>
          <w:p w14:paraId="38CA8EAF">
            <w:pPr>
              <w:keepNext w:val="0"/>
              <w:keepLines w:val="0"/>
              <w:widowControl/>
              <w:suppressLineNumbers w:val="0"/>
              <w:spacing w:before="0" w:beforeAutospacing="0" w:after="0" w:afterAutospacing="0" w:line="360" w:lineRule="auto"/>
              <w:ind w:left="0" w:right="0"/>
              <w:rPr>
                <w:rFonts w:hint="default" w:ascii="宋体" w:hAnsi="宋体" w:cs="宋体"/>
                <w:color w:val="000000" w:themeColor="text1"/>
                <w:kern w:val="0"/>
                <w:sz w:val="32"/>
                <w:szCs w:val="32"/>
                <w:highlight w:val="none"/>
                <w14:textFill>
                  <w14:solidFill>
                    <w14:schemeClr w14:val="tx1"/>
                  </w14:solidFill>
                </w14:textFill>
              </w:rPr>
            </w:pPr>
          </w:p>
          <w:p w14:paraId="4897323F">
            <w:pPr>
              <w:keepNext w:val="0"/>
              <w:keepLines w:val="0"/>
              <w:widowControl/>
              <w:suppressLineNumbers w:val="0"/>
              <w:spacing w:before="0" w:beforeAutospacing="0" w:after="0" w:afterAutospacing="0" w:line="360" w:lineRule="auto"/>
              <w:ind w:left="0" w:right="0"/>
              <w:rPr>
                <w:rFonts w:hint="default" w:ascii="宋体" w:hAnsi="宋体" w:cs="宋体"/>
                <w:color w:val="000000" w:themeColor="text1"/>
                <w:kern w:val="0"/>
                <w:sz w:val="32"/>
                <w:szCs w:val="32"/>
                <w:highlight w:val="none"/>
                <w14:textFill>
                  <w14:solidFill>
                    <w14:schemeClr w14:val="tx1"/>
                  </w14:solidFill>
                </w14:textFill>
              </w:rPr>
            </w:pPr>
          </w:p>
        </w:tc>
      </w:tr>
    </w:tbl>
    <w:p w14:paraId="5147BE1E">
      <w:pPr>
        <w:spacing w:line="360" w:lineRule="auto"/>
        <w:rPr>
          <w:rFonts w:ascii="宋体" w:hAnsi="宋体" w:cs="宋体"/>
          <w:color w:val="000000" w:themeColor="text1"/>
          <w:szCs w:val="21"/>
          <w:highlight w:val="none"/>
          <w14:textFill>
            <w14:solidFill>
              <w14:schemeClr w14:val="tx1"/>
            </w14:solidFill>
          </w14:textFill>
        </w:rPr>
      </w:pPr>
    </w:p>
    <w:p w14:paraId="137F42E8">
      <w:pPr>
        <w:spacing w:line="360" w:lineRule="auto"/>
        <w:rPr>
          <w:rFonts w:ascii="宋体" w:hAnsi="宋体" w:cs="宋体"/>
          <w:color w:val="000000" w:themeColor="text1"/>
          <w:szCs w:val="21"/>
          <w:highlight w:val="none"/>
          <w14:textFill>
            <w14:solidFill>
              <w14:schemeClr w14:val="tx1"/>
            </w14:solidFill>
          </w14:textFill>
        </w:rPr>
      </w:pPr>
    </w:p>
    <w:p w14:paraId="773062A9">
      <w:pPr>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745CBF46">
      <w:pPr>
        <w:adjustRightInd w:val="0"/>
        <w:snapToGrid w:val="0"/>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法定代表人授权书</w:t>
      </w:r>
    </w:p>
    <w:p w14:paraId="2B44800E">
      <w:pPr>
        <w:spacing w:before="468" w:beforeLines="150"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兹授权我单位</w:t>
      </w:r>
      <w:r>
        <w:rPr>
          <w:rFonts w:hint="eastAsia" w:ascii="宋体" w:hAnsi="宋体" w:cs="宋体"/>
          <w:color w:val="000000" w:themeColor="text1"/>
          <w:kern w:val="0"/>
          <w:sz w:val="24"/>
          <w:szCs w:val="24"/>
          <w:highlight w:val="none"/>
          <w14:textFill>
            <w14:solidFill>
              <w14:schemeClr w14:val="tx1"/>
            </w14:solidFill>
          </w14:textFill>
        </w:rPr>
        <w:t>_________</w:t>
      </w:r>
      <w:r>
        <w:rPr>
          <w:rFonts w:hint="eastAsia" w:ascii="宋体" w:hAnsi="宋体" w:cs="宋体"/>
          <w:color w:val="000000" w:themeColor="text1"/>
          <w:sz w:val="28"/>
          <w:szCs w:val="28"/>
          <w:highlight w:val="none"/>
          <w14:textFill>
            <w14:solidFill>
              <w14:schemeClr w14:val="tx1"/>
            </w14:solidFill>
          </w14:textFill>
        </w:rPr>
        <w:t>担任</w:t>
      </w:r>
      <w:r>
        <w:rPr>
          <w:rFonts w:hint="eastAsia" w:ascii="宋体" w:hAnsi="宋体" w:cs="宋体"/>
          <w:color w:val="000000" w:themeColor="text1"/>
          <w:kern w:val="0"/>
          <w:sz w:val="24"/>
          <w:szCs w:val="24"/>
          <w:highlight w:val="none"/>
          <w14:textFill>
            <w14:solidFill>
              <w14:schemeClr w14:val="tx1"/>
            </w14:solidFill>
          </w14:textFill>
        </w:rPr>
        <w:t>_______________</w:t>
      </w:r>
      <w:r>
        <w:rPr>
          <w:rFonts w:hint="eastAsia" w:ascii="宋体" w:hAnsi="宋体" w:cs="宋体"/>
          <w:color w:val="000000" w:themeColor="text1"/>
          <w:sz w:val="28"/>
          <w:szCs w:val="28"/>
          <w:highlight w:val="none"/>
          <w14:textFill>
            <w14:solidFill>
              <w14:schemeClr w14:val="tx1"/>
            </w14:solidFill>
          </w14:textFill>
        </w:rPr>
        <w:t>工程项目的设计项目负责人，对该工程项目的设计工作实施组织管理，依据国家有关法律法规及标准规范履行职责，并依法对设计使用年限内的工程质量承担相应终身责任。</w:t>
      </w:r>
    </w:p>
    <w:p w14:paraId="4C0BB3FE">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本授权书自授权之日起生效。</w:t>
      </w:r>
    </w:p>
    <w:p w14:paraId="1E401B34">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tbl>
      <w:tblPr>
        <w:tblStyle w:val="15"/>
        <w:tblW w:w="8755" w:type="dxa"/>
        <w:tblInd w:w="0" w:type="dxa"/>
        <w:tblLayout w:type="fixed"/>
        <w:tblCellMar>
          <w:top w:w="0" w:type="dxa"/>
          <w:left w:w="108" w:type="dxa"/>
          <w:bottom w:w="0" w:type="dxa"/>
          <w:right w:w="108" w:type="dxa"/>
        </w:tblCellMar>
      </w:tblPr>
      <w:tblGrid>
        <w:gridCol w:w="2130"/>
        <w:gridCol w:w="2231"/>
        <w:gridCol w:w="1843"/>
        <w:gridCol w:w="2551"/>
      </w:tblGrid>
      <w:tr w14:paraId="0A17C0DD">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453DB02E">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被授权人基本情况</w:t>
            </w:r>
          </w:p>
        </w:tc>
      </w:tr>
      <w:tr w14:paraId="783FF487">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14:paraId="1DEE6FA9">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  名</w:t>
            </w:r>
          </w:p>
        </w:tc>
        <w:tc>
          <w:tcPr>
            <w:tcW w:w="2231" w:type="dxa"/>
            <w:tcBorders>
              <w:top w:val="single" w:color="auto" w:sz="4" w:space="0"/>
              <w:left w:val="nil"/>
              <w:bottom w:val="single" w:color="auto" w:sz="4" w:space="0"/>
              <w:right w:val="single" w:color="auto" w:sz="4" w:space="0"/>
            </w:tcBorders>
            <w:noWrap w:val="0"/>
            <w:vAlign w:val="center"/>
          </w:tcPr>
          <w:p w14:paraId="5C95F881">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noWrap w:val="0"/>
            <w:vAlign w:val="center"/>
          </w:tcPr>
          <w:p w14:paraId="4477F102">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身份证号</w:t>
            </w:r>
          </w:p>
        </w:tc>
        <w:tc>
          <w:tcPr>
            <w:tcW w:w="2551" w:type="dxa"/>
            <w:tcBorders>
              <w:top w:val="single" w:color="auto" w:sz="4" w:space="0"/>
              <w:left w:val="nil"/>
              <w:bottom w:val="single" w:color="auto" w:sz="4" w:space="0"/>
              <w:right w:val="single" w:color="auto" w:sz="4" w:space="0"/>
            </w:tcBorders>
            <w:noWrap w:val="0"/>
            <w:vAlign w:val="center"/>
          </w:tcPr>
          <w:p w14:paraId="5D451579">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40A0DC7E">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14:paraId="71FE8858">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注册执业资格</w:t>
            </w:r>
          </w:p>
        </w:tc>
        <w:tc>
          <w:tcPr>
            <w:tcW w:w="2231" w:type="dxa"/>
            <w:tcBorders>
              <w:top w:val="single" w:color="auto" w:sz="4" w:space="0"/>
              <w:left w:val="nil"/>
              <w:bottom w:val="single" w:color="auto" w:sz="4" w:space="0"/>
              <w:right w:val="single" w:color="auto" w:sz="4" w:space="0"/>
            </w:tcBorders>
            <w:noWrap w:val="0"/>
            <w:vAlign w:val="center"/>
          </w:tcPr>
          <w:p w14:paraId="50DD48DB">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noWrap w:val="0"/>
            <w:vAlign w:val="center"/>
          </w:tcPr>
          <w:p w14:paraId="412B048D">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注册执业证号</w:t>
            </w:r>
          </w:p>
        </w:tc>
        <w:tc>
          <w:tcPr>
            <w:tcW w:w="2551" w:type="dxa"/>
            <w:tcBorders>
              <w:top w:val="single" w:color="auto" w:sz="4" w:space="0"/>
              <w:left w:val="nil"/>
              <w:bottom w:val="single" w:color="auto" w:sz="4" w:space="0"/>
              <w:right w:val="single" w:color="auto" w:sz="4" w:space="0"/>
            </w:tcBorders>
            <w:noWrap w:val="0"/>
            <w:vAlign w:val="center"/>
          </w:tcPr>
          <w:p w14:paraId="582A5058">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1269859B">
        <w:tblPrEx>
          <w:tblCellMar>
            <w:top w:w="0" w:type="dxa"/>
            <w:left w:w="108" w:type="dxa"/>
            <w:bottom w:w="0" w:type="dxa"/>
            <w:right w:w="108" w:type="dxa"/>
          </w:tblCellMar>
        </w:tblPrEx>
        <w:trPr>
          <w:trHeight w:val="1075"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028EDDA4">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被授权人签字：</w:t>
            </w:r>
          </w:p>
        </w:tc>
      </w:tr>
    </w:tbl>
    <w:p w14:paraId="215870F4">
      <w:pPr>
        <w:spacing w:line="360" w:lineRule="auto"/>
        <w:rPr>
          <w:rFonts w:ascii="宋体" w:hAnsi="宋体" w:cs="宋体"/>
          <w:color w:val="000000" w:themeColor="text1"/>
          <w:sz w:val="28"/>
          <w:szCs w:val="28"/>
          <w:highlight w:val="none"/>
          <w14:textFill>
            <w14:solidFill>
              <w14:schemeClr w14:val="tx1"/>
            </w14:solidFill>
          </w14:textFill>
        </w:rPr>
      </w:pPr>
    </w:p>
    <w:p w14:paraId="534114C9">
      <w:pPr>
        <w:spacing w:line="360" w:lineRule="auto"/>
        <w:ind w:left="6860" w:leftChars="200" w:hanging="6440" w:hangingChars="2000"/>
        <w:jc w:val="left"/>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pacing w:val="21"/>
          <w:sz w:val="28"/>
          <w:szCs w:val="28"/>
          <w:highlight w:val="none"/>
          <w14:textFill>
            <w14:solidFill>
              <w14:schemeClr w14:val="tx1"/>
            </w14:solidFill>
          </w14:textFill>
        </w:rPr>
        <w:t>授权单位（盖章）</w:t>
      </w: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u w:val="single"/>
          <w14:textFill>
            <w14:solidFill>
              <w14:schemeClr w14:val="tx1"/>
            </w14:solidFill>
          </w14:textFill>
        </w:rPr>
        <w:t>____________________</w:t>
      </w:r>
    </w:p>
    <w:p w14:paraId="716B3ED7">
      <w:pPr>
        <w:spacing w:line="360" w:lineRule="auto"/>
        <w:ind w:firstLine="560" w:firstLineChars="2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法定代表人（签字）：</w:t>
      </w:r>
    </w:p>
    <w:p w14:paraId="48E923F3">
      <w:pPr>
        <w:spacing w:line="360" w:lineRule="auto"/>
        <w:ind w:firstLine="644"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pacing w:val="21"/>
          <w:sz w:val="28"/>
          <w:szCs w:val="28"/>
          <w:highlight w:val="none"/>
          <w14:textFill>
            <w14:solidFill>
              <w14:schemeClr w14:val="tx1"/>
            </w14:solidFill>
          </w14:textFill>
        </w:rPr>
        <w:t>授权日期：</w:t>
      </w:r>
      <w:r>
        <w:rPr>
          <w:rFonts w:hint="eastAsia" w:ascii="宋体" w:hAnsi="宋体" w:cs="宋体"/>
          <w:color w:val="000000" w:themeColor="text1"/>
          <w:sz w:val="28"/>
          <w:szCs w:val="28"/>
          <w:highlight w:val="none"/>
          <w:u w:val="single"/>
          <w14:textFill>
            <w14:solidFill>
              <w14:schemeClr w14:val="tx1"/>
            </w14:solidFill>
          </w14:textFill>
        </w:rPr>
        <w:t xml:space="preserve">  ___</w:t>
      </w:r>
      <w:r>
        <w:rPr>
          <w:rFonts w:hint="eastAsia" w:ascii="宋体" w:hAnsi="宋体" w:cs="宋体"/>
          <w:color w:val="000000" w:themeColor="text1"/>
          <w:sz w:val="28"/>
          <w:szCs w:val="28"/>
          <w:highlight w:val="none"/>
          <w14:textFill>
            <w14:solidFill>
              <w14:schemeClr w14:val="tx1"/>
            </w14:solidFill>
          </w14:textFill>
        </w:rPr>
        <w:t>年月日</w:t>
      </w:r>
    </w:p>
    <w:p w14:paraId="07ACEF02">
      <w:pPr>
        <w:spacing w:line="360" w:lineRule="auto"/>
        <w:rPr>
          <w:rFonts w:ascii="宋体" w:hAnsi="宋体" w:cs="宋体"/>
          <w:color w:val="000000" w:themeColor="text1"/>
          <w:szCs w:val="21"/>
          <w:highlight w:val="none"/>
          <w14:textFill>
            <w14:solidFill>
              <w14:schemeClr w14:val="tx1"/>
            </w14:solidFill>
          </w14:textFill>
        </w:rPr>
      </w:pPr>
    </w:p>
    <w:p w14:paraId="2EFD8D9C">
      <w:pPr>
        <w:spacing w:line="360" w:lineRule="auto"/>
        <w:rPr>
          <w:rFonts w:ascii="宋体" w:hAnsi="宋体" w:cs="宋体"/>
          <w:color w:val="000000" w:themeColor="text1"/>
          <w:szCs w:val="21"/>
          <w:highlight w:val="none"/>
          <w14:textFill>
            <w14:solidFill>
              <w14:schemeClr w14:val="tx1"/>
            </w14:solidFill>
          </w14:textFill>
        </w:rPr>
      </w:pPr>
    </w:p>
    <w:p w14:paraId="039ADA6E">
      <w:pPr>
        <w:spacing w:line="360" w:lineRule="auto"/>
        <w:rPr>
          <w:rFonts w:ascii="宋体" w:hAnsi="宋体" w:cs="宋体"/>
          <w:color w:val="000000" w:themeColor="text1"/>
          <w:szCs w:val="21"/>
          <w:highlight w:val="none"/>
          <w14:textFill>
            <w14:solidFill>
              <w14:schemeClr w14:val="tx1"/>
            </w14:solidFill>
          </w14:textFill>
        </w:rPr>
      </w:pPr>
    </w:p>
    <w:p w14:paraId="6E5F8090">
      <w:pPr>
        <w:spacing w:line="360" w:lineRule="auto"/>
        <w:jc w:val="center"/>
        <w:rPr>
          <w:rFonts w:ascii="宋体" w:hAnsi="宋体" w:cs="宋体"/>
          <w:b/>
          <w:color w:val="000000" w:themeColor="text1"/>
          <w:kern w:val="0"/>
          <w:sz w:val="44"/>
          <w:szCs w:val="4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s="宋体"/>
          <w:b/>
          <w:color w:val="000000" w:themeColor="text1"/>
          <w:kern w:val="0"/>
          <w:sz w:val="44"/>
          <w:szCs w:val="44"/>
          <w:highlight w:val="none"/>
          <w14:textFill>
            <w14:solidFill>
              <w14:schemeClr w14:val="tx1"/>
            </w14:solidFill>
          </w14:textFill>
        </w:rPr>
        <w:t>建筑工程质量安全终身责任承诺书</w:t>
      </w:r>
    </w:p>
    <w:p w14:paraId="772B9C40">
      <w:pPr>
        <w:widowControl/>
        <w:spacing w:line="360" w:lineRule="auto"/>
        <w:jc w:val="center"/>
        <w:rPr>
          <w:rFonts w:ascii="宋体" w:hAnsi="宋体" w:cs="宋体"/>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（设计单位及项目负责人）</w:t>
      </w:r>
    </w:p>
    <w:p w14:paraId="1FFE3A5F">
      <w:pPr>
        <w:widowControl/>
        <w:spacing w:before="312" w:beforeLines="100" w:after="312" w:afterLines="100"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广州市重点公共建设项目管理中心：</w:t>
      </w:r>
    </w:p>
    <w:p w14:paraId="04462291">
      <w:pPr>
        <w:widowControl/>
        <w:spacing w:line="360" w:lineRule="auto"/>
        <w:ind w:firstLine="470" w:firstLineChars="196"/>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我单位与贵中心就_____________勘察设计事宜签订了《_____________勘察设计合同》（合同编号：_______）。现我单位授权_________（职务：_________，执业资格：_________，身份证号码：____________）担任___________建设工程设计项目负责人，代表我单位对该工程项目设计工作实施组织管理。我单位承诺且保证项目负责人将严格依据国家有关法律法规及标准规范履行职责，并对设计使用年限内的工程质量安全承担相应终身责任。现郑重承诺如下：</w:t>
      </w:r>
    </w:p>
    <w:p w14:paraId="7B0BBDDF">
      <w:pPr>
        <w:widowControl/>
        <w:spacing w:line="360" w:lineRule="auto"/>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一、保证确认承担项目的设计人员符合相应的注册执业资格要求，具备相应的专业技术能力。不允许他人以本人的名义承担工程设计项目。</w:t>
      </w:r>
    </w:p>
    <w:p w14:paraId="7A935353">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14:paraId="43176D14">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三、要求设计人员在设计文件中注明建筑工程合理使用年限，标明采用的建筑材料、建筑构配件和设备的规格、性能等技术指标，其质量要求必须符合国家规定的标准及建筑工程的功能需求。</w:t>
      </w:r>
    </w:p>
    <w:p w14:paraId="079EE1BA">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四、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14:paraId="47318086">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五、严格核验各专业设计、校核、审核、审定等技术人员在相关设计文件上的签字，核验注册建筑师、注册结构工程师等注册执业人员在设计文件上的签章，并对各专业设计文件验收签字。</w:t>
      </w:r>
    </w:p>
    <w:p w14:paraId="3F127639">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六、在施工前就审查合格的施工图设计文件，组织设计人员向施工及监理单位做出详细说明；组织设计人员解决施工中出现的设计问题。不在违反强制性标准或不满足设计要求的变更文件上签字。根据设计合同中约定的责任、权利、费用和时限，组织开展后期服务工作。</w:t>
      </w:r>
    </w:p>
    <w:p w14:paraId="280C9A05">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14:paraId="188AE2D8">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违反上述承诺，本单位及本单位授权的项目负责人愿意承担一切法律责任，包括但不限于依据住建部《建筑工程五方责任主体项目负责人质量终身责任追究暂行办法》及《建筑工程设计单位项目负责人质量安全责任七项规定（试行）》的规定承担相应行政责任，及依据《建设工程质量管理条例》及其他相关法律法规承担刑事和民事责任。</w:t>
      </w:r>
    </w:p>
    <w:p w14:paraId="3E91A822">
      <w:pPr>
        <w:widowControl/>
        <w:spacing w:line="360" w:lineRule="auto"/>
        <w:rPr>
          <w:rFonts w:ascii="宋体" w:hAnsi="宋体" w:cs="宋体"/>
          <w:color w:val="000000" w:themeColor="text1"/>
          <w:kern w:val="0"/>
          <w:sz w:val="24"/>
          <w:szCs w:val="24"/>
          <w:highlight w:val="none"/>
          <w14:textFill>
            <w14:solidFill>
              <w14:schemeClr w14:val="tx1"/>
            </w14:solidFill>
          </w14:textFill>
        </w:rPr>
      </w:pPr>
    </w:p>
    <w:p w14:paraId="7AF80161">
      <w:pPr>
        <w:widowControl/>
        <w:spacing w:line="360" w:lineRule="auto"/>
        <w:ind w:left="6000" w:hanging="6000" w:hangingChars="25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设计项目负责人（签名）：          _______________________（单位盖章）</w:t>
      </w:r>
    </w:p>
    <w:p w14:paraId="245AD097">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年   月   日</w:t>
      </w:r>
    </w:p>
    <w:p w14:paraId="75E8EF62">
      <w:pPr>
        <w:widowControl/>
        <w:spacing w:line="360" w:lineRule="auto"/>
        <w:rPr>
          <w:rFonts w:ascii="宋体" w:hAnsi="宋体" w:cs="宋体"/>
          <w:color w:val="000000" w:themeColor="text1"/>
          <w:kern w:val="0"/>
          <w:sz w:val="24"/>
          <w:szCs w:val="24"/>
          <w:highlight w:val="none"/>
          <w14:textFill>
            <w14:solidFill>
              <w14:schemeClr w14:val="tx1"/>
            </w14:solidFill>
          </w14:textFill>
        </w:rPr>
      </w:pPr>
    </w:p>
    <w:p w14:paraId="402C0C08">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附：身份证复印件粘贴</w:t>
      </w:r>
    </w:p>
    <w:tbl>
      <w:tblPr>
        <w:tblStyle w:val="15"/>
        <w:tblW w:w="9057" w:type="dxa"/>
        <w:tblInd w:w="0" w:type="dxa"/>
        <w:tblLayout w:type="fixed"/>
        <w:tblCellMar>
          <w:top w:w="0" w:type="dxa"/>
          <w:left w:w="108" w:type="dxa"/>
          <w:bottom w:w="0" w:type="dxa"/>
          <w:right w:w="108" w:type="dxa"/>
        </w:tblCellMar>
      </w:tblPr>
      <w:tblGrid>
        <w:gridCol w:w="9057"/>
      </w:tblGrid>
      <w:tr w14:paraId="75D0ADE2">
        <w:tblPrEx>
          <w:tblCellMar>
            <w:top w:w="0" w:type="dxa"/>
            <w:left w:w="108" w:type="dxa"/>
            <w:bottom w:w="0" w:type="dxa"/>
            <w:right w:w="108" w:type="dxa"/>
          </w:tblCellMar>
        </w:tblPrEx>
        <w:trPr>
          <w:trHeight w:val="3566" w:hRule="atLeast"/>
        </w:trPr>
        <w:tc>
          <w:tcPr>
            <w:tcW w:w="9057" w:type="dxa"/>
            <w:tcBorders>
              <w:top w:val="single" w:color="auto" w:sz="4" w:space="0"/>
              <w:left w:val="single" w:color="auto" w:sz="4" w:space="0"/>
              <w:bottom w:val="single" w:color="auto" w:sz="4" w:space="0"/>
              <w:right w:val="single" w:color="auto" w:sz="4" w:space="0"/>
            </w:tcBorders>
            <w:noWrap w:val="0"/>
            <w:vAlign w:val="top"/>
          </w:tcPr>
          <w:p w14:paraId="7E3136BC">
            <w:pPr>
              <w:keepNext w:val="0"/>
              <w:keepLines w:val="0"/>
              <w:widowControl/>
              <w:suppressLineNumbers w:val="0"/>
              <w:spacing w:before="0" w:beforeAutospacing="0" w:after="0" w:afterAutospacing="0" w:line="360" w:lineRule="auto"/>
              <w:ind w:left="0" w:right="0"/>
              <w:rPr>
                <w:rFonts w:hint="default" w:ascii="宋体" w:hAnsi="宋体" w:cs="宋体"/>
                <w:color w:val="000000" w:themeColor="text1"/>
                <w:kern w:val="0"/>
                <w:sz w:val="32"/>
                <w:szCs w:val="32"/>
                <w:highlight w:val="none"/>
                <w14:textFill>
                  <w14:solidFill>
                    <w14:schemeClr w14:val="tx1"/>
                  </w14:solidFill>
                </w14:textFill>
              </w:rPr>
            </w:pPr>
          </w:p>
          <w:p w14:paraId="1A290E2E">
            <w:pPr>
              <w:keepNext w:val="0"/>
              <w:keepLines w:val="0"/>
              <w:widowControl/>
              <w:suppressLineNumbers w:val="0"/>
              <w:spacing w:before="0" w:beforeAutospacing="0" w:after="0" w:afterAutospacing="0" w:line="360" w:lineRule="auto"/>
              <w:ind w:left="0" w:right="0"/>
              <w:rPr>
                <w:rFonts w:hint="default" w:ascii="宋体" w:hAnsi="宋体" w:cs="宋体"/>
                <w:color w:val="000000" w:themeColor="text1"/>
                <w:kern w:val="0"/>
                <w:sz w:val="32"/>
                <w:szCs w:val="32"/>
                <w:highlight w:val="none"/>
                <w14:textFill>
                  <w14:solidFill>
                    <w14:schemeClr w14:val="tx1"/>
                  </w14:solidFill>
                </w14:textFill>
              </w:rPr>
            </w:pPr>
          </w:p>
          <w:p w14:paraId="15037652">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000000" w:themeColor="text1"/>
                <w:kern w:val="0"/>
                <w:sz w:val="32"/>
                <w:szCs w:val="32"/>
                <w:highlight w:val="none"/>
                <w14:textFill>
                  <w14:solidFill>
                    <w14:schemeClr w14:val="tx1"/>
                  </w14:solidFill>
                </w14:textFill>
              </w:rPr>
            </w:pPr>
          </w:p>
        </w:tc>
      </w:tr>
    </w:tbl>
    <w:p w14:paraId="4A3AB252">
      <w:pPr>
        <w:spacing w:line="360" w:lineRule="auto"/>
        <w:rPr>
          <w:rFonts w:ascii="宋体" w:hAnsi="宋体" w:cs="宋体"/>
          <w:color w:val="000000" w:themeColor="text1"/>
          <w:szCs w:val="21"/>
          <w:highlight w:val="none"/>
          <w14:textFill>
            <w14:solidFill>
              <w14:schemeClr w14:val="tx1"/>
            </w14:solidFill>
          </w14:textFill>
        </w:rPr>
      </w:pPr>
    </w:p>
    <w:p w14:paraId="3AE93DAC">
      <w:pPr>
        <w:spacing w:line="360" w:lineRule="auto"/>
        <w:rPr>
          <w:rFonts w:ascii="宋体" w:hAnsi="宋体" w:cs="宋体"/>
          <w:color w:val="000000" w:themeColor="text1"/>
          <w:szCs w:val="21"/>
          <w:highlight w:val="none"/>
          <w14:textFill>
            <w14:solidFill>
              <w14:schemeClr w14:val="tx1"/>
            </w14:solidFill>
          </w14:textFill>
        </w:rPr>
      </w:pPr>
    </w:p>
    <w:p w14:paraId="6B42DC58">
      <w:pPr>
        <w:spacing w:line="360" w:lineRule="auto"/>
        <w:jc w:val="center"/>
        <w:rPr>
          <w:rFonts w:ascii="宋体" w:hAnsi="宋体" w:cs="黑体"/>
          <w:b/>
          <w:color w:val="000000" w:themeColor="text1"/>
          <w:kern w:val="0"/>
          <w:sz w:val="44"/>
          <w:szCs w:val="4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s="宋体"/>
          <w:b/>
          <w:color w:val="000000" w:themeColor="text1"/>
          <w:kern w:val="0"/>
          <w:sz w:val="44"/>
          <w:szCs w:val="44"/>
          <w:highlight w:val="none"/>
          <w14:textFill>
            <w14:solidFill>
              <w14:schemeClr w14:val="tx1"/>
            </w14:solidFill>
          </w14:textFill>
        </w:rPr>
        <w:t>建筑工程勘察设计项目负责人更换保证书</w:t>
      </w:r>
    </w:p>
    <w:p w14:paraId="1AF6F0F0">
      <w:pPr>
        <w:widowControl/>
        <w:spacing w:before="312" w:beforeLines="100"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广州市重点公共建设项目管理中心：</w:t>
      </w:r>
    </w:p>
    <w:p w14:paraId="5E663121">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我单位承担___________项目的勘察设计工作,并分别授权___________担任本工程勘察、设计项目负责人，代表我单位对该工程项目的勘察、设计工作实施组织管理。我单位将严格监督所指派的项目负责人遵守《建筑工程质量安全终身责任承诺书》，如该项目负责人需更换，我单位郑重承诺如下：</w:t>
      </w:r>
    </w:p>
    <w:p w14:paraId="08BE093A">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一、我单位保证</w:t>
      </w:r>
      <w:r>
        <w:rPr>
          <w:rFonts w:hint="eastAsia" w:ascii="宋体" w:hAnsi="宋体" w:cs="宋体"/>
          <w:color w:val="000000" w:themeColor="text1"/>
          <w:kern w:val="0"/>
          <w:sz w:val="24"/>
          <w:szCs w:val="24"/>
          <w:highlight w:val="none"/>
          <w14:textFill>
            <w14:solidFill>
              <w14:schemeClr w14:val="tx1"/>
            </w14:solidFill>
          </w14:textFill>
        </w:rPr>
        <w:t>非经过贵中心同意，项目负责人不得更换或再参与本合同项目以外的其他工作。</w:t>
      </w:r>
    </w:p>
    <w:p w14:paraId="79CC56FD">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二、贵中心认为勘察或设计项目负责人不称职时，有权向我单位发出书面更换人员通知，我单位在收到书面通知后</w:t>
      </w:r>
      <w:r>
        <w:rPr>
          <w:rFonts w:hint="eastAsia" w:ascii="宋体" w:hAnsi="宋体" w:cs="仿宋_GB2312"/>
          <w:color w:val="000000" w:themeColor="text1"/>
          <w:kern w:val="0"/>
          <w:sz w:val="24"/>
          <w:szCs w:val="24"/>
          <w:highlight w:val="none"/>
          <w14:textFill>
            <w14:solidFill>
              <w14:schemeClr w14:val="tx1"/>
            </w14:solidFill>
          </w14:textFill>
        </w:rPr>
        <w:t>5天内更换，更换人员须先经过贵中心确认。若我单位对贵中心要求更换人员有异议时，可申请复议一次，若经复议后贵中心仍然要求更换，则我单位将无条件进行更换，否则视该项目负责人从贵中心发出更换通知的时间开始擅自离岗。</w:t>
      </w:r>
    </w:p>
    <w:p w14:paraId="7F5E9751">
      <w:pPr>
        <w:widowControl/>
        <w:spacing w:line="360" w:lineRule="auto"/>
        <w:ind w:firstLine="480" w:firstLineChars="200"/>
        <w:rPr>
          <w:rFonts w:ascii="宋体" w:hAnsi="宋体" w:cs="仿宋_GB2312"/>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三、保证上述两种情况下更换项目负责人，更换人员的职务、资历、资格不低于招标文件、投标文件、本合同及相应法律法规和政府文件的要求。</w:t>
      </w:r>
    </w:p>
    <w:p w14:paraId="5438455C">
      <w:pPr>
        <w:spacing w:line="360" w:lineRule="auto"/>
        <w:ind w:firstLine="480" w:firstLineChars="200"/>
        <w:rPr>
          <w:rFonts w:ascii="宋体" w:hAnsi="宋体"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四、保证按照</w:t>
      </w:r>
      <w:r>
        <w:rPr>
          <w:rFonts w:hint="eastAsia" w:ascii="宋体" w:hAnsi="宋体" w:cs="宋体"/>
          <w:color w:val="000000" w:themeColor="text1"/>
          <w:sz w:val="24"/>
          <w:szCs w:val="24"/>
          <w:highlight w:val="none"/>
          <w14:textFill>
            <w14:solidFill>
              <w14:schemeClr w14:val="tx1"/>
            </w14:solidFill>
          </w14:textFill>
        </w:rPr>
        <w:t>《建筑工程五方责任主体项目负责人质量终身责任追究暂行办法》第八条的规定，更换项目负责人时“办理变更程序，重新签署工程质量终身责任承诺书，连同法定代表人授权书，报工程质量监督机构备案”。</w:t>
      </w:r>
    </w:p>
    <w:p w14:paraId="542DA65C">
      <w:pPr>
        <w:spacing w:line="360" w:lineRule="auto"/>
        <w:ind w:firstLine="480" w:firstLineChars="200"/>
        <w:rPr>
          <w:rFonts w:ascii="宋体" w:hAnsi="宋体"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五、更换项目负责人后，对于质量安全责任，能够区分具体人的，由具体项目负责人承担，不能区分的，由更换之后的项目负责人承担。</w:t>
      </w:r>
    </w:p>
    <w:p w14:paraId="4DFC593C">
      <w:pPr>
        <w:spacing w:line="360" w:lineRule="auto"/>
        <w:ind w:firstLine="480" w:firstLineChars="200"/>
        <w:rPr>
          <w:rFonts w:ascii="宋体" w:hAnsi="宋体"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六、我单位经过贵中心同意更换项目负责人或未经贵中心同意更换项目负责人，愿意参照勘察设计合同关于“更换项目勘察、设计总负责人”的约定承担相应的违约责任。</w:t>
      </w:r>
    </w:p>
    <w:p w14:paraId="586BD5C4">
      <w:pPr>
        <w:spacing w:line="360" w:lineRule="auto"/>
        <w:ind w:left="1" w:right="67" w:rightChars="32" w:hanging="1"/>
        <w:jc w:val="right"/>
        <w:rPr>
          <w:rFonts w:ascii="宋体" w:hAnsi="宋体"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__________________________（单位盖章）</w:t>
      </w:r>
    </w:p>
    <w:p w14:paraId="789D2567">
      <w:pPr>
        <w:spacing w:line="360" w:lineRule="auto"/>
        <w:ind w:firstLine="480" w:firstLineChars="200"/>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法定代表人（签字）</w:t>
      </w:r>
    </w:p>
    <w:p w14:paraId="311BB729">
      <w:pPr>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年   月   日</w:t>
      </w:r>
    </w:p>
    <w:p w14:paraId="56D1A6F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3"/>
        <w:rPr>
          <w:rFonts w:hint="default" w:cs="宋体"/>
          <w:color w:val="000000" w:themeColor="text1"/>
          <w:highlight w:val="none"/>
          <w14:textFill>
            <w14:solidFill>
              <w14:schemeClr w14:val="tx1"/>
            </w14:solidFill>
          </w14:textFill>
        </w:rPr>
      </w:pPr>
      <w:r>
        <w:rPr>
          <w:rFonts w:hint="default" w:ascii="Times New Roman" w:hAnsi="Times New Roman"/>
          <w:color w:val="000000" w:themeColor="text1"/>
          <w:kern w:val="2"/>
          <w:sz w:val="21"/>
          <w:szCs w:val="21"/>
          <w:highlight w:val="none"/>
          <w14:textFill>
            <w14:solidFill>
              <w14:schemeClr w14:val="tx1"/>
            </w14:solidFill>
          </w14:textFill>
        </w:rPr>
        <w:br w:type="page"/>
      </w:r>
      <w:r>
        <w:rPr>
          <w:rFonts w:hint="eastAsia" w:ascii="宋体" w:hAnsi="宋体" w:cs="宋体"/>
          <w:bCs/>
          <w:color w:val="000000" w:themeColor="text1"/>
          <w:kern w:val="0"/>
          <w:sz w:val="24"/>
          <w:szCs w:val="24"/>
          <w:highlight w:val="none"/>
          <w14:textFill>
            <w14:solidFill>
              <w14:schemeClr w14:val="tx1"/>
            </w14:solidFill>
          </w14:textFill>
        </w:rPr>
        <w:t>附件</w:t>
      </w:r>
      <w:r>
        <w:rPr>
          <w:rFonts w:cs="宋体"/>
          <w:color w:val="000000" w:themeColor="text1"/>
          <w:kern w:val="2"/>
          <w:highlight w:val="none"/>
          <w14:textFill>
            <w14:solidFill>
              <w14:schemeClr w14:val="tx1"/>
            </w14:solidFill>
          </w14:textFill>
        </w:rPr>
        <w:t>1</w:t>
      </w:r>
      <w:r>
        <w:rPr>
          <w:rFonts w:hint="eastAsia" w:cs="宋体"/>
          <w:color w:val="000000" w:themeColor="text1"/>
          <w:kern w:val="2"/>
          <w:highlight w:val="none"/>
          <w:lang w:val="en-US" w:eastAsia="zh-CN"/>
          <w14:textFill>
            <w14:solidFill>
              <w14:schemeClr w14:val="tx1"/>
            </w14:solidFill>
          </w14:textFill>
        </w:rPr>
        <w:t>1</w:t>
      </w:r>
      <w:r>
        <w:rPr>
          <w:rFonts w:cs="宋体"/>
          <w:color w:val="000000" w:themeColor="text1"/>
          <w:kern w:val="2"/>
          <w:highlight w:val="none"/>
          <w14:textFill>
            <w14:solidFill>
              <w14:schemeClr w14:val="tx1"/>
            </w14:solidFill>
          </w14:textFill>
        </w:rPr>
        <w:t>：工程质量终身责任承诺书</w:t>
      </w:r>
    </w:p>
    <w:p w14:paraId="653EE148">
      <w:pPr>
        <w:spacing w:line="360" w:lineRule="auto"/>
        <w:jc w:val="left"/>
        <w:rPr>
          <w:rFonts w:ascii="宋体" w:hAnsi="宋体" w:cs="宋体"/>
          <w:color w:val="000000" w:themeColor="text1"/>
          <w:kern w:val="0"/>
          <w:sz w:val="24"/>
          <w:szCs w:val="24"/>
          <w:highlight w:val="none"/>
          <w14:textFill>
            <w14:solidFill>
              <w14:schemeClr w14:val="tx1"/>
            </w14:solidFill>
          </w14:textFill>
        </w:rPr>
      </w:pPr>
    </w:p>
    <w:p w14:paraId="5FE2B870">
      <w:pPr>
        <w:spacing w:before="312" w:beforeLines="100" w:after="312" w:afterLines="100"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法定代表人授权书</w:t>
      </w:r>
    </w:p>
    <w:p w14:paraId="12AC2DDC">
      <w:pPr>
        <w:spacing w:before="468" w:beforeLines="150" w:line="360" w:lineRule="auto"/>
        <w:ind w:firstLine="420" w:firstLineChars="15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兹授权我单位</w:t>
      </w:r>
      <w:r>
        <w:rPr>
          <w:rFonts w:hint="eastAsia" w:ascii="宋体" w:hAnsi="宋体" w:cs="宋体"/>
          <w:color w:val="000000" w:themeColor="text1"/>
          <w:kern w:val="0"/>
          <w:sz w:val="24"/>
          <w:szCs w:val="24"/>
          <w:highlight w:val="none"/>
          <w14:textFill>
            <w14:solidFill>
              <w14:schemeClr w14:val="tx1"/>
            </w14:solidFill>
          </w14:textFill>
        </w:rPr>
        <w:t>___________</w:t>
      </w:r>
      <w:r>
        <w:rPr>
          <w:rFonts w:hint="eastAsia" w:ascii="宋体" w:hAnsi="宋体" w:cs="宋体"/>
          <w:color w:val="000000" w:themeColor="text1"/>
          <w:sz w:val="28"/>
          <w:szCs w:val="28"/>
          <w:highlight w:val="none"/>
          <w14:textFill>
            <w14:solidFill>
              <w14:schemeClr w14:val="tx1"/>
            </w14:solidFill>
          </w14:textFill>
        </w:rPr>
        <w:t>担任</w:t>
      </w:r>
      <w:r>
        <w:rPr>
          <w:rFonts w:hint="eastAsia" w:ascii="宋体" w:hAnsi="宋体" w:cs="宋体"/>
          <w:color w:val="000000" w:themeColor="text1"/>
          <w:kern w:val="0"/>
          <w:sz w:val="24"/>
          <w:szCs w:val="24"/>
          <w:highlight w:val="none"/>
          <w14:textFill>
            <w14:solidFill>
              <w14:schemeClr w14:val="tx1"/>
            </w14:solidFill>
          </w14:textFill>
        </w:rPr>
        <w:t>_______________</w:t>
      </w:r>
      <w:r>
        <w:rPr>
          <w:rFonts w:hint="eastAsia" w:ascii="宋体" w:hAnsi="宋体" w:cs="宋体"/>
          <w:color w:val="000000" w:themeColor="text1"/>
          <w:sz w:val="28"/>
          <w:szCs w:val="28"/>
          <w:highlight w:val="none"/>
          <w14:textFill>
            <w14:solidFill>
              <w14:schemeClr w14:val="tx1"/>
            </w14:solidFill>
          </w14:textFill>
        </w:rPr>
        <w:t>工程项目的勘察项目负责人，对该工程项目的勘察工作实施组织管理，依据国家有关法律法规及标准规范履行职责，并依法对设计使用年限内的工程质量承担相应终身责任。</w:t>
      </w:r>
    </w:p>
    <w:p w14:paraId="5F642038">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本授权书自授权之日起生效。</w:t>
      </w:r>
    </w:p>
    <w:p w14:paraId="593A2584">
      <w:pPr>
        <w:spacing w:line="360" w:lineRule="auto"/>
        <w:ind w:firstLine="720" w:firstLineChars="200"/>
        <w:rPr>
          <w:rFonts w:ascii="宋体" w:hAnsi="宋体" w:cs="宋体"/>
          <w:color w:val="000000" w:themeColor="text1"/>
          <w:sz w:val="36"/>
          <w:szCs w:val="36"/>
          <w:highlight w:val="none"/>
          <w14:textFill>
            <w14:solidFill>
              <w14:schemeClr w14:val="tx1"/>
            </w14:solidFill>
          </w14:textFill>
        </w:rPr>
      </w:pPr>
    </w:p>
    <w:tbl>
      <w:tblPr>
        <w:tblStyle w:val="15"/>
        <w:tblW w:w="8755" w:type="dxa"/>
        <w:tblInd w:w="0" w:type="dxa"/>
        <w:tblLayout w:type="fixed"/>
        <w:tblCellMar>
          <w:top w:w="0" w:type="dxa"/>
          <w:left w:w="108" w:type="dxa"/>
          <w:bottom w:w="0" w:type="dxa"/>
          <w:right w:w="108" w:type="dxa"/>
        </w:tblCellMar>
      </w:tblPr>
      <w:tblGrid>
        <w:gridCol w:w="2130"/>
        <w:gridCol w:w="2231"/>
        <w:gridCol w:w="1843"/>
        <w:gridCol w:w="2551"/>
      </w:tblGrid>
      <w:tr w14:paraId="28847413">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564D90D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被授权人基本情况</w:t>
            </w:r>
          </w:p>
        </w:tc>
      </w:tr>
      <w:tr w14:paraId="29BDBA14">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14:paraId="280E9DDB">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  名</w:t>
            </w:r>
          </w:p>
        </w:tc>
        <w:tc>
          <w:tcPr>
            <w:tcW w:w="2231" w:type="dxa"/>
            <w:tcBorders>
              <w:top w:val="single" w:color="auto" w:sz="4" w:space="0"/>
              <w:left w:val="nil"/>
              <w:bottom w:val="single" w:color="auto" w:sz="4" w:space="0"/>
              <w:right w:val="single" w:color="auto" w:sz="4" w:space="0"/>
            </w:tcBorders>
            <w:noWrap w:val="0"/>
            <w:vAlign w:val="center"/>
          </w:tcPr>
          <w:p w14:paraId="620C2F30">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noWrap w:val="0"/>
            <w:vAlign w:val="center"/>
          </w:tcPr>
          <w:p w14:paraId="5C3684FF">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身份证号</w:t>
            </w:r>
          </w:p>
        </w:tc>
        <w:tc>
          <w:tcPr>
            <w:tcW w:w="2551" w:type="dxa"/>
            <w:tcBorders>
              <w:top w:val="single" w:color="auto" w:sz="4" w:space="0"/>
              <w:left w:val="nil"/>
              <w:bottom w:val="single" w:color="auto" w:sz="4" w:space="0"/>
              <w:right w:val="single" w:color="auto" w:sz="4" w:space="0"/>
            </w:tcBorders>
            <w:noWrap w:val="0"/>
            <w:vAlign w:val="center"/>
          </w:tcPr>
          <w:p w14:paraId="3FC12E81">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5B8FB6E4">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14:paraId="0C16921B">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注册执业资格</w:t>
            </w:r>
          </w:p>
        </w:tc>
        <w:tc>
          <w:tcPr>
            <w:tcW w:w="2231" w:type="dxa"/>
            <w:tcBorders>
              <w:top w:val="single" w:color="auto" w:sz="4" w:space="0"/>
              <w:left w:val="nil"/>
              <w:bottom w:val="single" w:color="auto" w:sz="4" w:space="0"/>
              <w:right w:val="single" w:color="auto" w:sz="4" w:space="0"/>
            </w:tcBorders>
            <w:noWrap w:val="0"/>
            <w:vAlign w:val="center"/>
          </w:tcPr>
          <w:p w14:paraId="730CC5A8">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noWrap w:val="0"/>
            <w:vAlign w:val="center"/>
          </w:tcPr>
          <w:p w14:paraId="1A95F9DE">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注册执业证号</w:t>
            </w:r>
          </w:p>
        </w:tc>
        <w:tc>
          <w:tcPr>
            <w:tcW w:w="2551" w:type="dxa"/>
            <w:tcBorders>
              <w:top w:val="single" w:color="auto" w:sz="4" w:space="0"/>
              <w:left w:val="nil"/>
              <w:bottom w:val="single" w:color="auto" w:sz="4" w:space="0"/>
              <w:right w:val="single" w:color="auto" w:sz="4" w:space="0"/>
            </w:tcBorders>
            <w:noWrap w:val="0"/>
            <w:vAlign w:val="center"/>
          </w:tcPr>
          <w:p w14:paraId="319C4501">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5C44977B">
        <w:tblPrEx>
          <w:tblCellMar>
            <w:top w:w="0" w:type="dxa"/>
            <w:left w:w="108" w:type="dxa"/>
            <w:bottom w:w="0" w:type="dxa"/>
            <w:right w:w="108" w:type="dxa"/>
          </w:tblCellMar>
        </w:tblPrEx>
        <w:trPr>
          <w:trHeight w:val="892"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1DA70490">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被授权人签字：</w:t>
            </w:r>
          </w:p>
        </w:tc>
      </w:tr>
    </w:tbl>
    <w:p w14:paraId="5AF542D0">
      <w:pPr>
        <w:spacing w:line="360" w:lineRule="auto"/>
        <w:ind w:firstLine="720" w:firstLineChars="200"/>
        <w:rPr>
          <w:rFonts w:ascii="宋体" w:hAnsi="宋体" w:cs="宋体"/>
          <w:color w:val="000000" w:themeColor="text1"/>
          <w:sz w:val="36"/>
          <w:szCs w:val="36"/>
          <w:highlight w:val="none"/>
          <w14:textFill>
            <w14:solidFill>
              <w14:schemeClr w14:val="tx1"/>
            </w14:solidFill>
          </w14:textFill>
        </w:rPr>
      </w:pPr>
    </w:p>
    <w:p w14:paraId="0B6C4A8D">
      <w:pPr>
        <w:spacing w:line="360" w:lineRule="auto"/>
        <w:ind w:left="5180" w:leftChars="200" w:hanging="4760" w:hangingChars="1700"/>
        <w:jc w:val="left"/>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授权单位（盖章）：</w:t>
      </w:r>
      <w:r>
        <w:rPr>
          <w:rFonts w:hint="eastAsia" w:ascii="宋体" w:hAnsi="宋体" w:cs="宋体"/>
          <w:color w:val="000000" w:themeColor="text1"/>
          <w:sz w:val="28"/>
          <w:szCs w:val="28"/>
          <w:highlight w:val="none"/>
          <w:u w:val="single"/>
          <w14:textFill>
            <w14:solidFill>
              <w14:schemeClr w14:val="tx1"/>
            </w14:solidFill>
          </w14:textFill>
        </w:rPr>
        <w:t>___________________</w:t>
      </w:r>
    </w:p>
    <w:p w14:paraId="0300726D">
      <w:pPr>
        <w:spacing w:line="360" w:lineRule="auto"/>
        <w:ind w:firstLine="560" w:firstLineChars="2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法定代表人（签字）：</w:t>
      </w:r>
    </w:p>
    <w:p w14:paraId="439932AA">
      <w:pPr>
        <w:spacing w:line="360" w:lineRule="auto"/>
        <w:ind w:firstLine="644" w:firstLineChars="200"/>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pacing w:val="21"/>
          <w:sz w:val="28"/>
          <w:szCs w:val="28"/>
          <w:highlight w:val="none"/>
          <w14:textFill>
            <w14:solidFill>
              <w14:schemeClr w14:val="tx1"/>
            </w14:solidFill>
          </w14:textFill>
        </w:rPr>
        <w:t>授权日期：</w:t>
      </w:r>
      <w:r>
        <w:rPr>
          <w:rFonts w:hint="eastAsia" w:ascii="宋体" w:hAnsi="宋体" w:cs="宋体"/>
          <w:color w:val="000000" w:themeColor="text1"/>
          <w:sz w:val="28"/>
          <w:szCs w:val="28"/>
          <w:highlight w:val="none"/>
          <w:u w:val="single"/>
          <w14:textFill>
            <w14:solidFill>
              <w14:schemeClr w14:val="tx1"/>
            </w14:solidFill>
          </w14:textFill>
        </w:rPr>
        <w:t xml:space="preserve">  ___</w:t>
      </w:r>
      <w:r>
        <w:rPr>
          <w:rFonts w:hint="eastAsia" w:ascii="宋体" w:hAnsi="宋体" w:cs="宋体"/>
          <w:color w:val="000000" w:themeColor="text1"/>
          <w:sz w:val="28"/>
          <w:szCs w:val="28"/>
          <w:highlight w:val="none"/>
          <w14:textFill>
            <w14:solidFill>
              <w14:schemeClr w14:val="tx1"/>
            </w14:solidFill>
          </w14:textFill>
        </w:rPr>
        <w:t>年月日</w:t>
      </w:r>
    </w:p>
    <w:p w14:paraId="554CA099">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p w14:paraId="55069CAD">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44"/>
          <w:szCs w:val="44"/>
          <w:highlight w:val="none"/>
          <w14:textFill>
            <w14:solidFill>
              <w14:schemeClr w14:val="tx1"/>
            </w14:solidFill>
          </w14:textFill>
        </w:rPr>
        <w:t>工程质量终身责任承诺书</w:t>
      </w:r>
    </w:p>
    <w:p w14:paraId="11363F33">
      <w:pPr>
        <w:spacing w:before="468" w:beforeLines="150"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本人受___________________（法定代表人</w:t>
      </w:r>
      <w:r>
        <w:rPr>
          <w:rFonts w:hint="eastAsia" w:ascii="宋体" w:hAnsi="宋体" w:cs="宋体"/>
          <w:color w:val="000000" w:themeColor="text1"/>
          <w:kern w:val="0"/>
          <w:sz w:val="24"/>
          <w:szCs w:val="24"/>
          <w:highlight w:val="none"/>
          <w14:textFill>
            <w14:solidFill>
              <w14:schemeClr w14:val="tx1"/>
            </w14:solidFill>
          </w14:textFill>
        </w:rPr>
        <w:t>_______</w:t>
      </w:r>
      <w:r>
        <w:rPr>
          <w:rFonts w:hint="eastAsia" w:ascii="宋体" w:hAnsi="宋体" w:cs="宋体"/>
          <w:color w:val="000000" w:themeColor="text1"/>
          <w:sz w:val="28"/>
          <w:szCs w:val="28"/>
          <w:highlight w:val="none"/>
          <w14:textFill>
            <w14:solidFill>
              <w14:schemeClr w14:val="tx1"/>
            </w14:solidFill>
          </w14:textFill>
        </w:rPr>
        <w:t>）授权，担任</w:t>
      </w:r>
      <w:r>
        <w:rPr>
          <w:rFonts w:hint="eastAsia" w:ascii="宋体" w:hAnsi="宋体" w:cs="宋体"/>
          <w:color w:val="000000" w:themeColor="text1"/>
          <w:kern w:val="0"/>
          <w:sz w:val="24"/>
          <w:szCs w:val="24"/>
          <w:highlight w:val="none"/>
          <w14:textFill>
            <w14:solidFill>
              <w14:schemeClr w14:val="tx1"/>
            </w14:solidFill>
          </w14:textFill>
        </w:rPr>
        <w:t>__________________</w:t>
      </w:r>
      <w:r>
        <w:rPr>
          <w:rFonts w:hint="eastAsia" w:ascii="宋体" w:hAnsi="宋体" w:cs="宋体"/>
          <w:color w:val="000000" w:themeColor="text1"/>
          <w:sz w:val="28"/>
          <w:szCs w:val="28"/>
          <w:highlight w:val="none"/>
          <w14:textFill>
            <w14:solidFill>
              <w14:schemeClr w14:val="tx1"/>
            </w14:solidFill>
          </w14:textFill>
        </w:rPr>
        <w:t>工程项目的勘察项目负责人，对该工程项目的勘察工作实施组织管理。本人承诺严格依据国家有关法律法规及标准规范履行职责，并对设计使用年限内的工程质量承担相应终身责任。</w:t>
      </w:r>
    </w:p>
    <w:p w14:paraId="38462741">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p w14:paraId="429B50F0">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p w14:paraId="0850AF15">
      <w:pPr>
        <w:spacing w:line="360" w:lineRule="auto"/>
        <w:ind w:firstLine="680" w:firstLineChars="2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pacing w:val="30"/>
          <w:sz w:val="28"/>
          <w:szCs w:val="28"/>
          <w:highlight w:val="none"/>
          <w14:textFill>
            <w14:solidFill>
              <w14:schemeClr w14:val="tx1"/>
            </w14:solidFill>
          </w14:textFill>
        </w:rPr>
        <w:t>承诺人签字</w:t>
      </w:r>
      <w:r>
        <w:rPr>
          <w:rFonts w:hint="eastAsia" w:ascii="宋体" w:hAnsi="宋体" w:cs="宋体"/>
          <w:color w:val="000000" w:themeColor="text1"/>
          <w:sz w:val="28"/>
          <w:szCs w:val="28"/>
          <w:highlight w:val="none"/>
          <w14:textFill>
            <w14:solidFill>
              <w14:schemeClr w14:val="tx1"/>
            </w14:solidFill>
          </w14:textFill>
        </w:rPr>
        <w:t>：</w:t>
      </w:r>
    </w:p>
    <w:p w14:paraId="6336E029">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身 份 证 号：</w:t>
      </w:r>
      <w:r>
        <w:rPr>
          <w:rFonts w:hint="eastAsia" w:ascii="宋体" w:hAnsi="宋体" w:cs="宋体"/>
          <w:color w:val="000000" w:themeColor="text1"/>
          <w:kern w:val="0"/>
          <w:sz w:val="24"/>
          <w:szCs w:val="24"/>
          <w:highlight w:val="none"/>
          <w14:textFill>
            <w14:solidFill>
              <w14:schemeClr w14:val="tx1"/>
            </w14:solidFill>
          </w14:textFill>
        </w:rPr>
        <w:t>__________________</w:t>
      </w:r>
    </w:p>
    <w:p w14:paraId="6144D513">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注册执业资格：</w:t>
      </w:r>
      <w:r>
        <w:rPr>
          <w:rFonts w:hint="eastAsia" w:ascii="宋体" w:hAnsi="宋体" w:cs="宋体"/>
          <w:color w:val="000000" w:themeColor="text1"/>
          <w:kern w:val="0"/>
          <w:sz w:val="24"/>
          <w:szCs w:val="24"/>
          <w:highlight w:val="none"/>
          <w14:textFill>
            <w14:solidFill>
              <w14:schemeClr w14:val="tx1"/>
            </w14:solidFill>
          </w14:textFill>
        </w:rPr>
        <w:t>__________________</w:t>
      </w:r>
    </w:p>
    <w:p w14:paraId="7F5941CA">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注册执业证号：</w:t>
      </w:r>
      <w:r>
        <w:rPr>
          <w:rFonts w:hint="eastAsia" w:ascii="宋体" w:hAnsi="宋体" w:cs="宋体"/>
          <w:color w:val="000000" w:themeColor="text1"/>
          <w:kern w:val="0"/>
          <w:sz w:val="24"/>
          <w:szCs w:val="24"/>
          <w:highlight w:val="none"/>
          <w14:textFill>
            <w14:solidFill>
              <w14:schemeClr w14:val="tx1"/>
            </w14:solidFill>
          </w14:textFill>
        </w:rPr>
        <w:t>__________________</w:t>
      </w:r>
    </w:p>
    <w:p w14:paraId="3FC63547">
      <w:pPr>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签 字 日 期：    年   月   日</w:t>
      </w:r>
    </w:p>
    <w:p w14:paraId="08C5F8BC">
      <w:pPr>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p>
    <w:p w14:paraId="240BBBC3">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44"/>
          <w:szCs w:val="44"/>
          <w:highlight w:val="none"/>
          <w14:textFill>
            <w14:solidFill>
              <w14:schemeClr w14:val="tx1"/>
            </w14:solidFill>
          </w14:textFill>
        </w:rPr>
        <w:t>法定代表人授权书</w:t>
      </w:r>
    </w:p>
    <w:p w14:paraId="0FCC55A1">
      <w:pPr>
        <w:spacing w:before="468" w:beforeLines="150"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兹授权我单位</w:t>
      </w:r>
      <w:r>
        <w:rPr>
          <w:rFonts w:hint="eastAsia" w:ascii="宋体" w:hAnsi="宋体" w:cs="宋体"/>
          <w:color w:val="000000" w:themeColor="text1"/>
          <w:kern w:val="0"/>
          <w:sz w:val="24"/>
          <w:szCs w:val="24"/>
          <w:highlight w:val="none"/>
          <w14:textFill>
            <w14:solidFill>
              <w14:schemeClr w14:val="tx1"/>
            </w14:solidFill>
          </w14:textFill>
        </w:rPr>
        <w:t>________</w:t>
      </w:r>
      <w:r>
        <w:rPr>
          <w:rFonts w:hint="eastAsia" w:ascii="宋体" w:hAnsi="宋体" w:cs="宋体"/>
          <w:color w:val="000000" w:themeColor="text1"/>
          <w:sz w:val="28"/>
          <w:szCs w:val="28"/>
          <w:highlight w:val="none"/>
          <w14:textFill>
            <w14:solidFill>
              <w14:schemeClr w14:val="tx1"/>
            </w14:solidFill>
          </w14:textFill>
        </w:rPr>
        <w:t>担任</w:t>
      </w:r>
      <w:r>
        <w:rPr>
          <w:rFonts w:hint="eastAsia" w:ascii="宋体" w:hAnsi="宋体" w:cs="宋体"/>
          <w:color w:val="000000" w:themeColor="text1"/>
          <w:kern w:val="0"/>
          <w:sz w:val="24"/>
          <w:szCs w:val="24"/>
          <w:highlight w:val="none"/>
          <w14:textFill>
            <w14:solidFill>
              <w14:schemeClr w14:val="tx1"/>
            </w14:solidFill>
          </w14:textFill>
        </w:rPr>
        <w:t>__________________</w:t>
      </w:r>
      <w:r>
        <w:rPr>
          <w:rFonts w:hint="eastAsia" w:ascii="宋体" w:hAnsi="宋体" w:cs="宋体"/>
          <w:color w:val="000000" w:themeColor="text1"/>
          <w:sz w:val="28"/>
          <w:szCs w:val="28"/>
          <w:highlight w:val="none"/>
          <w14:textFill>
            <w14:solidFill>
              <w14:schemeClr w14:val="tx1"/>
            </w14:solidFill>
          </w14:textFill>
        </w:rPr>
        <w:t>工程项目的设计项目负责人，对该工程项目的设计工作实施组织管理，依据国家有关法律法规及标准规范履行职责，并依法对设计使用年限内的工程质量承担相应终身责任。</w:t>
      </w:r>
    </w:p>
    <w:p w14:paraId="68B86916">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本授权书自授权之日起生效。</w:t>
      </w:r>
    </w:p>
    <w:p w14:paraId="28ACA00E">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tbl>
      <w:tblPr>
        <w:tblStyle w:val="15"/>
        <w:tblW w:w="9162" w:type="dxa"/>
        <w:tblInd w:w="0" w:type="dxa"/>
        <w:tblLayout w:type="fixed"/>
        <w:tblCellMar>
          <w:top w:w="0" w:type="dxa"/>
          <w:left w:w="108" w:type="dxa"/>
          <w:bottom w:w="0" w:type="dxa"/>
          <w:right w:w="108" w:type="dxa"/>
        </w:tblCellMar>
      </w:tblPr>
      <w:tblGrid>
        <w:gridCol w:w="2229"/>
        <w:gridCol w:w="2334"/>
        <w:gridCol w:w="1928"/>
        <w:gridCol w:w="2671"/>
      </w:tblGrid>
      <w:tr w14:paraId="597C65F0">
        <w:tblPrEx>
          <w:tblCellMar>
            <w:top w:w="0" w:type="dxa"/>
            <w:left w:w="108" w:type="dxa"/>
            <w:bottom w:w="0" w:type="dxa"/>
            <w:right w:w="108" w:type="dxa"/>
          </w:tblCellMar>
        </w:tblPrEx>
        <w:trPr>
          <w:trHeight w:val="813" w:hRule="atLeast"/>
        </w:trPr>
        <w:tc>
          <w:tcPr>
            <w:tcW w:w="9162" w:type="dxa"/>
            <w:gridSpan w:val="4"/>
            <w:tcBorders>
              <w:top w:val="single" w:color="auto" w:sz="4" w:space="0"/>
              <w:left w:val="single" w:color="auto" w:sz="4" w:space="0"/>
              <w:bottom w:val="single" w:color="auto" w:sz="4" w:space="0"/>
              <w:right w:val="single" w:color="auto" w:sz="4" w:space="0"/>
            </w:tcBorders>
            <w:noWrap w:val="0"/>
            <w:vAlign w:val="center"/>
          </w:tcPr>
          <w:p w14:paraId="52BC816E">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被授权人基本情况</w:t>
            </w:r>
          </w:p>
        </w:tc>
      </w:tr>
      <w:tr w14:paraId="11F85220">
        <w:tblPrEx>
          <w:tblCellMar>
            <w:top w:w="0" w:type="dxa"/>
            <w:left w:w="108" w:type="dxa"/>
            <w:bottom w:w="0" w:type="dxa"/>
            <w:right w:w="108" w:type="dxa"/>
          </w:tblCellMar>
        </w:tblPrEx>
        <w:trPr>
          <w:trHeight w:val="755" w:hRule="atLeast"/>
        </w:trPr>
        <w:tc>
          <w:tcPr>
            <w:tcW w:w="2229" w:type="dxa"/>
            <w:tcBorders>
              <w:top w:val="single" w:color="auto" w:sz="4" w:space="0"/>
              <w:left w:val="single" w:color="auto" w:sz="4" w:space="0"/>
              <w:bottom w:val="single" w:color="auto" w:sz="4" w:space="0"/>
              <w:right w:val="single" w:color="auto" w:sz="4" w:space="0"/>
            </w:tcBorders>
            <w:noWrap w:val="0"/>
            <w:vAlign w:val="center"/>
          </w:tcPr>
          <w:p w14:paraId="50979ED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  名</w:t>
            </w:r>
          </w:p>
        </w:tc>
        <w:tc>
          <w:tcPr>
            <w:tcW w:w="2334" w:type="dxa"/>
            <w:tcBorders>
              <w:top w:val="single" w:color="auto" w:sz="4" w:space="0"/>
              <w:left w:val="nil"/>
              <w:bottom w:val="single" w:color="auto" w:sz="4" w:space="0"/>
              <w:right w:val="single" w:color="auto" w:sz="4" w:space="0"/>
            </w:tcBorders>
            <w:noWrap w:val="0"/>
            <w:vAlign w:val="center"/>
          </w:tcPr>
          <w:p w14:paraId="0A03803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928" w:type="dxa"/>
            <w:tcBorders>
              <w:top w:val="single" w:color="auto" w:sz="4" w:space="0"/>
              <w:left w:val="nil"/>
              <w:bottom w:val="single" w:color="auto" w:sz="4" w:space="0"/>
              <w:right w:val="single" w:color="auto" w:sz="4" w:space="0"/>
            </w:tcBorders>
            <w:noWrap w:val="0"/>
            <w:vAlign w:val="center"/>
          </w:tcPr>
          <w:p w14:paraId="7B4B439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身份证号</w:t>
            </w:r>
          </w:p>
        </w:tc>
        <w:tc>
          <w:tcPr>
            <w:tcW w:w="2671" w:type="dxa"/>
            <w:tcBorders>
              <w:top w:val="single" w:color="auto" w:sz="4" w:space="0"/>
              <w:left w:val="nil"/>
              <w:bottom w:val="single" w:color="auto" w:sz="4" w:space="0"/>
              <w:right w:val="single" w:color="auto" w:sz="4" w:space="0"/>
            </w:tcBorders>
            <w:noWrap w:val="0"/>
            <w:vAlign w:val="center"/>
          </w:tcPr>
          <w:p w14:paraId="1D0B1329">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098AD553">
        <w:tblPrEx>
          <w:tblCellMar>
            <w:top w:w="0" w:type="dxa"/>
            <w:left w:w="108" w:type="dxa"/>
            <w:bottom w:w="0" w:type="dxa"/>
            <w:right w:w="108" w:type="dxa"/>
          </w:tblCellMar>
        </w:tblPrEx>
        <w:trPr>
          <w:trHeight w:val="852" w:hRule="atLeast"/>
        </w:trPr>
        <w:tc>
          <w:tcPr>
            <w:tcW w:w="2229" w:type="dxa"/>
            <w:tcBorders>
              <w:top w:val="single" w:color="auto" w:sz="4" w:space="0"/>
              <w:left w:val="single" w:color="auto" w:sz="4" w:space="0"/>
              <w:bottom w:val="single" w:color="auto" w:sz="4" w:space="0"/>
              <w:right w:val="single" w:color="auto" w:sz="4" w:space="0"/>
            </w:tcBorders>
            <w:noWrap w:val="0"/>
            <w:vAlign w:val="center"/>
          </w:tcPr>
          <w:p w14:paraId="584B17CE">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注册执业资格</w:t>
            </w:r>
          </w:p>
        </w:tc>
        <w:tc>
          <w:tcPr>
            <w:tcW w:w="2334" w:type="dxa"/>
            <w:tcBorders>
              <w:top w:val="single" w:color="auto" w:sz="4" w:space="0"/>
              <w:left w:val="nil"/>
              <w:bottom w:val="single" w:color="auto" w:sz="4" w:space="0"/>
              <w:right w:val="single" w:color="auto" w:sz="4" w:space="0"/>
            </w:tcBorders>
            <w:noWrap w:val="0"/>
            <w:vAlign w:val="center"/>
          </w:tcPr>
          <w:p w14:paraId="4B8256B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1928" w:type="dxa"/>
            <w:tcBorders>
              <w:top w:val="single" w:color="auto" w:sz="4" w:space="0"/>
              <w:left w:val="nil"/>
              <w:bottom w:val="single" w:color="auto" w:sz="4" w:space="0"/>
              <w:right w:val="single" w:color="auto" w:sz="4" w:space="0"/>
            </w:tcBorders>
            <w:noWrap w:val="0"/>
            <w:vAlign w:val="center"/>
          </w:tcPr>
          <w:p w14:paraId="173DC202">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注册执业证号</w:t>
            </w:r>
          </w:p>
        </w:tc>
        <w:tc>
          <w:tcPr>
            <w:tcW w:w="2671" w:type="dxa"/>
            <w:tcBorders>
              <w:top w:val="single" w:color="auto" w:sz="4" w:space="0"/>
              <w:left w:val="nil"/>
              <w:bottom w:val="single" w:color="auto" w:sz="4" w:space="0"/>
              <w:right w:val="single" w:color="auto" w:sz="4" w:space="0"/>
            </w:tcBorders>
            <w:noWrap w:val="0"/>
            <w:vAlign w:val="center"/>
          </w:tcPr>
          <w:p w14:paraId="1D4BD1E2">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p>
        </w:tc>
      </w:tr>
      <w:tr w14:paraId="1B217E70">
        <w:tblPrEx>
          <w:tblCellMar>
            <w:top w:w="0" w:type="dxa"/>
            <w:left w:w="108" w:type="dxa"/>
            <w:bottom w:w="0" w:type="dxa"/>
            <w:right w:w="108" w:type="dxa"/>
          </w:tblCellMar>
        </w:tblPrEx>
        <w:trPr>
          <w:trHeight w:val="869" w:hRule="atLeast"/>
        </w:trPr>
        <w:tc>
          <w:tcPr>
            <w:tcW w:w="9162" w:type="dxa"/>
            <w:gridSpan w:val="4"/>
            <w:tcBorders>
              <w:top w:val="single" w:color="auto" w:sz="4" w:space="0"/>
              <w:left w:val="single" w:color="auto" w:sz="4" w:space="0"/>
              <w:bottom w:val="single" w:color="auto" w:sz="4" w:space="0"/>
              <w:right w:val="single" w:color="auto" w:sz="4" w:space="0"/>
            </w:tcBorders>
            <w:noWrap w:val="0"/>
            <w:vAlign w:val="center"/>
          </w:tcPr>
          <w:p w14:paraId="02120E9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被授权人签字：</w:t>
            </w:r>
          </w:p>
        </w:tc>
      </w:tr>
    </w:tbl>
    <w:p w14:paraId="34F4293A">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p w14:paraId="31420178">
      <w:pPr>
        <w:spacing w:line="360" w:lineRule="auto"/>
        <w:ind w:left="6860" w:leftChars="200" w:hanging="6440" w:hangingChars="20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pacing w:val="21"/>
          <w:sz w:val="28"/>
          <w:szCs w:val="28"/>
          <w:highlight w:val="none"/>
          <w14:textFill>
            <w14:solidFill>
              <w14:schemeClr w14:val="tx1"/>
            </w14:solidFill>
          </w14:textFill>
        </w:rPr>
        <w:t>授权单位（盖章）</w:t>
      </w: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u w:val="single"/>
          <w14:textFill>
            <w14:solidFill>
              <w14:schemeClr w14:val="tx1"/>
            </w14:solidFill>
          </w14:textFill>
        </w:rPr>
        <w:t>______________________</w:t>
      </w:r>
    </w:p>
    <w:p w14:paraId="70221CC7">
      <w:pPr>
        <w:spacing w:line="360" w:lineRule="auto"/>
        <w:ind w:firstLine="560" w:firstLineChars="2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法定代表人（签字）：</w:t>
      </w:r>
    </w:p>
    <w:p w14:paraId="4D1E211C">
      <w:pPr>
        <w:spacing w:line="360" w:lineRule="auto"/>
        <w:ind w:firstLine="644"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pacing w:val="21"/>
          <w:sz w:val="28"/>
          <w:szCs w:val="28"/>
          <w:highlight w:val="none"/>
          <w14:textFill>
            <w14:solidFill>
              <w14:schemeClr w14:val="tx1"/>
            </w14:solidFill>
          </w14:textFill>
        </w:rPr>
        <w:t>授权日期：</w:t>
      </w:r>
      <w:r>
        <w:rPr>
          <w:rFonts w:hint="eastAsia" w:ascii="宋体" w:hAnsi="宋体" w:cs="宋体"/>
          <w:color w:val="000000" w:themeColor="text1"/>
          <w:sz w:val="28"/>
          <w:szCs w:val="28"/>
          <w:highlight w:val="none"/>
          <w14:textFill>
            <w14:solidFill>
              <w14:schemeClr w14:val="tx1"/>
            </w14:solidFill>
          </w14:textFill>
        </w:rPr>
        <w:t>年月日</w:t>
      </w:r>
    </w:p>
    <w:p w14:paraId="01D560E3">
      <w:pPr>
        <w:spacing w:before="312" w:beforeLines="100" w:after="312" w:afterLines="100"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44"/>
          <w:szCs w:val="44"/>
          <w:highlight w:val="none"/>
          <w14:textFill>
            <w14:solidFill>
              <w14:schemeClr w14:val="tx1"/>
            </w14:solidFill>
          </w14:textFill>
        </w:rPr>
        <w:t>工程质量终身责任承诺书</w:t>
      </w:r>
    </w:p>
    <w:p w14:paraId="71AB7B2B">
      <w:pPr>
        <w:spacing w:before="468" w:beforeLines="150"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本人受</w:t>
      </w:r>
      <w:r>
        <w:rPr>
          <w:rFonts w:hint="eastAsia" w:ascii="宋体" w:hAnsi="宋体" w:cs="宋体"/>
          <w:color w:val="000000" w:themeColor="text1"/>
          <w:kern w:val="0"/>
          <w:sz w:val="24"/>
          <w:szCs w:val="24"/>
          <w:highlight w:val="none"/>
          <w14:textFill>
            <w14:solidFill>
              <w14:schemeClr w14:val="tx1"/>
            </w14:solidFill>
          </w14:textFill>
        </w:rPr>
        <w:t>_________________</w:t>
      </w:r>
      <w:r>
        <w:rPr>
          <w:rFonts w:hint="eastAsia" w:ascii="宋体" w:hAnsi="宋体" w:cs="宋体"/>
          <w:color w:val="000000" w:themeColor="text1"/>
          <w:sz w:val="28"/>
          <w:szCs w:val="28"/>
          <w:highlight w:val="none"/>
          <w14:textFill>
            <w14:solidFill>
              <w14:schemeClr w14:val="tx1"/>
            </w14:solidFill>
          </w14:textFill>
        </w:rPr>
        <w:t>（法定代表人）授权，担任</w:t>
      </w:r>
      <w:r>
        <w:rPr>
          <w:rFonts w:hint="eastAsia" w:ascii="宋体" w:hAnsi="宋体" w:cs="宋体"/>
          <w:color w:val="000000" w:themeColor="text1"/>
          <w:kern w:val="0"/>
          <w:sz w:val="24"/>
          <w:szCs w:val="24"/>
          <w:highlight w:val="none"/>
          <w14:textFill>
            <w14:solidFill>
              <w14:schemeClr w14:val="tx1"/>
            </w14:solidFill>
          </w14:textFill>
        </w:rPr>
        <w:t>__________________</w:t>
      </w:r>
      <w:r>
        <w:rPr>
          <w:rFonts w:hint="eastAsia" w:ascii="宋体" w:hAnsi="宋体" w:cs="宋体"/>
          <w:color w:val="000000" w:themeColor="text1"/>
          <w:sz w:val="28"/>
          <w:szCs w:val="28"/>
          <w:highlight w:val="none"/>
          <w14:textFill>
            <w14:solidFill>
              <w14:schemeClr w14:val="tx1"/>
            </w14:solidFill>
          </w14:textFill>
        </w:rPr>
        <w:t>工程项目的设计项目负责人，对该工程项目的设计工作实施组织管理。本人承诺严格依据国家有关法律法规及标准规范履行职责，并对设计使用年限内的工程质量承担相应终身责任。</w:t>
      </w:r>
    </w:p>
    <w:p w14:paraId="7A5D0330">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p w14:paraId="64E899B6">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p w14:paraId="47E1C648">
      <w:pPr>
        <w:spacing w:line="360" w:lineRule="auto"/>
        <w:ind w:firstLine="680" w:firstLineChars="2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pacing w:val="30"/>
          <w:sz w:val="28"/>
          <w:szCs w:val="28"/>
          <w:highlight w:val="none"/>
          <w14:textFill>
            <w14:solidFill>
              <w14:schemeClr w14:val="tx1"/>
            </w14:solidFill>
          </w14:textFill>
        </w:rPr>
        <w:t>承诺人签字</w:t>
      </w:r>
      <w:r>
        <w:rPr>
          <w:rFonts w:hint="eastAsia" w:ascii="宋体" w:hAnsi="宋体" w:cs="宋体"/>
          <w:color w:val="000000" w:themeColor="text1"/>
          <w:sz w:val="28"/>
          <w:szCs w:val="28"/>
          <w:highlight w:val="none"/>
          <w14:textFill>
            <w14:solidFill>
              <w14:schemeClr w14:val="tx1"/>
            </w14:solidFill>
          </w14:textFill>
        </w:rPr>
        <w:t>：</w:t>
      </w:r>
    </w:p>
    <w:p w14:paraId="65C48EA1">
      <w:pPr>
        <w:spacing w:line="360" w:lineRule="auto"/>
        <w:ind w:firstLine="560" w:firstLineChars="20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身 份 证 号：</w:t>
      </w:r>
      <w:r>
        <w:rPr>
          <w:rFonts w:hint="eastAsia" w:ascii="宋体" w:hAnsi="宋体" w:cs="宋体"/>
          <w:color w:val="000000" w:themeColor="text1"/>
          <w:kern w:val="0"/>
          <w:sz w:val="24"/>
          <w:szCs w:val="24"/>
          <w:highlight w:val="none"/>
          <w14:textFill>
            <w14:solidFill>
              <w14:schemeClr w14:val="tx1"/>
            </w14:solidFill>
          </w14:textFill>
        </w:rPr>
        <w:t>__________________</w:t>
      </w:r>
    </w:p>
    <w:p w14:paraId="1BA6E0DC">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注册执业资格：</w:t>
      </w:r>
      <w:r>
        <w:rPr>
          <w:rFonts w:hint="eastAsia" w:ascii="宋体" w:hAnsi="宋体" w:cs="宋体"/>
          <w:color w:val="000000" w:themeColor="text1"/>
          <w:kern w:val="0"/>
          <w:sz w:val="24"/>
          <w:szCs w:val="24"/>
          <w:highlight w:val="none"/>
          <w14:textFill>
            <w14:solidFill>
              <w14:schemeClr w14:val="tx1"/>
            </w14:solidFill>
          </w14:textFill>
        </w:rPr>
        <w:t>__________________</w:t>
      </w:r>
    </w:p>
    <w:p w14:paraId="2998E093">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注册执业证号：</w:t>
      </w:r>
      <w:r>
        <w:rPr>
          <w:rFonts w:hint="eastAsia" w:ascii="宋体" w:hAnsi="宋体" w:cs="宋体"/>
          <w:color w:val="000000" w:themeColor="text1"/>
          <w:kern w:val="0"/>
          <w:sz w:val="24"/>
          <w:szCs w:val="24"/>
          <w:highlight w:val="none"/>
          <w14:textFill>
            <w14:solidFill>
              <w14:schemeClr w14:val="tx1"/>
            </w14:solidFill>
          </w14:textFill>
        </w:rPr>
        <w:t>__________________</w:t>
      </w:r>
    </w:p>
    <w:p w14:paraId="49DE82C6">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签 字 日 期：    年   月  日</w:t>
      </w:r>
    </w:p>
    <w:p w14:paraId="05716040">
      <w:pPr>
        <w:pStyle w:val="14"/>
        <w:rPr>
          <w:rFonts w:hint="eastAsia" w:ascii="宋体" w:hAnsi="宋体" w:cs="宋体"/>
          <w:color w:val="000000" w:themeColor="text1"/>
          <w:sz w:val="28"/>
          <w:szCs w:val="28"/>
          <w:highlight w:val="none"/>
          <w14:textFill>
            <w14:solidFill>
              <w14:schemeClr w14:val="tx1"/>
            </w14:solidFill>
          </w14:textFill>
        </w:rPr>
      </w:pPr>
    </w:p>
    <w:p w14:paraId="1A1F1930">
      <w:pPr>
        <w:pStyle w:val="14"/>
        <w:ind w:left="0" w:leftChars="0" w:firstLine="0" w:firstLineChars="0"/>
        <w:rPr>
          <w:rFonts w:hint="eastAsia" w:ascii="宋体" w:hAnsi="宋体" w:cs="宋体"/>
          <w:color w:val="000000" w:themeColor="text1"/>
          <w:sz w:val="28"/>
          <w:szCs w:val="28"/>
          <w:highlight w:val="none"/>
          <w14:textFill>
            <w14:solidFill>
              <w14:schemeClr w14:val="tx1"/>
            </w14:solidFill>
          </w14:textFill>
        </w:rPr>
      </w:pPr>
    </w:p>
    <w:p w14:paraId="37780FF9">
      <w:pPr>
        <w:adjustRightInd w:val="0"/>
        <w:snapToGrid w:val="0"/>
        <w:spacing w:line="360" w:lineRule="auto"/>
        <w:rPr>
          <w:rFonts w:hint="eastAsia"/>
          <w:color w:val="000000" w:themeColor="text1"/>
          <w:szCs w:val="21"/>
          <w:highlight w:val="none"/>
          <w14:textFill>
            <w14:solidFill>
              <w14:schemeClr w14:val="tx1"/>
            </w14:solidFill>
          </w14:textFill>
        </w:rPr>
        <w:sectPr>
          <w:footerReference r:id="rId14" w:type="default"/>
          <w:pgSz w:w="11906" w:h="16838"/>
          <w:pgMar w:top="1417" w:right="1417" w:bottom="1417" w:left="1417" w:header="851" w:footer="992" w:gutter="0"/>
          <w:pgNumType w:fmt="decimal"/>
          <w:cols w:space="0" w:num="1"/>
          <w:rtlGutter w:val="0"/>
          <w:docGrid w:type="lines" w:linePitch="312" w:charSpace="0"/>
        </w:sectPr>
      </w:pPr>
    </w:p>
    <w:p w14:paraId="2E08507E">
      <w:pPr>
        <w:adjustRightInd w:val="0"/>
        <w:snapToGrid w:val="0"/>
        <w:spacing w:line="360" w:lineRule="auto"/>
        <w:rPr>
          <w:rFonts w:asci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w:t>
      </w:r>
      <w:r>
        <w:rPr>
          <w:rFonts w:hint="eastAsia" w:ascii="宋体" w:hAnsi="宋体" w:cs="宋体"/>
          <w:color w:val="000000" w:themeColor="text1"/>
          <w:szCs w:val="21"/>
          <w:highlight w:val="none"/>
          <w14:textFill>
            <w14:solidFill>
              <w14:schemeClr w14:val="tx1"/>
            </w14:solidFill>
          </w14:textFill>
        </w:rPr>
        <w:t>件</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p>
    <w:p w14:paraId="70D7E358">
      <w:pPr>
        <w:keepNext w:val="0"/>
        <w:keepLines w:val="0"/>
        <w:pageBreakBefore w:val="0"/>
        <w:widowControl w:val="0"/>
        <w:kinsoku/>
        <w:wordWrap/>
        <w:overflowPunct/>
        <w:topLinePunct w:val="0"/>
        <w:autoSpaceDE/>
        <w:autoSpaceDN/>
        <w:bidi w:val="0"/>
        <w:adjustRightInd/>
        <w:snapToGrid/>
        <w:textAlignment w:val="auto"/>
        <w:outlineLvl w:val="4"/>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表四、工程设计费分摊计算表</w:t>
      </w:r>
    </w:p>
    <w:p w14:paraId="48BA5CAF">
      <w:pPr>
        <w:adjustRightInd w:val="0"/>
        <w:snapToGrid w:val="0"/>
        <w:spacing w:line="360" w:lineRule="auto"/>
        <w:ind w:right="10" w:rightChars="5" w:firstLine="420"/>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本合同工程设计费总价暂定为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Cs w:val="21"/>
          <w:highlight w:val="none"/>
          <w:u w:val="none"/>
          <w:lang w:val="en-US" w:eastAsia="zh-CN"/>
          <w14:textFill>
            <w14:solidFill>
              <w14:schemeClr w14:val="tx1"/>
            </w14:solidFill>
          </w14:textFill>
        </w:rPr>
        <w:t>万</w:t>
      </w:r>
      <w:r>
        <w:rPr>
          <w:rFonts w:hint="eastAsia" w:ascii="宋体" w:hAnsi="宋体" w:cs="宋体"/>
          <w:b/>
          <w:bCs/>
          <w:color w:val="000000" w:themeColor="text1"/>
          <w:szCs w:val="21"/>
          <w:highlight w:val="none"/>
          <w:u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。其中：（</w:t>
      </w:r>
      <w:r>
        <w:rPr>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技术设计费</w:t>
      </w:r>
      <w:r>
        <w:rPr>
          <w:rFonts w:hint="eastAsia" w:ascii="宋体" w:hAnsi="宋体" w:cs="宋体"/>
          <w:color w:val="000000" w:themeColor="text1"/>
          <w:szCs w:val="21"/>
          <w:highlight w:val="none"/>
          <w14:textFill>
            <w14:solidFill>
              <w14:schemeClr w14:val="tx1"/>
            </w14:solidFill>
          </w14:textFill>
        </w:rPr>
        <w:t>暂定为</w:t>
      </w:r>
      <w:r>
        <w:rPr>
          <w:rFonts w:hint="eastAsia" w:ascii="宋体" w:hAnsi="宋体" w:cs="宋体"/>
          <w:b/>
          <w:bCs/>
          <w:color w:val="000000" w:themeColor="text1"/>
          <w:szCs w:val="21"/>
          <w:highlight w:val="none"/>
          <w:u w:val="none"/>
          <w:lang w:val="en-US" w:eastAsia="zh-CN"/>
          <w14:textFill>
            <w14:solidFill>
              <w14:schemeClr w14:val="tx1"/>
            </w14:solidFill>
          </w14:textFill>
        </w:rPr>
        <w:t>万</w:t>
      </w:r>
      <w:r>
        <w:rPr>
          <w:rFonts w:hint="eastAsia" w:ascii="宋体" w:hAnsi="宋体" w:cs="宋体"/>
          <w:b/>
          <w:bCs/>
          <w:color w:val="000000" w:themeColor="text1"/>
          <w:szCs w:val="21"/>
          <w:highlight w:val="none"/>
          <w:u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造价预算</w:t>
      </w:r>
      <w:r>
        <w:rPr>
          <w:rFonts w:hint="eastAsia" w:ascii="宋体" w:hAnsi="宋体" w:cs="宋体"/>
          <w:color w:val="000000" w:themeColor="text1"/>
          <w:szCs w:val="21"/>
          <w:highlight w:val="none"/>
          <w:u w:val="single"/>
          <w14:textFill>
            <w14:solidFill>
              <w14:schemeClr w14:val="tx1"/>
            </w14:solidFill>
          </w14:textFill>
        </w:rPr>
        <w:t>编制</w:t>
      </w:r>
      <w:r>
        <w:rPr>
          <w:rFonts w:hint="eastAsia" w:ascii="宋体" w:hAnsi="宋体" w:cs="宋体"/>
          <w:color w:val="000000" w:themeColor="text1"/>
          <w:szCs w:val="21"/>
          <w:highlight w:val="none"/>
          <w14:textFill>
            <w14:solidFill>
              <w14:schemeClr w14:val="tx1"/>
            </w14:solidFill>
          </w14:textFill>
        </w:rPr>
        <w:t>费暂定为</w:t>
      </w:r>
      <w:r>
        <w:rPr>
          <w:rFonts w:hint="eastAsia" w:ascii="宋体" w:hAnsi="宋体" w:cs="宋体"/>
          <w:b/>
          <w:bCs/>
          <w:color w:val="000000" w:themeColor="text1"/>
          <w:szCs w:val="21"/>
          <w:highlight w:val="none"/>
          <w:u w:val="none"/>
          <w:lang w:val="en-US" w:eastAsia="zh-CN"/>
          <w14:textFill>
            <w14:solidFill>
              <w14:schemeClr w14:val="tx1"/>
            </w14:solidFill>
          </w14:textFill>
        </w:rPr>
        <w:t>万</w:t>
      </w:r>
      <w:r>
        <w:rPr>
          <w:rFonts w:hint="eastAsia" w:ascii="宋体" w:hAnsi="宋体" w:cs="宋体"/>
          <w:b/>
          <w:bCs/>
          <w:color w:val="000000" w:themeColor="text1"/>
          <w:szCs w:val="21"/>
          <w:highlight w:val="none"/>
          <w:u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tbl>
      <w:tblPr>
        <w:tblStyle w:val="15"/>
        <w:tblW w:w="21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3"/>
        <w:gridCol w:w="1134"/>
        <w:gridCol w:w="1134"/>
        <w:gridCol w:w="851"/>
        <w:gridCol w:w="850"/>
        <w:gridCol w:w="709"/>
        <w:gridCol w:w="851"/>
        <w:gridCol w:w="708"/>
        <w:gridCol w:w="851"/>
        <w:gridCol w:w="709"/>
        <w:gridCol w:w="992"/>
        <w:gridCol w:w="709"/>
        <w:gridCol w:w="992"/>
        <w:gridCol w:w="709"/>
        <w:gridCol w:w="992"/>
        <w:gridCol w:w="709"/>
        <w:gridCol w:w="992"/>
        <w:gridCol w:w="709"/>
        <w:gridCol w:w="992"/>
        <w:gridCol w:w="709"/>
        <w:gridCol w:w="992"/>
        <w:gridCol w:w="709"/>
        <w:gridCol w:w="708"/>
        <w:gridCol w:w="676"/>
        <w:gridCol w:w="722"/>
      </w:tblGrid>
      <w:tr w14:paraId="30DF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21" w:type="dxa"/>
            <w:noWrap w:val="0"/>
            <w:vAlign w:val="center"/>
          </w:tcPr>
          <w:p w14:paraId="13D863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栏号</w:t>
            </w:r>
          </w:p>
        </w:tc>
        <w:tc>
          <w:tcPr>
            <w:tcW w:w="723" w:type="dxa"/>
            <w:noWrap w:val="0"/>
            <w:vAlign w:val="center"/>
          </w:tcPr>
          <w:p w14:paraId="737B5B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设计内容</w:t>
            </w:r>
          </w:p>
        </w:tc>
        <w:tc>
          <w:tcPr>
            <w:tcW w:w="1134" w:type="dxa"/>
            <w:noWrap w:val="0"/>
            <w:vAlign w:val="center"/>
          </w:tcPr>
          <w:p w14:paraId="577A0D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乙方实际设计范围内审定工程概算建安工程费（万元）</w:t>
            </w:r>
          </w:p>
        </w:tc>
        <w:tc>
          <w:tcPr>
            <w:tcW w:w="1134" w:type="dxa"/>
            <w:noWrap w:val="0"/>
            <w:vAlign w:val="center"/>
          </w:tcPr>
          <w:p w14:paraId="526D90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技术设计费</w:t>
            </w:r>
            <w:r>
              <w:rPr>
                <w:rFonts w:hint="eastAsia" w:ascii="宋体" w:hAnsi="宋体" w:cs="宋体"/>
                <w:b/>
                <w:color w:val="000000" w:themeColor="text1"/>
                <w:kern w:val="0"/>
                <w:sz w:val="18"/>
                <w:szCs w:val="18"/>
                <w:highlight w:val="none"/>
                <w14:textFill>
                  <w14:solidFill>
                    <w14:schemeClr w14:val="tx1"/>
                  </w14:solidFill>
                </w14:textFill>
              </w:rPr>
              <w:t>（万元）</w:t>
            </w:r>
          </w:p>
          <w:p w14:paraId="61DCB0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p>
        </w:tc>
        <w:tc>
          <w:tcPr>
            <w:tcW w:w="851" w:type="dxa"/>
            <w:noWrap w:val="0"/>
            <w:vAlign w:val="center"/>
          </w:tcPr>
          <w:p w14:paraId="3D854D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方案设计阶段工程设计工作支付比例</w:t>
            </w:r>
          </w:p>
        </w:tc>
        <w:tc>
          <w:tcPr>
            <w:tcW w:w="850" w:type="dxa"/>
            <w:noWrap w:val="0"/>
            <w:vAlign w:val="center"/>
          </w:tcPr>
          <w:p w14:paraId="2B546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方案设计阶段工程设计费（万元）</w:t>
            </w:r>
          </w:p>
        </w:tc>
        <w:tc>
          <w:tcPr>
            <w:tcW w:w="709" w:type="dxa"/>
            <w:noWrap w:val="0"/>
            <w:vAlign w:val="center"/>
          </w:tcPr>
          <w:p w14:paraId="4447D0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工程投资估算编制工作支付比例</w:t>
            </w:r>
          </w:p>
        </w:tc>
        <w:tc>
          <w:tcPr>
            <w:tcW w:w="851" w:type="dxa"/>
            <w:noWrap w:val="0"/>
            <w:vAlign w:val="center"/>
          </w:tcPr>
          <w:p w14:paraId="0A178E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工程投资估算编制费（万元）</w:t>
            </w:r>
          </w:p>
        </w:tc>
        <w:tc>
          <w:tcPr>
            <w:tcW w:w="708" w:type="dxa"/>
            <w:noWrap w:val="0"/>
            <w:vAlign w:val="center"/>
          </w:tcPr>
          <w:p w14:paraId="0E8EFD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初步设计阶段工程设计工作支付比例</w:t>
            </w:r>
          </w:p>
        </w:tc>
        <w:tc>
          <w:tcPr>
            <w:tcW w:w="851" w:type="dxa"/>
            <w:noWrap w:val="0"/>
            <w:vAlign w:val="center"/>
          </w:tcPr>
          <w:p w14:paraId="3CCD1D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初步设计阶段工程设计费（万元）</w:t>
            </w:r>
          </w:p>
        </w:tc>
        <w:tc>
          <w:tcPr>
            <w:tcW w:w="709" w:type="dxa"/>
            <w:noWrap w:val="0"/>
            <w:vAlign w:val="center"/>
          </w:tcPr>
          <w:p w14:paraId="1DE3C9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报审报建配合服务工作支付比例</w:t>
            </w:r>
          </w:p>
        </w:tc>
        <w:tc>
          <w:tcPr>
            <w:tcW w:w="992" w:type="dxa"/>
            <w:noWrap w:val="0"/>
            <w:vAlign w:val="center"/>
          </w:tcPr>
          <w:p w14:paraId="43326C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报审报建配合服务费（万元）</w:t>
            </w:r>
          </w:p>
        </w:tc>
        <w:tc>
          <w:tcPr>
            <w:tcW w:w="709" w:type="dxa"/>
            <w:noWrap w:val="0"/>
            <w:vAlign w:val="center"/>
          </w:tcPr>
          <w:p w14:paraId="1EC26B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工程设计概算编制工作支付比例</w:t>
            </w:r>
          </w:p>
        </w:tc>
        <w:tc>
          <w:tcPr>
            <w:tcW w:w="992" w:type="dxa"/>
            <w:noWrap w:val="0"/>
            <w:vAlign w:val="center"/>
          </w:tcPr>
          <w:p w14:paraId="742DE3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工程设计概算编制费（万元）</w:t>
            </w:r>
          </w:p>
        </w:tc>
        <w:tc>
          <w:tcPr>
            <w:tcW w:w="709" w:type="dxa"/>
            <w:noWrap w:val="0"/>
            <w:vAlign w:val="center"/>
          </w:tcPr>
          <w:p w14:paraId="14D2E9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施工图设计阶段工作支付比例</w:t>
            </w:r>
          </w:p>
        </w:tc>
        <w:tc>
          <w:tcPr>
            <w:tcW w:w="992" w:type="dxa"/>
            <w:noWrap w:val="0"/>
            <w:vAlign w:val="center"/>
          </w:tcPr>
          <w:p w14:paraId="75A0C2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施工图设计阶段费用（万元）</w:t>
            </w:r>
          </w:p>
        </w:tc>
        <w:tc>
          <w:tcPr>
            <w:tcW w:w="709" w:type="dxa"/>
            <w:noWrap w:val="0"/>
            <w:vAlign w:val="center"/>
          </w:tcPr>
          <w:p w14:paraId="19F015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招标设计配合服务工作支付比例</w:t>
            </w:r>
          </w:p>
        </w:tc>
        <w:tc>
          <w:tcPr>
            <w:tcW w:w="992" w:type="dxa"/>
            <w:noWrap w:val="0"/>
            <w:vAlign w:val="center"/>
          </w:tcPr>
          <w:p w14:paraId="2EB027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招标配合服务费（万元）</w:t>
            </w:r>
          </w:p>
        </w:tc>
        <w:tc>
          <w:tcPr>
            <w:tcW w:w="709" w:type="dxa"/>
            <w:noWrap w:val="0"/>
            <w:vAlign w:val="center"/>
          </w:tcPr>
          <w:p w14:paraId="35BC8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施工阶段的现场服务工作支付比例</w:t>
            </w:r>
          </w:p>
        </w:tc>
        <w:tc>
          <w:tcPr>
            <w:tcW w:w="992" w:type="dxa"/>
            <w:noWrap w:val="0"/>
            <w:vAlign w:val="center"/>
          </w:tcPr>
          <w:p w14:paraId="505BA4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施工阶段的现场服务费（万元）</w:t>
            </w:r>
          </w:p>
        </w:tc>
        <w:tc>
          <w:tcPr>
            <w:tcW w:w="709" w:type="dxa"/>
            <w:noWrap w:val="0"/>
            <w:vAlign w:val="center"/>
          </w:tcPr>
          <w:p w14:paraId="5B05F2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完整版施工图设计工作支付比例</w:t>
            </w:r>
          </w:p>
        </w:tc>
        <w:tc>
          <w:tcPr>
            <w:tcW w:w="992" w:type="dxa"/>
            <w:noWrap w:val="0"/>
            <w:vAlign w:val="center"/>
          </w:tcPr>
          <w:p w14:paraId="5312AD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完整版施工图费用（万元）</w:t>
            </w:r>
          </w:p>
        </w:tc>
        <w:tc>
          <w:tcPr>
            <w:tcW w:w="709" w:type="dxa"/>
            <w:noWrap w:val="0"/>
            <w:vAlign w:val="center"/>
          </w:tcPr>
          <w:p w14:paraId="40E300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工程结算配合服务工作支付比例</w:t>
            </w:r>
          </w:p>
        </w:tc>
        <w:tc>
          <w:tcPr>
            <w:tcW w:w="708" w:type="dxa"/>
            <w:noWrap w:val="0"/>
            <w:vAlign w:val="center"/>
          </w:tcPr>
          <w:p w14:paraId="306B0A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工程结算配合服务费（万元）</w:t>
            </w:r>
          </w:p>
        </w:tc>
        <w:tc>
          <w:tcPr>
            <w:tcW w:w="676" w:type="dxa"/>
            <w:noWrap w:val="0"/>
            <w:vAlign w:val="center"/>
          </w:tcPr>
          <w:p w14:paraId="4022B6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工程保修阶段服务工作支付比例</w:t>
            </w:r>
          </w:p>
        </w:tc>
        <w:tc>
          <w:tcPr>
            <w:tcW w:w="722" w:type="dxa"/>
            <w:noWrap w:val="0"/>
            <w:vAlign w:val="center"/>
          </w:tcPr>
          <w:p w14:paraId="3159F7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工程保修阶段的服务费（万元）</w:t>
            </w:r>
          </w:p>
        </w:tc>
      </w:tr>
      <w:tr w14:paraId="580A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1" w:type="dxa"/>
            <w:noWrap w:val="0"/>
            <w:vAlign w:val="center"/>
          </w:tcPr>
          <w:p w14:paraId="1EF89D35">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项号</w:t>
            </w:r>
          </w:p>
        </w:tc>
        <w:tc>
          <w:tcPr>
            <w:tcW w:w="723" w:type="dxa"/>
            <w:noWrap w:val="0"/>
            <w:vAlign w:val="center"/>
          </w:tcPr>
          <w:p w14:paraId="29CDAC38">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cs="宋体"/>
                <w:b/>
                <w:color w:val="000000" w:themeColor="text1"/>
                <w:kern w:val="0"/>
                <w:sz w:val="18"/>
                <w:szCs w:val="18"/>
                <w:highlight w:val="none"/>
                <w14:textFill>
                  <w14:solidFill>
                    <w14:schemeClr w14:val="tx1"/>
                  </w14:solidFill>
                </w14:textFill>
              </w:rPr>
              <w:t>-</w:t>
            </w:r>
          </w:p>
        </w:tc>
        <w:tc>
          <w:tcPr>
            <w:tcW w:w="1134" w:type="dxa"/>
            <w:noWrap w:val="0"/>
            <w:vAlign w:val="center"/>
          </w:tcPr>
          <w:p w14:paraId="78041F79">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w:t>
            </w:r>
          </w:p>
        </w:tc>
        <w:tc>
          <w:tcPr>
            <w:tcW w:w="1134" w:type="dxa"/>
            <w:noWrap w:val="0"/>
            <w:vAlign w:val="center"/>
          </w:tcPr>
          <w:p w14:paraId="5FD1D2C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(2)</w:t>
            </w:r>
          </w:p>
        </w:tc>
        <w:tc>
          <w:tcPr>
            <w:tcW w:w="851" w:type="dxa"/>
            <w:noWrap w:val="0"/>
            <w:vAlign w:val="center"/>
          </w:tcPr>
          <w:p w14:paraId="022B84C5">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(3)</w:t>
            </w:r>
          </w:p>
        </w:tc>
        <w:tc>
          <w:tcPr>
            <w:tcW w:w="850" w:type="dxa"/>
            <w:noWrap w:val="0"/>
            <w:vAlign w:val="center"/>
          </w:tcPr>
          <w:p w14:paraId="20E98D1F">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(4)=(2)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(3)</w:t>
            </w:r>
          </w:p>
        </w:tc>
        <w:tc>
          <w:tcPr>
            <w:tcW w:w="709" w:type="dxa"/>
            <w:noWrap w:val="0"/>
            <w:vAlign w:val="center"/>
          </w:tcPr>
          <w:p w14:paraId="424478B3">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5</w:t>
            </w:r>
            <w:r>
              <w:rPr>
                <w:rFonts w:hint="eastAsia" w:ascii="宋体" w:hAnsi="宋体" w:cs="宋体"/>
                <w:b/>
                <w:color w:val="000000" w:themeColor="text1"/>
                <w:kern w:val="0"/>
                <w:sz w:val="18"/>
                <w:szCs w:val="18"/>
                <w:highlight w:val="none"/>
                <w14:textFill>
                  <w14:solidFill>
                    <w14:schemeClr w14:val="tx1"/>
                  </w14:solidFill>
                </w14:textFill>
              </w:rPr>
              <w:t>）</w:t>
            </w:r>
          </w:p>
        </w:tc>
        <w:tc>
          <w:tcPr>
            <w:tcW w:w="851" w:type="dxa"/>
            <w:noWrap w:val="0"/>
            <w:vAlign w:val="center"/>
          </w:tcPr>
          <w:p w14:paraId="5826CE5F">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(6)=(2)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(5)</w:t>
            </w:r>
          </w:p>
        </w:tc>
        <w:tc>
          <w:tcPr>
            <w:tcW w:w="708" w:type="dxa"/>
            <w:noWrap w:val="0"/>
            <w:vAlign w:val="center"/>
          </w:tcPr>
          <w:p w14:paraId="2A724AE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7</w:t>
            </w:r>
            <w:r>
              <w:rPr>
                <w:rFonts w:hint="eastAsia" w:ascii="宋体" w:hAnsi="宋体" w:cs="宋体"/>
                <w:b/>
                <w:color w:val="000000" w:themeColor="text1"/>
                <w:kern w:val="0"/>
                <w:sz w:val="18"/>
                <w:szCs w:val="18"/>
                <w:highlight w:val="none"/>
                <w14:textFill>
                  <w14:solidFill>
                    <w14:schemeClr w14:val="tx1"/>
                  </w14:solidFill>
                </w14:textFill>
              </w:rPr>
              <w:t>）</w:t>
            </w:r>
          </w:p>
        </w:tc>
        <w:tc>
          <w:tcPr>
            <w:tcW w:w="851" w:type="dxa"/>
            <w:noWrap w:val="0"/>
            <w:vAlign w:val="center"/>
          </w:tcPr>
          <w:p w14:paraId="7817C7C4">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(8)=(2)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(7)</w:t>
            </w:r>
          </w:p>
        </w:tc>
        <w:tc>
          <w:tcPr>
            <w:tcW w:w="709" w:type="dxa"/>
            <w:noWrap w:val="0"/>
            <w:vAlign w:val="center"/>
          </w:tcPr>
          <w:p w14:paraId="067192E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9</w:t>
            </w:r>
            <w:r>
              <w:rPr>
                <w:rFonts w:hint="eastAsia" w:ascii="宋体" w:hAnsi="宋体" w:cs="宋体"/>
                <w:b/>
                <w:color w:val="000000" w:themeColor="text1"/>
                <w:kern w:val="0"/>
                <w:sz w:val="18"/>
                <w:szCs w:val="18"/>
                <w:highlight w:val="none"/>
                <w14:textFill>
                  <w14:solidFill>
                    <w14:schemeClr w14:val="tx1"/>
                  </w14:solidFill>
                </w14:textFill>
              </w:rPr>
              <w:t>）</w:t>
            </w:r>
          </w:p>
        </w:tc>
        <w:tc>
          <w:tcPr>
            <w:tcW w:w="992" w:type="dxa"/>
            <w:noWrap w:val="0"/>
            <w:vAlign w:val="center"/>
          </w:tcPr>
          <w:p w14:paraId="2A09616B">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(10)=(2)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(9)</w:t>
            </w:r>
          </w:p>
        </w:tc>
        <w:tc>
          <w:tcPr>
            <w:tcW w:w="709" w:type="dxa"/>
            <w:noWrap w:val="0"/>
            <w:vAlign w:val="center"/>
          </w:tcPr>
          <w:p w14:paraId="0A34DBD9">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(11)</w:t>
            </w:r>
          </w:p>
        </w:tc>
        <w:tc>
          <w:tcPr>
            <w:tcW w:w="992" w:type="dxa"/>
            <w:noWrap w:val="0"/>
            <w:vAlign w:val="center"/>
          </w:tcPr>
          <w:p w14:paraId="501F3192">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(12)=(2)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(11)</w:t>
            </w:r>
          </w:p>
        </w:tc>
        <w:tc>
          <w:tcPr>
            <w:tcW w:w="709" w:type="dxa"/>
            <w:noWrap w:val="0"/>
            <w:vAlign w:val="center"/>
          </w:tcPr>
          <w:p w14:paraId="4E2DC421">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(13)</w:t>
            </w:r>
          </w:p>
        </w:tc>
        <w:tc>
          <w:tcPr>
            <w:tcW w:w="992" w:type="dxa"/>
            <w:noWrap w:val="0"/>
            <w:vAlign w:val="center"/>
          </w:tcPr>
          <w:p w14:paraId="4D6E160C">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(14)=(2)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(13)</w:t>
            </w:r>
          </w:p>
        </w:tc>
        <w:tc>
          <w:tcPr>
            <w:tcW w:w="709" w:type="dxa"/>
            <w:noWrap w:val="0"/>
            <w:vAlign w:val="center"/>
          </w:tcPr>
          <w:p w14:paraId="33D17F7A">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(15)</w:t>
            </w:r>
          </w:p>
        </w:tc>
        <w:tc>
          <w:tcPr>
            <w:tcW w:w="992" w:type="dxa"/>
            <w:noWrap w:val="0"/>
            <w:vAlign w:val="center"/>
          </w:tcPr>
          <w:p w14:paraId="581BA2F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(16)=(2)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(15)</w:t>
            </w:r>
          </w:p>
        </w:tc>
        <w:tc>
          <w:tcPr>
            <w:tcW w:w="709" w:type="dxa"/>
            <w:noWrap w:val="0"/>
            <w:vAlign w:val="center"/>
          </w:tcPr>
          <w:p w14:paraId="2E2E36E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(17)</w:t>
            </w:r>
          </w:p>
        </w:tc>
        <w:tc>
          <w:tcPr>
            <w:tcW w:w="992" w:type="dxa"/>
            <w:noWrap w:val="0"/>
            <w:vAlign w:val="center"/>
          </w:tcPr>
          <w:p w14:paraId="7CBEA098">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(18)=(2)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(17)</w:t>
            </w:r>
          </w:p>
        </w:tc>
        <w:tc>
          <w:tcPr>
            <w:tcW w:w="709" w:type="dxa"/>
            <w:noWrap w:val="0"/>
            <w:vAlign w:val="center"/>
          </w:tcPr>
          <w:p w14:paraId="5FC2B12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(19)</w:t>
            </w:r>
          </w:p>
        </w:tc>
        <w:tc>
          <w:tcPr>
            <w:tcW w:w="992" w:type="dxa"/>
            <w:noWrap w:val="0"/>
            <w:vAlign w:val="center"/>
          </w:tcPr>
          <w:p w14:paraId="40B2754B">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(20)=(2)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(19)</w:t>
            </w:r>
          </w:p>
        </w:tc>
        <w:tc>
          <w:tcPr>
            <w:tcW w:w="709" w:type="dxa"/>
            <w:noWrap w:val="0"/>
            <w:vAlign w:val="center"/>
          </w:tcPr>
          <w:p w14:paraId="43D94622">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(21)</w:t>
            </w:r>
          </w:p>
        </w:tc>
        <w:tc>
          <w:tcPr>
            <w:tcW w:w="708" w:type="dxa"/>
            <w:noWrap w:val="0"/>
            <w:vAlign w:val="center"/>
          </w:tcPr>
          <w:p w14:paraId="319FA99A">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(22)=(2)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(21)</w:t>
            </w:r>
          </w:p>
        </w:tc>
        <w:tc>
          <w:tcPr>
            <w:tcW w:w="676" w:type="dxa"/>
            <w:noWrap w:val="0"/>
            <w:vAlign w:val="center"/>
          </w:tcPr>
          <w:p w14:paraId="02323C34">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(23)</w:t>
            </w:r>
          </w:p>
        </w:tc>
        <w:tc>
          <w:tcPr>
            <w:tcW w:w="722" w:type="dxa"/>
            <w:noWrap w:val="0"/>
            <w:vAlign w:val="center"/>
          </w:tcPr>
          <w:p w14:paraId="185B4C01">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(24)=(2)</w:t>
            </w:r>
            <w:r>
              <w:rPr>
                <w:rFonts w:hint="eastAsia" w:ascii="宋体" w:hAnsi="宋体" w:cs="宋体"/>
                <w:b/>
                <w:color w:val="000000" w:themeColor="text1"/>
                <w:kern w:val="0"/>
                <w:sz w:val="18"/>
                <w:szCs w:val="18"/>
                <w:highlight w:val="none"/>
                <w14:textFill>
                  <w14:solidFill>
                    <w14:schemeClr w14:val="tx1"/>
                  </w14:solidFill>
                </w14:textFill>
              </w:rPr>
              <w:t>×</w:t>
            </w:r>
            <w:r>
              <w:rPr>
                <w:rFonts w:hint="default" w:ascii="宋体" w:hAnsi="宋体" w:cs="宋体"/>
                <w:b/>
                <w:color w:val="000000" w:themeColor="text1"/>
                <w:kern w:val="0"/>
                <w:sz w:val="18"/>
                <w:szCs w:val="18"/>
                <w:highlight w:val="none"/>
                <w14:textFill>
                  <w14:solidFill>
                    <w14:schemeClr w14:val="tx1"/>
                  </w14:solidFill>
                </w14:textFill>
              </w:rPr>
              <w:t xml:space="preserve">(23) </w:t>
            </w:r>
          </w:p>
        </w:tc>
      </w:tr>
      <w:tr w14:paraId="327E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1" w:type="dxa"/>
            <w:tcBorders>
              <w:bottom w:val="single" w:color="auto" w:sz="4" w:space="0"/>
            </w:tcBorders>
            <w:noWrap w:val="0"/>
            <w:vAlign w:val="center"/>
          </w:tcPr>
          <w:p w14:paraId="22186BFB">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bCs/>
                <w:color w:val="000000" w:themeColor="text1"/>
                <w:kern w:val="0"/>
                <w:sz w:val="18"/>
                <w:szCs w:val="18"/>
                <w:highlight w:val="none"/>
                <w14:textFill>
                  <w14:solidFill>
                    <w14:schemeClr w14:val="tx1"/>
                  </w14:solidFill>
                </w14:textFill>
              </w:rPr>
            </w:pPr>
            <w:r>
              <w:rPr>
                <w:rFonts w:hint="default" w:ascii="宋体" w:hAnsi="宋体" w:cs="宋体"/>
                <w:b/>
                <w:bCs/>
                <w:color w:val="000000" w:themeColor="text1"/>
                <w:kern w:val="0"/>
                <w:sz w:val="18"/>
                <w:szCs w:val="18"/>
                <w:highlight w:val="none"/>
                <w14:textFill>
                  <w14:solidFill>
                    <w14:schemeClr w14:val="tx1"/>
                  </w14:solidFill>
                </w14:textFill>
              </w:rPr>
              <w:t>(</w:t>
            </w:r>
            <w:r>
              <w:rPr>
                <w:rFonts w:hint="eastAsia" w:ascii="宋体" w:hAnsi="宋体" w:cs="宋体"/>
                <w:b/>
                <w:bCs/>
                <w:color w:val="000000" w:themeColor="text1"/>
                <w:kern w:val="0"/>
                <w:sz w:val="18"/>
                <w:szCs w:val="18"/>
                <w:highlight w:val="none"/>
                <w14:textFill>
                  <w14:solidFill>
                    <w14:schemeClr w14:val="tx1"/>
                  </w14:solidFill>
                </w14:textFill>
              </w:rPr>
              <w:t>一</w:t>
            </w:r>
            <w:r>
              <w:rPr>
                <w:rFonts w:hint="default" w:ascii="宋体" w:hAnsi="宋体" w:cs="宋体"/>
                <w:b/>
                <w:bCs/>
                <w:color w:val="000000" w:themeColor="text1"/>
                <w:kern w:val="0"/>
                <w:sz w:val="18"/>
                <w:szCs w:val="18"/>
                <w:highlight w:val="none"/>
                <w14:textFill>
                  <w14:solidFill>
                    <w14:schemeClr w14:val="tx1"/>
                  </w14:solidFill>
                </w14:textFill>
              </w:rPr>
              <w:t>)</w:t>
            </w:r>
          </w:p>
        </w:tc>
        <w:tc>
          <w:tcPr>
            <w:tcW w:w="723" w:type="dxa"/>
            <w:tcBorders>
              <w:bottom w:val="single" w:color="auto" w:sz="4" w:space="0"/>
            </w:tcBorders>
            <w:noWrap w:val="0"/>
            <w:vAlign w:val="center"/>
          </w:tcPr>
          <w:p w14:paraId="481A9186">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cs="宋体"/>
                <w:b/>
                <w:bCs/>
                <w:color w:val="000000" w:themeColor="text1"/>
                <w:kern w:val="0"/>
                <w:sz w:val="18"/>
                <w:szCs w:val="18"/>
                <w:highlight w:val="none"/>
                <w14:textFill>
                  <w14:solidFill>
                    <w14:schemeClr w14:val="tx1"/>
                  </w14:solidFill>
                </w14:textFill>
              </w:rPr>
            </w:pPr>
            <w:r>
              <w:rPr>
                <w:rFonts w:hint="default" w:ascii="宋体" w:hAnsi="宋体" w:cs="宋体"/>
                <w:b/>
                <w:bCs/>
                <w:color w:val="000000" w:themeColor="text1"/>
                <w:szCs w:val="21"/>
                <w:highlight w:val="none"/>
                <w14:textFill>
                  <w14:solidFill>
                    <w14:schemeClr w14:val="tx1"/>
                  </w14:solidFill>
                </w14:textFill>
              </w:rPr>
              <w:t>技术设计费</w:t>
            </w:r>
          </w:p>
        </w:tc>
        <w:tc>
          <w:tcPr>
            <w:tcW w:w="1134" w:type="dxa"/>
            <w:tcBorders>
              <w:bottom w:val="single" w:color="auto" w:sz="4" w:space="0"/>
            </w:tcBorders>
            <w:noWrap w:val="0"/>
            <w:vAlign w:val="center"/>
          </w:tcPr>
          <w:p w14:paraId="750E2A5E">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1134" w:type="dxa"/>
            <w:tcBorders>
              <w:bottom w:val="single" w:color="auto" w:sz="4" w:space="0"/>
            </w:tcBorders>
            <w:noWrap w:val="0"/>
            <w:tcMar>
              <w:left w:w="0" w:type="dxa"/>
              <w:right w:w="0" w:type="dxa"/>
            </w:tcMar>
            <w:vAlign w:val="center"/>
          </w:tcPr>
          <w:p w14:paraId="09030EB6">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851" w:type="dxa"/>
            <w:tcBorders>
              <w:bottom w:val="single" w:color="auto" w:sz="4" w:space="0"/>
            </w:tcBorders>
            <w:noWrap w:val="0"/>
            <w:tcMar>
              <w:left w:w="0" w:type="dxa"/>
              <w:right w:w="0" w:type="dxa"/>
            </w:tcMar>
            <w:vAlign w:val="center"/>
          </w:tcPr>
          <w:p w14:paraId="75D5075A">
            <w:pPr>
              <w:keepNext w:val="0"/>
              <w:keepLines w:val="0"/>
              <w:widowControl/>
              <w:suppressLineNumbers w:val="0"/>
              <w:adjustRightInd w:val="0"/>
              <w:snapToGrid w:val="0"/>
              <w:spacing w:before="0" w:beforeAutospacing="0" w:after="0" w:afterAutospacing="0"/>
              <w:ind w:left="0" w:right="0"/>
              <w:jc w:val="center"/>
              <w:rPr>
                <w:rFonts w:hint="default" w:ascii="宋体" w:cs="宋体"/>
                <w:dstrike/>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5.00%</w:t>
            </w:r>
          </w:p>
        </w:tc>
        <w:tc>
          <w:tcPr>
            <w:tcW w:w="850" w:type="dxa"/>
            <w:tcBorders>
              <w:bottom w:val="single" w:color="auto" w:sz="4" w:space="0"/>
            </w:tcBorders>
            <w:noWrap w:val="0"/>
            <w:tcMar>
              <w:left w:w="0" w:type="dxa"/>
              <w:right w:w="0" w:type="dxa"/>
            </w:tcMar>
            <w:vAlign w:val="center"/>
          </w:tcPr>
          <w:p w14:paraId="7BD0E2B1">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9" w:type="dxa"/>
            <w:tcBorders>
              <w:bottom w:val="single" w:color="auto" w:sz="4" w:space="0"/>
            </w:tcBorders>
            <w:noWrap w:val="0"/>
            <w:tcMar>
              <w:left w:w="0" w:type="dxa"/>
              <w:right w:w="0" w:type="dxa"/>
            </w:tcMar>
            <w:vAlign w:val="center"/>
          </w:tcPr>
          <w:p w14:paraId="329467B3">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2.00%</w:t>
            </w:r>
          </w:p>
        </w:tc>
        <w:tc>
          <w:tcPr>
            <w:tcW w:w="851" w:type="dxa"/>
            <w:tcBorders>
              <w:bottom w:val="single" w:color="auto" w:sz="4" w:space="0"/>
            </w:tcBorders>
            <w:noWrap w:val="0"/>
            <w:tcMar>
              <w:left w:w="0" w:type="dxa"/>
              <w:right w:w="0" w:type="dxa"/>
            </w:tcMar>
            <w:vAlign w:val="center"/>
          </w:tcPr>
          <w:p w14:paraId="0E9EE593">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8" w:type="dxa"/>
            <w:tcBorders>
              <w:bottom w:val="single" w:color="auto" w:sz="4" w:space="0"/>
            </w:tcBorders>
            <w:noWrap w:val="0"/>
            <w:tcMar>
              <w:left w:w="0" w:type="dxa"/>
              <w:right w:w="0" w:type="dxa"/>
            </w:tcMar>
            <w:vAlign w:val="center"/>
          </w:tcPr>
          <w:p w14:paraId="74BA640F">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25%</w:t>
            </w:r>
          </w:p>
        </w:tc>
        <w:tc>
          <w:tcPr>
            <w:tcW w:w="851" w:type="dxa"/>
            <w:tcBorders>
              <w:bottom w:val="single" w:color="auto" w:sz="4" w:space="0"/>
            </w:tcBorders>
            <w:noWrap w:val="0"/>
            <w:tcMar>
              <w:left w:w="0" w:type="dxa"/>
              <w:right w:w="0" w:type="dxa"/>
            </w:tcMar>
            <w:vAlign w:val="center"/>
          </w:tcPr>
          <w:p w14:paraId="3F157FFF">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9" w:type="dxa"/>
            <w:tcBorders>
              <w:bottom w:val="single" w:color="auto" w:sz="4" w:space="0"/>
            </w:tcBorders>
            <w:noWrap w:val="0"/>
            <w:tcMar>
              <w:left w:w="0" w:type="dxa"/>
              <w:right w:w="0" w:type="dxa"/>
            </w:tcMar>
            <w:vAlign w:val="center"/>
          </w:tcPr>
          <w:p w14:paraId="51A059B3">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3.00%</w:t>
            </w:r>
          </w:p>
        </w:tc>
        <w:tc>
          <w:tcPr>
            <w:tcW w:w="992" w:type="dxa"/>
            <w:tcBorders>
              <w:bottom w:val="single" w:color="auto" w:sz="4" w:space="0"/>
            </w:tcBorders>
            <w:noWrap w:val="0"/>
            <w:tcMar>
              <w:left w:w="0" w:type="dxa"/>
              <w:right w:w="0" w:type="dxa"/>
            </w:tcMar>
            <w:vAlign w:val="center"/>
          </w:tcPr>
          <w:p w14:paraId="3E089ADD">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9" w:type="dxa"/>
            <w:tcBorders>
              <w:bottom w:val="single" w:color="auto" w:sz="4" w:space="0"/>
            </w:tcBorders>
            <w:noWrap w:val="0"/>
            <w:tcMar>
              <w:left w:w="0" w:type="dxa"/>
              <w:right w:w="0" w:type="dxa"/>
            </w:tcMar>
            <w:vAlign w:val="center"/>
          </w:tcPr>
          <w:p w14:paraId="6EFD2CA1">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5.00%</w:t>
            </w:r>
          </w:p>
        </w:tc>
        <w:tc>
          <w:tcPr>
            <w:tcW w:w="992" w:type="dxa"/>
            <w:tcBorders>
              <w:bottom w:val="single" w:color="auto" w:sz="4" w:space="0"/>
            </w:tcBorders>
            <w:noWrap w:val="0"/>
            <w:tcMar>
              <w:left w:w="0" w:type="dxa"/>
              <w:right w:w="0" w:type="dxa"/>
            </w:tcMar>
            <w:vAlign w:val="center"/>
          </w:tcPr>
          <w:p w14:paraId="0AA2C315">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9" w:type="dxa"/>
            <w:tcBorders>
              <w:bottom w:val="single" w:color="auto" w:sz="4" w:space="0"/>
            </w:tcBorders>
            <w:noWrap w:val="0"/>
            <w:tcMar>
              <w:left w:w="0" w:type="dxa"/>
              <w:right w:w="0" w:type="dxa"/>
            </w:tcMar>
            <w:vAlign w:val="center"/>
          </w:tcPr>
          <w:p w14:paraId="48FE696D">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20.00%</w:t>
            </w:r>
          </w:p>
        </w:tc>
        <w:tc>
          <w:tcPr>
            <w:tcW w:w="992" w:type="dxa"/>
            <w:tcBorders>
              <w:bottom w:val="single" w:color="auto" w:sz="4" w:space="0"/>
            </w:tcBorders>
            <w:noWrap w:val="0"/>
            <w:tcMar>
              <w:left w:w="0" w:type="dxa"/>
              <w:right w:w="0" w:type="dxa"/>
            </w:tcMar>
            <w:vAlign w:val="center"/>
          </w:tcPr>
          <w:p w14:paraId="73B97EBE">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9" w:type="dxa"/>
            <w:tcBorders>
              <w:bottom w:val="single" w:color="auto" w:sz="4" w:space="0"/>
            </w:tcBorders>
            <w:noWrap w:val="0"/>
            <w:tcMar>
              <w:left w:w="0" w:type="dxa"/>
              <w:right w:w="0" w:type="dxa"/>
            </w:tcMar>
            <w:vAlign w:val="center"/>
          </w:tcPr>
          <w:p w14:paraId="142B7890">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3.00%</w:t>
            </w:r>
          </w:p>
        </w:tc>
        <w:tc>
          <w:tcPr>
            <w:tcW w:w="992" w:type="dxa"/>
            <w:tcBorders>
              <w:bottom w:val="single" w:color="auto" w:sz="4" w:space="0"/>
            </w:tcBorders>
            <w:noWrap w:val="0"/>
            <w:tcMar>
              <w:left w:w="0" w:type="dxa"/>
              <w:right w:w="0" w:type="dxa"/>
            </w:tcMar>
            <w:vAlign w:val="center"/>
          </w:tcPr>
          <w:p w14:paraId="3A280978">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9" w:type="dxa"/>
            <w:tcBorders>
              <w:bottom w:val="single" w:color="auto" w:sz="4" w:space="0"/>
            </w:tcBorders>
            <w:noWrap w:val="0"/>
            <w:tcMar>
              <w:left w:w="0" w:type="dxa"/>
              <w:right w:w="0" w:type="dxa"/>
            </w:tcMar>
            <w:vAlign w:val="center"/>
          </w:tcPr>
          <w:p w14:paraId="7B2F29A0">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22.00%</w:t>
            </w:r>
          </w:p>
        </w:tc>
        <w:tc>
          <w:tcPr>
            <w:tcW w:w="992" w:type="dxa"/>
            <w:tcBorders>
              <w:bottom w:val="single" w:color="auto" w:sz="4" w:space="0"/>
            </w:tcBorders>
            <w:noWrap w:val="0"/>
            <w:tcMar>
              <w:left w:w="0" w:type="dxa"/>
              <w:right w:w="0" w:type="dxa"/>
            </w:tcMar>
            <w:vAlign w:val="center"/>
          </w:tcPr>
          <w:p w14:paraId="24269501">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9" w:type="dxa"/>
            <w:tcBorders>
              <w:bottom w:val="single" w:color="auto" w:sz="4" w:space="0"/>
            </w:tcBorders>
            <w:noWrap w:val="0"/>
            <w:tcMar>
              <w:left w:w="0" w:type="dxa"/>
              <w:right w:w="0" w:type="dxa"/>
            </w:tcMar>
            <w:vAlign w:val="center"/>
          </w:tcPr>
          <w:p w14:paraId="057851AC">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5.00%</w:t>
            </w:r>
          </w:p>
        </w:tc>
        <w:tc>
          <w:tcPr>
            <w:tcW w:w="992" w:type="dxa"/>
            <w:tcBorders>
              <w:bottom w:val="single" w:color="auto" w:sz="4" w:space="0"/>
            </w:tcBorders>
            <w:noWrap w:val="0"/>
            <w:tcMar>
              <w:left w:w="0" w:type="dxa"/>
              <w:right w:w="0" w:type="dxa"/>
            </w:tcMar>
            <w:vAlign w:val="center"/>
          </w:tcPr>
          <w:p w14:paraId="35FB544C">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709" w:type="dxa"/>
            <w:tcBorders>
              <w:bottom w:val="single" w:color="auto" w:sz="4" w:space="0"/>
            </w:tcBorders>
            <w:noWrap w:val="0"/>
            <w:tcMar>
              <w:left w:w="0" w:type="dxa"/>
              <w:right w:w="0" w:type="dxa"/>
            </w:tcMar>
            <w:vAlign w:val="center"/>
          </w:tcPr>
          <w:p w14:paraId="121E92B9">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5.00%</w:t>
            </w:r>
          </w:p>
        </w:tc>
        <w:tc>
          <w:tcPr>
            <w:tcW w:w="708" w:type="dxa"/>
            <w:tcBorders>
              <w:bottom w:val="single" w:color="auto" w:sz="4" w:space="0"/>
            </w:tcBorders>
            <w:noWrap w:val="0"/>
            <w:tcMar>
              <w:left w:w="0" w:type="dxa"/>
              <w:right w:w="0" w:type="dxa"/>
            </w:tcMar>
            <w:vAlign w:val="center"/>
          </w:tcPr>
          <w:p w14:paraId="51B5974F">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c>
          <w:tcPr>
            <w:tcW w:w="676" w:type="dxa"/>
            <w:tcBorders>
              <w:bottom w:val="single" w:color="auto" w:sz="4" w:space="0"/>
            </w:tcBorders>
            <w:noWrap w:val="0"/>
            <w:tcMar>
              <w:left w:w="0" w:type="dxa"/>
              <w:right w:w="0" w:type="dxa"/>
            </w:tcMar>
            <w:vAlign w:val="center"/>
          </w:tcPr>
          <w:p w14:paraId="6F566BE1">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5.00%</w:t>
            </w:r>
          </w:p>
        </w:tc>
        <w:tc>
          <w:tcPr>
            <w:tcW w:w="722" w:type="dxa"/>
            <w:tcBorders>
              <w:bottom w:val="single" w:color="auto" w:sz="4" w:space="0"/>
            </w:tcBorders>
            <w:noWrap w:val="0"/>
            <w:vAlign w:val="center"/>
          </w:tcPr>
          <w:p w14:paraId="2C871E5A">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000000" w:themeColor="text1"/>
                <w:kern w:val="0"/>
                <w:sz w:val="18"/>
                <w:szCs w:val="18"/>
                <w:highlight w:val="none"/>
                <w14:textFill>
                  <w14:solidFill>
                    <w14:schemeClr w14:val="tx1"/>
                  </w14:solidFill>
                </w14:textFill>
              </w:rPr>
            </w:pPr>
          </w:p>
        </w:tc>
      </w:tr>
      <w:tr w14:paraId="789E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21" w:type="dxa"/>
            <w:tcBorders>
              <w:top w:val="single" w:color="auto" w:sz="4" w:space="0"/>
              <w:bottom w:val="single" w:color="auto" w:sz="4" w:space="0"/>
            </w:tcBorders>
            <w:noWrap w:val="0"/>
            <w:vAlign w:val="center"/>
          </w:tcPr>
          <w:p w14:paraId="4C39AFA2">
            <w:pPr>
              <w:keepNext w:val="0"/>
              <w:keepLines w:val="0"/>
              <w:suppressLineNumbers w:val="0"/>
              <w:adjustRightInd w:val="0"/>
              <w:snapToGrid w:val="0"/>
              <w:spacing w:before="0" w:beforeAutospacing="0" w:after="0" w:afterAutospacing="0" w:line="360" w:lineRule="auto"/>
              <w:ind w:left="0" w:right="0"/>
              <w:jc w:val="center"/>
              <w:rPr>
                <w:rFonts w:hint="default" w:ascii="宋体" w:cs="宋体"/>
                <w:b/>
                <w:bCs/>
                <w:color w:val="000000" w:themeColor="text1"/>
                <w:kern w:val="0"/>
                <w:sz w:val="18"/>
                <w:szCs w:val="18"/>
                <w:highlight w:val="none"/>
                <w14:textFill>
                  <w14:solidFill>
                    <w14:schemeClr w14:val="tx1"/>
                  </w14:solidFill>
                </w14:textFill>
              </w:rPr>
            </w:pPr>
            <w:r>
              <w:rPr>
                <w:rFonts w:hint="default" w:ascii="宋体" w:hAnsi="宋体" w:cs="宋体"/>
                <w:b/>
                <w:bCs/>
                <w:color w:val="000000" w:themeColor="text1"/>
                <w:kern w:val="0"/>
                <w:sz w:val="18"/>
                <w:szCs w:val="18"/>
                <w:highlight w:val="none"/>
                <w14:textFill>
                  <w14:solidFill>
                    <w14:schemeClr w14:val="tx1"/>
                  </w14:solidFill>
                </w14:textFill>
              </w:rPr>
              <w:t>(</w:t>
            </w:r>
            <w:r>
              <w:rPr>
                <w:rFonts w:hint="eastAsia" w:ascii="宋体" w:hAnsi="宋体" w:cs="宋体"/>
                <w:b/>
                <w:bCs/>
                <w:color w:val="000000" w:themeColor="text1"/>
                <w:kern w:val="0"/>
                <w:sz w:val="18"/>
                <w:szCs w:val="18"/>
                <w:highlight w:val="none"/>
                <w14:textFill>
                  <w14:solidFill>
                    <w14:schemeClr w14:val="tx1"/>
                  </w14:solidFill>
                </w14:textFill>
              </w:rPr>
              <w:t>二</w:t>
            </w:r>
            <w:r>
              <w:rPr>
                <w:rFonts w:hint="default" w:ascii="宋体" w:hAnsi="宋体" w:cs="宋体"/>
                <w:b/>
                <w:bCs/>
                <w:color w:val="000000" w:themeColor="text1"/>
                <w:kern w:val="0"/>
                <w:sz w:val="18"/>
                <w:szCs w:val="18"/>
                <w:highlight w:val="none"/>
                <w14:textFill>
                  <w14:solidFill>
                    <w14:schemeClr w14:val="tx1"/>
                  </w14:solidFill>
                </w14:textFill>
              </w:rPr>
              <w:t>)</w:t>
            </w:r>
          </w:p>
        </w:tc>
        <w:tc>
          <w:tcPr>
            <w:tcW w:w="723" w:type="dxa"/>
            <w:tcBorders>
              <w:top w:val="single" w:color="auto" w:sz="4" w:space="0"/>
              <w:bottom w:val="single" w:color="auto" w:sz="4" w:space="0"/>
            </w:tcBorders>
            <w:noWrap w:val="0"/>
            <w:vAlign w:val="center"/>
          </w:tcPr>
          <w:p w14:paraId="36D09572">
            <w:pPr>
              <w:keepNext w:val="0"/>
              <w:keepLines w:val="0"/>
              <w:suppressLineNumbers w:val="0"/>
              <w:adjustRightInd w:val="0"/>
              <w:snapToGrid w:val="0"/>
              <w:spacing w:before="0" w:beforeAutospacing="0" w:after="0" w:afterAutospacing="0" w:line="273" w:lineRule="auto"/>
              <w:ind w:left="0" w:right="0"/>
              <w:jc w:val="center"/>
              <w:rPr>
                <w:rFonts w:hint="default" w:ascii="宋体" w:cs="宋体"/>
                <w:b/>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14:textFill>
                  <w14:solidFill>
                    <w14:schemeClr w14:val="tx1"/>
                  </w14:solidFill>
                </w14:textFill>
              </w:rPr>
              <w:t>造价预算</w:t>
            </w:r>
            <w:r>
              <w:rPr>
                <w:rFonts w:hint="eastAsia" w:ascii="宋体" w:hAnsi="宋体" w:cs="宋体"/>
                <w:b/>
                <w:color w:val="000000" w:themeColor="text1"/>
                <w:kern w:val="0"/>
                <w:sz w:val="18"/>
                <w:szCs w:val="18"/>
                <w:highlight w:val="none"/>
                <w14:textFill>
                  <w14:solidFill>
                    <w14:schemeClr w14:val="tx1"/>
                  </w14:solidFill>
                </w14:textFill>
              </w:rPr>
              <w:t>编制费</w:t>
            </w:r>
          </w:p>
        </w:tc>
        <w:tc>
          <w:tcPr>
            <w:tcW w:w="20109" w:type="dxa"/>
            <w:gridSpan w:val="24"/>
            <w:tcBorders>
              <w:top w:val="single" w:color="auto" w:sz="4" w:space="0"/>
              <w:bottom w:val="single" w:color="auto" w:sz="4" w:space="0"/>
            </w:tcBorders>
            <w:noWrap w:val="0"/>
            <w:vAlign w:val="center"/>
          </w:tcPr>
          <w:p w14:paraId="24C1EAA9">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cs="宋体"/>
                <w:color w:val="000000" w:themeColor="text1"/>
                <w:kern w:val="0"/>
                <w:sz w:val="18"/>
                <w:szCs w:val="18"/>
                <w:highlight w:val="none"/>
                <w14:textFill>
                  <w14:solidFill>
                    <w14:schemeClr w14:val="tx1"/>
                  </w14:solidFill>
                </w14:textFill>
              </w:rPr>
            </w:pPr>
          </w:p>
          <w:p w14:paraId="35A30302">
            <w:pPr>
              <w:keepNext w:val="0"/>
              <w:keepLines w:val="0"/>
              <w:suppressLineNumbers w:val="0"/>
              <w:adjustRightInd w:val="0"/>
              <w:snapToGrid w:val="0"/>
              <w:spacing w:before="0" w:beforeAutospacing="0" w:after="0" w:afterAutospacing="0" w:line="360" w:lineRule="auto"/>
              <w:ind w:left="0" w:right="270" w:firstLine="531" w:firstLineChars="294"/>
              <w:rPr>
                <w:rFonts w:hint="default" w:ascii="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按本合同条款第</w:t>
            </w:r>
            <w:r>
              <w:rPr>
                <w:rFonts w:hint="default" w:ascii="宋体" w:hAnsi="宋体" w:cs="宋体"/>
                <w:b/>
                <w:color w:val="000000" w:themeColor="text1"/>
                <w:kern w:val="0"/>
                <w:sz w:val="18"/>
                <w:szCs w:val="18"/>
                <w:highlight w:val="none"/>
                <w14:textFill>
                  <w14:solidFill>
                    <w14:schemeClr w14:val="tx1"/>
                  </w14:solidFill>
                </w14:textFill>
              </w:rPr>
              <w:t>15</w:t>
            </w:r>
            <w:r>
              <w:rPr>
                <w:rFonts w:hint="eastAsia" w:ascii="宋体" w:hAnsi="宋体" w:cs="宋体"/>
                <w:b/>
                <w:color w:val="000000" w:themeColor="text1"/>
                <w:kern w:val="0"/>
                <w:sz w:val="18"/>
                <w:szCs w:val="18"/>
                <w:highlight w:val="none"/>
                <w14:textFill>
                  <w14:solidFill>
                    <w14:schemeClr w14:val="tx1"/>
                  </w14:solidFill>
                </w14:textFill>
              </w:rPr>
              <w:t>条的相关约定执行</w:t>
            </w:r>
          </w:p>
        </w:tc>
      </w:tr>
      <w:tr w14:paraId="416C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721" w:type="dxa"/>
            <w:tcBorders>
              <w:top w:val="single" w:color="auto" w:sz="4" w:space="0"/>
            </w:tcBorders>
            <w:noWrap w:val="0"/>
            <w:vAlign w:val="center"/>
          </w:tcPr>
          <w:p w14:paraId="3F56D4EC">
            <w:pPr>
              <w:keepNext w:val="0"/>
              <w:keepLines w:val="0"/>
              <w:suppressLineNumbers w:val="0"/>
              <w:spacing w:before="0" w:beforeAutospacing="0" w:after="0" w:afterAutospacing="0"/>
              <w:ind w:left="0" w:right="0"/>
              <w:jc w:val="center"/>
              <w:rPr>
                <w:rFonts w:hint="default" w:ascii="Times New Roman" w:hAnsi="Times New Roman"/>
                <w:b/>
                <w:bCs/>
                <w:color w:val="000000" w:themeColor="text1"/>
                <w:sz w:val="20"/>
                <w:szCs w:val="20"/>
                <w:highlight w:val="none"/>
                <w14:textFill>
                  <w14:solidFill>
                    <w14:schemeClr w14:val="tx1"/>
                  </w14:solidFill>
                </w14:textFill>
              </w:rPr>
            </w:pPr>
            <w:r>
              <w:rPr>
                <w:rFonts w:hint="default" w:ascii="宋体" w:hAnsi="宋体" w:cs="宋体"/>
                <w:b/>
                <w:bCs/>
                <w:color w:val="000000" w:themeColor="text1"/>
                <w:kern w:val="0"/>
                <w:sz w:val="18"/>
                <w:szCs w:val="18"/>
                <w:highlight w:val="none"/>
                <w14:textFill>
                  <w14:solidFill>
                    <w14:schemeClr w14:val="tx1"/>
                  </w14:solidFill>
                </w14:textFill>
              </w:rPr>
              <w:t>(</w:t>
            </w:r>
            <w:r>
              <w:rPr>
                <w:rFonts w:hint="eastAsia" w:ascii="宋体" w:hAnsi="宋体" w:cs="宋体"/>
                <w:b/>
                <w:bCs/>
                <w:color w:val="000000" w:themeColor="text1"/>
                <w:kern w:val="0"/>
                <w:sz w:val="18"/>
                <w:szCs w:val="18"/>
                <w:highlight w:val="none"/>
                <w14:textFill>
                  <w14:solidFill>
                    <w14:schemeClr w14:val="tx1"/>
                  </w14:solidFill>
                </w14:textFill>
              </w:rPr>
              <w:t>三</w:t>
            </w:r>
            <w:r>
              <w:rPr>
                <w:rFonts w:hint="default" w:ascii="宋体" w:hAnsi="宋体" w:cs="宋体"/>
                <w:b/>
                <w:bCs/>
                <w:color w:val="000000" w:themeColor="text1"/>
                <w:kern w:val="0"/>
                <w:sz w:val="18"/>
                <w:szCs w:val="18"/>
                <w:highlight w:val="none"/>
                <w14:textFill>
                  <w14:solidFill>
                    <w14:schemeClr w14:val="tx1"/>
                  </w14:solidFill>
                </w14:textFill>
              </w:rPr>
              <w:t>)</w:t>
            </w:r>
          </w:p>
        </w:tc>
        <w:tc>
          <w:tcPr>
            <w:tcW w:w="723" w:type="dxa"/>
            <w:tcBorders>
              <w:top w:val="single" w:color="auto" w:sz="4" w:space="0"/>
            </w:tcBorders>
            <w:noWrap w:val="0"/>
            <w:vAlign w:val="center"/>
          </w:tcPr>
          <w:p w14:paraId="502EE9A5">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0"/>
                <w:szCs w:val="20"/>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其它设计收费</w:t>
            </w:r>
          </w:p>
        </w:tc>
        <w:tc>
          <w:tcPr>
            <w:tcW w:w="20109" w:type="dxa"/>
            <w:gridSpan w:val="24"/>
            <w:tcBorders>
              <w:top w:val="single" w:color="auto" w:sz="4" w:space="0"/>
            </w:tcBorders>
            <w:noWrap w:val="0"/>
            <w:vAlign w:val="center"/>
          </w:tcPr>
          <w:p w14:paraId="1D2DE400">
            <w:pPr>
              <w:keepNext w:val="0"/>
              <w:keepLines w:val="0"/>
              <w:suppressLineNumbers w:val="0"/>
              <w:adjustRightInd w:val="0"/>
              <w:snapToGrid w:val="0"/>
              <w:spacing w:before="0" w:beforeAutospacing="0" w:after="0" w:afterAutospacing="0" w:line="360" w:lineRule="auto"/>
              <w:ind w:left="0" w:right="270" w:firstLine="531" w:firstLineChars="294"/>
              <w:rPr>
                <w:rFonts w:hint="default" w:asci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按本合同条款第</w:t>
            </w:r>
            <w:r>
              <w:rPr>
                <w:rFonts w:hint="default" w:ascii="宋体" w:hAnsi="宋体" w:cs="宋体"/>
                <w:b/>
                <w:color w:val="000000" w:themeColor="text1"/>
                <w:kern w:val="0"/>
                <w:sz w:val="18"/>
                <w:szCs w:val="18"/>
                <w:highlight w:val="none"/>
                <w14:textFill>
                  <w14:solidFill>
                    <w14:schemeClr w14:val="tx1"/>
                  </w14:solidFill>
                </w14:textFill>
              </w:rPr>
              <w:t>15</w:t>
            </w:r>
            <w:r>
              <w:rPr>
                <w:rFonts w:hint="eastAsia" w:ascii="宋体" w:hAnsi="宋体" w:cs="宋体"/>
                <w:b/>
                <w:color w:val="000000" w:themeColor="text1"/>
                <w:kern w:val="0"/>
                <w:sz w:val="18"/>
                <w:szCs w:val="18"/>
                <w:highlight w:val="none"/>
                <w14:textFill>
                  <w14:solidFill>
                    <w14:schemeClr w14:val="tx1"/>
                  </w14:solidFill>
                </w14:textFill>
              </w:rPr>
              <w:t>条的相关约定执行</w:t>
            </w:r>
          </w:p>
        </w:tc>
      </w:tr>
    </w:tbl>
    <w:p w14:paraId="4E1DFC85">
      <w:pPr>
        <w:adjustRightInd w:val="0"/>
        <w:snapToGrid w:val="0"/>
        <w:spacing w:line="360" w:lineRule="auto"/>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本表中</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“乙方实际设计范围内审定工程概算建安工程费”</w:t>
      </w:r>
      <w:r>
        <w:rPr>
          <w:rFonts w:ascii="宋体" w:hAnsi="宋体" w:cs="宋体"/>
          <w:color w:val="000000" w:themeColor="text1"/>
          <w:szCs w:val="21"/>
          <w:highlight w:val="none"/>
          <w14:textFill>
            <w14:solidFill>
              <w14:schemeClr w14:val="tx1"/>
            </w14:solidFill>
          </w14:textFill>
        </w:rPr>
        <w:t>暂按招标公告及报价表中的工程费限额</w:t>
      </w:r>
      <w:r>
        <w:rPr>
          <w:rFonts w:hint="eastAsia" w:ascii="宋体" w:hAnsi="宋体" w:cs="宋体"/>
          <w:color w:val="000000" w:themeColor="text1"/>
          <w:szCs w:val="21"/>
          <w:highlight w:val="none"/>
          <w14:textFill>
            <w14:solidFill>
              <w14:schemeClr w14:val="tx1"/>
            </w14:solidFill>
          </w14:textFill>
        </w:rPr>
        <w:t>金额填写；</w:t>
      </w:r>
    </w:p>
    <w:p w14:paraId="0B0AEF7F">
      <w:pPr>
        <w:keepNext w:val="0"/>
        <w:keepLines w:val="0"/>
        <w:pageBreakBefore w:val="0"/>
        <w:widowControl w:val="0"/>
        <w:kinsoku/>
        <w:wordWrap/>
        <w:overflowPunct/>
        <w:topLinePunct w:val="0"/>
        <w:autoSpaceDE/>
        <w:autoSpaceDN/>
        <w:bidi w:val="0"/>
        <w:adjustRightInd w:val="0"/>
        <w:snapToGrid w:val="0"/>
        <w:spacing w:line="360" w:lineRule="auto"/>
        <w:ind w:firstLine="672" w:firstLineChars="320"/>
        <w:textAlignment w:val="auto"/>
        <w:rPr>
          <w:rFonts w:asci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本合同设计收费的价款的支付按合同条款第</w:t>
      </w:r>
      <w:r>
        <w:rPr>
          <w:rFonts w:ascii="宋体" w:hAnsi="宋体" w:cs="宋体"/>
          <w:color w:val="000000" w:themeColor="text1"/>
          <w:szCs w:val="21"/>
          <w:highlight w:val="none"/>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条的相关约定确定。</w:t>
      </w:r>
    </w:p>
    <w:p w14:paraId="1F3DDADF">
      <w:pPr>
        <w:keepNext w:val="0"/>
        <w:keepLines w:val="0"/>
        <w:pageBreakBefore w:val="0"/>
        <w:widowControl w:val="0"/>
        <w:kinsoku/>
        <w:wordWrap/>
        <w:overflowPunct/>
        <w:topLinePunct w:val="0"/>
        <w:autoSpaceDE/>
        <w:autoSpaceDN/>
        <w:bidi w:val="0"/>
        <w:adjustRightInd w:val="0"/>
        <w:snapToGrid w:val="0"/>
        <w:spacing w:line="360" w:lineRule="auto"/>
        <w:ind w:firstLine="672" w:firstLineChars="320"/>
        <w:textAlignment w:val="auto"/>
        <w:rPr>
          <w:rFonts w:asci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如在乙方设计范围内存在甲方另外分包的设计工作</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则根据合同条款第</w:t>
      </w:r>
      <w:r>
        <w:rPr>
          <w:rFonts w:ascii="宋体" w:hAnsi="宋体" w:cs="宋体"/>
          <w:color w:val="000000" w:themeColor="text1"/>
          <w:szCs w:val="21"/>
          <w:highlight w:val="none"/>
          <w14:textFill>
            <w14:solidFill>
              <w14:schemeClr w14:val="tx1"/>
            </w14:solidFill>
          </w14:textFill>
        </w:rPr>
        <w:t>15.3</w:t>
      </w:r>
      <w:r>
        <w:rPr>
          <w:rFonts w:hint="eastAsia" w:ascii="宋体" w:hAnsi="宋体" w:cs="宋体"/>
          <w:color w:val="000000" w:themeColor="text1"/>
          <w:szCs w:val="21"/>
          <w:highlight w:val="none"/>
          <w14:textFill>
            <w14:solidFill>
              <w14:schemeClr w14:val="tx1"/>
            </w14:solidFill>
          </w14:textFill>
        </w:rPr>
        <w:t>款的约定相应调整合同价款。</w:t>
      </w:r>
    </w:p>
    <w:p w14:paraId="5A24C8FB">
      <w:pPr>
        <w:keepNext w:val="0"/>
        <w:keepLines w:val="0"/>
        <w:pageBreakBefore w:val="0"/>
        <w:widowControl w:val="0"/>
        <w:kinsoku/>
        <w:wordWrap/>
        <w:overflowPunct/>
        <w:topLinePunct w:val="0"/>
        <w:autoSpaceDE/>
        <w:autoSpaceDN/>
        <w:bidi w:val="0"/>
        <w:adjustRightInd w:val="0"/>
        <w:snapToGrid w:val="0"/>
        <w:spacing w:line="360" w:lineRule="auto"/>
        <w:ind w:firstLine="672" w:firstLineChars="320"/>
        <w:textAlignment w:val="auto"/>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有权审核部门审定本合同乙方设计范围的工程设计概算后，按本合同条款第</w:t>
      </w:r>
      <w:r>
        <w:rPr>
          <w:rFonts w:ascii="宋体" w:hAnsi="宋体" w:cs="宋体"/>
          <w:color w:val="000000" w:themeColor="text1"/>
          <w:szCs w:val="21"/>
          <w:highlight w:val="none"/>
          <w14:textFill>
            <w14:solidFill>
              <w14:schemeClr w14:val="tx1"/>
            </w14:solidFill>
          </w14:textFill>
        </w:rPr>
        <w:t>15.3</w:t>
      </w:r>
      <w:r>
        <w:rPr>
          <w:rFonts w:hint="eastAsia" w:ascii="宋体" w:hAnsi="宋体" w:cs="宋体"/>
          <w:color w:val="000000" w:themeColor="text1"/>
          <w:szCs w:val="21"/>
          <w:highlight w:val="none"/>
          <w14:textFill>
            <w14:solidFill>
              <w14:schemeClr w14:val="tx1"/>
            </w14:solidFill>
          </w14:textFill>
        </w:rPr>
        <w:t>款的约定相应调整</w:t>
      </w:r>
      <w:r>
        <w:rPr>
          <w:rFonts w:hint="eastAsia" w:ascii="宋体" w:hAnsi="宋体" w:cs="宋体"/>
          <w:color w:val="000000" w:themeColor="text1"/>
          <w:szCs w:val="21"/>
          <w:highlight w:val="none"/>
          <w:lang w:eastAsia="zh-CN"/>
          <w14:textFill>
            <w14:solidFill>
              <w14:schemeClr w14:val="tx1"/>
            </w14:solidFill>
          </w14:textFill>
        </w:rPr>
        <w:t>。</w:t>
      </w:r>
    </w:p>
    <w:p w14:paraId="591F42DB">
      <w:pPr>
        <w:rPr>
          <w:color w:val="000000" w:themeColor="text1"/>
          <w:highlight w:val="none"/>
          <w14:textFill>
            <w14:solidFill>
              <w14:schemeClr w14:val="tx1"/>
            </w14:solidFill>
          </w14:textFill>
        </w:rPr>
      </w:pPr>
    </w:p>
    <w:sectPr>
      <w:pgSz w:w="23811" w:h="16838" w:orient="landscape"/>
      <w:pgMar w:top="1417" w:right="1417" w:bottom="1417" w:left="141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STHeiti">
    <w:altName w:val="华文中宋"/>
    <w:panose1 w:val="02010600040101010101"/>
    <w:charset w:val="00"/>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auto"/>
    <w:pitch w:val="default"/>
    <w:sig w:usb0="00000003" w:usb1="00000000" w:usb2="00000000" w:usb3="00000000" w:csb0="20000001" w:csb1="00000000"/>
  </w:font>
  <w:font w:name="方正楷体_GBK">
    <w:altName w:val="微软雅黑"/>
    <w:panose1 w:val="03000509000000000000"/>
    <w:charset w:val="86"/>
    <w:family w:val="script"/>
    <w:pitch w:val="default"/>
    <w:sig w:usb0="00000000" w:usb1="00000000" w:usb2="00000000" w:usb3="00000000" w:csb0="00040000" w:csb1="00000000"/>
  </w:font>
  <w:font w:name="MS Mincho">
    <w:altName w:val="MS UI Gothic"/>
    <w:panose1 w:val="02020609040205080304"/>
    <w:charset w:val="80"/>
    <w:family w:val="modern"/>
    <w:pitch w:val="default"/>
    <w:sig w:usb0="00000000" w:usb1="00000000"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99DB4">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8269A">
    <w:pPr>
      <w:widowControl w:val="0"/>
      <w:tabs>
        <w:tab w:val="center" w:pos="4153"/>
        <w:tab w:val="right" w:pos="8306"/>
      </w:tabs>
      <w:snapToGrid w:val="0"/>
      <w:jc w:val="righ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24E20">
                          <w:pPr>
                            <w:widowControl w:val="0"/>
                            <w:tabs>
                              <w:tab w:val="center" w:pos="4153"/>
                              <w:tab w:val="right" w:pos="8306"/>
                            </w:tabs>
                            <w:snapToGrid w:val="0"/>
                            <w:jc w:val="righ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38</w:t>
                          </w:r>
                          <w:r>
                            <w:rPr>
                              <w:rFonts w:ascii="Calibri" w:hAnsi="Calibri"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224E20">
                    <w:pPr>
                      <w:widowControl w:val="0"/>
                      <w:tabs>
                        <w:tab w:val="center" w:pos="4153"/>
                        <w:tab w:val="right" w:pos="8306"/>
                      </w:tabs>
                      <w:snapToGrid w:val="0"/>
                      <w:jc w:val="righ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38</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BC00B">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66FB">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62</w:t>
                          </w:r>
                          <w:r>
                            <w:rPr>
                              <w:rFonts w:ascii="Calibri" w:hAnsi="Calibri"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C866FB">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62</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5E03">
    <w:pPr>
      <w:widowControl w:val="0"/>
      <w:tabs>
        <w:tab w:val="center" w:pos="4153"/>
        <w:tab w:val="right" w:pos="8306"/>
      </w:tabs>
      <w:snapToGrid w:val="0"/>
      <w:jc w:val="center"/>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69392">
                          <w:pPr>
                            <w:widowControl w:val="0"/>
                            <w:tabs>
                              <w:tab w:val="center" w:pos="4153"/>
                              <w:tab w:val="right" w:pos="8306"/>
                            </w:tabs>
                            <w:snapToGrid w:val="0"/>
                            <w:jc w:val="cente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PAGE   \* MERGEFORMAT</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69</w:t>
                          </w:r>
                          <w:r>
                            <w:rPr>
                              <w:rFonts w:ascii="Calibri" w:hAnsi="Calibri"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F69392">
                    <w:pPr>
                      <w:widowControl w:val="0"/>
                      <w:tabs>
                        <w:tab w:val="center" w:pos="4153"/>
                        <w:tab w:val="right" w:pos="8306"/>
                      </w:tabs>
                      <w:snapToGrid w:val="0"/>
                      <w:jc w:val="cente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PAGE   \* MERGEFORMAT</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69</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5474">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14C641E">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14:paraId="614C641E">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2B296">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6B00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16B00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A1DE">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14993">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F14993">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99CB">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E3D46">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5E3D46">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0013">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46501">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D46501">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F7A5">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06B6">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F31E">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E424"/>
    <w:multiLevelType w:val="singleLevel"/>
    <w:tmpl w:val="9B5DE424"/>
    <w:lvl w:ilvl="0" w:tentative="0">
      <w:start w:val="1"/>
      <w:numFmt w:val="lowerLetter"/>
      <w:suff w:val="space"/>
      <w:lvlText w:val="(%1)"/>
      <w:lvlJc w:val="left"/>
    </w:lvl>
  </w:abstractNum>
  <w:abstractNum w:abstractNumId="1">
    <w:nsid w:val="EF9B719B"/>
    <w:multiLevelType w:val="singleLevel"/>
    <w:tmpl w:val="EF9B719B"/>
    <w:lvl w:ilvl="0" w:tentative="0">
      <w:start w:val="8"/>
      <w:numFmt w:val="decimal"/>
      <w:suff w:val="nothing"/>
      <w:lvlText w:val="（%1）"/>
      <w:lvlJc w:val="left"/>
    </w:lvl>
  </w:abstractNum>
  <w:abstractNum w:abstractNumId="2">
    <w:nsid w:val="6571FD60"/>
    <w:multiLevelType w:val="multilevel"/>
    <w:tmpl w:val="6571FD60"/>
    <w:lvl w:ilvl="0" w:tentative="0">
      <w:start w:val="1"/>
      <w:numFmt w:val="chineseCounting"/>
      <w:pStyle w:val="2"/>
      <w:suff w:val="nothing"/>
      <w:lvlText w:val="第%1节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D55C038"/>
    <w:multiLevelType w:val="singleLevel"/>
    <w:tmpl w:val="6D55C038"/>
    <w:lvl w:ilvl="0" w:tentative="0">
      <w:start w:val="13"/>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2554C"/>
    <w:rsid w:val="02A46519"/>
    <w:rsid w:val="04E8539D"/>
    <w:rsid w:val="071D4AEC"/>
    <w:rsid w:val="0AC732F7"/>
    <w:rsid w:val="0AE71698"/>
    <w:rsid w:val="0CD96AAC"/>
    <w:rsid w:val="0DB22734"/>
    <w:rsid w:val="0DEB1407"/>
    <w:rsid w:val="18420856"/>
    <w:rsid w:val="18FA1C63"/>
    <w:rsid w:val="1FEE0954"/>
    <w:rsid w:val="20D0458C"/>
    <w:rsid w:val="21433F55"/>
    <w:rsid w:val="24EA75E2"/>
    <w:rsid w:val="26D85292"/>
    <w:rsid w:val="27F65F9D"/>
    <w:rsid w:val="28FB4EF8"/>
    <w:rsid w:val="2AE45D75"/>
    <w:rsid w:val="2B2D5FDA"/>
    <w:rsid w:val="2DED1E64"/>
    <w:rsid w:val="2F57876C"/>
    <w:rsid w:val="2F7A5E2D"/>
    <w:rsid w:val="2F7AB738"/>
    <w:rsid w:val="2F97B4EC"/>
    <w:rsid w:val="2FA17B84"/>
    <w:rsid w:val="30401516"/>
    <w:rsid w:val="30634181"/>
    <w:rsid w:val="3196159F"/>
    <w:rsid w:val="320169DA"/>
    <w:rsid w:val="330D1424"/>
    <w:rsid w:val="339C6C14"/>
    <w:rsid w:val="33AD6BC8"/>
    <w:rsid w:val="34F12F90"/>
    <w:rsid w:val="35402479"/>
    <w:rsid w:val="368F10CE"/>
    <w:rsid w:val="36F247A7"/>
    <w:rsid w:val="37DF3489"/>
    <w:rsid w:val="396F2774"/>
    <w:rsid w:val="39BF65B7"/>
    <w:rsid w:val="3B7FD41E"/>
    <w:rsid w:val="3CAB44AB"/>
    <w:rsid w:val="3D7F8ED4"/>
    <w:rsid w:val="3DB463FC"/>
    <w:rsid w:val="3DF5D6F6"/>
    <w:rsid w:val="3DFD5A66"/>
    <w:rsid w:val="3F1DD966"/>
    <w:rsid w:val="3F330DBB"/>
    <w:rsid w:val="3FF75A0B"/>
    <w:rsid w:val="40E1285C"/>
    <w:rsid w:val="42B23D5F"/>
    <w:rsid w:val="433724B6"/>
    <w:rsid w:val="43BF6766"/>
    <w:rsid w:val="47FA2D23"/>
    <w:rsid w:val="49E658F0"/>
    <w:rsid w:val="4CB74BA8"/>
    <w:rsid w:val="4CE44007"/>
    <w:rsid w:val="4DDEC993"/>
    <w:rsid w:val="4F890CC9"/>
    <w:rsid w:val="4FFFDBFF"/>
    <w:rsid w:val="555D455C"/>
    <w:rsid w:val="55CF2D93"/>
    <w:rsid w:val="55E2554C"/>
    <w:rsid w:val="56E97E02"/>
    <w:rsid w:val="56F81F8B"/>
    <w:rsid w:val="573B9E37"/>
    <w:rsid w:val="57B301ED"/>
    <w:rsid w:val="57FCF608"/>
    <w:rsid w:val="58530059"/>
    <w:rsid w:val="5934578E"/>
    <w:rsid w:val="5AF3386D"/>
    <w:rsid w:val="5D7FFC5C"/>
    <w:rsid w:val="5DC35DDC"/>
    <w:rsid w:val="5DE8BB89"/>
    <w:rsid w:val="5DFF1849"/>
    <w:rsid w:val="5EA66D54"/>
    <w:rsid w:val="5F96EB6F"/>
    <w:rsid w:val="5FAB0556"/>
    <w:rsid w:val="5FF9CF71"/>
    <w:rsid w:val="601C6864"/>
    <w:rsid w:val="61817DDC"/>
    <w:rsid w:val="667D1D02"/>
    <w:rsid w:val="6732213C"/>
    <w:rsid w:val="67E93D09"/>
    <w:rsid w:val="67F7F105"/>
    <w:rsid w:val="6802497D"/>
    <w:rsid w:val="68994EF5"/>
    <w:rsid w:val="68E60484"/>
    <w:rsid w:val="697E40EB"/>
    <w:rsid w:val="69B375CC"/>
    <w:rsid w:val="69E62C24"/>
    <w:rsid w:val="6C9E10C9"/>
    <w:rsid w:val="6DEFF278"/>
    <w:rsid w:val="6E73D841"/>
    <w:rsid w:val="6E7D3CC3"/>
    <w:rsid w:val="6E7D5AE1"/>
    <w:rsid w:val="6EEDCA16"/>
    <w:rsid w:val="6EFA7E53"/>
    <w:rsid w:val="6F877BB3"/>
    <w:rsid w:val="6FAA396A"/>
    <w:rsid w:val="6FAD1792"/>
    <w:rsid w:val="6FB3CA59"/>
    <w:rsid w:val="6FDF14E5"/>
    <w:rsid w:val="6FF67FA2"/>
    <w:rsid w:val="71AF5C47"/>
    <w:rsid w:val="72EA9527"/>
    <w:rsid w:val="7411707B"/>
    <w:rsid w:val="75BF2004"/>
    <w:rsid w:val="76F7D24B"/>
    <w:rsid w:val="77B1203A"/>
    <w:rsid w:val="77D4265E"/>
    <w:rsid w:val="77D72ABD"/>
    <w:rsid w:val="77E51F9E"/>
    <w:rsid w:val="77FF925B"/>
    <w:rsid w:val="78444614"/>
    <w:rsid w:val="786FE114"/>
    <w:rsid w:val="78FF8234"/>
    <w:rsid w:val="79604EBF"/>
    <w:rsid w:val="7A27DA01"/>
    <w:rsid w:val="7B0D321A"/>
    <w:rsid w:val="7BA06143"/>
    <w:rsid w:val="7BBD4D2D"/>
    <w:rsid w:val="7BDDF302"/>
    <w:rsid w:val="7BDFD64E"/>
    <w:rsid w:val="7C566F9A"/>
    <w:rsid w:val="7D11554A"/>
    <w:rsid w:val="7DFD6B09"/>
    <w:rsid w:val="7E2C6DFE"/>
    <w:rsid w:val="7E45A415"/>
    <w:rsid w:val="7EB80E9B"/>
    <w:rsid w:val="7EFF2576"/>
    <w:rsid w:val="7EFF31A4"/>
    <w:rsid w:val="7F7CE551"/>
    <w:rsid w:val="7F7D0620"/>
    <w:rsid w:val="7F7FA5F9"/>
    <w:rsid w:val="7F8F77BE"/>
    <w:rsid w:val="7F9FF2ED"/>
    <w:rsid w:val="7FBB00E9"/>
    <w:rsid w:val="7FD73781"/>
    <w:rsid w:val="7FDF9E3D"/>
    <w:rsid w:val="7FEC3846"/>
    <w:rsid w:val="7FF79D8E"/>
    <w:rsid w:val="7FF7E35C"/>
    <w:rsid w:val="7FFF4789"/>
    <w:rsid w:val="94FFDEDA"/>
    <w:rsid w:val="963D1577"/>
    <w:rsid w:val="985AE4C4"/>
    <w:rsid w:val="9FB79135"/>
    <w:rsid w:val="9FF59411"/>
    <w:rsid w:val="ABB78FD7"/>
    <w:rsid w:val="B77EBDB7"/>
    <w:rsid w:val="BA5E53C2"/>
    <w:rsid w:val="BEDDB1C7"/>
    <w:rsid w:val="BEFD93FB"/>
    <w:rsid w:val="BFFEB191"/>
    <w:rsid w:val="BFFFE4C2"/>
    <w:rsid w:val="CB3F930E"/>
    <w:rsid w:val="CB7BCCE5"/>
    <w:rsid w:val="CBFF2B0D"/>
    <w:rsid w:val="CDEB0D0C"/>
    <w:rsid w:val="CFCB7F67"/>
    <w:rsid w:val="D3FD98C1"/>
    <w:rsid w:val="D6FFE1C6"/>
    <w:rsid w:val="D759F0CA"/>
    <w:rsid w:val="D9738A37"/>
    <w:rsid w:val="DDB7436C"/>
    <w:rsid w:val="DE5EF6CA"/>
    <w:rsid w:val="DE9D641F"/>
    <w:rsid w:val="DFE788BB"/>
    <w:rsid w:val="DFEB76D6"/>
    <w:rsid w:val="DFFF0E24"/>
    <w:rsid w:val="E76DB0DD"/>
    <w:rsid w:val="E9DFA0B1"/>
    <w:rsid w:val="EACF6324"/>
    <w:rsid w:val="EEE9D7DA"/>
    <w:rsid w:val="EEF719A9"/>
    <w:rsid w:val="EFEB6E66"/>
    <w:rsid w:val="EFF38037"/>
    <w:rsid w:val="EFF6A16F"/>
    <w:rsid w:val="EFFD56A4"/>
    <w:rsid w:val="F3F7F6C9"/>
    <w:rsid w:val="F55B4E74"/>
    <w:rsid w:val="F59FA35A"/>
    <w:rsid w:val="F5DF2769"/>
    <w:rsid w:val="F6DD6B3A"/>
    <w:rsid w:val="F6E4B798"/>
    <w:rsid w:val="F6FF66C3"/>
    <w:rsid w:val="F75D5E41"/>
    <w:rsid w:val="F7BB647D"/>
    <w:rsid w:val="F7FF9A83"/>
    <w:rsid w:val="F915A0CE"/>
    <w:rsid w:val="F9DF2630"/>
    <w:rsid w:val="F9E32022"/>
    <w:rsid w:val="FAEABEFB"/>
    <w:rsid w:val="FB4B7841"/>
    <w:rsid w:val="FD2F620D"/>
    <w:rsid w:val="FD65DDF7"/>
    <w:rsid w:val="FDDF98A5"/>
    <w:rsid w:val="FDFAE6FD"/>
    <w:rsid w:val="FE3B4A6F"/>
    <w:rsid w:val="FEBE8117"/>
    <w:rsid w:val="FEDF4938"/>
    <w:rsid w:val="FEDF7BF5"/>
    <w:rsid w:val="FEE951B7"/>
    <w:rsid w:val="FFBBB7A0"/>
    <w:rsid w:val="FFED0142"/>
    <w:rsid w:val="FFF9FBC8"/>
    <w:rsid w:val="FFFDB8CB"/>
    <w:rsid w:val="FFFFC9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line="360" w:lineRule="auto"/>
      <w:ind w:left="0" w:leftChars="0" w:firstLine="0" w:firstLineChars="0"/>
      <w:jc w:val="center"/>
      <w:outlineLvl w:val="0"/>
    </w:pPr>
    <w:rPr>
      <w:rFonts w:eastAsia="黑体" w:asciiTheme="majorEastAsia" w:hAnsiTheme="majorEastAsia" w:cstheme="minorBidi"/>
      <w:b/>
      <w:bCs/>
      <w:color w:val="C00000"/>
      <w:kern w:val="44"/>
      <w:sz w:val="32"/>
      <w:szCs w:val="18"/>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4"/>
    <w:basedOn w:val="1"/>
    <w:next w:val="1"/>
    <w:qFormat/>
    <w:uiPriority w:val="0"/>
    <w:pPr>
      <w:outlineLvl w:val="3"/>
    </w:pPr>
    <w:rPr>
      <w:rFonts w:ascii="黑体" w:hAnsi="黑体" w:eastAsia="STHeiti" w:cs="黑体"/>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Indent"/>
    <w:basedOn w:val="1"/>
    <w:link w:val="22"/>
    <w:qFormat/>
    <w:uiPriority w:val="0"/>
    <w:pPr>
      <w:spacing w:after="120" w:afterLines="0" w:afterAutospacing="0"/>
      <w:ind w:left="420" w:leftChars="200"/>
    </w:p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center"/>
    </w:pPr>
    <w:rPr>
      <w:rFonts w:hint="eastAsia" w:ascii="宋体" w:hAnsi="宋体" w:eastAsia="宋体" w:cs="Times New Roman"/>
      <w:b/>
      <w:spacing w:val="-20"/>
      <w:kern w:val="10"/>
      <w:sz w:val="44"/>
      <w:szCs w:val="44"/>
      <w:lang w:val="en-US" w:eastAsia="zh-CN" w:bidi="ar"/>
    </w:rPr>
  </w:style>
  <w:style w:type="paragraph" w:styleId="9">
    <w:name w:val="footer"/>
    <w:basedOn w:val="1"/>
    <w:unhideWhenUsed/>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1"/>
    <w:unhideWhenUsed/>
    <w:qFormat/>
    <w:uiPriority w:val="0"/>
    <w:pPr>
      <w:keepNext w:val="0"/>
      <w:keepLines w:val="0"/>
      <w:widowControl/>
      <w:suppressLineNumbers w:val="0"/>
      <w:spacing w:before="0" w:beforeAutospacing="0" w:after="120" w:afterAutospacing="0" w:line="256" w:lineRule="auto"/>
      <w:ind w:left="420" w:leftChars="200" w:right="0" w:firstLine="420" w:firstLineChars="200"/>
      <w:jc w:val="left"/>
    </w:pPr>
    <w:rPr>
      <w:rFonts w:hint="default" w:ascii="Calibri" w:hAnsi="Calibri" w:eastAsia="Calibri" w:cs="Calibri"/>
      <w:color w:val="000000"/>
      <w:kern w:val="2"/>
      <w:sz w:val="22"/>
      <w:szCs w:val="22"/>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ascii="Times New Roman" w:hAnsi="Times New Roman" w:eastAsia="宋体" w:cs="Times New Roman"/>
      <w:b/>
    </w:rPr>
  </w:style>
  <w:style w:type="character" w:styleId="19">
    <w:name w:val="Hyperlink"/>
    <w:basedOn w:val="17"/>
    <w:unhideWhenUsed/>
    <w:qFormat/>
    <w:uiPriority w:val="99"/>
    <w:rPr>
      <w:rFonts w:ascii="Times New Roman" w:hAnsi="Times New Roman" w:eastAsia="宋体" w:cs="Times New Roman"/>
      <w:color w:val="0000FF"/>
      <w:u w:val="single"/>
    </w:rPr>
  </w:style>
  <w:style w:type="character" w:customStyle="1" w:styleId="20">
    <w:name w:val="15"/>
    <w:basedOn w:val="17"/>
    <w:qFormat/>
    <w:uiPriority w:val="0"/>
    <w:rPr>
      <w:rFonts w:hint="default" w:ascii="Times New Roman" w:hAnsi="Times New Roman" w:eastAsia="宋体" w:cs="Times New Roman"/>
    </w:rPr>
  </w:style>
  <w:style w:type="character" w:customStyle="1" w:styleId="21">
    <w:name w:val="正文文本首行缩进 2 字符"/>
    <w:basedOn w:val="22"/>
    <w:qFormat/>
    <w:uiPriority w:val="0"/>
    <w:rPr>
      <w:rFonts w:hint="default" w:ascii="Calibri" w:hAnsi="Calibri" w:eastAsia="宋体" w:cs="Times New Roman"/>
      <w:kern w:val="2"/>
      <w:sz w:val="21"/>
      <w:szCs w:val="22"/>
    </w:rPr>
  </w:style>
  <w:style w:type="character" w:customStyle="1" w:styleId="22">
    <w:name w:val="正文文本缩进 字符"/>
    <w:basedOn w:val="17"/>
    <w:link w:val="7"/>
    <w:qFormat/>
    <w:uiPriority w:val="0"/>
    <w:rPr>
      <w:rFonts w:ascii="Times New Roman" w:hAnsi="Times New Roman" w:eastAsia="宋体" w:cs="Times New Roman"/>
    </w:rPr>
  </w:style>
  <w:style w:type="character" w:customStyle="1" w:styleId="23">
    <w:name w:val="10"/>
    <w:basedOn w:val="17"/>
    <w:qFormat/>
    <w:uiPriority w:val="0"/>
    <w:rPr>
      <w:rFonts w:hint="default" w:ascii="Calibri" w:hAnsi="Calibri" w:eastAsia="宋体" w:cs="Calibri"/>
    </w:rPr>
  </w:style>
  <w:style w:type="paragraph" w:customStyle="1" w:styleId="24">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206</Pages>
  <Words>99</Words>
  <Characters>103</Characters>
  <Lines>1</Lines>
  <Paragraphs>1</Paragraphs>
  <TotalTime>0</TotalTime>
  <ScaleCrop>false</ScaleCrop>
  <LinksUpToDate>false</LinksUpToDate>
  <CharactersWithSpaces>126</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2025-08-17T05:18:00Z</dcterms:created>
  <dc:creator>C-言诺</dc:creator>
  <cp:lastModifiedBy>CCCCC</cp:lastModifiedBy>
  <dcterms:modified xsi:type="dcterms:W3CDTF">2025-11-10T11:58:17Z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KSOTemplateDocerSaveRecord">
    <vt:lpwstr>eyJoZGlkIjoiOTc3M2Y5NzIzMDFlZjAyY2Q4Njk5ODkyYjFjNzBiNTQiLCJ1c2VySWQiOiIzNTY0NzE5MjMifQ==</vt:lpwstr>
  </property>
  <property fmtid="{D5CDD505-2E9C-101B-9397-08002B2CF9AE}" pid="4" name="ICV">
    <vt:lpwstr>8DA9EA2B19F8401E9E1EF371F5ACCC1B_13</vt:lpwstr>
  </property>
</Properties>
</file>