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71D5">
      <w:pPr>
        <w:spacing w:line="480" w:lineRule="auto"/>
        <w:jc w:val="center"/>
        <w:rPr>
          <w:rFonts w:hint="eastAsia" w:ascii="宋体" w:hAnsi="宋体" w:cs="宋体"/>
          <w:b/>
          <w:color w:val="auto"/>
          <w:spacing w:val="-6"/>
          <w:sz w:val="44"/>
          <w:szCs w:val="44"/>
          <w:highlight w:val="none"/>
        </w:rPr>
      </w:pPr>
      <w:r>
        <w:rPr>
          <w:rFonts w:hint="eastAsia" w:ascii="宋体" w:hAnsi="宋体" w:cs="宋体"/>
          <w:b/>
          <w:color w:val="auto"/>
          <w:spacing w:val="-6"/>
          <w:sz w:val="44"/>
          <w:szCs w:val="44"/>
          <w:highlight w:val="none"/>
        </w:rPr>
        <w:t>中山大学中山眼科中心公共实验平台（区庄院区）细胞培养室与临床病理实验室功能升级设计施工一体化项目</w:t>
      </w:r>
    </w:p>
    <w:p w14:paraId="24901311">
      <w:pPr>
        <w:pStyle w:val="2"/>
        <w:rPr>
          <w:rFonts w:hint="eastAsia"/>
          <w:color w:val="auto"/>
          <w:highlight w:val="none"/>
        </w:rPr>
      </w:pPr>
      <w:bookmarkStart w:id="603" w:name="_GoBack"/>
      <w:bookmarkEnd w:id="603"/>
    </w:p>
    <w:p w14:paraId="6ABF7147">
      <w:pPr>
        <w:rPr>
          <w:color w:val="auto"/>
          <w:highlight w:val="none"/>
        </w:rPr>
      </w:pPr>
    </w:p>
    <w:p w14:paraId="76A9964E">
      <w:pPr>
        <w:rPr>
          <w:color w:val="auto"/>
          <w:highlight w:val="none"/>
        </w:rPr>
      </w:pPr>
    </w:p>
    <w:p w14:paraId="1DB997A8">
      <w:pPr>
        <w:rPr>
          <w:color w:val="auto"/>
          <w:highlight w:val="none"/>
        </w:rPr>
      </w:pPr>
    </w:p>
    <w:p w14:paraId="0516B002">
      <w:pPr>
        <w:rPr>
          <w:color w:val="auto"/>
          <w:highlight w:val="none"/>
        </w:rPr>
      </w:pPr>
    </w:p>
    <w:p w14:paraId="31949380">
      <w:pPr>
        <w:rPr>
          <w:color w:val="auto"/>
          <w:highlight w:val="none"/>
        </w:rPr>
      </w:pPr>
    </w:p>
    <w:p w14:paraId="0FB60A30">
      <w:pPr>
        <w:rPr>
          <w:color w:val="auto"/>
          <w:highlight w:val="none"/>
        </w:rPr>
      </w:pPr>
    </w:p>
    <w:p w14:paraId="1D4758EB">
      <w:pPr>
        <w:rPr>
          <w:color w:val="auto"/>
          <w:highlight w:val="none"/>
        </w:rPr>
      </w:pPr>
    </w:p>
    <w:p w14:paraId="02FABB0D">
      <w:pPr>
        <w:rPr>
          <w:color w:val="auto"/>
          <w:highlight w:val="none"/>
        </w:rPr>
      </w:pPr>
    </w:p>
    <w:p w14:paraId="59CCC8CB">
      <w:pPr>
        <w:rPr>
          <w:color w:val="auto"/>
          <w:highlight w:val="none"/>
        </w:rPr>
      </w:pPr>
    </w:p>
    <w:p w14:paraId="0F4A99C9">
      <w:pPr>
        <w:rPr>
          <w:color w:val="auto"/>
          <w:highlight w:val="none"/>
        </w:rPr>
      </w:pPr>
    </w:p>
    <w:p w14:paraId="25D66BA4">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招标文件</w:t>
      </w:r>
    </w:p>
    <w:p w14:paraId="1C86C24C">
      <w:pPr>
        <w:rPr>
          <w:color w:val="auto"/>
          <w:highlight w:val="none"/>
        </w:rPr>
      </w:pPr>
    </w:p>
    <w:p w14:paraId="7FE6111E">
      <w:pPr>
        <w:rPr>
          <w:color w:val="auto"/>
          <w:highlight w:val="none"/>
        </w:rPr>
      </w:pPr>
    </w:p>
    <w:p w14:paraId="3402DCD5">
      <w:pPr>
        <w:rPr>
          <w:color w:val="auto"/>
          <w:highlight w:val="none"/>
        </w:rPr>
      </w:pPr>
    </w:p>
    <w:p w14:paraId="6993D08F">
      <w:pPr>
        <w:rPr>
          <w:color w:val="auto"/>
          <w:highlight w:val="none"/>
        </w:rPr>
      </w:pPr>
    </w:p>
    <w:p w14:paraId="759ADF3C">
      <w:pPr>
        <w:rPr>
          <w:color w:val="auto"/>
          <w:highlight w:val="none"/>
        </w:rPr>
      </w:pPr>
    </w:p>
    <w:p w14:paraId="3A463E95">
      <w:pPr>
        <w:rPr>
          <w:color w:val="auto"/>
          <w:highlight w:val="none"/>
        </w:rPr>
      </w:pPr>
    </w:p>
    <w:p w14:paraId="3372756B">
      <w:pPr>
        <w:rPr>
          <w:color w:val="auto"/>
          <w:highlight w:val="none"/>
        </w:rPr>
      </w:pPr>
    </w:p>
    <w:p w14:paraId="1F7489FD">
      <w:pPr>
        <w:rPr>
          <w:color w:val="auto"/>
          <w:highlight w:val="none"/>
        </w:rPr>
      </w:pPr>
    </w:p>
    <w:p w14:paraId="53D1556F">
      <w:pPr>
        <w:rPr>
          <w:color w:val="auto"/>
          <w:highlight w:val="none"/>
        </w:rPr>
      </w:pPr>
    </w:p>
    <w:p w14:paraId="144F0DF7">
      <w:pPr>
        <w:rPr>
          <w:color w:val="auto"/>
          <w:highlight w:val="none"/>
        </w:rPr>
      </w:pPr>
    </w:p>
    <w:p w14:paraId="113776F4">
      <w:pPr>
        <w:rPr>
          <w:color w:val="auto"/>
          <w:highlight w:val="none"/>
        </w:rPr>
      </w:pPr>
    </w:p>
    <w:p w14:paraId="34F4EDC0">
      <w:pPr>
        <w:ind w:left="1134" w:leftChars="5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rPr>
        <w:t xml:space="preserve">中山大学中山眼科中心 </w:t>
      </w:r>
    </w:p>
    <w:p w14:paraId="24CC63B9">
      <w:pPr>
        <w:ind w:left="1134" w:leftChars="54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 xml:space="preserve">广州中经招标有限公司 </w:t>
      </w:r>
    </w:p>
    <w:p w14:paraId="666A0EE4">
      <w:pPr>
        <w:jc w:val="center"/>
        <w:rPr>
          <w:rFonts w:hint="eastAsia" w:ascii="宋体" w:hAnsi="宋体" w:cs="宋体"/>
          <w:color w:val="auto"/>
          <w:sz w:val="28"/>
          <w:szCs w:val="28"/>
          <w:highlight w:val="none"/>
          <w:u w:val="single"/>
        </w:rPr>
      </w:pPr>
    </w:p>
    <w:p w14:paraId="3E2D8DA7">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11</w:t>
      </w:r>
      <w:r>
        <w:rPr>
          <w:rFonts w:hint="eastAsia" w:ascii="宋体" w:hAnsi="宋体" w:cs="宋体"/>
          <w:color w:val="auto"/>
          <w:sz w:val="28"/>
          <w:szCs w:val="28"/>
          <w:highlight w:val="none"/>
        </w:rPr>
        <w:t>月</w:t>
      </w:r>
    </w:p>
    <w:p w14:paraId="16B510DF">
      <w:pPr>
        <w:pStyle w:val="112"/>
        <w:rPr>
          <w:color w:val="auto"/>
          <w:highlight w:val="none"/>
        </w:rPr>
      </w:pPr>
    </w:p>
    <w:p w14:paraId="61A818AB">
      <w:pPr>
        <w:spacing w:line="400" w:lineRule="exact"/>
        <w:ind w:firstLine="420"/>
        <w:rPr>
          <w:rFonts w:hint="eastAsia" w:ascii="宋体" w:hAnsi="宋体" w:cs="宋体"/>
          <w:color w:val="auto"/>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144974478"/>
      <w:bookmarkStart w:id="1" w:name="_Toc152042286"/>
    </w:p>
    <w:p w14:paraId="7AE460B7">
      <w:pPr>
        <w:pStyle w:val="3"/>
        <w:rPr>
          <w:color w:val="auto"/>
          <w:highlight w:val="none"/>
        </w:rPr>
      </w:pPr>
      <w:bookmarkStart w:id="2" w:name="_Toc134304509"/>
      <w:bookmarkStart w:id="3" w:name="_Toc11895"/>
      <w:bookmarkStart w:id="4" w:name="_Toc247527532"/>
      <w:bookmarkStart w:id="5" w:name="_Toc300834926"/>
      <w:r>
        <w:rPr>
          <w:rFonts w:hint="eastAsia"/>
          <w:color w:val="auto"/>
          <w:highlight w:val="none"/>
        </w:rPr>
        <w:t>目  录</w:t>
      </w:r>
      <w:bookmarkEnd w:id="0"/>
      <w:bookmarkEnd w:id="1"/>
      <w:bookmarkEnd w:id="2"/>
      <w:bookmarkEnd w:id="3"/>
      <w:bookmarkEnd w:id="4"/>
      <w:bookmarkEnd w:id="5"/>
    </w:p>
    <w:p w14:paraId="70C12F99">
      <w:pPr>
        <w:pStyle w:val="50"/>
        <w:tabs>
          <w:tab w:val="right" w:leader="dot" w:pos="9628"/>
        </w:tabs>
        <w:rPr>
          <w:rFonts w:ascii="Calibri" w:hAnsi="Calibri"/>
          <w:b w:val="0"/>
          <w:bCs w:val="0"/>
          <w:caps w:val="0"/>
          <w:color w:val="auto"/>
          <w:sz w:val="21"/>
          <w:szCs w:val="22"/>
          <w:highlight w:val="none"/>
        </w:rPr>
      </w:pPr>
      <w:bookmarkStart w:id="6" w:name="_Toc247513932"/>
      <w:bookmarkStart w:id="7" w:name="_Toc247527533"/>
      <w:bookmarkStart w:id="8" w:name="_Toc152042287"/>
      <w:bookmarkStart w:id="9" w:name="_Toc144974479"/>
      <w:bookmarkStart w:id="10" w:name="_Toc152045511"/>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color w:val="auto"/>
          <w:highlight w:val="none"/>
        </w:rPr>
        <w:fldChar w:fldCharType="begin"/>
      </w:r>
      <w:r>
        <w:rPr>
          <w:color w:val="auto"/>
          <w:highlight w:val="none"/>
        </w:rPr>
        <w:instrText xml:space="preserve"> HYPERLINK \l "_Toc134304509" </w:instrText>
      </w:r>
      <w:r>
        <w:rPr>
          <w:color w:val="auto"/>
          <w:highlight w:val="none"/>
        </w:rPr>
        <w:fldChar w:fldCharType="separate"/>
      </w:r>
      <w:r>
        <w:rPr>
          <w:rStyle w:val="82"/>
          <w:rFonts w:hint="eastAsia"/>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_Toc134304509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FC046F">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"_Toc134304510" </w:instrText>
      </w:r>
      <w:r>
        <w:rPr>
          <w:color w:val="auto"/>
          <w:highlight w:val="none"/>
        </w:rPr>
        <w:fldChar w:fldCharType="separate"/>
      </w:r>
      <w:r>
        <w:rPr>
          <w:rStyle w:val="82"/>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_Toc134304510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B70241D">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"_Toc134304511" </w:instrText>
      </w:r>
      <w:r>
        <w:rPr>
          <w:color w:val="auto"/>
          <w:highlight w:val="none"/>
        </w:rPr>
        <w:fldChar w:fldCharType="separate"/>
      </w:r>
      <w:r>
        <w:rPr>
          <w:rStyle w:val="82"/>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_Toc134304511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0085462">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"_Toc134304521" </w:instrText>
      </w:r>
      <w:r>
        <w:rPr>
          <w:color w:val="auto"/>
          <w:highlight w:val="none"/>
        </w:rPr>
        <w:fldChar w:fldCharType="separate"/>
      </w:r>
      <w:r>
        <w:rPr>
          <w:rStyle w:val="82"/>
          <w:rFonts w:hint="eastAsia"/>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_Toc134304521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354966D">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"_Toc134304522" </w:instrText>
      </w:r>
      <w:r>
        <w:rPr>
          <w:color w:val="auto"/>
          <w:highlight w:val="none"/>
        </w:rPr>
        <w:fldChar w:fldCharType="separate"/>
      </w:r>
      <w:r>
        <w:rPr>
          <w:rStyle w:val="8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_Toc134304522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AE83A41">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"_Toc134304523" </w:instrText>
      </w:r>
      <w:r>
        <w:rPr>
          <w:color w:val="auto"/>
          <w:highlight w:val="none"/>
        </w:rPr>
        <w:fldChar w:fldCharType="separate"/>
      </w:r>
      <w:r>
        <w:rPr>
          <w:rStyle w:val="82"/>
          <w:color w:val="auto"/>
          <w:highlight w:val="none"/>
        </w:rPr>
        <w:t xml:space="preserve">1. </w:t>
      </w:r>
      <w:r>
        <w:rPr>
          <w:rStyle w:val="82"/>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_Toc134304523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181EA7A">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"_Toc134304524" </w:instrText>
      </w:r>
      <w:r>
        <w:rPr>
          <w:color w:val="auto"/>
          <w:highlight w:val="none"/>
        </w:rPr>
        <w:fldChar w:fldCharType="separate"/>
      </w:r>
      <w:r>
        <w:rPr>
          <w:rStyle w:val="82"/>
          <w:color w:val="auto"/>
          <w:highlight w:val="none"/>
        </w:rPr>
        <w:t xml:space="preserve">1.1 </w:t>
      </w:r>
      <w:r>
        <w:rPr>
          <w:rStyle w:val="82"/>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_Toc134304524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91B2993">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"_Toc134304525" </w:instrText>
      </w:r>
      <w:r>
        <w:rPr>
          <w:color w:val="auto"/>
          <w:highlight w:val="none"/>
        </w:rPr>
        <w:fldChar w:fldCharType="separate"/>
      </w:r>
      <w:r>
        <w:rPr>
          <w:rStyle w:val="82"/>
          <w:color w:val="auto"/>
          <w:highlight w:val="none"/>
        </w:rPr>
        <w:t xml:space="preserve">1.2 </w:t>
      </w:r>
      <w:r>
        <w:rPr>
          <w:rStyle w:val="82"/>
          <w:rFonts w:hint="eastAsia"/>
          <w:color w:val="auto"/>
          <w:highlight w:val="none"/>
        </w:rPr>
        <w:t>项目的资金来源和落实情况</w:t>
      </w:r>
      <w:r>
        <w:rPr>
          <w:color w:val="auto"/>
          <w:highlight w:val="none"/>
        </w:rPr>
        <w:tab/>
      </w:r>
      <w:r>
        <w:rPr>
          <w:color w:val="auto"/>
          <w:highlight w:val="none"/>
        </w:rPr>
        <w:fldChar w:fldCharType="begin"/>
      </w:r>
      <w:r>
        <w:rPr>
          <w:color w:val="auto"/>
          <w:highlight w:val="none"/>
        </w:rPr>
        <w:instrText xml:space="preserve"> PAGEREF _Toc134304525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E96E05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"_Toc134304526" </w:instrText>
      </w:r>
      <w:r>
        <w:rPr>
          <w:color w:val="auto"/>
          <w:highlight w:val="none"/>
        </w:rPr>
        <w:fldChar w:fldCharType="separate"/>
      </w:r>
      <w:r>
        <w:rPr>
          <w:rStyle w:val="82"/>
          <w:color w:val="auto"/>
          <w:highlight w:val="none"/>
        </w:rPr>
        <w:t xml:space="preserve">1.3 </w:t>
      </w:r>
      <w:r>
        <w:rPr>
          <w:rStyle w:val="82"/>
          <w:rFonts w:hint="eastAsia"/>
          <w:color w:val="auto"/>
          <w:highlight w:val="none"/>
        </w:rPr>
        <w:t>招标范围、计划工期和质量标准</w:t>
      </w:r>
      <w:r>
        <w:rPr>
          <w:color w:val="auto"/>
          <w:highlight w:val="none"/>
        </w:rPr>
        <w:tab/>
      </w:r>
      <w:r>
        <w:rPr>
          <w:color w:val="auto"/>
          <w:highlight w:val="none"/>
        </w:rPr>
        <w:fldChar w:fldCharType="begin"/>
      </w:r>
      <w:r>
        <w:rPr>
          <w:color w:val="auto"/>
          <w:highlight w:val="none"/>
        </w:rPr>
        <w:instrText xml:space="preserve"> PAGEREF _Toc134304526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6C5BBEB">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"_Toc134304527" </w:instrText>
      </w:r>
      <w:r>
        <w:rPr>
          <w:color w:val="auto"/>
          <w:highlight w:val="none"/>
        </w:rPr>
        <w:fldChar w:fldCharType="separate"/>
      </w:r>
      <w:r>
        <w:rPr>
          <w:rStyle w:val="82"/>
          <w:color w:val="auto"/>
          <w:highlight w:val="none"/>
        </w:rPr>
        <w:t xml:space="preserve">1.4 </w:t>
      </w:r>
      <w:r>
        <w:rPr>
          <w:rStyle w:val="82"/>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_Toc134304527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C0078E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"_Toc134304528" </w:instrText>
      </w:r>
      <w:r>
        <w:rPr>
          <w:color w:val="auto"/>
          <w:highlight w:val="none"/>
        </w:rPr>
        <w:fldChar w:fldCharType="separate"/>
      </w:r>
      <w:r>
        <w:rPr>
          <w:rStyle w:val="82"/>
          <w:color w:val="auto"/>
          <w:highlight w:val="none"/>
        </w:rPr>
        <w:t xml:space="preserve">1.5 </w:t>
      </w:r>
      <w:r>
        <w:rPr>
          <w:rStyle w:val="82"/>
          <w:rFonts w:hint="eastAsia"/>
          <w:color w:val="auto"/>
          <w:highlight w:val="none"/>
        </w:rPr>
        <w:t>费用承担和设计成果补偿</w:t>
      </w:r>
      <w:r>
        <w:rPr>
          <w:color w:val="auto"/>
          <w:highlight w:val="none"/>
        </w:rPr>
        <w:tab/>
      </w:r>
      <w:r>
        <w:rPr>
          <w:color w:val="auto"/>
          <w:highlight w:val="none"/>
        </w:rPr>
        <w:fldChar w:fldCharType="begin"/>
      </w:r>
      <w:r>
        <w:rPr>
          <w:color w:val="auto"/>
          <w:highlight w:val="none"/>
        </w:rPr>
        <w:instrText xml:space="preserve"> PAGEREF _Toc134304528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AA4F3CA">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"_Toc134304529" </w:instrText>
      </w:r>
      <w:r>
        <w:rPr>
          <w:color w:val="auto"/>
          <w:highlight w:val="none"/>
        </w:rPr>
        <w:fldChar w:fldCharType="separate"/>
      </w:r>
      <w:r>
        <w:rPr>
          <w:rStyle w:val="82"/>
          <w:color w:val="auto"/>
          <w:highlight w:val="none"/>
        </w:rPr>
        <w:t xml:space="preserve">1.6 </w:t>
      </w:r>
      <w:r>
        <w:rPr>
          <w:rStyle w:val="82"/>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_Toc134304529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2C6E531">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"_Toc134304530" </w:instrText>
      </w:r>
      <w:r>
        <w:rPr>
          <w:color w:val="auto"/>
          <w:highlight w:val="none"/>
        </w:rPr>
        <w:fldChar w:fldCharType="separate"/>
      </w:r>
      <w:r>
        <w:rPr>
          <w:rStyle w:val="82"/>
          <w:color w:val="auto"/>
          <w:highlight w:val="none"/>
        </w:rPr>
        <w:t xml:space="preserve">1.7 </w:t>
      </w:r>
      <w:r>
        <w:rPr>
          <w:rStyle w:val="82"/>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_Toc134304530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E0A1AFF">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"_Toc134304531" </w:instrText>
      </w:r>
      <w:r>
        <w:rPr>
          <w:color w:val="auto"/>
          <w:highlight w:val="none"/>
        </w:rPr>
        <w:fldChar w:fldCharType="separate"/>
      </w:r>
      <w:r>
        <w:rPr>
          <w:rStyle w:val="82"/>
          <w:color w:val="auto"/>
          <w:highlight w:val="none"/>
        </w:rPr>
        <w:t xml:space="preserve">1.8 </w:t>
      </w:r>
      <w:r>
        <w:rPr>
          <w:rStyle w:val="82"/>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_Toc134304531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8D29EB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"_Toc134304532" </w:instrText>
      </w:r>
      <w:r>
        <w:rPr>
          <w:color w:val="auto"/>
          <w:highlight w:val="none"/>
        </w:rPr>
        <w:fldChar w:fldCharType="separate"/>
      </w:r>
      <w:r>
        <w:rPr>
          <w:rStyle w:val="82"/>
          <w:color w:val="auto"/>
          <w:highlight w:val="none"/>
        </w:rPr>
        <w:t xml:space="preserve">1.9 </w:t>
      </w:r>
      <w:r>
        <w:rPr>
          <w:rStyle w:val="82"/>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_Toc134304532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A5EDD2D">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"_Toc134304533" </w:instrText>
      </w:r>
      <w:r>
        <w:rPr>
          <w:color w:val="auto"/>
          <w:highlight w:val="none"/>
        </w:rPr>
        <w:fldChar w:fldCharType="separate"/>
      </w:r>
      <w:r>
        <w:rPr>
          <w:rStyle w:val="82"/>
          <w:color w:val="auto"/>
          <w:highlight w:val="none"/>
        </w:rPr>
        <w:t xml:space="preserve">1.10 </w:t>
      </w:r>
      <w:r>
        <w:rPr>
          <w:rStyle w:val="82"/>
          <w:rFonts w:hint="eastAsia"/>
          <w:color w:val="auto"/>
          <w:highlight w:val="none"/>
        </w:rPr>
        <w:t>招标答疑</w:t>
      </w:r>
      <w:r>
        <w:rPr>
          <w:color w:val="auto"/>
          <w:highlight w:val="none"/>
        </w:rPr>
        <w:tab/>
      </w:r>
      <w:r>
        <w:rPr>
          <w:color w:val="auto"/>
          <w:highlight w:val="none"/>
        </w:rPr>
        <w:fldChar w:fldCharType="begin"/>
      </w:r>
      <w:r>
        <w:rPr>
          <w:color w:val="auto"/>
          <w:highlight w:val="none"/>
        </w:rPr>
        <w:instrText xml:space="preserve"> PAGEREF _Toc134304533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432BC08">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"_Toc134304534" </w:instrText>
      </w:r>
      <w:r>
        <w:rPr>
          <w:color w:val="auto"/>
          <w:highlight w:val="none"/>
        </w:rPr>
        <w:fldChar w:fldCharType="separate"/>
      </w:r>
      <w:r>
        <w:rPr>
          <w:rStyle w:val="82"/>
          <w:color w:val="auto"/>
          <w:highlight w:val="none"/>
        </w:rPr>
        <w:t xml:space="preserve">1.11 </w:t>
      </w:r>
      <w:r>
        <w:rPr>
          <w:rStyle w:val="82"/>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_Toc134304534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B2DF3FF">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"_Toc134304535" </w:instrText>
      </w:r>
      <w:r>
        <w:rPr>
          <w:color w:val="auto"/>
          <w:highlight w:val="none"/>
        </w:rPr>
        <w:fldChar w:fldCharType="separate"/>
      </w:r>
      <w:r>
        <w:rPr>
          <w:rStyle w:val="82"/>
          <w:color w:val="auto"/>
          <w:highlight w:val="none"/>
        </w:rPr>
        <w:t xml:space="preserve">1.12 </w:t>
      </w:r>
      <w:r>
        <w:rPr>
          <w:rStyle w:val="82"/>
          <w:rFonts w:hint="eastAsia"/>
          <w:color w:val="auto"/>
          <w:highlight w:val="none"/>
        </w:rPr>
        <w:t>偏离</w:t>
      </w:r>
      <w:r>
        <w:rPr>
          <w:color w:val="auto"/>
          <w:highlight w:val="none"/>
        </w:rPr>
        <w:tab/>
      </w:r>
      <w:r>
        <w:rPr>
          <w:color w:val="auto"/>
          <w:highlight w:val="none"/>
        </w:rPr>
        <w:fldChar w:fldCharType="begin"/>
      </w:r>
      <w:r>
        <w:rPr>
          <w:color w:val="auto"/>
          <w:highlight w:val="none"/>
        </w:rPr>
        <w:instrText xml:space="preserve"> PAGEREF _Toc134304535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8291B47">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"_Toc134304536" </w:instrText>
      </w:r>
      <w:r>
        <w:rPr>
          <w:color w:val="auto"/>
          <w:highlight w:val="none"/>
        </w:rPr>
        <w:fldChar w:fldCharType="separate"/>
      </w:r>
      <w:r>
        <w:rPr>
          <w:rStyle w:val="82"/>
          <w:color w:val="auto"/>
          <w:highlight w:val="none"/>
        </w:rPr>
        <w:t xml:space="preserve">2. </w:t>
      </w:r>
      <w:r>
        <w:rPr>
          <w:rStyle w:val="82"/>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_Toc134304536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D67BCED">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"_Toc134304537" </w:instrText>
      </w:r>
      <w:r>
        <w:rPr>
          <w:color w:val="auto"/>
          <w:highlight w:val="none"/>
        </w:rPr>
        <w:fldChar w:fldCharType="separate"/>
      </w:r>
      <w:r>
        <w:rPr>
          <w:rStyle w:val="82"/>
          <w:color w:val="auto"/>
          <w:highlight w:val="none"/>
        </w:rPr>
        <w:t xml:space="preserve">2.1 </w:t>
      </w:r>
      <w:r>
        <w:rPr>
          <w:rStyle w:val="82"/>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_Toc134304537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F68110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"_Toc134304538" </w:instrText>
      </w:r>
      <w:r>
        <w:rPr>
          <w:color w:val="auto"/>
          <w:highlight w:val="none"/>
        </w:rPr>
        <w:fldChar w:fldCharType="separate"/>
      </w:r>
      <w:r>
        <w:rPr>
          <w:rStyle w:val="82"/>
          <w:color w:val="auto"/>
          <w:highlight w:val="none"/>
        </w:rPr>
        <w:t xml:space="preserve">2.2 </w:t>
      </w:r>
      <w:r>
        <w:rPr>
          <w:rStyle w:val="82"/>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_Toc134304538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9702F21">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"_Toc134304539" </w:instrText>
      </w:r>
      <w:r>
        <w:rPr>
          <w:color w:val="auto"/>
          <w:highlight w:val="none"/>
        </w:rPr>
        <w:fldChar w:fldCharType="separate"/>
      </w:r>
      <w:r>
        <w:rPr>
          <w:rStyle w:val="82"/>
          <w:color w:val="auto"/>
          <w:highlight w:val="none"/>
        </w:rPr>
        <w:t xml:space="preserve">2.3 </w:t>
      </w:r>
      <w:r>
        <w:rPr>
          <w:rStyle w:val="82"/>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_Toc134304539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93DD8C7">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"_Toc134304540" </w:instrText>
      </w:r>
      <w:r>
        <w:rPr>
          <w:color w:val="auto"/>
          <w:highlight w:val="none"/>
        </w:rPr>
        <w:fldChar w:fldCharType="separate"/>
      </w:r>
      <w:r>
        <w:rPr>
          <w:rStyle w:val="82"/>
          <w:color w:val="auto"/>
          <w:highlight w:val="none"/>
        </w:rPr>
        <w:t xml:space="preserve">3. </w:t>
      </w:r>
      <w:r>
        <w:rPr>
          <w:rStyle w:val="82"/>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_Toc134304540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E353625">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"_Toc134304541" </w:instrText>
      </w:r>
      <w:r>
        <w:rPr>
          <w:color w:val="auto"/>
          <w:highlight w:val="none"/>
        </w:rPr>
        <w:fldChar w:fldCharType="separate"/>
      </w:r>
      <w:r>
        <w:rPr>
          <w:rStyle w:val="82"/>
          <w:color w:val="auto"/>
          <w:highlight w:val="none"/>
        </w:rPr>
        <w:t xml:space="preserve">3.1 </w:t>
      </w:r>
      <w:r>
        <w:rPr>
          <w:rStyle w:val="82"/>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_Toc134304541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EE06474">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"_Toc134304542" </w:instrText>
      </w:r>
      <w:r>
        <w:rPr>
          <w:color w:val="auto"/>
          <w:highlight w:val="none"/>
        </w:rPr>
        <w:fldChar w:fldCharType="separate"/>
      </w:r>
      <w:r>
        <w:rPr>
          <w:rStyle w:val="82"/>
          <w:color w:val="auto"/>
          <w:highlight w:val="none"/>
        </w:rPr>
        <w:t xml:space="preserve">3.2 </w:t>
      </w:r>
      <w:r>
        <w:rPr>
          <w:rStyle w:val="82"/>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_Toc134304542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8B94C1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"_Toc134304543" </w:instrText>
      </w:r>
      <w:r>
        <w:rPr>
          <w:color w:val="auto"/>
          <w:highlight w:val="none"/>
        </w:rPr>
        <w:fldChar w:fldCharType="separate"/>
      </w:r>
      <w:r>
        <w:rPr>
          <w:rStyle w:val="82"/>
          <w:color w:val="auto"/>
          <w:highlight w:val="none"/>
        </w:rPr>
        <w:t xml:space="preserve">3.3 </w:t>
      </w:r>
      <w:r>
        <w:rPr>
          <w:rStyle w:val="82"/>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_Toc134304543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82C9AC3">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"_Toc134304544" </w:instrText>
      </w:r>
      <w:r>
        <w:rPr>
          <w:color w:val="auto"/>
          <w:highlight w:val="none"/>
        </w:rPr>
        <w:fldChar w:fldCharType="separate"/>
      </w:r>
      <w:r>
        <w:rPr>
          <w:rStyle w:val="82"/>
          <w:color w:val="auto"/>
          <w:highlight w:val="none"/>
        </w:rPr>
        <w:t xml:space="preserve">3.4 </w:t>
      </w:r>
      <w:r>
        <w:rPr>
          <w:rStyle w:val="8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_Toc134304544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0A9D583">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"_Toc134304545" </w:instrText>
      </w:r>
      <w:r>
        <w:rPr>
          <w:color w:val="auto"/>
          <w:highlight w:val="none"/>
        </w:rPr>
        <w:fldChar w:fldCharType="separate"/>
      </w:r>
      <w:r>
        <w:rPr>
          <w:rStyle w:val="82"/>
          <w:color w:val="auto"/>
          <w:highlight w:val="none"/>
        </w:rPr>
        <w:t xml:space="preserve">3.5 </w:t>
      </w:r>
      <w:r>
        <w:rPr>
          <w:rStyle w:val="82"/>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_Toc134304545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A52B2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"_Toc134304546" </w:instrText>
      </w:r>
      <w:r>
        <w:rPr>
          <w:color w:val="auto"/>
          <w:highlight w:val="none"/>
        </w:rPr>
        <w:fldChar w:fldCharType="separate"/>
      </w:r>
      <w:r>
        <w:rPr>
          <w:rStyle w:val="82"/>
          <w:color w:val="auto"/>
          <w:highlight w:val="none"/>
        </w:rPr>
        <w:t xml:space="preserve">3.6 </w:t>
      </w:r>
      <w:r>
        <w:rPr>
          <w:rStyle w:val="82"/>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_Toc134304546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7E1CD3A">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"_Toc134304547" </w:instrText>
      </w:r>
      <w:r>
        <w:rPr>
          <w:color w:val="auto"/>
          <w:highlight w:val="none"/>
        </w:rPr>
        <w:fldChar w:fldCharType="separate"/>
      </w:r>
      <w:r>
        <w:rPr>
          <w:rStyle w:val="82"/>
          <w:color w:val="auto"/>
          <w:highlight w:val="none"/>
        </w:rPr>
        <w:t xml:space="preserve">3.7 </w:t>
      </w:r>
      <w:r>
        <w:rPr>
          <w:rStyle w:val="82"/>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_Toc134304547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8CC9D0F">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"_Toc134304548" </w:instrText>
      </w:r>
      <w:r>
        <w:rPr>
          <w:color w:val="auto"/>
          <w:highlight w:val="none"/>
        </w:rPr>
        <w:fldChar w:fldCharType="separate"/>
      </w:r>
      <w:r>
        <w:rPr>
          <w:rStyle w:val="82"/>
          <w:color w:val="auto"/>
          <w:highlight w:val="none"/>
        </w:rPr>
        <w:t xml:space="preserve">4. </w:t>
      </w:r>
      <w:r>
        <w:rPr>
          <w:rStyle w:val="82"/>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_Toc134304548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42DE80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"_Toc134304549" </w:instrText>
      </w:r>
      <w:r>
        <w:rPr>
          <w:color w:val="auto"/>
          <w:highlight w:val="none"/>
        </w:rPr>
        <w:fldChar w:fldCharType="separate"/>
      </w:r>
      <w:r>
        <w:rPr>
          <w:rStyle w:val="82"/>
          <w:color w:val="auto"/>
          <w:highlight w:val="none"/>
        </w:rPr>
        <w:t xml:space="preserve">4.1 </w:t>
      </w:r>
      <w:r>
        <w:rPr>
          <w:rStyle w:val="82"/>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_Toc134304549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3C6EF7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"_Toc134304550" </w:instrText>
      </w:r>
      <w:r>
        <w:rPr>
          <w:color w:val="auto"/>
          <w:highlight w:val="none"/>
        </w:rPr>
        <w:fldChar w:fldCharType="separate"/>
      </w:r>
      <w:r>
        <w:rPr>
          <w:rStyle w:val="82"/>
          <w:color w:val="auto"/>
          <w:highlight w:val="none"/>
        </w:rPr>
        <w:t xml:space="preserve">4.2 </w:t>
      </w:r>
      <w:r>
        <w:rPr>
          <w:rStyle w:val="82"/>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_Toc134304550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6924317">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"_Toc134304551" </w:instrText>
      </w:r>
      <w:r>
        <w:rPr>
          <w:color w:val="auto"/>
          <w:highlight w:val="none"/>
        </w:rPr>
        <w:fldChar w:fldCharType="separate"/>
      </w:r>
      <w:r>
        <w:rPr>
          <w:rStyle w:val="82"/>
          <w:color w:val="auto"/>
          <w:highlight w:val="none"/>
        </w:rPr>
        <w:t xml:space="preserve">4.3 </w:t>
      </w:r>
      <w:r>
        <w:rPr>
          <w:rStyle w:val="82"/>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_Toc134304551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478D0BC">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"_Toc134304552" </w:instrText>
      </w:r>
      <w:r>
        <w:rPr>
          <w:color w:val="auto"/>
          <w:highlight w:val="none"/>
        </w:rPr>
        <w:fldChar w:fldCharType="separate"/>
      </w:r>
      <w:r>
        <w:rPr>
          <w:rStyle w:val="82"/>
          <w:color w:val="auto"/>
          <w:highlight w:val="none"/>
        </w:rPr>
        <w:t xml:space="preserve">5. </w:t>
      </w:r>
      <w:r>
        <w:rPr>
          <w:rStyle w:val="82"/>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_Toc134304552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CF15EE3">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"_Toc134304553" </w:instrText>
      </w:r>
      <w:r>
        <w:rPr>
          <w:color w:val="auto"/>
          <w:highlight w:val="none"/>
        </w:rPr>
        <w:fldChar w:fldCharType="separate"/>
      </w:r>
      <w:r>
        <w:rPr>
          <w:rStyle w:val="82"/>
          <w:color w:val="auto"/>
          <w:highlight w:val="none"/>
        </w:rPr>
        <w:t xml:space="preserve">5.1 </w:t>
      </w:r>
      <w:r>
        <w:rPr>
          <w:rStyle w:val="82"/>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_Toc134304553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BFB9763">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"_Toc134304554" </w:instrText>
      </w:r>
      <w:r>
        <w:rPr>
          <w:color w:val="auto"/>
          <w:highlight w:val="none"/>
        </w:rPr>
        <w:fldChar w:fldCharType="separate"/>
      </w:r>
      <w:r>
        <w:rPr>
          <w:rStyle w:val="82"/>
          <w:color w:val="auto"/>
          <w:highlight w:val="none"/>
        </w:rPr>
        <w:t xml:space="preserve">5.2 </w:t>
      </w:r>
      <w:r>
        <w:rPr>
          <w:rStyle w:val="82"/>
          <w:rFonts w:hint="eastAsia"/>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_Toc134304554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EC3BE2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"_Toc134304555" </w:instrText>
      </w:r>
      <w:r>
        <w:rPr>
          <w:color w:val="auto"/>
          <w:highlight w:val="none"/>
        </w:rPr>
        <w:fldChar w:fldCharType="separate"/>
      </w:r>
      <w:r>
        <w:rPr>
          <w:rStyle w:val="82"/>
          <w:color w:val="auto"/>
          <w:highlight w:val="none"/>
        </w:rPr>
        <w:t xml:space="preserve">5.3 </w:t>
      </w:r>
      <w:r>
        <w:rPr>
          <w:rStyle w:val="82"/>
          <w:rFonts w:hint="eastAsia"/>
          <w:color w:val="auto"/>
          <w:highlight w:val="none"/>
        </w:rPr>
        <w:t>开标异议</w:t>
      </w:r>
      <w:r>
        <w:rPr>
          <w:color w:val="auto"/>
          <w:highlight w:val="none"/>
        </w:rPr>
        <w:tab/>
      </w:r>
      <w:r>
        <w:rPr>
          <w:color w:val="auto"/>
          <w:highlight w:val="none"/>
        </w:rPr>
        <w:fldChar w:fldCharType="begin"/>
      </w:r>
      <w:r>
        <w:rPr>
          <w:color w:val="auto"/>
          <w:highlight w:val="none"/>
        </w:rPr>
        <w:instrText xml:space="preserve"> PAGEREF _Toc134304555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607EF86">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"_Toc134304556" </w:instrText>
      </w:r>
      <w:r>
        <w:rPr>
          <w:color w:val="auto"/>
          <w:highlight w:val="none"/>
        </w:rPr>
        <w:fldChar w:fldCharType="separate"/>
      </w:r>
      <w:r>
        <w:rPr>
          <w:rStyle w:val="82"/>
          <w:color w:val="auto"/>
          <w:highlight w:val="none"/>
        </w:rPr>
        <w:t>6.</w:t>
      </w:r>
      <w:r>
        <w:rPr>
          <w:rStyle w:val="82"/>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848B31C">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"_Toc134304557" </w:instrText>
      </w:r>
      <w:r>
        <w:rPr>
          <w:color w:val="auto"/>
          <w:highlight w:val="none"/>
        </w:rPr>
        <w:fldChar w:fldCharType="separate"/>
      </w:r>
      <w:r>
        <w:rPr>
          <w:rStyle w:val="82"/>
          <w:color w:val="auto"/>
          <w:highlight w:val="none"/>
        </w:rPr>
        <w:t xml:space="preserve">6.1 </w:t>
      </w:r>
      <w:r>
        <w:rPr>
          <w:rStyle w:val="82"/>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_Toc134304557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83C36F2">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"_Toc134304558" </w:instrText>
      </w:r>
      <w:r>
        <w:rPr>
          <w:color w:val="auto"/>
          <w:highlight w:val="none"/>
        </w:rPr>
        <w:fldChar w:fldCharType="separate"/>
      </w:r>
      <w:r>
        <w:rPr>
          <w:rStyle w:val="82"/>
          <w:color w:val="auto"/>
          <w:highlight w:val="none"/>
        </w:rPr>
        <w:t xml:space="preserve">6.2 </w:t>
      </w:r>
      <w:r>
        <w:rPr>
          <w:rStyle w:val="82"/>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_Toc134304558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52927C2">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"_Toc134304559" </w:instrText>
      </w:r>
      <w:r>
        <w:rPr>
          <w:color w:val="auto"/>
          <w:highlight w:val="none"/>
        </w:rPr>
        <w:fldChar w:fldCharType="separate"/>
      </w:r>
      <w:r>
        <w:rPr>
          <w:rStyle w:val="82"/>
          <w:color w:val="auto"/>
          <w:highlight w:val="none"/>
        </w:rPr>
        <w:t xml:space="preserve">6.3 </w:t>
      </w:r>
      <w:r>
        <w:rPr>
          <w:rStyle w:val="82"/>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66B45BD">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"_Toc134304560" </w:instrText>
      </w:r>
      <w:r>
        <w:rPr>
          <w:color w:val="auto"/>
          <w:highlight w:val="none"/>
        </w:rPr>
        <w:fldChar w:fldCharType="separate"/>
      </w:r>
      <w:r>
        <w:rPr>
          <w:rStyle w:val="82"/>
          <w:color w:val="auto"/>
          <w:highlight w:val="none"/>
        </w:rPr>
        <w:t xml:space="preserve">7. </w:t>
      </w:r>
      <w:r>
        <w:rPr>
          <w:rStyle w:val="82"/>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_Toc134304560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63C95E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"_Toc134304561" </w:instrText>
      </w:r>
      <w:r>
        <w:rPr>
          <w:color w:val="auto"/>
          <w:highlight w:val="none"/>
        </w:rPr>
        <w:fldChar w:fldCharType="separate"/>
      </w:r>
      <w:r>
        <w:rPr>
          <w:rStyle w:val="82"/>
          <w:color w:val="auto"/>
          <w:highlight w:val="none"/>
        </w:rPr>
        <w:t xml:space="preserve">7.1 </w:t>
      </w:r>
      <w:r>
        <w:rPr>
          <w:rStyle w:val="82"/>
          <w:rFonts w:hint="eastAsia"/>
          <w:color w:val="auto"/>
          <w:highlight w:val="none"/>
        </w:rPr>
        <w:t>定标方式</w:t>
      </w:r>
      <w:r>
        <w:rPr>
          <w:color w:val="auto"/>
          <w:highlight w:val="none"/>
        </w:rPr>
        <w:tab/>
      </w:r>
      <w:r>
        <w:rPr>
          <w:color w:val="auto"/>
          <w:highlight w:val="none"/>
        </w:rPr>
        <w:fldChar w:fldCharType="begin"/>
      </w:r>
      <w:r>
        <w:rPr>
          <w:color w:val="auto"/>
          <w:highlight w:val="none"/>
        </w:rPr>
        <w:instrText xml:space="preserve"> PAGEREF _Toc134304561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7262D84">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"_Toc134304562" </w:instrText>
      </w:r>
      <w:r>
        <w:rPr>
          <w:color w:val="auto"/>
          <w:highlight w:val="none"/>
        </w:rPr>
        <w:fldChar w:fldCharType="separate"/>
      </w:r>
      <w:r>
        <w:rPr>
          <w:rStyle w:val="82"/>
          <w:color w:val="auto"/>
          <w:highlight w:val="none"/>
        </w:rPr>
        <w:t xml:space="preserve">7.2 </w:t>
      </w:r>
      <w:r>
        <w:rPr>
          <w:rStyle w:val="82"/>
          <w:rFonts w:hint="eastAsia"/>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_Toc134304562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10CC257">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"_Toc134304563" </w:instrText>
      </w:r>
      <w:r>
        <w:rPr>
          <w:color w:val="auto"/>
          <w:highlight w:val="none"/>
        </w:rPr>
        <w:fldChar w:fldCharType="separate"/>
      </w:r>
      <w:r>
        <w:rPr>
          <w:rStyle w:val="82"/>
          <w:color w:val="auto"/>
          <w:highlight w:val="none"/>
        </w:rPr>
        <w:t xml:space="preserve">7.3 </w:t>
      </w:r>
      <w:r>
        <w:rPr>
          <w:rStyle w:val="82"/>
          <w:rFonts w:hint="eastAsia"/>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_Toc134304563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816AFDF">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"_Toc134304564" </w:instrText>
      </w:r>
      <w:r>
        <w:rPr>
          <w:color w:val="auto"/>
          <w:highlight w:val="none"/>
        </w:rPr>
        <w:fldChar w:fldCharType="separate"/>
      </w:r>
      <w:r>
        <w:rPr>
          <w:rStyle w:val="82"/>
          <w:color w:val="auto"/>
          <w:highlight w:val="none"/>
        </w:rPr>
        <w:t xml:space="preserve">7.4 </w:t>
      </w:r>
      <w:r>
        <w:rPr>
          <w:rStyle w:val="82"/>
          <w:rFonts w:hint="eastAsia"/>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_Toc134304564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D599B2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"_Toc134304565" </w:instrText>
      </w:r>
      <w:r>
        <w:rPr>
          <w:color w:val="auto"/>
          <w:highlight w:val="none"/>
        </w:rPr>
        <w:fldChar w:fldCharType="separate"/>
      </w:r>
      <w:r>
        <w:rPr>
          <w:rStyle w:val="82"/>
          <w:color w:val="auto"/>
          <w:highlight w:val="none"/>
        </w:rPr>
        <w:t xml:space="preserve">7.5 </w:t>
      </w:r>
      <w:r>
        <w:rPr>
          <w:rStyle w:val="82"/>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_Toc134304565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AC58AC2">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"_Toc134304566" </w:instrText>
      </w:r>
      <w:r>
        <w:rPr>
          <w:color w:val="auto"/>
          <w:highlight w:val="none"/>
        </w:rPr>
        <w:fldChar w:fldCharType="separate"/>
      </w:r>
      <w:r>
        <w:rPr>
          <w:rStyle w:val="82"/>
          <w:color w:val="auto"/>
          <w:highlight w:val="none"/>
        </w:rPr>
        <w:t xml:space="preserve">8. </w:t>
      </w:r>
      <w:r>
        <w:rPr>
          <w:rStyle w:val="82"/>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_Toc134304566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16854C0">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"_Toc134304567" </w:instrText>
      </w:r>
      <w:r>
        <w:rPr>
          <w:color w:val="auto"/>
          <w:highlight w:val="none"/>
        </w:rPr>
        <w:fldChar w:fldCharType="separate"/>
      </w:r>
      <w:r>
        <w:rPr>
          <w:rStyle w:val="82"/>
          <w:color w:val="auto"/>
          <w:highlight w:val="none"/>
        </w:rPr>
        <w:t xml:space="preserve">8.1 </w:t>
      </w:r>
      <w:r>
        <w:rPr>
          <w:rStyle w:val="82"/>
          <w:rFonts w:hint="eastAsia"/>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_Toc134304567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DB5A848">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"_Toc134304568" </w:instrText>
      </w:r>
      <w:r>
        <w:rPr>
          <w:color w:val="auto"/>
          <w:highlight w:val="none"/>
        </w:rPr>
        <w:fldChar w:fldCharType="separate"/>
      </w:r>
      <w:r>
        <w:rPr>
          <w:rStyle w:val="82"/>
          <w:color w:val="auto"/>
          <w:highlight w:val="none"/>
        </w:rPr>
        <w:t xml:space="preserve">8.2 </w:t>
      </w:r>
      <w:r>
        <w:rPr>
          <w:rStyle w:val="82"/>
          <w:rFonts w:hint="eastAsia"/>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_Toc134304568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4D06435">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"_Toc134304569" </w:instrText>
      </w:r>
      <w:r>
        <w:rPr>
          <w:color w:val="auto"/>
          <w:highlight w:val="none"/>
        </w:rPr>
        <w:fldChar w:fldCharType="separate"/>
      </w:r>
      <w:r>
        <w:rPr>
          <w:rStyle w:val="82"/>
          <w:color w:val="auto"/>
          <w:highlight w:val="none"/>
        </w:rPr>
        <w:t xml:space="preserve">8.3 </w:t>
      </w:r>
      <w:r>
        <w:rPr>
          <w:rStyle w:val="82"/>
          <w:rFonts w:hint="eastAsia"/>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_Toc134304569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267A4E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"_Toc134304570" </w:instrText>
      </w:r>
      <w:r>
        <w:rPr>
          <w:color w:val="auto"/>
          <w:highlight w:val="none"/>
        </w:rPr>
        <w:fldChar w:fldCharType="separate"/>
      </w:r>
      <w:r>
        <w:rPr>
          <w:rStyle w:val="82"/>
          <w:color w:val="auto"/>
          <w:highlight w:val="none"/>
        </w:rPr>
        <w:t xml:space="preserve">8.4 </w:t>
      </w:r>
      <w:r>
        <w:rPr>
          <w:rStyle w:val="82"/>
          <w:rFonts w:hint="eastAsia"/>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_Toc134304570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3E587C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"_Toc134304571" </w:instrText>
      </w:r>
      <w:r>
        <w:rPr>
          <w:color w:val="auto"/>
          <w:highlight w:val="none"/>
        </w:rPr>
        <w:fldChar w:fldCharType="separate"/>
      </w:r>
      <w:r>
        <w:rPr>
          <w:rStyle w:val="82"/>
          <w:color w:val="auto"/>
          <w:highlight w:val="none"/>
        </w:rPr>
        <w:t xml:space="preserve">8.5 </w:t>
      </w:r>
      <w:r>
        <w:rPr>
          <w:rStyle w:val="82"/>
          <w:rFonts w:hint="eastAsia"/>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_Toc134304571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2D36618">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"_Toc134304572" </w:instrText>
      </w:r>
      <w:r>
        <w:rPr>
          <w:color w:val="auto"/>
          <w:highlight w:val="none"/>
        </w:rPr>
        <w:fldChar w:fldCharType="separate"/>
      </w:r>
      <w:r>
        <w:rPr>
          <w:rStyle w:val="82"/>
          <w:color w:val="auto"/>
          <w:highlight w:val="none"/>
        </w:rPr>
        <w:t xml:space="preserve">9. </w:t>
      </w:r>
      <w:r>
        <w:rPr>
          <w:rStyle w:val="82"/>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_Toc134304572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01C068C">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"_Toc134304573" </w:instrText>
      </w:r>
      <w:r>
        <w:rPr>
          <w:color w:val="auto"/>
          <w:highlight w:val="none"/>
        </w:rPr>
        <w:fldChar w:fldCharType="separate"/>
      </w:r>
      <w:r>
        <w:rPr>
          <w:rStyle w:val="82"/>
          <w:color w:val="auto"/>
          <w:highlight w:val="none"/>
        </w:rPr>
        <w:t xml:space="preserve">10. </w:t>
      </w:r>
      <w:r>
        <w:rPr>
          <w:rStyle w:val="82"/>
          <w:rFonts w:hint="eastAsia"/>
          <w:color w:val="auto"/>
          <w:highlight w:val="none"/>
        </w:rPr>
        <w:t>电子招标投标</w:t>
      </w:r>
      <w:r>
        <w:rPr>
          <w:color w:val="auto"/>
          <w:highlight w:val="none"/>
        </w:rPr>
        <w:tab/>
      </w:r>
      <w:r>
        <w:rPr>
          <w:color w:val="auto"/>
          <w:highlight w:val="none"/>
        </w:rPr>
        <w:fldChar w:fldCharType="begin"/>
      </w:r>
      <w:r>
        <w:rPr>
          <w:color w:val="auto"/>
          <w:highlight w:val="none"/>
        </w:rPr>
        <w:instrText xml:space="preserve"> PAGEREF _Toc134304573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F0A68AE">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"_Toc134304574" </w:instrText>
      </w:r>
      <w:r>
        <w:rPr>
          <w:color w:val="auto"/>
          <w:highlight w:val="none"/>
        </w:rPr>
        <w:fldChar w:fldCharType="separate"/>
      </w:r>
      <w:r>
        <w:rPr>
          <w:rStyle w:val="82"/>
          <w:rFonts w:hint="eastAsia"/>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_Toc134304574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D77061B">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"_Toc134304575" </w:instrText>
      </w:r>
      <w:r>
        <w:rPr>
          <w:color w:val="auto"/>
          <w:highlight w:val="none"/>
        </w:rPr>
        <w:fldChar w:fldCharType="separate"/>
      </w:r>
      <w:r>
        <w:rPr>
          <w:rStyle w:val="82"/>
          <w:rFonts w:hint="eastAsia"/>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_Toc134304575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33E5CFC">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"_Toc134304576" </w:instrText>
      </w:r>
      <w:r>
        <w:rPr>
          <w:color w:val="auto"/>
          <w:highlight w:val="none"/>
        </w:rPr>
        <w:fldChar w:fldCharType="separate"/>
      </w:r>
      <w:r>
        <w:rPr>
          <w:rStyle w:val="82"/>
          <w:rFonts w:hint="eastAsia" w:ascii="宋体" w:hAnsi="宋体" w:cs="宋体"/>
          <w:color w:val="auto"/>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_Toc134304576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98789B4">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"_Toc134304577" </w:instrText>
      </w:r>
      <w:r>
        <w:rPr>
          <w:color w:val="auto"/>
          <w:highlight w:val="none"/>
        </w:rPr>
        <w:fldChar w:fldCharType="separate"/>
      </w:r>
      <w:r>
        <w:rPr>
          <w:rStyle w:val="82"/>
          <w:rFonts w:hint="eastAsia" w:ascii="宋体" w:hAnsi="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_Toc134304577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F769475">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"_Toc134304578" </w:instrText>
      </w:r>
      <w:r>
        <w:rPr>
          <w:color w:val="auto"/>
          <w:highlight w:val="none"/>
        </w:rPr>
        <w:fldChar w:fldCharType="separate"/>
      </w:r>
      <w:r>
        <w:rPr>
          <w:rStyle w:val="82"/>
          <w:color w:val="auto"/>
          <w:highlight w:val="none"/>
        </w:rPr>
        <w:t xml:space="preserve">1. </w:t>
      </w:r>
      <w:r>
        <w:rPr>
          <w:rStyle w:val="82"/>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_Toc134304578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5953E8A">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"_Toc134304579" </w:instrText>
      </w:r>
      <w:r>
        <w:rPr>
          <w:color w:val="auto"/>
          <w:highlight w:val="none"/>
        </w:rPr>
        <w:fldChar w:fldCharType="separate"/>
      </w:r>
      <w:r>
        <w:rPr>
          <w:rStyle w:val="82"/>
          <w:color w:val="auto"/>
          <w:highlight w:val="none"/>
        </w:rPr>
        <w:t xml:space="preserve">2. </w:t>
      </w:r>
      <w:r>
        <w:rPr>
          <w:rStyle w:val="82"/>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_Toc134304579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7E85C80D">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"_Toc134304580" </w:instrText>
      </w:r>
      <w:r>
        <w:rPr>
          <w:color w:val="auto"/>
          <w:highlight w:val="none"/>
        </w:rPr>
        <w:fldChar w:fldCharType="separate"/>
      </w:r>
      <w:r>
        <w:rPr>
          <w:rStyle w:val="82"/>
          <w:color w:val="auto"/>
          <w:highlight w:val="none"/>
        </w:rPr>
        <w:t xml:space="preserve">2.1 </w:t>
      </w:r>
      <w:r>
        <w:rPr>
          <w:rStyle w:val="82"/>
          <w:rFonts w:hint="eastAsia"/>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_Toc134304580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2D79AF6">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"_Toc134304581" </w:instrText>
      </w:r>
      <w:r>
        <w:rPr>
          <w:color w:val="auto"/>
          <w:highlight w:val="none"/>
        </w:rPr>
        <w:fldChar w:fldCharType="separate"/>
      </w:r>
      <w:r>
        <w:rPr>
          <w:rStyle w:val="82"/>
          <w:color w:val="auto"/>
          <w:highlight w:val="none"/>
        </w:rPr>
        <w:t xml:space="preserve">2.2 </w:t>
      </w:r>
      <w:r>
        <w:rPr>
          <w:rStyle w:val="82"/>
          <w:rFonts w:hint="eastAsia"/>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_Toc134304581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92176D2">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"_Toc134304582" </w:instrText>
      </w:r>
      <w:r>
        <w:rPr>
          <w:color w:val="auto"/>
          <w:highlight w:val="none"/>
        </w:rPr>
        <w:fldChar w:fldCharType="separate"/>
      </w:r>
      <w:r>
        <w:rPr>
          <w:rStyle w:val="82"/>
          <w:color w:val="auto"/>
          <w:highlight w:val="none"/>
        </w:rPr>
        <w:t xml:space="preserve">3. </w:t>
      </w:r>
      <w:r>
        <w:rPr>
          <w:rStyle w:val="82"/>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_Toc134304582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522DD84">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"_Toc134304583" </w:instrText>
      </w:r>
      <w:r>
        <w:rPr>
          <w:color w:val="auto"/>
          <w:highlight w:val="none"/>
        </w:rPr>
        <w:fldChar w:fldCharType="separate"/>
      </w:r>
      <w:r>
        <w:rPr>
          <w:rStyle w:val="82"/>
          <w:color w:val="auto"/>
          <w:highlight w:val="none"/>
        </w:rPr>
        <w:t xml:space="preserve">3.1 </w:t>
      </w:r>
      <w:r>
        <w:rPr>
          <w:rStyle w:val="82"/>
          <w:rFonts w:hint="eastAsia"/>
          <w:color w:val="auto"/>
          <w:highlight w:val="none"/>
        </w:rPr>
        <w:t>形式审查及资格审查（由施工评审组负责）</w:t>
      </w:r>
      <w:r>
        <w:rPr>
          <w:color w:val="auto"/>
          <w:highlight w:val="none"/>
        </w:rPr>
        <w:tab/>
      </w:r>
      <w:r>
        <w:rPr>
          <w:color w:val="auto"/>
          <w:highlight w:val="none"/>
        </w:rPr>
        <w:fldChar w:fldCharType="begin"/>
      </w:r>
      <w:r>
        <w:rPr>
          <w:color w:val="auto"/>
          <w:highlight w:val="none"/>
        </w:rPr>
        <w:instrText xml:space="preserve"> PAGEREF _Toc134304583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1DAB37D4">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"_Toc134304584" </w:instrText>
      </w:r>
      <w:r>
        <w:rPr>
          <w:color w:val="auto"/>
          <w:highlight w:val="none"/>
        </w:rPr>
        <w:fldChar w:fldCharType="separate"/>
      </w:r>
      <w:r>
        <w:rPr>
          <w:rStyle w:val="82"/>
          <w:color w:val="auto"/>
          <w:highlight w:val="none"/>
        </w:rPr>
        <w:t xml:space="preserve">3.2 </w:t>
      </w:r>
      <w:r>
        <w:rPr>
          <w:rStyle w:val="82"/>
          <w:rFonts w:hint="eastAsia"/>
          <w:color w:val="auto"/>
          <w:highlight w:val="none"/>
        </w:rPr>
        <w:t>设计方案评审（由设计评审组负责）</w:t>
      </w:r>
      <w:r>
        <w:rPr>
          <w:color w:val="auto"/>
          <w:highlight w:val="none"/>
        </w:rPr>
        <w:tab/>
      </w:r>
      <w:r>
        <w:rPr>
          <w:color w:val="auto"/>
          <w:highlight w:val="none"/>
        </w:rPr>
        <w:fldChar w:fldCharType="begin"/>
      </w:r>
      <w:r>
        <w:rPr>
          <w:color w:val="auto"/>
          <w:highlight w:val="none"/>
        </w:rPr>
        <w:instrText xml:space="preserve"> PAGEREF _Toc134304584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1A1921D">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"_Toc134304585" </w:instrText>
      </w:r>
      <w:r>
        <w:rPr>
          <w:color w:val="auto"/>
          <w:highlight w:val="none"/>
        </w:rPr>
        <w:fldChar w:fldCharType="separate"/>
      </w:r>
      <w:r>
        <w:rPr>
          <w:rStyle w:val="82"/>
          <w:color w:val="auto"/>
          <w:highlight w:val="none"/>
        </w:rPr>
        <w:t xml:space="preserve">3.3 </w:t>
      </w:r>
      <w:r>
        <w:rPr>
          <w:rStyle w:val="82"/>
          <w:rFonts w:hint="eastAsia"/>
          <w:color w:val="auto"/>
          <w:highlight w:val="none"/>
        </w:rPr>
        <w:t>工程总承包实施方案评审（由施工评审组负责）</w:t>
      </w:r>
      <w:r>
        <w:rPr>
          <w:color w:val="auto"/>
          <w:highlight w:val="none"/>
        </w:rPr>
        <w:tab/>
      </w:r>
      <w:r>
        <w:rPr>
          <w:color w:val="auto"/>
          <w:highlight w:val="none"/>
        </w:rPr>
        <w:fldChar w:fldCharType="begin"/>
      </w:r>
      <w:r>
        <w:rPr>
          <w:color w:val="auto"/>
          <w:highlight w:val="none"/>
        </w:rPr>
        <w:instrText xml:space="preserve"> PAGEREF _Toc134304585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534E88F">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"_Toc134304586" </w:instrText>
      </w:r>
      <w:r>
        <w:rPr>
          <w:color w:val="auto"/>
          <w:highlight w:val="none"/>
        </w:rPr>
        <w:fldChar w:fldCharType="separate"/>
      </w:r>
      <w:r>
        <w:rPr>
          <w:rStyle w:val="82"/>
          <w:color w:val="auto"/>
          <w:highlight w:val="none"/>
        </w:rPr>
        <w:t xml:space="preserve">34 </w:t>
      </w:r>
      <w:r>
        <w:rPr>
          <w:rStyle w:val="82"/>
          <w:rFonts w:hint="eastAsia"/>
          <w:color w:val="auto"/>
          <w:highlight w:val="none"/>
        </w:rPr>
        <w:t>投标报价得分（由施工评审组评委负责）</w:t>
      </w:r>
      <w:r>
        <w:rPr>
          <w:color w:val="auto"/>
          <w:highlight w:val="none"/>
        </w:rPr>
        <w:tab/>
      </w:r>
      <w:r>
        <w:rPr>
          <w:color w:val="auto"/>
          <w:highlight w:val="none"/>
        </w:rPr>
        <w:fldChar w:fldCharType="begin"/>
      </w:r>
      <w:r>
        <w:rPr>
          <w:color w:val="auto"/>
          <w:highlight w:val="none"/>
        </w:rPr>
        <w:instrText xml:space="preserve"> PAGEREF _Toc134304586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26E9DA7">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"_Toc134304587" </w:instrText>
      </w:r>
      <w:r>
        <w:rPr>
          <w:color w:val="auto"/>
          <w:highlight w:val="none"/>
        </w:rPr>
        <w:fldChar w:fldCharType="separate"/>
      </w:r>
      <w:r>
        <w:rPr>
          <w:rStyle w:val="82"/>
          <w:color w:val="auto"/>
          <w:highlight w:val="none"/>
        </w:rPr>
        <w:t xml:space="preserve">3.4 </w:t>
      </w:r>
      <w:r>
        <w:rPr>
          <w:rStyle w:val="82"/>
          <w:rFonts w:hint="eastAsia"/>
          <w:color w:val="auto"/>
          <w:highlight w:val="none"/>
        </w:rPr>
        <w:t>评审汇总（由施工评审组评委负责）</w:t>
      </w:r>
      <w:r>
        <w:rPr>
          <w:color w:val="auto"/>
          <w:highlight w:val="none"/>
        </w:rPr>
        <w:tab/>
      </w:r>
      <w:r>
        <w:rPr>
          <w:color w:val="auto"/>
          <w:highlight w:val="none"/>
        </w:rPr>
        <w:fldChar w:fldCharType="begin"/>
      </w:r>
      <w:r>
        <w:rPr>
          <w:color w:val="auto"/>
          <w:highlight w:val="none"/>
        </w:rPr>
        <w:instrText xml:space="preserve"> PAGEREF _Toc134304587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501CDEB">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"_Toc134304588" </w:instrText>
      </w:r>
      <w:r>
        <w:rPr>
          <w:color w:val="auto"/>
          <w:highlight w:val="none"/>
        </w:rPr>
        <w:fldChar w:fldCharType="separate"/>
      </w:r>
      <w:r>
        <w:rPr>
          <w:rStyle w:val="82"/>
          <w:color w:val="auto"/>
          <w:highlight w:val="none"/>
        </w:rPr>
        <w:t xml:space="preserve">3.5 </w:t>
      </w:r>
      <w:r>
        <w:rPr>
          <w:rStyle w:val="82"/>
          <w:rFonts w:hint="eastAsia"/>
          <w:color w:val="auto"/>
          <w:highlight w:val="none"/>
        </w:rPr>
        <w:t>投标文件的澄清和补正</w:t>
      </w:r>
      <w:r>
        <w:rPr>
          <w:color w:val="auto"/>
          <w:highlight w:val="none"/>
        </w:rPr>
        <w:tab/>
      </w:r>
      <w:r>
        <w:rPr>
          <w:color w:val="auto"/>
          <w:highlight w:val="none"/>
        </w:rPr>
        <w:fldChar w:fldCharType="begin"/>
      </w:r>
      <w:r>
        <w:rPr>
          <w:color w:val="auto"/>
          <w:highlight w:val="none"/>
        </w:rPr>
        <w:instrText xml:space="preserve"> PAGEREF _Toc134304588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6BAFC30">
      <w:pPr>
        <w:pStyle w:val="3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"_Toc134304589" </w:instrText>
      </w:r>
      <w:r>
        <w:rPr>
          <w:color w:val="auto"/>
          <w:highlight w:val="none"/>
        </w:rPr>
        <w:fldChar w:fldCharType="separate"/>
      </w:r>
      <w:r>
        <w:rPr>
          <w:rStyle w:val="82"/>
          <w:color w:val="auto"/>
          <w:highlight w:val="none"/>
        </w:rPr>
        <w:t xml:space="preserve">3.6 </w:t>
      </w:r>
      <w:r>
        <w:rPr>
          <w:rStyle w:val="82"/>
          <w:rFonts w:hint="eastAsia"/>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_Toc134304589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DFC10A1">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"_Toc134304590" </w:instrText>
      </w:r>
      <w:r>
        <w:rPr>
          <w:color w:val="auto"/>
          <w:highlight w:val="none"/>
        </w:rPr>
        <w:fldChar w:fldCharType="separate"/>
      </w:r>
      <w:r>
        <w:rPr>
          <w:rStyle w:val="82"/>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_Toc134304590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868ACF8">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"_Toc134304591" </w:instrText>
      </w:r>
      <w:r>
        <w:rPr>
          <w:color w:val="auto"/>
          <w:highlight w:val="none"/>
        </w:rPr>
        <w:fldChar w:fldCharType="separate"/>
      </w:r>
      <w:r>
        <w:rPr>
          <w:rStyle w:val="82"/>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_Toc134304591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BB751A3">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"_Toc134304592" </w:instrText>
      </w:r>
      <w:r>
        <w:rPr>
          <w:color w:val="auto"/>
          <w:highlight w:val="none"/>
        </w:rPr>
        <w:fldChar w:fldCharType="separate"/>
      </w:r>
      <w:r>
        <w:rPr>
          <w:rStyle w:val="82"/>
          <w:rFonts w:hint="eastAsia"/>
          <w:color w:val="auto"/>
          <w:highlight w:val="none"/>
        </w:rPr>
        <w:t>第五章招标人要求</w:t>
      </w:r>
      <w:r>
        <w:rPr>
          <w:color w:val="auto"/>
          <w:highlight w:val="none"/>
        </w:rPr>
        <w:tab/>
      </w:r>
      <w:r>
        <w:rPr>
          <w:color w:val="auto"/>
          <w:highlight w:val="none"/>
        </w:rPr>
        <w:fldChar w:fldCharType="begin"/>
      </w:r>
      <w:r>
        <w:rPr>
          <w:color w:val="auto"/>
          <w:highlight w:val="none"/>
        </w:rPr>
        <w:instrText xml:space="preserve"> PAGEREF _Toc134304592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14CB6C5">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"_Toc134304593" </w:instrText>
      </w:r>
      <w:r>
        <w:rPr>
          <w:color w:val="auto"/>
          <w:highlight w:val="none"/>
        </w:rPr>
        <w:fldChar w:fldCharType="separate"/>
      </w:r>
      <w:r>
        <w:rPr>
          <w:rStyle w:val="82"/>
          <w:rFonts w:hint="eastAsia"/>
          <w:color w:val="auto"/>
          <w:highlight w:val="none"/>
        </w:rPr>
        <w:t>第六章招标人提供的资料</w:t>
      </w:r>
      <w:r>
        <w:rPr>
          <w:color w:val="auto"/>
          <w:highlight w:val="none"/>
        </w:rPr>
        <w:tab/>
      </w:r>
      <w:r>
        <w:rPr>
          <w:color w:val="auto"/>
          <w:highlight w:val="none"/>
        </w:rPr>
        <w:fldChar w:fldCharType="begin"/>
      </w:r>
      <w:r>
        <w:rPr>
          <w:color w:val="auto"/>
          <w:highlight w:val="none"/>
        </w:rPr>
        <w:instrText xml:space="preserve"> PAGEREF _Toc134304593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23B8F00">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"_Toc134304594" </w:instrText>
      </w:r>
      <w:r>
        <w:rPr>
          <w:color w:val="auto"/>
          <w:highlight w:val="none"/>
        </w:rPr>
        <w:fldChar w:fldCharType="separate"/>
      </w:r>
      <w:r>
        <w:rPr>
          <w:rStyle w:val="82"/>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_Toc134304594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BC10E44">
      <w:pPr>
        <w:pStyle w:val="50"/>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"_Toc134304595" </w:instrText>
      </w:r>
      <w:r>
        <w:rPr>
          <w:color w:val="auto"/>
          <w:highlight w:val="none"/>
        </w:rPr>
        <w:fldChar w:fldCharType="separate"/>
      </w:r>
      <w:r>
        <w:rPr>
          <w:rStyle w:val="82"/>
          <w:rFonts w:hint="eastAsia"/>
          <w:color w:val="auto"/>
          <w:highlight w:val="none"/>
        </w:rPr>
        <w:t>第七章投标文件格式</w:t>
      </w:r>
      <w:r>
        <w:rPr>
          <w:color w:val="auto"/>
          <w:highlight w:val="none"/>
        </w:rPr>
        <w:tab/>
      </w:r>
      <w:r>
        <w:rPr>
          <w:color w:val="auto"/>
          <w:highlight w:val="none"/>
        </w:rPr>
        <w:fldChar w:fldCharType="begin"/>
      </w:r>
      <w:r>
        <w:rPr>
          <w:color w:val="auto"/>
          <w:highlight w:val="none"/>
        </w:rPr>
        <w:instrText xml:space="preserve"> PAGEREF _Toc134304595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19BA477">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"_Toc134304596" </w:instrText>
      </w:r>
      <w:r>
        <w:rPr>
          <w:color w:val="auto"/>
          <w:highlight w:val="none"/>
        </w:rPr>
        <w:fldChar w:fldCharType="separate"/>
      </w:r>
      <w:r>
        <w:rPr>
          <w:rStyle w:val="82"/>
          <w:rFonts w:hint="eastAsia" w:ascii="宋体" w:hAnsi="宋体" w:cs="宋体"/>
          <w:bCs/>
          <w:color w:val="auto"/>
          <w:highlight w:val="none"/>
        </w:rPr>
        <w:t>格式</w:t>
      </w:r>
      <w:r>
        <w:rPr>
          <w:rStyle w:val="82"/>
          <w:rFonts w:ascii="宋体" w:hAnsi="宋体" w:cs="宋体"/>
          <w:bCs/>
          <w:color w:val="auto"/>
          <w:highlight w:val="none"/>
        </w:rPr>
        <w:t>1</w:t>
      </w:r>
      <w:r>
        <w:rPr>
          <w:color w:val="auto"/>
          <w:highlight w:val="none"/>
        </w:rPr>
        <w:tab/>
      </w:r>
      <w:r>
        <w:rPr>
          <w:color w:val="auto"/>
          <w:highlight w:val="none"/>
        </w:rPr>
        <w:fldChar w:fldCharType="begin"/>
      </w:r>
      <w:r>
        <w:rPr>
          <w:color w:val="auto"/>
          <w:highlight w:val="none"/>
        </w:rPr>
        <w:instrText xml:space="preserve"> PAGEREF _Toc134304596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090A80C9">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"_Toc134304597" </w:instrText>
      </w:r>
      <w:r>
        <w:rPr>
          <w:color w:val="auto"/>
          <w:highlight w:val="none"/>
        </w:rPr>
        <w:fldChar w:fldCharType="separate"/>
      </w:r>
      <w:r>
        <w:rPr>
          <w:rStyle w:val="82"/>
          <w:rFonts w:hint="eastAsia" w:ascii="宋体" w:hAnsi="宋体" w:cs="宋体"/>
          <w:bCs/>
          <w:color w:val="auto"/>
          <w:highlight w:val="none"/>
        </w:rPr>
        <w:t>格式</w:t>
      </w:r>
      <w:r>
        <w:rPr>
          <w:rStyle w:val="82"/>
          <w:rFonts w:ascii="宋体" w:hAnsi="宋体" w:cs="宋体"/>
          <w:bCs/>
          <w:color w:val="auto"/>
          <w:highlight w:val="none"/>
        </w:rPr>
        <w:t>2</w:t>
      </w:r>
      <w:r>
        <w:rPr>
          <w:color w:val="auto"/>
          <w:highlight w:val="none"/>
        </w:rPr>
        <w:tab/>
      </w:r>
      <w:r>
        <w:rPr>
          <w:color w:val="auto"/>
          <w:highlight w:val="none"/>
        </w:rPr>
        <w:fldChar w:fldCharType="begin"/>
      </w:r>
      <w:r>
        <w:rPr>
          <w:color w:val="auto"/>
          <w:highlight w:val="none"/>
        </w:rPr>
        <w:instrText xml:space="preserve"> PAGEREF _Toc134304597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15BF90A">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"_Toc134304598" </w:instrText>
      </w:r>
      <w:r>
        <w:rPr>
          <w:color w:val="auto"/>
          <w:highlight w:val="none"/>
        </w:rPr>
        <w:fldChar w:fldCharType="separate"/>
      </w:r>
      <w:r>
        <w:rPr>
          <w:rStyle w:val="82"/>
          <w:rFonts w:hint="eastAsia" w:ascii="宋体" w:hAnsi="宋体" w:cs="宋体"/>
          <w:bCs/>
          <w:color w:val="auto"/>
          <w:highlight w:val="none"/>
        </w:rPr>
        <w:t>格式</w:t>
      </w:r>
      <w:r>
        <w:rPr>
          <w:rStyle w:val="82"/>
          <w:rFonts w:ascii="宋体" w:hAnsi="宋体" w:cs="宋体"/>
          <w:bCs/>
          <w:color w:val="auto"/>
          <w:highlight w:val="none"/>
        </w:rPr>
        <w:t>3</w:t>
      </w:r>
      <w:r>
        <w:rPr>
          <w:color w:val="auto"/>
          <w:highlight w:val="none"/>
        </w:rPr>
        <w:tab/>
      </w:r>
      <w:r>
        <w:rPr>
          <w:color w:val="auto"/>
          <w:highlight w:val="none"/>
        </w:rPr>
        <w:fldChar w:fldCharType="begin"/>
      </w:r>
      <w:r>
        <w:rPr>
          <w:color w:val="auto"/>
          <w:highlight w:val="none"/>
        </w:rPr>
        <w:instrText xml:space="preserve"> PAGEREF _Toc134304598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967737A">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"_Toc134304599" </w:instrText>
      </w:r>
      <w:r>
        <w:rPr>
          <w:color w:val="auto"/>
          <w:highlight w:val="none"/>
        </w:rPr>
        <w:fldChar w:fldCharType="separate"/>
      </w:r>
      <w:r>
        <w:rPr>
          <w:rStyle w:val="82"/>
          <w:rFonts w:hint="eastAsia" w:ascii="宋体" w:hAnsi="宋体" w:cs="宋体"/>
          <w:bCs/>
          <w:color w:val="auto"/>
          <w:highlight w:val="none"/>
        </w:rPr>
        <w:t>格式</w:t>
      </w:r>
      <w:r>
        <w:rPr>
          <w:rStyle w:val="82"/>
          <w:rFonts w:ascii="宋体" w:hAnsi="宋体" w:cs="宋体"/>
          <w:bCs/>
          <w:color w:val="auto"/>
          <w:highlight w:val="none"/>
        </w:rPr>
        <w:t>4</w:t>
      </w:r>
      <w:r>
        <w:rPr>
          <w:color w:val="auto"/>
          <w:highlight w:val="none"/>
        </w:rPr>
        <w:tab/>
      </w:r>
      <w:r>
        <w:rPr>
          <w:color w:val="auto"/>
          <w:highlight w:val="none"/>
        </w:rPr>
        <w:fldChar w:fldCharType="begin"/>
      </w:r>
      <w:r>
        <w:rPr>
          <w:color w:val="auto"/>
          <w:highlight w:val="none"/>
        </w:rPr>
        <w:instrText xml:space="preserve"> PAGEREF _Toc134304599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7C3D520F">
      <w:pPr>
        <w:pStyle w:val="61"/>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"_Toc134304600" </w:instrText>
      </w:r>
      <w:r>
        <w:rPr>
          <w:color w:val="auto"/>
          <w:highlight w:val="none"/>
        </w:rPr>
        <w:fldChar w:fldCharType="separate"/>
      </w:r>
      <w:r>
        <w:rPr>
          <w:rStyle w:val="82"/>
          <w:rFonts w:hint="eastAsia" w:ascii="宋体" w:hAnsi="宋体" w:cs="宋体"/>
          <w:bCs/>
          <w:color w:val="auto"/>
          <w:highlight w:val="none"/>
        </w:rPr>
        <w:t>格式</w:t>
      </w:r>
      <w:r>
        <w:rPr>
          <w:rStyle w:val="82"/>
          <w:rFonts w:ascii="宋体" w:hAnsi="宋体" w:cs="宋体"/>
          <w:bCs/>
          <w:color w:val="auto"/>
          <w:highlight w:val="none"/>
        </w:rPr>
        <w:t>5</w:t>
      </w:r>
      <w:r>
        <w:rPr>
          <w:color w:val="auto"/>
          <w:highlight w:val="none"/>
        </w:rPr>
        <w:tab/>
      </w:r>
      <w:r>
        <w:rPr>
          <w:color w:val="auto"/>
          <w:highlight w:val="none"/>
        </w:rPr>
        <w:fldChar w:fldCharType="begin"/>
      </w:r>
      <w:r>
        <w:rPr>
          <w:color w:val="auto"/>
          <w:highlight w:val="none"/>
        </w:rPr>
        <w:instrText xml:space="preserve"> PAGEREF _Toc134304600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4CC17835">
      <w:pPr>
        <w:ind w:firstLine="420"/>
        <w:rPr>
          <w:color w:val="auto"/>
          <w:highlight w:val="none"/>
        </w:rPr>
      </w:pPr>
      <w:r>
        <w:rPr>
          <w:rFonts w:hint="eastAsia" w:ascii="宋体" w:hAnsi="宋体"/>
          <w:color w:val="auto"/>
          <w:highlight w:val="none"/>
        </w:rPr>
        <w:fldChar w:fldCharType="end"/>
      </w:r>
    </w:p>
    <w:p w14:paraId="34A673C0">
      <w:pPr>
        <w:pStyle w:val="112"/>
        <w:rPr>
          <w:color w:val="auto"/>
          <w:highlight w:val="none"/>
        </w:rPr>
      </w:pPr>
    </w:p>
    <w:p w14:paraId="18645E9C">
      <w:pPr>
        <w:pStyle w:val="112"/>
        <w:rPr>
          <w:color w:val="auto"/>
          <w:highlight w:val="none"/>
        </w:rPr>
        <w:sectPr>
          <w:footerReference r:id="rId4" w:type="default"/>
          <w:pgSz w:w="11906" w:h="16838"/>
          <w:pgMar w:top="1418" w:right="1134" w:bottom="1418" w:left="1134" w:header="851" w:footer="992" w:gutter="0"/>
          <w:pgNumType w:start="1"/>
          <w:cols w:space="720" w:num="1"/>
          <w:docGrid w:type="lines" w:linePitch="312" w:charSpace="0"/>
        </w:sectPr>
      </w:pPr>
    </w:p>
    <w:p w14:paraId="45FD0C8E">
      <w:pPr>
        <w:pStyle w:val="112"/>
        <w:rPr>
          <w:color w:val="auto"/>
          <w:highlight w:val="none"/>
        </w:rPr>
      </w:pPr>
    </w:p>
    <w:p w14:paraId="752163B4">
      <w:pPr>
        <w:pStyle w:val="112"/>
        <w:rPr>
          <w:color w:val="auto"/>
          <w:highlight w:val="none"/>
        </w:rPr>
      </w:pPr>
    </w:p>
    <w:p w14:paraId="426A6139">
      <w:pPr>
        <w:pStyle w:val="112"/>
        <w:rPr>
          <w:color w:val="auto"/>
          <w:highlight w:val="none"/>
        </w:rPr>
      </w:pPr>
    </w:p>
    <w:p w14:paraId="24B9E614">
      <w:pPr>
        <w:pStyle w:val="112"/>
        <w:rPr>
          <w:color w:val="auto"/>
          <w:highlight w:val="none"/>
        </w:rPr>
      </w:pPr>
    </w:p>
    <w:p w14:paraId="395597EE">
      <w:pPr>
        <w:pStyle w:val="3"/>
        <w:rPr>
          <w:color w:val="auto"/>
          <w:highlight w:val="none"/>
        </w:rPr>
      </w:pPr>
      <w:bookmarkStart w:id="11" w:name="_Toc31879"/>
      <w:bookmarkStart w:id="12" w:name="_Toc134304510"/>
      <w:r>
        <w:rPr>
          <w:rFonts w:hint="eastAsia"/>
          <w:color w:val="auto"/>
          <w:highlight w:val="none"/>
        </w:rPr>
        <w:t>第一卷</w:t>
      </w:r>
      <w:bookmarkEnd w:id="6"/>
      <w:bookmarkEnd w:id="7"/>
      <w:bookmarkEnd w:id="11"/>
      <w:bookmarkEnd w:id="12"/>
    </w:p>
    <w:p w14:paraId="1A22A724">
      <w:pPr>
        <w:ind w:firstLine="420"/>
        <w:rPr>
          <w:color w:val="auto"/>
          <w:highlight w:val="none"/>
        </w:rPr>
      </w:pPr>
    </w:p>
    <w:p w14:paraId="3A6E0B38">
      <w:pPr>
        <w:ind w:firstLine="420"/>
        <w:rPr>
          <w:color w:val="auto"/>
          <w:highlight w:val="none"/>
        </w:rPr>
      </w:pPr>
    </w:p>
    <w:p w14:paraId="43EAD432">
      <w:pPr>
        <w:ind w:firstLine="420"/>
        <w:rPr>
          <w:color w:val="auto"/>
          <w:highlight w:val="none"/>
        </w:rPr>
      </w:pPr>
    </w:p>
    <w:p w14:paraId="4C40EBC7">
      <w:pPr>
        <w:ind w:firstLine="420"/>
        <w:rPr>
          <w:color w:val="auto"/>
          <w:highlight w:val="none"/>
        </w:rPr>
      </w:pPr>
    </w:p>
    <w:p w14:paraId="14DD8CC7">
      <w:pPr>
        <w:ind w:firstLine="420"/>
        <w:rPr>
          <w:color w:val="auto"/>
          <w:highlight w:val="none"/>
        </w:rPr>
      </w:pPr>
    </w:p>
    <w:p w14:paraId="61DCE724">
      <w:pPr>
        <w:ind w:firstLine="420"/>
        <w:rPr>
          <w:color w:val="auto"/>
          <w:highlight w:val="none"/>
        </w:rPr>
      </w:pPr>
    </w:p>
    <w:p w14:paraId="6CDE24E3">
      <w:pPr>
        <w:pStyle w:val="3"/>
        <w:rPr>
          <w:color w:val="auto"/>
          <w:highlight w:val="none"/>
        </w:rPr>
      </w:pPr>
      <w:r>
        <w:rPr>
          <w:rFonts w:hint="eastAsia"/>
          <w:color w:val="auto"/>
          <w:highlight w:val="none"/>
        </w:rPr>
        <w:br w:type="page"/>
      </w:r>
      <w:bookmarkStart w:id="13" w:name="_Toc247527534"/>
      <w:bookmarkStart w:id="14" w:name="_Toc29409"/>
      <w:bookmarkStart w:id="15" w:name="_Toc134304511"/>
      <w:bookmarkStart w:id="16" w:name="_Toc247513933"/>
      <w:r>
        <w:rPr>
          <w:rFonts w:hint="eastAsia"/>
          <w:color w:val="auto"/>
          <w:highlight w:val="none"/>
        </w:rPr>
        <w:t>第一章 招标公告</w:t>
      </w:r>
      <w:bookmarkEnd w:id="13"/>
      <w:bookmarkEnd w:id="14"/>
      <w:bookmarkEnd w:id="15"/>
      <w:bookmarkEnd w:id="16"/>
    </w:p>
    <w:bookmarkEnd w:id="8"/>
    <w:bookmarkEnd w:id="9"/>
    <w:bookmarkEnd w:id="10"/>
    <w:p w14:paraId="265D74EF">
      <w:pPr>
        <w:pStyle w:val="3"/>
        <w:rPr>
          <w:color w:val="auto"/>
          <w:highlight w:val="none"/>
        </w:rPr>
      </w:pPr>
      <w:bookmarkStart w:id="17" w:name="_Toc28794"/>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另册</w:t>
      </w:r>
      <w:r>
        <w:rPr>
          <w:rFonts w:hint="eastAsia" w:ascii="宋体" w:hAnsi="宋体" w:cs="宋体"/>
          <w:color w:val="auto"/>
          <w:sz w:val="24"/>
          <w:highlight w:val="none"/>
          <w:lang w:eastAsia="zh-CN"/>
        </w:rPr>
        <w:t>）</w:t>
      </w:r>
      <w:r>
        <w:rPr>
          <w:rFonts w:ascii="宋体" w:hAnsi="宋体" w:cs="宋体"/>
          <w:color w:val="auto"/>
          <w:sz w:val="24"/>
          <w:highlight w:val="none"/>
        </w:rPr>
        <w:br w:type="page"/>
      </w:r>
      <w:bookmarkEnd w:id="17"/>
      <w:bookmarkStart w:id="18" w:name="_Toc16711"/>
      <w:bookmarkStart w:id="19" w:name="_Toc247513950"/>
      <w:bookmarkStart w:id="20" w:name="_Toc144974495"/>
      <w:bookmarkStart w:id="21" w:name="_Toc134304521"/>
      <w:bookmarkStart w:id="22" w:name="_Toc152042303"/>
      <w:bookmarkStart w:id="23" w:name="_Toc152045527"/>
      <w:bookmarkStart w:id="24" w:name="_Toc247527551"/>
      <w:r>
        <w:rPr>
          <w:rFonts w:hint="eastAsia"/>
          <w:color w:val="auto"/>
          <w:highlight w:val="none"/>
        </w:rPr>
        <w:t>第二章 投标人须知</w:t>
      </w:r>
      <w:bookmarkEnd w:id="18"/>
      <w:bookmarkEnd w:id="19"/>
      <w:bookmarkEnd w:id="20"/>
      <w:bookmarkEnd w:id="21"/>
      <w:bookmarkEnd w:id="22"/>
      <w:bookmarkEnd w:id="23"/>
      <w:bookmarkEnd w:id="24"/>
    </w:p>
    <w:p w14:paraId="3B30592D">
      <w:pPr>
        <w:pStyle w:val="2"/>
        <w:jc w:val="center"/>
        <w:rPr>
          <w:color w:val="auto"/>
          <w:highlight w:val="none"/>
        </w:rPr>
      </w:pPr>
      <w:bookmarkStart w:id="25" w:name="_Toc134304522"/>
      <w:bookmarkStart w:id="26" w:name="_Toc247513951"/>
      <w:bookmarkStart w:id="27" w:name="_Toc144974496"/>
      <w:bookmarkStart w:id="28" w:name="_Toc152042304"/>
      <w:bookmarkStart w:id="29" w:name="_Toc152045528"/>
      <w:bookmarkStart w:id="30" w:name="_Toc247527552"/>
      <w:bookmarkStart w:id="31" w:name="_Toc9681"/>
      <w:r>
        <w:rPr>
          <w:rFonts w:hint="eastAsia"/>
          <w:color w:val="auto"/>
          <w:highlight w:val="none"/>
        </w:rPr>
        <w:t>投标人须知前附表</w:t>
      </w:r>
      <w:bookmarkEnd w:id="25"/>
      <w:bookmarkEnd w:id="26"/>
      <w:bookmarkEnd w:id="27"/>
      <w:bookmarkEnd w:id="28"/>
      <w:bookmarkEnd w:id="29"/>
      <w:bookmarkEnd w:id="30"/>
      <w:bookmarkEnd w:id="31"/>
    </w:p>
    <w:tbl>
      <w:tblPr>
        <w:tblStyle w:val="74"/>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1043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vAlign w:val="center"/>
          </w:tcPr>
          <w:p w14:paraId="6C7358AB">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vAlign w:val="center"/>
          </w:tcPr>
          <w:p w14:paraId="7B79D4FF">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vAlign w:val="center"/>
          </w:tcPr>
          <w:p w14:paraId="07AFD901">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6506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vAlign w:val="center"/>
          </w:tcPr>
          <w:p w14:paraId="31BC8EBF">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45" w:type="dxa"/>
            <w:vAlign w:val="center"/>
          </w:tcPr>
          <w:p w14:paraId="3FB5B76C">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vAlign w:val="center"/>
          </w:tcPr>
          <w:p w14:paraId="7FAA0AD8">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中山大学中山眼科中心</w:t>
            </w:r>
          </w:p>
          <w:p w14:paraId="52E77761">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广州市天河区金穗路7号</w:t>
            </w:r>
          </w:p>
          <w:p w14:paraId="66C5E797">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甄老师</w:t>
            </w:r>
          </w:p>
          <w:p w14:paraId="4926DDA0">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020-66648765</w:t>
            </w:r>
          </w:p>
        </w:tc>
      </w:tr>
      <w:tr w14:paraId="2F4E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vAlign w:val="center"/>
          </w:tcPr>
          <w:p w14:paraId="329CB83C">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vAlign w:val="center"/>
          </w:tcPr>
          <w:p w14:paraId="1F8406B6">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vAlign w:val="center"/>
          </w:tcPr>
          <w:p w14:paraId="4513D93E">
            <w:pPr>
              <w:snapToGrid w:val="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广州中经招标有限公司</w:t>
            </w:r>
          </w:p>
          <w:p w14:paraId="615F41BF">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广州市越秀区寺右一马路18号泰恒大厦14楼1409室</w:t>
            </w:r>
          </w:p>
          <w:p w14:paraId="65344DD2">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何工</w:t>
            </w:r>
          </w:p>
          <w:p w14:paraId="16E17E73">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18002215950</w:t>
            </w:r>
          </w:p>
        </w:tc>
      </w:tr>
      <w:tr w14:paraId="7800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9BC72DD">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vAlign w:val="center"/>
          </w:tcPr>
          <w:p w14:paraId="51A66EA9">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659" w:type="dxa"/>
            <w:vAlign w:val="center"/>
          </w:tcPr>
          <w:p w14:paraId="45E56291">
            <w:pPr>
              <w:rPr>
                <w:rFonts w:hint="eastAsia" w:ascii="宋体" w:hAnsi="宋体" w:cs="宋体"/>
                <w:color w:val="auto"/>
                <w:szCs w:val="21"/>
                <w:highlight w:val="none"/>
              </w:rPr>
            </w:pPr>
            <w:r>
              <w:rPr>
                <w:rFonts w:hint="eastAsia" w:ascii="宋体" w:hAnsi="宋体" w:cs="宋体"/>
                <w:color w:val="auto"/>
                <w:szCs w:val="21"/>
                <w:highlight w:val="none"/>
                <w:u w:val="single"/>
              </w:rPr>
              <w:t>中山大学中山眼科中心公共实验平台（区庄院区）细胞培养室与临床病理实验室功能升级设计施工一体化项目</w:t>
            </w:r>
          </w:p>
        </w:tc>
      </w:tr>
      <w:tr w14:paraId="426C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62F12BE">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vAlign w:val="center"/>
          </w:tcPr>
          <w:p w14:paraId="239B8FFC">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659" w:type="dxa"/>
            <w:vAlign w:val="center"/>
          </w:tcPr>
          <w:p w14:paraId="40A3425B">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7047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AD63A63">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vAlign w:val="center"/>
          </w:tcPr>
          <w:p w14:paraId="1AB18255">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vAlign w:val="center"/>
          </w:tcPr>
          <w:p w14:paraId="43E264A9">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77EC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03C71D6">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vAlign w:val="center"/>
          </w:tcPr>
          <w:p w14:paraId="37E33E56">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vAlign w:val="center"/>
          </w:tcPr>
          <w:p w14:paraId="5DEE6074">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5FB2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A9B651E">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vAlign w:val="center"/>
          </w:tcPr>
          <w:p w14:paraId="119A6D0B">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659" w:type="dxa"/>
            <w:vAlign w:val="center"/>
          </w:tcPr>
          <w:p w14:paraId="10E454A7">
            <w:pPr>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1B21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9EF566F">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vAlign w:val="center"/>
          </w:tcPr>
          <w:p w14:paraId="157A12B6">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659" w:type="dxa"/>
            <w:vAlign w:val="center"/>
          </w:tcPr>
          <w:p w14:paraId="3DA3D17B">
            <w:pPr>
              <w:rPr>
                <w:rFonts w:hint="eastAsia" w:ascii="宋体" w:hAnsi="宋体" w:cs="宋体"/>
                <w:color w:val="auto"/>
                <w:szCs w:val="21"/>
                <w:highlight w:val="none"/>
              </w:rPr>
            </w:pPr>
            <w:r>
              <w:rPr>
                <w:rFonts w:hint="eastAsia" w:ascii="宋体" w:hAnsi="宋体" w:cs="宋体"/>
                <w:color w:val="auto"/>
                <w:szCs w:val="21"/>
                <w:highlight w:val="none"/>
              </w:rPr>
              <w:t>总工期</w:t>
            </w:r>
            <w:r>
              <w:rPr>
                <w:rFonts w:hint="eastAsia" w:ascii="宋体" w:hAnsi="宋体" w:cs="宋体"/>
                <w:color w:val="auto"/>
                <w:szCs w:val="21"/>
                <w:highlight w:val="none"/>
                <w:u w:val="single"/>
              </w:rPr>
              <w:t>：240日历天，设计工期30日历天，施工工期为210日历天）（具体开工日期以取得施工许可证或招标人发出的进场通知书之日起计算为准实际开工日期以批准的开工报告为准）</w:t>
            </w:r>
          </w:p>
        </w:tc>
      </w:tr>
      <w:tr w14:paraId="3546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2A8FA5C">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vAlign w:val="center"/>
          </w:tcPr>
          <w:p w14:paraId="577E90FA">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659" w:type="dxa"/>
            <w:vAlign w:val="center"/>
          </w:tcPr>
          <w:p w14:paraId="37145BD8">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设计要求：符合《建设工程质量管理条例》、《建设工程勘察设计管理条例》等国家及地方有关工程设计管理法规和规章，达到国家及行业相关规范技术标准等要求。</w:t>
            </w:r>
          </w:p>
          <w:p w14:paraId="61244D57">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施工要求：符合设计图纸要求和国家、省、市相关法律法规规定要求及行业颁发的工程质量合格标准。</w:t>
            </w:r>
          </w:p>
        </w:tc>
      </w:tr>
      <w:tr w14:paraId="1504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vAlign w:val="center"/>
          </w:tcPr>
          <w:p w14:paraId="13D26655">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vAlign w:val="center"/>
          </w:tcPr>
          <w:p w14:paraId="19F7E14A">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vAlign w:val="center"/>
          </w:tcPr>
          <w:p w14:paraId="0CECD2DD">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0518179E">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 xml:space="preserve">/  </w:t>
            </w:r>
          </w:p>
          <w:p w14:paraId="71D3997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 xml:space="preserve">/  </w:t>
            </w:r>
          </w:p>
          <w:p w14:paraId="0EB445FB">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 xml:space="preserve">/  </w:t>
            </w:r>
          </w:p>
          <w:p w14:paraId="15A386D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 xml:space="preserve">/  </w:t>
            </w:r>
          </w:p>
          <w:p w14:paraId="4FF37962">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项目负责人（兼施工负责人）的资格要求：</w:t>
            </w:r>
            <w:r>
              <w:rPr>
                <w:rFonts w:hint="eastAsia" w:ascii="新宋体" w:hAnsi="新宋体" w:eastAsia="新宋体" w:cs="新宋体"/>
                <w:color w:val="auto"/>
                <w:szCs w:val="21"/>
                <w:highlight w:val="none"/>
                <w:u w:val="single"/>
              </w:rPr>
              <w:t>见招标公告投标人资格要求</w:t>
            </w:r>
          </w:p>
          <w:p w14:paraId="2000DB9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w:t>
            </w:r>
            <w:bookmarkStart w:id="32" w:name="OLE_LINK1"/>
            <w:r>
              <w:rPr>
                <w:rFonts w:hint="eastAsia" w:ascii="新宋体" w:hAnsi="新宋体" w:eastAsia="新宋体" w:cs="新宋体"/>
                <w:color w:val="auto"/>
                <w:szCs w:val="21"/>
                <w:highlight w:val="none"/>
                <w:u w:val="single"/>
              </w:rPr>
              <w:t>招标公告投标人资格要求</w:t>
            </w:r>
            <w:bookmarkEnd w:id="32"/>
          </w:p>
          <w:p w14:paraId="068CEEF1">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037D74D0">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技术负责人资格要求：</w:t>
            </w:r>
            <w:r>
              <w:rPr>
                <w:rFonts w:hint="eastAsia" w:ascii="新宋体" w:hAnsi="新宋体" w:eastAsia="新宋体" w:cs="新宋体"/>
                <w:color w:val="auto"/>
                <w:szCs w:val="21"/>
                <w:highlight w:val="none"/>
                <w:u w:val="single"/>
              </w:rPr>
              <w:t>见招标公告投标人资格要求</w:t>
            </w:r>
          </w:p>
          <w:p w14:paraId="1792773E">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0F7B50D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 xml:space="preserve">/  </w:t>
            </w:r>
          </w:p>
          <w:p w14:paraId="7DEAC0EC">
            <w:pPr>
              <w:rPr>
                <w:rFonts w:hint="eastAsia"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75E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C3F5A58">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vAlign w:val="center"/>
          </w:tcPr>
          <w:p w14:paraId="6838AF75">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vAlign w:val="center"/>
          </w:tcPr>
          <w:p w14:paraId="5D084871">
            <w:pPr>
              <w:pStyle w:val="25"/>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2BBA3BB1">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kern w:val="0"/>
                <w:szCs w:val="21"/>
                <w:highlight w:val="none"/>
                <w:u w:val="single"/>
              </w:rPr>
              <w:t>见本项目招标公告要求</w:t>
            </w:r>
          </w:p>
        </w:tc>
      </w:tr>
      <w:tr w14:paraId="69A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0BD169B">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vAlign w:val="center"/>
          </w:tcPr>
          <w:p w14:paraId="11E01989">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vAlign w:val="center"/>
          </w:tcPr>
          <w:p w14:paraId="63E43305">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3E99F5EF">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补偿，补偿标准：见</w:t>
            </w:r>
            <w:r>
              <w:rPr>
                <w:rFonts w:hint="eastAsia" w:ascii="宋体" w:hAnsi="宋体" w:cs="宋体"/>
                <w:color w:val="auto"/>
                <w:kern w:val="0"/>
                <w:szCs w:val="21"/>
                <w:highlight w:val="none"/>
              </w:rPr>
              <w:t>本项目</w:t>
            </w:r>
            <w:r>
              <w:rPr>
                <w:rFonts w:hint="eastAsia" w:ascii="宋体" w:hAnsi="宋体" w:cs="宋体"/>
                <w:color w:val="auto"/>
                <w:szCs w:val="21"/>
                <w:highlight w:val="none"/>
              </w:rPr>
              <w:t>招标公告</w:t>
            </w:r>
          </w:p>
        </w:tc>
      </w:tr>
      <w:tr w14:paraId="44A6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DBB0D68">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vAlign w:val="center"/>
          </w:tcPr>
          <w:p w14:paraId="34153673">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659" w:type="dxa"/>
            <w:vAlign w:val="center"/>
          </w:tcPr>
          <w:p w14:paraId="48B9514A">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不组织：自行踏勘。</w:t>
            </w:r>
          </w:p>
          <w:p w14:paraId="4FD3936F">
            <w:pPr>
              <w:rPr>
                <w:rFonts w:hint="eastAsia" w:ascii="宋体" w:hAnsi="宋体" w:cs="宋体"/>
                <w:color w:val="auto"/>
                <w:szCs w:val="21"/>
                <w:highlight w:val="none"/>
                <w:u w:val="single"/>
              </w:rPr>
            </w:pPr>
            <w:r>
              <w:rPr>
                <w:rFonts w:hint="eastAsia" w:ascii="宋体" w:hAnsi="宋体" w:cs="宋体"/>
                <w:color w:val="auto"/>
                <w:szCs w:val="21"/>
                <w:highlight w:val="none"/>
              </w:rPr>
              <w:t>□组织，踏勘时间：</w:t>
            </w:r>
          </w:p>
          <w:p w14:paraId="67B81988">
            <w:pPr>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4712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vAlign w:val="center"/>
          </w:tcPr>
          <w:p w14:paraId="30CC0584">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vAlign w:val="center"/>
          </w:tcPr>
          <w:p w14:paraId="526E0342">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659" w:type="dxa"/>
            <w:vAlign w:val="center"/>
          </w:tcPr>
          <w:p w14:paraId="22B3DBFC">
            <w:pPr>
              <w:pStyle w:val="25"/>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3E6DD903">
            <w:pPr>
              <w:widowControl/>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召开，召开时间：另行通知</w:t>
            </w:r>
          </w:p>
          <w:p w14:paraId="73459A66">
            <w:pPr>
              <w:rPr>
                <w:rFonts w:hint="eastAsia" w:ascii="宋体" w:hAnsi="宋体" w:cs="宋体"/>
                <w:color w:val="auto"/>
                <w:szCs w:val="21"/>
                <w:highlight w:val="none"/>
              </w:rPr>
            </w:pPr>
            <w:r>
              <w:rPr>
                <w:rFonts w:hint="eastAsia" w:ascii="宋体" w:hAnsi="宋体" w:cs="宋体"/>
                <w:color w:val="auto"/>
                <w:kern w:val="0"/>
                <w:szCs w:val="21"/>
                <w:highlight w:val="none"/>
              </w:rPr>
              <w:t>召开地点</w:t>
            </w:r>
            <w:r>
              <w:rPr>
                <w:rFonts w:hint="eastAsia" w:ascii="宋体" w:hAnsi="宋体" w:cs="宋体"/>
                <w:color w:val="auto"/>
                <w:szCs w:val="21"/>
                <w:highlight w:val="none"/>
              </w:rPr>
              <w:t>：</w:t>
            </w:r>
          </w:p>
        </w:tc>
      </w:tr>
      <w:tr w14:paraId="612A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D68BF21">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353" w:type="dxa"/>
            <w:gridSpan w:val="2"/>
            <w:vAlign w:val="center"/>
          </w:tcPr>
          <w:p w14:paraId="258EEA16">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659" w:type="dxa"/>
            <w:vAlign w:val="center"/>
          </w:tcPr>
          <w:p w14:paraId="76FDD366">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4F75BCB2">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形式：投标人疑问通过网上提交。</w:t>
            </w:r>
          </w:p>
          <w:p w14:paraId="24042BE3">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具体操作方法详见《建设工程全流程电子化项目操作指南》。</w:t>
            </w:r>
          </w:p>
        </w:tc>
      </w:tr>
      <w:tr w14:paraId="46B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9230EDD">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353" w:type="dxa"/>
            <w:gridSpan w:val="2"/>
            <w:vAlign w:val="center"/>
          </w:tcPr>
          <w:p w14:paraId="60213FA9">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659" w:type="dxa"/>
            <w:vAlign w:val="center"/>
          </w:tcPr>
          <w:p w14:paraId="752121FE">
            <w:pPr>
              <w:rPr>
                <w:rFonts w:hint="eastAsia" w:ascii="宋体" w:hAnsi="宋体" w:cs="宋体"/>
                <w:color w:val="auto"/>
                <w:szCs w:val="21"/>
                <w:highlight w:val="none"/>
              </w:rPr>
            </w:pPr>
            <w:r>
              <w:rPr>
                <w:rFonts w:hint="eastAsia" w:ascii="宋体" w:hAnsi="宋体" w:cs="宋体"/>
                <w:color w:val="auto"/>
                <w:szCs w:val="21"/>
                <w:highlight w:val="none"/>
              </w:rPr>
              <w:t>投标截止时间15天前</w:t>
            </w:r>
          </w:p>
        </w:tc>
      </w:tr>
      <w:tr w14:paraId="5C21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14:paraId="14C23A1E">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vAlign w:val="center"/>
          </w:tcPr>
          <w:p w14:paraId="35E027FA">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vAlign w:val="center"/>
          </w:tcPr>
          <w:p w14:paraId="0EF68CFB">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456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FAC6651">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vAlign w:val="center"/>
          </w:tcPr>
          <w:p w14:paraId="59F851D3">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vAlign w:val="center"/>
          </w:tcPr>
          <w:p w14:paraId="7ABD1505">
            <w:pPr>
              <w:topLinePunct/>
              <w:rPr>
                <w:rFonts w:hint="eastAsia" w:hAnsi="宋体" w:cs="宋体"/>
                <w:color w:val="auto"/>
                <w:szCs w:val="21"/>
                <w:highlight w:val="none"/>
              </w:rPr>
            </w:pPr>
            <w:r>
              <w:rPr>
                <w:rFonts w:hint="eastAsia" w:hAnsi="宋体" w:cs="宋体"/>
                <w:color w:val="auto"/>
                <w:szCs w:val="21"/>
                <w:highlight w:val="none"/>
              </w:rPr>
              <w:t>□不允许</w:t>
            </w:r>
          </w:p>
          <w:p w14:paraId="7A35A235">
            <w:pPr>
              <w:rPr>
                <w:rFonts w:hint="eastAsia" w:ascii="宋体" w:hAnsi="宋体" w:cs="宋体"/>
                <w:color w:val="auto"/>
                <w:szCs w:val="21"/>
                <w:highlight w:val="none"/>
              </w:rPr>
            </w:pPr>
            <w:r>
              <w:rPr>
                <w:rFonts w:hint="eastAsia" w:hAnsi="宋体" w:cs="宋体"/>
                <w:color w:val="auto"/>
                <w:szCs w:val="21"/>
                <w:highlight w:val="none"/>
              </w:rPr>
              <w:t>■允许，</w:t>
            </w:r>
            <w:r>
              <w:rPr>
                <w:rFonts w:hint="eastAsia" w:ascii="宋体" w:hAnsi="宋体" w:cs="宋体"/>
                <w:color w:val="auto"/>
                <w:szCs w:val="21"/>
                <w:highlight w:val="none"/>
              </w:rPr>
              <w:t>对于非主体、非关键性工程，承包人不具备相应资质的，需经招标人审核批准后分包给具有相应资质和能力的专业单位实施，但不得再次分包。</w:t>
            </w:r>
          </w:p>
        </w:tc>
      </w:tr>
      <w:tr w14:paraId="25A9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7AC02FA">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vAlign w:val="center"/>
          </w:tcPr>
          <w:p w14:paraId="64DB4BCB">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5659" w:type="dxa"/>
            <w:vAlign w:val="center"/>
          </w:tcPr>
          <w:p w14:paraId="086663D5">
            <w:pPr>
              <w:pStyle w:val="25"/>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527EFA04">
            <w:pPr>
              <w:pStyle w:val="25"/>
              <w:topLinePunct/>
              <w:rPr>
                <w:rFonts w:hint="eastAsia" w:hAnsi="宋体" w:cs="宋体"/>
                <w:color w:val="auto"/>
                <w:sz w:val="21"/>
                <w:szCs w:val="21"/>
                <w:highlight w:val="none"/>
              </w:rPr>
            </w:pPr>
            <w:r>
              <w:rPr>
                <w:rFonts w:hint="eastAsia" w:hAnsi="宋体" w:cs="宋体"/>
                <w:color w:val="auto"/>
                <w:sz w:val="21"/>
                <w:szCs w:val="21"/>
                <w:highlight w:val="none"/>
              </w:rPr>
              <w:t>□允许，允许偏离的内容、偏离范围和幅度：</w:t>
            </w:r>
          </w:p>
        </w:tc>
      </w:tr>
      <w:tr w14:paraId="65A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A2844B5">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vAlign w:val="center"/>
          </w:tcPr>
          <w:p w14:paraId="7845CE5A">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vAlign w:val="center"/>
          </w:tcPr>
          <w:p w14:paraId="6FAC4B83">
            <w:pPr>
              <w:rPr>
                <w:rFonts w:hint="eastAsia" w:ascii="宋体" w:hAnsi="宋体" w:cs="宋体"/>
                <w:color w:val="auto"/>
                <w:szCs w:val="21"/>
                <w:highlight w:val="none"/>
              </w:rPr>
            </w:pPr>
            <w:r>
              <w:rPr>
                <w:rFonts w:hint="eastAsia" w:ascii="宋体" w:hAnsi="宋体" w:cs="宋体"/>
                <w:color w:val="auto"/>
                <w:szCs w:val="21"/>
                <w:highlight w:val="none"/>
              </w:rPr>
              <w:t>设计任务书、</w:t>
            </w:r>
            <w:r>
              <w:rPr>
                <w:rFonts w:hint="eastAsia" w:ascii="宋体" w:hAnsi="宋体" w:cs="宋体"/>
                <w:color w:val="auto"/>
                <w:kern w:val="0"/>
                <w:szCs w:val="21"/>
                <w:highlight w:val="none"/>
              </w:rPr>
              <w:t>答疑纪要、澄清文件等（如有）</w:t>
            </w:r>
          </w:p>
        </w:tc>
      </w:tr>
      <w:tr w14:paraId="7A7E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2C61824">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vAlign w:val="center"/>
          </w:tcPr>
          <w:p w14:paraId="31DD13CD">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vAlign w:val="center"/>
          </w:tcPr>
          <w:p w14:paraId="642FE878">
            <w:pPr>
              <w:rPr>
                <w:rFonts w:hint="eastAsia" w:ascii="宋体" w:hAnsi="宋体" w:cs="宋体"/>
                <w:color w:val="auto"/>
                <w:szCs w:val="21"/>
                <w:highlight w:val="none"/>
              </w:rPr>
            </w:pPr>
            <w:r>
              <w:rPr>
                <w:rFonts w:hint="eastAsia" w:ascii="宋体" w:hAnsi="宋体" w:cs="宋体"/>
                <w:color w:val="auto"/>
                <w:szCs w:val="21"/>
                <w:highlight w:val="none"/>
              </w:rPr>
              <w:t>同投标人提出问题的截止时间</w:t>
            </w:r>
          </w:p>
        </w:tc>
      </w:tr>
      <w:tr w14:paraId="680D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14:paraId="238D569D">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vAlign w:val="center"/>
          </w:tcPr>
          <w:p w14:paraId="0B7771CC">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vAlign w:val="center"/>
          </w:tcPr>
          <w:p w14:paraId="0DED11A2">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62BC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AD2CB41">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vAlign w:val="center"/>
          </w:tcPr>
          <w:p w14:paraId="007E2FFD">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vAlign w:val="center"/>
          </w:tcPr>
          <w:p w14:paraId="6F634282">
            <w:pPr>
              <w:rPr>
                <w:rFonts w:hint="eastAsia" w:ascii="宋体" w:hAnsi="宋体" w:cs="宋体"/>
                <w:color w:val="auto"/>
                <w:szCs w:val="21"/>
                <w:highlight w:val="none"/>
              </w:rPr>
            </w:pPr>
            <w:r>
              <w:rPr>
                <w:rFonts w:hint="eastAsia" w:ascii="宋体" w:hAnsi="宋体" w:cs="宋体"/>
                <w:color w:val="auto"/>
                <w:szCs w:val="21"/>
                <w:highlight w:val="none"/>
              </w:rPr>
              <w:t>招标文件澄清在交易平台网站通过项目答疑专区网上公开发布，发出即视作收到，以交易平台网站发布时间作为送达时间。无需投标人确认。投标人应自行关注，招标人不再一一通知。</w:t>
            </w:r>
          </w:p>
        </w:tc>
      </w:tr>
      <w:tr w14:paraId="70BB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269C253">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vAlign w:val="center"/>
          </w:tcPr>
          <w:p w14:paraId="507EAA70">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vAlign w:val="center"/>
          </w:tcPr>
          <w:p w14:paraId="02C7DF90">
            <w:pPr>
              <w:rPr>
                <w:rFonts w:hint="eastAsia" w:ascii="宋体" w:hAnsi="宋体" w:cs="宋体"/>
                <w:color w:val="auto"/>
                <w:szCs w:val="21"/>
                <w:highlight w:val="none"/>
              </w:rPr>
            </w:pPr>
            <w:r>
              <w:rPr>
                <w:rFonts w:hint="eastAsia" w:ascii="宋体" w:hAnsi="宋体" w:cs="宋体"/>
                <w:color w:val="auto"/>
                <w:szCs w:val="21"/>
                <w:highlight w:val="none"/>
              </w:rPr>
              <w:t>招标文件修改（或补充公告）一经在交易平台网站发布，视作已发放给所有投标人，以交易平台网站发布时间作为送达时间。无需投标人确认。投标人应自行关注，招标人不再一一通知。</w:t>
            </w:r>
          </w:p>
        </w:tc>
      </w:tr>
      <w:tr w14:paraId="2A12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F9DE863">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vAlign w:val="center"/>
          </w:tcPr>
          <w:p w14:paraId="0A5A9D47">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vAlign w:val="center"/>
          </w:tcPr>
          <w:p w14:paraId="275101F9">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284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restart"/>
            <w:vAlign w:val="center"/>
          </w:tcPr>
          <w:p w14:paraId="385143A7">
            <w:pPr>
              <w:jc w:val="center"/>
              <w:rPr>
                <w:rFonts w:hint="eastAsia" w:ascii="宋体" w:hAnsi="宋体" w:cs="宋体"/>
                <w:color w:val="auto"/>
                <w:highlight w:val="none"/>
              </w:rPr>
            </w:pPr>
            <w:r>
              <w:rPr>
                <w:rFonts w:hint="eastAsia" w:ascii="宋体" w:hAnsi="宋体" w:cs="宋体"/>
                <w:color w:val="auto"/>
                <w:highlight w:val="none"/>
              </w:rPr>
              <w:t>3.2.4</w:t>
            </w:r>
          </w:p>
          <w:p w14:paraId="1591067F">
            <w:pPr>
              <w:jc w:val="center"/>
              <w:rPr>
                <w:rFonts w:hint="eastAsia" w:ascii="宋体" w:hAnsi="宋体" w:cs="宋体"/>
                <w:color w:val="auto"/>
                <w:szCs w:val="21"/>
                <w:highlight w:val="none"/>
              </w:rPr>
            </w:pPr>
          </w:p>
        </w:tc>
        <w:tc>
          <w:tcPr>
            <w:tcW w:w="2353" w:type="dxa"/>
            <w:gridSpan w:val="2"/>
            <w:vAlign w:val="center"/>
          </w:tcPr>
          <w:p w14:paraId="19F369DE">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vAlign w:val="center"/>
          </w:tcPr>
          <w:p w14:paraId="7FC5B637">
            <w:pPr>
              <w:rPr>
                <w:rFonts w:hint="eastAsia" w:ascii="宋体" w:hAnsi="宋体" w:cs="宋体"/>
                <w:color w:val="auto"/>
                <w:szCs w:val="21"/>
                <w:highlight w:val="none"/>
              </w:rPr>
            </w:pPr>
            <w:r>
              <w:rPr>
                <w:rFonts w:hint="eastAsia" w:ascii="宋体" w:hAnsi="宋体" w:cs="宋体"/>
                <w:color w:val="auto"/>
                <w:szCs w:val="21"/>
                <w:highlight w:val="none"/>
              </w:rPr>
              <w:t>本次招标最高投标限价为人民币788.76万元。（</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费用：758万元；设计费用：30.76万元）</w:t>
            </w:r>
          </w:p>
          <w:p w14:paraId="65AD7A1B">
            <w:pPr>
              <w:rPr>
                <w:rFonts w:hint="eastAsia" w:ascii="宋体" w:hAnsi="宋体" w:cs="宋体"/>
                <w:color w:val="auto"/>
                <w:szCs w:val="21"/>
                <w:highlight w:val="none"/>
              </w:rPr>
            </w:pPr>
            <w:r>
              <w:rPr>
                <w:rFonts w:hint="eastAsia" w:ascii="宋体" w:hAnsi="宋体" w:cs="宋体"/>
                <w:color w:val="auto"/>
                <w:szCs w:val="21"/>
                <w:highlight w:val="none"/>
              </w:rPr>
              <w:t>备注：投标人的投标总价或设计费或建设费超过上述最高投标限价的为无效标。评标委员会应当否决投标报价超过上述任一对应的最高投标限价的投标文件。</w:t>
            </w:r>
          </w:p>
        </w:tc>
      </w:tr>
      <w:tr w14:paraId="2BC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continue"/>
            <w:vAlign w:val="center"/>
          </w:tcPr>
          <w:p w14:paraId="59E1E046">
            <w:pPr>
              <w:jc w:val="center"/>
              <w:rPr>
                <w:rFonts w:hint="eastAsia" w:ascii="宋体" w:hAnsi="宋体" w:cs="宋体"/>
                <w:color w:val="auto"/>
                <w:szCs w:val="21"/>
                <w:highlight w:val="none"/>
              </w:rPr>
            </w:pPr>
          </w:p>
        </w:tc>
        <w:tc>
          <w:tcPr>
            <w:tcW w:w="2353" w:type="dxa"/>
            <w:gridSpan w:val="2"/>
            <w:vAlign w:val="center"/>
          </w:tcPr>
          <w:p w14:paraId="77C04019">
            <w:pPr>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659" w:type="dxa"/>
            <w:vAlign w:val="center"/>
          </w:tcPr>
          <w:p w14:paraId="3975D1C0">
            <w:pPr>
              <w:rPr>
                <w:color w:val="auto"/>
                <w:highlight w:val="none"/>
              </w:rPr>
            </w:pPr>
            <w:r>
              <w:rPr>
                <w:rFonts w:hint="eastAsia" w:ascii="宋体" w:hAnsi="宋体" w:cs="宋体"/>
                <w:color w:val="auto"/>
                <w:szCs w:val="21"/>
                <w:highlight w:val="none"/>
              </w:rPr>
              <w:t>工程成本警戒价为（含税）￥7098840.00元（最高投标总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C63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C377A0A">
            <w:pPr>
              <w:jc w:val="center"/>
              <w:rPr>
                <w:rFonts w:hint="eastAsia" w:ascii="宋体" w:hAnsi="宋体" w:cs="宋体"/>
                <w:color w:val="auto"/>
                <w:highlight w:val="none"/>
              </w:rPr>
            </w:pPr>
            <w:r>
              <w:rPr>
                <w:rFonts w:hint="eastAsia" w:ascii="宋体" w:hAnsi="宋体" w:cs="宋体"/>
                <w:color w:val="auto"/>
                <w:highlight w:val="none"/>
              </w:rPr>
              <w:t>3.2.5</w:t>
            </w:r>
          </w:p>
        </w:tc>
        <w:tc>
          <w:tcPr>
            <w:tcW w:w="2353" w:type="dxa"/>
            <w:gridSpan w:val="2"/>
            <w:vAlign w:val="center"/>
          </w:tcPr>
          <w:p w14:paraId="7457CE96">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vAlign w:val="center"/>
          </w:tcPr>
          <w:p w14:paraId="680061CB">
            <w:pPr>
              <w:rPr>
                <w:rFonts w:hint="eastAsia" w:ascii="宋体" w:hAnsi="宋体" w:cs="宋体"/>
                <w:color w:val="auto"/>
                <w:highlight w:val="none"/>
              </w:rPr>
            </w:pPr>
            <w:r>
              <w:rPr>
                <w:rFonts w:hint="eastAsia" w:ascii="宋体" w:hAnsi="宋体" w:cs="宋体"/>
                <w:color w:val="auto"/>
                <w:szCs w:val="21"/>
                <w:highlight w:val="none"/>
              </w:rPr>
              <w:t>投标人必须详细审阅全部招标文件，充分考虑职责和义务，</w:t>
            </w:r>
            <w:r>
              <w:rPr>
                <w:rFonts w:hint="eastAsia" w:ascii="宋体" w:hAnsi="宋体" w:cs="宋体"/>
                <w:color w:val="auto"/>
                <w:highlight w:val="none"/>
              </w:rPr>
              <w:t>全面地理解招标文件对投标报价的要求，并按招标人提出的条件及内容进行报价。</w:t>
            </w:r>
          </w:p>
          <w:p w14:paraId="7581FB9E">
            <w:pPr>
              <w:rPr>
                <w:rFonts w:hint="eastAsia" w:ascii="宋体" w:hAnsi="宋体" w:cs="宋体"/>
                <w:color w:val="auto"/>
                <w:highlight w:val="none"/>
              </w:rPr>
            </w:pPr>
            <w:r>
              <w:rPr>
                <w:rFonts w:hint="eastAsia" w:ascii="宋体" w:hAnsi="宋体" w:cs="宋体"/>
                <w:color w:val="auto"/>
                <w:highlight w:val="none"/>
              </w:rPr>
              <w:t>投标报价由设计费、建安工程费报价组成。本项目设计、建安工程费投标报价同时采用投标下浮率报价和数值报价方式，最终按实结算。投标人对设计费投标报价、建安工程费投标报价只能报一个投标报价和投标下浮率报价，小数点后保留第二位小数，第三位小数四舍五入。如投标下浮率和各分项投标报价不一致时，以投标下浮率报价为准，评标委员会有权对各分项投标报价进行修正。</w:t>
            </w:r>
          </w:p>
          <w:p w14:paraId="00E83956">
            <w:pPr>
              <w:rPr>
                <w:rFonts w:hint="eastAsia" w:ascii="宋体" w:hAnsi="宋体" w:cs="宋体"/>
                <w:color w:val="auto"/>
                <w:highlight w:val="none"/>
              </w:rPr>
            </w:pPr>
            <w:r>
              <w:rPr>
                <w:rFonts w:hint="eastAsia" w:ascii="宋体" w:hAnsi="宋体" w:cs="宋体"/>
                <w:color w:val="auto"/>
                <w:highlight w:val="none"/>
              </w:rPr>
              <w:t>其中：</w:t>
            </w:r>
          </w:p>
          <w:p w14:paraId="1578A44B">
            <w:pPr>
              <w:rPr>
                <w:rFonts w:hint="eastAsia" w:ascii="宋体" w:hAnsi="宋体" w:cs="宋体"/>
                <w:color w:val="auto"/>
                <w:highlight w:val="none"/>
              </w:rPr>
            </w:pPr>
            <w:r>
              <w:rPr>
                <w:rFonts w:hint="eastAsia" w:ascii="宋体" w:hAnsi="宋体" w:cs="宋体"/>
                <w:color w:val="auto"/>
                <w:highlight w:val="none"/>
              </w:rPr>
              <w:t>1、设计费：投标报价不得高于设计费最高投标限价，由投标人根据招标文件要求以及企业自身情况，填报投标报价和投标下浮率，采用固定总价包干方式计价。结算按照投标下浮率计算，具体以合同相关约定为准；</w:t>
            </w:r>
          </w:p>
          <w:p w14:paraId="372C335D">
            <w:pPr>
              <w:rPr>
                <w:rFonts w:hint="eastAsia" w:ascii="宋体" w:hAnsi="宋体" w:cs="宋体"/>
                <w:color w:val="auto"/>
                <w:highlight w:val="none"/>
              </w:rPr>
            </w:pPr>
            <w:r>
              <w:rPr>
                <w:rFonts w:hint="eastAsia" w:ascii="宋体" w:hAnsi="宋体" w:cs="宋体"/>
                <w:color w:val="auto"/>
                <w:highlight w:val="none"/>
              </w:rPr>
              <w:t>2、建安工程费：投标报价不得高于施工费最高投标限价，由投标人根据招标文件要求以及企业自身情况，填报投标报价和投标下浮率；结算按照投标下浮率计算，具体以合同相关约定为准；</w:t>
            </w:r>
          </w:p>
          <w:p w14:paraId="7EB9719F">
            <w:pPr>
              <w:jc w:val="left"/>
              <w:rPr>
                <w:rFonts w:hint="eastAsia" w:ascii="宋体" w:hAnsi="宋体" w:cs="宋体"/>
                <w:color w:val="auto"/>
                <w:szCs w:val="21"/>
                <w:highlight w:val="none"/>
              </w:rPr>
            </w:pPr>
            <w:r>
              <w:rPr>
                <w:rFonts w:hint="eastAsia" w:ascii="宋体" w:hAnsi="宋体" w:cs="宋体"/>
                <w:color w:val="auto"/>
                <w:highlight w:val="none"/>
              </w:rPr>
              <w:t>中标的总价仅为暂定合同价，中标总价不作为竣工结算的依据，可作为拨付工程进度款的依据。本项目施工图审查通过后，根据最终确认的施工图纸，由中标人编制概算、预算。其中，经第三方咨询机构审定概算、预算，并经有权审核的部门审批通过后，按投标下浮率及合同约定的方法，得出合同价格清单，以此合同价格清单作为进度款支付和结算的依据。施工费结算原则以合同约定为准。</w:t>
            </w:r>
          </w:p>
        </w:tc>
      </w:tr>
      <w:tr w14:paraId="4FC5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82C7E04">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vAlign w:val="center"/>
          </w:tcPr>
          <w:p w14:paraId="79BDB3C9">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9" w:type="dxa"/>
            <w:vAlign w:val="center"/>
          </w:tcPr>
          <w:p w14:paraId="09B89018">
            <w:pPr>
              <w:rPr>
                <w:rFonts w:hint="eastAsia" w:ascii="宋体" w:hAnsi="宋体" w:cs="宋体"/>
                <w:color w:val="auto"/>
                <w:kern w:val="0"/>
                <w:szCs w:val="21"/>
                <w:highlight w:val="none"/>
              </w:rPr>
            </w:pPr>
            <w:r>
              <w:rPr>
                <w:rFonts w:hint="eastAsia" w:ascii="宋体" w:hAnsi="宋体" w:cs="宋体"/>
                <w:color w:val="auto"/>
                <w:kern w:val="0"/>
                <w:szCs w:val="21"/>
                <w:highlight w:val="none"/>
              </w:rPr>
              <w:t>120日历天</w:t>
            </w:r>
          </w:p>
        </w:tc>
      </w:tr>
      <w:tr w14:paraId="6B04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E13F81F">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vAlign w:val="center"/>
          </w:tcPr>
          <w:p w14:paraId="692DFCCF">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59" w:type="dxa"/>
            <w:vAlign w:val="center"/>
          </w:tcPr>
          <w:p w14:paraId="384FD047">
            <w:pPr>
              <w:rPr>
                <w:rFonts w:hint="eastAsia" w:ascii="宋体" w:hAnsi="宋体" w:cs="宋体"/>
                <w:color w:val="auto"/>
                <w:kern w:val="0"/>
                <w:szCs w:val="21"/>
                <w:highlight w:val="none"/>
              </w:rPr>
            </w:pPr>
            <w:r>
              <w:rPr>
                <w:rFonts w:hint="eastAsia" w:ascii="宋体" w:hAnsi="宋体" w:cs="宋体"/>
                <w:color w:val="auto"/>
                <w:kern w:val="0"/>
                <w:szCs w:val="21"/>
                <w:highlight w:val="none"/>
              </w:rPr>
              <w:t>是否要求投标人递交投标保证金：</w:t>
            </w:r>
          </w:p>
          <w:p w14:paraId="30BF9C38">
            <w:pPr>
              <w:rPr>
                <w:rFonts w:hint="eastAsia" w:ascii="宋体" w:hAnsi="宋体" w:cs="宋体"/>
                <w:color w:val="auto"/>
                <w:kern w:val="0"/>
                <w:szCs w:val="21"/>
                <w:highlight w:val="none"/>
              </w:rPr>
            </w:pPr>
            <w:r>
              <w:rPr>
                <w:rFonts w:hint="eastAsia" w:ascii="宋体" w:hAnsi="宋体" w:cs="宋体"/>
                <w:color w:val="auto"/>
                <w:kern w:val="0"/>
                <w:szCs w:val="21"/>
                <w:highlight w:val="none"/>
              </w:rPr>
              <w:t>□要求，投标保证金的金额：</w:t>
            </w:r>
          </w:p>
          <w:p w14:paraId="7700CD4F">
            <w:pPr>
              <w:rPr>
                <w:rFonts w:hint="eastAsia" w:ascii="宋体" w:hAnsi="宋体" w:cs="宋体"/>
                <w:color w:val="auto"/>
                <w:kern w:val="0"/>
                <w:szCs w:val="21"/>
                <w:highlight w:val="none"/>
              </w:rPr>
            </w:pPr>
            <w:r>
              <w:rPr>
                <w:rFonts w:hint="eastAsia" w:ascii="宋体" w:hAnsi="宋体" w:cs="宋体"/>
                <w:color w:val="auto"/>
                <w:kern w:val="0"/>
                <w:szCs w:val="21"/>
                <w:highlight w:val="none"/>
              </w:rPr>
              <w:t>■不要求。</w:t>
            </w:r>
          </w:p>
        </w:tc>
      </w:tr>
      <w:tr w14:paraId="3929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94888C9">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vAlign w:val="center"/>
          </w:tcPr>
          <w:p w14:paraId="55A0D728">
            <w:pPr>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vAlign w:val="center"/>
          </w:tcPr>
          <w:p w14:paraId="40F2120C">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6EE3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4E3F27E">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vAlign w:val="center"/>
          </w:tcPr>
          <w:p w14:paraId="5D0CF2CC">
            <w:pPr>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vAlign w:val="center"/>
          </w:tcPr>
          <w:p w14:paraId="5F9FF34C">
            <w:pPr>
              <w:rPr>
                <w:rFonts w:hint="eastAsia" w:ascii="宋体" w:hAnsi="宋体" w:cs="宋体"/>
                <w:color w:val="auto"/>
                <w:szCs w:val="21"/>
                <w:highlight w:val="none"/>
              </w:rPr>
            </w:pPr>
            <w:r>
              <w:rPr>
                <w:rFonts w:hint="eastAsia" w:ascii="宋体" w:hAnsi="宋体" w:cs="宋体"/>
                <w:color w:val="auto"/>
                <w:szCs w:val="21"/>
                <w:highlight w:val="none"/>
                <w:u w:val="single"/>
              </w:rPr>
              <w:t>见招标公告投标人资格要求</w:t>
            </w:r>
          </w:p>
        </w:tc>
      </w:tr>
      <w:tr w14:paraId="123E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328B6FD">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vAlign w:val="center"/>
          </w:tcPr>
          <w:p w14:paraId="326511AE">
            <w:pPr>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vAlign w:val="center"/>
          </w:tcPr>
          <w:p w14:paraId="3EAF0B11">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030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CAE6BCB">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vAlign w:val="center"/>
          </w:tcPr>
          <w:p w14:paraId="0E144C94">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vAlign w:val="center"/>
          </w:tcPr>
          <w:p w14:paraId="7ED5F9AD">
            <w:pPr>
              <w:pStyle w:val="25"/>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2E636730">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w:t>
            </w:r>
          </w:p>
        </w:tc>
      </w:tr>
      <w:tr w14:paraId="42F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50604E0">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vAlign w:val="center"/>
          </w:tcPr>
          <w:p w14:paraId="10A0661A">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vAlign w:val="center"/>
          </w:tcPr>
          <w:p w14:paraId="6DA203CC">
            <w:pPr>
              <w:rPr>
                <w:rFonts w:hint="eastAsia" w:ascii="宋体" w:hAnsi="宋体" w:cs="宋体"/>
                <w:color w:val="auto"/>
                <w:szCs w:val="21"/>
                <w:highlight w:val="none"/>
              </w:rPr>
            </w:pPr>
            <w:r>
              <w:rPr>
                <w:rFonts w:hint="eastAsia" w:ascii="宋体" w:hAnsi="宋体" w:cs="宋体"/>
                <w:color w:val="auto"/>
                <w:szCs w:val="21"/>
                <w:highlight w:val="none"/>
                <w:u w:val="single"/>
              </w:rPr>
              <w:t>投标人（若为联合体投标，指联合体主办方）采用单位数字证书，按招标文件要求在相应位置加盖电子印章。投标文件中需个人签字或盖章的，应手签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32E4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24B6205">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vAlign w:val="center"/>
          </w:tcPr>
          <w:p w14:paraId="296CD9C7">
            <w:pPr>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vAlign w:val="center"/>
          </w:tcPr>
          <w:p w14:paraId="74BD6339">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195F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3A555C6">
            <w:pPr>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vAlign w:val="center"/>
          </w:tcPr>
          <w:p w14:paraId="48C7F86A">
            <w:pPr>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5659" w:type="dxa"/>
            <w:vAlign w:val="center"/>
          </w:tcPr>
          <w:p w14:paraId="48D66154">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CC9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AEFA694">
            <w:pPr>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vAlign w:val="center"/>
          </w:tcPr>
          <w:p w14:paraId="0E429A0C">
            <w:pPr>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vAlign w:val="center"/>
          </w:tcPr>
          <w:p w14:paraId="054696FD">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41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0882330">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vAlign w:val="center"/>
          </w:tcPr>
          <w:p w14:paraId="524D9C11">
            <w:pPr>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vAlign w:val="center"/>
          </w:tcPr>
          <w:p w14:paraId="2F63291F">
            <w:pPr>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0CB3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C85AC26">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vAlign w:val="center"/>
          </w:tcPr>
          <w:p w14:paraId="1BC373A9">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vAlign w:val="center"/>
          </w:tcPr>
          <w:p w14:paraId="3F184CE9">
            <w:pPr>
              <w:pStyle w:val="25"/>
              <w:topLinePunct/>
              <w:rPr>
                <w:rFonts w:hint="eastAsia" w:hAnsi="宋体" w:cs="宋体"/>
                <w:color w:val="auto"/>
                <w:sz w:val="21"/>
                <w:szCs w:val="21"/>
                <w:highlight w:val="none"/>
              </w:rPr>
            </w:pPr>
            <w:r>
              <w:rPr>
                <w:rFonts w:hint="eastAsia" w:hAnsi="宋体" w:cs="宋体"/>
                <w:color w:val="auto"/>
                <w:sz w:val="21"/>
                <w:szCs w:val="21"/>
                <w:highlight w:val="none"/>
              </w:rPr>
              <w:t>■否</w:t>
            </w:r>
          </w:p>
          <w:p w14:paraId="3509AB0B">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6598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3CDCB4BC">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vAlign w:val="center"/>
          </w:tcPr>
          <w:p w14:paraId="7C2965F0">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vAlign w:val="center"/>
          </w:tcPr>
          <w:p w14:paraId="68D7532B">
            <w:pPr>
              <w:rPr>
                <w:rFonts w:hint="eastAsia"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14:paraId="034D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vAlign w:val="center"/>
          </w:tcPr>
          <w:p w14:paraId="48E02B90">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vAlign w:val="center"/>
          </w:tcPr>
          <w:p w14:paraId="35D4C575">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659" w:type="dxa"/>
            <w:vAlign w:val="center"/>
          </w:tcPr>
          <w:p w14:paraId="6B89854D">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28988A84">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09FD65E9">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3F6F3AC9">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21063BC8">
            <w:pPr>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投标担保递交情况；e项目负责人（兼施工负责人）、设计负责人、专职安全员；f投标报价（含设计报价和施工报价）；g工期；h质量标准；i投标人的加密打包投标文件电脑机器特征码等主要内容，并记录在案。未在规定时间内解密的投标文件不参与开标、评标。</w:t>
            </w:r>
          </w:p>
          <w:p w14:paraId="04B13348">
            <w:pPr>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5A546A83">
            <w:pPr>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14:paraId="147B4DDF">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F049D41">
            <w:pPr>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91BE221">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3BF96382">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1D4C4EE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2BE67C12">
            <w:pPr>
              <w:rPr>
                <w:rFonts w:hint="eastAsia" w:ascii="宋体" w:hAnsi="宋体" w:cs="宋体"/>
                <w:color w:val="auto"/>
                <w:szCs w:val="21"/>
                <w:highlight w:val="none"/>
                <w:u w:val="single"/>
              </w:rPr>
            </w:pPr>
            <w:r>
              <w:rPr>
                <w:rFonts w:hint="eastAsia" w:ascii="宋体" w:hAnsi="宋体" w:cs="宋体"/>
                <w:color w:val="auto"/>
                <w:szCs w:val="21"/>
                <w:highlight w:val="none"/>
                <w:u w:val="single"/>
              </w:rPr>
              <w:t>（12）投标人代表、招标人代表、监标人、记录人等有关人员在开标记录上签字确认；若有关人员不签字的，不影响开标程序；</w:t>
            </w:r>
          </w:p>
          <w:p w14:paraId="22377C70">
            <w:pPr>
              <w:rPr>
                <w:rFonts w:hint="eastAsia" w:ascii="宋体" w:hAnsi="宋体" w:cs="宋体"/>
                <w:color w:val="auto"/>
                <w:szCs w:val="21"/>
                <w:highlight w:val="none"/>
              </w:rPr>
            </w:pPr>
            <w:r>
              <w:rPr>
                <w:rFonts w:hint="eastAsia" w:ascii="宋体" w:hAnsi="宋体" w:cs="宋体"/>
                <w:color w:val="auto"/>
                <w:szCs w:val="21"/>
                <w:highlight w:val="none"/>
                <w:u w:val="single"/>
              </w:rPr>
              <w:t>（13）开标结束。</w:t>
            </w:r>
          </w:p>
        </w:tc>
      </w:tr>
      <w:tr w14:paraId="0148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vAlign w:val="center"/>
          </w:tcPr>
          <w:p w14:paraId="27B2DBC3">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353" w:type="dxa"/>
            <w:gridSpan w:val="2"/>
            <w:vAlign w:val="center"/>
          </w:tcPr>
          <w:p w14:paraId="43951DF0">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vAlign w:val="center"/>
          </w:tcPr>
          <w:p w14:paraId="3732FF8B">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13B4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vAlign w:val="center"/>
          </w:tcPr>
          <w:p w14:paraId="0AC40403">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vAlign w:val="center"/>
          </w:tcPr>
          <w:p w14:paraId="1C9F695C">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vAlign w:val="center"/>
          </w:tcPr>
          <w:p w14:paraId="35117057">
            <w:pPr>
              <w:rPr>
                <w:rFonts w:hint="eastAsia" w:ascii="宋体" w:hAnsi="宋体" w:cs="宋体"/>
                <w:color w:val="auto"/>
                <w:szCs w:val="21"/>
                <w:highlight w:val="none"/>
              </w:rPr>
            </w:pPr>
            <w:r>
              <w:rPr>
                <w:rFonts w:hint="eastAsia" w:ascii="宋体" w:hAnsi="宋体" w:cs="宋体"/>
                <w:color w:val="auto"/>
                <w:szCs w:val="21"/>
                <w:highlight w:val="none"/>
              </w:rPr>
              <w:t>□是</w:t>
            </w:r>
          </w:p>
          <w:p w14:paraId="3BFA92A3">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否，推荐的中标候选人数：3人。</w:t>
            </w:r>
          </w:p>
        </w:tc>
      </w:tr>
      <w:tr w14:paraId="5538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vAlign w:val="center"/>
          </w:tcPr>
          <w:p w14:paraId="1E0AEADC">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vAlign w:val="center"/>
          </w:tcPr>
          <w:p w14:paraId="06FD1A5D">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vAlign w:val="center"/>
          </w:tcPr>
          <w:p w14:paraId="350A6E4D">
            <w:pPr>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tc>
      </w:tr>
      <w:tr w14:paraId="3F9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DDC1BCB">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vAlign w:val="center"/>
          </w:tcPr>
          <w:p w14:paraId="6EEF7D50">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659" w:type="dxa"/>
            <w:vAlign w:val="center"/>
          </w:tcPr>
          <w:p w14:paraId="6A06E7F5">
            <w:pPr>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75DEE5FD">
            <w:pPr>
              <w:rPr>
                <w:rFonts w:hint="eastAsia" w:ascii="宋体" w:hAnsi="宋体" w:cs="宋体"/>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highlight w:val="none"/>
                <w:u w:val="single"/>
              </w:rPr>
              <w:t>施工费中标价款的10%（联合体投标的由联合体主办方提供）。</w:t>
            </w:r>
          </w:p>
          <w:p w14:paraId="34C74548">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2C94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CCC7EED">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vAlign w:val="center"/>
          </w:tcPr>
          <w:p w14:paraId="4CD78416">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23FD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74457A3">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vAlign w:val="center"/>
          </w:tcPr>
          <w:p w14:paraId="741D7647">
            <w:pPr>
              <w:rPr>
                <w:rFonts w:hint="eastAsia" w:ascii="宋体" w:hAnsi="宋体" w:cs="宋体"/>
                <w:color w:val="auto"/>
                <w:highlight w:val="none"/>
              </w:rPr>
            </w:pPr>
            <w:r>
              <w:rPr>
                <w:rFonts w:hint="eastAsia" w:ascii="宋体" w:hAnsi="宋体" w:cs="宋体"/>
                <w:color w:val="auto"/>
                <w:highlight w:val="none"/>
              </w:rPr>
              <w:t>建设工程质量检测管理办法：</w:t>
            </w:r>
          </w:p>
          <w:p w14:paraId="7D7EAEB9">
            <w:pPr>
              <w:jc w:val="left"/>
              <w:rPr>
                <w:rFonts w:hint="eastAsia" w:ascii="宋体" w:hAnsi="宋体" w:cs="宋体"/>
                <w:b/>
                <w:color w:val="auto"/>
                <w:szCs w:val="21"/>
                <w:highlight w:val="none"/>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5EC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F6B9A7E">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vAlign w:val="center"/>
          </w:tcPr>
          <w:p w14:paraId="713061C0">
            <w:pPr>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51B4EAF6">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对本条款的规定，特定义如下词汇：</w:t>
            </w:r>
          </w:p>
          <w:p w14:paraId="47E9A4CA">
            <w:pPr>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14:paraId="09B93AFD">
            <w:pPr>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5470A41A">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如果投标人被认定在本招标的竞争中有腐败或欺诈行为，则会被取消投标资格。</w:t>
            </w:r>
          </w:p>
        </w:tc>
      </w:tr>
      <w:tr w14:paraId="5B75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446B609">
            <w:pPr>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vAlign w:val="center"/>
          </w:tcPr>
          <w:p w14:paraId="5A8A915C">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职业</w:t>
            </w:r>
            <w:r>
              <w:rPr>
                <w:rFonts w:hint="eastAsia" w:ascii="宋体" w:hAnsi="宋体" w:cs="宋体"/>
                <w:color w:val="auto"/>
                <w:szCs w:val="21"/>
                <w:highlight w:val="none"/>
              </w:rPr>
              <w:t>健康</w:t>
            </w:r>
            <w:r>
              <w:rPr>
                <w:rFonts w:hint="eastAsia" w:ascii="宋体" w:hAnsi="宋体" w:cs="宋体"/>
                <w:color w:val="auto"/>
                <w:highlight w:val="none"/>
              </w:rPr>
              <w:t>安全管理目标：</w:t>
            </w:r>
            <w:r>
              <w:rPr>
                <w:rFonts w:hint="eastAsia" w:ascii="宋体" w:hAnsi="宋体" w:cs="宋体"/>
                <w:color w:val="auto"/>
                <w:szCs w:val="21"/>
                <w:highlight w:val="none"/>
              </w:rPr>
              <w:t>杜绝发生一般事故等级及以上的伤亡事故且工伤责任事故死亡人数为零。</w:t>
            </w:r>
          </w:p>
          <w:p w14:paraId="0E1517BE">
            <w:pPr>
              <w:rPr>
                <w:rFonts w:hint="eastAsia" w:ascii="宋体" w:hAnsi="宋体" w:cs="宋体"/>
                <w:color w:val="auto"/>
                <w:szCs w:val="21"/>
                <w:highlight w:val="none"/>
              </w:rPr>
            </w:pPr>
            <w:r>
              <w:rPr>
                <w:rFonts w:hint="eastAsia" w:ascii="宋体" w:hAnsi="宋体" w:cs="宋体"/>
                <w:color w:val="auto"/>
                <w:szCs w:val="21"/>
                <w:highlight w:val="none"/>
              </w:rPr>
              <w:t>2．环境管理目标：</w:t>
            </w:r>
            <w:r>
              <w:rPr>
                <w:rFonts w:hint="eastAsia" w:ascii="宋体" w:hAnsi="宋体" w:cs="宋体"/>
                <w:bCs/>
                <w:color w:val="auto"/>
                <w:szCs w:val="21"/>
                <w:highlight w:val="none"/>
                <w:u w:val="single"/>
              </w:rPr>
              <w:t>严格执行《广州市建设工程文明施工管理规定》（2012年1月5日广州市人民政府令第62号公布，根据2018年2月13日广州市人民政府令第158号《广州市人民政府关于修改〈广州市城市道路临时占用管理办法〉等16件政府规章的决定》修改）</w:t>
            </w:r>
            <w:r>
              <w:rPr>
                <w:rFonts w:hint="eastAsia" w:ascii="宋体" w:hAnsi="宋体" w:cs="宋体"/>
                <w:color w:val="auto"/>
                <w:szCs w:val="21"/>
                <w:highlight w:val="none"/>
              </w:rPr>
              <w:t>、《广州市城乡建设委员会关于印发广州市加强建筑工地环保管理工作方案的通知》（穗建质〔2014〕754号）、《广州市住房和城乡建设委员会关于印发建设工程扬尘防治“6个100%”管理标准细化措施的通知》（穗建质〔2018〕1394号）、《广州市住房和城乡建设局等6部委关于印发广州市建设工程绿色施工围蔽指导图集（V2.0）的通知》（穗建质〔2020〕1号）。执行《危险性较大的分部分项工程安全管理规定》（中华人民共和国住房和城乡建设部令第37号）和《关于加强建设工程安全生产管理落实建设各方主体责任的暂行规定》穗建规字〔2017〕21号等最新的规定。</w:t>
            </w:r>
          </w:p>
          <w:p w14:paraId="7E7D12D0">
            <w:pPr>
              <w:rPr>
                <w:rFonts w:hint="eastAsia" w:ascii="宋体" w:hAnsi="宋体" w:cs="宋体"/>
                <w:color w:val="auto"/>
                <w:szCs w:val="21"/>
                <w:highlight w:val="none"/>
              </w:rPr>
            </w:pPr>
            <w:r>
              <w:rPr>
                <w:rFonts w:hint="eastAsia" w:ascii="宋体" w:hAnsi="宋体" w:cs="宋体"/>
                <w:color w:val="auto"/>
                <w:szCs w:val="21"/>
                <w:highlight w:val="none"/>
              </w:rPr>
              <w:t>3.质量目标：按招标文件质量标准要求，具体按合同约定；</w:t>
            </w:r>
          </w:p>
          <w:p w14:paraId="45A174A8">
            <w:pPr>
              <w:rPr>
                <w:rFonts w:hint="eastAsia" w:ascii="宋体" w:hAnsi="宋体" w:cs="宋体"/>
                <w:color w:val="auto"/>
                <w:szCs w:val="21"/>
                <w:highlight w:val="none"/>
              </w:rPr>
            </w:pPr>
            <w:r>
              <w:rPr>
                <w:rFonts w:hint="eastAsia" w:ascii="宋体" w:hAnsi="宋体" w:cs="宋体"/>
                <w:color w:val="auto"/>
                <w:szCs w:val="21"/>
                <w:highlight w:val="none"/>
              </w:rPr>
              <w:t>4.费用目标：确保项目总投资不超过工程概算金额，具体按合同约定；</w:t>
            </w:r>
          </w:p>
          <w:p w14:paraId="19CE2CD9">
            <w:pPr>
              <w:rPr>
                <w:rFonts w:hint="eastAsia" w:ascii="宋体" w:hAnsi="宋体" w:cs="宋体"/>
                <w:color w:val="auto"/>
                <w:highlight w:val="none"/>
              </w:rPr>
            </w:pPr>
            <w:r>
              <w:rPr>
                <w:rFonts w:hint="eastAsia" w:ascii="宋体" w:hAnsi="宋体" w:cs="宋体"/>
                <w:color w:val="auto"/>
                <w:szCs w:val="21"/>
                <w:highlight w:val="none"/>
              </w:rPr>
              <w:t>5.进度目标：确保项目建设进度满足招标文件工期要求，具体按合同约定。</w:t>
            </w:r>
          </w:p>
        </w:tc>
      </w:tr>
      <w:tr w14:paraId="69B2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71959E4">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3"/>
            <w:vAlign w:val="center"/>
          </w:tcPr>
          <w:p w14:paraId="7038C516">
            <w:pPr>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31D8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B24AB1F">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3"/>
            <w:vAlign w:val="center"/>
          </w:tcPr>
          <w:p w14:paraId="2B021B13">
            <w:pPr>
              <w:rPr>
                <w:rFonts w:hint="eastAsia" w:ascii="宋体" w:hAnsi="宋体" w:cs="宋体"/>
                <w:bCs/>
                <w:snapToGrid w:val="0"/>
                <w:color w:val="auto"/>
                <w:kern w:val="0"/>
                <w:szCs w:val="21"/>
                <w:highlight w:val="none"/>
              </w:rPr>
            </w:pPr>
            <w:r>
              <w:rPr>
                <w:rFonts w:hint="eastAsia" w:ascii="宋体" w:hAnsi="宋体" w:cs="宋体"/>
                <w:color w:val="auto"/>
                <w:highlight w:val="none"/>
              </w:rPr>
              <w:t>承包方式：</w:t>
            </w:r>
            <w:r>
              <w:rPr>
                <w:rFonts w:hint="eastAsia" w:ascii="宋体" w:hAnsi="宋体" w:cs="宋体"/>
                <w:color w:val="auto"/>
                <w:highlight w:val="none"/>
                <w:u w:val="single"/>
              </w:rPr>
              <w:t>包设计（包括深化设计及编制工程概算、施工图设计）、包施工（包工、包料、包工期、包质量、包安全、包文明施工等、包联动调试、包验收、包保修）。</w:t>
            </w:r>
          </w:p>
        </w:tc>
      </w:tr>
      <w:tr w14:paraId="068D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44016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9.6</w:t>
            </w:r>
          </w:p>
        </w:tc>
        <w:tc>
          <w:tcPr>
            <w:tcW w:w="8012" w:type="dxa"/>
            <w:gridSpan w:val="3"/>
            <w:vAlign w:val="center"/>
          </w:tcPr>
          <w:p w14:paraId="1025CFD7">
            <w:pPr>
              <w:widowControl/>
              <w:rPr>
                <w:rFonts w:hint="eastAsia" w:ascii="宋体" w:hAnsi="宋体" w:cs="宋体"/>
                <w:color w:val="auto"/>
                <w:highlight w:val="none"/>
              </w:rPr>
            </w:pPr>
            <w:r>
              <w:rPr>
                <w:rFonts w:hint="eastAsia" w:ascii="宋体" w:hAnsi="宋体" w:cs="宋体"/>
                <w:color w:val="auto"/>
                <w:highlight w:val="none"/>
              </w:rPr>
              <w:t>根据相关规定本项目如需办理规划许可证的，投标人需根据相关文件协助招标人办理。</w:t>
            </w:r>
          </w:p>
        </w:tc>
      </w:tr>
      <w:tr w14:paraId="69EC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03B41D8">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vAlign w:val="center"/>
          </w:tcPr>
          <w:p w14:paraId="44816872">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vAlign w:val="center"/>
          </w:tcPr>
          <w:p w14:paraId="6DF1974C">
            <w:pPr>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否</w:t>
            </w:r>
          </w:p>
          <w:p w14:paraId="7440FFE2">
            <w:pPr>
              <w:rPr>
                <w:rFonts w:hint="eastAsia" w:ascii="宋体" w:hAnsi="宋体" w:cs="宋体"/>
                <w:color w:val="auto"/>
                <w:highlight w:val="none"/>
              </w:rPr>
            </w:pPr>
            <w:r>
              <w:rPr>
                <w:rFonts w:hint="eastAsia" w:ascii="宋体" w:hAnsi="宋体" w:cs="宋体"/>
                <w:color w:val="auto"/>
                <w:highlight w:val="none"/>
              </w:rPr>
              <w:t>■是，具体要求：</w:t>
            </w:r>
          </w:p>
          <w:p w14:paraId="70D6C387">
            <w:pPr>
              <w:pStyle w:val="39"/>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对投标文件加盖电子印章。投标文件中需个人签字或盖章的，应加盖个人电子印章或在线下完成后扫描上传。具体操作详见交易平台相关操作指南。</w:t>
            </w:r>
          </w:p>
          <w:p w14:paraId="7B1CD55C">
            <w:pPr>
              <w:pStyle w:val="39"/>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27AD6536">
            <w:pPr>
              <w:pStyle w:val="39"/>
              <w:rPr>
                <w:rFonts w:hint="eastAsia" w:ascii="宋体" w:hAnsi="宋体" w:eastAsia="宋体" w:cs="宋体"/>
                <w:color w:val="auto"/>
                <w:highlight w:val="none"/>
              </w:rPr>
            </w:pPr>
            <w:r>
              <w:rPr>
                <w:rFonts w:hint="eastAsia" w:ascii="宋体" w:hAnsi="宋体" w:eastAsia="宋体" w:cs="宋体"/>
                <w:color w:val="auto"/>
                <w:highlight w:val="none"/>
              </w:rPr>
              <w:t>3．（重要风险提示）备用光盘或U盘。投标人将按《房建市政全流程电子化项目操作专章》的操作方法制作的非加密的电子投标文件刻入光盘或U盘（设计方案投标文件、工程总承包实施方案（含资格审查）投标文件、揭晓文件（揭晓文件指：附与设计方案投标文件一致的效果图一页，效果图需为加盖投标人（主办方）公章的扫描件，用于分辨投标文件对应的投标人身份）应分别刻录在不同的光盘或U盘，在规定的时间、地点提交备用。刻录好的投标文件光盘或U盘密封在密封袋中，并在封口处加盖投标人单位公章（设计方案投标文件备用光盘或U盘及揭晓文件除外）。密封袋上应写明（项目名称）投标文件（设计方案投标文件/工程总承包实施方案（含资格审查）投标文件/揭晓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627FB82C">
            <w:pPr>
              <w:pStyle w:val="39"/>
              <w:rPr>
                <w:rFonts w:hint="eastAsia" w:ascii="宋体" w:hAnsi="宋体" w:eastAsia="宋体" w:cs="宋体"/>
                <w:color w:val="auto"/>
                <w:highlight w:val="none"/>
              </w:rPr>
            </w:pPr>
            <w:r>
              <w:rPr>
                <w:rFonts w:hint="eastAsia" w:ascii="宋体" w:hAnsi="宋体" w:eastAsia="宋体" w:cs="宋体"/>
                <w:color w:val="auto"/>
                <w:highlight w:val="none"/>
              </w:rPr>
              <w:t>4．投标文件的递交：</w:t>
            </w:r>
          </w:p>
          <w:p w14:paraId="7D81BF0C">
            <w:pPr>
              <w:pStyle w:val="39"/>
              <w:rPr>
                <w:rFonts w:hint="eastAsia" w:ascii="宋体" w:hAnsi="宋体" w:eastAsia="宋体" w:cs="宋体"/>
                <w:color w:val="auto"/>
                <w:highlight w:val="none"/>
              </w:rPr>
            </w:pPr>
            <w:r>
              <w:rPr>
                <w:rFonts w:hint="eastAsia" w:ascii="宋体" w:hAnsi="宋体" w:eastAsia="宋体" w:cs="宋体"/>
                <w:color w:val="auto"/>
                <w:highlight w:val="none"/>
              </w:rPr>
              <w:t>（1）投标文件递交的截止时间（投标截止时间，下同）为2025年月日时分，投标人应在截止时间前通过电子招标投标交易平台递交电子投标文件。（具体时间以广州交易集团有限公司（广州公共资源交易中心）网站发布为准。）</w:t>
            </w:r>
          </w:p>
          <w:p w14:paraId="46242A9C">
            <w:pPr>
              <w:pStyle w:val="39"/>
              <w:rPr>
                <w:rFonts w:hint="eastAsia" w:ascii="宋体" w:hAnsi="宋体" w:eastAsia="宋体" w:cs="宋体"/>
                <w:color w:val="auto"/>
                <w:highlight w:val="none"/>
              </w:rPr>
            </w:pPr>
            <w:r>
              <w:rPr>
                <w:rFonts w:hint="eastAsia" w:ascii="宋体" w:hAnsi="宋体" w:eastAsia="宋体" w:cs="宋体"/>
                <w:color w:val="auto"/>
                <w:highlight w:val="none"/>
              </w:rPr>
              <w:t>（2）提交投标文件备用光盘或U盘：</w:t>
            </w:r>
          </w:p>
          <w:p w14:paraId="372F3DC7">
            <w:pPr>
              <w:pStyle w:val="39"/>
              <w:rPr>
                <w:rFonts w:hint="eastAsia" w:ascii="宋体" w:hAnsi="宋体" w:eastAsia="宋体" w:cs="宋体"/>
                <w:color w:val="auto"/>
                <w:highlight w:val="none"/>
              </w:rPr>
            </w:pPr>
            <w:r>
              <w:rPr>
                <w:rFonts w:hint="eastAsia" w:ascii="宋体" w:hAnsi="宋体" w:eastAsia="宋体" w:cs="宋体"/>
                <w:color w:val="auto"/>
                <w:highlight w:val="none"/>
              </w:rPr>
              <w:t>投标文件光盘或U盘（备用）递交时间：2025年月日时分至2025年月日时分，地点：广州交易集团有限公司（广州公共资源交易中心）第室开标室。（具体时间以广州交易集团有限公司（广州公共资源交易中心）网站发布为准。）</w:t>
            </w:r>
          </w:p>
          <w:p w14:paraId="2D368FE6">
            <w:pPr>
              <w:pStyle w:val="39"/>
              <w:rPr>
                <w:rFonts w:hint="eastAsia" w:ascii="宋体" w:hAnsi="宋体" w:eastAsia="宋体" w:cs="宋体"/>
                <w:color w:val="auto"/>
                <w:highlight w:val="none"/>
              </w:rPr>
            </w:pPr>
            <w:r>
              <w:rPr>
                <w:rFonts w:hint="eastAsia" w:ascii="宋体" w:hAnsi="宋体" w:eastAsia="宋体" w:cs="宋体"/>
                <w:color w:val="auto"/>
                <w:highlight w:val="none"/>
              </w:rPr>
              <w:t>（3）投标人完成电子投标上传后，电子招标投标交易平台即时向投标人发出递交回执通知。递交时间以递交回执通知载明的传输时间为准。</w:t>
            </w:r>
          </w:p>
          <w:p w14:paraId="14C0663A">
            <w:pPr>
              <w:pStyle w:val="39"/>
              <w:rPr>
                <w:rFonts w:hint="eastAsia" w:ascii="宋体" w:hAnsi="宋体" w:eastAsia="宋体" w:cs="宋体"/>
                <w:color w:val="auto"/>
                <w:highlight w:val="none"/>
              </w:rPr>
            </w:pPr>
            <w:r>
              <w:rPr>
                <w:rFonts w:hint="eastAsia" w:ascii="宋体" w:hAnsi="宋体" w:eastAsia="宋体" w:cs="宋体"/>
                <w:color w:val="auto"/>
                <w:highlight w:val="none"/>
              </w:rPr>
              <w:t>（4）逾期送达的投标文件，电子招标投标交易平台将予以拒收。</w:t>
            </w:r>
          </w:p>
          <w:p w14:paraId="31656921">
            <w:pPr>
              <w:pStyle w:val="39"/>
              <w:rPr>
                <w:rFonts w:hint="eastAsia" w:ascii="宋体" w:hAnsi="宋体" w:eastAsia="宋体" w:cs="宋体"/>
                <w:color w:val="auto"/>
                <w:highlight w:val="none"/>
              </w:rPr>
            </w:pPr>
            <w:r>
              <w:rPr>
                <w:rFonts w:hint="eastAsia" w:ascii="宋体" w:hAnsi="宋体" w:eastAsia="宋体" w:cs="宋体"/>
                <w:color w:val="auto"/>
                <w:highlight w:val="none"/>
              </w:rPr>
              <w:t>5．投标文件加密要求：</w:t>
            </w:r>
          </w:p>
          <w:p w14:paraId="3C8A773B">
            <w:pPr>
              <w:pStyle w:val="39"/>
              <w:rPr>
                <w:rFonts w:hint="eastAsia"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（1）网上递交的电子投标文件须进行加密。具体操作详见交易平台相关操作指南。</w:t>
            </w:r>
          </w:p>
          <w:p w14:paraId="3762ED70">
            <w:pPr>
              <w:pStyle w:val="39"/>
              <w:rPr>
                <w:rFonts w:hint="eastAsia" w:ascii="宋体" w:hAnsi="宋体" w:eastAsia="宋体" w:cs="宋体"/>
                <w:color w:val="auto"/>
                <w:highlight w:val="none"/>
              </w:rPr>
            </w:pPr>
            <w:r>
              <w:rPr>
                <w:rFonts w:hint="eastAsia" w:ascii="宋体" w:hAnsi="宋体" w:eastAsia="宋体" w:cs="宋体"/>
                <w:color w:val="auto"/>
                <w:highlight w:val="none"/>
              </w:rPr>
              <w:t>（2）未按要求加密的投标文件，招标人将予以拒收。</w:t>
            </w:r>
          </w:p>
          <w:p w14:paraId="4C197F47">
            <w:pPr>
              <w:pStyle w:val="39"/>
              <w:rPr>
                <w:rFonts w:hint="eastAsia"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44FCA4F7">
            <w:pPr>
              <w:pStyle w:val="39"/>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505BEF5D">
            <w:pPr>
              <w:pStyle w:val="39"/>
              <w:rPr>
                <w:rFonts w:hint="eastAsia"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08B4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B29B20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1</w:t>
            </w:r>
          </w:p>
        </w:tc>
        <w:tc>
          <w:tcPr>
            <w:tcW w:w="2353" w:type="dxa"/>
            <w:gridSpan w:val="2"/>
            <w:vAlign w:val="center"/>
          </w:tcPr>
          <w:p w14:paraId="3C1559A2">
            <w:pPr>
              <w:jc w:val="center"/>
              <w:rPr>
                <w:rFonts w:hint="eastAsia" w:ascii="宋体" w:hAnsi="宋体" w:cs="宋体"/>
                <w:color w:val="auto"/>
                <w:szCs w:val="21"/>
                <w:highlight w:val="none"/>
              </w:rPr>
            </w:pPr>
            <w:r>
              <w:rPr>
                <w:rFonts w:hint="eastAsia" w:ascii="宋体" w:hAnsi="宋体" w:cs="宋体"/>
                <w:color w:val="auto"/>
                <w:szCs w:val="21"/>
                <w:highlight w:val="none"/>
              </w:rPr>
              <w:t>特别提示</w:t>
            </w:r>
          </w:p>
        </w:tc>
        <w:tc>
          <w:tcPr>
            <w:tcW w:w="5659" w:type="dxa"/>
            <w:vAlign w:val="center"/>
          </w:tcPr>
          <w:p w14:paraId="00EC497D">
            <w:pPr>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特别提示：投标人在本项目招标人的工程项目中存在下列行为的，将被拒绝一定时期内参与招标人后续工程投标。（注：拒绝投标时限由招标人视严重程度确定，最低三个月起，自招标人发出通知之日起计）：</w:t>
            </w:r>
          </w:p>
          <w:p w14:paraId="5AE16146">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1.将中标工程转包或者违法分包的;</w:t>
            </w:r>
          </w:p>
          <w:p w14:paraId="4CD4A200">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2.在中标工程中不执行质量、安全生产相关规定的，造成质量或安全事故的；</w:t>
            </w:r>
          </w:p>
          <w:p w14:paraId="0826F2DB">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3.出让投标资格的；</w:t>
            </w:r>
          </w:p>
          <w:p w14:paraId="38E820C4">
            <w:pPr>
              <w:rPr>
                <w:rFonts w:hint="eastAsia" w:ascii="宋体" w:hAnsi="宋体" w:cs="宋体"/>
                <w:color w:val="auto"/>
                <w:szCs w:val="21"/>
                <w:highlight w:val="none"/>
                <w:u w:val="single"/>
              </w:rPr>
            </w:pPr>
            <w:r>
              <w:rPr>
                <w:rFonts w:hint="eastAsia" w:ascii="宋体" w:hAnsi="宋体" w:cs="宋体"/>
                <w:color w:val="auto"/>
                <w:szCs w:val="21"/>
                <w:highlight w:val="none"/>
                <w:u w:val="single"/>
              </w:rPr>
              <w:t>4.存在围标或串标情形的;</w:t>
            </w:r>
          </w:p>
          <w:p w14:paraId="714FEA6D">
            <w:pPr>
              <w:rPr>
                <w:rFonts w:hint="eastAsia" w:ascii="宋体" w:hAnsi="宋体" w:cs="宋体"/>
                <w:color w:val="auto"/>
                <w:szCs w:val="21"/>
                <w:highlight w:val="none"/>
                <w:u w:val="single"/>
              </w:rPr>
            </w:pPr>
            <w:r>
              <w:rPr>
                <w:rFonts w:hint="eastAsia" w:ascii="宋体" w:hAnsi="宋体" w:cs="宋体"/>
                <w:color w:val="auto"/>
                <w:szCs w:val="21"/>
                <w:highlight w:val="none"/>
                <w:u w:val="single"/>
              </w:rPr>
              <w:t>5.在投标文件中提供虚假材料的；</w:t>
            </w:r>
          </w:p>
          <w:p w14:paraId="38A36169">
            <w:pPr>
              <w:rPr>
                <w:rFonts w:hint="eastAsia" w:ascii="宋体" w:hAnsi="宋体" w:cs="宋体"/>
                <w:color w:val="auto"/>
                <w:szCs w:val="21"/>
                <w:highlight w:val="none"/>
                <w:u w:val="single"/>
              </w:rPr>
            </w:pPr>
            <w:r>
              <w:rPr>
                <w:rFonts w:hint="eastAsia" w:ascii="宋体" w:hAnsi="宋体" w:cs="宋体"/>
                <w:color w:val="auto"/>
                <w:szCs w:val="21"/>
                <w:highlight w:val="none"/>
                <w:u w:val="single"/>
              </w:rPr>
              <w:t>6. 存在少放、不放业绩、奖项等客观评审资料，减少自身竞争力情形的；</w:t>
            </w:r>
          </w:p>
          <w:p w14:paraId="49184771">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7.存在行贿情形的;</w:t>
            </w:r>
          </w:p>
          <w:p w14:paraId="734008C1">
            <w:pPr>
              <w:rPr>
                <w:rFonts w:hint="eastAsia" w:ascii="宋体" w:hAnsi="宋体" w:cs="宋体"/>
                <w:color w:val="auto"/>
                <w:szCs w:val="21"/>
                <w:highlight w:val="none"/>
                <w:u w:val="single"/>
              </w:rPr>
            </w:pPr>
            <w:r>
              <w:rPr>
                <w:rFonts w:hint="eastAsia" w:ascii="宋体" w:hAnsi="宋体" w:cs="宋体"/>
                <w:color w:val="auto"/>
                <w:szCs w:val="21"/>
                <w:highlight w:val="none"/>
                <w:u w:val="single"/>
              </w:rPr>
              <w:t>8.拖欠农民工工资的；</w:t>
            </w:r>
          </w:p>
          <w:p w14:paraId="4903D258">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9.未按照国家、省、市有关建筑施工实名制管理和工人工资支付分账管理的规定执行，被行政监管部门处罚的；</w:t>
            </w:r>
          </w:p>
          <w:p w14:paraId="40333C7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10.中标人在项目实施过程中选取的专业分包单位或劳务企业或劳务班组长与投标时不一致的（如有）；</w:t>
            </w:r>
          </w:p>
          <w:p w14:paraId="724E440F">
            <w:pPr>
              <w:rPr>
                <w:rFonts w:hint="eastAsia" w:ascii="宋体" w:hAnsi="宋体" w:cs="宋体"/>
                <w:color w:val="auto"/>
                <w:szCs w:val="21"/>
                <w:highlight w:val="none"/>
              </w:rPr>
            </w:pPr>
            <w:r>
              <w:rPr>
                <w:rFonts w:hint="eastAsia" w:ascii="宋体" w:hAnsi="宋体" w:cs="宋体"/>
                <w:color w:val="auto"/>
                <w:szCs w:val="21"/>
                <w:highlight w:val="none"/>
                <w:u w:val="single"/>
              </w:rPr>
              <w:t>11.本项目投标时拟派的专职安全员在其他项目中有任职且在本项目开工前未完成更换确保专职安全员只在本项目上任职的;</w:t>
            </w:r>
          </w:p>
        </w:tc>
      </w:tr>
      <w:tr w14:paraId="5AC2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DB7772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2</w:t>
            </w:r>
          </w:p>
        </w:tc>
        <w:tc>
          <w:tcPr>
            <w:tcW w:w="2353" w:type="dxa"/>
            <w:gridSpan w:val="2"/>
            <w:vAlign w:val="center"/>
          </w:tcPr>
          <w:p w14:paraId="36C545DD">
            <w:pP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659" w:type="dxa"/>
            <w:vAlign w:val="center"/>
          </w:tcPr>
          <w:p w14:paraId="76A1DE06">
            <w:pPr>
              <w:rPr>
                <w:rFonts w:hint="eastAsia" w:ascii="宋体" w:hAnsi="宋体" w:cs="宋体"/>
                <w:color w:val="auto"/>
                <w:szCs w:val="21"/>
                <w:highlight w:val="none"/>
                <w:u w:val="single"/>
              </w:rPr>
            </w:pPr>
            <w:r>
              <w:rPr>
                <w:rFonts w:hint="eastAsia" w:ascii="宋体" w:hAnsi="宋体" w:cs="宋体"/>
                <w:color w:val="auto"/>
                <w:highlight w:val="none"/>
              </w:rPr>
              <w:t>本项目满足资格形式评审、资格审查合格条件或通过初步评审的投标申请人不足3名时为招标失败。招标人分析招标失败原因，修正招标方案，重新组织招标。</w:t>
            </w:r>
          </w:p>
        </w:tc>
      </w:tr>
      <w:tr w14:paraId="4206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2B0BECB">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3</w:t>
            </w:r>
          </w:p>
        </w:tc>
        <w:tc>
          <w:tcPr>
            <w:tcW w:w="2353" w:type="dxa"/>
            <w:gridSpan w:val="2"/>
            <w:vAlign w:val="center"/>
          </w:tcPr>
          <w:p w14:paraId="089C616D">
            <w:pPr>
              <w:pStyle w:val="68"/>
              <w:adjustRightInd w:val="0"/>
              <w:rPr>
                <w:rFonts w:hint="eastAsia" w:eastAsia="宋体"/>
                <w:color w:val="auto"/>
                <w:kern w:val="2"/>
                <w:sz w:val="21"/>
                <w:szCs w:val="21"/>
                <w:highlight w:val="none"/>
              </w:rPr>
            </w:pPr>
            <w:r>
              <w:rPr>
                <w:rFonts w:hint="eastAsia" w:eastAsia="宋体"/>
                <w:color w:val="auto"/>
                <w:kern w:val="2"/>
                <w:sz w:val="21"/>
                <w:szCs w:val="21"/>
                <w:highlight w:val="none"/>
              </w:rPr>
              <w:t>关于使用混凝土等建筑材料质量标准的约定</w:t>
            </w:r>
          </w:p>
        </w:tc>
        <w:tc>
          <w:tcPr>
            <w:tcW w:w="5659" w:type="dxa"/>
            <w:vAlign w:val="center"/>
          </w:tcPr>
          <w:p w14:paraId="17553961">
            <w:pPr>
              <w:pStyle w:val="68"/>
              <w:adjustRightInd w:val="0"/>
              <w:rPr>
                <w:rFonts w:hint="eastAsia" w:eastAsia="宋体"/>
                <w:color w:val="auto"/>
                <w:kern w:val="2"/>
                <w:sz w:val="21"/>
                <w:szCs w:val="21"/>
                <w:highlight w:val="none"/>
              </w:rPr>
            </w:pPr>
            <w:r>
              <w:rPr>
                <w:rFonts w:hint="eastAsia" w:eastAsia="宋体"/>
                <w:color w:val="auto"/>
                <w:kern w:val="2"/>
                <w:sz w:val="21"/>
                <w:szCs w:val="21"/>
                <w:highlight w:val="none"/>
              </w:rPr>
              <w:t>根据《广州市散装水泥管理办公室关于对混凝土和砂浆企业质量监督检查的通报》，为确保工程质量安全，中标单位禁止使用不合格的混凝土和砂浆。</w:t>
            </w:r>
          </w:p>
        </w:tc>
      </w:tr>
      <w:tr w14:paraId="5E1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9333C4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4</w:t>
            </w:r>
          </w:p>
        </w:tc>
        <w:tc>
          <w:tcPr>
            <w:tcW w:w="8012" w:type="dxa"/>
            <w:gridSpan w:val="3"/>
            <w:vAlign w:val="center"/>
          </w:tcPr>
          <w:p w14:paraId="57EAC180">
            <w:pPr>
              <w:rPr>
                <w:rFonts w:hint="eastAsia" w:ascii="宋体" w:hAnsi="宋体" w:cs="宋体"/>
                <w:bCs/>
                <w:color w:val="auto"/>
                <w:highlight w:val="none"/>
              </w:rPr>
            </w:pPr>
            <w:r>
              <w:rPr>
                <w:rFonts w:hint="eastAsia" w:ascii="宋体" w:hAnsi="宋体" w:cs="宋体"/>
                <w:color w:val="auto"/>
                <w:szCs w:val="21"/>
                <w:highlight w:val="none"/>
              </w:rPr>
              <w:t>中标候选人公示后3天内投标人需将在广州交易集团有限公司（广州公共资源交易中心）网站下载的投标文件打印，投标文件需与中标人在广州交易集团有限公司（广州公共资源交易中心）网站提交的投标文件一致，投标人加盖公章，1正2副（加盖公章），合共3套投标文件提供给招标人，相关费用由投标人支付。</w:t>
            </w:r>
          </w:p>
        </w:tc>
      </w:tr>
      <w:tr w14:paraId="4516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4703BF6">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5</w:t>
            </w:r>
          </w:p>
        </w:tc>
        <w:tc>
          <w:tcPr>
            <w:tcW w:w="8012" w:type="dxa"/>
            <w:gridSpan w:val="3"/>
            <w:vAlign w:val="center"/>
          </w:tcPr>
          <w:p w14:paraId="108B73E5">
            <w:pPr>
              <w:rPr>
                <w:rFonts w:hint="eastAsia" w:ascii="宋体" w:hAnsi="宋体" w:cs="宋体"/>
                <w:b/>
                <w:color w:val="auto"/>
                <w:szCs w:val="21"/>
                <w:highlight w:val="none"/>
              </w:rPr>
            </w:pPr>
            <w:r>
              <w:rPr>
                <w:rFonts w:hint="eastAsia" w:ascii="宋体" w:hAnsi="宋体" w:cs="宋体"/>
                <w:b/>
                <w:color w:val="auto"/>
                <w:szCs w:val="21"/>
                <w:highlight w:val="none"/>
              </w:rPr>
              <w:t>联合体投标的，</w:t>
            </w:r>
            <w:r>
              <w:rPr>
                <w:rFonts w:hint="eastAsia" w:ascii="宋体" w:hAnsi="宋体" w:cs="宋体"/>
                <w:b/>
                <w:color w:val="auto"/>
                <w:highlight w:val="none"/>
              </w:rPr>
              <w:t>投标文件中的联合体协议书需联合体各方均盖章，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2A5A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C98EB9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6</w:t>
            </w:r>
          </w:p>
        </w:tc>
        <w:tc>
          <w:tcPr>
            <w:tcW w:w="8012" w:type="dxa"/>
            <w:gridSpan w:val="3"/>
            <w:vAlign w:val="center"/>
          </w:tcPr>
          <w:p w14:paraId="1A882AEB">
            <w:pPr>
              <w:rPr>
                <w:rFonts w:hint="eastAsia" w:ascii="宋体" w:hAnsi="宋体" w:cs="宋体"/>
                <w:b/>
                <w:color w:val="auto"/>
                <w:szCs w:val="21"/>
                <w:highlight w:val="none"/>
              </w:rPr>
            </w:pP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本招标项目的招标代理服务费由中标人向招标代理单位一次性支付。（招标代理服务费依照《国家计委关于印发〈招标代理服务收费管理暂行办法〉的通知》（计价格[2002]1980号）的计费标准下浮20%收取）</w:t>
            </w:r>
          </w:p>
          <w:p w14:paraId="24E6AF9A">
            <w:pPr>
              <w:rPr>
                <w:rFonts w:hint="eastAsia" w:ascii="宋体" w:hAnsi="宋体" w:cs="宋体"/>
                <w:b/>
                <w:color w:val="auto"/>
                <w:szCs w:val="21"/>
                <w:highlight w:val="none"/>
              </w:rPr>
            </w:pPr>
            <w:r>
              <w:rPr>
                <w:rFonts w:hint="eastAsia" w:ascii="宋体" w:hAnsi="宋体" w:cs="宋体"/>
                <w:b/>
                <w:color w:val="auto"/>
                <w:szCs w:val="21"/>
                <w:highlight w:val="none"/>
              </w:rPr>
              <w:t>交易服务费：由中标人支付。</w:t>
            </w:r>
          </w:p>
        </w:tc>
      </w:tr>
      <w:tr w14:paraId="3062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11A12D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7</w:t>
            </w:r>
          </w:p>
        </w:tc>
        <w:tc>
          <w:tcPr>
            <w:tcW w:w="8012" w:type="dxa"/>
            <w:gridSpan w:val="3"/>
            <w:vAlign w:val="center"/>
          </w:tcPr>
          <w:p w14:paraId="630824A6">
            <w:pPr>
              <w:pStyle w:val="72"/>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内容：招标人对中标人参与“百千万工程”的具体要求</w:t>
            </w:r>
          </w:p>
          <w:p w14:paraId="0A921431">
            <w:pPr>
              <w:pStyle w:val="72"/>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p w14:paraId="380CFFD0">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□具体要求在中标后按照投标承诺和招标人的要求执行。</w:t>
            </w:r>
          </w:p>
          <w:p w14:paraId="7F5F1B07">
            <w:pPr>
              <w:rPr>
                <w:rFonts w:hint="eastAsia" w:ascii="宋体" w:hAnsi="宋体" w:cs="宋体"/>
                <w:b/>
                <w:color w:val="auto"/>
                <w:szCs w:val="21"/>
                <w:highlight w:val="none"/>
              </w:rPr>
            </w:pPr>
            <w:r>
              <w:rPr>
                <w:rFonts w:hint="eastAsia" w:ascii="宋体" w:hAnsi="宋体" w:cs="宋体"/>
                <w:color w:val="auto"/>
                <w:szCs w:val="21"/>
                <w:highlight w:val="none"/>
                <w:lang w:val="zh-CN"/>
              </w:rPr>
              <w:sym w:font="Wingdings 2" w:char="0052"/>
            </w:r>
            <w:r>
              <w:rPr>
                <w:rFonts w:hint="eastAsia" w:ascii="宋体" w:hAnsi="宋体" w:cs="宋体"/>
                <w:color w:val="auto"/>
                <w:szCs w:val="21"/>
                <w:highlight w:val="none"/>
                <w:lang w:val="zh-CN"/>
              </w:rPr>
              <w:t>具体要求：</w:t>
            </w:r>
            <w:r>
              <w:rPr>
                <w:rFonts w:hint="eastAsia" w:ascii="宋体" w:hAnsi="宋体" w:cs="宋体"/>
                <w:color w:val="auto"/>
                <w:szCs w:val="21"/>
                <w:highlight w:val="none"/>
              </w:rPr>
              <w:t>不作要求</w:t>
            </w:r>
          </w:p>
        </w:tc>
      </w:tr>
    </w:tbl>
    <w:p w14:paraId="00A5420C">
      <w:pPr>
        <w:spacing w:line="400" w:lineRule="exact"/>
        <w:rPr>
          <w:rFonts w:hint="eastAsia" w:ascii="宋体" w:hAnsi="宋体" w:cs="宋体"/>
          <w:color w:val="auto"/>
          <w:highlight w:val="none"/>
        </w:rPr>
      </w:pPr>
      <w:bookmarkStart w:id="33" w:name="_Toc144974497"/>
      <w:bookmarkStart w:id="34" w:name="_Toc152042305"/>
      <w:bookmarkStart w:id="35" w:name="_Toc152045529"/>
      <w:bookmarkStart w:id="36" w:name="_Toc247527553"/>
      <w:bookmarkStart w:id="37" w:name="_Toc24193"/>
      <w:bookmarkStart w:id="38" w:name="_Toc247513952"/>
      <w:r>
        <w:rPr>
          <w:rFonts w:hint="eastAsia" w:ascii="宋体" w:hAnsi="宋体" w:cs="宋体"/>
          <w:color w:val="auto"/>
          <w:highlight w:val="none"/>
        </w:rPr>
        <w:t>注：企业综合诚信评价排名得分即企业综合诚信评价60日诚信分，以下同。</w:t>
      </w:r>
    </w:p>
    <w:p w14:paraId="4CEAC3AE">
      <w:pPr>
        <w:pStyle w:val="2"/>
        <w:rPr>
          <w:color w:val="auto"/>
          <w:highlight w:val="none"/>
        </w:rPr>
      </w:pPr>
      <w:r>
        <w:rPr>
          <w:color w:val="auto"/>
          <w:highlight w:val="none"/>
        </w:rPr>
        <w:br w:type="page"/>
      </w:r>
      <w:bookmarkStart w:id="39" w:name="_Toc134304523"/>
      <w:r>
        <w:rPr>
          <w:rFonts w:hint="eastAsia"/>
          <w:color w:val="auto"/>
          <w:highlight w:val="none"/>
        </w:rPr>
        <w:t>1. 总则</w:t>
      </w:r>
      <w:bookmarkEnd w:id="33"/>
      <w:bookmarkEnd w:id="34"/>
      <w:bookmarkEnd w:id="35"/>
      <w:bookmarkEnd w:id="36"/>
      <w:bookmarkEnd w:id="37"/>
      <w:bookmarkEnd w:id="38"/>
      <w:bookmarkEnd w:id="39"/>
    </w:p>
    <w:p w14:paraId="21AFA1A9">
      <w:pPr>
        <w:pStyle w:val="4"/>
        <w:rPr>
          <w:rFonts w:hint="eastAsia"/>
          <w:color w:val="auto"/>
          <w:highlight w:val="none"/>
        </w:rPr>
      </w:pPr>
      <w:bookmarkStart w:id="40" w:name="_Toc13369"/>
      <w:bookmarkStart w:id="41" w:name="_Toc144974498"/>
      <w:bookmarkStart w:id="42" w:name="_Toc152042306"/>
      <w:bookmarkStart w:id="43" w:name="_Toc247527554"/>
      <w:bookmarkStart w:id="44" w:name="_Toc152045530"/>
      <w:bookmarkStart w:id="45" w:name="_Toc247513953"/>
      <w:bookmarkStart w:id="46" w:name="_Toc87238892"/>
      <w:bookmarkStart w:id="47" w:name="_Toc134304524"/>
      <w:r>
        <w:rPr>
          <w:rFonts w:hint="eastAsia"/>
          <w:color w:val="auto"/>
          <w:highlight w:val="none"/>
        </w:rPr>
        <w:t>1.1 项目概况</w:t>
      </w:r>
      <w:bookmarkEnd w:id="40"/>
      <w:bookmarkEnd w:id="41"/>
      <w:bookmarkEnd w:id="42"/>
      <w:bookmarkEnd w:id="43"/>
      <w:bookmarkEnd w:id="44"/>
      <w:bookmarkEnd w:id="45"/>
      <w:bookmarkEnd w:id="46"/>
      <w:bookmarkEnd w:id="47"/>
    </w:p>
    <w:p w14:paraId="1D1EEAD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1.1.1根据《中华人民共和国招标投标法》等有关法律、法规和规章的规定，本招标项目已具备招标条件，现对该项目设计施工进行一体化招标。</w:t>
      </w:r>
    </w:p>
    <w:p w14:paraId="06F5630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1D1A8DE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105E570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53E01E6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51B672BF">
      <w:pPr>
        <w:pStyle w:val="4"/>
        <w:rPr>
          <w:rFonts w:hint="eastAsia"/>
          <w:color w:val="auto"/>
          <w:highlight w:val="none"/>
        </w:rPr>
      </w:pPr>
      <w:bookmarkStart w:id="48" w:name="_Toc247527555"/>
      <w:bookmarkStart w:id="49" w:name="_Toc87238893"/>
      <w:bookmarkStart w:id="50" w:name="_Toc144974499"/>
      <w:bookmarkStart w:id="51" w:name="_Toc152045531"/>
      <w:bookmarkStart w:id="52" w:name="_Toc23462"/>
      <w:bookmarkStart w:id="53" w:name="_Toc247513954"/>
      <w:bookmarkStart w:id="54" w:name="_Toc134304525"/>
      <w:bookmarkStart w:id="55" w:name="_Toc152042307"/>
      <w:r>
        <w:rPr>
          <w:rFonts w:hint="eastAsia"/>
          <w:color w:val="auto"/>
          <w:highlight w:val="none"/>
        </w:rPr>
        <w:t>1.2 项目的资金来源和落实情况</w:t>
      </w:r>
      <w:bookmarkEnd w:id="48"/>
      <w:bookmarkEnd w:id="49"/>
      <w:bookmarkEnd w:id="50"/>
      <w:bookmarkEnd w:id="51"/>
      <w:bookmarkEnd w:id="52"/>
      <w:bookmarkEnd w:id="53"/>
      <w:bookmarkEnd w:id="54"/>
      <w:bookmarkEnd w:id="55"/>
    </w:p>
    <w:p w14:paraId="5401BC0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14483E3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09B240E9">
      <w:pPr>
        <w:pStyle w:val="4"/>
        <w:rPr>
          <w:rFonts w:hint="eastAsia"/>
          <w:color w:val="auto"/>
          <w:highlight w:val="none"/>
        </w:rPr>
      </w:pPr>
      <w:bookmarkStart w:id="56" w:name="_Toc152042308"/>
      <w:bookmarkStart w:id="57" w:name="_Toc247513955"/>
      <w:bookmarkStart w:id="58" w:name="_Toc152045532"/>
      <w:bookmarkStart w:id="59" w:name="_Toc247527556"/>
      <w:bookmarkStart w:id="60" w:name="_Toc144974500"/>
      <w:bookmarkStart w:id="61" w:name="_Toc134304526"/>
      <w:bookmarkStart w:id="62" w:name="_Toc87238894"/>
      <w:bookmarkStart w:id="63" w:name="_Toc13265"/>
      <w:r>
        <w:rPr>
          <w:rFonts w:hint="eastAsia"/>
          <w:color w:val="auto"/>
          <w:highlight w:val="none"/>
        </w:rPr>
        <w:t>1.3 招标范围、计划工期和</w:t>
      </w:r>
      <w:bookmarkEnd w:id="56"/>
      <w:bookmarkEnd w:id="57"/>
      <w:bookmarkEnd w:id="58"/>
      <w:bookmarkEnd w:id="59"/>
      <w:bookmarkEnd w:id="60"/>
      <w:r>
        <w:rPr>
          <w:rFonts w:hint="eastAsia"/>
          <w:color w:val="auto"/>
          <w:highlight w:val="none"/>
        </w:rPr>
        <w:t>质量标准</w:t>
      </w:r>
      <w:bookmarkEnd w:id="61"/>
      <w:bookmarkEnd w:id="62"/>
      <w:bookmarkEnd w:id="63"/>
    </w:p>
    <w:p w14:paraId="37CFA43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13FE6AA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708DC1D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20A5F20A">
      <w:pPr>
        <w:pStyle w:val="4"/>
        <w:rPr>
          <w:rFonts w:hint="eastAsia"/>
          <w:color w:val="auto"/>
          <w:highlight w:val="none"/>
        </w:rPr>
      </w:pPr>
      <w:bookmarkStart w:id="64" w:name="_Toc247527558"/>
      <w:bookmarkStart w:id="65" w:name="_Toc152042310"/>
      <w:bookmarkStart w:id="66" w:name="_Toc25105"/>
      <w:bookmarkStart w:id="67" w:name="_Toc247513957"/>
      <w:bookmarkStart w:id="68" w:name="_Toc152045534"/>
      <w:bookmarkStart w:id="69" w:name="_Toc144974502"/>
      <w:bookmarkStart w:id="70" w:name="_Toc87238895"/>
      <w:bookmarkStart w:id="71" w:name="_Toc134304527"/>
      <w:r>
        <w:rPr>
          <w:rFonts w:hint="eastAsia"/>
          <w:color w:val="auto"/>
          <w:highlight w:val="none"/>
        </w:rPr>
        <w:t>1.4 投标人资格要求</w:t>
      </w:r>
      <w:bookmarkEnd w:id="64"/>
      <w:bookmarkEnd w:id="65"/>
      <w:bookmarkEnd w:id="66"/>
      <w:bookmarkEnd w:id="67"/>
      <w:bookmarkEnd w:id="68"/>
      <w:bookmarkEnd w:id="69"/>
      <w:r>
        <w:rPr>
          <w:rFonts w:hint="eastAsia"/>
          <w:color w:val="auto"/>
          <w:highlight w:val="none"/>
        </w:rPr>
        <w:t>（适用于未进行资格预审的）</w:t>
      </w:r>
      <w:bookmarkEnd w:id="70"/>
      <w:bookmarkEnd w:id="71"/>
    </w:p>
    <w:p w14:paraId="06D1C89A">
      <w:pPr>
        <w:spacing w:line="400" w:lineRule="exact"/>
        <w:ind w:firstLine="420" w:firstLineChars="200"/>
        <w:rPr>
          <w:rFonts w:hint="eastAsia" w:ascii="宋体" w:hAnsi="宋体" w:eastAsia="宋体" w:cs="宋体"/>
          <w:color w:val="auto"/>
          <w:highlight w:val="none"/>
          <w:lang w:eastAsia="zh-CN"/>
        </w:rPr>
      </w:pPr>
      <w:bookmarkStart w:id="72" w:name="_Toc247527559"/>
      <w:bookmarkStart w:id="73" w:name="_Toc152045535"/>
      <w:bookmarkStart w:id="74" w:name="_Toc152042311"/>
      <w:bookmarkStart w:id="75" w:name="_Toc247513958"/>
      <w:bookmarkStart w:id="76" w:name="_Toc144974503"/>
      <w:bookmarkStart w:id="77" w:name="_Toc5312"/>
      <w:r>
        <w:rPr>
          <w:rFonts w:hint="eastAsia" w:ascii="宋体" w:hAnsi="宋体" w:cs="宋体"/>
          <w:color w:val="auto"/>
          <w:highlight w:val="none"/>
        </w:rPr>
        <w:t>1.4.1 投标人应具备承担本招标项目资质条件、能力和信誉</w:t>
      </w:r>
      <w:r>
        <w:rPr>
          <w:rFonts w:hint="eastAsia" w:ascii="宋体" w:hAnsi="宋体" w:cs="宋体"/>
          <w:color w:val="auto"/>
          <w:highlight w:val="none"/>
          <w:lang w:eastAsia="zh-CN"/>
        </w:rPr>
        <w:t>：</w:t>
      </w:r>
    </w:p>
    <w:p w14:paraId="1D67D901">
      <w:pPr>
        <w:snapToGrid w:val="0"/>
        <w:spacing w:line="360" w:lineRule="auto"/>
        <w:ind w:firstLine="420" w:firstLineChars="200"/>
        <w:rPr>
          <w:rFonts w:hint="eastAsia" w:ascii="宋体" w:hAnsi="宋体" w:eastAsia="宋体" w:cs="宋体"/>
          <w:b w:val="0"/>
          <w:bCs w:val="0"/>
          <w:color w:val="auto"/>
          <w:szCs w:val="21"/>
          <w:highlight w:val="none"/>
          <w:u w:val="single"/>
          <w:lang w:eastAsia="zh-CN"/>
        </w:rPr>
      </w:pPr>
      <w:r>
        <w:rPr>
          <w:rFonts w:hint="eastAsia" w:ascii="宋体" w:hAnsi="宋体" w:cs="宋体"/>
          <w:b w:val="0"/>
          <w:bCs w:val="0"/>
          <w:color w:val="auto"/>
          <w:szCs w:val="21"/>
          <w:highlight w:val="none"/>
          <w:u w:val="single"/>
        </w:rPr>
        <w:t>资质条件：见招标公告投标人资格要求</w:t>
      </w:r>
      <w:r>
        <w:rPr>
          <w:rFonts w:hint="eastAsia" w:ascii="宋体" w:hAnsi="宋体" w:cs="宋体"/>
          <w:b w:val="0"/>
          <w:bCs w:val="0"/>
          <w:color w:val="auto"/>
          <w:szCs w:val="21"/>
          <w:highlight w:val="none"/>
          <w:u w:val="single"/>
          <w:lang w:eastAsia="zh-CN"/>
        </w:rPr>
        <w:t>；</w:t>
      </w:r>
    </w:p>
    <w:p w14:paraId="0271E881">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财务要求：/  </w:t>
      </w:r>
    </w:p>
    <w:p w14:paraId="2AAA51D8">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设计业绩要求：/  </w:t>
      </w:r>
    </w:p>
    <w:p w14:paraId="77FCE2BB">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施工业绩要求：/  </w:t>
      </w:r>
    </w:p>
    <w:p w14:paraId="15493A4A">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信誉要求：/  </w:t>
      </w:r>
    </w:p>
    <w:p w14:paraId="0897F7CA">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项目负责人（兼施工负责人）的资格要求：见招标公告投标人资格要求</w:t>
      </w:r>
    </w:p>
    <w:p w14:paraId="4D1F6DDF">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设计负责人的资格要求：见招标公告投标人资格要求</w:t>
      </w:r>
    </w:p>
    <w:p w14:paraId="4044245F">
      <w:pPr>
        <w:snapToGrid w:val="0"/>
        <w:spacing w:line="360" w:lineRule="auto"/>
        <w:ind w:firstLine="420" w:firstLineChars="200"/>
        <w:rPr>
          <w:rFonts w:hint="eastAsia" w:ascii="宋体" w:hAnsi="宋体" w:cs="宋体"/>
          <w:b w:val="0"/>
          <w:bCs w:val="0"/>
          <w:strike/>
          <w:color w:val="auto"/>
          <w:szCs w:val="21"/>
          <w:highlight w:val="none"/>
          <w:u w:val="single"/>
        </w:rPr>
      </w:pPr>
      <w:r>
        <w:rPr>
          <w:rFonts w:hint="eastAsia" w:ascii="宋体" w:hAnsi="宋体" w:cs="宋体"/>
          <w:b w:val="0"/>
          <w:bCs w:val="0"/>
          <w:strike/>
          <w:color w:val="auto"/>
          <w:szCs w:val="21"/>
          <w:highlight w:val="none"/>
          <w:u w:val="single"/>
        </w:rPr>
        <w:t>施工负责人的资格要求：见招标公告投标人资格要求</w:t>
      </w:r>
    </w:p>
    <w:p w14:paraId="6B85D852">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技术负责人资格要求：见招标公告投标人资格要求</w:t>
      </w:r>
    </w:p>
    <w:p w14:paraId="18C4417F">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专职安全员资格要求：见招标公告投标人资格要求</w:t>
      </w:r>
    </w:p>
    <w:p w14:paraId="1261E3B0">
      <w:pPr>
        <w:snapToGrid w:val="0"/>
        <w:spacing w:line="360" w:lineRule="auto"/>
        <w:ind w:firstLine="420" w:firstLineChars="2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项目管理机构及人员：/  </w:t>
      </w:r>
    </w:p>
    <w:p w14:paraId="677D7DFC">
      <w:pPr>
        <w:snapToGrid w:val="0"/>
        <w:spacing w:line="360" w:lineRule="auto"/>
        <w:ind w:firstLine="420" w:firstLineChars="200"/>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其他要求：见招标公告投标人资格要求需要</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rPr>
        <w:br w:type="textWrapping"/>
      </w:r>
      <w:r>
        <w:rPr>
          <w:rFonts w:hint="eastAsia" w:ascii="宋体" w:hAnsi="宋体" w:cs="宋体"/>
          <w:b w:val="0"/>
          <w:bCs w:val="0"/>
          <w:color w:val="auto"/>
          <w:szCs w:val="21"/>
          <w:highlight w:val="none"/>
          <w:u w:val="single"/>
        </w:rPr>
        <w:t>提交的相关证明材料见本章第3.5款的规定。</w:t>
      </w:r>
    </w:p>
    <w:p w14:paraId="06D39BB4">
      <w:pPr>
        <w:snapToGrid w:val="0"/>
        <w:spacing w:line="360" w:lineRule="auto"/>
        <w:ind w:firstLine="420" w:firstLineChars="200"/>
        <w:rPr>
          <w:rFonts w:hint="eastAsia" w:ascii="宋体" w:hAnsi="宋体" w:cs="宋体" w:eastAsiaTheme="minorEastAsia"/>
          <w:b w:val="0"/>
          <w:bCs w:val="0"/>
          <w:color w:val="auto"/>
          <w:szCs w:val="21"/>
          <w:highlight w:val="none"/>
          <w:u w:val="single"/>
          <w:lang w:eastAsia="zh-CN"/>
        </w:rPr>
      </w:pPr>
      <w:r>
        <w:rPr>
          <w:rFonts w:hint="eastAsia" w:ascii="宋体" w:hAnsi="宋体" w:cs="宋体"/>
          <w:b w:val="0"/>
          <w:bCs w:val="0"/>
          <w:color w:val="auto"/>
          <w:szCs w:val="21"/>
          <w:highlight w:val="none"/>
          <w:u w:val="single"/>
        </w:rPr>
        <w:t>1.4.2投标人须知前附表规定接受联合体投标的</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rPr>
        <w:t>应满足下列要求：见本项目招标公告要求</w:t>
      </w:r>
    </w:p>
    <w:p w14:paraId="6BFDB9F8">
      <w:pPr>
        <w:snapToGrid w:val="0"/>
        <w:spacing w:line="360" w:lineRule="auto"/>
        <w:ind w:firstLine="420" w:firstLineChars="200"/>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1.4.3 投标人不得存在下列情形之一：</w:t>
      </w:r>
    </w:p>
    <w:p w14:paraId="76AB8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（一）为招标人不具有独立法人资格的附属机构（单位）；</w:t>
      </w:r>
    </w:p>
    <w:p w14:paraId="00B57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（二）为本标段前期准备提供设计或咨询服务或者与本项目设计人或提供咨询服务的机构存在附属关系的；</w:t>
      </w:r>
    </w:p>
    <w:p w14:paraId="5657E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（三）为本标段监理人或者与本标段监理人存在隶属关系或者其他利害关系；</w:t>
      </w:r>
    </w:p>
    <w:p w14:paraId="6FD1D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（四）为本标段的代建人；</w:t>
      </w:r>
    </w:p>
    <w:p w14:paraId="2C12F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（五）为本标段提供招标代理服务的；</w:t>
      </w:r>
    </w:p>
    <w:p w14:paraId="0E2EC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（六）与本标段的监理人或代建人或招标代理机构同为一个法定代表人的；</w:t>
      </w:r>
    </w:p>
    <w:p w14:paraId="5281E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（七）与本标段的监理人或代建人或招标代理机构互相控股或参股的；</w:t>
      </w:r>
    </w:p>
    <w:p w14:paraId="23BD2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（八）与本标段的监理人或代建人或招标代理机构相互任职或工作的；</w:t>
      </w:r>
    </w:p>
    <w:p w14:paraId="0E1B9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（九）与本标段的检测机构有隶属关系或者其他利害关系；</w:t>
      </w:r>
    </w:p>
    <w:p w14:paraId="332E0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（十）与招标人存在利害关系且可能影响招标公正性； </w:t>
      </w:r>
    </w:p>
    <w:p w14:paraId="00198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84AC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（十二）被责令停产停业、暂扣或者吊销许可证、暂扣或者吊销执照的（本项事实应当以根据《中华人民共和国行政处罚法》依法作出并已经生效的行政处罚决定为认定依据。）；</w:t>
      </w:r>
    </w:p>
    <w:p w14:paraId="26BBA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（十三）进入清算程序，或被宣布破产，或其他丧失履约能力的情形；</w:t>
      </w:r>
    </w:p>
    <w:p w14:paraId="456DF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815868A">
      <w:pPr>
        <w:pStyle w:val="72"/>
        <w:ind w:left="0" w:leftChars="0" w:firstLine="400" w:firstLineChars="200"/>
        <w:rPr>
          <w:rFonts w:hint="eastAsia" w:eastAsiaTheme="minorEastAsia"/>
          <w:color w:val="auto"/>
          <w:highlight w:val="none"/>
          <w:u w:val="single"/>
          <w:lang w:eastAsia="zh-CN"/>
        </w:rPr>
      </w:pP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十五</w:t>
      </w:r>
      <w:r>
        <w:rPr>
          <w:rFonts w:hint="eastAsia" w:ascii="宋体" w:hAnsi="宋体" w:cs="宋体"/>
          <w:b w:val="0"/>
          <w:bCs w:val="0"/>
          <w:color w:val="auto"/>
          <w:szCs w:val="21"/>
          <w:highlight w:val="none"/>
          <w:u w:val="single"/>
          <w:lang w:eastAsia="zh-CN"/>
        </w:rPr>
        <w:t>）</w:t>
      </w:r>
      <w:r>
        <w:rPr>
          <w:rFonts w:hint="eastAsia"/>
          <w:b w:val="0"/>
          <w:bCs w:val="0"/>
          <w:color w:val="auto"/>
          <w:sz w:val="24"/>
          <w:szCs w:val="24"/>
          <w:highlight w:val="none"/>
          <w:u w:val="single"/>
        </w:rPr>
        <w:t>投标报价超过投标人的投标总价或设计费或建设费超过上述最高投标限价的</w:t>
      </w:r>
      <w:r>
        <w:rPr>
          <w:rFonts w:hint="eastAsia"/>
          <w:b w:val="0"/>
          <w:bCs w:val="0"/>
          <w:color w:val="auto"/>
          <w:sz w:val="24"/>
          <w:szCs w:val="24"/>
          <w:highlight w:val="none"/>
          <w:u w:val="single"/>
          <w:lang w:val="en-US" w:eastAsia="zh-CN"/>
        </w:rPr>
        <w:t>中</w:t>
      </w:r>
      <w:r>
        <w:rPr>
          <w:rFonts w:hint="eastAsia"/>
          <w:b w:val="0"/>
          <w:bCs w:val="0"/>
          <w:color w:val="auto"/>
          <w:sz w:val="24"/>
          <w:szCs w:val="24"/>
          <w:highlight w:val="none"/>
          <w:u w:val="single"/>
        </w:rPr>
        <w:t>任一对应的最高投标限价的投标文件。</w:t>
      </w:r>
    </w:p>
    <w:p w14:paraId="3EC22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（十</w:t>
      </w:r>
      <w:r>
        <w:rPr>
          <w:rFonts w:hint="eastAsia" w:ascii="宋体" w:hAnsi="宋体" w:cs="宋体"/>
          <w:b w:val="0"/>
          <w:bCs w:val="0"/>
          <w:color w:val="auto"/>
          <w:szCs w:val="21"/>
          <w:highlight w:val="none"/>
          <w:u w:val="single"/>
          <w:lang w:val="en-US" w:eastAsia="zh-CN"/>
        </w:rPr>
        <w:t>六</w:t>
      </w:r>
      <w:r>
        <w:rPr>
          <w:rFonts w:hint="eastAsia" w:ascii="宋体" w:hAnsi="宋体" w:cs="宋体"/>
          <w:b w:val="0"/>
          <w:bCs w:val="0"/>
          <w:color w:val="auto"/>
          <w:szCs w:val="21"/>
          <w:highlight w:val="none"/>
          <w:u w:val="single"/>
        </w:rPr>
        <w:t>）法律法规规定的其他情形。</w:t>
      </w:r>
    </w:p>
    <w:p w14:paraId="3454BA2C">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7BCA17BF">
      <w:pPr>
        <w:pStyle w:val="4"/>
        <w:rPr>
          <w:rFonts w:hint="eastAsia"/>
          <w:color w:val="auto"/>
          <w:highlight w:val="none"/>
        </w:rPr>
      </w:pPr>
      <w:bookmarkStart w:id="78" w:name="_Toc134304528"/>
      <w:bookmarkStart w:id="79" w:name="_Toc87238896"/>
      <w:r>
        <w:rPr>
          <w:rFonts w:hint="eastAsia"/>
          <w:color w:val="auto"/>
          <w:highlight w:val="none"/>
        </w:rPr>
        <w:t>1.5 费用承担</w:t>
      </w:r>
      <w:bookmarkEnd w:id="72"/>
      <w:bookmarkEnd w:id="73"/>
      <w:bookmarkEnd w:id="74"/>
      <w:bookmarkEnd w:id="75"/>
      <w:bookmarkEnd w:id="76"/>
      <w:r>
        <w:rPr>
          <w:rFonts w:hint="eastAsia"/>
          <w:color w:val="auto"/>
          <w:highlight w:val="none"/>
        </w:rPr>
        <w:t>和设计成果补偿</w:t>
      </w:r>
      <w:bookmarkEnd w:id="77"/>
      <w:bookmarkEnd w:id="78"/>
      <w:bookmarkEnd w:id="79"/>
    </w:p>
    <w:p w14:paraId="484DA7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0B40817E">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4BDA8B9B">
      <w:pPr>
        <w:pStyle w:val="4"/>
        <w:rPr>
          <w:rFonts w:hint="eastAsia"/>
          <w:color w:val="auto"/>
          <w:highlight w:val="none"/>
        </w:rPr>
      </w:pPr>
      <w:bookmarkStart w:id="80" w:name="_Toc152045536"/>
      <w:bookmarkStart w:id="81" w:name="_Toc152042312"/>
      <w:bookmarkStart w:id="82" w:name="_Toc11231"/>
      <w:bookmarkStart w:id="83" w:name="_Toc247513959"/>
      <w:bookmarkStart w:id="84" w:name="_Toc134304529"/>
      <w:bookmarkStart w:id="85" w:name="_Toc247527560"/>
      <w:bookmarkStart w:id="86" w:name="_Toc87238897"/>
      <w:bookmarkStart w:id="87" w:name="_Toc144974504"/>
      <w:r>
        <w:rPr>
          <w:rFonts w:hint="eastAsia"/>
          <w:color w:val="auto"/>
          <w:highlight w:val="none"/>
        </w:rPr>
        <w:t>1.6 保密</w:t>
      </w:r>
      <w:bookmarkEnd w:id="80"/>
      <w:bookmarkEnd w:id="81"/>
      <w:bookmarkEnd w:id="82"/>
      <w:bookmarkEnd w:id="83"/>
      <w:bookmarkEnd w:id="84"/>
      <w:bookmarkEnd w:id="85"/>
      <w:bookmarkEnd w:id="86"/>
      <w:bookmarkEnd w:id="87"/>
    </w:p>
    <w:p w14:paraId="4C15CF5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14:paraId="6C452B6E">
      <w:pPr>
        <w:pStyle w:val="4"/>
        <w:rPr>
          <w:rFonts w:hint="eastAsia"/>
          <w:color w:val="auto"/>
          <w:highlight w:val="none"/>
        </w:rPr>
      </w:pPr>
      <w:bookmarkStart w:id="88" w:name="_Toc144974505"/>
      <w:bookmarkStart w:id="89" w:name="_Toc87238898"/>
      <w:bookmarkStart w:id="90" w:name="_Toc152042313"/>
      <w:bookmarkStart w:id="91" w:name="_Toc152045537"/>
      <w:bookmarkStart w:id="92" w:name="_Toc247527561"/>
      <w:bookmarkStart w:id="93" w:name="_Toc4973"/>
      <w:bookmarkStart w:id="94" w:name="_Toc134304530"/>
      <w:bookmarkStart w:id="95" w:name="_Toc247513960"/>
      <w:r>
        <w:rPr>
          <w:rFonts w:hint="eastAsia"/>
          <w:color w:val="auto"/>
          <w:highlight w:val="none"/>
        </w:rPr>
        <w:t>1.7 语言</w:t>
      </w:r>
      <w:bookmarkEnd w:id="88"/>
      <w:r>
        <w:rPr>
          <w:rFonts w:hint="eastAsia"/>
          <w:color w:val="auto"/>
          <w:highlight w:val="none"/>
        </w:rPr>
        <w:t>文字</w:t>
      </w:r>
      <w:bookmarkEnd w:id="89"/>
      <w:bookmarkEnd w:id="90"/>
      <w:bookmarkEnd w:id="91"/>
      <w:bookmarkEnd w:id="92"/>
      <w:bookmarkEnd w:id="93"/>
      <w:bookmarkEnd w:id="94"/>
      <w:bookmarkEnd w:id="95"/>
    </w:p>
    <w:p w14:paraId="5F9C79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52B99514">
      <w:pPr>
        <w:pStyle w:val="4"/>
        <w:rPr>
          <w:rFonts w:hint="eastAsia"/>
          <w:color w:val="auto"/>
          <w:highlight w:val="none"/>
        </w:rPr>
      </w:pPr>
      <w:bookmarkStart w:id="96" w:name="_Toc247513961"/>
      <w:bookmarkStart w:id="97" w:name="_Toc87238899"/>
      <w:bookmarkStart w:id="98" w:name="_Toc26287"/>
      <w:bookmarkStart w:id="99" w:name="_Toc152045538"/>
      <w:bookmarkStart w:id="100" w:name="_Toc134304531"/>
      <w:bookmarkStart w:id="101" w:name="_Toc152042314"/>
      <w:bookmarkStart w:id="102" w:name="_Toc144974506"/>
      <w:bookmarkStart w:id="103" w:name="_Toc247527562"/>
      <w:r>
        <w:rPr>
          <w:rFonts w:hint="eastAsia"/>
          <w:color w:val="auto"/>
          <w:highlight w:val="none"/>
        </w:rPr>
        <w:t>1.8 计量单位</w:t>
      </w:r>
      <w:bookmarkEnd w:id="96"/>
      <w:bookmarkEnd w:id="97"/>
      <w:bookmarkEnd w:id="98"/>
      <w:bookmarkEnd w:id="99"/>
      <w:bookmarkEnd w:id="100"/>
      <w:bookmarkEnd w:id="101"/>
      <w:bookmarkEnd w:id="102"/>
      <w:bookmarkEnd w:id="103"/>
    </w:p>
    <w:p w14:paraId="24F5478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6D799EEA">
      <w:pPr>
        <w:pStyle w:val="4"/>
        <w:rPr>
          <w:rFonts w:hint="eastAsia"/>
          <w:color w:val="auto"/>
          <w:highlight w:val="none"/>
        </w:rPr>
      </w:pPr>
      <w:bookmarkStart w:id="104" w:name="_Toc152042315"/>
      <w:bookmarkStart w:id="105" w:name="_Toc247527563"/>
      <w:bookmarkStart w:id="106" w:name="_Toc134304532"/>
      <w:bookmarkStart w:id="107" w:name="_Toc144974507"/>
      <w:bookmarkStart w:id="108" w:name="_Toc247513962"/>
      <w:bookmarkStart w:id="109" w:name="_Toc23833"/>
      <w:bookmarkStart w:id="110" w:name="_Toc87238900"/>
      <w:bookmarkStart w:id="111" w:name="_Toc152045539"/>
      <w:r>
        <w:rPr>
          <w:rFonts w:hint="eastAsia"/>
          <w:color w:val="auto"/>
          <w:highlight w:val="none"/>
        </w:rPr>
        <w:t>1.9 踏勘现场</w:t>
      </w:r>
      <w:bookmarkEnd w:id="104"/>
      <w:bookmarkEnd w:id="105"/>
      <w:bookmarkEnd w:id="106"/>
      <w:bookmarkEnd w:id="107"/>
      <w:bookmarkEnd w:id="108"/>
      <w:bookmarkEnd w:id="109"/>
      <w:bookmarkEnd w:id="110"/>
      <w:bookmarkEnd w:id="111"/>
    </w:p>
    <w:p w14:paraId="5D58C3A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CA83F3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1.9.2 招标人向投标人提供的有关现场的数据和资料，是招标人现有的能被投标人利用的资料，招标人对投标人做出的任何推论、理解和结论均不负责任。</w:t>
      </w:r>
    </w:p>
    <w:p w14:paraId="06F09A8E">
      <w:pPr>
        <w:spacing w:line="400" w:lineRule="exact"/>
        <w:ind w:firstLine="420" w:firstLineChars="200"/>
        <w:rPr>
          <w:color w:val="auto"/>
          <w:highlight w:val="none"/>
        </w:rPr>
      </w:pPr>
      <w:r>
        <w:rPr>
          <w:rFonts w:hint="eastAsia" w:ascii="宋体" w:hAnsi="宋体" w:cs="宋体"/>
          <w:color w:val="auto"/>
          <w:highlight w:val="none"/>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12" w:name="_Toc247527564"/>
      <w:bookmarkStart w:id="113" w:name="_Toc152042316"/>
      <w:bookmarkStart w:id="114" w:name="_Toc144974508"/>
      <w:bookmarkStart w:id="115" w:name="_Toc152045540"/>
      <w:bookmarkStart w:id="116" w:name="_Toc16251"/>
      <w:bookmarkStart w:id="117" w:name="_Toc247513963"/>
    </w:p>
    <w:p w14:paraId="5FF8BC26">
      <w:pPr>
        <w:pStyle w:val="4"/>
        <w:rPr>
          <w:rFonts w:hint="eastAsia"/>
          <w:color w:val="auto"/>
          <w:highlight w:val="none"/>
        </w:rPr>
      </w:pPr>
      <w:bookmarkStart w:id="118" w:name="_Toc134304533"/>
      <w:bookmarkStart w:id="119" w:name="_Toc87238901"/>
      <w:r>
        <w:rPr>
          <w:rFonts w:hint="eastAsia"/>
          <w:color w:val="auto"/>
          <w:highlight w:val="none"/>
        </w:rPr>
        <w:t xml:space="preserve">1.10 </w:t>
      </w:r>
      <w:bookmarkEnd w:id="112"/>
      <w:bookmarkEnd w:id="113"/>
      <w:bookmarkEnd w:id="114"/>
      <w:bookmarkEnd w:id="115"/>
      <w:bookmarkEnd w:id="116"/>
      <w:bookmarkEnd w:id="117"/>
      <w:r>
        <w:rPr>
          <w:rFonts w:hint="eastAsia"/>
          <w:color w:val="auto"/>
          <w:highlight w:val="none"/>
        </w:rPr>
        <w:t>招标答疑</w:t>
      </w:r>
      <w:bookmarkEnd w:id="118"/>
      <w:bookmarkEnd w:id="119"/>
      <w:bookmarkStart w:id="120" w:name="_Toc3889"/>
      <w:bookmarkStart w:id="121" w:name="_Toc16283"/>
      <w:bookmarkStart w:id="122" w:name="_Toc152045541"/>
      <w:bookmarkStart w:id="123" w:name="_Toc17636"/>
      <w:bookmarkStart w:id="124" w:name="_Toc152042317"/>
      <w:bookmarkStart w:id="125" w:name="_Toc247527565"/>
      <w:bookmarkStart w:id="126" w:name="_Toc144974509"/>
      <w:bookmarkStart w:id="127" w:name="_Toc247513964"/>
    </w:p>
    <w:p w14:paraId="2974EEAF">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1.10.1 招标答疑采用网上答疑方式进行。投标人若对招标文件（包括招标图纸、清单、投标最高限价、合同）有疑问的，可在规定的时间内通过广州交易集团有限公司（广州公共资源交易中心）网站进入提问区域将问题提交给招标人或招标代理人，提交问题时一律不得署名。</w:t>
      </w:r>
      <w:bookmarkEnd w:id="120"/>
      <w:bookmarkEnd w:id="121"/>
      <w:bookmarkStart w:id="128" w:name="_Toc16844"/>
      <w:bookmarkStart w:id="129" w:name="_Toc14422"/>
      <w:bookmarkStart w:id="130" w:name="_Toc21882"/>
      <w:r>
        <w:rPr>
          <w:rFonts w:hint="eastAsia" w:ascii="宋体" w:cs="宋体"/>
          <w:bCs/>
          <w:color w:val="auto"/>
          <w:highlight w:val="none"/>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8"/>
      <w:bookmarkEnd w:id="129"/>
      <w:bookmarkEnd w:id="130"/>
      <w:r>
        <w:rPr>
          <w:rFonts w:hint="eastAsia" w:ascii="宋体" w:hAnsi="宋体" w:cs="宋体"/>
          <w:color w:val="auto"/>
          <w:highlight w:val="none"/>
          <w:u w:val="single"/>
        </w:rPr>
        <w:t>。</w:t>
      </w:r>
      <w:bookmarkStart w:id="131" w:name="_Toc17089"/>
      <w:bookmarkStart w:id="132" w:name="_Toc31603"/>
      <w:bookmarkStart w:id="133" w:name="_Toc22325"/>
    </w:p>
    <w:p w14:paraId="0DFA13F0">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1.10.2 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bookmarkEnd w:id="131"/>
      <w:bookmarkEnd w:id="132"/>
      <w:bookmarkEnd w:id="133"/>
      <w:bookmarkStart w:id="134" w:name="_Toc23655"/>
      <w:bookmarkStart w:id="135" w:name="_Toc12054"/>
      <w:bookmarkStart w:id="136" w:name="_Toc17542"/>
    </w:p>
    <w:p w14:paraId="0FDA3200">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 招标答疑纪要一经在广州交易集团有限公司（广州公共资源交易中心）网站发布，视作已发放给所有投标人。</w:t>
      </w:r>
      <w:bookmarkEnd w:id="134"/>
      <w:bookmarkEnd w:id="135"/>
      <w:bookmarkEnd w:id="136"/>
      <w:bookmarkStart w:id="137" w:name="_Toc22640"/>
      <w:bookmarkStart w:id="138" w:name="_Toc23270"/>
      <w:bookmarkStart w:id="139" w:name="_Toc2020"/>
    </w:p>
    <w:p w14:paraId="4B88A253">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1.10.4 招标答疑纪要为招标文件的一部分。投标人可在广州交易集团有限公司（广州公共资源交易中心）网站浏览、下载招标答疑纪要。</w:t>
      </w:r>
      <w:bookmarkEnd w:id="137"/>
      <w:bookmarkEnd w:id="138"/>
      <w:bookmarkEnd w:id="139"/>
      <w:bookmarkStart w:id="140" w:name="_Toc8182"/>
      <w:bookmarkStart w:id="141" w:name="_Toc2639"/>
      <w:bookmarkStart w:id="142" w:name="_Toc279"/>
    </w:p>
    <w:p w14:paraId="1409213E">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1.10.5 若招标答疑纪要与招标文件有矛盾时，以广州交易集团有限公司（广州公共资源交易中心）网站最后发布的答疑纪要为准。</w:t>
      </w:r>
      <w:bookmarkEnd w:id="140"/>
      <w:bookmarkEnd w:id="141"/>
      <w:bookmarkEnd w:id="142"/>
    </w:p>
    <w:p w14:paraId="2407F15A">
      <w:pPr>
        <w:pStyle w:val="4"/>
        <w:rPr>
          <w:rFonts w:hint="eastAsia"/>
          <w:color w:val="auto"/>
          <w:highlight w:val="none"/>
        </w:rPr>
      </w:pPr>
      <w:bookmarkStart w:id="143" w:name="_Toc87238902"/>
      <w:bookmarkStart w:id="144" w:name="_Toc134304534"/>
      <w:r>
        <w:rPr>
          <w:rFonts w:hint="eastAsia"/>
          <w:color w:val="auto"/>
          <w:highlight w:val="none"/>
        </w:rPr>
        <w:t>1.11 分包</w:t>
      </w:r>
      <w:bookmarkEnd w:id="122"/>
      <w:bookmarkEnd w:id="123"/>
      <w:bookmarkEnd w:id="124"/>
      <w:bookmarkEnd w:id="125"/>
      <w:bookmarkEnd w:id="126"/>
      <w:bookmarkEnd w:id="127"/>
      <w:bookmarkEnd w:id="143"/>
      <w:bookmarkEnd w:id="144"/>
    </w:p>
    <w:p w14:paraId="4B951793">
      <w:pPr>
        <w:spacing w:line="400" w:lineRule="exact"/>
        <w:ind w:firstLine="567" w:firstLineChars="270"/>
        <w:rPr>
          <w:rFonts w:hint="eastAsia" w:ascii="宋体" w:hAnsi="宋体" w:cs="宋体"/>
          <w:strike/>
          <w:color w:val="auto"/>
          <w:highlight w:val="none"/>
        </w:rPr>
      </w:pPr>
      <w:r>
        <w:rPr>
          <w:rFonts w:hint="eastAsia" w:ascii="宋体" w:hAnsi="宋体" w:cs="宋体"/>
          <w:strike/>
          <w:color w:val="auto"/>
          <w:highlight w:val="none"/>
        </w:rPr>
        <w:t>1.11.1 投标人须知前附表规定应当由分包人实施的非主体、非关键性工作，投标人应当按照第五章“发包人要求”的规定提供分包人侯选名单及其相应资料。</w:t>
      </w:r>
    </w:p>
    <w:p w14:paraId="60B77C95">
      <w:pPr>
        <w:spacing w:line="400" w:lineRule="exact"/>
        <w:ind w:firstLine="567" w:firstLineChars="270"/>
        <w:rPr>
          <w:rFonts w:hint="eastAsia" w:ascii="宋体" w:hAnsi="宋体" w:cs="宋体"/>
          <w:color w:val="auto"/>
          <w:highlight w:val="none"/>
        </w:rPr>
      </w:pPr>
      <w:r>
        <w:rPr>
          <w:rFonts w:hint="eastAsia" w:ascii="宋体" w:hAnsi="宋体" w:cs="宋体"/>
          <w:strike/>
          <w:color w:val="auto"/>
          <w:highlight w:val="none"/>
        </w:rPr>
        <w:t>1.11.2 投标人拟在中标后将中标项目的部分非主体、非关键性工作进行分包的，应符合投标人须知前附表规定的分包内容、分包金额和资质要求等限制性条件。</w:t>
      </w:r>
    </w:p>
    <w:p w14:paraId="11CEA769">
      <w:pPr>
        <w:pStyle w:val="4"/>
        <w:rPr>
          <w:rFonts w:hint="eastAsia"/>
          <w:color w:val="auto"/>
          <w:highlight w:val="none"/>
        </w:rPr>
      </w:pPr>
      <w:bookmarkStart w:id="145" w:name="_Toc134304535"/>
      <w:bookmarkStart w:id="146" w:name="_Toc247513965"/>
      <w:bookmarkStart w:id="147" w:name="_Toc87238903"/>
      <w:bookmarkStart w:id="148" w:name="_Toc247527566"/>
      <w:bookmarkStart w:id="149" w:name="_Toc30381"/>
      <w:r>
        <w:rPr>
          <w:rFonts w:hint="eastAsia"/>
          <w:color w:val="auto"/>
          <w:highlight w:val="none"/>
        </w:rPr>
        <w:t>1.12 偏离</w:t>
      </w:r>
      <w:bookmarkEnd w:id="145"/>
      <w:bookmarkEnd w:id="146"/>
      <w:bookmarkEnd w:id="147"/>
      <w:bookmarkEnd w:id="148"/>
      <w:bookmarkEnd w:id="149"/>
    </w:p>
    <w:p w14:paraId="402ADAF2">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1E0C0CA9">
      <w:pPr>
        <w:pStyle w:val="2"/>
        <w:rPr>
          <w:color w:val="auto"/>
          <w:highlight w:val="none"/>
        </w:rPr>
      </w:pPr>
      <w:bookmarkStart w:id="150" w:name="_Toc144974510"/>
      <w:bookmarkStart w:id="151" w:name="_Toc152045542"/>
      <w:bookmarkStart w:id="152" w:name="_Toc134304536"/>
      <w:bookmarkStart w:id="153" w:name="_Toc247527567"/>
      <w:bookmarkStart w:id="154" w:name="_Toc247513966"/>
      <w:bookmarkStart w:id="155" w:name="_Toc152042318"/>
      <w:bookmarkStart w:id="156" w:name="_Toc1073"/>
      <w:r>
        <w:rPr>
          <w:rFonts w:hint="eastAsia"/>
          <w:color w:val="auto"/>
          <w:highlight w:val="none"/>
        </w:rPr>
        <w:t>2. 招标文件</w:t>
      </w:r>
      <w:bookmarkEnd w:id="150"/>
      <w:bookmarkEnd w:id="151"/>
      <w:bookmarkEnd w:id="152"/>
      <w:bookmarkEnd w:id="153"/>
      <w:bookmarkEnd w:id="154"/>
      <w:bookmarkEnd w:id="155"/>
      <w:bookmarkEnd w:id="156"/>
    </w:p>
    <w:p w14:paraId="51C33E80">
      <w:pPr>
        <w:pStyle w:val="4"/>
        <w:rPr>
          <w:rFonts w:hint="eastAsia"/>
          <w:color w:val="auto"/>
          <w:highlight w:val="none"/>
        </w:rPr>
      </w:pPr>
      <w:bookmarkStart w:id="157" w:name="_Toc134304537"/>
      <w:bookmarkStart w:id="158" w:name="_Toc30775"/>
      <w:bookmarkStart w:id="159" w:name="_Toc152042319"/>
      <w:bookmarkStart w:id="160" w:name="_Toc247513967"/>
      <w:bookmarkStart w:id="161" w:name="_Toc144974511"/>
      <w:bookmarkStart w:id="162" w:name="_Toc247527568"/>
      <w:bookmarkStart w:id="163" w:name="_Toc152045543"/>
      <w:bookmarkStart w:id="164" w:name="_Toc87238905"/>
      <w:r>
        <w:rPr>
          <w:rFonts w:hint="eastAsia"/>
          <w:color w:val="auto"/>
          <w:highlight w:val="none"/>
        </w:rPr>
        <w:t>2.1 招标文件的组成</w:t>
      </w:r>
      <w:bookmarkEnd w:id="157"/>
      <w:bookmarkEnd w:id="158"/>
      <w:bookmarkEnd w:id="159"/>
      <w:bookmarkEnd w:id="160"/>
      <w:bookmarkEnd w:id="161"/>
      <w:bookmarkEnd w:id="162"/>
      <w:bookmarkEnd w:id="163"/>
      <w:bookmarkEnd w:id="164"/>
    </w:p>
    <w:p w14:paraId="44081B20">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本招标文件包括：</w:t>
      </w:r>
    </w:p>
    <w:p w14:paraId="57EADBE7">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74DED56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39D2CC85">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0365CB8F">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1F3C15F5">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要求（用户需求书）；</w:t>
      </w:r>
    </w:p>
    <w:p w14:paraId="0E5CBAF0">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14:paraId="229E2DD6">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273A6469">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59B0EBB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125178F7">
      <w:pPr>
        <w:pStyle w:val="2"/>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注：招标人应在技术条件（工程建设标准）中明确施工现场建筑垃圾源头减量的具体要求和建筑垃圾综合利用产品的使用要求。</w:t>
      </w:r>
    </w:p>
    <w:p w14:paraId="6E65A509">
      <w:pPr>
        <w:pStyle w:val="4"/>
        <w:rPr>
          <w:rFonts w:hint="eastAsia"/>
          <w:color w:val="auto"/>
          <w:highlight w:val="none"/>
        </w:rPr>
      </w:pPr>
      <w:bookmarkStart w:id="165" w:name="_Toc152042320"/>
      <w:bookmarkStart w:id="166" w:name="_Toc134304538"/>
      <w:bookmarkStart w:id="167" w:name="_Toc30434"/>
      <w:bookmarkStart w:id="168" w:name="_Toc247527569"/>
      <w:bookmarkStart w:id="169" w:name="_Toc87238906"/>
      <w:bookmarkStart w:id="170" w:name="_Toc247513968"/>
      <w:bookmarkStart w:id="171" w:name="_Toc144974512"/>
      <w:bookmarkStart w:id="172" w:name="_Toc152045544"/>
      <w:r>
        <w:rPr>
          <w:rFonts w:hint="eastAsia"/>
          <w:color w:val="auto"/>
          <w:highlight w:val="none"/>
        </w:rPr>
        <w:t>2.2 招标文件的澄清</w:t>
      </w:r>
      <w:bookmarkEnd w:id="165"/>
      <w:bookmarkEnd w:id="166"/>
      <w:bookmarkEnd w:id="167"/>
      <w:bookmarkEnd w:id="168"/>
      <w:bookmarkEnd w:id="169"/>
      <w:bookmarkEnd w:id="170"/>
      <w:bookmarkEnd w:id="171"/>
      <w:bookmarkEnd w:id="172"/>
    </w:p>
    <w:p w14:paraId="4755A96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14:paraId="28266A2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5A4FDA7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招标文件澄清在交易平台网站通过项目答疑专区网上公开发布，发出即视作收到，以交易平台网站发布时间作为送达时间。无需投标人确认。投标人应自行关注，招标人不再一一通知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14:paraId="0453C909">
      <w:pPr>
        <w:pStyle w:val="4"/>
        <w:rPr>
          <w:rFonts w:hint="eastAsia"/>
          <w:color w:val="auto"/>
          <w:highlight w:val="none"/>
        </w:rPr>
      </w:pPr>
      <w:bookmarkStart w:id="173" w:name="_Toc144974513"/>
      <w:bookmarkStart w:id="174" w:name="_Toc152045545"/>
      <w:bookmarkStart w:id="175" w:name="_Toc87238907"/>
      <w:bookmarkStart w:id="176" w:name="_Toc247527570"/>
      <w:bookmarkStart w:id="177" w:name="_Toc134304539"/>
      <w:bookmarkStart w:id="178" w:name="_Toc6494"/>
      <w:bookmarkStart w:id="179" w:name="_Toc247513969"/>
      <w:bookmarkStart w:id="180" w:name="_Toc152042321"/>
      <w:r>
        <w:rPr>
          <w:rFonts w:hint="eastAsia"/>
          <w:color w:val="auto"/>
          <w:highlight w:val="none"/>
        </w:rPr>
        <w:t>2.3 招标文件的修改</w:t>
      </w:r>
      <w:bookmarkEnd w:id="173"/>
      <w:bookmarkEnd w:id="174"/>
      <w:bookmarkEnd w:id="175"/>
      <w:bookmarkEnd w:id="176"/>
      <w:bookmarkEnd w:id="177"/>
      <w:bookmarkEnd w:id="178"/>
      <w:bookmarkEnd w:id="179"/>
      <w:bookmarkEnd w:id="180"/>
    </w:p>
    <w:p w14:paraId="3FFB883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47FA9D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w:t>
      </w:r>
      <w:r>
        <w:rPr>
          <w:rFonts w:hint="eastAsia" w:ascii="宋体" w:hAnsi="宋体" w:cs="宋体"/>
          <w:color w:val="auto"/>
          <w:szCs w:val="21"/>
          <w:highlight w:val="none"/>
          <w:u w:val="single"/>
        </w:rPr>
        <w:t>修改</w:t>
      </w:r>
      <w:r>
        <w:rPr>
          <w:rFonts w:hint="eastAsia" w:ascii="宋体" w:hAnsi="宋体" w:cs="宋体"/>
          <w:color w:val="auto"/>
          <w:highlight w:val="none"/>
          <w:u w:val="single"/>
        </w:rPr>
        <w:t>（或补充公告）一经在交易平台网站发布，视作已发放给所有投标人，以交易平台网站发布时间作为送达时间。无需投标人确认。投标人应自行关注，招标人不再一一通知</w:t>
      </w:r>
      <w:r>
        <w:rPr>
          <w:rFonts w:hint="eastAsia" w:ascii="宋体" w:hAnsi="宋体" w:cs="宋体"/>
          <w:color w:val="auto"/>
          <w:highlight w:val="none"/>
        </w:rPr>
        <w:t>。</w:t>
      </w:r>
    </w:p>
    <w:p w14:paraId="1A053D5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修改均以广州交易集团有限公司（广州公共资源交易中心）网站发布的内容为准。当招标文件的修改在同一内容的表述不一致时，以广州交易集团有限公司（广州公共资源交易中心）网站最后发布的内容为准。</w:t>
      </w:r>
    </w:p>
    <w:p w14:paraId="3D85B774">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34909622">
      <w:pPr>
        <w:pStyle w:val="2"/>
        <w:rPr>
          <w:color w:val="auto"/>
          <w:highlight w:val="none"/>
        </w:rPr>
      </w:pPr>
      <w:bookmarkStart w:id="181" w:name="_Toc152045546"/>
      <w:bookmarkStart w:id="182" w:name="_Toc247527571"/>
      <w:bookmarkStart w:id="183" w:name="_Toc247513970"/>
      <w:bookmarkStart w:id="184" w:name="_Toc144974514"/>
      <w:bookmarkStart w:id="185" w:name="_Toc152042322"/>
      <w:bookmarkStart w:id="186" w:name="_Toc2660"/>
      <w:bookmarkStart w:id="187" w:name="_Toc134304540"/>
      <w:r>
        <w:rPr>
          <w:rFonts w:hint="eastAsia"/>
          <w:color w:val="auto"/>
          <w:highlight w:val="none"/>
        </w:rPr>
        <w:t>3. 投标文件</w:t>
      </w:r>
      <w:bookmarkEnd w:id="181"/>
      <w:bookmarkEnd w:id="182"/>
      <w:bookmarkEnd w:id="183"/>
      <w:bookmarkEnd w:id="184"/>
      <w:bookmarkEnd w:id="185"/>
      <w:bookmarkEnd w:id="186"/>
      <w:bookmarkEnd w:id="187"/>
    </w:p>
    <w:p w14:paraId="0E5ABC50">
      <w:pPr>
        <w:pStyle w:val="4"/>
        <w:rPr>
          <w:rFonts w:hint="eastAsia"/>
          <w:color w:val="auto"/>
          <w:highlight w:val="none"/>
        </w:rPr>
      </w:pPr>
      <w:bookmarkStart w:id="188" w:name="_Toc152045547"/>
      <w:bookmarkStart w:id="189" w:name="_Toc144974515"/>
      <w:bookmarkStart w:id="190" w:name="_Toc247513971"/>
      <w:bookmarkStart w:id="191" w:name="_Toc247527572"/>
      <w:bookmarkStart w:id="192" w:name="_Toc152042323"/>
      <w:bookmarkStart w:id="193" w:name="_Toc134304541"/>
      <w:bookmarkStart w:id="194" w:name="_Toc87238909"/>
      <w:bookmarkStart w:id="195" w:name="_Toc21008"/>
      <w:r>
        <w:rPr>
          <w:rFonts w:hint="eastAsia"/>
          <w:color w:val="auto"/>
          <w:highlight w:val="none"/>
        </w:rPr>
        <w:t>3.1 投标文件的组成</w:t>
      </w:r>
      <w:bookmarkEnd w:id="188"/>
      <w:bookmarkEnd w:id="189"/>
      <w:bookmarkEnd w:id="190"/>
      <w:bookmarkEnd w:id="191"/>
      <w:bookmarkEnd w:id="192"/>
      <w:bookmarkEnd w:id="193"/>
      <w:bookmarkEnd w:id="194"/>
      <w:bookmarkEnd w:id="195"/>
    </w:p>
    <w:p w14:paraId="0D18C1E1">
      <w:pP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投标文件由设计方案投标文件、资格审查文件、工程总承包实施方案投标文件三部分组成。</w:t>
      </w:r>
    </w:p>
    <w:p w14:paraId="4C73D3D0">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3.1.1 设计方案投标文件（采用“暗标”形式，设计方案投标文件中不得出现可以辨认投标人及专业技术人员身份的名称、印章、商标、图形等）：</w:t>
      </w:r>
    </w:p>
    <w:p w14:paraId="2054F0E8">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42ED7F00">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（1）封面（注明项目名称、“设计方案投标文件”字样、编制年月）</w:t>
      </w:r>
    </w:p>
    <w:p w14:paraId="48D984E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0AFC37C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（3）项目设计方案（含效果图及方案设计）：</w:t>
      </w:r>
    </w:p>
    <w:p w14:paraId="71EA566E">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A、设计说明</w:t>
      </w:r>
    </w:p>
    <w:p w14:paraId="48A01DFD">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B、效果图</w:t>
      </w:r>
    </w:p>
    <w:p w14:paraId="1CCFBE05">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C、设计图纸</w:t>
      </w:r>
    </w:p>
    <w:p w14:paraId="2E8A5B35">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（4）其他与设计有关的材料</w:t>
      </w:r>
    </w:p>
    <w:p w14:paraId="3868F5D7">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3.1.2 资格审查文件：</w:t>
      </w:r>
    </w:p>
    <w:p w14:paraId="6455D017">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66B705E6">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29601D7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3C7A7EE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（3）法定代表人证明书，如投标文件为委托代理人签署应同时附上法定代表人证明书和法定代表人授权书（联合体投标的，由联合体主办方出具）。</w:t>
      </w:r>
    </w:p>
    <w:p w14:paraId="6E64D07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（4）企业营业执照（联合体投标的，联合体各方均出具）</w:t>
      </w:r>
    </w:p>
    <w:p w14:paraId="626C36B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（5）企业资质证书（联合体投标的，联合体各方均出具）</w:t>
      </w:r>
    </w:p>
    <w:p w14:paraId="28637C2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（6）安全生产许可证（联合体投标的，由联合体</w:t>
      </w:r>
      <w:r>
        <w:rPr>
          <w:rFonts w:hint="eastAsia" w:ascii="宋体" w:hAnsi="宋体"/>
          <w:color w:val="auto"/>
          <w:szCs w:val="21"/>
          <w:highlight w:val="none"/>
          <w:u w:val="single"/>
        </w:rPr>
        <w:t>承接施工任务</w:t>
      </w:r>
      <w:r>
        <w:rPr>
          <w:rFonts w:hint="eastAsia" w:ascii="宋体" w:hAnsi="宋体" w:cs="宋体"/>
          <w:bCs/>
          <w:color w:val="auto"/>
          <w:szCs w:val="21"/>
          <w:highlight w:val="none"/>
          <w:u w:val="single"/>
        </w:rPr>
        <w:t>方</w:t>
      </w:r>
      <w:r>
        <w:rPr>
          <w:rFonts w:hint="eastAsia" w:ascii="宋体" w:hAnsi="宋体" w:cs="宋体"/>
          <w:color w:val="auto"/>
          <w:highlight w:val="none"/>
          <w:u w:val="single"/>
        </w:rPr>
        <w:t>出具）</w:t>
      </w:r>
    </w:p>
    <w:p w14:paraId="52FF24E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（7）项目负责人（兼施工负责人）的建造师电子注册证书，有效期内的安全</w:t>
      </w:r>
      <w:r>
        <w:rPr>
          <w:rFonts w:hint="eastAsia" w:ascii="宋体" w:hAnsi="宋体" w:cs="TimesNewRomanPSMT"/>
          <w:color w:val="auto"/>
          <w:kern w:val="0"/>
          <w:szCs w:val="21"/>
          <w:highlight w:val="none"/>
          <w:u w:val="single"/>
        </w:rPr>
        <w:t>生产</w:t>
      </w:r>
      <w:r>
        <w:rPr>
          <w:rFonts w:hint="eastAsia" w:ascii="宋体" w:hAnsi="宋体" w:cs="宋体"/>
          <w:color w:val="auto"/>
          <w:highlight w:val="none"/>
          <w:u w:val="single"/>
        </w:rPr>
        <w:t>考核合格证（B类），或建筑施工企业专职安全生产管理人员安全生产考核合格证书（联合体投标的，由联合体主办方出具）</w:t>
      </w:r>
    </w:p>
    <w:p w14:paraId="0BEF31F8">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设计负责人的相关证书（联合体投标的，由</w:t>
      </w:r>
      <w:r>
        <w:rPr>
          <w:rFonts w:hint="eastAsia" w:ascii="宋体" w:hAnsi="宋体" w:cs="宋体"/>
          <w:color w:val="auto"/>
          <w:highlight w:val="none"/>
          <w:u w:val="single"/>
        </w:rPr>
        <w:t>联合体</w:t>
      </w:r>
      <w:r>
        <w:rPr>
          <w:rFonts w:hint="eastAsia" w:ascii="宋体" w:hAnsi="宋体"/>
          <w:color w:val="auto"/>
          <w:szCs w:val="21"/>
          <w:highlight w:val="none"/>
          <w:u w:val="single"/>
        </w:rPr>
        <w:t>承接</w:t>
      </w:r>
      <w:r>
        <w:rPr>
          <w:rFonts w:hint="eastAsia" w:ascii="宋体" w:hAnsi="宋体"/>
          <w:color w:val="auto"/>
          <w:highlight w:val="none"/>
          <w:u w:val="single"/>
        </w:rPr>
        <w:t>设计任务方</w:t>
      </w:r>
      <w:r>
        <w:rPr>
          <w:rFonts w:hint="eastAsia" w:ascii="宋体" w:hAnsi="宋体" w:cs="TimesNewRomanPSMT"/>
          <w:color w:val="auto"/>
          <w:kern w:val="0"/>
          <w:szCs w:val="21"/>
          <w:highlight w:val="none"/>
          <w:u w:val="single"/>
        </w:rPr>
        <w:t>出具）</w:t>
      </w:r>
    </w:p>
    <w:p w14:paraId="5CC821F0">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技术负责人的职称证书（联合体投标的，由联合体主办方出具）</w:t>
      </w:r>
    </w:p>
    <w:p w14:paraId="65FEB347">
      <w:pPr>
        <w:spacing w:line="400" w:lineRule="exact"/>
        <w:ind w:firstLine="420" w:firstLineChars="200"/>
        <w:rPr>
          <w:rFonts w:hint="eastAsia" w:ascii="宋体" w:hAnsi="宋体" w:cs="TimesNewRomanPSMT"/>
          <w:color w:val="auto"/>
          <w:kern w:val="0"/>
          <w:szCs w:val="21"/>
          <w:highlight w:val="none"/>
          <w:u w:val="single"/>
        </w:rPr>
      </w:pPr>
      <w:r>
        <w:rPr>
          <w:rFonts w:hint="eastAsia" w:ascii="宋体" w:hAnsi="宋体"/>
          <w:color w:val="auto"/>
          <w:highlight w:val="none"/>
          <w:u w:val="single"/>
        </w:rPr>
        <w:t>（8</w:t>
      </w:r>
      <w:r>
        <w:rPr>
          <w:rFonts w:hint="eastAsia" w:ascii="宋体" w:hAnsi="宋体" w:cs="TimesNewRomanPSMT"/>
          <w:color w:val="auto"/>
          <w:kern w:val="0"/>
          <w:szCs w:val="21"/>
          <w:highlight w:val="none"/>
          <w:u w:val="single"/>
        </w:rPr>
        <w:t>）专职安全员的有效期内的安全生产考核合格证（C类），或建筑施工企业专职安全生产管理人员安全生产考核合格证书（C3类）。项目负责人与安全员不为同一人（联合体投标的，由联合体主办方出具）</w:t>
      </w:r>
    </w:p>
    <w:p w14:paraId="4D4F536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（9）投标人按照规定的格式及内容要求签署的《投标人声明》（格式见招标公告附件）</w:t>
      </w:r>
    </w:p>
    <w:p w14:paraId="6E0E6CE8">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（10）列明主办</w:t>
      </w:r>
      <w:r>
        <w:rPr>
          <w:rFonts w:hint="eastAsia" w:ascii="宋体" w:hAnsi="宋体" w:cs="宋体"/>
          <w:color w:val="auto"/>
          <w:highlight w:val="none"/>
          <w:u w:val="single"/>
        </w:rPr>
        <w:t>单位</w:t>
      </w:r>
      <w:r>
        <w:rPr>
          <w:rFonts w:hint="eastAsia" w:ascii="宋体" w:hAnsi="宋体"/>
          <w:color w:val="auto"/>
          <w:highlight w:val="none"/>
          <w:u w:val="single"/>
        </w:rPr>
        <w:t>的联合体工作协议（联合体投标时需递交，格式参考招标公告附件）</w:t>
      </w:r>
    </w:p>
    <w:p w14:paraId="3EE81C7E">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（11）</w:t>
      </w:r>
      <w:r>
        <w:rPr>
          <w:rFonts w:ascii="宋体" w:hAnsi="宋体"/>
          <w:color w:val="auto"/>
          <w:highlight w:val="none"/>
          <w:u w:val="single"/>
        </w:rPr>
        <w:t>资格审查前</w:t>
      </w:r>
      <w:r>
        <w:rPr>
          <w:rFonts w:ascii="宋体" w:hAnsi="宋体" w:cs="宋体"/>
          <w:color w:val="auto"/>
          <w:highlight w:val="none"/>
          <w:u w:val="single"/>
        </w:rPr>
        <w:t>，</w:t>
      </w:r>
      <w:r>
        <w:rPr>
          <w:rFonts w:hint="eastAsia" w:ascii="宋体" w:hAnsi="宋体" w:cs="宋体"/>
          <w:color w:val="auto"/>
          <w:highlight w:val="none"/>
          <w:u w:val="single"/>
        </w:rPr>
        <w:t>投标人（若为联合体投标，由联合体各方提供）在广州市住建行业信用管理平台建立企业信用档案</w:t>
      </w:r>
      <w:r>
        <w:rPr>
          <w:rFonts w:hint="eastAsia" w:ascii="宋体" w:hAnsi="宋体"/>
          <w:color w:val="auto"/>
          <w:highlight w:val="none"/>
          <w:u w:val="single"/>
        </w:rPr>
        <w:t>，且拟担任本项目的项目负责人（兼施工负责人）、设计负责人、技术负责人、专职安全员是本企业信用档案中的在册人员（联合体投标的，信用档案和人员在册情况为联合体协议分工对应广州市住建行业信用管理平台内信用档案）</w:t>
      </w:r>
    </w:p>
    <w:p w14:paraId="5C6AC89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（12）投标人（含联合体成员）未被列入拖欠农民工工资失信联合惩戒对象名单。</w:t>
      </w:r>
    </w:p>
    <w:p w14:paraId="7B9D6FE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（13）投标人认为应该提供的其他资料</w:t>
      </w:r>
    </w:p>
    <w:p w14:paraId="0294DD06">
      <w:pPr>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3.1.3 工程总承包实施方案投标文件：</w:t>
      </w:r>
    </w:p>
    <w:p w14:paraId="01B18E3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5D486D9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1D52CC7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（2）目录</w:t>
      </w:r>
    </w:p>
    <w:p w14:paraId="5D91350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（3）投标书、投标承诺函</w:t>
      </w:r>
    </w:p>
    <w:p w14:paraId="78E32EA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（4）工程总承包实施方案</w:t>
      </w:r>
    </w:p>
    <w:p w14:paraId="41B5081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（4.1）投标人资信情况</w:t>
      </w:r>
    </w:p>
    <w:p w14:paraId="6DA5CDA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（4.2）工程实施方案</w:t>
      </w:r>
    </w:p>
    <w:p w14:paraId="2ED86ED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（5）按照招标文件要求填写的《参与编制投标文件人员名单》</w:t>
      </w:r>
    </w:p>
    <w:p w14:paraId="208C115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（6）投标人认为应该提供的其他资料</w:t>
      </w:r>
    </w:p>
    <w:p w14:paraId="5A36E40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（7）投标人应按照招标人提出的施工现场建筑垃圾源头减量的具体要求以及建筑垃圾综合利用产品的使用要求提供相应措施。</w:t>
      </w:r>
    </w:p>
    <w:p w14:paraId="5DB3E0AE">
      <w:pPr>
        <w:pStyle w:val="4"/>
        <w:rPr>
          <w:rFonts w:hint="eastAsia"/>
          <w:color w:val="auto"/>
          <w:highlight w:val="none"/>
        </w:rPr>
      </w:pPr>
      <w:bookmarkStart w:id="196" w:name="_Toc152045548"/>
      <w:bookmarkStart w:id="197" w:name="_Toc134304542"/>
      <w:bookmarkStart w:id="198" w:name="_Toc32322"/>
      <w:bookmarkStart w:id="199" w:name="_Toc247527573"/>
      <w:bookmarkStart w:id="200" w:name="_Toc144974516"/>
      <w:bookmarkStart w:id="201" w:name="_Toc247513972"/>
      <w:bookmarkStart w:id="202" w:name="_Toc152042324"/>
      <w:bookmarkStart w:id="203" w:name="_Toc87238910"/>
      <w:r>
        <w:rPr>
          <w:rFonts w:hint="eastAsia"/>
          <w:color w:val="auto"/>
          <w:highlight w:val="none"/>
        </w:rPr>
        <w:t>3.2 投标报价</w:t>
      </w:r>
      <w:bookmarkEnd w:id="196"/>
      <w:bookmarkEnd w:id="197"/>
      <w:bookmarkEnd w:id="198"/>
      <w:bookmarkEnd w:id="199"/>
      <w:bookmarkEnd w:id="200"/>
      <w:bookmarkEnd w:id="201"/>
      <w:bookmarkEnd w:id="202"/>
      <w:bookmarkEnd w:id="203"/>
    </w:p>
    <w:p w14:paraId="572776F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3708F6D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4FD6B8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1B1726E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47305C7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工程成本警戒价详见投标人须知前附表。</w:t>
      </w:r>
    </w:p>
    <w:p w14:paraId="1AB6465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6920D6EE">
      <w:pPr>
        <w:pStyle w:val="4"/>
        <w:rPr>
          <w:rFonts w:hint="eastAsia"/>
          <w:color w:val="auto"/>
          <w:highlight w:val="none"/>
        </w:rPr>
      </w:pPr>
      <w:bookmarkStart w:id="204" w:name="_Toc13756"/>
      <w:bookmarkStart w:id="205" w:name="_Toc247513973"/>
      <w:bookmarkStart w:id="206" w:name="_Toc144974517"/>
      <w:bookmarkStart w:id="207" w:name="_Toc134304543"/>
      <w:bookmarkStart w:id="208" w:name="_Toc152042325"/>
      <w:bookmarkStart w:id="209" w:name="_Toc152045549"/>
      <w:bookmarkStart w:id="210" w:name="_Toc87238911"/>
      <w:bookmarkStart w:id="211" w:name="_Toc247527574"/>
      <w:r>
        <w:rPr>
          <w:rFonts w:hint="eastAsia"/>
          <w:color w:val="auto"/>
          <w:highlight w:val="none"/>
        </w:rPr>
        <w:t>3.3 投标有效期</w:t>
      </w:r>
      <w:bookmarkEnd w:id="204"/>
      <w:bookmarkEnd w:id="205"/>
      <w:bookmarkEnd w:id="206"/>
      <w:bookmarkEnd w:id="207"/>
      <w:bookmarkEnd w:id="208"/>
      <w:bookmarkEnd w:id="209"/>
      <w:bookmarkEnd w:id="210"/>
      <w:bookmarkEnd w:id="211"/>
    </w:p>
    <w:p w14:paraId="6DEF801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除投标人须知前附表另有规定外，投标有效期为90日历天。</w:t>
      </w:r>
    </w:p>
    <w:p w14:paraId="0D72A8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41AF8C7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688C02A">
      <w:pPr>
        <w:pStyle w:val="4"/>
        <w:rPr>
          <w:rFonts w:hint="eastAsia"/>
          <w:color w:val="auto"/>
          <w:highlight w:val="none"/>
        </w:rPr>
      </w:pPr>
      <w:bookmarkStart w:id="212" w:name="_Toc87238912"/>
      <w:bookmarkStart w:id="213" w:name="_Toc247527575"/>
      <w:bookmarkStart w:id="214" w:name="_Toc144974518"/>
      <w:bookmarkStart w:id="215" w:name="_Toc134304544"/>
      <w:bookmarkStart w:id="216" w:name="_Toc18959"/>
      <w:bookmarkStart w:id="217" w:name="_Toc152042326"/>
      <w:bookmarkStart w:id="218" w:name="_Toc152045550"/>
      <w:bookmarkStart w:id="219" w:name="_Toc247513974"/>
      <w:r>
        <w:rPr>
          <w:rFonts w:hint="eastAsia"/>
          <w:color w:val="auto"/>
          <w:highlight w:val="none"/>
        </w:rPr>
        <w:t>3.4 投标保证金</w:t>
      </w:r>
      <w:bookmarkEnd w:id="212"/>
      <w:bookmarkEnd w:id="213"/>
      <w:bookmarkEnd w:id="214"/>
      <w:bookmarkEnd w:id="215"/>
      <w:bookmarkEnd w:id="216"/>
      <w:bookmarkEnd w:id="217"/>
      <w:bookmarkEnd w:id="218"/>
      <w:bookmarkEnd w:id="219"/>
      <w:r>
        <w:rPr>
          <w:rFonts w:hint="eastAsia"/>
          <w:color w:val="auto"/>
          <w:highlight w:val="none"/>
        </w:rPr>
        <w:t>（不适用）</w:t>
      </w:r>
    </w:p>
    <w:p w14:paraId="52EA9A31">
      <w:pPr>
        <w:spacing w:line="400" w:lineRule="exact"/>
        <w:ind w:firstLine="420" w:firstLineChars="200"/>
        <w:rPr>
          <w:rFonts w:hint="eastAsia" w:ascii="宋体" w:hAnsi="宋体"/>
          <w:color w:val="auto"/>
          <w:highlight w:val="none"/>
        </w:rPr>
      </w:pPr>
      <w:bookmarkStart w:id="220" w:name="_Toc247513975"/>
      <w:bookmarkStart w:id="221" w:name="_Toc152045551"/>
      <w:bookmarkStart w:id="222" w:name="_Toc144974519"/>
      <w:bookmarkStart w:id="223" w:name="_Toc247527576"/>
      <w:bookmarkStart w:id="224" w:name="_Toc152042327"/>
      <w:bookmarkStart w:id="225" w:name="_Toc20478"/>
      <w:r>
        <w:rPr>
          <w:rFonts w:hint="eastAsia" w:ascii="宋体" w:hAnsi="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19DF7BE7">
      <w:pPr>
        <w:spacing w:line="400" w:lineRule="exact"/>
        <w:ind w:firstLine="420" w:firstLineChars="200"/>
        <w:rPr>
          <w:rFonts w:hint="eastAsia" w:ascii="宋体" w:hAnsi="宋体"/>
          <w:color w:val="auto"/>
          <w:highlight w:val="none"/>
        </w:rPr>
      </w:pPr>
      <w:r>
        <w:rPr>
          <w:rFonts w:hint="eastAsia" w:ascii="宋体" w:hAnsi="宋体"/>
          <w:color w:val="auto"/>
          <w:highlight w:val="none"/>
        </w:rPr>
        <w:t>3.4.2 投标人不按本章第3.4.1项要求提交投标保证金的，评标委员会将否决其投标。</w:t>
      </w:r>
    </w:p>
    <w:p w14:paraId="0534F93A">
      <w:pPr>
        <w:spacing w:line="400" w:lineRule="exact"/>
        <w:ind w:firstLine="420" w:firstLineChars="200"/>
        <w:rPr>
          <w:rFonts w:hint="eastAsia" w:ascii="宋体" w:hAnsi="宋体"/>
          <w:color w:val="auto"/>
          <w:highlight w:val="none"/>
        </w:rPr>
      </w:pPr>
      <w:r>
        <w:rPr>
          <w:rFonts w:hint="eastAsia" w:ascii="宋体" w:hAnsi="宋体"/>
          <w:color w:val="auto"/>
          <w:highlight w:val="none"/>
        </w:rPr>
        <w:t>3.4.3 招标人与中标人签订合同后5日内，向未中标的投标人和中标人退还投标保证金及同期银行存款利息。</w:t>
      </w:r>
    </w:p>
    <w:p w14:paraId="1030D99A">
      <w:pPr>
        <w:spacing w:line="400" w:lineRule="exact"/>
        <w:ind w:firstLine="420" w:firstLineChars="200"/>
        <w:rPr>
          <w:rFonts w:hint="eastAsia" w:ascii="宋体" w:hAnsi="宋体"/>
          <w:color w:val="auto"/>
          <w:highlight w:val="none"/>
        </w:rPr>
      </w:pPr>
      <w:r>
        <w:rPr>
          <w:rFonts w:hint="eastAsia" w:ascii="宋体" w:hAnsi="宋体"/>
          <w:color w:val="auto"/>
          <w:highlight w:val="none"/>
        </w:rPr>
        <w:t>3.4.4 有下列情形之一的，投标保证金将不予退还：</w:t>
      </w:r>
    </w:p>
    <w:p w14:paraId="12870533">
      <w:pPr>
        <w:spacing w:line="400" w:lineRule="exact"/>
        <w:ind w:firstLine="315" w:firstLineChars="150"/>
        <w:rPr>
          <w:rFonts w:hint="eastAsia" w:ascii="宋体" w:hAnsi="宋体"/>
          <w:color w:val="auto"/>
          <w:highlight w:val="none"/>
        </w:rPr>
      </w:pPr>
      <w:r>
        <w:rPr>
          <w:rFonts w:hint="eastAsia" w:ascii="宋体" w:hAnsi="宋体"/>
          <w:color w:val="auto"/>
          <w:highlight w:val="none"/>
        </w:rPr>
        <w:t>（1）投标人在规定的投标有效期内撤销或修改其投标文件；</w:t>
      </w:r>
    </w:p>
    <w:p w14:paraId="1009DCCC">
      <w:pPr>
        <w:spacing w:line="400" w:lineRule="exact"/>
        <w:ind w:firstLine="315" w:firstLineChars="150"/>
        <w:rPr>
          <w:rFonts w:hint="eastAsia" w:ascii="宋体" w:hAnsi="宋体" w:cs="宋体"/>
          <w:color w:val="auto"/>
          <w:highlight w:val="none"/>
          <w:u w:val="single"/>
        </w:rPr>
      </w:pPr>
      <w:r>
        <w:rPr>
          <w:rFonts w:hint="eastAsia" w:ascii="宋体" w:hAnsi="宋体"/>
          <w:color w:val="auto"/>
          <w:highlight w:val="none"/>
        </w:rPr>
        <w:t>（2）中标人在收到中标通知书后，无正当理由拒签合同或未按招标文件规定提交履约担保。</w:t>
      </w:r>
    </w:p>
    <w:bookmarkEnd w:id="220"/>
    <w:bookmarkEnd w:id="221"/>
    <w:bookmarkEnd w:id="222"/>
    <w:bookmarkEnd w:id="223"/>
    <w:bookmarkEnd w:id="224"/>
    <w:bookmarkEnd w:id="225"/>
    <w:p w14:paraId="4CDB2DDB">
      <w:pPr>
        <w:pStyle w:val="4"/>
        <w:rPr>
          <w:rFonts w:hint="eastAsia"/>
          <w:color w:val="auto"/>
          <w:highlight w:val="none"/>
        </w:rPr>
      </w:pPr>
      <w:bookmarkStart w:id="226" w:name="_Toc152042328"/>
      <w:bookmarkStart w:id="227" w:name="_Toc87238913"/>
      <w:bookmarkStart w:id="228" w:name="_Toc144974520"/>
      <w:bookmarkStart w:id="229" w:name="_Toc152045552"/>
      <w:bookmarkStart w:id="230" w:name="_Toc247527577"/>
      <w:bookmarkStart w:id="231" w:name="_Toc134304545"/>
      <w:bookmarkStart w:id="232" w:name="_Toc23531"/>
      <w:bookmarkStart w:id="233" w:name="_Toc247513976"/>
      <w:r>
        <w:rPr>
          <w:rFonts w:hint="eastAsia"/>
          <w:color w:val="auto"/>
          <w:highlight w:val="none"/>
        </w:rPr>
        <w:t>3.5 资格审查资料（适用于未进行资格预审的）</w:t>
      </w:r>
      <w:bookmarkEnd w:id="226"/>
      <w:bookmarkEnd w:id="227"/>
      <w:bookmarkEnd w:id="228"/>
      <w:bookmarkEnd w:id="229"/>
      <w:bookmarkEnd w:id="230"/>
      <w:bookmarkEnd w:id="231"/>
      <w:bookmarkEnd w:id="232"/>
      <w:bookmarkEnd w:id="233"/>
    </w:p>
    <w:p w14:paraId="64107602">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14:paraId="63A7B3A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34" w:name="_Toc356469198"/>
      <w:bookmarkStart w:id="235" w:name="_Toc439240619"/>
      <w:bookmarkStart w:id="236" w:name="_Toc357089532"/>
      <w:bookmarkStart w:id="237" w:name="_Toc300834971"/>
      <w:bookmarkStart w:id="238" w:name="_Toc439246018"/>
      <w:r>
        <w:rPr>
          <w:rFonts w:hint="eastAsia" w:ascii="宋体" w:hAnsi="宋体" w:cs="宋体"/>
          <w:color w:val="auto"/>
          <w:highlight w:val="none"/>
          <w:u w:val="single"/>
        </w:rPr>
        <w:t>，由综合评标委员会负</w:t>
      </w:r>
      <w:bookmarkEnd w:id="234"/>
      <w:bookmarkEnd w:id="235"/>
      <w:bookmarkEnd w:id="236"/>
      <w:bookmarkEnd w:id="237"/>
      <w:bookmarkEnd w:id="238"/>
      <w:r>
        <w:rPr>
          <w:rFonts w:hint="eastAsia" w:ascii="宋体" w:hAnsi="宋体" w:cs="宋体"/>
          <w:color w:val="auto"/>
          <w:highlight w:val="none"/>
          <w:u w:val="single"/>
        </w:rPr>
        <w:t>责对投标人的资格进行审查，评标时只对通过资格审查的投标人进行下一阶段的评审。</w:t>
      </w:r>
    </w:p>
    <w:p w14:paraId="529C101E">
      <w:pPr>
        <w:spacing w:line="400" w:lineRule="exact"/>
        <w:ind w:firstLine="420" w:firstLineChars="200"/>
        <w:rPr>
          <w:rFonts w:hint="eastAsia" w:ascii="宋体" w:hAnsi="宋体" w:cs="宋体"/>
          <w:strike/>
          <w:color w:val="auto"/>
          <w:highlight w:val="none"/>
        </w:rPr>
      </w:pPr>
      <w:r>
        <w:rPr>
          <w:rFonts w:hint="eastAsia" w:ascii="宋体" w:hAnsi="宋体" w:cs="宋体"/>
          <w:color w:val="auto"/>
          <w:szCs w:val="21"/>
          <w:highlight w:val="none"/>
          <w:u w:val="single"/>
        </w:rPr>
        <w:t>本项目采用电子化资格后审，由综合评标委员会负责对投标人的资格进行审查，评标时只对通过资格审查的投标人进行下一阶段的评审。</w:t>
      </w:r>
    </w:p>
    <w:p w14:paraId="6A378970">
      <w:pPr>
        <w:spacing w:line="400" w:lineRule="exact"/>
        <w:ind w:firstLine="420" w:firstLineChars="200"/>
        <w:rPr>
          <w:rFonts w:hint="eastAsia" w:ascii="宋体" w:hAnsi="宋体" w:cs="宋体"/>
          <w:color w:val="auto"/>
          <w:highlight w:val="none"/>
        </w:rPr>
      </w:pPr>
    </w:p>
    <w:p w14:paraId="4BF4FB71">
      <w:pPr>
        <w:pStyle w:val="4"/>
        <w:rPr>
          <w:rFonts w:hint="eastAsia"/>
          <w:color w:val="auto"/>
          <w:highlight w:val="none"/>
        </w:rPr>
      </w:pPr>
      <w:bookmarkStart w:id="239" w:name="_Toc87238914"/>
      <w:bookmarkStart w:id="240" w:name="_Toc27554"/>
      <w:bookmarkStart w:id="241" w:name="_Toc152042329"/>
      <w:bookmarkStart w:id="242" w:name="_Toc144974521"/>
      <w:bookmarkStart w:id="243" w:name="_Toc134304546"/>
      <w:bookmarkStart w:id="244" w:name="_Toc247527578"/>
      <w:bookmarkStart w:id="245" w:name="_Toc247513977"/>
      <w:bookmarkStart w:id="246" w:name="_Toc152045553"/>
      <w:r>
        <w:rPr>
          <w:rFonts w:hint="eastAsia"/>
          <w:color w:val="auto"/>
          <w:highlight w:val="none"/>
        </w:rPr>
        <w:t>3.6 备选投标方案</w:t>
      </w:r>
      <w:bookmarkEnd w:id="239"/>
      <w:bookmarkEnd w:id="240"/>
      <w:bookmarkEnd w:id="241"/>
      <w:bookmarkEnd w:id="242"/>
      <w:bookmarkEnd w:id="243"/>
      <w:bookmarkEnd w:id="244"/>
      <w:bookmarkEnd w:id="245"/>
      <w:bookmarkEnd w:id="246"/>
    </w:p>
    <w:p w14:paraId="12627364">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8D12AF9">
      <w:pPr>
        <w:pStyle w:val="4"/>
        <w:rPr>
          <w:rFonts w:hint="eastAsia"/>
          <w:color w:val="auto"/>
          <w:highlight w:val="none"/>
        </w:rPr>
      </w:pPr>
      <w:bookmarkStart w:id="247" w:name="_Toc15348"/>
      <w:bookmarkStart w:id="248" w:name="_Toc87238915"/>
      <w:bookmarkStart w:id="249" w:name="_Toc152042330"/>
      <w:bookmarkStart w:id="250" w:name="_Toc247513978"/>
      <w:bookmarkStart w:id="251" w:name="_Toc152045554"/>
      <w:bookmarkStart w:id="252" w:name="_Toc247527579"/>
      <w:bookmarkStart w:id="253" w:name="_Toc134304547"/>
      <w:bookmarkStart w:id="254" w:name="_Toc144974522"/>
      <w:r>
        <w:rPr>
          <w:rFonts w:hint="eastAsia"/>
          <w:color w:val="auto"/>
          <w:highlight w:val="none"/>
        </w:rPr>
        <w:t>3.7 投标文件的编制</w:t>
      </w:r>
      <w:bookmarkEnd w:id="247"/>
      <w:bookmarkEnd w:id="248"/>
      <w:bookmarkEnd w:id="249"/>
      <w:bookmarkEnd w:id="250"/>
      <w:bookmarkEnd w:id="251"/>
      <w:bookmarkEnd w:id="252"/>
      <w:bookmarkEnd w:id="253"/>
      <w:bookmarkEnd w:id="254"/>
    </w:p>
    <w:p w14:paraId="1272014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559F97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06A3071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3.7.3 </w:t>
      </w:r>
      <w:r>
        <w:rPr>
          <w:rFonts w:hint="eastAsia" w:ascii="宋体" w:hAnsi="宋体" w:cs="宋体"/>
          <w:color w:val="auto"/>
          <w:szCs w:val="21"/>
          <w:highlight w:val="none"/>
          <w:u w:val="single"/>
        </w:rPr>
        <w:t>投标人（若为联合体投标，指联合体主办方）采用单位数字证书，按招标文件要求在相应位置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w:t>
      </w:r>
      <w:r>
        <w:rPr>
          <w:rFonts w:hint="eastAsia" w:ascii="宋体" w:hAnsi="宋体" w:cs="宋体"/>
          <w:color w:val="auto"/>
          <w:szCs w:val="21"/>
          <w:highlight w:val="none"/>
        </w:rPr>
        <w:t>。</w:t>
      </w:r>
    </w:p>
    <w:p w14:paraId="1FAC50D4">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5B7402C0">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4F4D6B65">
      <w:pPr>
        <w:pStyle w:val="2"/>
        <w:rPr>
          <w:color w:val="auto"/>
          <w:highlight w:val="none"/>
        </w:rPr>
      </w:pPr>
      <w:bookmarkStart w:id="255" w:name="_Toc144974523"/>
      <w:bookmarkStart w:id="256" w:name="_Toc152045555"/>
      <w:bookmarkStart w:id="257" w:name="_Toc152042331"/>
      <w:bookmarkStart w:id="258" w:name="_Toc16074"/>
      <w:bookmarkStart w:id="259" w:name="_Toc247513979"/>
      <w:bookmarkStart w:id="260" w:name="_Toc247527580"/>
      <w:bookmarkStart w:id="261" w:name="_Toc134304548"/>
      <w:r>
        <w:rPr>
          <w:rFonts w:hint="eastAsia"/>
          <w:color w:val="auto"/>
          <w:highlight w:val="none"/>
        </w:rPr>
        <w:t>4. 投标</w:t>
      </w:r>
      <w:bookmarkEnd w:id="255"/>
      <w:bookmarkEnd w:id="256"/>
      <w:bookmarkEnd w:id="257"/>
      <w:bookmarkEnd w:id="258"/>
      <w:bookmarkEnd w:id="259"/>
      <w:bookmarkEnd w:id="260"/>
      <w:bookmarkEnd w:id="261"/>
    </w:p>
    <w:p w14:paraId="212F2AD8">
      <w:pPr>
        <w:pStyle w:val="4"/>
        <w:rPr>
          <w:rFonts w:hint="eastAsia"/>
          <w:color w:val="auto"/>
          <w:highlight w:val="none"/>
        </w:rPr>
      </w:pPr>
      <w:bookmarkStart w:id="262" w:name="_Toc152045556"/>
      <w:bookmarkStart w:id="263" w:name="_Toc247527581"/>
      <w:bookmarkStart w:id="264" w:name="_Toc144974524"/>
      <w:bookmarkStart w:id="265" w:name="_Toc17494"/>
      <w:bookmarkStart w:id="266" w:name="_Toc152042332"/>
      <w:bookmarkStart w:id="267" w:name="_Toc87238917"/>
      <w:bookmarkStart w:id="268" w:name="_Toc134304549"/>
      <w:bookmarkStart w:id="269" w:name="_Toc247513980"/>
      <w:r>
        <w:rPr>
          <w:rFonts w:hint="eastAsia"/>
          <w:color w:val="auto"/>
          <w:highlight w:val="none"/>
        </w:rPr>
        <w:t>4.1 投标文件的密封和标记</w:t>
      </w:r>
      <w:bookmarkEnd w:id="262"/>
      <w:bookmarkEnd w:id="263"/>
      <w:bookmarkEnd w:id="264"/>
      <w:bookmarkEnd w:id="265"/>
      <w:bookmarkEnd w:id="266"/>
      <w:bookmarkEnd w:id="267"/>
      <w:bookmarkEnd w:id="268"/>
      <w:bookmarkEnd w:id="269"/>
    </w:p>
    <w:p w14:paraId="68AB64A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具体操作详见广州交易集团有限公司（广州公共资源交易中心）有关指引</w:t>
      </w:r>
      <w:r>
        <w:rPr>
          <w:rFonts w:hint="eastAsia" w:ascii="宋体" w:hAnsi="宋体" w:cs="宋体"/>
          <w:color w:val="auto"/>
          <w:highlight w:val="none"/>
        </w:rPr>
        <w:t>。</w:t>
      </w:r>
    </w:p>
    <w:p w14:paraId="51EC89E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43E9875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2CC6D97C">
      <w:pPr>
        <w:pStyle w:val="4"/>
        <w:rPr>
          <w:rFonts w:hint="eastAsia"/>
          <w:color w:val="auto"/>
          <w:highlight w:val="none"/>
        </w:rPr>
      </w:pPr>
      <w:bookmarkStart w:id="270" w:name="_Toc152045557"/>
      <w:bookmarkStart w:id="271" w:name="_Toc144974525"/>
      <w:bookmarkStart w:id="272" w:name="_Toc3388"/>
      <w:bookmarkStart w:id="273" w:name="_Toc247513981"/>
      <w:bookmarkStart w:id="274" w:name="_Toc87238918"/>
      <w:bookmarkStart w:id="275" w:name="_Toc152042333"/>
      <w:bookmarkStart w:id="276" w:name="_Toc134304550"/>
      <w:bookmarkStart w:id="277" w:name="_Toc247527582"/>
      <w:r>
        <w:rPr>
          <w:rFonts w:hint="eastAsia"/>
          <w:color w:val="auto"/>
          <w:highlight w:val="none"/>
        </w:rPr>
        <w:t>4.2 投标文件的递交</w:t>
      </w:r>
      <w:bookmarkEnd w:id="270"/>
      <w:bookmarkEnd w:id="271"/>
      <w:bookmarkEnd w:id="272"/>
      <w:bookmarkEnd w:id="273"/>
      <w:bookmarkEnd w:id="274"/>
      <w:bookmarkEnd w:id="275"/>
      <w:bookmarkEnd w:id="276"/>
      <w:bookmarkEnd w:id="277"/>
    </w:p>
    <w:p w14:paraId="3FBA2FA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14:paraId="2C98E25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6191B12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1326DD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688669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66AAF63B">
      <w:pPr>
        <w:pStyle w:val="4"/>
        <w:rPr>
          <w:rFonts w:hint="eastAsia"/>
          <w:color w:val="auto"/>
          <w:highlight w:val="none"/>
        </w:rPr>
      </w:pPr>
      <w:bookmarkStart w:id="278" w:name="_Toc134304551"/>
      <w:bookmarkStart w:id="279" w:name="_Toc152045558"/>
      <w:bookmarkStart w:id="280" w:name="_Toc23264"/>
      <w:bookmarkStart w:id="281" w:name="_Toc247513982"/>
      <w:bookmarkStart w:id="282" w:name="_Toc152042334"/>
      <w:bookmarkStart w:id="283" w:name="_Toc144974526"/>
      <w:bookmarkStart w:id="284" w:name="_Toc247527583"/>
      <w:bookmarkStart w:id="285" w:name="_Toc87238919"/>
      <w:r>
        <w:rPr>
          <w:rFonts w:hint="eastAsia"/>
          <w:color w:val="auto"/>
          <w:highlight w:val="none"/>
        </w:rPr>
        <w:t>4.3 投标文件的修改与撤回</w:t>
      </w:r>
      <w:bookmarkEnd w:id="278"/>
      <w:bookmarkEnd w:id="279"/>
      <w:bookmarkEnd w:id="280"/>
      <w:bookmarkEnd w:id="281"/>
      <w:bookmarkEnd w:id="282"/>
      <w:bookmarkEnd w:id="283"/>
      <w:bookmarkEnd w:id="284"/>
      <w:bookmarkEnd w:id="285"/>
    </w:p>
    <w:p w14:paraId="11249D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14:paraId="64C686F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689A6C2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49D8132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79940EE5">
      <w:pPr>
        <w:pStyle w:val="2"/>
        <w:rPr>
          <w:color w:val="auto"/>
          <w:highlight w:val="none"/>
        </w:rPr>
      </w:pPr>
      <w:bookmarkStart w:id="286" w:name="_Toc247527584"/>
      <w:bookmarkStart w:id="287" w:name="_Toc152042335"/>
      <w:bookmarkStart w:id="288" w:name="_Toc134304552"/>
      <w:bookmarkStart w:id="289" w:name="_Toc6688"/>
      <w:bookmarkStart w:id="290" w:name="_Toc152045559"/>
      <w:bookmarkStart w:id="291" w:name="_Toc247513983"/>
      <w:bookmarkStart w:id="292" w:name="_Toc144974527"/>
      <w:r>
        <w:rPr>
          <w:rFonts w:hint="eastAsia"/>
          <w:color w:val="auto"/>
          <w:highlight w:val="none"/>
        </w:rPr>
        <w:t>5. 开标</w:t>
      </w:r>
      <w:bookmarkEnd w:id="286"/>
      <w:bookmarkEnd w:id="287"/>
      <w:bookmarkEnd w:id="288"/>
      <w:bookmarkEnd w:id="289"/>
      <w:bookmarkEnd w:id="290"/>
      <w:bookmarkEnd w:id="291"/>
      <w:bookmarkEnd w:id="292"/>
    </w:p>
    <w:p w14:paraId="0A9FF6F8">
      <w:pPr>
        <w:pStyle w:val="4"/>
        <w:rPr>
          <w:rFonts w:hint="eastAsia"/>
          <w:color w:val="auto"/>
          <w:highlight w:val="none"/>
        </w:rPr>
      </w:pPr>
      <w:bookmarkStart w:id="293" w:name="_Toc16458"/>
      <w:bookmarkStart w:id="294" w:name="_Toc87238921"/>
      <w:bookmarkStart w:id="295" w:name="_Toc152045560"/>
      <w:bookmarkStart w:id="296" w:name="_Toc134304553"/>
      <w:bookmarkStart w:id="297" w:name="_Toc152042336"/>
      <w:bookmarkStart w:id="298" w:name="_Toc247527585"/>
      <w:bookmarkStart w:id="299" w:name="_Toc144974528"/>
      <w:bookmarkStart w:id="300" w:name="_Toc247513984"/>
      <w:r>
        <w:rPr>
          <w:rFonts w:hint="eastAsia"/>
          <w:color w:val="auto"/>
          <w:highlight w:val="none"/>
        </w:rPr>
        <w:t>5.1 开标时间和地点</w:t>
      </w:r>
      <w:bookmarkEnd w:id="293"/>
      <w:bookmarkEnd w:id="294"/>
      <w:bookmarkEnd w:id="295"/>
      <w:bookmarkEnd w:id="296"/>
      <w:bookmarkEnd w:id="297"/>
      <w:bookmarkEnd w:id="298"/>
      <w:bookmarkEnd w:id="299"/>
      <w:bookmarkEnd w:id="300"/>
    </w:p>
    <w:p w14:paraId="5CD7EDD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71C67B30">
      <w:pPr>
        <w:pStyle w:val="4"/>
        <w:rPr>
          <w:rFonts w:hint="eastAsia"/>
          <w:color w:val="auto"/>
          <w:highlight w:val="none"/>
        </w:rPr>
      </w:pPr>
      <w:bookmarkStart w:id="301" w:name="_Toc87238922"/>
      <w:bookmarkStart w:id="302" w:name="_Toc152045561"/>
      <w:bookmarkStart w:id="303" w:name="_Toc247527586"/>
      <w:bookmarkStart w:id="304" w:name="_Toc144974529"/>
      <w:bookmarkStart w:id="305" w:name="_Toc152042337"/>
      <w:bookmarkStart w:id="306" w:name="_Toc247513985"/>
      <w:bookmarkStart w:id="307" w:name="_Toc19643"/>
      <w:bookmarkStart w:id="308" w:name="_Toc134304554"/>
      <w:r>
        <w:rPr>
          <w:rFonts w:hint="eastAsia"/>
          <w:color w:val="auto"/>
          <w:highlight w:val="none"/>
        </w:rPr>
        <w:t>5.2 开标程序</w:t>
      </w:r>
      <w:bookmarkEnd w:id="301"/>
      <w:bookmarkEnd w:id="302"/>
      <w:bookmarkEnd w:id="303"/>
      <w:bookmarkEnd w:id="304"/>
      <w:bookmarkEnd w:id="305"/>
      <w:bookmarkEnd w:id="306"/>
      <w:bookmarkEnd w:id="307"/>
      <w:bookmarkEnd w:id="308"/>
    </w:p>
    <w:p w14:paraId="5968A786">
      <w:pPr>
        <w:snapToGrid w:val="0"/>
        <w:spacing w:line="360" w:lineRule="auto"/>
        <w:ind w:firstLine="420" w:firstLineChars="200"/>
        <w:rPr>
          <w:rFonts w:hint="eastAsia" w:ascii="宋体" w:hAnsi="宋体" w:cs="新宋体"/>
          <w:color w:val="auto"/>
          <w:szCs w:val="21"/>
          <w:highlight w:val="none"/>
          <w:u w:val="single"/>
        </w:rPr>
      </w:pPr>
      <w:bookmarkStart w:id="309" w:name="_Toc27275"/>
      <w:r>
        <w:rPr>
          <w:rFonts w:hint="eastAsia" w:ascii="宋体" w:hAnsi="宋体" w:cs="新宋体"/>
          <w:color w:val="auto"/>
          <w:szCs w:val="21"/>
          <w:highlight w:val="none"/>
          <w:u w:val="single"/>
        </w:rPr>
        <w:t>主持人按下列程序进行开标：</w:t>
      </w:r>
    </w:p>
    <w:p w14:paraId="675FC3D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（1）宣布开标纪律；</w:t>
      </w:r>
    </w:p>
    <w:p w14:paraId="738E8E3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（2）公布在投标截止时间前递交投标文件的投标人名称；</w:t>
      </w:r>
    </w:p>
    <w:p w14:paraId="55FDF8B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697ECE40">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（4）解密完成后，公布：a投标人名称；b投标文件递交情况；c投标文件解密情况；d投标担保递交情况；e项目负责人（兼施工负责人）、设计负责人、</w:t>
      </w:r>
      <w:r>
        <w:rPr>
          <w:rFonts w:hint="eastAsia" w:ascii="宋体" w:hAnsi="宋体" w:cs="新宋体"/>
          <w:strike/>
          <w:color w:val="auto"/>
          <w:szCs w:val="21"/>
          <w:highlight w:val="none"/>
          <w:u w:val="single"/>
        </w:rPr>
        <w:t>施工负责人、</w:t>
      </w:r>
      <w:r>
        <w:rPr>
          <w:rFonts w:hint="eastAsia" w:ascii="宋体" w:hAnsi="宋体" w:cs="新宋体"/>
          <w:color w:val="auto"/>
          <w:szCs w:val="21"/>
          <w:highlight w:val="none"/>
          <w:u w:val="single"/>
        </w:rPr>
        <w:t>专职安全员；f投标报价（含设计报价和施工报价）；g工期；h质量标准；i投标人的加密打包投标文件电脑机器特征码等主要内容，并记录在案。未在规定时间内解密的投标文件不参与开标、评标。</w:t>
      </w:r>
    </w:p>
    <w:p w14:paraId="4EE9E7D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（5）截标后，开标开始时间因故推迟的，相关评标信息仍以原定的开标开始时间的信息为准。</w:t>
      </w:r>
    </w:p>
    <w:p w14:paraId="6C7CAE73">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（6）备用光盘的读取按“10 电子招标投标”第6点的规定执行。</w:t>
      </w:r>
    </w:p>
    <w:p w14:paraId="1CDC406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54A6A8C">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908B58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（9）投标人未参加开标或在规定的时间内未提出异议的，视为对开标无异议。</w:t>
      </w:r>
    </w:p>
    <w:p w14:paraId="640DEFFC">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（10）开标时，两个（含两个）以上的投标人加密打包投标文件电脑机器特征码一致的，不参与下一程序，并由评标委员会否决其投标。</w:t>
      </w:r>
    </w:p>
    <w:p w14:paraId="147920A8">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1015ED51">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（12）投标人代表、招标人代表、监标人、记录人等有关人员在开标记录上签字确认；若有关人员不签字的，不影响开标程序；</w:t>
      </w:r>
    </w:p>
    <w:p w14:paraId="676DA40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（13）开标结束。</w:t>
      </w:r>
    </w:p>
    <w:p w14:paraId="6863D633">
      <w:pPr>
        <w:pStyle w:val="4"/>
        <w:rPr>
          <w:rFonts w:hint="eastAsia"/>
          <w:color w:val="auto"/>
          <w:highlight w:val="none"/>
        </w:rPr>
      </w:pPr>
      <w:bookmarkStart w:id="310" w:name="_Toc134304555"/>
      <w:bookmarkStart w:id="311" w:name="_Toc87238923"/>
      <w:r>
        <w:rPr>
          <w:rFonts w:hint="eastAsia"/>
          <w:color w:val="auto"/>
          <w:highlight w:val="none"/>
        </w:rPr>
        <w:t>5.3 开标异议</w:t>
      </w:r>
      <w:bookmarkEnd w:id="309"/>
      <w:bookmarkEnd w:id="310"/>
      <w:bookmarkEnd w:id="311"/>
    </w:p>
    <w:p w14:paraId="5F33E03B">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w:t>
      </w:r>
      <w:bookmarkStart w:id="312" w:name="_Toc152045562"/>
      <w:bookmarkStart w:id="313" w:name="_Toc247527587"/>
      <w:bookmarkStart w:id="314" w:name="_Toc18405"/>
      <w:bookmarkStart w:id="315" w:name="_Toc152042338"/>
      <w:bookmarkStart w:id="316" w:name="_Toc144974530"/>
      <w:bookmarkStart w:id="317" w:name="_Toc247513986"/>
      <w:r>
        <w:rPr>
          <w:rFonts w:hint="eastAsia" w:ascii="宋体" w:hAnsi="宋体" w:cs="宋体"/>
          <w:color w:val="auto"/>
          <w:highlight w:val="none"/>
        </w:rPr>
        <w:t>：</w:t>
      </w:r>
      <w:r>
        <w:rPr>
          <w:rFonts w:hint="eastAsia" w:ascii="宋体" w:hAnsi="宋体" w:cs="新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D0A2882">
      <w:pPr>
        <w:pStyle w:val="2"/>
        <w:rPr>
          <w:color w:val="auto"/>
          <w:highlight w:val="none"/>
        </w:rPr>
      </w:pPr>
      <w:bookmarkStart w:id="318" w:name="_Toc134304556"/>
      <w:r>
        <w:rPr>
          <w:rFonts w:hint="eastAsia"/>
          <w:color w:val="auto"/>
          <w:highlight w:val="none"/>
        </w:rPr>
        <w:t>6.评标</w:t>
      </w:r>
      <w:bookmarkEnd w:id="312"/>
      <w:bookmarkEnd w:id="313"/>
      <w:bookmarkEnd w:id="314"/>
      <w:bookmarkEnd w:id="315"/>
      <w:bookmarkEnd w:id="316"/>
      <w:bookmarkEnd w:id="317"/>
      <w:bookmarkEnd w:id="318"/>
      <w:bookmarkStart w:id="319" w:name="_Toc144974531"/>
      <w:bookmarkStart w:id="320" w:name="_Toc19178"/>
      <w:bookmarkStart w:id="321" w:name="_Toc152042339"/>
      <w:bookmarkStart w:id="322" w:name="_Toc247513987"/>
      <w:bookmarkStart w:id="323" w:name="_Toc152045563"/>
      <w:bookmarkStart w:id="324" w:name="_Toc247527588"/>
    </w:p>
    <w:p w14:paraId="1BB0C114">
      <w:pPr>
        <w:pStyle w:val="4"/>
        <w:rPr>
          <w:rFonts w:hint="eastAsia"/>
          <w:color w:val="auto"/>
          <w:highlight w:val="none"/>
        </w:rPr>
      </w:pPr>
      <w:bookmarkStart w:id="325" w:name="_Toc87238925"/>
      <w:bookmarkStart w:id="326" w:name="_Toc134304557"/>
      <w:r>
        <w:rPr>
          <w:rFonts w:hint="eastAsia"/>
          <w:color w:val="auto"/>
          <w:highlight w:val="none"/>
        </w:rPr>
        <w:t>6.1 评标委员会</w:t>
      </w:r>
      <w:bookmarkEnd w:id="319"/>
      <w:bookmarkEnd w:id="320"/>
      <w:bookmarkEnd w:id="321"/>
      <w:bookmarkEnd w:id="322"/>
      <w:bookmarkEnd w:id="323"/>
      <w:bookmarkEnd w:id="324"/>
      <w:bookmarkEnd w:id="325"/>
      <w:bookmarkEnd w:id="326"/>
    </w:p>
    <w:p w14:paraId="54DCDF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8059A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01959A9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52D1DE6F">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00723A1C">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47686C7B">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E1A4DB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6EA52E96">
      <w:pPr>
        <w:pStyle w:val="72"/>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240D51BB">
      <w:pPr>
        <w:pStyle w:val="72"/>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6.1.4 评标委员会在开始评标前，应了解评标专家的职责及守则，认真阅读《评标委员会成员声明》的内容并签名，签字后方可进行评标。</w:t>
      </w:r>
    </w:p>
    <w:p w14:paraId="35D7BBA4">
      <w:pPr>
        <w:pStyle w:val="4"/>
        <w:rPr>
          <w:rFonts w:hint="eastAsia"/>
          <w:color w:val="auto"/>
          <w:highlight w:val="none"/>
        </w:rPr>
      </w:pPr>
      <w:bookmarkStart w:id="327" w:name="_Toc152042340"/>
      <w:bookmarkStart w:id="328" w:name="_Toc29261"/>
      <w:bookmarkStart w:id="329" w:name="_Toc247513988"/>
      <w:bookmarkStart w:id="330" w:name="_Toc247527589"/>
      <w:bookmarkStart w:id="331" w:name="_Toc144974532"/>
      <w:bookmarkStart w:id="332" w:name="_Toc152045564"/>
      <w:bookmarkStart w:id="333" w:name="_Toc87238926"/>
      <w:bookmarkStart w:id="334" w:name="_Toc134304558"/>
      <w:r>
        <w:rPr>
          <w:rFonts w:hint="eastAsia"/>
          <w:color w:val="auto"/>
          <w:highlight w:val="none"/>
        </w:rPr>
        <w:t>6.2 评标原则</w:t>
      </w:r>
      <w:bookmarkEnd w:id="327"/>
      <w:bookmarkEnd w:id="328"/>
      <w:bookmarkEnd w:id="329"/>
      <w:bookmarkEnd w:id="330"/>
      <w:bookmarkEnd w:id="331"/>
      <w:bookmarkEnd w:id="332"/>
      <w:bookmarkEnd w:id="333"/>
      <w:bookmarkEnd w:id="334"/>
    </w:p>
    <w:p w14:paraId="7320F46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0D022AA3">
      <w:pPr>
        <w:pStyle w:val="4"/>
        <w:rPr>
          <w:rFonts w:hint="eastAsia"/>
          <w:color w:val="auto"/>
          <w:highlight w:val="none"/>
        </w:rPr>
      </w:pPr>
      <w:bookmarkStart w:id="335" w:name="_Toc152042341"/>
      <w:bookmarkStart w:id="336" w:name="_Toc152045565"/>
      <w:bookmarkStart w:id="337" w:name="_Toc134304559"/>
      <w:bookmarkStart w:id="338" w:name="_Toc87238927"/>
      <w:bookmarkStart w:id="339" w:name="_Toc144974533"/>
      <w:bookmarkStart w:id="340" w:name="_Toc9663"/>
      <w:bookmarkStart w:id="341" w:name="_Toc247527590"/>
      <w:bookmarkStart w:id="342" w:name="_Toc247513989"/>
      <w:r>
        <w:rPr>
          <w:rFonts w:hint="eastAsia"/>
          <w:color w:val="auto"/>
          <w:highlight w:val="none"/>
        </w:rPr>
        <w:t>6.3 评标</w:t>
      </w:r>
      <w:bookmarkEnd w:id="335"/>
      <w:bookmarkEnd w:id="336"/>
      <w:bookmarkEnd w:id="337"/>
      <w:bookmarkEnd w:id="338"/>
      <w:bookmarkEnd w:id="339"/>
      <w:bookmarkEnd w:id="340"/>
      <w:bookmarkEnd w:id="341"/>
      <w:bookmarkEnd w:id="342"/>
    </w:p>
    <w:p w14:paraId="7D77DAC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6.3.1评标委员会在开始评标前，应了解评标专家的职责及守则，认真阅读附件四《评标委员会成员声明》的内容并签名，签字后方可进行评标；</w:t>
      </w:r>
    </w:p>
    <w:p w14:paraId="0BF4C3A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6.3.2 评标委员会按照第三章“评标办法”规定的方法、评审因素、标准和程序对投标文件进行评审。第三章“评标办法”没有规定的方法、评审因素和标准，不作为评标依据。</w:t>
      </w:r>
    </w:p>
    <w:p w14:paraId="607CBBB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6.3.3评委发现投标文件中含义不明确、对同类问题表述不一致、有明显文字和计算错误、投标报价可能低于成本影响履约的，应当要求投标人作必要的澄清、说明后再判定投标人是否通过审查，不得直接否决投标。</w:t>
      </w:r>
    </w:p>
    <w:p w14:paraId="105BA37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6.3.4不得将文件顺序、明显的文字错误等列为否决投标的情形。评委发现资格审查文件中含义不明确、对同类问题表述不一致、有明显文字和计算错误的，应当要求投标人作必要的澄清、说明后再判定投标人是否通过审查，不得直接否决投标。</w:t>
      </w:r>
    </w:p>
    <w:p w14:paraId="4B08270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6.3.5 评标完成后，评标委员会应当向招标人提交书面评标报告和中标候选人名单。评标委员会推荐中标候选人的人数见投标人须知前附表。</w:t>
      </w:r>
    </w:p>
    <w:p w14:paraId="21A03B3E">
      <w:pPr>
        <w:spacing w:line="400" w:lineRule="exact"/>
        <w:ind w:firstLine="420" w:firstLineChars="200"/>
        <w:rPr>
          <w:rFonts w:hint="eastAsia" w:ascii="宋体" w:hAnsi="宋体" w:cs="宋体"/>
          <w:color w:val="auto"/>
          <w:highlight w:val="none"/>
        </w:rPr>
      </w:pPr>
    </w:p>
    <w:p w14:paraId="04BAD293">
      <w:pPr>
        <w:pStyle w:val="2"/>
        <w:rPr>
          <w:color w:val="auto"/>
          <w:highlight w:val="none"/>
        </w:rPr>
      </w:pPr>
      <w:bookmarkStart w:id="343" w:name="_Toc247527591"/>
      <w:bookmarkStart w:id="344" w:name="_Toc152045566"/>
      <w:bookmarkStart w:id="345" w:name="_Toc134304560"/>
      <w:bookmarkStart w:id="346" w:name="_Toc152042342"/>
      <w:bookmarkStart w:id="347" w:name="_Toc247513990"/>
      <w:bookmarkStart w:id="348" w:name="_Toc7626"/>
      <w:bookmarkStart w:id="349" w:name="_Toc144974534"/>
      <w:r>
        <w:rPr>
          <w:rFonts w:hint="eastAsia"/>
          <w:color w:val="auto"/>
          <w:highlight w:val="none"/>
        </w:rPr>
        <w:t>7. 合同授予</w:t>
      </w:r>
      <w:bookmarkEnd w:id="343"/>
      <w:bookmarkEnd w:id="344"/>
      <w:bookmarkEnd w:id="345"/>
      <w:bookmarkEnd w:id="346"/>
      <w:bookmarkEnd w:id="347"/>
      <w:bookmarkEnd w:id="348"/>
      <w:bookmarkEnd w:id="349"/>
    </w:p>
    <w:p w14:paraId="2C992122">
      <w:pPr>
        <w:pStyle w:val="4"/>
        <w:rPr>
          <w:rFonts w:hint="eastAsia"/>
          <w:color w:val="auto"/>
          <w:highlight w:val="none"/>
        </w:rPr>
      </w:pPr>
      <w:bookmarkStart w:id="350" w:name="_Toc152042343"/>
      <w:bookmarkStart w:id="351" w:name="_Toc247527592"/>
      <w:bookmarkStart w:id="352" w:name="_Toc87238929"/>
      <w:bookmarkStart w:id="353" w:name="_Toc144974535"/>
      <w:bookmarkStart w:id="354" w:name="_Toc134304561"/>
      <w:bookmarkStart w:id="355" w:name="_Toc4338"/>
      <w:bookmarkStart w:id="356" w:name="_Toc152045567"/>
      <w:bookmarkStart w:id="357" w:name="_Toc247513991"/>
      <w:r>
        <w:rPr>
          <w:rFonts w:hint="eastAsia"/>
          <w:color w:val="auto"/>
          <w:highlight w:val="none"/>
        </w:rPr>
        <w:t>7.1 定标方式</w:t>
      </w:r>
      <w:bookmarkEnd w:id="350"/>
      <w:bookmarkEnd w:id="351"/>
      <w:bookmarkEnd w:id="352"/>
      <w:bookmarkEnd w:id="353"/>
      <w:bookmarkEnd w:id="354"/>
      <w:bookmarkEnd w:id="355"/>
      <w:bookmarkEnd w:id="356"/>
      <w:bookmarkEnd w:id="357"/>
    </w:p>
    <w:p w14:paraId="2870AF2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138546FB">
      <w:pPr>
        <w:pStyle w:val="4"/>
        <w:rPr>
          <w:rFonts w:hint="eastAsia"/>
          <w:color w:val="auto"/>
          <w:highlight w:val="none"/>
        </w:rPr>
      </w:pPr>
      <w:bookmarkStart w:id="358" w:name="_Toc134304562"/>
      <w:bookmarkStart w:id="359" w:name="_Toc87238930"/>
      <w:bookmarkStart w:id="360" w:name="_Toc11852"/>
      <w:r>
        <w:rPr>
          <w:rFonts w:hint="eastAsia"/>
          <w:color w:val="auto"/>
          <w:highlight w:val="none"/>
        </w:rPr>
        <w:t>7.2 中标候选人公示</w:t>
      </w:r>
      <w:bookmarkEnd w:id="358"/>
      <w:bookmarkEnd w:id="359"/>
      <w:bookmarkEnd w:id="360"/>
    </w:p>
    <w:p w14:paraId="69394D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652B9587">
      <w:pPr>
        <w:pStyle w:val="4"/>
        <w:rPr>
          <w:rFonts w:hint="eastAsia"/>
          <w:color w:val="auto"/>
          <w:highlight w:val="none"/>
        </w:rPr>
      </w:pPr>
      <w:bookmarkStart w:id="361" w:name="_Toc247513992"/>
      <w:bookmarkStart w:id="362" w:name="_Toc247527593"/>
      <w:bookmarkStart w:id="363" w:name="_Toc87238931"/>
      <w:bookmarkStart w:id="364" w:name="_Toc144974536"/>
      <w:bookmarkStart w:id="365" w:name="_Toc152042344"/>
      <w:bookmarkStart w:id="366" w:name="_Toc152045568"/>
      <w:bookmarkStart w:id="367" w:name="_Toc6076"/>
      <w:bookmarkStart w:id="368" w:name="_Toc134304563"/>
      <w:r>
        <w:rPr>
          <w:rFonts w:hint="eastAsia"/>
          <w:color w:val="auto"/>
          <w:highlight w:val="none"/>
        </w:rPr>
        <w:t>7.3 中标通知</w:t>
      </w:r>
      <w:bookmarkEnd w:id="361"/>
      <w:bookmarkEnd w:id="362"/>
      <w:bookmarkEnd w:id="363"/>
      <w:bookmarkEnd w:id="364"/>
      <w:bookmarkEnd w:id="365"/>
      <w:bookmarkEnd w:id="366"/>
      <w:bookmarkEnd w:id="367"/>
      <w:bookmarkEnd w:id="368"/>
    </w:p>
    <w:p w14:paraId="10BAC28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2F23645F">
      <w:pPr>
        <w:pStyle w:val="4"/>
        <w:rPr>
          <w:rFonts w:hint="eastAsia"/>
          <w:color w:val="auto"/>
          <w:highlight w:val="none"/>
        </w:rPr>
      </w:pPr>
      <w:bookmarkStart w:id="369" w:name="_Toc247513993"/>
      <w:bookmarkStart w:id="370" w:name="_Toc152042345"/>
      <w:bookmarkStart w:id="371" w:name="_Toc144974537"/>
      <w:bookmarkStart w:id="372" w:name="_Toc87238932"/>
      <w:bookmarkStart w:id="373" w:name="_Toc25890"/>
      <w:bookmarkStart w:id="374" w:name="_Toc247527594"/>
      <w:bookmarkStart w:id="375" w:name="_Toc134304564"/>
      <w:bookmarkStart w:id="376" w:name="_Toc152045569"/>
      <w:r>
        <w:rPr>
          <w:rFonts w:hint="eastAsia"/>
          <w:color w:val="auto"/>
          <w:highlight w:val="none"/>
        </w:rPr>
        <w:t>7.4 履约担保</w:t>
      </w:r>
      <w:bookmarkEnd w:id="369"/>
      <w:bookmarkEnd w:id="370"/>
      <w:bookmarkEnd w:id="371"/>
      <w:bookmarkEnd w:id="372"/>
      <w:bookmarkEnd w:id="373"/>
      <w:bookmarkEnd w:id="374"/>
      <w:bookmarkEnd w:id="375"/>
      <w:bookmarkEnd w:id="376"/>
    </w:p>
    <w:p w14:paraId="6F98E16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1B206B6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2C5DE427">
      <w:pPr>
        <w:pStyle w:val="4"/>
        <w:rPr>
          <w:rFonts w:hint="eastAsia"/>
          <w:color w:val="auto"/>
          <w:highlight w:val="none"/>
        </w:rPr>
      </w:pPr>
      <w:bookmarkStart w:id="377" w:name="_Toc134304565"/>
      <w:bookmarkStart w:id="378" w:name="_Toc152045570"/>
      <w:bookmarkStart w:id="379" w:name="_Toc247527595"/>
      <w:bookmarkStart w:id="380" w:name="_Toc152042346"/>
      <w:bookmarkStart w:id="381" w:name="_Toc144974538"/>
      <w:bookmarkStart w:id="382" w:name="_Toc87238933"/>
      <w:bookmarkStart w:id="383" w:name="_Toc247513994"/>
      <w:bookmarkStart w:id="384" w:name="_Toc13630"/>
      <w:r>
        <w:rPr>
          <w:rFonts w:hint="eastAsia"/>
          <w:color w:val="auto"/>
          <w:highlight w:val="none"/>
        </w:rPr>
        <w:t>7.5 签订合同</w:t>
      </w:r>
      <w:bookmarkEnd w:id="377"/>
      <w:bookmarkEnd w:id="378"/>
      <w:bookmarkEnd w:id="379"/>
      <w:bookmarkEnd w:id="380"/>
      <w:bookmarkEnd w:id="381"/>
      <w:bookmarkEnd w:id="382"/>
      <w:bookmarkEnd w:id="383"/>
      <w:bookmarkEnd w:id="384"/>
    </w:p>
    <w:p w14:paraId="090DD61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7AC8BC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2DAD5CB8">
      <w:pPr>
        <w:pStyle w:val="2"/>
        <w:rPr>
          <w:color w:val="auto"/>
          <w:highlight w:val="none"/>
        </w:rPr>
      </w:pPr>
      <w:bookmarkStart w:id="385" w:name="_Toc152045571"/>
      <w:bookmarkStart w:id="386" w:name="_Toc152042347"/>
      <w:bookmarkStart w:id="387" w:name="_Toc144974539"/>
      <w:bookmarkStart w:id="388" w:name="_Toc247513995"/>
      <w:bookmarkStart w:id="389" w:name="_Toc247527596"/>
      <w:bookmarkStart w:id="390" w:name="_Toc23477"/>
      <w:bookmarkStart w:id="391" w:name="_Toc134304566"/>
      <w:r>
        <w:rPr>
          <w:rFonts w:hint="eastAsia"/>
          <w:color w:val="auto"/>
          <w:highlight w:val="none"/>
        </w:rPr>
        <w:t>8.</w:t>
      </w:r>
      <w:bookmarkEnd w:id="385"/>
      <w:bookmarkEnd w:id="386"/>
      <w:bookmarkEnd w:id="387"/>
      <w:bookmarkEnd w:id="388"/>
      <w:bookmarkEnd w:id="389"/>
      <w:bookmarkStart w:id="392" w:name="_Toc144974542"/>
      <w:bookmarkStart w:id="393" w:name="_Toc247513998"/>
      <w:bookmarkStart w:id="394" w:name="_Toc152042350"/>
      <w:bookmarkStart w:id="395" w:name="_Toc247527599"/>
      <w:bookmarkStart w:id="396" w:name="_Toc152045574"/>
      <w:r>
        <w:rPr>
          <w:rFonts w:hint="eastAsia"/>
          <w:color w:val="auto"/>
          <w:highlight w:val="none"/>
        </w:rPr>
        <w:t xml:space="preserve"> 纪律和监督</w:t>
      </w:r>
      <w:bookmarkEnd w:id="390"/>
      <w:bookmarkEnd w:id="391"/>
      <w:bookmarkEnd w:id="392"/>
      <w:bookmarkEnd w:id="393"/>
      <w:bookmarkEnd w:id="394"/>
      <w:bookmarkEnd w:id="395"/>
      <w:bookmarkEnd w:id="396"/>
    </w:p>
    <w:p w14:paraId="68BFB931">
      <w:pPr>
        <w:pStyle w:val="4"/>
        <w:rPr>
          <w:rFonts w:hint="eastAsia"/>
          <w:color w:val="auto"/>
          <w:highlight w:val="none"/>
        </w:rPr>
      </w:pPr>
      <w:bookmarkStart w:id="397" w:name="_Toc247513999"/>
      <w:bookmarkStart w:id="398" w:name="_Toc247527600"/>
      <w:bookmarkStart w:id="399" w:name="_Toc134304567"/>
      <w:bookmarkStart w:id="400" w:name="_Toc152045575"/>
      <w:bookmarkStart w:id="401" w:name="_Toc9436"/>
      <w:bookmarkStart w:id="402" w:name="_Toc144974543"/>
      <w:bookmarkStart w:id="403" w:name="_Toc87238935"/>
      <w:bookmarkStart w:id="404" w:name="_Toc152042351"/>
      <w:r>
        <w:rPr>
          <w:rFonts w:hint="eastAsia"/>
          <w:color w:val="auto"/>
          <w:highlight w:val="none"/>
        </w:rPr>
        <w:t>8.1 对招标人的纪律要求</w:t>
      </w:r>
      <w:bookmarkEnd w:id="397"/>
      <w:bookmarkEnd w:id="398"/>
      <w:bookmarkEnd w:id="399"/>
      <w:bookmarkEnd w:id="400"/>
      <w:bookmarkEnd w:id="401"/>
      <w:bookmarkEnd w:id="402"/>
      <w:bookmarkEnd w:id="403"/>
      <w:bookmarkEnd w:id="404"/>
    </w:p>
    <w:p w14:paraId="40DE4C1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6326DC92">
      <w:pPr>
        <w:pStyle w:val="4"/>
        <w:rPr>
          <w:rFonts w:hint="eastAsia"/>
          <w:color w:val="auto"/>
          <w:highlight w:val="none"/>
        </w:rPr>
      </w:pPr>
      <w:bookmarkStart w:id="405" w:name="_Toc247527601"/>
      <w:bookmarkStart w:id="406" w:name="_Toc144974544"/>
      <w:bookmarkStart w:id="407" w:name="_Toc20721"/>
      <w:bookmarkStart w:id="408" w:name="_Toc87238936"/>
      <w:bookmarkStart w:id="409" w:name="_Toc152045576"/>
      <w:bookmarkStart w:id="410" w:name="_Toc247514000"/>
      <w:bookmarkStart w:id="411" w:name="_Toc152042352"/>
      <w:bookmarkStart w:id="412" w:name="_Toc134304568"/>
      <w:r>
        <w:rPr>
          <w:rFonts w:hint="eastAsia"/>
          <w:color w:val="auto"/>
          <w:highlight w:val="none"/>
        </w:rPr>
        <w:t>8.2 对投标人的纪律要求</w:t>
      </w:r>
      <w:bookmarkEnd w:id="405"/>
      <w:bookmarkEnd w:id="406"/>
      <w:bookmarkEnd w:id="407"/>
      <w:bookmarkEnd w:id="408"/>
      <w:bookmarkEnd w:id="409"/>
      <w:bookmarkEnd w:id="410"/>
      <w:bookmarkEnd w:id="411"/>
      <w:bookmarkEnd w:id="412"/>
    </w:p>
    <w:p w14:paraId="6BC93DB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023F64B">
      <w:pPr>
        <w:pStyle w:val="4"/>
        <w:rPr>
          <w:rFonts w:hint="eastAsia"/>
          <w:color w:val="auto"/>
          <w:highlight w:val="none"/>
        </w:rPr>
      </w:pPr>
      <w:bookmarkStart w:id="413" w:name="_Toc16012"/>
      <w:bookmarkStart w:id="414" w:name="_Toc87238937"/>
      <w:bookmarkStart w:id="415" w:name="_Toc144974545"/>
      <w:bookmarkStart w:id="416" w:name="_Toc247527602"/>
      <w:bookmarkStart w:id="417" w:name="_Toc247514001"/>
      <w:bookmarkStart w:id="418" w:name="_Toc134304569"/>
      <w:bookmarkStart w:id="419" w:name="_Toc152042353"/>
      <w:bookmarkStart w:id="420" w:name="_Toc152045577"/>
      <w:r>
        <w:rPr>
          <w:rFonts w:hint="eastAsia"/>
          <w:color w:val="auto"/>
          <w:highlight w:val="none"/>
        </w:rPr>
        <w:t>8.3 对评标委员会成员的纪律要求</w:t>
      </w:r>
      <w:bookmarkEnd w:id="413"/>
      <w:bookmarkEnd w:id="414"/>
      <w:bookmarkEnd w:id="415"/>
      <w:bookmarkEnd w:id="416"/>
      <w:bookmarkEnd w:id="417"/>
      <w:bookmarkEnd w:id="418"/>
      <w:bookmarkEnd w:id="419"/>
      <w:bookmarkEnd w:id="420"/>
    </w:p>
    <w:p w14:paraId="4D3BB60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DEDE3DC">
      <w:pPr>
        <w:pStyle w:val="4"/>
        <w:rPr>
          <w:rFonts w:hint="eastAsia"/>
          <w:color w:val="auto"/>
          <w:highlight w:val="none"/>
        </w:rPr>
      </w:pPr>
      <w:bookmarkStart w:id="421" w:name="_Toc152045578"/>
      <w:bookmarkStart w:id="422" w:name="_Toc247527603"/>
      <w:bookmarkStart w:id="423" w:name="_Toc152042354"/>
      <w:bookmarkStart w:id="424" w:name="_Toc18141"/>
      <w:bookmarkStart w:id="425" w:name="_Toc247514002"/>
      <w:bookmarkStart w:id="426" w:name="_Toc87238938"/>
      <w:bookmarkStart w:id="427" w:name="_Toc134304570"/>
      <w:bookmarkStart w:id="428" w:name="_Toc144974546"/>
      <w:r>
        <w:rPr>
          <w:rFonts w:hint="eastAsia"/>
          <w:color w:val="auto"/>
          <w:highlight w:val="none"/>
        </w:rPr>
        <w:t>8.4 对与评标活动有关的工作人员的纪律要求</w:t>
      </w:r>
      <w:bookmarkEnd w:id="421"/>
      <w:bookmarkEnd w:id="422"/>
      <w:bookmarkEnd w:id="423"/>
      <w:bookmarkEnd w:id="424"/>
      <w:bookmarkEnd w:id="425"/>
      <w:bookmarkEnd w:id="426"/>
      <w:bookmarkEnd w:id="427"/>
    </w:p>
    <w:p w14:paraId="2A07C834">
      <w:pPr>
        <w:spacing w:line="400" w:lineRule="exact"/>
        <w:ind w:firstLine="420" w:firstLineChars="200"/>
        <w:rPr>
          <w:rFonts w:hint="eastAsia" w:ascii="宋体" w:hAnsi="宋体" w:cs="宋体"/>
          <w:color w:val="auto"/>
          <w:highlight w:val="none"/>
        </w:rPr>
      </w:pPr>
      <w:bookmarkStart w:id="429"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9"/>
    </w:p>
    <w:p w14:paraId="528D39AF">
      <w:pPr>
        <w:pStyle w:val="4"/>
        <w:rPr>
          <w:rFonts w:hint="eastAsia"/>
          <w:color w:val="auto"/>
          <w:highlight w:val="none"/>
        </w:rPr>
      </w:pPr>
      <w:bookmarkStart w:id="430" w:name="_Toc152045579"/>
      <w:bookmarkStart w:id="431" w:name="_Toc1651"/>
      <w:bookmarkStart w:id="432" w:name="_Toc134304571"/>
      <w:bookmarkStart w:id="433" w:name="_Toc247514003"/>
      <w:bookmarkStart w:id="434" w:name="_Toc247527604"/>
      <w:bookmarkStart w:id="435" w:name="_Toc152042356"/>
      <w:bookmarkStart w:id="436" w:name="_Toc87238939"/>
      <w:r>
        <w:rPr>
          <w:rFonts w:hint="eastAsia"/>
          <w:color w:val="auto"/>
          <w:highlight w:val="none"/>
        </w:rPr>
        <w:t>8.5 投诉</w:t>
      </w:r>
      <w:bookmarkEnd w:id="428"/>
      <w:bookmarkEnd w:id="430"/>
      <w:bookmarkEnd w:id="431"/>
      <w:bookmarkEnd w:id="432"/>
      <w:bookmarkEnd w:id="433"/>
      <w:bookmarkEnd w:id="434"/>
      <w:bookmarkEnd w:id="435"/>
      <w:bookmarkEnd w:id="436"/>
    </w:p>
    <w:p w14:paraId="0B6EE6F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490DAB11">
      <w:pPr>
        <w:pStyle w:val="2"/>
        <w:rPr>
          <w:color w:val="auto"/>
          <w:highlight w:val="none"/>
        </w:rPr>
      </w:pPr>
      <w:bookmarkStart w:id="437" w:name="_Toc247527605"/>
      <w:bookmarkStart w:id="438" w:name="_Toc152045580"/>
      <w:bookmarkStart w:id="439" w:name="_Toc144974547"/>
      <w:bookmarkStart w:id="440" w:name="_Toc247514004"/>
      <w:bookmarkStart w:id="441" w:name="_Toc152042357"/>
      <w:bookmarkStart w:id="442" w:name="_Toc134304572"/>
      <w:bookmarkStart w:id="443" w:name="_Toc6725"/>
      <w:r>
        <w:rPr>
          <w:rFonts w:hint="eastAsia"/>
          <w:color w:val="auto"/>
          <w:highlight w:val="none"/>
        </w:rPr>
        <w:t>9. 需要补充的其他内容</w:t>
      </w:r>
      <w:bookmarkEnd w:id="437"/>
      <w:bookmarkEnd w:id="438"/>
      <w:bookmarkEnd w:id="439"/>
      <w:bookmarkEnd w:id="440"/>
      <w:bookmarkEnd w:id="441"/>
      <w:bookmarkEnd w:id="442"/>
      <w:bookmarkEnd w:id="443"/>
    </w:p>
    <w:p w14:paraId="5644D7A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3DC4ED7">
      <w:pPr>
        <w:pStyle w:val="2"/>
        <w:rPr>
          <w:color w:val="auto"/>
          <w:highlight w:val="none"/>
        </w:rPr>
      </w:pPr>
      <w:bookmarkStart w:id="444" w:name="_Toc134304573"/>
      <w:bookmarkStart w:id="445" w:name="_Toc4738"/>
      <w:r>
        <w:rPr>
          <w:rFonts w:hint="eastAsia"/>
          <w:color w:val="auto"/>
          <w:highlight w:val="none"/>
        </w:rPr>
        <w:t>10. 电子招标投标</w:t>
      </w:r>
      <w:bookmarkEnd w:id="444"/>
      <w:bookmarkEnd w:id="445"/>
    </w:p>
    <w:p w14:paraId="699A1D5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371B1BC9">
      <w:pPr>
        <w:spacing w:line="400" w:lineRule="exact"/>
        <w:ind w:firstLine="420" w:firstLineChars="200"/>
        <w:rPr>
          <w:rFonts w:hint="eastAsia" w:ascii="宋体" w:hAnsi="宋体" w:cs="宋体"/>
          <w:color w:val="auto"/>
          <w:highlight w:val="none"/>
        </w:rPr>
      </w:pPr>
    </w:p>
    <w:p w14:paraId="4FDA4EE1">
      <w:pPr>
        <w:spacing w:line="400" w:lineRule="exact"/>
        <w:ind w:firstLine="420" w:firstLineChars="200"/>
        <w:rPr>
          <w:rFonts w:hint="eastAsia" w:ascii="宋体" w:hAnsi="宋体" w:cs="宋体"/>
          <w:color w:val="auto"/>
          <w:highlight w:val="none"/>
        </w:rPr>
      </w:pPr>
    </w:p>
    <w:p w14:paraId="66A58411">
      <w:pPr>
        <w:spacing w:line="400" w:lineRule="exact"/>
        <w:ind w:firstLine="420" w:firstLineChars="200"/>
        <w:rPr>
          <w:rFonts w:hint="eastAsia" w:ascii="宋体" w:hAnsi="宋体" w:cs="宋体"/>
          <w:color w:val="auto"/>
          <w:highlight w:val="none"/>
        </w:rPr>
      </w:pPr>
    </w:p>
    <w:p w14:paraId="6D5F4832">
      <w:pPr>
        <w:spacing w:line="400" w:lineRule="exact"/>
        <w:rPr>
          <w:rFonts w:hint="eastAsia" w:ascii="宋体" w:hAnsi="宋体" w:cs="宋体"/>
          <w:color w:val="auto"/>
          <w:highlight w:val="none"/>
        </w:rPr>
      </w:pPr>
      <w:r>
        <w:rPr>
          <w:rFonts w:hint="eastAsia" w:ascii="宋体" w:hAnsi="宋体" w:cs="宋体"/>
          <w:color w:val="auto"/>
          <w:highlight w:val="none"/>
        </w:rPr>
        <w:br w:type="page"/>
      </w:r>
      <w:bookmarkStart w:id="446" w:name="_Toc144974548"/>
      <w:bookmarkStart w:id="447" w:name="_Toc19551"/>
      <w:bookmarkStart w:id="448" w:name="_Toc247514005"/>
      <w:bookmarkStart w:id="449" w:name="_Toc247527606"/>
      <w:bookmarkStart w:id="450" w:name="_Toc152045581"/>
      <w:bookmarkStart w:id="451" w:name="_Toc152042358"/>
      <w:r>
        <w:rPr>
          <w:rFonts w:hint="eastAsia" w:ascii="宋体" w:hAnsi="宋体" w:cs="宋体"/>
          <w:color w:val="auto"/>
          <w:highlight w:val="none"/>
        </w:rPr>
        <w:t>附件一：开标记录表</w:t>
      </w:r>
    </w:p>
    <w:p w14:paraId="33FE03D4">
      <w:pPr>
        <w:spacing w:line="400" w:lineRule="exact"/>
        <w:rPr>
          <w:rFonts w:hint="eastAsia" w:ascii="宋体" w:hAnsi="宋体" w:cs="宋体"/>
          <w:color w:val="auto"/>
          <w:highlight w:val="none"/>
        </w:rPr>
      </w:pPr>
    </w:p>
    <w:p w14:paraId="2B185371">
      <w:pPr>
        <w:spacing w:line="400" w:lineRule="exact"/>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（项目名称）招标开标记录表</w:t>
      </w:r>
    </w:p>
    <w:p w14:paraId="16C06E80">
      <w:pPr>
        <w:spacing w:line="400" w:lineRule="exact"/>
        <w:rPr>
          <w:rFonts w:hint="eastAsia" w:ascii="宋体" w:hAnsi="宋体" w:cs="宋体"/>
          <w:color w:val="auto"/>
          <w:highlight w:val="none"/>
        </w:rPr>
      </w:pPr>
    </w:p>
    <w:p w14:paraId="4FE36785">
      <w:pPr>
        <w:spacing w:line="360" w:lineRule="auto"/>
        <w:ind w:right="420" w:firstLine="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74"/>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676"/>
        <w:gridCol w:w="483"/>
        <w:gridCol w:w="456"/>
        <w:gridCol w:w="546"/>
      </w:tblGrid>
      <w:tr w14:paraId="5D1E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vAlign w:val="center"/>
          </w:tcPr>
          <w:p w14:paraId="01F4624C">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67" w:type="dxa"/>
            <w:vAlign w:val="center"/>
          </w:tcPr>
          <w:p w14:paraId="524D4742">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497" w:type="dxa"/>
            <w:vAlign w:val="center"/>
          </w:tcPr>
          <w:p w14:paraId="5C0F93AA">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526" w:type="dxa"/>
            <w:vAlign w:val="center"/>
          </w:tcPr>
          <w:p w14:paraId="1E0ED5C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96" w:type="dxa"/>
            <w:vAlign w:val="center"/>
          </w:tcPr>
          <w:p w14:paraId="60AB276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21" w:type="dxa"/>
            <w:vAlign w:val="center"/>
          </w:tcPr>
          <w:p w14:paraId="2FF4DBD8">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635" w:type="dxa"/>
            <w:vAlign w:val="center"/>
          </w:tcPr>
          <w:p w14:paraId="366C0E1A">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31" w:type="dxa"/>
            <w:vAlign w:val="center"/>
          </w:tcPr>
          <w:p w14:paraId="68EC5A3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1F57C052">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01" w:type="dxa"/>
            <w:vAlign w:val="center"/>
          </w:tcPr>
          <w:p w14:paraId="13E4641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施工费报价</w:t>
            </w:r>
          </w:p>
          <w:p w14:paraId="5FDD2D67">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676" w:type="dxa"/>
            <w:vAlign w:val="center"/>
          </w:tcPr>
          <w:p w14:paraId="266EFFD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483" w:type="dxa"/>
            <w:vAlign w:val="center"/>
          </w:tcPr>
          <w:p w14:paraId="385BD9E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456" w:type="dxa"/>
            <w:vAlign w:val="center"/>
          </w:tcPr>
          <w:p w14:paraId="3D429312">
            <w:pPr>
              <w:snapToGrid w:val="0"/>
              <w:ind w:left="-57" w:leftChars="-27" w:right="-63" w:rightChars="-30"/>
              <w:jc w:val="center"/>
              <w:rPr>
                <w:rFonts w:hint="eastAsia"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546" w:type="dxa"/>
            <w:vAlign w:val="center"/>
          </w:tcPr>
          <w:p w14:paraId="64C8F2E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14:paraId="3F0E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2413C3B3">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1F43D248">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79279F10">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3F558618">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364A7CB1">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3A3A9E2D">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4C161016">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291E25D2">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409924F0">
            <w:pPr>
              <w:snapToGrid w:val="0"/>
              <w:ind w:left="-57" w:leftChars="-27" w:right="-63" w:rightChars="-30"/>
              <w:jc w:val="center"/>
              <w:rPr>
                <w:rFonts w:hint="eastAsia" w:ascii="宋体" w:hAnsi="宋体" w:cs="宋体"/>
                <w:color w:val="auto"/>
                <w:sz w:val="18"/>
                <w:szCs w:val="18"/>
                <w:highlight w:val="none"/>
              </w:rPr>
            </w:pPr>
          </w:p>
        </w:tc>
        <w:tc>
          <w:tcPr>
            <w:tcW w:w="676" w:type="dxa"/>
            <w:vAlign w:val="center"/>
          </w:tcPr>
          <w:p w14:paraId="61E8E609">
            <w:pPr>
              <w:snapToGrid w:val="0"/>
              <w:ind w:left="-57" w:leftChars="-27" w:right="-63" w:rightChars="-30"/>
              <w:jc w:val="center"/>
              <w:rPr>
                <w:rFonts w:hint="eastAsia" w:ascii="宋体" w:hAnsi="宋体" w:cs="宋体"/>
                <w:color w:val="auto"/>
                <w:sz w:val="18"/>
                <w:szCs w:val="18"/>
                <w:highlight w:val="none"/>
              </w:rPr>
            </w:pPr>
          </w:p>
        </w:tc>
        <w:tc>
          <w:tcPr>
            <w:tcW w:w="483" w:type="dxa"/>
            <w:vAlign w:val="center"/>
          </w:tcPr>
          <w:p w14:paraId="77AF1F99">
            <w:pPr>
              <w:snapToGrid w:val="0"/>
              <w:ind w:left="-57" w:leftChars="-27" w:right="-63" w:rightChars="-30"/>
              <w:jc w:val="center"/>
              <w:rPr>
                <w:rFonts w:hint="eastAsia" w:ascii="宋体" w:hAnsi="宋体" w:cs="宋体"/>
                <w:color w:val="auto"/>
                <w:sz w:val="18"/>
                <w:szCs w:val="18"/>
                <w:highlight w:val="none"/>
              </w:rPr>
            </w:pPr>
          </w:p>
        </w:tc>
        <w:tc>
          <w:tcPr>
            <w:tcW w:w="456" w:type="dxa"/>
            <w:vAlign w:val="center"/>
          </w:tcPr>
          <w:p w14:paraId="317AF6DE">
            <w:pPr>
              <w:snapToGrid w:val="0"/>
              <w:ind w:left="-57" w:leftChars="-27" w:right="-63" w:rightChars="-30"/>
              <w:jc w:val="center"/>
              <w:rPr>
                <w:rFonts w:hint="eastAsia" w:ascii="宋体" w:hAnsi="宋体" w:cs="宋体"/>
                <w:color w:val="auto"/>
                <w:sz w:val="18"/>
                <w:szCs w:val="18"/>
                <w:highlight w:val="none"/>
              </w:rPr>
            </w:pPr>
          </w:p>
        </w:tc>
        <w:tc>
          <w:tcPr>
            <w:tcW w:w="546" w:type="dxa"/>
            <w:vAlign w:val="center"/>
          </w:tcPr>
          <w:p w14:paraId="5EED91B1">
            <w:pPr>
              <w:snapToGrid w:val="0"/>
              <w:ind w:left="-57" w:leftChars="-27" w:right="-63" w:rightChars="-30"/>
              <w:jc w:val="center"/>
              <w:rPr>
                <w:rFonts w:hint="eastAsia" w:ascii="宋体" w:hAnsi="宋体" w:cs="宋体"/>
                <w:color w:val="auto"/>
                <w:sz w:val="18"/>
                <w:szCs w:val="18"/>
                <w:highlight w:val="none"/>
              </w:rPr>
            </w:pPr>
          </w:p>
        </w:tc>
      </w:tr>
      <w:tr w14:paraId="1344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279383CC">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48A47F76">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5DF31352">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190ED762">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41342E0D">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7B07DB04">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0F37C4E7">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489E140C">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5325291B">
            <w:pPr>
              <w:snapToGrid w:val="0"/>
              <w:ind w:left="-57" w:leftChars="-27" w:right="-63" w:rightChars="-30"/>
              <w:jc w:val="center"/>
              <w:rPr>
                <w:rFonts w:hint="eastAsia" w:ascii="宋体" w:hAnsi="宋体" w:cs="宋体"/>
                <w:color w:val="auto"/>
                <w:sz w:val="18"/>
                <w:szCs w:val="18"/>
                <w:highlight w:val="none"/>
              </w:rPr>
            </w:pPr>
          </w:p>
        </w:tc>
        <w:tc>
          <w:tcPr>
            <w:tcW w:w="676" w:type="dxa"/>
            <w:vAlign w:val="center"/>
          </w:tcPr>
          <w:p w14:paraId="5F61FB93">
            <w:pPr>
              <w:snapToGrid w:val="0"/>
              <w:ind w:left="-57" w:leftChars="-27" w:right="-63" w:rightChars="-30"/>
              <w:jc w:val="center"/>
              <w:rPr>
                <w:rFonts w:hint="eastAsia" w:ascii="宋体" w:hAnsi="宋体" w:cs="宋体"/>
                <w:color w:val="auto"/>
                <w:sz w:val="18"/>
                <w:szCs w:val="18"/>
                <w:highlight w:val="none"/>
              </w:rPr>
            </w:pPr>
          </w:p>
        </w:tc>
        <w:tc>
          <w:tcPr>
            <w:tcW w:w="483" w:type="dxa"/>
            <w:vAlign w:val="center"/>
          </w:tcPr>
          <w:p w14:paraId="639B2DB7">
            <w:pPr>
              <w:snapToGrid w:val="0"/>
              <w:ind w:left="-57" w:leftChars="-27" w:right="-63" w:rightChars="-30"/>
              <w:jc w:val="center"/>
              <w:rPr>
                <w:rFonts w:hint="eastAsia" w:ascii="宋体" w:hAnsi="宋体" w:cs="宋体"/>
                <w:color w:val="auto"/>
                <w:sz w:val="18"/>
                <w:szCs w:val="18"/>
                <w:highlight w:val="none"/>
              </w:rPr>
            </w:pPr>
          </w:p>
        </w:tc>
        <w:tc>
          <w:tcPr>
            <w:tcW w:w="456" w:type="dxa"/>
            <w:vAlign w:val="center"/>
          </w:tcPr>
          <w:p w14:paraId="1401CB50">
            <w:pPr>
              <w:snapToGrid w:val="0"/>
              <w:ind w:left="-57" w:leftChars="-27" w:right="-63" w:rightChars="-30"/>
              <w:jc w:val="center"/>
              <w:rPr>
                <w:rFonts w:hint="eastAsia" w:ascii="宋体" w:hAnsi="宋体" w:cs="宋体"/>
                <w:color w:val="auto"/>
                <w:sz w:val="18"/>
                <w:szCs w:val="18"/>
                <w:highlight w:val="none"/>
              </w:rPr>
            </w:pPr>
          </w:p>
        </w:tc>
        <w:tc>
          <w:tcPr>
            <w:tcW w:w="546" w:type="dxa"/>
            <w:vAlign w:val="center"/>
          </w:tcPr>
          <w:p w14:paraId="50631AD6">
            <w:pPr>
              <w:snapToGrid w:val="0"/>
              <w:ind w:left="-57" w:leftChars="-27" w:right="-63" w:rightChars="-30"/>
              <w:jc w:val="center"/>
              <w:rPr>
                <w:rFonts w:hint="eastAsia" w:ascii="宋体" w:hAnsi="宋体" w:cs="宋体"/>
                <w:color w:val="auto"/>
                <w:sz w:val="18"/>
                <w:szCs w:val="18"/>
                <w:highlight w:val="none"/>
              </w:rPr>
            </w:pPr>
          </w:p>
        </w:tc>
      </w:tr>
      <w:tr w14:paraId="07F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4884271">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561AF882">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6496A635">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2AA9504A">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374B6D76">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170DF4B7">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6852844C">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4C4100FF">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07C5578B">
            <w:pPr>
              <w:snapToGrid w:val="0"/>
              <w:ind w:left="-57" w:leftChars="-27" w:right="-63" w:rightChars="-30"/>
              <w:jc w:val="center"/>
              <w:rPr>
                <w:rFonts w:hint="eastAsia" w:ascii="宋体" w:hAnsi="宋体" w:cs="宋体"/>
                <w:color w:val="auto"/>
                <w:sz w:val="18"/>
                <w:szCs w:val="18"/>
                <w:highlight w:val="none"/>
              </w:rPr>
            </w:pPr>
          </w:p>
        </w:tc>
        <w:tc>
          <w:tcPr>
            <w:tcW w:w="676" w:type="dxa"/>
            <w:vAlign w:val="center"/>
          </w:tcPr>
          <w:p w14:paraId="68011E9B">
            <w:pPr>
              <w:snapToGrid w:val="0"/>
              <w:ind w:left="-57" w:leftChars="-27" w:right="-63" w:rightChars="-30"/>
              <w:jc w:val="center"/>
              <w:rPr>
                <w:rFonts w:hint="eastAsia" w:ascii="宋体" w:hAnsi="宋体" w:cs="宋体"/>
                <w:color w:val="auto"/>
                <w:sz w:val="18"/>
                <w:szCs w:val="18"/>
                <w:highlight w:val="none"/>
              </w:rPr>
            </w:pPr>
          </w:p>
        </w:tc>
        <w:tc>
          <w:tcPr>
            <w:tcW w:w="483" w:type="dxa"/>
            <w:vAlign w:val="center"/>
          </w:tcPr>
          <w:p w14:paraId="03E44E0E">
            <w:pPr>
              <w:snapToGrid w:val="0"/>
              <w:ind w:left="-57" w:leftChars="-27" w:right="-63" w:rightChars="-30"/>
              <w:jc w:val="center"/>
              <w:rPr>
                <w:rFonts w:hint="eastAsia" w:ascii="宋体" w:hAnsi="宋体" w:cs="宋体"/>
                <w:color w:val="auto"/>
                <w:sz w:val="18"/>
                <w:szCs w:val="18"/>
                <w:highlight w:val="none"/>
              </w:rPr>
            </w:pPr>
          </w:p>
        </w:tc>
        <w:tc>
          <w:tcPr>
            <w:tcW w:w="456" w:type="dxa"/>
            <w:vAlign w:val="center"/>
          </w:tcPr>
          <w:p w14:paraId="5C46CC85">
            <w:pPr>
              <w:snapToGrid w:val="0"/>
              <w:ind w:left="-57" w:leftChars="-27" w:right="-63" w:rightChars="-30"/>
              <w:jc w:val="center"/>
              <w:rPr>
                <w:rFonts w:hint="eastAsia" w:ascii="宋体" w:hAnsi="宋体" w:cs="宋体"/>
                <w:color w:val="auto"/>
                <w:sz w:val="18"/>
                <w:szCs w:val="18"/>
                <w:highlight w:val="none"/>
              </w:rPr>
            </w:pPr>
          </w:p>
        </w:tc>
        <w:tc>
          <w:tcPr>
            <w:tcW w:w="546" w:type="dxa"/>
            <w:vAlign w:val="center"/>
          </w:tcPr>
          <w:p w14:paraId="222BAB16">
            <w:pPr>
              <w:snapToGrid w:val="0"/>
              <w:ind w:left="-57" w:leftChars="-27" w:right="-63" w:rightChars="-30"/>
              <w:jc w:val="center"/>
              <w:rPr>
                <w:rFonts w:hint="eastAsia" w:ascii="宋体" w:hAnsi="宋体" w:cs="宋体"/>
                <w:color w:val="auto"/>
                <w:sz w:val="18"/>
                <w:szCs w:val="18"/>
                <w:highlight w:val="none"/>
              </w:rPr>
            </w:pPr>
          </w:p>
        </w:tc>
      </w:tr>
      <w:tr w14:paraId="14BA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644B9B81">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625939BA">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655F4059">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0B06F352">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4EDFD343">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384CBBFF">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0A58247E">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736E7B27">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6C85C94F">
            <w:pPr>
              <w:snapToGrid w:val="0"/>
              <w:ind w:left="-57" w:leftChars="-27" w:right="-63" w:rightChars="-30"/>
              <w:jc w:val="center"/>
              <w:rPr>
                <w:rFonts w:hint="eastAsia" w:ascii="宋体" w:hAnsi="宋体" w:cs="宋体"/>
                <w:color w:val="auto"/>
                <w:sz w:val="18"/>
                <w:szCs w:val="18"/>
                <w:highlight w:val="none"/>
              </w:rPr>
            </w:pPr>
          </w:p>
        </w:tc>
        <w:tc>
          <w:tcPr>
            <w:tcW w:w="676" w:type="dxa"/>
            <w:vAlign w:val="center"/>
          </w:tcPr>
          <w:p w14:paraId="1197AFA9">
            <w:pPr>
              <w:snapToGrid w:val="0"/>
              <w:ind w:left="-57" w:leftChars="-27" w:right="-63" w:rightChars="-30"/>
              <w:jc w:val="center"/>
              <w:rPr>
                <w:rFonts w:hint="eastAsia" w:ascii="宋体" w:hAnsi="宋体" w:cs="宋体"/>
                <w:color w:val="auto"/>
                <w:sz w:val="18"/>
                <w:szCs w:val="18"/>
                <w:highlight w:val="none"/>
              </w:rPr>
            </w:pPr>
          </w:p>
        </w:tc>
        <w:tc>
          <w:tcPr>
            <w:tcW w:w="483" w:type="dxa"/>
            <w:vAlign w:val="center"/>
          </w:tcPr>
          <w:p w14:paraId="24548341">
            <w:pPr>
              <w:snapToGrid w:val="0"/>
              <w:ind w:left="-57" w:leftChars="-27" w:right="-63" w:rightChars="-30"/>
              <w:jc w:val="center"/>
              <w:rPr>
                <w:rFonts w:hint="eastAsia" w:ascii="宋体" w:hAnsi="宋体" w:cs="宋体"/>
                <w:color w:val="auto"/>
                <w:sz w:val="18"/>
                <w:szCs w:val="18"/>
                <w:highlight w:val="none"/>
              </w:rPr>
            </w:pPr>
          </w:p>
        </w:tc>
        <w:tc>
          <w:tcPr>
            <w:tcW w:w="456" w:type="dxa"/>
            <w:vAlign w:val="center"/>
          </w:tcPr>
          <w:p w14:paraId="714F9148">
            <w:pPr>
              <w:snapToGrid w:val="0"/>
              <w:ind w:left="-57" w:leftChars="-27" w:right="-63" w:rightChars="-30"/>
              <w:jc w:val="center"/>
              <w:rPr>
                <w:rFonts w:hint="eastAsia" w:ascii="宋体" w:hAnsi="宋体" w:cs="宋体"/>
                <w:color w:val="auto"/>
                <w:sz w:val="18"/>
                <w:szCs w:val="18"/>
                <w:highlight w:val="none"/>
              </w:rPr>
            </w:pPr>
          </w:p>
        </w:tc>
        <w:tc>
          <w:tcPr>
            <w:tcW w:w="546" w:type="dxa"/>
            <w:vAlign w:val="center"/>
          </w:tcPr>
          <w:p w14:paraId="56F01CCC">
            <w:pPr>
              <w:snapToGrid w:val="0"/>
              <w:ind w:left="-57" w:leftChars="-27" w:right="-63" w:rightChars="-30"/>
              <w:jc w:val="center"/>
              <w:rPr>
                <w:rFonts w:hint="eastAsia" w:ascii="宋体" w:hAnsi="宋体" w:cs="宋体"/>
                <w:color w:val="auto"/>
                <w:sz w:val="18"/>
                <w:szCs w:val="18"/>
                <w:highlight w:val="none"/>
              </w:rPr>
            </w:pPr>
          </w:p>
        </w:tc>
      </w:tr>
      <w:tr w14:paraId="5DD5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2016D13B">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608DA16D">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57C159A3">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5471F50D">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70318D6A">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3405B73C">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4D3F08B6">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74C12FF4">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703F9233">
            <w:pPr>
              <w:snapToGrid w:val="0"/>
              <w:ind w:left="-57" w:leftChars="-27" w:right="-63" w:rightChars="-30"/>
              <w:jc w:val="center"/>
              <w:rPr>
                <w:rFonts w:hint="eastAsia" w:ascii="宋体" w:hAnsi="宋体" w:cs="宋体"/>
                <w:color w:val="auto"/>
                <w:sz w:val="18"/>
                <w:szCs w:val="18"/>
                <w:highlight w:val="none"/>
              </w:rPr>
            </w:pPr>
          </w:p>
        </w:tc>
        <w:tc>
          <w:tcPr>
            <w:tcW w:w="676" w:type="dxa"/>
            <w:vAlign w:val="center"/>
          </w:tcPr>
          <w:p w14:paraId="6804F9F5">
            <w:pPr>
              <w:snapToGrid w:val="0"/>
              <w:ind w:left="-57" w:leftChars="-27" w:right="-63" w:rightChars="-30"/>
              <w:jc w:val="center"/>
              <w:rPr>
                <w:rFonts w:hint="eastAsia" w:ascii="宋体" w:hAnsi="宋体" w:cs="宋体"/>
                <w:color w:val="auto"/>
                <w:sz w:val="18"/>
                <w:szCs w:val="18"/>
                <w:highlight w:val="none"/>
              </w:rPr>
            </w:pPr>
          </w:p>
        </w:tc>
        <w:tc>
          <w:tcPr>
            <w:tcW w:w="483" w:type="dxa"/>
            <w:vAlign w:val="center"/>
          </w:tcPr>
          <w:p w14:paraId="7943A586">
            <w:pPr>
              <w:snapToGrid w:val="0"/>
              <w:ind w:left="-57" w:leftChars="-27" w:right="-63" w:rightChars="-30"/>
              <w:jc w:val="center"/>
              <w:rPr>
                <w:rFonts w:hint="eastAsia" w:ascii="宋体" w:hAnsi="宋体" w:cs="宋体"/>
                <w:color w:val="auto"/>
                <w:sz w:val="18"/>
                <w:szCs w:val="18"/>
                <w:highlight w:val="none"/>
              </w:rPr>
            </w:pPr>
          </w:p>
        </w:tc>
        <w:tc>
          <w:tcPr>
            <w:tcW w:w="456" w:type="dxa"/>
            <w:vAlign w:val="center"/>
          </w:tcPr>
          <w:p w14:paraId="167AA19B">
            <w:pPr>
              <w:snapToGrid w:val="0"/>
              <w:ind w:left="-57" w:leftChars="-27" w:right="-63" w:rightChars="-30"/>
              <w:jc w:val="center"/>
              <w:rPr>
                <w:rFonts w:hint="eastAsia" w:ascii="宋体" w:hAnsi="宋体" w:cs="宋体"/>
                <w:color w:val="auto"/>
                <w:sz w:val="18"/>
                <w:szCs w:val="18"/>
                <w:highlight w:val="none"/>
              </w:rPr>
            </w:pPr>
          </w:p>
        </w:tc>
        <w:tc>
          <w:tcPr>
            <w:tcW w:w="546" w:type="dxa"/>
            <w:vAlign w:val="center"/>
          </w:tcPr>
          <w:p w14:paraId="14698553">
            <w:pPr>
              <w:snapToGrid w:val="0"/>
              <w:ind w:left="-57" w:leftChars="-27" w:right="-63" w:rightChars="-30"/>
              <w:jc w:val="center"/>
              <w:rPr>
                <w:rFonts w:hint="eastAsia" w:ascii="宋体" w:hAnsi="宋体" w:cs="宋体"/>
                <w:color w:val="auto"/>
                <w:sz w:val="18"/>
                <w:szCs w:val="18"/>
                <w:highlight w:val="none"/>
              </w:rPr>
            </w:pPr>
          </w:p>
        </w:tc>
      </w:tr>
    </w:tbl>
    <w:p w14:paraId="18B95C61">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 记录人： 监标人：</w:t>
      </w:r>
    </w:p>
    <w:p w14:paraId="1E2A2C75">
      <w:pPr>
        <w:spacing w:line="620" w:lineRule="exact"/>
        <w:ind w:firstLine="420"/>
        <w:jc w:val="right"/>
        <w:rPr>
          <w:rFonts w:hint="eastAsia" w:ascii="宋体" w:hAnsi="宋体" w:cs="宋体"/>
          <w:color w:val="auto"/>
          <w:sz w:val="20"/>
          <w:szCs w:val="20"/>
          <w:highlight w:val="none"/>
        </w:rPr>
      </w:pPr>
      <w:r>
        <w:rPr>
          <w:rFonts w:hint="eastAsia" w:ascii="宋体" w:hAnsi="宋体" w:cs="宋体"/>
          <w:color w:val="auto"/>
          <w:szCs w:val="21"/>
          <w:highlight w:val="none"/>
        </w:rPr>
        <w:t>年月日</w:t>
      </w:r>
    </w:p>
    <w:bookmarkEnd w:id="446"/>
    <w:bookmarkEnd w:id="447"/>
    <w:bookmarkEnd w:id="448"/>
    <w:bookmarkEnd w:id="449"/>
    <w:bookmarkEnd w:id="450"/>
    <w:bookmarkEnd w:id="451"/>
    <w:p w14:paraId="538BB1BD">
      <w:pPr>
        <w:spacing w:line="620" w:lineRule="exact"/>
        <w:ind w:firstLine="420"/>
        <w:jc w:val="right"/>
        <w:rPr>
          <w:rFonts w:hint="eastAsia" w:ascii="宋体" w:hAnsi="宋体" w:cs="宋体"/>
          <w:color w:val="auto"/>
          <w:sz w:val="20"/>
          <w:szCs w:val="20"/>
          <w:highlight w:val="none"/>
        </w:rPr>
      </w:pPr>
    </w:p>
    <w:p w14:paraId="1AADC5A9">
      <w:pPr>
        <w:rPr>
          <w:color w:val="auto"/>
          <w:highlight w:val="none"/>
        </w:rPr>
      </w:pPr>
    </w:p>
    <w:p w14:paraId="1F2D2B80">
      <w:pPr>
        <w:rPr>
          <w:color w:val="auto"/>
          <w:highlight w:val="none"/>
        </w:rPr>
      </w:pPr>
    </w:p>
    <w:p w14:paraId="5D7D85E4">
      <w:pPr>
        <w:rPr>
          <w:color w:val="auto"/>
          <w:highlight w:val="none"/>
        </w:rPr>
      </w:pPr>
      <w:r>
        <w:rPr>
          <w:rFonts w:hint="eastAsia"/>
          <w:color w:val="auto"/>
          <w:highlight w:val="none"/>
        </w:rPr>
        <w:t>注：本表仅供参考，具体以开标时的开标记录表为准。</w:t>
      </w:r>
    </w:p>
    <w:p w14:paraId="3F25C716">
      <w:pPr>
        <w:pStyle w:val="4"/>
        <w:rPr>
          <w:rFonts w:hint="eastAsia"/>
          <w:color w:val="auto"/>
          <w:highlight w:val="none"/>
        </w:rPr>
      </w:pPr>
      <w:r>
        <w:rPr>
          <w:rFonts w:hint="eastAsia"/>
          <w:color w:val="auto"/>
          <w:highlight w:val="none"/>
        </w:rPr>
        <w:br w:type="page"/>
      </w:r>
      <w:bookmarkStart w:id="452" w:name="_Toc134304574"/>
      <w:r>
        <w:rPr>
          <w:rFonts w:hint="eastAsia"/>
          <w:color w:val="auto"/>
          <w:highlight w:val="none"/>
        </w:rPr>
        <w:t>附件二：问题澄清通知</w:t>
      </w:r>
      <w:bookmarkEnd w:id="452"/>
    </w:p>
    <w:p w14:paraId="3369C225">
      <w:pPr>
        <w:spacing w:line="440" w:lineRule="exact"/>
        <w:ind w:firstLine="420"/>
        <w:jc w:val="center"/>
        <w:rPr>
          <w:rFonts w:hint="eastAsia" w:ascii="宋体" w:hAnsi="宋体" w:cs="宋体"/>
          <w:color w:val="auto"/>
          <w:szCs w:val="21"/>
          <w:highlight w:val="none"/>
        </w:rPr>
      </w:pPr>
    </w:p>
    <w:p w14:paraId="1912AC5D">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问题澄清通知</w:t>
      </w:r>
    </w:p>
    <w:p w14:paraId="4C0C3C39">
      <w:pPr>
        <w:spacing w:line="440" w:lineRule="exact"/>
        <w:ind w:firstLine="6663"/>
        <w:rPr>
          <w:rFonts w:hint="eastAsia" w:ascii="宋体" w:hAnsi="宋体" w:cs="宋体"/>
          <w:color w:val="auto"/>
          <w:szCs w:val="21"/>
          <w:highlight w:val="none"/>
        </w:rPr>
      </w:pPr>
      <w:r>
        <w:rPr>
          <w:rFonts w:hint="eastAsia" w:ascii="宋体" w:hAnsi="宋体" w:cs="宋体"/>
          <w:color w:val="auto"/>
          <w:szCs w:val="21"/>
          <w:highlight w:val="none"/>
        </w:rPr>
        <w:t>编号：</w:t>
      </w:r>
    </w:p>
    <w:p w14:paraId="7EEEC685">
      <w:pPr>
        <w:spacing w:line="440" w:lineRule="exact"/>
        <w:ind w:firstLine="420"/>
        <w:rPr>
          <w:rFonts w:hint="eastAsia" w:ascii="宋体" w:hAnsi="宋体" w:cs="宋体"/>
          <w:color w:val="auto"/>
          <w:szCs w:val="21"/>
          <w:highlight w:val="none"/>
        </w:rPr>
      </w:pPr>
    </w:p>
    <w:p w14:paraId="712275C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6D40785B">
      <w:pPr>
        <w:spacing w:line="440" w:lineRule="exact"/>
        <w:ind w:firstLine="420"/>
        <w:rPr>
          <w:rFonts w:hint="eastAsia" w:ascii="宋体" w:hAnsi="宋体" w:cs="宋体"/>
          <w:color w:val="auto"/>
          <w:szCs w:val="21"/>
          <w:highlight w:val="none"/>
        </w:rPr>
      </w:pPr>
    </w:p>
    <w:p w14:paraId="6097BDBA">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556EDD7C">
      <w:pPr>
        <w:spacing w:line="440" w:lineRule="exact"/>
        <w:ind w:firstLine="420"/>
        <w:rPr>
          <w:rFonts w:hint="eastAsia" w:ascii="宋体" w:hAnsi="宋体" w:cs="宋体"/>
          <w:color w:val="auto"/>
          <w:szCs w:val="21"/>
          <w:highlight w:val="none"/>
        </w:rPr>
      </w:pPr>
    </w:p>
    <w:p w14:paraId="76EB0A08">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w:t>
      </w:r>
    </w:p>
    <w:p w14:paraId="335552EE">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p>
    <w:p w14:paraId="19A6C9BC">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2DD42C1">
      <w:pPr>
        <w:spacing w:line="440" w:lineRule="exact"/>
        <w:ind w:firstLine="420"/>
        <w:rPr>
          <w:rFonts w:hint="eastAsia" w:ascii="宋体" w:hAnsi="宋体" w:cs="宋体"/>
          <w:color w:val="auto"/>
          <w:szCs w:val="21"/>
          <w:highlight w:val="none"/>
        </w:rPr>
      </w:pPr>
    </w:p>
    <w:p w14:paraId="5EDE5261">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请将上述问题的澄清于年月日时前递交至（详细地址）或传真至</w:t>
      </w:r>
      <w:bookmarkStart w:id="453" w:name="_Toc152042359"/>
      <w:bookmarkStart w:id="454" w:name="_Toc357089563"/>
      <w:bookmarkStart w:id="455" w:name="_Toc300835003"/>
      <w:bookmarkStart w:id="456" w:name="_Toc247514006"/>
      <w:bookmarkStart w:id="457" w:name="_Toc439246049"/>
      <w:bookmarkStart w:id="458" w:name="_Toc144974549"/>
      <w:bookmarkStart w:id="459" w:name="_Toc247527607"/>
      <w:bookmarkStart w:id="460" w:name="_Toc439240650"/>
      <w:bookmarkStart w:id="461" w:name="_Toc152045582"/>
      <w:bookmarkStart w:id="462" w:name="_Toc356469229"/>
      <w:r>
        <w:rPr>
          <w:rFonts w:hint="eastAsia" w:ascii="宋体" w:hAnsi="宋体" w:cs="宋体"/>
          <w:color w:val="auto"/>
          <w:szCs w:val="21"/>
          <w:highlight w:val="none"/>
        </w:rPr>
        <w:t>（传真号码</w:t>
      </w:r>
      <w:bookmarkEnd w:id="453"/>
      <w:bookmarkEnd w:id="454"/>
      <w:bookmarkEnd w:id="455"/>
      <w:bookmarkEnd w:id="456"/>
      <w:bookmarkEnd w:id="457"/>
      <w:bookmarkEnd w:id="458"/>
      <w:bookmarkEnd w:id="459"/>
      <w:bookmarkEnd w:id="460"/>
      <w:bookmarkEnd w:id="461"/>
      <w:bookmarkEnd w:id="462"/>
      <w:r>
        <w:rPr>
          <w:rFonts w:hint="eastAsia" w:ascii="宋体" w:hAnsi="宋体" w:cs="宋体"/>
          <w:color w:val="auto"/>
          <w:szCs w:val="21"/>
          <w:highlight w:val="none"/>
        </w:rPr>
        <w:t>）。采用传真方式的，应在年月日时前将原件递交至（详细地址）。</w:t>
      </w:r>
    </w:p>
    <w:p w14:paraId="32FAA077">
      <w:pPr>
        <w:spacing w:line="440" w:lineRule="exact"/>
        <w:ind w:firstLine="420"/>
        <w:rPr>
          <w:rFonts w:hint="eastAsia" w:ascii="宋体" w:hAnsi="宋体" w:cs="宋体"/>
          <w:color w:val="auto"/>
          <w:szCs w:val="21"/>
          <w:highlight w:val="none"/>
        </w:rPr>
      </w:pPr>
    </w:p>
    <w:p w14:paraId="5DEA394C">
      <w:pPr>
        <w:spacing w:line="440" w:lineRule="exact"/>
        <w:ind w:firstLine="420"/>
        <w:rPr>
          <w:rFonts w:hint="eastAsia" w:ascii="宋体" w:hAnsi="宋体" w:cs="宋体"/>
          <w:color w:val="auto"/>
          <w:szCs w:val="21"/>
          <w:highlight w:val="none"/>
        </w:rPr>
      </w:pPr>
    </w:p>
    <w:p w14:paraId="087BE9D2">
      <w:pPr>
        <w:spacing w:line="44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5F4D1E2B">
      <w:pPr>
        <w:spacing w:line="440" w:lineRule="exact"/>
        <w:ind w:firstLine="420"/>
        <w:rPr>
          <w:rFonts w:hint="eastAsia" w:ascii="宋体" w:hAnsi="宋体" w:cs="宋体"/>
          <w:color w:val="auto"/>
          <w:szCs w:val="21"/>
          <w:highlight w:val="none"/>
        </w:rPr>
      </w:pPr>
    </w:p>
    <w:p w14:paraId="3BD39F27">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6D4C7AAA">
      <w:pPr>
        <w:spacing w:line="400" w:lineRule="exact"/>
        <w:ind w:firstLine="420"/>
        <w:rPr>
          <w:rFonts w:hint="eastAsia" w:ascii="宋体" w:hAnsi="宋体" w:cs="宋体"/>
          <w:color w:val="auto"/>
          <w:highlight w:val="none"/>
        </w:rPr>
      </w:pPr>
    </w:p>
    <w:p w14:paraId="4EC45796">
      <w:pPr>
        <w:pStyle w:val="4"/>
        <w:rPr>
          <w:rFonts w:hint="eastAsia"/>
          <w:color w:val="auto"/>
          <w:highlight w:val="none"/>
        </w:rPr>
      </w:pPr>
      <w:r>
        <w:rPr>
          <w:rFonts w:hint="eastAsia" w:ascii="宋体" w:cs="宋体"/>
          <w:color w:val="auto"/>
          <w:highlight w:val="none"/>
        </w:rPr>
        <w:br w:type="page"/>
      </w:r>
      <w:bookmarkStart w:id="463" w:name="_Toc134304575"/>
      <w:r>
        <w:rPr>
          <w:rFonts w:hint="eastAsia"/>
          <w:color w:val="auto"/>
          <w:highlight w:val="none"/>
        </w:rPr>
        <w:t>附件三：问题的澄清</w:t>
      </w:r>
      <w:bookmarkEnd w:id="463"/>
    </w:p>
    <w:p w14:paraId="00797B5F">
      <w:pPr>
        <w:spacing w:line="400" w:lineRule="exact"/>
        <w:jc w:val="center"/>
        <w:rPr>
          <w:rFonts w:hint="eastAsia" w:ascii="宋体" w:hAnsi="宋体" w:cs="宋体"/>
          <w:b/>
          <w:color w:val="auto"/>
          <w:sz w:val="28"/>
          <w:szCs w:val="28"/>
          <w:highlight w:val="none"/>
        </w:rPr>
      </w:pPr>
    </w:p>
    <w:p w14:paraId="43A8DCE7">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问题的澄清</w:t>
      </w:r>
    </w:p>
    <w:p w14:paraId="273F9C05">
      <w:pPr>
        <w:spacing w:line="400" w:lineRule="exact"/>
        <w:ind w:firstLine="6804" w:firstLineChars="3240"/>
        <w:rPr>
          <w:rFonts w:hint="eastAsia" w:ascii="宋体" w:hAnsi="宋体" w:cs="宋体"/>
          <w:color w:val="auto"/>
          <w:highlight w:val="none"/>
        </w:rPr>
      </w:pPr>
      <w:r>
        <w:rPr>
          <w:rFonts w:hint="eastAsia" w:ascii="宋体" w:hAnsi="宋体" w:cs="宋体"/>
          <w:color w:val="auto"/>
          <w:highlight w:val="none"/>
        </w:rPr>
        <w:t xml:space="preserve">编号： </w:t>
      </w:r>
    </w:p>
    <w:p w14:paraId="339763D3">
      <w:pPr>
        <w:spacing w:line="400" w:lineRule="exact"/>
        <w:ind w:firstLine="420"/>
        <w:rPr>
          <w:rFonts w:hint="eastAsia" w:ascii="宋体" w:hAnsi="宋体" w:cs="宋体"/>
          <w:color w:val="auto"/>
          <w:szCs w:val="21"/>
          <w:highlight w:val="none"/>
        </w:rPr>
      </w:pPr>
    </w:p>
    <w:p w14:paraId="642380F2">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56C23C59">
      <w:pPr>
        <w:spacing w:line="440" w:lineRule="exact"/>
        <w:ind w:firstLine="420"/>
        <w:rPr>
          <w:rFonts w:hint="eastAsia" w:ascii="宋体" w:hAnsi="宋体" w:cs="宋体"/>
          <w:color w:val="auto"/>
          <w:szCs w:val="21"/>
          <w:highlight w:val="none"/>
        </w:rPr>
      </w:pPr>
    </w:p>
    <w:p w14:paraId="2EC4BF21">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问题澄清通知（编号：）已收悉，现澄清如下：</w:t>
      </w:r>
    </w:p>
    <w:p w14:paraId="6843A36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w:t>
      </w:r>
    </w:p>
    <w:p w14:paraId="35FF8267">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w:t>
      </w:r>
    </w:p>
    <w:p w14:paraId="5397D4DF">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w:t>
      </w:r>
    </w:p>
    <w:p w14:paraId="0286EC0C">
      <w:pPr>
        <w:spacing w:line="440" w:lineRule="exact"/>
        <w:ind w:firstLine="420"/>
        <w:rPr>
          <w:rFonts w:hint="eastAsia" w:ascii="宋体" w:hAnsi="宋体" w:cs="宋体"/>
          <w:color w:val="auto"/>
          <w:szCs w:val="21"/>
          <w:highlight w:val="none"/>
        </w:rPr>
      </w:pPr>
    </w:p>
    <w:p w14:paraId="24768DFF">
      <w:pPr>
        <w:spacing w:line="440" w:lineRule="exact"/>
        <w:ind w:firstLine="420"/>
        <w:rPr>
          <w:rFonts w:hint="eastAsia" w:ascii="宋体" w:hAnsi="宋体" w:cs="宋体"/>
          <w:color w:val="auto"/>
          <w:szCs w:val="21"/>
          <w:highlight w:val="none"/>
        </w:rPr>
      </w:pPr>
    </w:p>
    <w:p w14:paraId="72ED5DE8">
      <w:pPr>
        <w:spacing w:line="440" w:lineRule="exact"/>
        <w:ind w:firstLine="420"/>
        <w:rPr>
          <w:rFonts w:hint="eastAsia" w:ascii="宋体" w:hAnsi="宋体" w:cs="宋体"/>
          <w:color w:val="auto"/>
          <w:szCs w:val="21"/>
          <w:highlight w:val="none"/>
        </w:rPr>
      </w:pPr>
    </w:p>
    <w:p w14:paraId="26F90BB2">
      <w:pPr>
        <w:spacing w:line="440" w:lineRule="exact"/>
        <w:ind w:firstLine="420"/>
        <w:rPr>
          <w:rFonts w:hint="eastAsia" w:ascii="宋体" w:hAnsi="宋体" w:cs="宋体"/>
          <w:color w:val="auto"/>
          <w:szCs w:val="21"/>
          <w:highlight w:val="none"/>
        </w:rPr>
      </w:pPr>
    </w:p>
    <w:p w14:paraId="15BBC92B">
      <w:pPr>
        <w:spacing w:line="440" w:lineRule="exact"/>
        <w:ind w:firstLine="420"/>
        <w:rPr>
          <w:rFonts w:hint="eastAsia" w:ascii="宋体" w:hAnsi="宋体" w:cs="宋体"/>
          <w:color w:val="auto"/>
          <w:szCs w:val="21"/>
          <w:highlight w:val="none"/>
        </w:rPr>
      </w:pPr>
    </w:p>
    <w:p w14:paraId="3810BE8F">
      <w:pPr>
        <w:spacing w:line="440" w:lineRule="exact"/>
        <w:ind w:firstLine="420"/>
        <w:rPr>
          <w:rFonts w:hint="eastAsia" w:ascii="宋体" w:hAnsi="宋体" w:cs="宋体"/>
          <w:color w:val="auto"/>
          <w:szCs w:val="21"/>
          <w:highlight w:val="none"/>
        </w:rPr>
      </w:pPr>
    </w:p>
    <w:p w14:paraId="16DD3BB8">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投标人：（盖单位章）</w:t>
      </w:r>
    </w:p>
    <w:p w14:paraId="332DDE68">
      <w:pPr>
        <w:spacing w:line="440" w:lineRule="exact"/>
        <w:ind w:firstLine="3544"/>
        <w:rPr>
          <w:rFonts w:hint="eastAsia" w:ascii="宋体" w:hAnsi="宋体" w:cs="宋体"/>
          <w:color w:val="auto"/>
          <w:szCs w:val="21"/>
          <w:highlight w:val="none"/>
        </w:rPr>
      </w:pPr>
    </w:p>
    <w:p w14:paraId="109B59E2">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7D0D133A">
      <w:pPr>
        <w:spacing w:line="440" w:lineRule="exact"/>
        <w:ind w:firstLine="3544"/>
        <w:rPr>
          <w:rFonts w:hint="eastAsia" w:ascii="宋体" w:hAnsi="宋体" w:cs="宋体"/>
          <w:color w:val="auto"/>
          <w:szCs w:val="21"/>
          <w:highlight w:val="none"/>
        </w:rPr>
      </w:pPr>
    </w:p>
    <w:p w14:paraId="7D8FD1E3">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E0661F0">
      <w:pPr>
        <w:spacing w:line="440" w:lineRule="exact"/>
        <w:ind w:firstLine="420"/>
        <w:rPr>
          <w:rFonts w:hint="eastAsia" w:ascii="宋体" w:hAnsi="宋体" w:cs="宋体"/>
          <w:color w:val="auto"/>
          <w:highlight w:val="none"/>
        </w:rPr>
      </w:pPr>
    </w:p>
    <w:p w14:paraId="6E62FB5F">
      <w:pPr>
        <w:jc w:val="left"/>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78AA5D7A">
      <w:pPr>
        <w:jc w:val="left"/>
        <w:rPr>
          <w:rFonts w:hint="eastAsia" w:ascii="宋体" w:hAnsi="宋体" w:cs="宋体"/>
          <w:color w:val="auto"/>
          <w:szCs w:val="21"/>
          <w:highlight w:val="none"/>
        </w:rPr>
      </w:pPr>
      <w:r>
        <w:rPr>
          <w:rFonts w:hint="eastAsia" w:ascii="宋体" w:hAnsi="宋体" w:cs="宋体"/>
          <w:color w:val="auto"/>
          <w:szCs w:val="21"/>
          <w:highlight w:val="none"/>
        </w:rPr>
        <w:t>附件四：</w:t>
      </w:r>
    </w:p>
    <w:p w14:paraId="57597735">
      <w:pPr>
        <w:spacing w:line="360" w:lineRule="auto"/>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703B1E75">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44AF58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19B362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08774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4A3ED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134F9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92378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062A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6A0C6A1D">
      <w:pPr>
        <w:spacing w:line="360" w:lineRule="auto"/>
        <w:ind w:firstLine="420" w:firstLineChars="200"/>
        <w:rPr>
          <w:rFonts w:hint="eastAsia" w:ascii="宋体" w:hAnsi="宋体" w:cs="宋体"/>
          <w:color w:val="auto"/>
          <w:szCs w:val="21"/>
          <w:highlight w:val="none"/>
        </w:rPr>
      </w:pPr>
    </w:p>
    <w:p w14:paraId="15DEE58A">
      <w:pPr>
        <w:spacing w:line="360" w:lineRule="auto"/>
        <w:ind w:firstLine="420" w:firstLineChars="200"/>
        <w:rPr>
          <w:rFonts w:hint="eastAsia" w:ascii="宋体" w:hAnsi="宋体" w:cs="宋体"/>
          <w:color w:val="auto"/>
          <w:sz w:val="32"/>
          <w:szCs w:val="32"/>
          <w:highlight w:val="non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14:paraId="4FC652C2">
      <w:pPr>
        <w:pStyle w:val="3"/>
        <w:rPr>
          <w:rFonts w:hint="eastAsia" w:ascii="宋体" w:hAnsi="宋体" w:cs="宋体"/>
          <w:color w:val="auto"/>
          <w:highlight w:val="none"/>
        </w:rPr>
      </w:pPr>
      <w:r>
        <w:rPr>
          <w:rFonts w:ascii="宋体" w:hAnsi="宋体" w:cs="宋体"/>
          <w:color w:val="auto"/>
          <w:highlight w:val="none"/>
        </w:rPr>
        <w:br w:type="page"/>
      </w:r>
      <w:bookmarkStart w:id="464" w:name="_Toc134304576"/>
      <w:r>
        <w:rPr>
          <w:rFonts w:hint="eastAsia" w:ascii="宋体" w:hAnsi="宋体" w:cs="宋体"/>
          <w:color w:val="auto"/>
          <w:highlight w:val="none"/>
        </w:rPr>
        <w:t>第三章 评标办法（综合评估法）</w:t>
      </w:r>
      <w:bookmarkEnd w:id="464"/>
    </w:p>
    <w:p w14:paraId="02CC82EB">
      <w:pPr>
        <w:pStyle w:val="2"/>
        <w:jc w:val="center"/>
        <w:rPr>
          <w:rFonts w:hint="eastAsia" w:ascii="宋体" w:hAnsi="宋体" w:eastAsia="宋体" w:cs="宋体"/>
          <w:color w:val="auto"/>
          <w:highlight w:val="none"/>
        </w:rPr>
      </w:pPr>
      <w:bookmarkStart w:id="465" w:name="_Toc134304577"/>
      <w:r>
        <w:rPr>
          <w:rFonts w:hint="eastAsia" w:ascii="宋体" w:hAnsi="宋体" w:eastAsia="宋体" w:cs="宋体"/>
          <w:color w:val="auto"/>
          <w:highlight w:val="none"/>
        </w:rPr>
        <w:t>评标办法前附表</w:t>
      </w:r>
      <w:bookmarkEnd w:id="465"/>
    </w:p>
    <w:tbl>
      <w:tblPr>
        <w:tblStyle w:val="74"/>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66"/>
        <w:gridCol w:w="1459"/>
        <w:gridCol w:w="5721"/>
      </w:tblGrid>
      <w:tr w14:paraId="08E49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273C10CE">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ACCB650">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721" w:type="dxa"/>
            <w:tcBorders>
              <w:top w:val="single" w:color="auto" w:sz="4" w:space="0"/>
              <w:left w:val="single" w:color="auto" w:sz="4" w:space="0"/>
              <w:bottom w:val="single" w:color="auto" w:sz="4" w:space="0"/>
              <w:right w:val="single" w:color="auto" w:sz="4" w:space="0"/>
            </w:tcBorders>
            <w:vAlign w:val="center"/>
          </w:tcPr>
          <w:p w14:paraId="46AA8FD5">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578D8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vAlign w:val="center"/>
          </w:tcPr>
          <w:p w14:paraId="2A5B8CB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5" w:type="dxa"/>
            <w:vMerge w:val="restart"/>
            <w:tcBorders>
              <w:top w:val="single" w:color="auto" w:sz="4" w:space="0"/>
              <w:bottom w:val="single" w:color="auto" w:sz="4" w:space="0"/>
              <w:right w:val="single" w:color="auto" w:sz="4" w:space="0"/>
            </w:tcBorders>
            <w:vAlign w:val="center"/>
          </w:tcPr>
          <w:p w14:paraId="6C96715C">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D010F8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721" w:type="dxa"/>
            <w:tcBorders>
              <w:top w:val="single" w:color="auto" w:sz="4" w:space="0"/>
              <w:left w:val="single" w:color="auto" w:sz="4" w:space="0"/>
              <w:bottom w:val="single" w:color="auto" w:sz="4" w:space="0"/>
              <w:right w:val="single" w:color="auto" w:sz="4" w:space="0"/>
            </w:tcBorders>
            <w:vAlign w:val="center"/>
          </w:tcPr>
          <w:p w14:paraId="020964D2">
            <w:pPr>
              <w:snapToGrid w:val="0"/>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3BF1B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1996A344">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8000460">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244AC9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5721" w:type="dxa"/>
            <w:tcBorders>
              <w:top w:val="single" w:color="auto" w:sz="4" w:space="0"/>
              <w:left w:val="single" w:color="auto" w:sz="4" w:space="0"/>
              <w:bottom w:val="single" w:color="auto" w:sz="4" w:space="0"/>
              <w:right w:val="single" w:color="auto" w:sz="4" w:space="0"/>
            </w:tcBorders>
            <w:vAlign w:val="center"/>
          </w:tcPr>
          <w:p w14:paraId="46E1ACEA">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投标文件中有有效的法定代表人证明书，或由委托代理人签字或盖章的投标文件中有法定代表人证明书和授权委托证明书</w:t>
            </w:r>
          </w:p>
        </w:tc>
      </w:tr>
      <w:tr w14:paraId="772D2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16A5611C">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63F67A38">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04D3ECF">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投标书、投标承诺函</w:t>
            </w:r>
          </w:p>
        </w:tc>
        <w:tc>
          <w:tcPr>
            <w:tcW w:w="5721" w:type="dxa"/>
            <w:tcBorders>
              <w:top w:val="single" w:color="auto" w:sz="4" w:space="0"/>
              <w:left w:val="single" w:color="auto" w:sz="4" w:space="0"/>
              <w:bottom w:val="single" w:color="auto" w:sz="4" w:space="0"/>
              <w:right w:val="single" w:color="auto" w:sz="4" w:space="0"/>
            </w:tcBorders>
            <w:vAlign w:val="center"/>
          </w:tcPr>
          <w:p w14:paraId="01C25760">
            <w:pPr>
              <w:snapToGrid w:val="0"/>
              <w:rPr>
                <w:rFonts w:hint="eastAsia" w:ascii="宋体" w:hAnsi="宋体" w:cs="宋体"/>
                <w:color w:val="auto"/>
                <w:szCs w:val="21"/>
                <w:highlight w:val="none"/>
              </w:rPr>
            </w:pPr>
            <w:r>
              <w:rPr>
                <w:rFonts w:hint="eastAsia" w:ascii="宋体" w:hAnsi="宋体" w:cs="宋体"/>
                <w:color w:val="auto"/>
                <w:szCs w:val="21"/>
                <w:highlight w:val="none"/>
              </w:rPr>
              <w:t>投标书、投标承诺函内容与招标文件规定一致</w:t>
            </w:r>
          </w:p>
        </w:tc>
      </w:tr>
      <w:tr w14:paraId="35BA1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60BF6082">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3A48733">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915D9A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721" w:type="dxa"/>
            <w:tcBorders>
              <w:top w:val="single" w:color="auto" w:sz="4" w:space="0"/>
              <w:left w:val="single" w:color="auto" w:sz="4" w:space="0"/>
              <w:bottom w:val="single" w:color="auto" w:sz="4" w:space="0"/>
              <w:right w:val="single" w:color="auto" w:sz="4" w:space="0"/>
            </w:tcBorders>
            <w:vAlign w:val="center"/>
          </w:tcPr>
          <w:p w14:paraId="2C7FF912">
            <w:pPr>
              <w:snapToGrid w:val="0"/>
              <w:rPr>
                <w:rFonts w:hint="eastAsia" w:ascii="宋体" w:hAnsi="宋体" w:cs="宋体"/>
                <w:color w:val="auto"/>
                <w:szCs w:val="21"/>
                <w:highlight w:val="none"/>
              </w:rPr>
            </w:pPr>
            <w:r>
              <w:rPr>
                <w:rFonts w:hint="eastAsia" w:ascii="宋体" w:hAnsi="宋体" w:cs="宋体"/>
                <w:color w:val="auto"/>
                <w:szCs w:val="21"/>
                <w:highlight w:val="none"/>
              </w:rPr>
              <w:t>符合第七章“投标文件格式”的要求</w:t>
            </w:r>
          </w:p>
        </w:tc>
      </w:tr>
      <w:tr w14:paraId="7F547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39715B6F">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06D4E2BD">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right w:val="single" w:color="auto" w:sz="4" w:space="0"/>
            </w:tcBorders>
            <w:vAlign w:val="center"/>
          </w:tcPr>
          <w:p w14:paraId="4E92279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721" w:type="dxa"/>
            <w:tcBorders>
              <w:top w:val="single" w:color="auto" w:sz="4" w:space="0"/>
              <w:left w:val="single" w:color="auto" w:sz="4" w:space="0"/>
              <w:bottom w:val="single" w:color="auto" w:sz="4" w:space="0"/>
              <w:right w:val="single" w:color="auto" w:sz="4" w:space="0"/>
            </w:tcBorders>
            <w:vAlign w:val="center"/>
          </w:tcPr>
          <w:p w14:paraId="113ACA07">
            <w:pPr>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w:t>
            </w:r>
            <w:r>
              <w:rPr>
                <w:rFonts w:hint="eastAsia" w:ascii="宋体" w:hAnsi="宋体" w:cs="宋体"/>
                <w:color w:val="auto"/>
                <w:szCs w:val="21"/>
                <w:highlight w:val="none"/>
                <w:lang w:val="zh-CN"/>
              </w:rPr>
              <w:t>投标总报价</w:t>
            </w:r>
          </w:p>
        </w:tc>
      </w:tr>
      <w:tr w14:paraId="28C8B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46D7A968">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2A7AA1E2">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022E386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机器特征码一致</w:t>
            </w:r>
          </w:p>
        </w:tc>
        <w:tc>
          <w:tcPr>
            <w:tcW w:w="5721" w:type="dxa"/>
            <w:tcBorders>
              <w:top w:val="single" w:color="auto" w:sz="4" w:space="0"/>
              <w:left w:val="single" w:color="auto" w:sz="4" w:space="0"/>
              <w:bottom w:val="single" w:color="auto" w:sz="4" w:space="0"/>
              <w:right w:val="single" w:color="auto" w:sz="4" w:space="0"/>
            </w:tcBorders>
            <w:vAlign w:val="center"/>
          </w:tcPr>
          <w:p w14:paraId="3DCAE138">
            <w:pPr>
              <w:snapToGrid w:val="0"/>
              <w:rPr>
                <w:rFonts w:hint="eastAsia" w:ascii="宋体" w:hAnsi="宋体" w:cs="宋体"/>
                <w:color w:val="auto"/>
                <w:spacing w:val="-3"/>
                <w:szCs w:val="21"/>
                <w:highlight w:val="none"/>
              </w:rPr>
            </w:pPr>
            <w:r>
              <w:rPr>
                <w:rFonts w:hint="eastAsia" w:ascii="宋体" w:hAnsi="宋体" w:cs="宋体"/>
                <w:color w:val="auto"/>
                <w:spacing w:val="-3"/>
                <w:szCs w:val="21"/>
                <w:highlight w:val="none"/>
              </w:rPr>
              <w:t>本项目与本项目其他不同投标人的加密打包投标文件电脑机器特征码不一致</w:t>
            </w:r>
          </w:p>
        </w:tc>
      </w:tr>
      <w:tr w14:paraId="2C27B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26F34CF4">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610E171">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393B544">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5721" w:type="dxa"/>
            <w:tcBorders>
              <w:top w:val="single" w:color="auto" w:sz="4" w:space="0"/>
              <w:left w:val="single" w:color="auto" w:sz="4" w:space="0"/>
              <w:bottom w:val="single" w:color="auto" w:sz="4" w:space="0"/>
              <w:right w:val="single" w:color="auto" w:sz="4" w:space="0"/>
            </w:tcBorders>
            <w:vAlign w:val="center"/>
          </w:tcPr>
          <w:p w14:paraId="6B944305">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2814A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vAlign w:val="center"/>
          </w:tcPr>
          <w:p w14:paraId="2CA2AF6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5" w:type="dxa"/>
            <w:vMerge w:val="restart"/>
            <w:tcBorders>
              <w:top w:val="single" w:color="auto" w:sz="4" w:space="0"/>
              <w:bottom w:val="single" w:color="auto" w:sz="4" w:space="0"/>
              <w:right w:val="single" w:color="auto" w:sz="4" w:space="0"/>
            </w:tcBorders>
            <w:vAlign w:val="center"/>
          </w:tcPr>
          <w:p w14:paraId="1A29B059">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739E1B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721" w:type="dxa"/>
            <w:tcBorders>
              <w:top w:val="single" w:color="auto" w:sz="4" w:space="0"/>
              <w:left w:val="single" w:color="auto" w:sz="4" w:space="0"/>
              <w:bottom w:val="single" w:color="auto" w:sz="4" w:space="0"/>
              <w:right w:val="single" w:color="auto" w:sz="4" w:space="0"/>
            </w:tcBorders>
            <w:vAlign w:val="center"/>
          </w:tcPr>
          <w:p w14:paraId="1F5062AD">
            <w:pPr>
              <w:snapToGrid w:val="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2EB2D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47C028C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066E2822">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FF760FB">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5721" w:type="dxa"/>
            <w:tcBorders>
              <w:top w:val="single" w:color="auto" w:sz="4" w:space="0"/>
              <w:left w:val="single" w:color="auto" w:sz="4" w:space="0"/>
              <w:bottom w:val="single" w:color="auto" w:sz="4" w:space="0"/>
              <w:right w:val="single" w:color="auto" w:sz="4" w:space="0"/>
            </w:tcBorders>
            <w:vAlign w:val="center"/>
          </w:tcPr>
          <w:p w14:paraId="39303FB2">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D4E2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593C3213">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1BDFC3E6">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1568255">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财务状况</w:t>
            </w:r>
          </w:p>
        </w:tc>
        <w:tc>
          <w:tcPr>
            <w:tcW w:w="5721" w:type="dxa"/>
            <w:tcBorders>
              <w:top w:val="single" w:color="auto" w:sz="4" w:space="0"/>
              <w:left w:val="single" w:color="auto" w:sz="4" w:space="0"/>
              <w:bottom w:val="single" w:color="auto" w:sz="4" w:space="0"/>
              <w:right w:val="single" w:color="auto" w:sz="4" w:space="0"/>
            </w:tcBorders>
            <w:vAlign w:val="center"/>
          </w:tcPr>
          <w:p w14:paraId="20EB0BFC">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419DA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74117B6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16A8C121">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783AEB1">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类似项目业绩</w:t>
            </w:r>
          </w:p>
        </w:tc>
        <w:tc>
          <w:tcPr>
            <w:tcW w:w="5721" w:type="dxa"/>
            <w:tcBorders>
              <w:top w:val="single" w:color="auto" w:sz="4" w:space="0"/>
              <w:left w:val="single" w:color="auto" w:sz="4" w:space="0"/>
              <w:bottom w:val="single" w:color="auto" w:sz="4" w:space="0"/>
              <w:right w:val="single" w:color="auto" w:sz="4" w:space="0"/>
            </w:tcBorders>
            <w:vAlign w:val="center"/>
          </w:tcPr>
          <w:p w14:paraId="785814FF">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7A89A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nil"/>
              <w:bottom w:val="single" w:color="auto" w:sz="4" w:space="0"/>
              <w:right w:val="single" w:color="auto" w:sz="4" w:space="0"/>
            </w:tcBorders>
            <w:vAlign w:val="center"/>
          </w:tcPr>
          <w:p w14:paraId="6BBF297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421088D1">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5FFAAE9">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信誉</w:t>
            </w:r>
          </w:p>
        </w:tc>
        <w:tc>
          <w:tcPr>
            <w:tcW w:w="5721" w:type="dxa"/>
            <w:tcBorders>
              <w:top w:val="single" w:color="auto" w:sz="4" w:space="0"/>
              <w:left w:val="single" w:color="auto" w:sz="4" w:space="0"/>
              <w:bottom w:val="single" w:color="auto" w:sz="4" w:space="0"/>
              <w:right w:val="single" w:color="auto" w:sz="4" w:space="0"/>
            </w:tcBorders>
            <w:vAlign w:val="center"/>
          </w:tcPr>
          <w:p w14:paraId="34DA085A">
            <w:pPr>
              <w:snapToGrid w:val="0"/>
              <w:rPr>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729F0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520F7D9F">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71D1ACA4">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9EBA6E1">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项目负责人</w:t>
            </w:r>
          </w:p>
          <w:p w14:paraId="3B0FD1C2">
            <w:pPr>
              <w:snapToGrid w:val="0"/>
              <w:jc w:val="center"/>
              <w:rPr>
                <w:rFonts w:hint="eastAsia" w:ascii="宋体" w:hAnsi="宋体" w:cs="宋体"/>
                <w:color w:val="auto"/>
                <w:szCs w:val="21"/>
                <w:highlight w:val="none"/>
              </w:rPr>
            </w:pPr>
            <w:r>
              <w:rPr>
                <w:rFonts w:hint="eastAsia" w:ascii="宋体" w:hAnsi="宋体" w:cs="宋体"/>
                <w:color w:val="auto"/>
                <w:szCs w:val="21"/>
                <w:highlight w:val="none"/>
                <w:u w:val="single"/>
              </w:rPr>
              <w:t>（兼施工负责人）</w:t>
            </w:r>
          </w:p>
        </w:tc>
        <w:tc>
          <w:tcPr>
            <w:tcW w:w="5721" w:type="dxa"/>
            <w:tcBorders>
              <w:top w:val="single" w:color="auto" w:sz="4" w:space="0"/>
              <w:left w:val="single" w:color="auto" w:sz="4" w:space="0"/>
              <w:bottom w:val="single" w:color="auto" w:sz="4" w:space="0"/>
              <w:right w:val="single" w:color="auto" w:sz="4" w:space="0"/>
            </w:tcBorders>
            <w:vAlign w:val="center"/>
          </w:tcPr>
          <w:p w14:paraId="36E07C9B">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8FF8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3CBBE557">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4AC66F88">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4A99FB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5721" w:type="dxa"/>
            <w:tcBorders>
              <w:top w:val="single" w:color="auto" w:sz="4" w:space="0"/>
              <w:left w:val="single" w:color="auto" w:sz="4" w:space="0"/>
              <w:bottom w:val="single" w:color="auto" w:sz="4" w:space="0"/>
              <w:right w:val="single" w:color="auto" w:sz="4" w:space="0"/>
            </w:tcBorders>
            <w:vAlign w:val="center"/>
          </w:tcPr>
          <w:p w14:paraId="06DD5736">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2A47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1EA89F0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315D49F8">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7D7D13B">
            <w:pPr>
              <w:snapToGrid w:val="0"/>
              <w:jc w:val="center"/>
              <w:rPr>
                <w:rFonts w:hint="eastAsia" w:ascii="宋体" w:hAnsi="宋体" w:cs="宋体"/>
                <w:color w:val="auto"/>
                <w:szCs w:val="21"/>
                <w:highlight w:val="none"/>
              </w:rPr>
            </w:pPr>
            <w:r>
              <w:rPr>
                <w:rFonts w:hint="eastAsia" w:ascii="新宋体" w:hAnsi="新宋体" w:eastAsia="新宋体" w:cs="新宋体"/>
                <w:strike/>
                <w:color w:val="auto"/>
                <w:szCs w:val="21"/>
                <w:highlight w:val="none"/>
              </w:rPr>
              <w:t>施工负责人</w:t>
            </w:r>
          </w:p>
        </w:tc>
        <w:tc>
          <w:tcPr>
            <w:tcW w:w="5721" w:type="dxa"/>
            <w:tcBorders>
              <w:top w:val="single" w:color="auto" w:sz="4" w:space="0"/>
              <w:left w:val="single" w:color="auto" w:sz="4" w:space="0"/>
              <w:bottom w:val="single" w:color="auto" w:sz="4" w:space="0"/>
              <w:right w:val="single" w:color="auto" w:sz="4" w:space="0"/>
            </w:tcBorders>
            <w:vAlign w:val="center"/>
          </w:tcPr>
          <w:p w14:paraId="7D394531">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0E51B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7613AD07">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4BE5D208">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2A4A953">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5721" w:type="dxa"/>
            <w:tcBorders>
              <w:top w:val="single" w:color="auto" w:sz="4" w:space="0"/>
              <w:left w:val="single" w:color="auto" w:sz="4" w:space="0"/>
              <w:bottom w:val="single" w:color="auto" w:sz="4" w:space="0"/>
              <w:right w:val="single" w:color="auto" w:sz="4" w:space="0"/>
            </w:tcBorders>
            <w:vAlign w:val="center"/>
          </w:tcPr>
          <w:p w14:paraId="4C7A4391">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14:paraId="0B03F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6BBF2AB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0E9433F0">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B82CD7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5721" w:type="dxa"/>
            <w:tcBorders>
              <w:top w:val="single" w:color="auto" w:sz="4" w:space="0"/>
              <w:left w:val="single" w:color="auto" w:sz="4" w:space="0"/>
              <w:bottom w:val="single" w:color="auto" w:sz="4" w:space="0"/>
              <w:right w:val="single" w:color="auto" w:sz="4" w:space="0"/>
            </w:tcBorders>
            <w:vAlign w:val="center"/>
          </w:tcPr>
          <w:p w14:paraId="00A5AC79">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1287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19ED478D">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5EEA8B6D">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8D1C45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721" w:type="dxa"/>
            <w:tcBorders>
              <w:top w:val="single" w:color="auto" w:sz="4" w:space="0"/>
              <w:left w:val="single" w:color="auto" w:sz="4" w:space="0"/>
              <w:bottom w:val="single" w:color="auto" w:sz="4" w:space="0"/>
              <w:right w:val="single" w:color="auto" w:sz="4" w:space="0"/>
            </w:tcBorders>
            <w:vAlign w:val="center"/>
          </w:tcPr>
          <w:p w14:paraId="0B643EF1">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1596D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2060A4B7">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vAlign w:val="center"/>
          </w:tcPr>
          <w:p w14:paraId="4E02003B">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right w:val="single" w:color="auto" w:sz="4" w:space="0"/>
            </w:tcBorders>
            <w:vAlign w:val="center"/>
          </w:tcPr>
          <w:p w14:paraId="5F05844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5721" w:type="dxa"/>
            <w:tcBorders>
              <w:top w:val="single" w:color="auto" w:sz="4" w:space="0"/>
              <w:left w:val="single" w:color="auto" w:sz="4" w:space="0"/>
              <w:bottom w:val="single" w:color="auto" w:sz="4" w:space="0"/>
              <w:right w:val="single" w:color="auto" w:sz="4" w:space="0"/>
            </w:tcBorders>
            <w:vAlign w:val="center"/>
          </w:tcPr>
          <w:p w14:paraId="01D6571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4703A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vAlign w:val="center"/>
          </w:tcPr>
          <w:p w14:paraId="27AD864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5" w:type="dxa"/>
            <w:vMerge w:val="restart"/>
            <w:tcBorders>
              <w:top w:val="single" w:color="auto" w:sz="4" w:space="0"/>
              <w:right w:val="single" w:color="auto" w:sz="4" w:space="0"/>
            </w:tcBorders>
            <w:vAlign w:val="center"/>
          </w:tcPr>
          <w:p w14:paraId="1A7E232F">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工程总承包实施方案响应性评审标准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02E392C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721" w:type="dxa"/>
            <w:tcBorders>
              <w:top w:val="single" w:color="auto" w:sz="4" w:space="0"/>
              <w:left w:val="single" w:color="auto" w:sz="4" w:space="0"/>
              <w:bottom w:val="single" w:color="auto" w:sz="4" w:space="0"/>
              <w:right w:val="single" w:color="auto" w:sz="4" w:space="0"/>
            </w:tcBorders>
            <w:vAlign w:val="center"/>
          </w:tcPr>
          <w:p w14:paraId="5A27E2C5">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符合第二章“投标人须知”第3.2.4项规定且不低于企业成本</w:t>
            </w:r>
          </w:p>
        </w:tc>
      </w:tr>
      <w:tr w14:paraId="61D98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single" w:color="auto" w:sz="4" w:space="0"/>
              <w:right w:val="single" w:color="auto" w:sz="4" w:space="0"/>
            </w:tcBorders>
            <w:vAlign w:val="center"/>
          </w:tcPr>
          <w:p w14:paraId="5E5F84B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vAlign w:val="center"/>
          </w:tcPr>
          <w:p w14:paraId="47AA0E6F">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AC94D8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721" w:type="dxa"/>
            <w:tcBorders>
              <w:top w:val="single" w:color="auto" w:sz="4" w:space="0"/>
              <w:left w:val="single" w:color="auto" w:sz="4" w:space="0"/>
              <w:bottom w:val="single" w:color="auto" w:sz="4" w:space="0"/>
              <w:right w:val="single" w:color="auto" w:sz="4" w:space="0"/>
            </w:tcBorders>
            <w:vAlign w:val="center"/>
          </w:tcPr>
          <w:p w14:paraId="5706BB63">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2C00A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6519148">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65090155">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F8DF59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721" w:type="dxa"/>
            <w:tcBorders>
              <w:top w:val="single" w:color="auto" w:sz="4" w:space="0"/>
              <w:left w:val="single" w:color="auto" w:sz="4" w:space="0"/>
              <w:bottom w:val="single" w:color="auto" w:sz="4" w:space="0"/>
              <w:right w:val="single" w:color="auto" w:sz="4" w:space="0"/>
            </w:tcBorders>
            <w:vAlign w:val="center"/>
          </w:tcPr>
          <w:p w14:paraId="01AA7339">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54BCD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2767B2A">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59DDA19">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51C51C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721" w:type="dxa"/>
            <w:tcBorders>
              <w:top w:val="single" w:color="auto" w:sz="4" w:space="0"/>
              <w:left w:val="single" w:color="auto" w:sz="4" w:space="0"/>
              <w:bottom w:val="single" w:color="auto" w:sz="4" w:space="0"/>
              <w:right w:val="single" w:color="auto" w:sz="4" w:space="0"/>
            </w:tcBorders>
            <w:vAlign w:val="center"/>
          </w:tcPr>
          <w:p w14:paraId="0D19907B">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5832C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75B7C0A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2AD516E5">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A5D8E1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721" w:type="dxa"/>
            <w:tcBorders>
              <w:top w:val="single" w:color="auto" w:sz="4" w:space="0"/>
              <w:left w:val="single" w:color="auto" w:sz="4" w:space="0"/>
              <w:bottom w:val="single" w:color="auto" w:sz="4" w:space="0"/>
              <w:right w:val="single" w:color="auto" w:sz="4" w:space="0"/>
            </w:tcBorders>
            <w:vAlign w:val="center"/>
          </w:tcPr>
          <w:p w14:paraId="74F71ED9">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340FF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3904D3D">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172729F7">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right w:val="single" w:color="auto" w:sz="4" w:space="0"/>
            </w:tcBorders>
            <w:vAlign w:val="center"/>
          </w:tcPr>
          <w:p w14:paraId="00E3464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算术复核</w:t>
            </w:r>
          </w:p>
        </w:tc>
        <w:tc>
          <w:tcPr>
            <w:tcW w:w="5721" w:type="dxa"/>
            <w:tcBorders>
              <w:top w:val="single" w:color="auto" w:sz="4" w:space="0"/>
              <w:left w:val="single" w:color="auto" w:sz="4" w:space="0"/>
              <w:bottom w:val="single" w:color="auto" w:sz="4" w:space="0"/>
              <w:right w:val="single" w:color="auto" w:sz="4" w:space="0"/>
            </w:tcBorders>
            <w:vAlign w:val="center"/>
          </w:tcPr>
          <w:p w14:paraId="46572C60">
            <w:pPr>
              <w:snapToGrid w:val="0"/>
              <w:rPr>
                <w:rFonts w:hint="eastAsia" w:ascii="宋体" w:hAnsi="宋体" w:cs="宋体"/>
                <w:color w:val="auto"/>
                <w:szCs w:val="21"/>
                <w:highlight w:val="none"/>
              </w:rPr>
            </w:pPr>
            <w:r>
              <w:rPr>
                <w:rFonts w:hint="eastAsia" w:ascii="宋体" w:hAnsi="宋体" w:cs="宋体"/>
                <w:color w:val="auto"/>
                <w:szCs w:val="21"/>
                <w:highlight w:val="none"/>
              </w:rPr>
              <w:t>投标单位未存在算术复核后的投标报价与原投标报价相比存在1%或以上误差的</w:t>
            </w:r>
          </w:p>
        </w:tc>
      </w:tr>
      <w:tr w14:paraId="356A0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vAlign w:val="center"/>
          </w:tcPr>
          <w:p w14:paraId="79D71C99">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vAlign w:val="center"/>
          </w:tcPr>
          <w:p w14:paraId="68952F83">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F72AA0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5721" w:type="dxa"/>
            <w:tcBorders>
              <w:top w:val="single" w:color="auto" w:sz="4" w:space="0"/>
              <w:left w:val="single" w:color="auto" w:sz="4" w:space="0"/>
              <w:bottom w:val="single" w:color="auto" w:sz="4" w:space="0"/>
              <w:right w:val="single" w:color="auto" w:sz="4" w:space="0"/>
            </w:tcBorders>
            <w:vAlign w:val="center"/>
          </w:tcPr>
          <w:p w14:paraId="7D14A046">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15A73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right w:val="single" w:color="auto" w:sz="4" w:space="0"/>
            </w:tcBorders>
            <w:vAlign w:val="center"/>
          </w:tcPr>
          <w:p w14:paraId="451CDF1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2.1.4</w:t>
            </w:r>
          </w:p>
        </w:tc>
        <w:tc>
          <w:tcPr>
            <w:tcW w:w="1005" w:type="dxa"/>
            <w:vMerge w:val="restart"/>
            <w:tcBorders>
              <w:right w:val="single" w:color="auto" w:sz="4" w:space="0"/>
            </w:tcBorders>
            <w:vAlign w:val="center"/>
          </w:tcPr>
          <w:p w14:paraId="6B336E02">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设计方案响应性评审标准（暗标）</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04DF4A6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投标人身份</w:t>
            </w:r>
          </w:p>
        </w:tc>
        <w:tc>
          <w:tcPr>
            <w:tcW w:w="5721" w:type="dxa"/>
            <w:tcBorders>
              <w:top w:val="single" w:color="auto" w:sz="4" w:space="0"/>
              <w:left w:val="single" w:color="auto" w:sz="4" w:space="0"/>
              <w:bottom w:val="single" w:color="auto" w:sz="4" w:space="0"/>
              <w:right w:val="single" w:color="auto" w:sz="4" w:space="0"/>
            </w:tcBorders>
            <w:vAlign w:val="center"/>
          </w:tcPr>
          <w:p w14:paraId="0A081B89">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投标人在设计方案内不存在标注名称、印章、商标、图形等记认符号（或使人辨认出投标人或其专业技术人员的身份）</w:t>
            </w:r>
          </w:p>
        </w:tc>
      </w:tr>
      <w:tr w14:paraId="3C035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617030E">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72174D76">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C4C8F5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雷同性</w:t>
            </w:r>
          </w:p>
        </w:tc>
        <w:tc>
          <w:tcPr>
            <w:tcW w:w="5721" w:type="dxa"/>
            <w:tcBorders>
              <w:top w:val="single" w:color="auto" w:sz="4" w:space="0"/>
              <w:left w:val="single" w:color="auto" w:sz="4" w:space="0"/>
              <w:bottom w:val="single" w:color="auto" w:sz="4" w:space="0"/>
              <w:right w:val="single" w:color="auto" w:sz="4" w:space="0"/>
            </w:tcBorders>
            <w:vAlign w:val="center"/>
          </w:tcPr>
          <w:p w14:paraId="1FBD1A3B">
            <w:pPr>
              <w:snapToGrid w:val="0"/>
              <w:rPr>
                <w:rFonts w:hint="eastAsia" w:ascii="宋体" w:hAnsi="宋体" w:cs="宋体"/>
                <w:color w:val="auto"/>
                <w:szCs w:val="21"/>
                <w:highlight w:val="none"/>
              </w:rPr>
            </w:pPr>
            <w:r>
              <w:rPr>
                <w:rFonts w:hint="eastAsia" w:ascii="宋体" w:hAnsi="宋体" w:cs="宋体"/>
                <w:color w:val="auto"/>
                <w:szCs w:val="21"/>
                <w:highlight w:val="none"/>
              </w:rPr>
              <w:t>设计方案之间不存在互相雷同和串通投标的</w:t>
            </w:r>
          </w:p>
        </w:tc>
      </w:tr>
      <w:tr w14:paraId="5744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vAlign w:val="center"/>
          </w:tcPr>
          <w:p w14:paraId="1BCAB272">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vAlign w:val="center"/>
          </w:tcPr>
          <w:p w14:paraId="53419836">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59DAFB1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5721" w:type="dxa"/>
            <w:tcBorders>
              <w:top w:val="single" w:color="auto" w:sz="4" w:space="0"/>
              <w:left w:val="single" w:color="auto" w:sz="4" w:space="0"/>
              <w:bottom w:val="single" w:color="auto" w:sz="4" w:space="0"/>
              <w:right w:val="single" w:color="auto" w:sz="4" w:space="0"/>
            </w:tcBorders>
            <w:vAlign w:val="center"/>
          </w:tcPr>
          <w:p w14:paraId="7BCEFA15">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7DA4B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bottom w:val="single" w:color="auto" w:sz="4" w:space="0"/>
              <w:right w:val="single" w:color="auto" w:sz="4" w:space="0"/>
            </w:tcBorders>
            <w:vAlign w:val="center"/>
          </w:tcPr>
          <w:p w14:paraId="4DCDE686">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B3B2BF7">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721" w:type="dxa"/>
            <w:tcBorders>
              <w:top w:val="single" w:color="auto" w:sz="4" w:space="0"/>
              <w:left w:val="single" w:color="auto" w:sz="4" w:space="0"/>
              <w:bottom w:val="single" w:color="auto" w:sz="4" w:space="0"/>
              <w:right w:val="single" w:color="auto" w:sz="4" w:space="0"/>
            </w:tcBorders>
            <w:vAlign w:val="center"/>
          </w:tcPr>
          <w:p w14:paraId="26A6D2E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编制内容</w:t>
            </w:r>
          </w:p>
        </w:tc>
      </w:tr>
      <w:tr w14:paraId="0C0A4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27" w:hRule="atLeast"/>
          <w:jc w:val="center"/>
        </w:trPr>
        <w:tc>
          <w:tcPr>
            <w:tcW w:w="1681" w:type="dxa"/>
            <w:gridSpan w:val="2"/>
            <w:tcBorders>
              <w:bottom w:val="single" w:color="auto" w:sz="4" w:space="0"/>
              <w:right w:val="single" w:color="auto" w:sz="4" w:space="0"/>
            </w:tcBorders>
            <w:vAlign w:val="center"/>
          </w:tcPr>
          <w:p w14:paraId="79D0531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4FC1A4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0D66309B">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721" w:type="dxa"/>
            <w:tcBorders>
              <w:top w:val="single" w:color="auto" w:sz="4" w:space="0"/>
              <w:left w:val="single" w:color="auto" w:sz="4" w:space="0"/>
              <w:bottom w:val="single" w:color="auto" w:sz="4" w:space="0"/>
              <w:right w:val="single" w:color="auto" w:sz="4" w:space="0"/>
            </w:tcBorders>
            <w:vAlign w:val="center"/>
          </w:tcPr>
          <w:p w14:paraId="1CE92F82">
            <w:pPr>
              <w:pStyle w:val="72"/>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投标人总得分满分为100分，总得分权重分配：</w:t>
            </w:r>
          </w:p>
          <w:p w14:paraId="5003EAA2">
            <w:pPr>
              <w:pStyle w:val="72"/>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投标人总得分=设计方案得分×权重(30%)+工程总承包实施方案得分×权重(35%)+投标报价得分×权重(35%)</w:t>
            </w:r>
          </w:p>
        </w:tc>
      </w:tr>
      <w:tr w14:paraId="61DC4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301" w:hRule="atLeast"/>
          <w:jc w:val="center"/>
        </w:trPr>
        <w:tc>
          <w:tcPr>
            <w:tcW w:w="1681" w:type="dxa"/>
            <w:gridSpan w:val="2"/>
            <w:tcBorders>
              <w:top w:val="single" w:color="auto" w:sz="4" w:space="0"/>
              <w:bottom w:val="single" w:color="auto" w:sz="4" w:space="0"/>
              <w:right w:val="single" w:color="auto" w:sz="4" w:space="0"/>
            </w:tcBorders>
            <w:vAlign w:val="center"/>
          </w:tcPr>
          <w:p w14:paraId="6E43724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42A7316">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5721" w:type="dxa"/>
            <w:tcBorders>
              <w:top w:val="single" w:color="auto" w:sz="4" w:space="0"/>
              <w:left w:val="single" w:color="auto" w:sz="4" w:space="0"/>
              <w:bottom w:val="single" w:color="auto" w:sz="4" w:space="0"/>
              <w:right w:val="single" w:color="auto" w:sz="4" w:space="0"/>
            </w:tcBorders>
            <w:vAlign w:val="center"/>
          </w:tcPr>
          <w:p w14:paraId="05FF9BF0">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（1）</w:t>
            </w:r>
            <w:r>
              <w:rPr>
                <w:rFonts w:hint="eastAsia" w:ascii="宋体" w:hAnsi="宋体" w:cs="宋体"/>
                <w:color w:val="auto"/>
                <w:kern w:val="2"/>
                <w:sz w:val="21"/>
                <w:szCs w:val="21"/>
                <w:highlight w:val="none"/>
                <w:lang w:val="zh-TW"/>
              </w:rPr>
              <w:t>评标基准价</w:t>
            </w:r>
            <w:r>
              <w:rPr>
                <w:rFonts w:hint="eastAsia" w:ascii="宋体" w:hAnsi="宋体" w:cs="宋体"/>
                <w:color w:val="auto"/>
                <w:kern w:val="2"/>
                <w:sz w:val="21"/>
                <w:szCs w:val="21"/>
                <w:highlight w:val="none"/>
                <w:lang w:val="zh-TW" w:eastAsia="zh-TW"/>
              </w:rPr>
              <w:t>计算方法：</w:t>
            </w:r>
          </w:p>
          <w:p w14:paraId="7408CD7C">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区间抽取法：</w:t>
            </w:r>
          </w:p>
          <w:p w14:paraId="317F3ECB">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设立入围合格分数线（设计方案得分+工程总承包实施方案得分之和64分），达到或超过及格线的投标人的报价方能参与</w:t>
            </w:r>
            <w:r>
              <w:rPr>
                <w:rFonts w:hint="eastAsia" w:ascii="宋体" w:hAnsi="宋体" w:cs="宋体"/>
                <w:color w:val="auto"/>
                <w:kern w:val="2"/>
                <w:sz w:val="21"/>
                <w:szCs w:val="21"/>
                <w:highlight w:val="none"/>
                <w:lang w:val="zh-TW"/>
              </w:rPr>
              <w:t>评标基准价</w:t>
            </w:r>
            <w:r>
              <w:rPr>
                <w:rFonts w:hint="eastAsia" w:ascii="宋体" w:hAnsi="宋体" w:cs="宋体"/>
                <w:color w:val="auto"/>
                <w:kern w:val="2"/>
                <w:sz w:val="21"/>
                <w:szCs w:val="21"/>
                <w:highlight w:val="none"/>
                <w:lang w:val="zh-TW" w:eastAsia="zh-TW"/>
              </w:rPr>
              <w:t>的计算。将达到或超过及格分数线的投标报价由低至高进行排列，按以下公式计算</w:t>
            </w:r>
            <w:r>
              <w:rPr>
                <w:rFonts w:hint="eastAsia" w:ascii="宋体" w:hAnsi="宋体" w:cs="宋体"/>
                <w:color w:val="auto"/>
                <w:kern w:val="2"/>
                <w:sz w:val="21"/>
                <w:szCs w:val="21"/>
                <w:highlight w:val="none"/>
                <w:lang w:val="zh-TW"/>
              </w:rPr>
              <w:t>评标基准价</w:t>
            </w:r>
            <w:r>
              <w:rPr>
                <w:rFonts w:hint="eastAsia" w:ascii="宋体" w:hAnsi="宋体" w:cs="宋体"/>
                <w:color w:val="auto"/>
                <w:kern w:val="2"/>
                <w:sz w:val="21"/>
                <w:szCs w:val="21"/>
                <w:highlight w:val="none"/>
                <w:lang w:val="zh-TW" w:eastAsia="zh-TW"/>
              </w:rPr>
              <w:t>，计算公式如下：</w:t>
            </w:r>
          </w:p>
          <w:p w14:paraId="59A38425">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rPr>
              <w:t>评标基准价</w:t>
            </w:r>
            <w:r>
              <w:rPr>
                <w:rFonts w:hint="eastAsia" w:ascii="宋体" w:hAnsi="宋体" w:cs="宋体"/>
                <w:color w:val="auto"/>
                <w:kern w:val="2"/>
                <w:sz w:val="21"/>
                <w:szCs w:val="21"/>
                <w:highlight w:val="none"/>
                <w:lang w:val="zh-TW" w:eastAsia="zh-TW"/>
              </w:rPr>
              <w:t>=（Q高-Q低）/100*X+Q低</w:t>
            </w:r>
          </w:p>
          <w:p w14:paraId="63F77747">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Q低：为达到或超过及格分数线的投标人最低报价与工程成本警戒价两者中的较高值；如投标人均没有达到入围合格分数线的，则Q低为工程成本警示价。</w:t>
            </w:r>
          </w:p>
          <w:p w14:paraId="1163DE2C">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Q高：最高投标限价</w:t>
            </w:r>
          </w:p>
          <w:p w14:paraId="66FDA478">
            <w:pPr>
              <w:pStyle w:val="72"/>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X：为等分点值，在开标前从[0,100]整数中随机抽取</w:t>
            </w:r>
          </w:p>
        </w:tc>
      </w:tr>
      <w:tr w14:paraId="1181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5167008C">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425" w:type="dxa"/>
            <w:gridSpan w:val="2"/>
            <w:tcBorders>
              <w:top w:val="single" w:color="auto" w:sz="4" w:space="0"/>
              <w:left w:val="single" w:color="auto" w:sz="4" w:space="0"/>
              <w:right w:val="single" w:color="auto" w:sz="4" w:space="0"/>
            </w:tcBorders>
            <w:vAlign w:val="center"/>
          </w:tcPr>
          <w:p w14:paraId="7A57EF80">
            <w:pPr>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投标报价的偏差率</w:t>
            </w:r>
          </w:p>
          <w:p w14:paraId="64DEAF14">
            <w:pPr>
              <w:snapToGrid w:val="0"/>
              <w:jc w:val="cente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计算公式</w:t>
            </w:r>
          </w:p>
        </w:tc>
        <w:tc>
          <w:tcPr>
            <w:tcW w:w="5721" w:type="dxa"/>
            <w:tcBorders>
              <w:top w:val="single" w:color="auto" w:sz="4" w:space="0"/>
              <w:left w:val="single" w:color="auto" w:sz="4" w:space="0"/>
              <w:right w:val="single" w:color="auto" w:sz="4" w:space="0"/>
            </w:tcBorders>
            <w:vAlign w:val="center"/>
          </w:tcPr>
          <w:p w14:paraId="08F2F937">
            <w:pPr>
              <w:snapToGrid w:val="0"/>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w:t>
            </w:r>
          </w:p>
        </w:tc>
      </w:tr>
      <w:tr w14:paraId="5F7B2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15CE4586">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1D67684">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721" w:type="dxa"/>
            <w:tcBorders>
              <w:top w:val="single" w:color="auto" w:sz="4" w:space="0"/>
              <w:left w:val="single" w:color="auto" w:sz="4" w:space="0"/>
              <w:bottom w:val="single" w:color="auto" w:sz="4" w:space="0"/>
              <w:right w:val="single" w:color="auto" w:sz="4" w:space="0"/>
            </w:tcBorders>
            <w:vAlign w:val="center"/>
          </w:tcPr>
          <w:p w14:paraId="5DD2FD36">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77E2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455" w:hRule="atLeast"/>
          <w:jc w:val="center"/>
        </w:trPr>
        <w:tc>
          <w:tcPr>
            <w:tcW w:w="676" w:type="dxa"/>
            <w:vMerge w:val="restart"/>
            <w:tcBorders>
              <w:top w:val="single" w:color="auto" w:sz="4" w:space="0"/>
              <w:right w:val="single" w:color="auto" w:sz="4" w:space="0"/>
            </w:tcBorders>
            <w:vAlign w:val="center"/>
          </w:tcPr>
          <w:p w14:paraId="55918E9F">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1005" w:type="dxa"/>
            <w:vMerge w:val="restart"/>
            <w:tcBorders>
              <w:top w:val="single" w:color="auto" w:sz="4" w:space="0"/>
              <w:right w:val="single" w:color="auto" w:sz="4" w:space="0"/>
            </w:tcBorders>
            <w:vAlign w:val="center"/>
          </w:tcPr>
          <w:p w14:paraId="4A58B65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设计方案评分标准</w:t>
            </w:r>
          </w:p>
          <w:p w14:paraId="4DE74B45">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FD9B7A8">
            <w:pPr>
              <w:pStyle w:val="119"/>
              <w:snapToGrid w:val="0"/>
              <w:jc w:val="center"/>
              <w:rPr>
                <w:rFonts w:hint="eastAsia"/>
                <w:b w:val="0"/>
                <w:bCs w:val="0"/>
                <w:color w:val="auto"/>
                <w:szCs w:val="21"/>
                <w:highlight w:val="none"/>
              </w:rPr>
            </w:pPr>
            <w:r>
              <w:rPr>
                <w:rFonts w:hint="eastAsia"/>
                <w:b w:val="0"/>
                <w:bCs w:val="0"/>
                <w:color w:val="auto"/>
                <w:szCs w:val="21"/>
                <w:highlight w:val="none"/>
              </w:rPr>
              <w:t>整体设计效果</w:t>
            </w:r>
          </w:p>
          <w:p w14:paraId="224FC582">
            <w:pPr>
              <w:pStyle w:val="119"/>
              <w:snapToGrid w:val="0"/>
              <w:jc w:val="center"/>
              <w:rPr>
                <w:rFonts w:hint="eastAsia"/>
                <w:b w:val="0"/>
                <w:bCs w:val="0"/>
                <w:color w:val="auto"/>
                <w:szCs w:val="21"/>
                <w:highlight w:val="none"/>
              </w:rPr>
            </w:pPr>
            <w:r>
              <w:rPr>
                <w:rFonts w:hint="eastAsia"/>
                <w:b w:val="0"/>
                <w:bCs w:val="0"/>
                <w:color w:val="auto"/>
                <w:szCs w:val="21"/>
                <w:highlight w:val="none"/>
                <w:u w:val="single"/>
              </w:rPr>
              <w:t>(</w:t>
            </w:r>
            <w:r>
              <w:rPr>
                <w:rFonts w:hint="eastAsia"/>
                <w:b w:val="0"/>
                <w:bCs w:val="0"/>
                <w:color w:val="auto"/>
                <w:szCs w:val="21"/>
                <w:highlight w:val="none"/>
                <w:u w:val="single"/>
                <w:lang w:val="en-US" w:eastAsia="zh-CN"/>
              </w:rPr>
              <w:t>20</w:t>
            </w:r>
            <w:r>
              <w:rPr>
                <w:rFonts w:hint="eastAsia"/>
                <w:b w:val="0"/>
                <w:bCs w:val="0"/>
                <w:color w:val="auto"/>
                <w:szCs w:val="21"/>
                <w:highlight w:val="none"/>
                <w:u w:val="single"/>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135C24E9">
            <w:pPr>
              <w:pStyle w:val="23"/>
              <w:ind w:left="420" w:hanging="420" w:hangingChars="200"/>
              <w:rPr>
                <w:rFonts w:hint="eastAsia" w:ascii="宋体" w:hAnsi="宋体" w:cs="宋体"/>
                <w:b w:val="0"/>
                <w:bCs w:val="0"/>
                <w:color w:val="auto"/>
                <w:szCs w:val="21"/>
                <w:highlight w:val="none"/>
                <w:lang w:val="zh-CN"/>
              </w:rPr>
            </w:pPr>
            <w:r>
              <w:rPr>
                <w:rFonts w:hint="eastAsia"/>
                <w:b w:val="0"/>
                <w:bCs w:val="0"/>
                <w:color w:val="auto"/>
                <w:szCs w:val="21"/>
                <w:highlight w:val="none"/>
              </w:rPr>
              <w:t>整体设计效果</w:t>
            </w:r>
            <w:r>
              <w:rPr>
                <w:rFonts w:hint="eastAsia"/>
                <w:b w:val="0"/>
                <w:bCs w:val="0"/>
                <w:color w:val="auto"/>
                <w:szCs w:val="21"/>
                <w:highlight w:val="none"/>
                <w:lang w:val="en-US" w:eastAsia="zh-CN"/>
              </w:rPr>
              <w:t>及理念要</w:t>
            </w:r>
            <w:r>
              <w:rPr>
                <w:rFonts w:hint="eastAsia" w:ascii="宋体" w:hAnsi="宋体" w:cs="宋体"/>
                <w:b w:val="0"/>
                <w:bCs w:val="0"/>
                <w:color w:val="auto"/>
                <w:szCs w:val="21"/>
                <w:highlight w:val="none"/>
              </w:rPr>
              <w:t>符合医疗行业发展趋势，具有较高的创新性和前瞻性</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zh-CN"/>
              </w:rPr>
              <w:t>​</w:t>
            </w:r>
          </w:p>
          <w:p w14:paraId="59EE6183">
            <w:pPr>
              <w:pStyle w:val="23"/>
              <w:ind w:left="630" w:hanging="630" w:hangingChars="300"/>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[优]：</w:t>
            </w:r>
            <w:r>
              <w:rPr>
                <w:rFonts w:hint="eastAsia" w:ascii="宋体" w:hAnsi="宋体" w:cs="宋体"/>
                <w:b w:val="0"/>
                <w:bCs w:val="0"/>
                <w:color w:val="auto"/>
                <w:szCs w:val="21"/>
                <w:highlight w:val="none"/>
                <w:lang w:val="en-US" w:eastAsia="zh-CN"/>
              </w:rPr>
              <w:t>设计理念</w:t>
            </w:r>
            <w:r>
              <w:rPr>
                <w:rFonts w:hint="eastAsia" w:ascii="宋体" w:hAnsi="宋体" w:cs="宋体"/>
                <w:b w:val="0"/>
                <w:bCs w:val="0"/>
                <w:color w:val="auto"/>
                <w:szCs w:val="21"/>
                <w:highlight w:val="none"/>
              </w:rPr>
              <w:t>具有创新性和前瞻性</w:t>
            </w:r>
            <w:r>
              <w:rPr>
                <w:rFonts w:hint="eastAsia" w:ascii="宋体" w:hAnsi="宋体" w:cs="宋体"/>
                <w:b w:val="0"/>
                <w:bCs w:val="0"/>
                <w:color w:val="auto"/>
                <w:szCs w:val="21"/>
                <w:highlight w:val="none"/>
                <w:lang w:val="zh-CN"/>
              </w:rPr>
              <w:t>；建筑环境与空间造型整体和谐统一，鲜明体现眼科专科医院特色；</w:t>
            </w:r>
            <w:r>
              <w:rPr>
                <w:rFonts w:hint="eastAsia" w:ascii="宋体" w:hAnsi="宋体" w:eastAsia="宋体" w:cs="宋体"/>
                <w:b w:val="0"/>
                <w:bCs w:val="0"/>
                <w:i w:val="0"/>
                <w:iCs w:val="0"/>
                <w:caps w:val="0"/>
                <w:color w:val="auto"/>
                <w:spacing w:val="0"/>
                <w:sz w:val="21"/>
                <w:szCs w:val="21"/>
                <w:highlight w:val="none"/>
                <w:shd w:val="clear"/>
                <w:lang w:val="zh-CN"/>
              </w:rPr>
              <w:t>满足大气、美观、耐用、舒适等要求</w:t>
            </w:r>
            <w:r>
              <w:rPr>
                <w:rFonts w:hint="eastAsia" w:ascii="宋体" w:hAnsi="宋体" w:eastAsia="宋体" w:cs="宋体"/>
                <w:b w:val="0"/>
                <w:bCs w:val="0"/>
                <w:i w:val="0"/>
                <w:iCs w:val="0"/>
                <w:caps w:val="0"/>
                <w:color w:val="auto"/>
                <w:spacing w:val="0"/>
                <w:sz w:val="21"/>
                <w:szCs w:val="21"/>
                <w:highlight w:val="none"/>
                <w:shd w:val="clear"/>
                <w:lang w:val="zh-CN" w:eastAsia="zh-CN"/>
              </w:rPr>
              <w:t>，</w:t>
            </w:r>
            <w:r>
              <w:rPr>
                <w:rFonts w:hint="eastAsia" w:ascii="宋体" w:hAnsi="宋体" w:cs="宋体"/>
                <w:b w:val="0"/>
                <w:bCs w:val="0"/>
                <w:color w:val="auto"/>
                <w:szCs w:val="21"/>
                <w:highlight w:val="none"/>
                <w:lang w:val="zh-CN"/>
              </w:rPr>
              <w:t>得</w:t>
            </w:r>
            <w:r>
              <w:rPr>
                <w:rFonts w:hint="eastAsia" w:ascii="宋体" w:hAnsi="宋体" w:cs="宋体"/>
                <w:b w:val="0"/>
                <w:bCs w:val="0"/>
                <w:color w:val="auto"/>
                <w:szCs w:val="21"/>
                <w:highlight w:val="none"/>
                <w:u w:val="single"/>
                <w:lang w:val="en-US" w:eastAsia="zh-CN"/>
              </w:rPr>
              <w:t>20</w:t>
            </w:r>
            <w:r>
              <w:rPr>
                <w:rFonts w:hint="eastAsia" w:ascii="宋体" w:hAnsi="宋体" w:cs="宋体"/>
                <w:b w:val="0"/>
                <w:bCs w:val="0"/>
                <w:color w:val="auto"/>
                <w:szCs w:val="21"/>
                <w:highlight w:val="none"/>
                <w:lang w:val="zh-CN"/>
              </w:rPr>
              <w:t>分。</w:t>
            </w:r>
          </w:p>
          <w:p w14:paraId="5D7014F7">
            <w:pPr>
              <w:pStyle w:val="23"/>
              <w:ind w:left="630" w:hanging="630" w:hangingChars="300"/>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[良]：</w:t>
            </w:r>
            <w:r>
              <w:rPr>
                <w:rFonts w:hint="eastAsia" w:ascii="宋体" w:hAnsi="宋体" w:cs="宋体"/>
                <w:b w:val="0"/>
                <w:bCs w:val="0"/>
                <w:color w:val="auto"/>
                <w:szCs w:val="21"/>
                <w:highlight w:val="none"/>
                <w:lang w:val="en-US" w:eastAsia="zh-CN"/>
              </w:rPr>
              <w:t>设计理念</w:t>
            </w:r>
            <w:r>
              <w:rPr>
                <w:rFonts w:hint="eastAsia" w:ascii="宋体" w:hAnsi="宋体" w:cs="宋体"/>
                <w:b w:val="0"/>
                <w:bCs w:val="0"/>
                <w:color w:val="auto"/>
                <w:szCs w:val="21"/>
                <w:highlight w:val="none"/>
              </w:rPr>
              <w:t>具有创新性和前瞻性</w:t>
            </w:r>
            <w:r>
              <w:rPr>
                <w:rFonts w:hint="eastAsia" w:ascii="宋体" w:hAnsi="宋体" w:cs="宋体"/>
                <w:b w:val="0"/>
                <w:bCs w:val="0"/>
                <w:color w:val="auto"/>
                <w:szCs w:val="21"/>
                <w:highlight w:val="none"/>
                <w:lang w:val="zh-CN"/>
              </w:rPr>
              <w:t>；建筑环境能体现眼科专科医院特色；设计符合大气、美观、耐用、舒适等功能要求，得</w:t>
            </w:r>
            <w:r>
              <w:rPr>
                <w:rFonts w:hint="eastAsia" w:ascii="宋体" w:hAnsi="宋体" w:cs="宋体"/>
                <w:b w:val="0"/>
                <w:bCs w:val="0"/>
                <w:color w:val="auto"/>
                <w:szCs w:val="21"/>
                <w:highlight w:val="none"/>
                <w:lang w:val="en-US" w:eastAsia="zh-CN"/>
              </w:rPr>
              <w:t>10</w:t>
            </w:r>
            <w:r>
              <w:rPr>
                <w:rFonts w:hint="eastAsia" w:ascii="宋体" w:hAnsi="宋体" w:cs="宋体"/>
                <w:b w:val="0"/>
                <w:bCs w:val="0"/>
                <w:color w:val="auto"/>
                <w:szCs w:val="21"/>
                <w:highlight w:val="none"/>
                <w:lang w:val="zh-CN"/>
              </w:rPr>
              <w:t>分。</w:t>
            </w:r>
          </w:p>
          <w:p w14:paraId="5C295CF0">
            <w:pPr>
              <w:pStyle w:val="23"/>
              <w:ind w:left="630" w:hanging="630" w:hangingChars="300"/>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[中]：</w:t>
            </w:r>
            <w:r>
              <w:rPr>
                <w:rFonts w:hint="eastAsia" w:ascii="宋体" w:hAnsi="宋体" w:cs="宋体"/>
                <w:b w:val="0"/>
                <w:bCs w:val="0"/>
                <w:color w:val="auto"/>
                <w:szCs w:val="21"/>
                <w:highlight w:val="none"/>
                <w:lang w:val="en-US" w:eastAsia="zh-CN"/>
              </w:rPr>
              <w:t>设计理念</w:t>
            </w:r>
            <w:r>
              <w:rPr>
                <w:rFonts w:hint="eastAsia" w:ascii="宋体" w:hAnsi="宋体" w:cs="宋体"/>
                <w:b w:val="0"/>
                <w:bCs w:val="0"/>
                <w:color w:val="auto"/>
                <w:szCs w:val="21"/>
                <w:highlight w:val="none"/>
              </w:rPr>
              <w:t>具有创新性和前瞻性</w:t>
            </w:r>
            <w:r>
              <w:rPr>
                <w:rFonts w:hint="eastAsia" w:ascii="宋体" w:hAnsi="宋体" w:cs="宋体"/>
                <w:b w:val="0"/>
                <w:bCs w:val="0"/>
                <w:color w:val="auto"/>
                <w:szCs w:val="21"/>
                <w:highlight w:val="none"/>
                <w:lang w:val="zh-CN"/>
              </w:rPr>
              <w:t>；建筑环境基本能体现眼科专科医院特色；设计基本符合大气、美观、耐用、舒适等功能要求，得</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val="zh-CN"/>
              </w:rPr>
              <w:t>分。</w:t>
            </w:r>
          </w:p>
          <w:p w14:paraId="0E01A847">
            <w:pPr>
              <w:pStyle w:val="23"/>
              <w:ind w:left="630" w:leftChars="0" w:hanging="630" w:hangingChars="3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zh-CN"/>
              </w:rPr>
              <w:t>[差]：</w:t>
            </w:r>
            <w:r>
              <w:rPr>
                <w:rFonts w:hint="eastAsia" w:ascii="宋体" w:hAnsi="宋体" w:cs="宋体"/>
                <w:b w:val="0"/>
                <w:bCs w:val="0"/>
                <w:color w:val="auto"/>
                <w:szCs w:val="21"/>
                <w:highlight w:val="none"/>
                <w:lang w:val="en-US" w:eastAsia="zh-CN"/>
              </w:rPr>
              <w:t>设计理念不具备</w:t>
            </w:r>
            <w:r>
              <w:rPr>
                <w:rFonts w:hint="eastAsia" w:ascii="宋体" w:hAnsi="宋体" w:cs="宋体"/>
                <w:b w:val="0"/>
                <w:bCs w:val="0"/>
                <w:color w:val="auto"/>
                <w:szCs w:val="21"/>
                <w:highlight w:val="none"/>
              </w:rPr>
              <w:t>创新性和前瞻性</w:t>
            </w:r>
            <w:r>
              <w:rPr>
                <w:rFonts w:hint="eastAsia" w:ascii="宋体" w:hAnsi="宋体" w:cs="宋体"/>
                <w:b w:val="0"/>
                <w:bCs w:val="0"/>
                <w:color w:val="auto"/>
                <w:szCs w:val="21"/>
                <w:highlight w:val="none"/>
                <w:lang w:val="zh-CN"/>
              </w:rPr>
              <w:t>；建筑环境完全未能体现眼科专科医院特色；设计不符合大气、美观、耐用、舒适等功能要求，得0分。</w:t>
            </w:r>
          </w:p>
        </w:tc>
      </w:tr>
      <w:tr w14:paraId="72A4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0" w:hRule="atLeast"/>
          <w:jc w:val="center"/>
        </w:trPr>
        <w:tc>
          <w:tcPr>
            <w:tcW w:w="676" w:type="dxa"/>
            <w:vMerge w:val="continue"/>
            <w:tcBorders>
              <w:right w:val="single" w:color="auto" w:sz="4" w:space="0"/>
            </w:tcBorders>
            <w:vAlign w:val="center"/>
          </w:tcPr>
          <w:p w14:paraId="23D15E4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1C36C352">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E037566">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洁净环境</w:t>
            </w:r>
            <w:r>
              <w:rPr>
                <w:rFonts w:hint="eastAsia" w:ascii="宋体" w:hAnsi="宋体" w:cs="宋体"/>
                <w:color w:val="auto"/>
                <w:szCs w:val="21"/>
                <w:highlight w:val="none"/>
                <w:lang w:val="en-US" w:eastAsia="zh-CN"/>
              </w:rPr>
              <w:t>保护</w:t>
            </w:r>
            <w:r>
              <w:rPr>
                <w:rFonts w:hint="eastAsia" w:ascii="宋体" w:hAnsi="宋体" w:cs="宋体"/>
                <w:strike w:val="0"/>
                <w:color w:val="auto"/>
                <w:szCs w:val="21"/>
                <w:highlight w:val="none"/>
                <w:lang w:val="en-US" w:eastAsia="zh-CN"/>
              </w:rPr>
              <w:t>思路</w:t>
            </w:r>
          </w:p>
          <w:p w14:paraId="428FAA01">
            <w:pPr>
              <w:snapToGrid w:val="0"/>
              <w:jc w:val="center"/>
              <w:rPr>
                <w:rFonts w:hint="eastAsia" w:ascii="宋体" w:hAnsi="宋体" w:cs="宋体"/>
                <w:b w:val="0"/>
                <w:bCs w:val="0"/>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779886BD">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针对</w:t>
            </w:r>
            <w:r>
              <w:rPr>
                <w:rFonts w:hint="eastAsia" w:ascii="宋体" w:hAnsi="宋体" w:cs="宋体"/>
                <w:color w:val="auto"/>
                <w:szCs w:val="21"/>
                <w:highlight w:val="none"/>
              </w:rPr>
              <w:t>重点区域（如洁净区）杀菌除味、低碳节能、动态消毒的洁净环境</w:t>
            </w:r>
            <w:r>
              <w:rPr>
                <w:rFonts w:hint="eastAsia" w:ascii="宋体" w:hAnsi="宋体" w:cs="宋体"/>
                <w:color w:val="auto"/>
                <w:szCs w:val="21"/>
                <w:highlight w:val="none"/>
                <w:lang w:val="en-US" w:eastAsia="zh-CN"/>
              </w:rPr>
              <w:t>保护提供</w:t>
            </w:r>
            <w:r>
              <w:rPr>
                <w:rFonts w:hint="eastAsia" w:ascii="宋体" w:hAnsi="宋体" w:cs="宋体"/>
                <w:color w:val="auto"/>
                <w:szCs w:val="21"/>
                <w:highlight w:val="none"/>
              </w:rPr>
              <w:t>相应解决</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w:t>
            </w:r>
          </w:p>
          <w:p w14:paraId="79230FF8">
            <w:pPr>
              <w:snapToGrid w:val="0"/>
              <w:spacing w:after="78" w:afterLines="25"/>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[优]</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合理、可行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可操作性强</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292D2753">
            <w:pPr>
              <w:snapToGrid w:val="0"/>
              <w:spacing w:after="78" w:afterLines="25"/>
              <w:jc w:val="left"/>
              <w:rPr>
                <w:rFonts w:hint="eastAsia" w:ascii="宋体" w:hAnsi="宋体" w:cs="宋体"/>
                <w:color w:val="auto"/>
                <w:szCs w:val="21"/>
                <w:highlight w:val="none"/>
                <w:lang w:eastAsia="zh-CN"/>
              </w:rPr>
            </w:pPr>
            <w:r>
              <w:rPr>
                <w:rFonts w:hint="eastAsia" w:ascii="宋体" w:hAnsi="宋体" w:cs="宋体"/>
                <w:color w:val="auto"/>
                <w:szCs w:val="21"/>
                <w:highlight w:val="none"/>
              </w:rPr>
              <w:t>[良]</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性一般</w:t>
            </w:r>
            <w:r>
              <w:rPr>
                <w:rFonts w:hint="eastAsia" w:ascii="宋体" w:hAnsi="宋体" w:cs="宋体"/>
                <w:color w:val="auto"/>
                <w:szCs w:val="21"/>
                <w:highlight w:val="none"/>
              </w:rPr>
              <w:t>、可行</w:t>
            </w:r>
            <w:r>
              <w:rPr>
                <w:rFonts w:hint="eastAsia" w:ascii="宋体" w:hAnsi="宋体" w:cs="宋体"/>
                <w:color w:val="auto"/>
                <w:szCs w:val="21"/>
                <w:highlight w:val="none"/>
                <w:lang w:val="en-US" w:eastAsia="zh-CN"/>
              </w:rPr>
              <w:t>性一般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可操作性一般</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601DEB75">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操作难道较大</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097F6E20">
            <w:pPr>
              <w:snapToGrid w:val="0"/>
              <w:spacing w:after="78" w:afterLines="25"/>
              <w:jc w:val="left"/>
              <w:rPr>
                <w:rFonts w:hint="eastAsia" w:ascii="宋体" w:hAnsi="宋体" w:cs="宋体"/>
                <w:b w:val="0"/>
                <w:bCs w:val="0"/>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难以操作</w:t>
            </w:r>
            <w:r>
              <w:rPr>
                <w:rFonts w:hint="eastAsia" w:ascii="宋体" w:hAnsi="宋体" w:cs="宋体"/>
                <w:color w:val="auto"/>
                <w:szCs w:val="21"/>
                <w:highlight w:val="none"/>
              </w:rPr>
              <w:t>，得0分。</w:t>
            </w:r>
          </w:p>
        </w:tc>
      </w:tr>
      <w:tr w14:paraId="6FF17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E9576F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35D833AC">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31DE6A8">
            <w:pPr>
              <w:snapToGrid w:val="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u w:val="single"/>
              </w:rPr>
              <w:t>平面布局与流程设(</w:t>
            </w:r>
            <w:r>
              <w:rPr>
                <w:rFonts w:hint="eastAsia" w:ascii="宋体" w:hAnsi="宋体" w:cs="宋体"/>
                <w:b w:val="0"/>
                <w:bCs w:val="0"/>
                <w:color w:val="auto"/>
                <w:szCs w:val="21"/>
                <w:highlight w:val="none"/>
                <w:u w:val="single"/>
                <w:lang w:val="en-US" w:eastAsia="zh-CN"/>
              </w:rPr>
              <w:t>20</w:t>
            </w:r>
            <w:r>
              <w:rPr>
                <w:rFonts w:hint="eastAsia" w:ascii="宋体" w:hAnsi="宋体" w:cs="宋体"/>
                <w:b w:val="0"/>
                <w:bCs w:val="0"/>
                <w:color w:val="auto"/>
                <w:szCs w:val="21"/>
                <w:highlight w:val="none"/>
                <w:u w:val="single"/>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5EE23562">
            <w:pPr>
              <w:pStyle w:val="23"/>
              <w:ind w:left="0" w:firstLine="0" w:firstLineChars="0"/>
              <w:rPr>
                <w:rFonts w:hint="eastAsia" w:ascii="宋体" w:hAnsi="宋体" w:eastAsia="宋体" w:cs="宋体"/>
                <w:b w:val="0"/>
                <w:bCs w:val="0"/>
                <w:i w:val="0"/>
                <w:iCs w:val="0"/>
                <w:caps w:val="0"/>
                <w:color w:val="auto"/>
                <w:spacing w:val="0"/>
                <w:sz w:val="21"/>
                <w:szCs w:val="21"/>
                <w:highlight w:val="none"/>
                <w:lang w:val="zh-CN"/>
              </w:rPr>
            </w:pPr>
            <w:r>
              <w:rPr>
                <w:rFonts w:hint="default" w:ascii="Times New Roman" w:hAnsi="Times New Roman" w:eastAsia="宋体" w:cs="Times New Roman"/>
                <w:b w:val="0"/>
                <w:bCs w:val="0"/>
                <w:i w:val="0"/>
                <w:iCs w:val="0"/>
                <w:caps w:val="0"/>
                <w:color w:val="auto"/>
                <w:spacing w:val="0"/>
                <w:kern w:val="2"/>
                <w:sz w:val="21"/>
                <w:szCs w:val="24"/>
                <w:highlight w:val="none"/>
                <w:shd w:val="clear"/>
                <w:lang w:val="zh-CN" w:eastAsia="zh-CN" w:bidi="ar"/>
              </w:rPr>
              <w:t>遵循人流、物流、污物流分开的原则，功能分区（如细胞培养区的更衣、缓冲、培养；病理实验室的试剂储存、标本前处理、诊断区等）明确、衔接顺畅、无交叉污染</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w:t>
            </w:r>
          </w:p>
          <w:p w14:paraId="603CC2D0">
            <w:pPr>
              <w:pStyle w:val="23"/>
              <w:ind w:left="630" w:hanging="630" w:hangingChars="300"/>
              <w:rPr>
                <w:rFonts w:hint="eastAsia" w:ascii="宋体" w:hAnsi="宋体" w:eastAsia="宋体" w:cs="宋体"/>
                <w:b w:val="0"/>
                <w:bCs w:val="0"/>
                <w:i w:val="0"/>
                <w:iCs w:val="0"/>
                <w:caps w:val="0"/>
                <w:color w:val="auto"/>
                <w:spacing w:val="0"/>
                <w:sz w:val="21"/>
                <w:szCs w:val="21"/>
                <w:highlight w:val="none"/>
                <w:lang w:val="zh-CN"/>
              </w:rPr>
            </w:pP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[优]：空间布局科学合理且充分优化，从使用者角度精心规划单元设计，具备前瞻性和良好适应性；</w:t>
            </w:r>
            <w:r>
              <w:rPr>
                <w:rFonts w:hint="eastAsia"/>
                <w:b w:val="0"/>
                <w:bCs w:val="0"/>
                <w:color w:val="auto"/>
                <w:highlight w:val="none"/>
                <w:shd w:val="clear" w:color="auto" w:fill="auto"/>
                <w:lang w:val="en-US" w:eastAsia="zh-CN"/>
              </w:rPr>
              <w:t>优化科室设置</w:t>
            </w:r>
            <w:r>
              <w:rPr>
                <w:rFonts w:hint="eastAsia" w:ascii="宋体" w:hAnsi="宋体" w:cs="宋体"/>
                <w:b w:val="0"/>
                <w:bCs w:val="0"/>
                <w:color w:val="auto"/>
                <w:szCs w:val="21"/>
                <w:highlight w:val="none"/>
                <w:lang w:val="zh-CN" w:bidi="ar"/>
              </w:rPr>
              <w:t>和流线设计</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完全契合医疗规范要求，</w:t>
            </w:r>
            <w:r>
              <w:rPr>
                <w:rFonts w:hint="eastAsia" w:ascii="宋体" w:hAnsi="宋体" w:cs="宋体"/>
                <w:b w:val="0"/>
                <w:bCs w:val="0"/>
                <w:color w:val="auto"/>
                <w:szCs w:val="21"/>
                <w:highlight w:val="none"/>
                <w:lang w:val="zh-CN" w:bidi="ar"/>
              </w:rPr>
              <w:t>设计流线无交叉，</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整体舒适实用，功能齐全且能充分满足使用需求</w:t>
            </w:r>
            <w:r>
              <w:rPr>
                <w:rFonts w:hint="eastAsia" w:ascii="宋体" w:hAnsi="宋体" w:cs="宋体"/>
                <w:b w:val="0"/>
                <w:bCs w:val="0"/>
                <w:i w:val="0"/>
                <w:iCs w:val="0"/>
                <w:caps w:val="0"/>
                <w:color w:val="auto"/>
                <w:spacing w:val="0"/>
                <w:kern w:val="2"/>
                <w:sz w:val="21"/>
                <w:szCs w:val="21"/>
                <w:highlight w:val="none"/>
                <w:shd w:val="clear" w:color="auto" w:fill="auto"/>
                <w:lang w:val="zh-CN" w:eastAsia="zh-CN" w:bidi="ar"/>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得</w:t>
            </w:r>
            <w:r>
              <w:rPr>
                <w:rFonts w:hint="eastAsia" w:ascii="宋体" w:hAnsi="宋体" w:cs="宋体"/>
                <w:b w:val="0"/>
                <w:bCs w:val="0"/>
                <w:i w:val="0"/>
                <w:iCs w:val="0"/>
                <w:caps w:val="0"/>
                <w:color w:val="auto"/>
                <w:spacing w:val="0"/>
                <w:kern w:val="2"/>
                <w:sz w:val="21"/>
                <w:szCs w:val="21"/>
                <w:highlight w:val="none"/>
                <w:u w:val="single"/>
                <w:shd w:val="clear" w:color="auto" w:fill="auto"/>
                <w:lang w:val="en-US" w:eastAsia="zh-CN" w:bidi="ar"/>
              </w:rPr>
              <w:t>20</w:t>
            </w:r>
            <w:r>
              <w:rPr>
                <w:rFonts w:hint="eastAsia" w:ascii="宋体" w:hAnsi="宋体" w:eastAsia="宋体" w:cs="宋体"/>
                <w:b w:val="0"/>
                <w:bCs w:val="0"/>
                <w:i w:val="0"/>
                <w:iCs w:val="0"/>
                <w:caps w:val="0"/>
                <w:color w:val="auto"/>
                <w:spacing w:val="0"/>
                <w:kern w:val="2"/>
                <w:sz w:val="21"/>
                <w:szCs w:val="21"/>
                <w:highlight w:val="none"/>
                <w:u w:val="single"/>
                <w:shd w:val="clear" w:color="auto" w:fill="auto"/>
                <w:lang w:val="zh-CN" w:eastAsia="zh-CN" w:bidi="ar"/>
              </w:rPr>
              <w:t>分</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w:t>
            </w:r>
          </w:p>
          <w:p w14:paraId="6F541460">
            <w:pPr>
              <w:pStyle w:val="23"/>
              <w:ind w:left="630" w:hanging="630" w:hangingChars="300"/>
              <w:rPr>
                <w:rFonts w:hint="eastAsia" w:ascii="宋体" w:hAnsi="宋体" w:eastAsia="宋体" w:cs="宋体"/>
                <w:b w:val="0"/>
                <w:bCs w:val="0"/>
                <w:i w:val="0"/>
                <w:iCs w:val="0"/>
                <w:caps w:val="0"/>
                <w:color w:val="auto"/>
                <w:spacing w:val="0"/>
                <w:sz w:val="21"/>
                <w:szCs w:val="21"/>
                <w:highlight w:val="none"/>
                <w:lang w:val="zh-CN"/>
              </w:rPr>
            </w:pP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[良]：空间布局比较合理，兼顾使用者角度进行单元设计；</w:t>
            </w:r>
            <w:r>
              <w:rPr>
                <w:rFonts w:hint="eastAsia"/>
                <w:b w:val="0"/>
                <w:bCs w:val="0"/>
                <w:color w:val="auto"/>
                <w:highlight w:val="none"/>
                <w:shd w:val="clear" w:color="auto" w:fill="auto"/>
                <w:lang w:val="en-US" w:eastAsia="zh-CN"/>
              </w:rPr>
              <w:t>优化科室设置</w:t>
            </w:r>
            <w:r>
              <w:rPr>
                <w:rFonts w:hint="eastAsia" w:ascii="宋体" w:hAnsi="宋体" w:cs="宋体"/>
                <w:b w:val="0"/>
                <w:bCs w:val="0"/>
                <w:color w:val="auto"/>
                <w:szCs w:val="21"/>
                <w:highlight w:val="none"/>
                <w:lang w:val="zh-CN" w:bidi="ar"/>
              </w:rPr>
              <w:t>和流线设计</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契合医疗规范要求，</w:t>
            </w:r>
            <w:r>
              <w:rPr>
                <w:rFonts w:hint="eastAsia" w:ascii="宋体" w:hAnsi="宋体" w:cs="宋体"/>
                <w:b w:val="0"/>
                <w:bCs w:val="0"/>
                <w:color w:val="auto"/>
                <w:szCs w:val="21"/>
                <w:highlight w:val="none"/>
                <w:lang w:val="zh-CN" w:bidi="ar"/>
              </w:rPr>
              <w:t>设计流线无交叉，</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功能比较齐全，能够满足使用要求</w:t>
            </w:r>
            <w:r>
              <w:rPr>
                <w:rFonts w:hint="eastAsia"/>
                <w:b w:val="0"/>
                <w:bCs w:val="0"/>
                <w:color w:val="auto"/>
                <w:highlight w:val="none"/>
                <w:lang w:eastAsia="zh-CN"/>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得</w:t>
            </w:r>
            <w:r>
              <w:rPr>
                <w:rFonts w:hint="eastAsia" w:ascii="宋体" w:hAnsi="宋体" w:eastAsia="宋体" w:cs="宋体"/>
                <w:b w:val="0"/>
                <w:bCs w:val="0"/>
                <w:i w:val="0"/>
                <w:iCs w:val="0"/>
                <w:caps w:val="0"/>
                <w:color w:val="auto"/>
                <w:spacing w:val="0"/>
                <w:kern w:val="2"/>
                <w:sz w:val="21"/>
                <w:szCs w:val="21"/>
                <w:highlight w:val="none"/>
                <w:shd w:val="clear" w:color="auto" w:fill="auto"/>
                <w:lang w:val="en-US" w:eastAsia="zh-CN" w:bidi="ar"/>
              </w:rPr>
              <w:t>10</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分。​</w:t>
            </w:r>
          </w:p>
          <w:p w14:paraId="5BECDF4B">
            <w:pPr>
              <w:pStyle w:val="23"/>
              <w:ind w:left="630" w:hanging="630" w:hangingChars="300"/>
              <w:rPr>
                <w:rFonts w:hint="eastAsia" w:ascii="宋体" w:hAnsi="宋体" w:eastAsia="宋体" w:cs="宋体"/>
                <w:b w:val="0"/>
                <w:bCs w:val="0"/>
                <w:i w:val="0"/>
                <w:iCs w:val="0"/>
                <w:caps w:val="0"/>
                <w:color w:val="auto"/>
                <w:spacing w:val="0"/>
                <w:sz w:val="21"/>
                <w:szCs w:val="21"/>
                <w:highlight w:val="none"/>
                <w:lang w:val="zh-CN"/>
              </w:rPr>
            </w:pP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[中]：空间布局基本合理，在使用者角度的单元设计上有所体现；</w:t>
            </w:r>
            <w:r>
              <w:rPr>
                <w:rFonts w:hint="eastAsia"/>
                <w:b w:val="0"/>
                <w:bCs w:val="0"/>
                <w:color w:val="auto"/>
                <w:highlight w:val="none"/>
                <w:shd w:val="clear" w:color="auto" w:fill="auto"/>
                <w:lang w:val="en-US" w:eastAsia="zh-CN"/>
              </w:rPr>
              <w:t>优化科室设置</w:t>
            </w:r>
            <w:r>
              <w:rPr>
                <w:rFonts w:hint="eastAsia" w:ascii="宋体" w:hAnsi="宋体" w:cs="宋体"/>
                <w:b w:val="0"/>
                <w:bCs w:val="0"/>
                <w:color w:val="auto"/>
                <w:szCs w:val="21"/>
                <w:highlight w:val="none"/>
                <w:lang w:val="zh-CN" w:bidi="ar"/>
              </w:rPr>
              <w:t>和流线设计</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契合医疗规范要求，</w:t>
            </w:r>
            <w:r>
              <w:rPr>
                <w:rFonts w:hint="eastAsia" w:ascii="宋体" w:hAnsi="宋体" w:cs="宋体"/>
                <w:b w:val="0"/>
                <w:bCs w:val="0"/>
                <w:color w:val="auto"/>
                <w:szCs w:val="21"/>
                <w:highlight w:val="none"/>
                <w:lang w:val="zh-CN" w:bidi="ar"/>
              </w:rPr>
              <w:t>设计流线无交叉，</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功能基本齐全，可基本满足使用要求</w:t>
            </w:r>
            <w:r>
              <w:rPr>
                <w:rFonts w:hint="eastAsia"/>
                <w:b w:val="0"/>
                <w:bCs w:val="0"/>
                <w:color w:val="auto"/>
                <w:highlight w:val="none"/>
                <w:lang w:eastAsia="zh-CN"/>
              </w:rPr>
              <w:t>，</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得5分。​</w:t>
            </w:r>
          </w:p>
          <w:p w14:paraId="6D19CE92">
            <w:pPr>
              <w:pStyle w:val="23"/>
              <w:ind w:left="630" w:leftChars="0" w:hanging="630" w:hangingChars="300"/>
              <w:rPr>
                <w:rFonts w:hint="eastAsia" w:ascii="宋体" w:hAnsi="宋体" w:cs="宋体"/>
                <w:b w:val="0"/>
                <w:bCs w:val="0"/>
                <w:color w:val="auto"/>
                <w:szCs w:val="21"/>
                <w:highlight w:val="none"/>
              </w:rPr>
            </w:pP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[差]：空间布局不合理，未从使用者角度考虑单元设计；</w:t>
            </w:r>
            <w:r>
              <w:rPr>
                <w:rFonts w:hint="eastAsia"/>
                <w:b w:val="0"/>
                <w:bCs w:val="0"/>
                <w:color w:val="auto"/>
                <w:highlight w:val="none"/>
                <w:shd w:val="clear" w:color="auto" w:fill="auto"/>
                <w:lang w:val="en-US" w:eastAsia="zh-CN"/>
              </w:rPr>
              <w:t>优化科室设置</w:t>
            </w:r>
            <w:r>
              <w:rPr>
                <w:rFonts w:hint="eastAsia" w:ascii="宋体" w:hAnsi="宋体" w:cs="宋体"/>
                <w:b w:val="0"/>
                <w:bCs w:val="0"/>
                <w:color w:val="auto"/>
                <w:szCs w:val="21"/>
                <w:highlight w:val="none"/>
                <w:lang w:val="zh-CN" w:bidi="ar"/>
              </w:rPr>
              <w:t>和流线设计</w:t>
            </w:r>
            <w:r>
              <w:rPr>
                <w:rFonts w:hint="eastAsia" w:ascii="宋体" w:hAnsi="宋体" w:cs="宋体"/>
                <w:b w:val="0"/>
                <w:bCs w:val="0"/>
                <w:i w:val="0"/>
                <w:iCs w:val="0"/>
                <w:caps w:val="0"/>
                <w:color w:val="auto"/>
                <w:spacing w:val="0"/>
                <w:kern w:val="2"/>
                <w:sz w:val="21"/>
                <w:szCs w:val="21"/>
                <w:highlight w:val="none"/>
                <w:shd w:val="clear" w:color="auto" w:fill="auto"/>
                <w:lang w:val="en-US" w:eastAsia="zh-CN" w:bidi="ar"/>
              </w:rPr>
              <w:t>不能</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契合医疗规范要求，</w:t>
            </w:r>
            <w:r>
              <w:rPr>
                <w:rFonts w:hint="eastAsia" w:ascii="宋体" w:hAnsi="宋体" w:cs="宋体"/>
                <w:b w:val="0"/>
                <w:bCs w:val="0"/>
                <w:color w:val="auto"/>
                <w:szCs w:val="21"/>
                <w:highlight w:val="none"/>
                <w:lang w:val="zh-CN" w:bidi="ar"/>
              </w:rPr>
              <w:t>设计流线交叉，</w:t>
            </w:r>
            <w:r>
              <w:rPr>
                <w:rFonts w:hint="eastAsia" w:ascii="宋体" w:hAnsi="宋体" w:eastAsia="宋体" w:cs="宋体"/>
                <w:b w:val="0"/>
                <w:bCs w:val="0"/>
                <w:i w:val="0"/>
                <w:iCs w:val="0"/>
                <w:caps w:val="0"/>
                <w:color w:val="auto"/>
                <w:spacing w:val="0"/>
                <w:kern w:val="2"/>
                <w:sz w:val="21"/>
                <w:szCs w:val="21"/>
                <w:highlight w:val="none"/>
                <w:shd w:val="clear" w:color="auto" w:fill="auto"/>
                <w:lang w:val="zh-CN" w:eastAsia="zh-CN" w:bidi="ar"/>
              </w:rPr>
              <w:t>功能不齐全，无法满足使用要求，得 0 分。</w:t>
            </w:r>
          </w:p>
        </w:tc>
      </w:tr>
      <w:tr w14:paraId="1F559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385F8B4">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5D973496">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D67A9E0">
            <w:pPr>
              <w:snapToGrid w:val="0"/>
              <w:jc w:val="center"/>
              <w:rPr>
                <w:rFonts w:hint="eastAsia"/>
                <w:bCs/>
                <w:color w:val="auto"/>
                <w:sz w:val="21"/>
                <w:szCs w:val="21"/>
                <w:highlight w:val="none"/>
                <w:lang w:val="en-US" w:eastAsia="zh-CN"/>
              </w:rPr>
            </w:pPr>
            <w:r>
              <w:rPr>
                <w:rFonts w:hint="eastAsia"/>
                <w:bCs/>
                <w:color w:val="auto"/>
                <w:sz w:val="21"/>
                <w:szCs w:val="21"/>
                <w:highlight w:val="none"/>
                <w:lang w:val="en-US" w:eastAsia="zh-CN"/>
              </w:rPr>
              <w:t>医艺要求</w:t>
            </w:r>
          </w:p>
          <w:p w14:paraId="4FAABBD5">
            <w:pPr>
              <w:snapToGrid w:val="0"/>
              <w:jc w:val="center"/>
              <w:rPr>
                <w:rFonts w:hint="eastAsia"/>
                <w:color w:val="auto"/>
                <w:sz w:val="18"/>
                <w:szCs w:val="18"/>
                <w:highlight w:val="none"/>
              </w:rPr>
            </w:pPr>
            <w:r>
              <w:rPr>
                <w:rFonts w:hint="eastAsia"/>
                <w:bCs/>
                <w:color w:val="auto"/>
                <w:sz w:val="21"/>
                <w:szCs w:val="21"/>
                <w:highlight w:val="none"/>
                <w:lang w:eastAsia="zh-CN"/>
              </w:rPr>
              <w:t>（</w:t>
            </w:r>
            <w:r>
              <w:rPr>
                <w:rFonts w:hint="eastAsia"/>
                <w:bCs/>
                <w:color w:val="auto"/>
                <w:sz w:val="21"/>
                <w:szCs w:val="21"/>
                <w:highlight w:val="none"/>
                <w:lang w:val="en-US" w:eastAsia="zh-CN"/>
              </w:rPr>
              <w:t>20分</w:t>
            </w:r>
            <w:r>
              <w:rPr>
                <w:rFonts w:hint="eastAsia"/>
                <w:bCs/>
                <w:color w:val="auto"/>
                <w:sz w:val="21"/>
                <w:szCs w:val="21"/>
                <w:highlight w:val="none"/>
                <w:lang w:eastAsia="zh-CN"/>
              </w:rPr>
              <w:t>）</w:t>
            </w:r>
          </w:p>
        </w:tc>
        <w:tc>
          <w:tcPr>
            <w:tcW w:w="5721" w:type="dxa"/>
            <w:tcBorders>
              <w:top w:val="single" w:color="auto" w:sz="4" w:space="0"/>
              <w:left w:val="single" w:color="auto" w:sz="4" w:space="0"/>
              <w:bottom w:val="single" w:color="auto" w:sz="4" w:space="0"/>
              <w:right w:val="single" w:color="auto" w:sz="4" w:space="0"/>
            </w:tcBorders>
            <w:vAlign w:val="center"/>
          </w:tcPr>
          <w:p w14:paraId="57803BAE">
            <w:pPr>
              <w:snapToGrid w:val="0"/>
              <w:spacing w:after="78" w:afterLines="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针对洁净空调系统等关键公用工程提供</w:t>
            </w:r>
            <w:r>
              <w:rPr>
                <w:rFonts w:hint="eastAsia" w:ascii="宋体" w:hAnsi="宋体" w:cs="宋体"/>
                <w:color w:val="auto"/>
                <w:szCs w:val="21"/>
                <w:highlight w:val="none"/>
              </w:rPr>
              <w:t>相应</w:t>
            </w:r>
            <w:r>
              <w:rPr>
                <w:rFonts w:hint="eastAsia" w:ascii="宋体" w:hAnsi="宋体" w:cs="宋体"/>
                <w:color w:val="auto"/>
                <w:szCs w:val="21"/>
                <w:highlight w:val="none"/>
                <w:lang w:val="en-US" w:eastAsia="zh-CN"/>
              </w:rPr>
              <w:t>设计</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lang w:val="en-US" w:eastAsia="zh-CN"/>
              </w:rPr>
              <w:t>。</w:t>
            </w:r>
          </w:p>
          <w:p w14:paraId="13335622">
            <w:pPr>
              <w:snapToGrid w:val="0"/>
              <w:spacing w:after="78" w:afterLines="25"/>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[优]</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提出的</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合理、可行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可操作性强</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0F3F2A2E">
            <w:pPr>
              <w:snapToGrid w:val="0"/>
              <w:spacing w:after="78" w:afterLines="25"/>
              <w:jc w:val="left"/>
              <w:rPr>
                <w:rFonts w:hint="eastAsia" w:ascii="宋体" w:hAnsi="宋体" w:cs="宋体"/>
                <w:color w:val="auto"/>
                <w:szCs w:val="21"/>
                <w:highlight w:val="none"/>
                <w:lang w:eastAsia="zh-CN"/>
              </w:rPr>
            </w:pPr>
            <w:r>
              <w:rPr>
                <w:rFonts w:hint="eastAsia" w:ascii="宋体" w:hAnsi="宋体" w:cs="宋体"/>
                <w:color w:val="auto"/>
                <w:szCs w:val="21"/>
                <w:highlight w:val="none"/>
              </w:rPr>
              <w:t>[良]</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w:t>
            </w:r>
            <w:r>
              <w:rPr>
                <w:rFonts w:hint="eastAsia" w:ascii="宋体" w:hAnsi="宋体" w:cs="宋体"/>
                <w:color w:val="auto"/>
                <w:szCs w:val="21"/>
                <w:highlight w:val="none"/>
                <w:lang w:val="en-US" w:eastAsia="zh-CN"/>
              </w:rPr>
              <w:t>的</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性一般</w:t>
            </w:r>
            <w:r>
              <w:rPr>
                <w:rFonts w:hint="eastAsia" w:ascii="宋体" w:hAnsi="宋体" w:cs="宋体"/>
                <w:color w:val="auto"/>
                <w:szCs w:val="21"/>
                <w:highlight w:val="none"/>
              </w:rPr>
              <w:t>、可行</w:t>
            </w:r>
            <w:r>
              <w:rPr>
                <w:rFonts w:hint="eastAsia" w:ascii="宋体" w:hAnsi="宋体" w:cs="宋体"/>
                <w:color w:val="auto"/>
                <w:szCs w:val="21"/>
                <w:highlight w:val="none"/>
                <w:lang w:val="en-US" w:eastAsia="zh-CN"/>
              </w:rPr>
              <w:t>性一般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可操作性一般</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61CE151A">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w:t>
            </w:r>
            <w:r>
              <w:rPr>
                <w:rFonts w:hint="eastAsia" w:ascii="宋体" w:hAnsi="宋体" w:cs="宋体"/>
                <w:color w:val="auto"/>
                <w:szCs w:val="21"/>
                <w:highlight w:val="none"/>
                <w:lang w:val="en-US" w:eastAsia="zh-CN"/>
              </w:rPr>
              <w:t>的</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较</w:t>
            </w:r>
            <w:r>
              <w:rPr>
                <w:rFonts w:hint="eastAsia" w:ascii="宋体" w:hAnsi="宋体" w:cs="宋体"/>
                <w:color w:val="auto"/>
                <w:szCs w:val="21"/>
                <w:highlight w:val="none"/>
              </w:rPr>
              <w:t>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操作难道较大</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0A4D4F00">
            <w:pPr>
              <w:snapToGrid w:val="0"/>
              <w:spacing w:after="78" w:afterLines="25"/>
              <w:jc w:val="left"/>
              <w:rPr>
                <w:rFonts w:hint="eastAsia" w:ascii="宋体" w:hAnsi="宋体" w:cs="宋体"/>
                <w:color w:val="auto"/>
                <w:sz w:val="18"/>
                <w:szCs w:val="18"/>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针对上述问题，</w:t>
            </w:r>
            <w:r>
              <w:rPr>
                <w:rFonts w:hint="eastAsia" w:ascii="宋体" w:hAnsi="宋体" w:cs="宋体"/>
                <w:color w:val="auto"/>
                <w:szCs w:val="21"/>
                <w:highlight w:val="none"/>
              </w:rPr>
              <w:t>提出</w:t>
            </w:r>
            <w:r>
              <w:rPr>
                <w:rFonts w:hint="eastAsia" w:ascii="宋体" w:hAnsi="宋体" w:cs="宋体"/>
                <w:color w:val="auto"/>
                <w:szCs w:val="21"/>
                <w:highlight w:val="none"/>
                <w:lang w:val="en-US" w:eastAsia="zh-CN"/>
              </w:rPr>
              <w:t>的</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难以操作</w:t>
            </w:r>
            <w:r>
              <w:rPr>
                <w:rFonts w:hint="eastAsia" w:ascii="宋体" w:hAnsi="宋体" w:cs="宋体"/>
                <w:color w:val="auto"/>
                <w:szCs w:val="21"/>
                <w:highlight w:val="none"/>
                <w:lang w:eastAsia="zh-CN"/>
              </w:rPr>
              <w:t>；</w:t>
            </w:r>
            <w:r>
              <w:rPr>
                <w:rFonts w:hint="eastAsia" w:ascii="宋体" w:hAnsi="宋体" w:cs="宋体"/>
                <w:color w:val="auto"/>
                <w:szCs w:val="21"/>
                <w:highlight w:val="none"/>
              </w:rPr>
              <w:t>，得0分。</w:t>
            </w:r>
          </w:p>
        </w:tc>
      </w:tr>
      <w:tr w14:paraId="0D390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629CF0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4CCD0786">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8EE57A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品质提升</w:t>
            </w:r>
            <w:r>
              <w:rPr>
                <w:rFonts w:hint="eastAsia" w:ascii="宋体" w:hAnsi="宋体" w:cs="宋体"/>
                <w:strike w:val="0"/>
                <w:color w:val="auto"/>
                <w:szCs w:val="21"/>
                <w:highlight w:val="none"/>
                <w:lang w:val="en-US" w:eastAsia="zh-CN"/>
              </w:rPr>
              <w:t>思路</w:t>
            </w:r>
          </w:p>
          <w:p w14:paraId="0BB19B89">
            <w:pPr>
              <w:jc w:val="cente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4EECF835">
            <w:pPr>
              <w:snapToGrid w:val="0"/>
              <w:jc w:val="center"/>
              <w:rPr>
                <w:rFonts w:hint="eastAsia" w:ascii="宋体" w:hAnsi="宋体" w:cs="宋体"/>
                <w:color w:val="auto"/>
                <w:szCs w:val="21"/>
                <w:highlight w:val="none"/>
              </w:rPr>
            </w:pPr>
          </w:p>
        </w:tc>
        <w:tc>
          <w:tcPr>
            <w:tcW w:w="5721" w:type="dxa"/>
            <w:tcBorders>
              <w:top w:val="single" w:color="auto" w:sz="4" w:space="0"/>
              <w:left w:val="single" w:color="auto" w:sz="4" w:space="0"/>
              <w:bottom w:val="single" w:color="auto" w:sz="4" w:space="0"/>
              <w:right w:val="single" w:color="auto" w:sz="4" w:space="0"/>
            </w:tcBorders>
            <w:vAlign w:val="center"/>
          </w:tcPr>
          <w:p w14:paraId="123E0D66">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品质提升显著，对内部装修、各功能间的主要功能空间</w:t>
            </w:r>
            <w:r>
              <w:rPr>
                <w:rFonts w:hint="eastAsia" w:ascii="宋体" w:hAnsi="宋体" w:cs="宋体"/>
                <w:color w:val="auto"/>
                <w:szCs w:val="21"/>
                <w:highlight w:val="none"/>
                <w:lang w:val="en-US" w:eastAsia="zh-CN"/>
              </w:rPr>
              <w:t>编写设计实施</w:t>
            </w:r>
            <w:r>
              <w:rPr>
                <w:rFonts w:hint="eastAsia" w:ascii="宋体" w:hAnsi="宋体" w:cs="宋体"/>
                <w:strike w:val="0"/>
                <w:color w:val="auto"/>
                <w:szCs w:val="21"/>
                <w:highlight w:val="none"/>
                <w:lang w:val="en-US" w:eastAsia="zh-CN"/>
              </w:rPr>
              <w:t>思路</w:t>
            </w:r>
            <w:r>
              <w:rPr>
                <w:rFonts w:hint="eastAsia" w:ascii="宋体" w:hAnsi="宋体" w:cs="宋体"/>
                <w:color w:val="auto"/>
                <w:szCs w:val="21"/>
                <w:highlight w:val="none"/>
              </w:rPr>
              <w:t>。</w:t>
            </w:r>
          </w:p>
          <w:p w14:paraId="06DBB512">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[优]品质提升显著，体现了高水平的建筑设计和施工工艺，提升了制剂室的整体形象，得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49EF845A">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[良]品质提升较为明显，但可能在某些方面存在不足，得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7B77A156">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[中]品质提升一般，设计不够精致，存在瑕疵或不足，得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31E01770">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[差]品质提升不明显，设计粗糙，影响了制剂室的整体形象，得0分。</w:t>
            </w:r>
          </w:p>
        </w:tc>
      </w:tr>
      <w:tr w14:paraId="7C17A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restart"/>
            <w:tcBorders>
              <w:top w:val="single" w:color="auto" w:sz="4" w:space="0"/>
              <w:right w:val="single" w:color="auto" w:sz="4" w:space="0"/>
            </w:tcBorders>
            <w:vAlign w:val="center"/>
          </w:tcPr>
          <w:p w14:paraId="0ED28EA4">
            <w:pPr>
              <w:snapToGrid w:val="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05" w:type="dxa"/>
            <w:vMerge w:val="restart"/>
            <w:tcBorders>
              <w:top w:val="single" w:color="auto" w:sz="4" w:space="0"/>
              <w:right w:val="single" w:color="auto" w:sz="4" w:space="0"/>
            </w:tcBorders>
            <w:vAlign w:val="center"/>
          </w:tcPr>
          <w:p w14:paraId="603DFAF5">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p w14:paraId="6274F57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966" w:type="dxa"/>
            <w:vMerge w:val="restart"/>
            <w:tcBorders>
              <w:top w:val="single" w:color="auto" w:sz="4" w:space="0"/>
              <w:left w:val="single" w:color="auto" w:sz="4" w:space="0"/>
              <w:right w:val="single" w:color="auto" w:sz="4" w:space="0"/>
            </w:tcBorders>
            <w:vAlign w:val="center"/>
          </w:tcPr>
          <w:p w14:paraId="7D17442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企业资信</w:t>
            </w:r>
          </w:p>
          <w:p w14:paraId="04D8A1BF">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highlight w:val="none"/>
              </w:rPr>
              <w:t>（36分）</w:t>
            </w:r>
          </w:p>
        </w:tc>
        <w:tc>
          <w:tcPr>
            <w:tcW w:w="1459" w:type="dxa"/>
            <w:vMerge w:val="restart"/>
            <w:tcBorders>
              <w:top w:val="single" w:color="auto" w:sz="4" w:space="0"/>
              <w:left w:val="single" w:color="auto" w:sz="4" w:space="0"/>
              <w:right w:val="single" w:color="auto" w:sz="4" w:space="0"/>
            </w:tcBorders>
            <w:vAlign w:val="center"/>
          </w:tcPr>
          <w:p w14:paraId="05B877F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企业业绩</w:t>
            </w:r>
          </w:p>
          <w:p w14:paraId="1EAD720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（6分）</w:t>
            </w:r>
          </w:p>
        </w:tc>
        <w:tc>
          <w:tcPr>
            <w:tcW w:w="5721" w:type="dxa"/>
            <w:tcBorders>
              <w:top w:val="single" w:color="auto" w:sz="4" w:space="0"/>
              <w:left w:val="single" w:color="auto" w:sz="4" w:space="0"/>
              <w:bottom w:val="single" w:color="auto" w:sz="4" w:space="0"/>
              <w:right w:val="single" w:color="auto" w:sz="4" w:space="0"/>
            </w:tcBorders>
            <w:vAlign w:val="center"/>
          </w:tcPr>
          <w:p w14:paraId="296E7D9D">
            <w:pPr>
              <w:rPr>
                <w:rFonts w:hint="eastAsia" w:ascii="宋体" w:hAnsi="宋体"/>
                <w:b/>
                <w:color w:val="auto"/>
                <w:szCs w:val="21"/>
                <w:highlight w:val="none"/>
              </w:rPr>
            </w:pPr>
            <w:r>
              <w:rPr>
                <w:rFonts w:hint="eastAsia" w:ascii="宋体" w:hAnsi="宋体"/>
                <w:b/>
                <w:bCs/>
                <w:color w:val="auto"/>
                <w:szCs w:val="21"/>
                <w:highlight w:val="none"/>
              </w:rPr>
              <w:t>施工业绩：</w:t>
            </w:r>
            <w:r>
              <w:rPr>
                <w:rFonts w:hint="eastAsia" w:ascii="宋体" w:hAnsi="宋体"/>
                <w:color w:val="auto"/>
                <w:szCs w:val="21"/>
                <w:highlight w:val="none"/>
              </w:rPr>
              <w:t>投标人（联合体投标的，指联合体主办方）2022年1月1日至投标截止时间止，完成过质量合格的类似项目业绩。每项得0.5分。（本项最高得3分）</w:t>
            </w:r>
          </w:p>
        </w:tc>
      </w:tr>
      <w:tr w14:paraId="0A0AC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continue"/>
            <w:tcBorders>
              <w:top w:val="single" w:color="auto" w:sz="4" w:space="0"/>
              <w:right w:val="single" w:color="auto" w:sz="4" w:space="0"/>
            </w:tcBorders>
            <w:vAlign w:val="center"/>
          </w:tcPr>
          <w:p w14:paraId="009403EE">
            <w:pPr>
              <w:snapToGrid w:val="0"/>
              <w:ind w:left="-53" w:leftChars="-25" w:right="-53" w:rightChars="-25"/>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vAlign w:val="center"/>
          </w:tcPr>
          <w:p w14:paraId="49678306">
            <w:pPr>
              <w:snapToGrid w:val="0"/>
              <w:ind w:left="-53" w:leftChars="-25" w:right="-53" w:rightChars="-25"/>
              <w:jc w:val="center"/>
              <w:rPr>
                <w:rFonts w:hint="eastAsia" w:ascii="宋体" w:hAnsi="宋体" w:cs="宋体"/>
                <w:color w:val="auto"/>
                <w:szCs w:val="21"/>
                <w:highlight w:val="none"/>
              </w:rPr>
            </w:pPr>
          </w:p>
        </w:tc>
        <w:tc>
          <w:tcPr>
            <w:tcW w:w="966" w:type="dxa"/>
            <w:vMerge w:val="continue"/>
            <w:tcBorders>
              <w:top w:val="single" w:color="auto" w:sz="4" w:space="0"/>
              <w:left w:val="single" w:color="auto" w:sz="4" w:space="0"/>
              <w:right w:val="single" w:color="auto" w:sz="4" w:space="0"/>
            </w:tcBorders>
            <w:vAlign w:val="center"/>
          </w:tcPr>
          <w:p w14:paraId="231A548D">
            <w:pPr>
              <w:snapToGrid w:val="0"/>
              <w:ind w:left="-53" w:leftChars="-25" w:right="-53" w:rightChars="-25"/>
              <w:jc w:val="center"/>
              <w:rPr>
                <w:rFonts w:hint="eastAsia" w:ascii="宋体" w:hAnsi="宋体" w:cs="宋体"/>
                <w:color w:val="auto"/>
                <w:highlight w:val="none"/>
              </w:rPr>
            </w:pPr>
          </w:p>
        </w:tc>
        <w:tc>
          <w:tcPr>
            <w:tcW w:w="1459" w:type="dxa"/>
            <w:vMerge w:val="continue"/>
            <w:tcBorders>
              <w:left w:val="single" w:color="auto" w:sz="4" w:space="0"/>
              <w:right w:val="single" w:color="auto" w:sz="4" w:space="0"/>
            </w:tcBorders>
            <w:vAlign w:val="center"/>
          </w:tcPr>
          <w:p w14:paraId="442A5C38">
            <w:pPr>
              <w:snapToGrid w:val="0"/>
              <w:ind w:left="-53" w:leftChars="-25" w:right="-53" w:rightChars="-25"/>
              <w:jc w:val="center"/>
              <w:rPr>
                <w:rFonts w:hint="eastAsia" w:ascii="宋体" w:hAnsi="宋体" w:cs="宋体"/>
                <w:color w:val="auto"/>
                <w:highlight w:val="none"/>
              </w:rPr>
            </w:pPr>
          </w:p>
        </w:tc>
        <w:tc>
          <w:tcPr>
            <w:tcW w:w="5721" w:type="dxa"/>
            <w:tcBorders>
              <w:top w:val="single" w:color="auto" w:sz="4" w:space="0"/>
              <w:left w:val="single" w:color="auto" w:sz="4" w:space="0"/>
              <w:bottom w:val="single" w:color="auto" w:sz="4" w:space="0"/>
              <w:right w:val="single" w:color="auto" w:sz="4" w:space="0"/>
            </w:tcBorders>
            <w:vAlign w:val="center"/>
          </w:tcPr>
          <w:p w14:paraId="2820B69F">
            <w:pPr>
              <w:snapToGrid w:val="0"/>
              <w:rPr>
                <w:rFonts w:hint="eastAsia" w:ascii="宋体" w:hAnsi="宋体"/>
                <w:b/>
                <w:bCs/>
                <w:color w:val="auto"/>
                <w:szCs w:val="21"/>
                <w:highlight w:val="none"/>
              </w:rPr>
            </w:pPr>
            <w:r>
              <w:rPr>
                <w:rFonts w:hint="eastAsia" w:ascii="宋体" w:hAnsi="宋体"/>
                <w:color w:val="auto"/>
                <w:szCs w:val="21"/>
                <w:highlight w:val="none"/>
              </w:rPr>
              <w:t>设计业绩：投标人（若为联合体，指联合体设计方）自2022年1月1日至投标截止，承接过类似工程项目中的设计业绩，每项得0.5分。（本项最高得3分）</w:t>
            </w:r>
          </w:p>
        </w:tc>
      </w:tr>
      <w:tr w14:paraId="3277F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08A882F2">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vAlign w:val="center"/>
          </w:tcPr>
          <w:p w14:paraId="1233FB69">
            <w:pPr>
              <w:snapToGrid w:val="0"/>
              <w:ind w:left="-53" w:leftChars="-25" w:right="-53" w:rightChars="-25"/>
              <w:jc w:val="center"/>
              <w:rPr>
                <w:rFonts w:hint="eastAsia" w:ascii="宋体" w:hAnsi="宋体" w:cs="宋体"/>
                <w:color w:val="auto"/>
                <w:szCs w:val="21"/>
                <w:highlight w:val="none"/>
              </w:rPr>
            </w:pPr>
          </w:p>
        </w:tc>
        <w:tc>
          <w:tcPr>
            <w:tcW w:w="966" w:type="dxa"/>
            <w:vMerge w:val="continue"/>
            <w:tcBorders>
              <w:left w:val="single" w:color="auto" w:sz="4" w:space="0"/>
              <w:right w:val="single" w:color="auto" w:sz="4" w:space="0"/>
            </w:tcBorders>
            <w:vAlign w:val="center"/>
          </w:tcPr>
          <w:p w14:paraId="0D4ECC51">
            <w:pPr>
              <w:snapToGrid w:val="0"/>
              <w:ind w:left="-53" w:leftChars="-25" w:right="-53" w:rightChars="-25"/>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vAlign w:val="center"/>
          </w:tcPr>
          <w:p w14:paraId="1D8D7881">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工程获奖</w:t>
            </w:r>
          </w:p>
          <w:p w14:paraId="653B721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5721" w:type="dxa"/>
            <w:tcBorders>
              <w:top w:val="single" w:color="auto" w:sz="4" w:space="0"/>
              <w:left w:val="single" w:color="auto" w:sz="4" w:space="0"/>
              <w:bottom w:val="single" w:color="auto" w:sz="4" w:space="0"/>
              <w:right w:val="single" w:color="auto" w:sz="4" w:space="0"/>
            </w:tcBorders>
            <w:vAlign w:val="center"/>
          </w:tcPr>
          <w:p w14:paraId="4B05726B">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投标人（若为联合体，指联合体主办方）自2022年1月1日至投标截止，完成过的建筑工程类（含建筑装饰类）项目获得工程质量奖项的：国家级奖项，每项得</w:t>
            </w:r>
            <w:r>
              <w:rPr>
                <w:rFonts w:hint="eastAsia" w:ascii="宋体" w:hAnsi="宋体"/>
                <w:color w:val="auto"/>
                <w:szCs w:val="21"/>
                <w:highlight w:val="none"/>
                <w:lang w:val="en-US" w:eastAsia="zh-CN"/>
              </w:rPr>
              <w:t>2.5</w:t>
            </w:r>
            <w:r>
              <w:rPr>
                <w:rFonts w:hint="eastAsia" w:ascii="宋体" w:hAnsi="宋体"/>
                <w:color w:val="auto"/>
                <w:szCs w:val="21"/>
                <w:highlight w:val="none"/>
              </w:rPr>
              <w:t>分；省级奖项，每项得</w:t>
            </w:r>
            <w:r>
              <w:rPr>
                <w:rFonts w:hint="eastAsia" w:ascii="宋体" w:hAnsi="宋体"/>
                <w:color w:val="auto"/>
                <w:szCs w:val="21"/>
                <w:highlight w:val="none"/>
                <w:lang w:val="en-US" w:eastAsia="zh-CN"/>
              </w:rPr>
              <w:t>2</w:t>
            </w:r>
            <w:r>
              <w:rPr>
                <w:rFonts w:hint="eastAsia" w:ascii="宋体" w:hAnsi="宋体"/>
                <w:color w:val="auto"/>
                <w:szCs w:val="21"/>
                <w:highlight w:val="none"/>
              </w:rPr>
              <w:t>分；市级奖项，每项得</w:t>
            </w:r>
            <w:r>
              <w:rPr>
                <w:rFonts w:hint="eastAsia" w:ascii="宋体" w:hAnsi="宋体"/>
                <w:color w:val="auto"/>
                <w:szCs w:val="21"/>
                <w:highlight w:val="none"/>
                <w:lang w:val="en-US" w:eastAsia="zh-CN"/>
              </w:rPr>
              <w:t>1</w:t>
            </w:r>
            <w:r>
              <w:rPr>
                <w:rFonts w:hint="eastAsia" w:ascii="宋体" w:hAnsi="宋体"/>
                <w:color w:val="auto"/>
                <w:szCs w:val="21"/>
                <w:highlight w:val="none"/>
              </w:rPr>
              <w:t>分。（本项最高得5分）</w:t>
            </w:r>
          </w:p>
        </w:tc>
      </w:tr>
      <w:tr w14:paraId="0AB17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452" w:hRule="atLeast"/>
          <w:jc w:val="center"/>
        </w:trPr>
        <w:tc>
          <w:tcPr>
            <w:tcW w:w="676" w:type="dxa"/>
            <w:vMerge w:val="continue"/>
            <w:tcBorders>
              <w:right w:val="single" w:color="auto" w:sz="4" w:space="0"/>
            </w:tcBorders>
            <w:vAlign w:val="center"/>
          </w:tcPr>
          <w:p w14:paraId="50B00FD6">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41F63E01">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1A7563E2">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vAlign w:val="center"/>
          </w:tcPr>
          <w:p w14:paraId="150ED034">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工程研发能力</w:t>
            </w:r>
          </w:p>
          <w:p w14:paraId="796B119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5721" w:type="dxa"/>
            <w:tcBorders>
              <w:top w:val="single" w:color="auto" w:sz="4" w:space="0"/>
              <w:left w:val="single" w:color="auto" w:sz="4" w:space="0"/>
              <w:bottom w:val="single" w:color="auto" w:sz="4" w:space="0"/>
              <w:right w:val="single" w:color="auto" w:sz="4" w:space="0"/>
            </w:tcBorders>
            <w:vAlign w:val="center"/>
          </w:tcPr>
          <w:p w14:paraId="76789F84">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投标人（若为联合体，指联合体主办方）自2022年1月1日至投标截止，获得过省级（或以上）“房建”类工法证书的每项得1分，本项最高5分。</w:t>
            </w:r>
          </w:p>
        </w:tc>
      </w:tr>
      <w:tr w14:paraId="0C1F2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504" w:hRule="atLeast"/>
          <w:jc w:val="center"/>
        </w:trPr>
        <w:tc>
          <w:tcPr>
            <w:tcW w:w="676" w:type="dxa"/>
            <w:vMerge w:val="continue"/>
            <w:tcBorders>
              <w:right w:val="single" w:color="auto" w:sz="4" w:space="0"/>
            </w:tcBorders>
            <w:vAlign w:val="center"/>
          </w:tcPr>
          <w:p w14:paraId="0C87F400">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09009ED2">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581BBFFC">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vAlign w:val="center"/>
          </w:tcPr>
          <w:p w14:paraId="42DE344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第三方评价</w:t>
            </w:r>
          </w:p>
          <w:p w14:paraId="1C6D30F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（4分）</w:t>
            </w:r>
          </w:p>
        </w:tc>
        <w:tc>
          <w:tcPr>
            <w:tcW w:w="5721" w:type="dxa"/>
            <w:tcBorders>
              <w:top w:val="single" w:color="auto" w:sz="4" w:space="0"/>
              <w:left w:val="single" w:color="auto" w:sz="4" w:space="0"/>
              <w:bottom w:val="single" w:color="auto" w:sz="4" w:space="0"/>
              <w:right w:val="single" w:color="auto" w:sz="4" w:space="0"/>
            </w:tcBorders>
            <w:vAlign w:val="center"/>
          </w:tcPr>
          <w:p w14:paraId="11F3E46B">
            <w:pPr>
              <w:snapToGrid w:val="0"/>
              <w:spacing w:after="78" w:afterLines="25"/>
              <w:rPr>
                <w:rFonts w:hint="eastAsia" w:ascii="宋体" w:hAnsi="宋体"/>
                <w:color w:val="auto"/>
                <w:szCs w:val="21"/>
                <w:highlight w:val="none"/>
              </w:rPr>
            </w:pPr>
            <w:r>
              <w:rPr>
                <w:rFonts w:hint="eastAsia" w:ascii="宋体" w:hAnsi="宋体"/>
                <w:color w:val="auto"/>
                <w:szCs w:val="21"/>
                <w:highlight w:val="none"/>
              </w:rPr>
              <w:t>投标人（若为联合体，指联合体主办方）具有有效期内的质量管理体系认证、环境管理体系认证、职业健康安全管理体系认证情况：</w:t>
            </w:r>
          </w:p>
          <w:p w14:paraId="3F22F5D1">
            <w:pPr>
              <w:snapToGrid w:val="0"/>
              <w:rPr>
                <w:rFonts w:hint="eastAsia" w:ascii="宋体" w:hAnsi="宋体"/>
                <w:color w:val="auto"/>
                <w:szCs w:val="21"/>
                <w:highlight w:val="none"/>
              </w:rPr>
            </w:pPr>
            <w:r>
              <w:rPr>
                <w:rFonts w:hint="eastAsia" w:ascii="宋体" w:hAnsi="宋体"/>
                <w:b/>
                <w:bCs/>
                <w:color w:val="auto"/>
                <w:szCs w:val="21"/>
                <w:highlight w:val="none"/>
              </w:rPr>
              <w:t>[优]</w:t>
            </w:r>
            <w:r>
              <w:rPr>
                <w:rFonts w:hint="eastAsia" w:ascii="宋体" w:hAnsi="宋体"/>
                <w:color w:val="auto"/>
                <w:szCs w:val="21"/>
                <w:highlight w:val="none"/>
              </w:rPr>
              <w:t xml:space="preserve"> 获得3项的，得4分；</w:t>
            </w:r>
          </w:p>
          <w:p w14:paraId="7D493798">
            <w:pPr>
              <w:snapToGrid w:val="0"/>
              <w:rPr>
                <w:rFonts w:hint="eastAsia" w:ascii="宋体" w:hAnsi="宋体"/>
                <w:color w:val="auto"/>
                <w:szCs w:val="21"/>
                <w:highlight w:val="none"/>
              </w:rPr>
            </w:pPr>
            <w:r>
              <w:rPr>
                <w:rFonts w:hint="eastAsia" w:ascii="宋体" w:hAnsi="宋体"/>
                <w:b/>
                <w:bCs/>
                <w:color w:val="auto"/>
                <w:szCs w:val="21"/>
                <w:highlight w:val="none"/>
              </w:rPr>
              <w:t xml:space="preserve">[良] </w:t>
            </w:r>
            <w:r>
              <w:rPr>
                <w:rFonts w:hint="eastAsia" w:ascii="宋体" w:hAnsi="宋体"/>
                <w:color w:val="auto"/>
                <w:szCs w:val="21"/>
                <w:highlight w:val="none"/>
              </w:rPr>
              <w:t>获得2项的，得3分；</w:t>
            </w:r>
          </w:p>
          <w:p w14:paraId="1F0E9863">
            <w:pPr>
              <w:snapToGrid w:val="0"/>
              <w:rPr>
                <w:rFonts w:hint="eastAsia" w:ascii="宋体" w:hAnsi="宋体"/>
                <w:color w:val="auto"/>
                <w:szCs w:val="21"/>
                <w:highlight w:val="none"/>
              </w:rPr>
            </w:pPr>
            <w:r>
              <w:rPr>
                <w:rFonts w:hint="eastAsia" w:ascii="宋体" w:hAnsi="宋体"/>
                <w:b/>
                <w:bCs/>
                <w:color w:val="auto"/>
                <w:szCs w:val="21"/>
                <w:highlight w:val="none"/>
              </w:rPr>
              <w:t xml:space="preserve">[中] </w:t>
            </w:r>
            <w:r>
              <w:rPr>
                <w:rFonts w:hint="eastAsia" w:ascii="宋体" w:hAnsi="宋体"/>
                <w:color w:val="auto"/>
                <w:szCs w:val="21"/>
                <w:highlight w:val="none"/>
              </w:rPr>
              <w:t>获得1项的，得2分；</w:t>
            </w:r>
          </w:p>
          <w:p w14:paraId="742C0EFC">
            <w:pPr>
              <w:snapToGrid w:val="0"/>
              <w:rPr>
                <w:rFonts w:hint="eastAsia" w:ascii="宋体" w:hAnsi="宋体"/>
                <w:color w:val="auto"/>
                <w:szCs w:val="21"/>
                <w:highlight w:val="none"/>
              </w:rPr>
            </w:pPr>
            <w:r>
              <w:rPr>
                <w:rFonts w:hint="eastAsia" w:ascii="宋体" w:hAnsi="宋体"/>
                <w:b/>
                <w:bCs/>
                <w:color w:val="auto"/>
                <w:szCs w:val="21"/>
                <w:highlight w:val="none"/>
              </w:rPr>
              <w:t>[差]</w:t>
            </w:r>
            <w:r>
              <w:rPr>
                <w:rFonts w:hint="eastAsia" w:ascii="宋体" w:hAnsi="宋体"/>
                <w:color w:val="auto"/>
                <w:szCs w:val="21"/>
                <w:highlight w:val="none"/>
              </w:rPr>
              <w:t xml:space="preserve"> 获得0项的，得0分。</w:t>
            </w:r>
          </w:p>
        </w:tc>
      </w:tr>
      <w:tr w14:paraId="620A6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25" w:hRule="atLeast"/>
          <w:jc w:val="center"/>
        </w:trPr>
        <w:tc>
          <w:tcPr>
            <w:tcW w:w="676" w:type="dxa"/>
            <w:vMerge w:val="continue"/>
            <w:tcBorders>
              <w:right w:val="single" w:color="auto" w:sz="4" w:space="0"/>
            </w:tcBorders>
            <w:vAlign w:val="center"/>
          </w:tcPr>
          <w:p w14:paraId="32D513DD">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6D073F2">
            <w:pPr>
              <w:snapToGrid w:val="0"/>
              <w:ind w:left="-53" w:leftChars="-25" w:right="-53" w:rightChars="-25"/>
              <w:jc w:val="center"/>
              <w:rPr>
                <w:rFonts w:hint="eastAsia" w:ascii="宋体" w:hAnsi="宋体" w:cs="宋体"/>
                <w:color w:val="auto"/>
                <w:highlight w:val="none"/>
              </w:rPr>
            </w:pPr>
          </w:p>
        </w:tc>
        <w:tc>
          <w:tcPr>
            <w:tcW w:w="966" w:type="dxa"/>
            <w:tcBorders>
              <w:left w:val="single" w:color="auto" w:sz="4" w:space="0"/>
              <w:right w:val="single" w:color="auto" w:sz="4" w:space="0"/>
            </w:tcBorders>
            <w:vAlign w:val="center"/>
          </w:tcPr>
          <w:p w14:paraId="592695B1">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vAlign w:val="center"/>
          </w:tcPr>
          <w:p w14:paraId="486F2C31">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项目团队配备</w:t>
            </w:r>
          </w:p>
          <w:p w14:paraId="67B8BA3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（16分）</w:t>
            </w:r>
          </w:p>
        </w:tc>
        <w:tc>
          <w:tcPr>
            <w:tcW w:w="5721" w:type="dxa"/>
            <w:tcBorders>
              <w:top w:val="single" w:color="auto" w:sz="4" w:space="0"/>
              <w:left w:val="single" w:color="auto" w:sz="4" w:space="0"/>
              <w:bottom w:val="single" w:color="auto" w:sz="4" w:space="0"/>
              <w:right w:val="single" w:color="auto" w:sz="4" w:space="0"/>
            </w:tcBorders>
            <w:vAlign w:val="center"/>
          </w:tcPr>
          <w:p w14:paraId="2208C42D">
            <w:pPr>
              <w:snapToGrid w:val="0"/>
              <w:spacing w:after="78" w:afterLines="25"/>
              <w:ind w:left="316" w:right="-53" w:rightChars="-25" w:hanging="316" w:hangingChars="150"/>
              <w:rPr>
                <w:rFonts w:hint="eastAsia" w:ascii="宋体" w:hAnsi="宋体" w:cs="宋体"/>
                <w:b/>
                <w:color w:val="auto"/>
                <w:highlight w:val="none"/>
              </w:rPr>
            </w:pPr>
            <w:r>
              <w:rPr>
                <w:rFonts w:hint="eastAsia" w:ascii="宋体" w:hAnsi="宋体" w:cs="宋体"/>
                <w:b/>
                <w:color w:val="auto"/>
                <w:highlight w:val="none"/>
              </w:rPr>
              <w:t>施工团队（联合体主办方人员）</w:t>
            </w:r>
          </w:p>
          <w:p w14:paraId="455AAC6B">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（1）项目负责人：</w:t>
            </w:r>
          </w:p>
          <w:p w14:paraId="429555F2">
            <w:pPr>
              <w:snapToGrid w:val="0"/>
              <w:spacing w:after="78" w:afterLines="25"/>
              <w:ind w:left="315" w:right="-53" w:rightChars="-25" w:hanging="315" w:hangingChars="150"/>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取得机电类专业高级工程师职称证书得</w:t>
            </w:r>
            <w:r>
              <w:rPr>
                <w:rFonts w:hint="eastAsia" w:ascii="宋体" w:hAnsi="宋体"/>
                <w:color w:val="auto"/>
                <w:highlight w:val="none"/>
                <w:lang w:val="en-US" w:eastAsia="zh-CN"/>
              </w:rPr>
              <w:t>1</w:t>
            </w:r>
            <w:r>
              <w:rPr>
                <w:rFonts w:hint="eastAsia" w:ascii="宋体" w:hAnsi="宋体"/>
                <w:color w:val="auto"/>
                <w:highlight w:val="none"/>
              </w:rPr>
              <w:t>分；取得机电类专业高级工程师职称证书5年以上或机电类专业正高级工程师职称证书得</w:t>
            </w:r>
            <w:r>
              <w:rPr>
                <w:rFonts w:hint="eastAsia" w:ascii="宋体" w:hAnsi="宋体"/>
                <w:color w:val="auto"/>
                <w:highlight w:val="none"/>
                <w:lang w:val="en-US" w:eastAsia="zh-CN"/>
              </w:rPr>
              <w:t>2</w:t>
            </w:r>
            <w:r>
              <w:rPr>
                <w:rFonts w:hint="eastAsia" w:ascii="宋体" w:hAnsi="宋体"/>
                <w:color w:val="auto"/>
                <w:highlight w:val="none"/>
              </w:rPr>
              <w:t>分。（本项最高得</w:t>
            </w:r>
            <w:r>
              <w:rPr>
                <w:rFonts w:hint="eastAsia" w:ascii="宋体" w:hAnsi="宋体"/>
                <w:color w:val="auto"/>
                <w:highlight w:val="none"/>
                <w:lang w:val="en-US" w:eastAsia="zh-CN"/>
              </w:rPr>
              <w:t>2</w:t>
            </w:r>
            <w:r>
              <w:rPr>
                <w:rFonts w:hint="eastAsia" w:ascii="宋体" w:hAnsi="宋体"/>
                <w:color w:val="auto"/>
                <w:highlight w:val="none"/>
              </w:rPr>
              <w:t>分）</w:t>
            </w:r>
          </w:p>
          <w:p w14:paraId="760EECEB">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olor w:val="auto"/>
                <w:highlight w:val="none"/>
              </w:rPr>
              <w:t>②作为项目负责人主持完成过质量合格的建筑工程施工总承包业绩的，得2分。（本项最高得2分）</w:t>
            </w:r>
          </w:p>
          <w:p w14:paraId="35A3E291">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（2）技术负责人：</w:t>
            </w:r>
            <w:r>
              <w:rPr>
                <w:rFonts w:hint="eastAsia" w:ascii="宋体" w:hAnsi="宋体"/>
                <w:color w:val="auto"/>
                <w:highlight w:val="none"/>
              </w:rPr>
              <w:t>取得</w:t>
            </w:r>
            <w:r>
              <w:rPr>
                <w:rFonts w:hint="eastAsia" w:ascii="宋体" w:hAnsi="宋体" w:cs="宋体"/>
                <w:color w:val="auto"/>
                <w:szCs w:val="21"/>
                <w:highlight w:val="none"/>
              </w:rPr>
              <w:t>建筑机电类专业或</w:t>
            </w:r>
            <w:r>
              <w:rPr>
                <w:rFonts w:hint="eastAsia" w:ascii="宋体" w:hAnsi="宋体"/>
                <w:color w:val="auto"/>
                <w:highlight w:val="none"/>
              </w:rPr>
              <w:t>建筑施工类高级工程师职称证书</w:t>
            </w:r>
            <w:r>
              <w:rPr>
                <w:rFonts w:hint="eastAsia" w:ascii="宋体" w:hAnsi="宋体"/>
                <w:color w:val="auto"/>
                <w:highlight w:val="none"/>
                <w:lang w:val="en-US" w:eastAsia="zh-CN"/>
              </w:rPr>
              <w:t>2</w:t>
            </w:r>
            <w:r>
              <w:rPr>
                <w:rFonts w:hint="eastAsia" w:ascii="宋体" w:hAnsi="宋体"/>
                <w:color w:val="auto"/>
                <w:highlight w:val="none"/>
              </w:rPr>
              <w:t>分；取得</w:t>
            </w:r>
            <w:r>
              <w:rPr>
                <w:rFonts w:hint="eastAsia" w:ascii="宋体" w:hAnsi="宋体" w:cs="宋体"/>
                <w:color w:val="auto"/>
                <w:szCs w:val="21"/>
                <w:highlight w:val="none"/>
              </w:rPr>
              <w:t>建筑机电类专业或</w:t>
            </w:r>
            <w:r>
              <w:rPr>
                <w:rFonts w:hint="eastAsia" w:ascii="宋体" w:hAnsi="宋体"/>
                <w:color w:val="auto"/>
                <w:highlight w:val="none"/>
              </w:rPr>
              <w:t>建筑施工类高级工程师职称证书5年以上（含）或</w:t>
            </w:r>
            <w:r>
              <w:rPr>
                <w:rFonts w:hint="eastAsia" w:ascii="宋体" w:hAnsi="宋体" w:cs="宋体"/>
                <w:color w:val="auto"/>
                <w:szCs w:val="21"/>
                <w:highlight w:val="none"/>
              </w:rPr>
              <w:t>建筑机电类专业或</w:t>
            </w:r>
            <w:r>
              <w:rPr>
                <w:rFonts w:hint="eastAsia" w:ascii="宋体" w:hAnsi="宋体"/>
                <w:color w:val="auto"/>
                <w:highlight w:val="none"/>
              </w:rPr>
              <w:t>建筑施工类正高级工程师职称证书得</w:t>
            </w:r>
            <w:r>
              <w:rPr>
                <w:rFonts w:hint="eastAsia" w:ascii="宋体" w:hAnsi="宋体"/>
                <w:color w:val="auto"/>
                <w:highlight w:val="none"/>
                <w:lang w:val="en-US" w:eastAsia="zh-CN"/>
              </w:rPr>
              <w:t>4</w:t>
            </w:r>
            <w:r>
              <w:rPr>
                <w:rFonts w:hint="eastAsia" w:ascii="宋体" w:hAnsi="宋体"/>
                <w:color w:val="auto"/>
                <w:highlight w:val="none"/>
              </w:rPr>
              <w:t>分。（本项最高得</w:t>
            </w:r>
            <w:r>
              <w:rPr>
                <w:rFonts w:hint="eastAsia" w:ascii="宋体" w:hAnsi="宋体"/>
                <w:color w:val="auto"/>
                <w:highlight w:val="none"/>
                <w:lang w:val="en-US" w:eastAsia="zh-CN"/>
              </w:rPr>
              <w:t>4</w:t>
            </w:r>
            <w:r>
              <w:rPr>
                <w:rFonts w:hint="eastAsia" w:ascii="宋体" w:hAnsi="宋体"/>
                <w:color w:val="auto"/>
                <w:highlight w:val="none"/>
              </w:rPr>
              <w:t>分）</w:t>
            </w:r>
          </w:p>
          <w:p w14:paraId="06457B5A">
            <w:pPr>
              <w:snapToGrid w:val="0"/>
              <w:spacing w:after="78" w:afterLines="25"/>
              <w:ind w:left="316" w:right="-53" w:rightChars="-25" w:hanging="316" w:hangingChars="150"/>
              <w:rPr>
                <w:rFonts w:hint="eastAsia" w:ascii="宋体" w:hAnsi="宋体" w:cs="宋体"/>
                <w:color w:val="auto"/>
                <w:highlight w:val="none"/>
              </w:rPr>
            </w:pPr>
            <w:r>
              <w:rPr>
                <w:rFonts w:hint="eastAsia" w:ascii="宋体" w:hAnsi="宋体" w:cs="宋体"/>
                <w:b/>
                <w:color w:val="auto"/>
                <w:highlight w:val="none"/>
              </w:rPr>
              <w:t>设计团队（联合体设计方人员）</w:t>
            </w:r>
          </w:p>
          <w:p w14:paraId="3299E1F2">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（1）设计负责人：</w:t>
            </w:r>
          </w:p>
          <w:p w14:paraId="547DC7DF">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olor w:val="auto"/>
                <w:highlight w:val="none"/>
              </w:rPr>
              <w:t>取得建筑相关专业</w:t>
            </w:r>
            <w:r>
              <w:rPr>
                <w:rFonts w:hint="eastAsia" w:ascii="宋体" w:hAnsi="宋体"/>
                <w:color w:val="auto"/>
                <w:highlight w:val="none"/>
                <w:lang w:val="en-US" w:eastAsia="zh-CN"/>
              </w:rPr>
              <w:t>中</w:t>
            </w:r>
            <w:r>
              <w:rPr>
                <w:rFonts w:hint="eastAsia" w:ascii="宋体" w:hAnsi="宋体"/>
                <w:color w:val="auto"/>
                <w:highlight w:val="none"/>
              </w:rPr>
              <w:t>级工程师职称证书得</w:t>
            </w:r>
            <w:r>
              <w:rPr>
                <w:rFonts w:hint="eastAsia" w:ascii="宋体" w:hAnsi="宋体"/>
                <w:color w:val="auto"/>
                <w:highlight w:val="none"/>
                <w:lang w:val="en-US" w:eastAsia="zh-CN"/>
              </w:rPr>
              <w:t>2</w:t>
            </w:r>
            <w:r>
              <w:rPr>
                <w:rFonts w:hint="eastAsia" w:ascii="宋体" w:hAnsi="宋体"/>
                <w:color w:val="auto"/>
                <w:highlight w:val="none"/>
              </w:rPr>
              <w:t>分；取得建筑相关专业高级工程师职称证书得</w:t>
            </w:r>
            <w:r>
              <w:rPr>
                <w:rFonts w:hint="eastAsia" w:ascii="宋体" w:hAnsi="宋体"/>
                <w:color w:val="auto"/>
                <w:highlight w:val="none"/>
                <w:lang w:val="en-US" w:eastAsia="zh-CN"/>
              </w:rPr>
              <w:t>4</w:t>
            </w:r>
            <w:r>
              <w:rPr>
                <w:rFonts w:hint="eastAsia" w:ascii="宋体" w:hAnsi="宋体"/>
                <w:color w:val="auto"/>
                <w:highlight w:val="none"/>
              </w:rPr>
              <w:t>分。（本项最高得</w:t>
            </w:r>
            <w:r>
              <w:rPr>
                <w:rFonts w:hint="eastAsia" w:ascii="宋体" w:hAnsi="宋体"/>
                <w:color w:val="auto"/>
                <w:highlight w:val="none"/>
                <w:lang w:val="en-US" w:eastAsia="zh-CN"/>
              </w:rPr>
              <w:t>4分</w:t>
            </w:r>
            <w:r>
              <w:rPr>
                <w:rFonts w:hint="eastAsia" w:ascii="宋体" w:hAnsi="宋体"/>
                <w:color w:val="auto"/>
                <w:highlight w:val="none"/>
              </w:rPr>
              <w:t>）</w:t>
            </w:r>
          </w:p>
          <w:p w14:paraId="7869905F">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（2）设计技术负责人：</w:t>
            </w:r>
          </w:p>
          <w:p w14:paraId="60D63C1B">
            <w:pPr>
              <w:pStyle w:val="73"/>
              <w:numPr>
                <w:ilvl w:val="255"/>
                <w:numId w:val="0"/>
              </w:numPr>
              <w:tabs>
                <w:tab w:val="left" w:pos="0"/>
              </w:tabs>
              <w:rPr>
                <w:rFonts w:hint="eastAsia" w:ascii="宋体" w:hAnsi="宋体"/>
                <w:color w:val="auto"/>
                <w:szCs w:val="21"/>
                <w:highlight w:val="none"/>
              </w:rPr>
            </w:pPr>
            <w:r>
              <w:rPr>
                <w:rFonts w:hint="eastAsia" w:ascii="宋体" w:hAnsi="宋体" w:cs="宋体"/>
                <w:color w:val="auto"/>
                <w:highlight w:val="none"/>
              </w:rPr>
              <w:t xml:space="preserve"> </w:t>
            </w:r>
            <w:r>
              <w:rPr>
                <w:rFonts w:hint="eastAsia" w:ascii="宋体" w:hAnsi="宋体"/>
                <w:color w:val="auto"/>
                <w:highlight w:val="none"/>
              </w:rPr>
              <w:t>取得暖通与空调</w:t>
            </w:r>
            <w:r>
              <w:rPr>
                <w:rFonts w:hint="eastAsia" w:ascii="宋体" w:hAnsi="宋体" w:cs="宋体"/>
                <w:color w:val="auto"/>
                <w:highlight w:val="none"/>
              </w:rPr>
              <w:t>类专业</w:t>
            </w:r>
            <w:r>
              <w:rPr>
                <w:rFonts w:hint="eastAsia" w:ascii="宋体" w:hAnsi="宋体"/>
                <w:color w:val="auto"/>
                <w:highlight w:val="none"/>
                <w:lang w:val="en-US" w:eastAsia="zh-CN"/>
              </w:rPr>
              <w:t>中</w:t>
            </w:r>
            <w:r>
              <w:rPr>
                <w:rFonts w:hint="eastAsia" w:ascii="宋体" w:hAnsi="宋体"/>
                <w:color w:val="auto"/>
                <w:highlight w:val="none"/>
              </w:rPr>
              <w:t>级工程师职称证书得</w:t>
            </w:r>
            <w:r>
              <w:rPr>
                <w:rFonts w:hint="eastAsia" w:ascii="宋体" w:hAnsi="宋体"/>
                <w:color w:val="auto"/>
                <w:highlight w:val="none"/>
                <w:lang w:val="en-US" w:eastAsia="zh-CN"/>
              </w:rPr>
              <w:t>2</w:t>
            </w:r>
            <w:r>
              <w:rPr>
                <w:rFonts w:hint="eastAsia" w:ascii="宋体" w:hAnsi="宋体"/>
                <w:color w:val="auto"/>
                <w:highlight w:val="none"/>
              </w:rPr>
              <w:t>分；取得暖通与空调</w:t>
            </w:r>
            <w:r>
              <w:rPr>
                <w:rFonts w:hint="eastAsia" w:ascii="宋体" w:hAnsi="宋体" w:cs="宋体"/>
                <w:color w:val="auto"/>
                <w:highlight w:val="none"/>
              </w:rPr>
              <w:t>类专业</w:t>
            </w:r>
            <w:r>
              <w:rPr>
                <w:rFonts w:hint="eastAsia" w:ascii="宋体" w:hAnsi="宋体"/>
                <w:color w:val="auto"/>
                <w:highlight w:val="none"/>
              </w:rPr>
              <w:t>高级工程师职称证书得</w:t>
            </w:r>
            <w:r>
              <w:rPr>
                <w:rFonts w:hint="eastAsia" w:ascii="宋体" w:hAnsi="宋体"/>
                <w:color w:val="auto"/>
                <w:highlight w:val="none"/>
                <w:lang w:val="en-US" w:eastAsia="zh-CN"/>
              </w:rPr>
              <w:t>4</w:t>
            </w:r>
            <w:r>
              <w:rPr>
                <w:rFonts w:hint="eastAsia" w:ascii="宋体" w:hAnsi="宋体"/>
                <w:color w:val="auto"/>
                <w:highlight w:val="none"/>
              </w:rPr>
              <w:t>分。（本项最高得</w:t>
            </w:r>
            <w:r>
              <w:rPr>
                <w:rFonts w:hint="eastAsia" w:ascii="宋体" w:hAnsi="宋体"/>
                <w:color w:val="auto"/>
                <w:highlight w:val="none"/>
                <w:lang w:val="en-US" w:eastAsia="zh-CN"/>
              </w:rPr>
              <w:t>4</w:t>
            </w:r>
            <w:r>
              <w:rPr>
                <w:rFonts w:hint="eastAsia" w:ascii="宋体" w:hAnsi="宋体"/>
                <w:color w:val="auto"/>
                <w:highlight w:val="none"/>
              </w:rPr>
              <w:t>分）</w:t>
            </w:r>
          </w:p>
        </w:tc>
      </w:tr>
      <w:tr w14:paraId="5767D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FFE561A">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DF0D326">
            <w:pPr>
              <w:snapToGrid w:val="0"/>
              <w:ind w:left="-53" w:leftChars="-25" w:right="-53" w:rightChars="-25"/>
              <w:jc w:val="center"/>
              <w:rPr>
                <w:rFonts w:hint="eastAsia" w:ascii="宋体" w:hAnsi="宋体" w:cs="宋体"/>
                <w:color w:val="auto"/>
                <w:highlight w:val="none"/>
              </w:rPr>
            </w:pPr>
          </w:p>
        </w:tc>
        <w:tc>
          <w:tcPr>
            <w:tcW w:w="966" w:type="dxa"/>
            <w:vMerge w:val="restart"/>
            <w:tcBorders>
              <w:top w:val="single" w:color="auto" w:sz="4" w:space="0"/>
              <w:left w:val="single" w:color="auto" w:sz="4" w:space="0"/>
              <w:right w:val="single" w:color="auto" w:sz="4" w:space="0"/>
            </w:tcBorders>
            <w:vAlign w:val="center"/>
          </w:tcPr>
          <w:p w14:paraId="659A26E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2DF11ED2">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（64分）</w:t>
            </w:r>
          </w:p>
        </w:tc>
        <w:tc>
          <w:tcPr>
            <w:tcW w:w="1459" w:type="dxa"/>
            <w:tcBorders>
              <w:top w:val="single" w:color="auto" w:sz="4" w:space="0"/>
              <w:left w:val="single" w:color="auto" w:sz="4" w:space="0"/>
              <w:bottom w:val="single" w:color="auto" w:sz="4" w:space="0"/>
              <w:right w:val="single" w:color="auto" w:sz="4" w:space="0"/>
            </w:tcBorders>
            <w:vAlign w:val="center"/>
          </w:tcPr>
          <w:p w14:paraId="5CD8DC2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设计和施工</w:t>
            </w:r>
          </w:p>
          <w:p w14:paraId="2BE9556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融合措施</w:t>
            </w:r>
          </w:p>
          <w:p w14:paraId="1AD07FD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（12分）</w:t>
            </w:r>
          </w:p>
        </w:tc>
        <w:tc>
          <w:tcPr>
            <w:tcW w:w="5721" w:type="dxa"/>
            <w:tcBorders>
              <w:top w:val="single" w:color="auto" w:sz="4" w:space="0"/>
              <w:left w:val="single" w:color="auto" w:sz="4" w:space="0"/>
              <w:bottom w:val="single" w:color="auto" w:sz="4" w:space="0"/>
              <w:right w:val="single" w:color="auto" w:sz="4" w:space="0"/>
            </w:tcBorders>
            <w:vAlign w:val="center"/>
          </w:tcPr>
          <w:p w14:paraId="3A1A7075">
            <w:pPr>
              <w:snapToGrid w:val="0"/>
              <w:spacing w:after="78" w:afterLines="25"/>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针对本项目特点，制定了相应的设计和施工的融合措施。</w:t>
            </w:r>
          </w:p>
          <w:p w14:paraId="35F0910A">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得12分。</w:t>
            </w:r>
          </w:p>
          <w:p w14:paraId="7A0384CD">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有设计和施工融合措施，有效的设计和施工融合管理体系，逻辑性较强、条理较清晰的设计和施工融合措施，在项目的设计、施工及保修等过程中，设计方、施工方协作较满足项目的各阶段需求，得10分。</w:t>
            </w:r>
          </w:p>
          <w:p w14:paraId="6D75E36A">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有设计和施工融合措施，有设计和施工融合管理体系，逻辑性较一般、条理一般的设计和施工融合措施，在项目的设计、施工及保修等过程中，设计方、施工方协作基本符合项目的各阶段需求，得8分。</w:t>
            </w:r>
          </w:p>
          <w:p w14:paraId="70116A02">
            <w:pPr>
              <w:snapToGrid w:val="0"/>
              <w:spacing w:after="78" w:afterLines="25"/>
              <w:ind w:right="-53" w:rightChars="-25"/>
              <w:rPr>
                <w:rFonts w:hint="eastAsia" w:ascii="宋体" w:hAnsi="宋体"/>
                <w:color w:val="auto"/>
                <w:szCs w:val="21"/>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1E757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127C662D">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0557901D">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6DD5FFB9">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08A923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绿色节能</w:t>
            </w:r>
          </w:p>
          <w:p w14:paraId="0D54328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控制措施</w:t>
            </w:r>
          </w:p>
          <w:p w14:paraId="2734772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5721" w:type="dxa"/>
            <w:tcBorders>
              <w:top w:val="single" w:color="auto" w:sz="4" w:space="0"/>
              <w:left w:val="single" w:color="auto" w:sz="4" w:space="0"/>
              <w:bottom w:val="single" w:color="auto" w:sz="4" w:space="0"/>
              <w:right w:val="single" w:color="auto" w:sz="4" w:space="0"/>
            </w:tcBorders>
            <w:vAlign w:val="center"/>
          </w:tcPr>
          <w:p w14:paraId="4114FE05">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针对本项目特点，制定了相应的绿色节能控制措施；最大限度地节约资源与减少对环境的负面影响，以达到“四节一环保”目标。</w:t>
            </w:r>
          </w:p>
          <w:p w14:paraId="0E54A687">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有针对性强的绿色节能控制措施，有科学、合理的环境保护措施，有承诺在施工过程中通过科学管理和先进的技术手段（承诺书格式自拟），最大限度地节约资源与减少对环境的负面影响，得10分。</w:t>
            </w:r>
          </w:p>
          <w:p w14:paraId="4F8E0AE4">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有针对性较强的绿色节能控制措施，有科学、较合理的环境保护措施，承诺在施工过程中通过科学管理和先进的技术手段，较大限度地节约资源与减少对环境的负面影响，得8分。</w:t>
            </w:r>
          </w:p>
          <w:p w14:paraId="1ED0BB7A">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有针对性一般的绿色节能控制措施，有科学、一般合理的环境保护措施，有承诺在施工过程中节约资源与减少对环境的负面影响，得6分。</w:t>
            </w:r>
          </w:p>
          <w:p w14:paraId="6C2EA66D">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0C2C1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4D99C80">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35CBC759">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098A40B5">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031FF7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安全控制措施</w:t>
            </w:r>
          </w:p>
          <w:p w14:paraId="4338EC5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32B54712">
            <w:pPr>
              <w:snapToGrid/>
              <w:ind w:right="0" w:rightChars="0"/>
              <w:rPr>
                <w:rFonts w:hint="eastAsia" w:ascii="宋体" w:hAnsi="宋体" w:cs="宋体"/>
                <w:color w:val="auto"/>
                <w:highlight w:val="none"/>
              </w:rPr>
            </w:pPr>
            <w:r>
              <w:rPr>
                <w:rFonts w:hint="eastAsia" w:ascii="宋体" w:hAnsi="宋体" w:cs="宋体"/>
                <w:color w:val="auto"/>
                <w:highlight w:val="none"/>
              </w:rPr>
              <w:t>针对本项目特点，建立了相应的安全文明施工保障体系和制定了相应的保证措施。</w:t>
            </w:r>
          </w:p>
          <w:p w14:paraId="7F565533">
            <w:pPr>
              <w:shd w:val="clear"/>
              <w:jc w:val="left"/>
              <w:rPr>
                <w:rFonts w:hint="eastAsia" w:ascii="宋体" w:hAnsi="宋体" w:cs="宋体"/>
                <w:color w:val="auto"/>
                <w:szCs w:val="21"/>
                <w:highlight w:val="none"/>
                <w:u w:val="single"/>
              </w:rPr>
            </w:pPr>
            <w:r>
              <w:rPr>
                <w:rFonts w:hint="eastAsia" w:ascii="宋体" w:hAnsi="宋体"/>
                <w:b w:val="0"/>
                <w:bCs w:val="0"/>
                <w:color w:val="auto"/>
                <w:szCs w:val="21"/>
                <w:highlight w:val="none"/>
              </w:rPr>
              <w:t>[优]</w:t>
            </w:r>
            <w:r>
              <w:rPr>
                <w:rFonts w:hint="eastAsia" w:ascii="宋体" w:hAnsi="宋体" w:cs="宋体"/>
                <w:color w:val="auto"/>
                <w:szCs w:val="21"/>
                <w:highlight w:val="none"/>
                <w:u w:val="single"/>
                <w:lang w:bidi="ar"/>
              </w:rPr>
              <w:t>确保不发生等级安全事故</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需出具承诺函，格式自拟</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bidi="ar"/>
              </w:rPr>
              <w:t>，提供的安全文明施工管理体系、安全文明施工保证措施，措施科学有效、合理、有针对各类安全隐患的防范措施，得</w:t>
            </w:r>
            <w:r>
              <w:rPr>
                <w:rFonts w:hint="eastAsia" w:ascii="宋体" w:hAnsi="宋体" w:cs="宋体"/>
                <w:color w:val="auto"/>
                <w:szCs w:val="21"/>
                <w:highlight w:val="none"/>
                <w:u w:val="single"/>
                <w:lang w:val="en-US" w:eastAsia="zh-CN" w:bidi="ar"/>
              </w:rPr>
              <w:t>10</w:t>
            </w:r>
            <w:r>
              <w:rPr>
                <w:rFonts w:hint="eastAsia" w:ascii="宋体" w:hAnsi="宋体" w:cs="宋体"/>
                <w:color w:val="auto"/>
                <w:szCs w:val="21"/>
                <w:highlight w:val="none"/>
                <w:u w:val="single"/>
                <w:lang w:bidi="ar"/>
              </w:rPr>
              <w:t>分；</w:t>
            </w:r>
          </w:p>
          <w:p w14:paraId="3BD76593">
            <w:pPr>
              <w:shd w:val="clear"/>
              <w:jc w:val="left"/>
              <w:rPr>
                <w:rFonts w:hint="eastAsia" w:ascii="宋体" w:hAnsi="宋体" w:cs="宋体"/>
                <w:color w:val="auto"/>
                <w:szCs w:val="21"/>
                <w:highlight w:val="none"/>
                <w:u w:val="single"/>
              </w:rPr>
            </w:pPr>
            <w:r>
              <w:rPr>
                <w:rFonts w:hint="eastAsia" w:ascii="宋体" w:hAnsi="宋体"/>
                <w:b/>
                <w:bCs/>
                <w:color w:val="auto"/>
                <w:szCs w:val="21"/>
                <w:highlight w:val="none"/>
              </w:rPr>
              <w:t>[良]</w:t>
            </w:r>
            <w:r>
              <w:rPr>
                <w:rFonts w:hint="eastAsia" w:ascii="宋体" w:hAnsi="宋体" w:cs="宋体"/>
                <w:color w:val="auto"/>
                <w:szCs w:val="21"/>
                <w:highlight w:val="none"/>
                <w:u w:val="single"/>
                <w:lang w:bidi="ar"/>
              </w:rPr>
              <w:t>确保不发生等级安全事故</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需出具承诺函，格式自拟</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bidi="ar"/>
              </w:rPr>
              <w:t>，提供的安全文明施工管理体系、安全文明施工保证措施，措施较为科学有效、合理、有针对各类安全隐患的防范措施，得</w:t>
            </w:r>
            <w:r>
              <w:rPr>
                <w:rFonts w:hint="eastAsia" w:ascii="宋体" w:hAnsi="宋体" w:cs="宋体"/>
                <w:color w:val="auto"/>
                <w:szCs w:val="21"/>
                <w:highlight w:val="none"/>
                <w:u w:val="single"/>
                <w:lang w:val="en-US" w:eastAsia="zh-CN" w:bidi="ar"/>
              </w:rPr>
              <w:t>8</w:t>
            </w:r>
            <w:r>
              <w:rPr>
                <w:rFonts w:hint="eastAsia" w:ascii="宋体" w:hAnsi="宋体" w:cs="宋体"/>
                <w:color w:val="auto"/>
                <w:szCs w:val="21"/>
                <w:highlight w:val="none"/>
                <w:u w:val="single"/>
                <w:lang w:bidi="ar"/>
              </w:rPr>
              <w:t>分；</w:t>
            </w:r>
          </w:p>
          <w:p w14:paraId="4629EF25">
            <w:pPr>
              <w:shd w:val="clear"/>
              <w:jc w:val="left"/>
              <w:rPr>
                <w:rFonts w:hint="eastAsia" w:ascii="宋体" w:hAnsi="宋体" w:cs="宋体"/>
                <w:color w:val="auto"/>
                <w:szCs w:val="21"/>
                <w:highlight w:val="none"/>
                <w:u w:val="single"/>
              </w:rPr>
            </w:pPr>
            <w:r>
              <w:rPr>
                <w:rFonts w:hint="eastAsia" w:ascii="宋体" w:hAnsi="宋体"/>
                <w:b/>
                <w:bCs/>
                <w:color w:val="auto"/>
                <w:szCs w:val="21"/>
                <w:highlight w:val="none"/>
              </w:rPr>
              <w:t>[中]</w:t>
            </w:r>
            <w:r>
              <w:rPr>
                <w:rFonts w:hint="eastAsia" w:ascii="宋体" w:hAnsi="宋体" w:cs="宋体"/>
                <w:color w:val="auto"/>
                <w:szCs w:val="21"/>
                <w:highlight w:val="none"/>
                <w:u w:val="single"/>
                <w:lang w:bidi="ar"/>
              </w:rPr>
              <w:t>确保不发生等级安全事故</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需出具承诺函，格式自拟</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bidi="ar"/>
              </w:rPr>
              <w:t>，提供的安全文明施工管理体系、安全文明施工保证措施，措施</w:t>
            </w:r>
            <w:r>
              <w:rPr>
                <w:rFonts w:hint="eastAsia" w:ascii="宋体" w:hAnsi="宋体" w:cs="宋体"/>
                <w:color w:val="auto"/>
                <w:szCs w:val="21"/>
                <w:highlight w:val="none"/>
                <w:u w:val="single"/>
                <w:lang w:val="en-US" w:eastAsia="zh-CN" w:bidi="ar"/>
              </w:rPr>
              <w:t>不够</w:t>
            </w:r>
            <w:r>
              <w:rPr>
                <w:rFonts w:hint="eastAsia" w:ascii="宋体" w:hAnsi="宋体" w:cs="宋体"/>
                <w:color w:val="auto"/>
                <w:szCs w:val="21"/>
                <w:highlight w:val="none"/>
                <w:u w:val="single"/>
                <w:lang w:bidi="ar"/>
              </w:rPr>
              <w:t>科学有效、合理，得</w:t>
            </w:r>
            <w:r>
              <w:rPr>
                <w:rFonts w:hint="eastAsia" w:ascii="宋体" w:hAnsi="宋体" w:cs="宋体"/>
                <w:color w:val="auto"/>
                <w:szCs w:val="21"/>
                <w:highlight w:val="none"/>
                <w:u w:val="single"/>
                <w:lang w:val="en-US" w:eastAsia="zh-CN" w:bidi="ar"/>
              </w:rPr>
              <w:t>6</w:t>
            </w:r>
            <w:r>
              <w:rPr>
                <w:rFonts w:hint="eastAsia" w:ascii="宋体" w:hAnsi="宋体" w:cs="宋体"/>
                <w:color w:val="auto"/>
                <w:szCs w:val="21"/>
                <w:highlight w:val="none"/>
                <w:u w:val="single"/>
                <w:lang w:bidi="ar"/>
              </w:rPr>
              <w:t>分；</w:t>
            </w:r>
          </w:p>
          <w:p w14:paraId="6B46BAAD">
            <w:pPr>
              <w:snapToGrid/>
              <w:ind w:right="0" w:rightChars="0"/>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szCs w:val="21"/>
                <w:highlight w:val="none"/>
                <w:u w:val="single"/>
                <w:lang w:bidi="ar"/>
              </w:rPr>
              <w:t>不满足前述要求者，得0分。</w:t>
            </w:r>
          </w:p>
        </w:tc>
      </w:tr>
      <w:tr w14:paraId="4A12B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3F954D8">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7F94A348">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3E0E8743">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0689758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质量控制措施</w:t>
            </w:r>
          </w:p>
          <w:p w14:paraId="69334D2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5721" w:type="dxa"/>
            <w:tcBorders>
              <w:top w:val="single" w:color="auto" w:sz="4" w:space="0"/>
              <w:left w:val="single" w:color="auto" w:sz="4" w:space="0"/>
              <w:bottom w:val="single" w:color="auto" w:sz="4" w:space="0"/>
              <w:right w:val="single" w:color="auto" w:sz="4" w:space="0"/>
            </w:tcBorders>
            <w:vAlign w:val="center"/>
          </w:tcPr>
          <w:p w14:paraId="0DD78FAD">
            <w:pPr>
              <w:snapToGrid w:val="0"/>
              <w:ind w:right="-53" w:rightChars="-25"/>
              <w:rPr>
                <w:rFonts w:hint="eastAsia" w:ascii="宋体" w:hAnsi="宋体" w:cs="宋体"/>
                <w:color w:val="auto"/>
                <w:spacing w:val="-3"/>
                <w:highlight w:val="none"/>
              </w:rPr>
            </w:pPr>
            <w:r>
              <w:rPr>
                <w:rFonts w:hint="eastAsia" w:ascii="宋体" w:hAnsi="宋体" w:cs="宋体"/>
                <w:color w:val="auto"/>
                <w:spacing w:val="-3"/>
                <w:highlight w:val="none"/>
              </w:rPr>
              <w:t>针对本项目特点，制定了相应的质量控制措施。</w:t>
            </w:r>
          </w:p>
          <w:p w14:paraId="0934DCC6">
            <w:pPr>
              <w:snapToGrid w:val="0"/>
              <w:ind w:right="-53" w:rightChars="-25"/>
              <w:rPr>
                <w:rFonts w:hint="eastAsia" w:ascii="宋体" w:hAnsi="宋体"/>
                <w:b/>
                <w:bCs/>
                <w:color w:val="auto"/>
                <w:szCs w:val="21"/>
                <w:highlight w:val="none"/>
              </w:rPr>
            </w:pPr>
            <w:r>
              <w:rPr>
                <w:rFonts w:hint="eastAsia" w:ascii="宋体" w:hAnsi="宋体"/>
                <w:b/>
                <w:bCs/>
                <w:color w:val="auto"/>
                <w:szCs w:val="21"/>
                <w:highlight w:val="none"/>
              </w:rPr>
              <w:t xml:space="preserve">[优] </w:t>
            </w:r>
            <w:r>
              <w:rPr>
                <w:rFonts w:hint="eastAsia" w:ascii="宋体" w:hAnsi="宋体"/>
                <w:color w:val="auto"/>
                <w:szCs w:val="21"/>
                <w:highlight w:val="none"/>
              </w:rPr>
              <w:t>质量目标符合招标文件要求，提供了医用净化系统施工保证措施，质量保证体系完善且质量保证措施可靠，得10分；</w:t>
            </w:r>
          </w:p>
          <w:p w14:paraId="4C066029">
            <w:pPr>
              <w:snapToGrid w:val="0"/>
              <w:ind w:right="-53" w:rightChars="-25"/>
              <w:rPr>
                <w:rFonts w:hint="eastAsia" w:ascii="宋体" w:hAnsi="宋体"/>
                <w:color w:val="auto"/>
                <w:szCs w:val="21"/>
                <w:highlight w:val="none"/>
              </w:rPr>
            </w:pPr>
            <w:r>
              <w:rPr>
                <w:rFonts w:hint="eastAsia" w:ascii="宋体" w:hAnsi="宋体"/>
                <w:b/>
                <w:bCs/>
                <w:color w:val="auto"/>
                <w:szCs w:val="21"/>
                <w:highlight w:val="none"/>
              </w:rPr>
              <w:t xml:space="preserve">[良] </w:t>
            </w:r>
            <w:r>
              <w:rPr>
                <w:rFonts w:hint="eastAsia" w:ascii="宋体" w:hAnsi="宋体"/>
                <w:color w:val="auto"/>
                <w:szCs w:val="21"/>
                <w:highlight w:val="none"/>
              </w:rPr>
              <w:t>质量目标符合招标文件要求，提供了医疗净化系统施工保证措施，质量保证措施可行，得8分；</w:t>
            </w:r>
          </w:p>
          <w:p w14:paraId="2BA3E2A2">
            <w:pPr>
              <w:snapToGrid w:val="0"/>
              <w:ind w:right="-53" w:rightChars="-25"/>
              <w:rPr>
                <w:rFonts w:hint="eastAsia" w:ascii="宋体" w:hAnsi="宋体"/>
                <w:b/>
                <w:bCs/>
                <w:color w:val="auto"/>
                <w:szCs w:val="21"/>
                <w:highlight w:val="none"/>
              </w:rPr>
            </w:pPr>
            <w:r>
              <w:rPr>
                <w:rFonts w:hint="eastAsia" w:ascii="宋体" w:hAnsi="宋体"/>
                <w:b/>
                <w:bCs/>
                <w:color w:val="auto"/>
                <w:szCs w:val="21"/>
                <w:highlight w:val="none"/>
              </w:rPr>
              <w:t xml:space="preserve">[中] </w:t>
            </w:r>
            <w:r>
              <w:rPr>
                <w:rFonts w:hint="eastAsia" w:ascii="宋体" w:hAnsi="宋体"/>
                <w:color w:val="auto"/>
                <w:szCs w:val="21"/>
                <w:highlight w:val="none"/>
              </w:rPr>
              <w:t>质量目标符合招标文件要求，提供了医疗净化系统施工保证措施，且保证措施内容一般，得6分；</w:t>
            </w:r>
          </w:p>
          <w:p w14:paraId="277CCF0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olor w:val="auto"/>
                <w:szCs w:val="21"/>
                <w:highlight w:val="none"/>
              </w:rPr>
              <w:t>没有提供上述内容的，得0分。</w:t>
            </w:r>
          </w:p>
        </w:tc>
      </w:tr>
      <w:tr w14:paraId="4964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6578741">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2E350DC1">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046BC820">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513559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进度控制措施（12分）</w:t>
            </w:r>
          </w:p>
        </w:tc>
        <w:tc>
          <w:tcPr>
            <w:tcW w:w="5721" w:type="dxa"/>
            <w:tcBorders>
              <w:top w:val="single" w:color="auto" w:sz="4" w:space="0"/>
              <w:left w:val="single" w:color="auto" w:sz="4" w:space="0"/>
              <w:bottom w:val="single" w:color="auto" w:sz="4" w:space="0"/>
              <w:right w:val="single" w:color="auto" w:sz="4" w:space="0"/>
            </w:tcBorders>
            <w:vAlign w:val="center"/>
          </w:tcPr>
          <w:p w14:paraId="4742301B">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针对本项目特点，制定了相应的施工进度计划和保证措施的。</w:t>
            </w:r>
          </w:p>
          <w:p w14:paraId="256A9C6D">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提供工期目标、施工进度计划横道图、进度保证措施，逻辑性强、可行、合理，保证措施明确具体，得12分；</w:t>
            </w:r>
          </w:p>
          <w:p w14:paraId="39894404">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提供工期目标、施工进度计划横道图，逻辑性较强、可行、较合理，有保证措施，得10分；</w:t>
            </w:r>
          </w:p>
          <w:p w14:paraId="637C35A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提供工期目标、进度保证措施，逻辑性一般、较可行、较合理，得8分；</w:t>
            </w:r>
          </w:p>
          <w:p w14:paraId="7F1F3021">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不满足前述要求者，得0分。</w:t>
            </w:r>
          </w:p>
        </w:tc>
      </w:tr>
      <w:tr w14:paraId="4350A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77E3EC5D">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tcPr>
          <w:p w14:paraId="0F88F17D">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vAlign w:val="center"/>
          </w:tcPr>
          <w:p w14:paraId="06A5E190">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B65D7A2">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资源投入计划及保证措施</w:t>
            </w:r>
          </w:p>
          <w:p w14:paraId="7111335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5721" w:type="dxa"/>
            <w:tcBorders>
              <w:top w:val="single" w:color="auto" w:sz="4" w:space="0"/>
              <w:left w:val="single" w:color="auto" w:sz="4" w:space="0"/>
              <w:bottom w:val="single" w:color="auto" w:sz="4" w:space="0"/>
              <w:right w:val="single" w:color="auto" w:sz="4" w:space="0"/>
            </w:tcBorders>
            <w:vAlign w:val="center"/>
          </w:tcPr>
          <w:p w14:paraId="54E51CC9">
            <w:pPr>
              <w:snapToGrid w:val="0"/>
              <w:ind w:right="-53" w:rightChars="-25"/>
              <w:rPr>
                <w:rFonts w:hint="eastAsia" w:ascii="宋体" w:hAnsi="宋体" w:cs="宋体"/>
                <w:color w:val="auto"/>
                <w:highlight w:val="none"/>
              </w:rPr>
            </w:pPr>
            <w:r>
              <w:rPr>
                <w:rFonts w:hint="eastAsia" w:ascii="宋体" w:hAnsi="宋体" w:cs="宋体"/>
                <w:color w:val="auto"/>
                <w:highlight w:val="none"/>
              </w:rPr>
              <w:t>根据本工程特点，制定了相应的劳动力、机械设备投入计划和保证措施。</w:t>
            </w:r>
          </w:p>
          <w:p w14:paraId="256F65A8">
            <w:pPr>
              <w:snapToGrid w:val="0"/>
              <w:ind w:right="-53" w:rightChars="-25"/>
              <w:rPr>
                <w:rFonts w:hint="eastAsia" w:ascii="宋体" w:hAnsi="宋体" w:cs="宋体"/>
                <w:color w:val="auto"/>
                <w:highlight w:val="none"/>
              </w:rPr>
            </w:pPr>
            <w:r>
              <w:rPr>
                <w:rFonts w:hint="eastAsia" w:ascii="宋体" w:hAnsi="宋体" w:cs="宋体"/>
                <w:b/>
                <w:bCs/>
                <w:color w:val="auto"/>
                <w:highlight w:val="none"/>
              </w:rPr>
              <w:t>[优]</w:t>
            </w:r>
            <w:r>
              <w:rPr>
                <w:rFonts w:hint="eastAsia" w:ascii="宋体" w:hAnsi="宋体" w:cs="宋体"/>
                <w:color w:val="auto"/>
                <w:highlight w:val="none"/>
              </w:rPr>
              <w:t xml:space="preserve"> 措施有效、合理、可操作性强的，得10分。</w:t>
            </w:r>
          </w:p>
          <w:p w14:paraId="6D07B799">
            <w:pPr>
              <w:snapToGrid w:val="0"/>
              <w:ind w:right="-53" w:rightChars="-25"/>
              <w:rPr>
                <w:rFonts w:hint="eastAsia" w:ascii="宋体" w:hAnsi="宋体" w:cs="宋体"/>
                <w:color w:val="auto"/>
                <w:highlight w:val="none"/>
              </w:rPr>
            </w:pPr>
            <w:r>
              <w:rPr>
                <w:rFonts w:hint="eastAsia" w:ascii="宋体" w:hAnsi="宋体" w:cs="宋体"/>
                <w:b/>
                <w:bCs/>
                <w:color w:val="auto"/>
                <w:highlight w:val="none"/>
              </w:rPr>
              <w:t>[良]</w:t>
            </w:r>
            <w:r>
              <w:rPr>
                <w:rFonts w:hint="eastAsia" w:ascii="宋体" w:hAnsi="宋体" w:cs="宋体"/>
                <w:color w:val="auto"/>
                <w:highlight w:val="none"/>
              </w:rPr>
              <w:t xml:space="preserve"> 措施效果一般，现场可操作性一般的，得8分。</w:t>
            </w:r>
          </w:p>
          <w:p w14:paraId="5D5036C5">
            <w:pPr>
              <w:snapToGrid w:val="0"/>
              <w:ind w:right="-53" w:rightChars="-25"/>
              <w:rPr>
                <w:rFonts w:hint="eastAsia" w:ascii="宋体" w:hAnsi="宋体" w:cs="宋体"/>
                <w:color w:val="auto"/>
                <w:highlight w:val="none"/>
              </w:rPr>
            </w:pPr>
            <w:r>
              <w:rPr>
                <w:rFonts w:hint="eastAsia" w:ascii="宋体" w:hAnsi="宋体" w:cs="宋体"/>
                <w:b/>
                <w:bCs/>
                <w:color w:val="auto"/>
                <w:highlight w:val="none"/>
              </w:rPr>
              <w:t>[中]</w:t>
            </w:r>
            <w:r>
              <w:rPr>
                <w:rFonts w:hint="eastAsia" w:ascii="宋体" w:hAnsi="宋体" w:cs="宋体"/>
                <w:color w:val="auto"/>
                <w:highlight w:val="none"/>
              </w:rPr>
              <w:t xml:space="preserve"> 措施效果较差，现场可操作性较差的，得6分。</w:t>
            </w:r>
          </w:p>
          <w:p w14:paraId="29747AEE">
            <w:pPr>
              <w:snapToGrid w:val="0"/>
              <w:ind w:right="-53" w:rightChars="-25"/>
              <w:rPr>
                <w:rFonts w:hint="eastAsia" w:ascii="宋体" w:hAnsi="宋体" w:cs="宋体"/>
                <w:color w:val="auto"/>
                <w:highlight w:val="none"/>
              </w:rPr>
            </w:pPr>
            <w:r>
              <w:rPr>
                <w:rFonts w:hint="eastAsia" w:ascii="宋体" w:hAnsi="宋体" w:cs="宋体"/>
                <w:b/>
                <w:bCs/>
                <w:color w:val="auto"/>
                <w:highlight w:val="none"/>
              </w:rPr>
              <w:t>[差]</w:t>
            </w:r>
            <w:r>
              <w:rPr>
                <w:rFonts w:hint="eastAsia" w:ascii="宋体" w:hAnsi="宋体" w:cs="宋体"/>
                <w:color w:val="auto"/>
                <w:highlight w:val="none"/>
              </w:rPr>
              <w:t xml:space="preserve"> 没有提供上述内容的，得0分。</w:t>
            </w:r>
          </w:p>
        </w:tc>
      </w:tr>
      <w:tr w14:paraId="00A77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trHeight w:val="284"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C1BD6D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05" w:type="dxa"/>
            <w:tcBorders>
              <w:top w:val="single" w:color="auto" w:sz="4" w:space="0"/>
              <w:left w:val="single" w:color="auto" w:sz="4" w:space="0"/>
              <w:bottom w:val="single" w:color="auto" w:sz="4" w:space="0"/>
              <w:right w:val="single" w:color="auto" w:sz="4" w:space="0"/>
            </w:tcBorders>
            <w:vAlign w:val="center"/>
          </w:tcPr>
          <w:p w14:paraId="533DFEFB">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ECCF69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报价得分</w:t>
            </w:r>
          </w:p>
          <w:p w14:paraId="2B366FBF">
            <w:pPr>
              <w:widowControl/>
              <w:snapToGrid w:val="0"/>
              <w:jc w:val="center"/>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418487F0">
            <w:pPr>
              <w:pStyle w:val="72"/>
              <w:ind w:firstLine="41"/>
              <w:rPr>
                <w:rFonts w:hint="eastAsia" w:ascii="宋体" w:hAnsi="宋体" w:cs="宋体"/>
                <w:color w:val="auto"/>
                <w:szCs w:val="21"/>
                <w:highlight w:val="none"/>
              </w:rPr>
            </w:pPr>
            <w:r>
              <w:rPr>
                <w:rFonts w:hint="eastAsia" w:ascii="宋体" w:hAnsi="宋体" w:cs="宋体"/>
                <w:color w:val="auto"/>
                <w:kern w:val="2"/>
                <w:sz w:val="21"/>
                <w:szCs w:val="24"/>
                <w:highlight w:val="none"/>
              </w:rPr>
              <w:t>当投标总报价等于评标基准价时得100分，投标总报价每高于评标基准价1%，扣1.5分，每低于评标基准价1%，扣1分，最多扣100分，得出投标报价得分，精确到小数点后两位。，</w:t>
            </w:r>
          </w:p>
        </w:tc>
      </w:tr>
    </w:tbl>
    <w:p w14:paraId="39C6486C">
      <w:pPr>
        <w:spacing w:line="320" w:lineRule="exact"/>
        <w:ind w:left="-321" w:leftChars="-153"/>
        <w:rPr>
          <w:rFonts w:hint="eastAsia" w:ascii="宋体" w:hAnsi="宋体"/>
          <w:b/>
          <w:color w:val="auto"/>
          <w:highlight w:val="none"/>
        </w:rPr>
      </w:pPr>
      <w:r>
        <w:rPr>
          <w:rFonts w:hint="eastAsia" w:ascii="宋体" w:hAnsi="宋体"/>
          <w:b/>
          <w:color w:val="auto"/>
          <w:highlight w:val="none"/>
        </w:rPr>
        <w:t>备注：</w:t>
      </w:r>
    </w:p>
    <w:p w14:paraId="3BF39710">
      <w:pPr>
        <w:numPr>
          <w:ilvl w:val="0"/>
          <w:numId w:val="25"/>
        </w:numPr>
        <w:spacing w:line="320" w:lineRule="exact"/>
        <w:ind w:firstLine="316" w:firstLineChars="150"/>
        <w:rPr>
          <w:rFonts w:hint="eastAsia" w:ascii="宋体" w:hAnsi="宋体"/>
          <w:b/>
          <w:color w:val="auto"/>
          <w:highlight w:val="none"/>
        </w:rPr>
      </w:pPr>
      <w:r>
        <w:rPr>
          <w:rFonts w:hint="eastAsia" w:ascii="宋体" w:hAnsi="宋体"/>
          <w:b/>
          <w:color w:val="auto"/>
          <w:highlight w:val="none"/>
        </w:rPr>
        <w:t>【企业业绩】：</w:t>
      </w:r>
    </w:p>
    <w:p w14:paraId="49259B2D">
      <w:pPr>
        <w:spacing w:line="320" w:lineRule="exact"/>
        <w:ind w:firstLine="316" w:firstLineChars="150"/>
        <w:rPr>
          <w:rFonts w:hint="eastAsia" w:ascii="宋体" w:hAnsi="宋体"/>
          <w:color w:val="auto"/>
          <w:highlight w:val="none"/>
        </w:rPr>
      </w:pPr>
      <w:r>
        <w:rPr>
          <w:rFonts w:hint="eastAsia" w:ascii="宋体" w:hAnsi="宋体"/>
          <w:b/>
          <w:color w:val="auto"/>
          <w:highlight w:val="none"/>
        </w:rPr>
        <w:t>1.1 施工业绩：</w:t>
      </w:r>
      <w:r>
        <w:rPr>
          <w:rFonts w:hint="eastAsia" w:ascii="宋体" w:hAnsi="宋体"/>
          <w:color w:val="auto"/>
          <w:highlight w:val="none"/>
        </w:rPr>
        <w:t>业绩取自广州市住建行业信用管理平台。投标人须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w:t>
      </w:r>
    </w:p>
    <w:p w14:paraId="35F0B7EA">
      <w:pPr>
        <w:spacing w:line="320" w:lineRule="exact"/>
        <w:ind w:firstLine="315" w:firstLineChars="150"/>
        <w:rPr>
          <w:rFonts w:hint="eastAsia" w:ascii="宋体" w:hAnsi="宋体"/>
          <w:color w:val="auto"/>
          <w:highlight w:val="none"/>
        </w:rPr>
      </w:pPr>
      <w:r>
        <w:rPr>
          <w:rFonts w:hint="eastAsia" w:ascii="宋体" w:hAnsi="宋体"/>
          <w:color w:val="auto"/>
          <w:highlight w:val="none"/>
        </w:rPr>
        <w:t>台内业绩上传件为依据（投标文件中可不需重复提交相关业绩上传件）。（1）用于本项目投标的类似业绩，在平台中“工程对应的企业资质”栏中须登记有与本项目要求相对应的</w:t>
      </w:r>
      <w:r>
        <w:rPr>
          <w:rFonts w:hint="eastAsia" w:ascii="宋体" w:hAnsi="宋体"/>
          <w:color w:val="auto"/>
          <w:szCs w:val="21"/>
          <w:highlight w:val="none"/>
        </w:rPr>
        <w:t>资质（具体资质要求：</w:t>
      </w:r>
      <w:r>
        <w:rPr>
          <w:rFonts w:hint="eastAsia" w:ascii="宋体" w:hAnsi="宋体"/>
          <w:bCs/>
          <w:color w:val="auto"/>
          <w:highlight w:val="none"/>
        </w:rPr>
        <w:t>类似业绩</w:t>
      </w:r>
      <w:r>
        <w:rPr>
          <w:rFonts w:hint="eastAsia" w:ascii="宋体" w:hAnsi="宋体"/>
          <w:color w:val="auto"/>
          <w:highlight w:val="none"/>
        </w:rPr>
        <w:t>对应“建筑工程施工总承包（原房屋建筑工程施工总承包）”</w:t>
      </w:r>
      <w:r>
        <w:rPr>
          <w:rFonts w:hint="eastAsia" w:ascii="宋体" w:hAnsi="宋体"/>
          <w:color w:val="auto"/>
          <w:szCs w:val="21"/>
          <w:highlight w:val="none"/>
        </w:rPr>
        <w:t>资质；</w:t>
      </w:r>
      <w:r>
        <w:rPr>
          <w:rFonts w:hint="eastAsia" w:ascii="宋体" w:hAnsi="宋体"/>
          <w:color w:val="auto"/>
          <w:highlight w:val="none"/>
        </w:rPr>
        <w:t>（2）①施工总承包项目业绩的金额以中标通知书为准，中标通知书上没有金额或免招标的，以施工合同（不含补充合同）为准。③EPC项目业绩的金额以中标通知书中施工费用为准，中标通知书上没有金额或免招标的，以合同中施工费用（不含补充合同）为准。（3）业绩完成时间以竣工验收文件为准。验收文件至少具有建设单位、设计、施工和监理单位盖章。（4）平台内业绩上传件不符合上述要求的或登记的工程资质内容与施工合同等业绩证明资料不相符的，该项业绩不予认定。</w:t>
      </w:r>
    </w:p>
    <w:p w14:paraId="66EB5C5C">
      <w:pPr>
        <w:spacing w:line="320" w:lineRule="exact"/>
        <w:ind w:firstLine="316" w:firstLineChars="150"/>
        <w:rPr>
          <w:rFonts w:hint="eastAsia" w:ascii="宋体" w:hAnsi="宋体"/>
          <w:color w:val="auto"/>
          <w:highlight w:val="none"/>
        </w:rPr>
      </w:pPr>
      <w:r>
        <w:rPr>
          <w:rFonts w:hint="eastAsia" w:ascii="宋体" w:hAnsi="宋体"/>
          <w:b/>
          <w:color w:val="auto"/>
          <w:highlight w:val="none"/>
        </w:rPr>
        <w:t>1.2 设计业绩：</w:t>
      </w:r>
      <w:r>
        <w:rPr>
          <w:rFonts w:hint="eastAsia" w:ascii="宋体" w:hAnsi="宋体"/>
          <w:color w:val="auto"/>
          <w:highlight w:val="none"/>
        </w:rPr>
        <w:t>①</w:t>
      </w:r>
      <w:r>
        <w:rPr>
          <w:rFonts w:hint="eastAsia" w:ascii="宋体" w:hAnsi="宋体"/>
          <w:color w:val="auto"/>
          <w:szCs w:val="21"/>
          <w:highlight w:val="none"/>
        </w:rPr>
        <w:t>类似工程是指公共建筑类工程项目,设计业绩可以是单独的设计业绩，或勘察设计的设计部分业绩或工程总承包项目（包括勘察设计施工总承包或设计施工总承包或设计采购施工总承包或勘察设计采购施工总承包等）中的设计部分业绩。</w:t>
      </w:r>
      <w:r>
        <w:rPr>
          <w:rFonts w:hint="eastAsia" w:ascii="宋体" w:hAnsi="宋体"/>
          <w:color w:val="auto"/>
          <w:highlight w:val="none"/>
        </w:rPr>
        <w:t>②需同时提供设计合同关键页、中标通知书或免招标的证明、施工图审查证明文件。③同一项目业绩不重复计算得分。死不符合上述条件或未提供相关证明材料的不得分。</w:t>
      </w:r>
    </w:p>
    <w:p w14:paraId="44C4F78D">
      <w:pPr>
        <w:spacing w:line="320" w:lineRule="exact"/>
        <w:ind w:firstLine="316" w:firstLineChars="150"/>
        <w:rPr>
          <w:rFonts w:hint="eastAsia" w:ascii="宋体" w:hAnsi="宋体"/>
          <w:color w:val="auto"/>
          <w:highlight w:val="none"/>
        </w:rPr>
      </w:pPr>
      <w:r>
        <w:rPr>
          <w:rFonts w:hint="eastAsia" w:ascii="宋体" w:hAnsi="宋体"/>
          <w:b/>
          <w:color w:val="auto"/>
          <w:highlight w:val="none"/>
        </w:rPr>
        <w:t>2、【工程获奖】：</w:t>
      </w:r>
      <w:r>
        <w:rPr>
          <w:rFonts w:hint="eastAsia" w:ascii="宋体" w:hAnsi="宋体"/>
          <w:color w:val="auto"/>
          <w:highlight w:val="none"/>
        </w:rPr>
        <w:t>工程奖项可取自广州市住建行业信用管理平台或提供获奖证书原件扫描件。①国家级奖项指的是中国建设工程鲁班奖、中国土木工程詹天佑奖、国家优质工程金奖、国家优质工程奖</w:t>
      </w:r>
      <w:r>
        <w:rPr>
          <w:rFonts w:hint="eastAsia" w:ascii="宋体" w:hAnsi="宋体"/>
          <w:color w:val="auto"/>
          <w:highlight w:val="none"/>
          <w:lang w:eastAsia="zh-CN"/>
        </w:rPr>
        <w:t>、中国（全国）建筑工程装饰奖（不含设计和幕墙类获奖）</w:t>
      </w:r>
      <w:r>
        <w:rPr>
          <w:rFonts w:hint="eastAsia" w:ascii="宋体" w:hAnsi="宋体"/>
          <w:color w:val="auto"/>
          <w:highlight w:val="none"/>
        </w:rPr>
        <w:t>；省级或市级奖项指由建设行政主管部门或经民政部门备案成立的建筑相关行业协会或学会(含其所属专业分会)颁发的质量奖项，不含安全文明、绿色施工、钢结构、机电安装、技术创新、QC成果、科技进步及技术应用类等奖项。②只计算房建类工程获得质量奖项，其他非房建类项目（如：机电、市政、路桥、铁路、水利、电力、化工、冶金等奖项）不参与计分。③同一项目获得多个奖项的，该项目获奖只按其中一个奖项所在最高级别计算一次分数，不得重复计算。④时间以获奖证书颁发时间为准。</w:t>
      </w:r>
    </w:p>
    <w:p w14:paraId="34858A58">
      <w:pPr>
        <w:spacing w:line="320" w:lineRule="exact"/>
        <w:ind w:firstLine="315" w:firstLineChars="150"/>
        <w:rPr>
          <w:rFonts w:hint="eastAsia" w:ascii="宋体" w:hAnsi="宋体"/>
          <w:color w:val="auto"/>
          <w:highlight w:val="none"/>
        </w:rPr>
      </w:pPr>
      <w:r>
        <w:rPr>
          <w:rFonts w:hint="eastAsia" w:ascii="宋体" w:hAnsi="宋体"/>
          <w:color w:val="auto"/>
          <w:highlight w:val="none"/>
        </w:rPr>
        <w:t>（1）奖项取自广州市住建行业信用管理平台的，投标人须提供获奖工程业绩的项目名称在广州市住建行业信用管理平台中项目编号、相应业绩在广州市住建行业信用管理平台的网页信息截图（截图须包含广州市住建行业信用管理平台中的“项目基本信息”、“奖项信息”栏）。不提供项目名称及项目编号、网页信息截图的工程奖项不予评审。评标委员会对工程奖项的评审以投标截止时间在平台内工程奖项上传件为依据（投标文件中可不需重复提交相关工程奖项上传件）。平台内工程奖项上传件不符合上述要求的，该项工程不予认定。</w:t>
      </w:r>
    </w:p>
    <w:p w14:paraId="0C40D6AE">
      <w:pPr>
        <w:spacing w:line="320" w:lineRule="exact"/>
        <w:ind w:firstLine="315" w:firstLineChars="150"/>
        <w:rPr>
          <w:rFonts w:hint="eastAsia" w:ascii="宋体" w:hAnsi="宋体"/>
          <w:color w:val="auto"/>
          <w:highlight w:val="none"/>
        </w:rPr>
      </w:pPr>
      <w:r>
        <w:rPr>
          <w:rFonts w:hint="eastAsia" w:ascii="宋体" w:hAnsi="宋体"/>
          <w:color w:val="auto"/>
          <w:highlight w:val="none"/>
        </w:rPr>
        <w:t>（2）奖项提供获奖证书原件扫描件的，投标人须提供获奖证书原件扫描件及该获奖工程在“全国建筑市场监管公共服务平台”的网页信息截图并加盖投标人企业电子印章。不符合上述条件或上述资料相关信息不一致或提供的资料不齐全的获奖业绩不予评审。评标委员会对获奖业绩的评审以投标人提供的完整的证明资料为依据。</w:t>
      </w:r>
    </w:p>
    <w:p w14:paraId="1C56FF7F">
      <w:pPr>
        <w:spacing w:line="320" w:lineRule="exact"/>
        <w:ind w:firstLine="316" w:firstLineChars="150"/>
        <w:rPr>
          <w:rFonts w:hint="eastAsia" w:ascii="宋体" w:hAnsi="宋体"/>
          <w:color w:val="auto"/>
          <w:highlight w:val="none"/>
        </w:rPr>
      </w:pPr>
      <w:r>
        <w:rPr>
          <w:rFonts w:hint="eastAsia" w:ascii="宋体" w:hAnsi="宋体"/>
          <w:b/>
          <w:color w:val="auto"/>
          <w:highlight w:val="none"/>
        </w:rPr>
        <w:t>3、【工程研发能力】：</w:t>
      </w:r>
      <w:r>
        <w:rPr>
          <w:rFonts w:hint="eastAsia" w:ascii="宋体" w:hAnsi="宋体"/>
          <w:bCs/>
          <w:color w:val="auto"/>
          <w:highlight w:val="none"/>
        </w:rPr>
        <w:t>投标人须提供由建设行政主管部门或行业协会（行业协会须在民政管理部门登记备案）或其他工法主管部门颁发的工法证书原件扫描件，如证书上不能体现“房建”类工法，则需提供工法公示名单或其他能体现工法类别（“房屋建筑工程”类）的证明资料加盖投标单位电子印章，时间以获奖证书上的时间为准。不提供上述证明文件该工法不能计算有效工法。同一工法按最高级别奖项只计一次得分，未提供不计分。</w:t>
      </w:r>
    </w:p>
    <w:p w14:paraId="268D19E4">
      <w:pPr>
        <w:spacing w:line="320" w:lineRule="exact"/>
        <w:ind w:firstLine="316" w:firstLineChars="150"/>
        <w:rPr>
          <w:rFonts w:hint="eastAsia" w:ascii="宋体" w:hAnsi="宋体"/>
          <w:color w:val="auto"/>
          <w:kern w:val="0"/>
          <w:szCs w:val="21"/>
          <w:highlight w:val="none"/>
        </w:rPr>
      </w:pPr>
      <w:r>
        <w:rPr>
          <w:rFonts w:hint="eastAsia" w:ascii="宋体" w:hAnsi="宋体"/>
          <w:b/>
          <w:color w:val="auto"/>
          <w:highlight w:val="none"/>
        </w:rPr>
        <w:t>4、【第三方评价】：</w:t>
      </w:r>
      <w:r>
        <w:rPr>
          <w:rFonts w:hint="eastAsia" w:ascii="宋体" w:hAnsi="宋体"/>
          <w:bCs/>
          <w:color w:val="auto"/>
          <w:highlight w:val="none"/>
        </w:rPr>
        <w:t>（1）“</w:t>
      </w:r>
      <w:r>
        <w:rPr>
          <w:rFonts w:hint="eastAsia" w:ascii="宋体" w:hAnsi="宋体"/>
          <w:color w:val="auto"/>
          <w:szCs w:val="21"/>
          <w:highlight w:val="none"/>
        </w:rPr>
        <w:t>企业认证</w:t>
      </w:r>
      <w:r>
        <w:rPr>
          <w:rFonts w:hint="eastAsia" w:ascii="宋体" w:hAnsi="宋体"/>
          <w:bCs/>
          <w:color w:val="auto"/>
          <w:highlight w:val="none"/>
        </w:rPr>
        <w:t>”</w:t>
      </w:r>
      <w:r>
        <w:rPr>
          <w:rFonts w:hint="eastAsia" w:ascii="宋体" w:hAnsi="宋体"/>
          <w:color w:val="auto"/>
          <w:kern w:val="0"/>
          <w:szCs w:val="21"/>
          <w:highlight w:val="none"/>
        </w:rPr>
        <w:t>须提供有效期内的认证证书原件扫描件（或认证证书电子版文件）和国家认证认可监督管理委员会官网（http://www.cnca.gov.cn）相应的认证信息查询结果网页截图并加盖投标人电子印章；如认证项目为国家认监委所有未列明的其他认证时，证书的认证项目名称与国家认监委官网所示的认证项目名称不一致时，以认证证书编号为准。不符合上述条件或未提供上述资料或无加盖投标人电子印章的不得分。</w:t>
      </w:r>
    </w:p>
    <w:p w14:paraId="3E252FF7">
      <w:pPr>
        <w:spacing w:line="320" w:lineRule="exact"/>
        <w:ind w:firstLine="316" w:firstLineChars="150"/>
        <w:rPr>
          <w:rFonts w:hint="eastAsia" w:ascii="宋体" w:hAnsi="宋体"/>
          <w:color w:val="auto"/>
          <w:highlight w:val="none"/>
        </w:rPr>
      </w:pPr>
      <w:r>
        <w:rPr>
          <w:rFonts w:hint="eastAsia" w:ascii="宋体" w:hAnsi="宋体"/>
          <w:b/>
          <w:color w:val="auto"/>
          <w:highlight w:val="none"/>
        </w:rPr>
        <w:t>5、【项目团队】：</w:t>
      </w:r>
      <w:r>
        <w:rPr>
          <w:rFonts w:hint="eastAsia" w:ascii="宋体" w:hAnsi="宋体"/>
          <w:color w:val="auto"/>
          <w:highlight w:val="none"/>
        </w:rPr>
        <w:t>（1）项目团队中所有人员岗位不能相互兼任。</w:t>
      </w:r>
    </w:p>
    <w:p w14:paraId="03781521">
      <w:pPr>
        <w:spacing w:line="320" w:lineRule="exact"/>
        <w:ind w:firstLine="315" w:firstLineChars="150"/>
        <w:rPr>
          <w:rFonts w:hint="eastAsia" w:ascii="宋体" w:hAnsi="宋体"/>
          <w:color w:val="auto"/>
          <w:highlight w:val="none"/>
        </w:rPr>
      </w:pPr>
      <w:r>
        <w:rPr>
          <w:rFonts w:hint="eastAsia" w:ascii="宋体" w:hAnsi="宋体"/>
          <w:color w:val="auto"/>
          <w:highlight w:val="none"/>
        </w:rPr>
        <w:t>（2）拟派的所有人员须提供相关证明资料和近一个月（2025年</w:t>
      </w:r>
      <w:r>
        <w:rPr>
          <w:rFonts w:hint="eastAsia" w:ascii="宋体" w:hAnsi="宋体"/>
          <w:color w:val="auto"/>
          <w:highlight w:val="none"/>
          <w:lang w:val="en-US" w:eastAsia="zh-CN"/>
        </w:rPr>
        <w:t xml:space="preserve">  </w:t>
      </w:r>
      <w:r>
        <w:rPr>
          <w:rFonts w:hint="eastAsia" w:ascii="宋体" w:hAnsi="宋体"/>
          <w:color w:val="auto"/>
          <w:highlight w:val="none"/>
        </w:rPr>
        <w:t>月）在投标单位缴纳社保的证明材料扫描件并加盖投标人企业电子印章。未提供或所提供的证明资料不符合要求的，则该评分节点不予评审。</w:t>
      </w:r>
    </w:p>
    <w:p w14:paraId="0989952A">
      <w:pPr>
        <w:spacing w:line="320" w:lineRule="exact"/>
        <w:ind w:firstLine="315" w:firstLineChars="150"/>
        <w:rPr>
          <w:rFonts w:hint="eastAsia" w:ascii="宋体" w:hAnsi="宋体"/>
          <w:color w:val="auto"/>
          <w:highlight w:val="none"/>
        </w:rPr>
      </w:pPr>
      <w:r>
        <w:rPr>
          <w:rFonts w:hint="eastAsia" w:ascii="宋体" w:hAnsi="宋体"/>
          <w:color w:val="auto"/>
          <w:highlight w:val="none"/>
        </w:rPr>
        <w:t>（3）取得职称证的年限以评审通过时间开始计算（如证书未体现评审通过时间的，以发证时间开始计算）；高级职称证书以地市级以上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2000BF56">
      <w:pPr>
        <w:spacing w:line="3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人员业绩取自广州市住建信用管理平台，须提供网页信息截图（截图至少包含广州市住建行业信用管理平台中的“项目基本信息”“工程规模”等）及平台内相应资料上传件，验收文件上传件须有对应担任的相关负责人职位及该人员的姓名，如验收文件内无对应人员职位及姓名，则提供合同扫描件，合同中需体现对应人员职位及姓名。完成时间以竣工验收文件为准。中标通知书上没有金额或免招标的，以施工合同（不含补充合同）为准。</w:t>
      </w:r>
    </w:p>
    <w:p w14:paraId="71391A91">
      <w:pPr>
        <w:spacing w:line="320" w:lineRule="exact"/>
        <w:ind w:firstLine="316" w:firstLineChars="150"/>
        <w:rPr>
          <w:rFonts w:hint="eastAsia" w:ascii="宋体" w:hAnsi="宋体"/>
          <w:b/>
          <w:color w:val="auto"/>
          <w:highlight w:val="none"/>
        </w:rPr>
      </w:pPr>
      <w:r>
        <w:rPr>
          <w:rFonts w:hint="eastAsia" w:ascii="宋体" w:hAnsi="宋体"/>
          <w:b/>
          <w:bCs/>
          <w:color w:val="auto"/>
          <w:highlight w:val="none"/>
        </w:rPr>
        <w:t>（5）联</w:t>
      </w:r>
      <w:r>
        <w:rPr>
          <w:rFonts w:hint="eastAsia" w:ascii="宋体" w:hAnsi="宋体"/>
          <w:b/>
          <w:color w:val="auto"/>
          <w:highlight w:val="none"/>
        </w:rPr>
        <w:t>合体投标的，项目团队中的设计人员应为联合体中负责设计任务成员方人员，其他施工管理人员均要求为联合体主办方人员。</w:t>
      </w:r>
    </w:p>
    <w:p w14:paraId="462D725A">
      <w:pPr>
        <w:spacing w:line="320" w:lineRule="exact"/>
        <w:ind w:firstLine="315" w:firstLineChars="150"/>
        <w:rPr>
          <w:rFonts w:hint="eastAsia" w:ascii="宋体" w:hAnsi="宋体"/>
          <w:color w:val="auto"/>
          <w:highlight w:val="none"/>
        </w:rPr>
      </w:pPr>
      <w:r>
        <w:rPr>
          <w:rFonts w:hint="eastAsia" w:ascii="宋体" w:hAnsi="宋体"/>
          <w:color w:val="auto"/>
          <w:highlight w:val="none"/>
        </w:rPr>
        <w:t>6、本表按百分制评分，所有评委总分汇总后的算术平均值为投标人的最终得分。分数出现小数点，保留小数点后二位小数，三位小数四舍五入。</w:t>
      </w:r>
    </w:p>
    <w:p w14:paraId="5EC2A3CC">
      <w:pPr>
        <w:spacing w:line="320" w:lineRule="exact"/>
        <w:ind w:firstLine="315" w:firstLineChars="150"/>
        <w:rPr>
          <w:rFonts w:hint="eastAsia" w:ascii="宋体" w:hAnsi="宋体"/>
          <w:color w:val="auto"/>
          <w:highlight w:val="none"/>
        </w:rPr>
      </w:pPr>
    </w:p>
    <w:p w14:paraId="6F46278C">
      <w:pPr>
        <w:pStyle w:val="2"/>
        <w:rPr>
          <w:color w:val="auto"/>
          <w:highlight w:val="none"/>
        </w:rPr>
      </w:pPr>
      <w:r>
        <w:rPr>
          <w:rFonts w:ascii="宋体" w:hAnsi="宋体"/>
          <w:color w:val="auto"/>
          <w:szCs w:val="21"/>
          <w:highlight w:val="none"/>
        </w:rPr>
        <w:br w:type="page"/>
      </w:r>
      <w:bookmarkStart w:id="466" w:name="_Toc152045600"/>
      <w:bookmarkStart w:id="467" w:name="_Toc28120"/>
      <w:bookmarkStart w:id="468" w:name="_Toc247527625"/>
      <w:bookmarkStart w:id="469" w:name="_Toc152042377"/>
      <w:bookmarkStart w:id="470" w:name="_Toc144974567"/>
      <w:bookmarkStart w:id="471" w:name="_Toc247514024"/>
      <w:bookmarkStart w:id="472" w:name="_Toc134304578"/>
      <w:bookmarkStart w:id="473" w:name="_Toc152042387"/>
      <w:bookmarkStart w:id="474" w:name="_Toc13796"/>
      <w:bookmarkStart w:id="475" w:name="_Toc144974577"/>
      <w:bookmarkStart w:id="476" w:name="_Toc152045609"/>
      <w:bookmarkStart w:id="477" w:name="_Toc247514033"/>
      <w:bookmarkStart w:id="478" w:name="_Toc247527634"/>
      <w:r>
        <w:rPr>
          <w:rFonts w:hint="eastAsia"/>
          <w:color w:val="auto"/>
          <w:highlight w:val="none"/>
        </w:rPr>
        <w:t>1. 评标方法</w:t>
      </w:r>
      <w:bookmarkEnd w:id="466"/>
      <w:bookmarkEnd w:id="467"/>
      <w:bookmarkEnd w:id="468"/>
      <w:bookmarkEnd w:id="469"/>
      <w:bookmarkEnd w:id="470"/>
      <w:bookmarkEnd w:id="471"/>
      <w:bookmarkEnd w:id="472"/>
    </w:p>
    <w:p w14:paraId="3BD7B0B4">
      <w:pPr>
        <w:spacing w:line="360" w:lineRule="auto"/>
        <w:ind w:firstLine="404" w:firstLineChars="200"/>
        <w:rPr>
          <w:rFonts w:hint="eastAsia" w:ascii="宋体" w:hAnsi="宋体" w:cs="宋体"/>
          <w:color w:val="auto"/>
          <w:highlight w:val="none"/>
          <w:u w:val="single"/>
        </w:rPr>
      </w:pPr>
      <w:bookmarkStart w:id="479" w:name="_Toc247514025"/>
      <w:bookmarkStart w:id="480" w:name="_Toc152042378"/>
      <w:bookmarkStart w:id="481" w:name="_Toc247527626"/>
      <w:bookmarkStart w:id="482" w:name="_Toc29422"/>
      <w:bookmarkStart w:id="483" w:name="_Toc152045601"/>
      <w:bookmarkStart w:id="484" w:name="_Toc144974568"/>
      <w:r>
        <w:rPr>
          <w:rFonts w:hint="eastAsia" w:ascii="宋体" w:hAnsi="宋体" w:cs="宋体"/>
          <w:color w:val="auto"/>
          <w:spacing w:val="-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1CEA8C13">
      <w:pPr>
        <w:pStyle w:val="2"/>
        <w:rPr>
          <w:color w:val="auto"/>
          <w:highlight w:val="none"/>
        </w:rPr>
      </w:pPr>
      <w:bookmarkStart w:id="485" w:name="_Toc27247"/>
      <w:bookmarkStart w:id="486" w:name="_Toc134304579"/>
      <w:r>
        <w:rPr>
          <w:rFonts w:hint="eastAsia"/>
          <w:color w:val="auto"/>
          <w:highlight w:val="none"/>
        </w:rPr>
        <w:t>2. 评审标准</w:t>
      </w:r>
      <w:bookmarkEnd w:id="479"/>
      <w:bookmarkEnd w:id="480"/>
      <w:bookmarkEnd w:id="481"/>
      <w:bookmarkEnd w:id="482"/>
      <w:bookmarkEnd w:id="483"/>
      <w:bookmarkEnd w:id="484"/>
      <w:bookmarkEnd w:id="485"/>
      <w:bookmarkEnd w:id="486"/>
    </w:p>
    <w:p w14:paraId="13DEAFAE">
      <w:pPr>
        <w:pStyle w:val="4"/>
        <w:rPr>
          <w:rFonts w:hint="eastAsia"/>
          <w:color w:val="auto"/>
          <w:highlight w:val="none"/>
        </w:rPr>
      </w:pPr>
      <w:bookmarkStart w:id="487" w:name="_Toc20319"/>
      <w:bookmarkStart w:id="488" w:name="_Toc20046"/>
      <w:bookmarkStart w:id="489" w:name="_Toc152045602"/>
      <w:bookmarkStart w:id="490" w:name="_Toc247514026"/>
      <w:bookmarkStart w:id="491" w:name="_Toc247527627"/>
      <w:bookmarkStart w:id="492" w:name="_Toc3043"/>
      <w:bookmarkStart w:id="493" w:name="_Toc144974569"/>
      <w:bookmarkStart w:id="494" w:name="_Toc152042379"/>
      <w:bookmarkStart w:id="495" w:name="_Toc134304580"/>
      <w:bookmarkStart w:id="496" w:name="_Toc87238948"/>
      <w:r>
        <w:rPr>
          <w:rFonts w:hint="eastAsia"/>
          <w:color w:val="auto"/>
          <w:highlight w:val="none"/>
        </w:rPr>
        <w:t>2.1 初步评审标准</w:t>
      </w:r>
      <w:bookmarkEnd w:id="487"/>
      <w:bookmarkEnd w:id="488"/>
      <w:bookmarkEnd w:id="489"/>
      <w:bookmarkEnd w:id="490"/>
      <w:bookmarkEnd w:id="491"/>
      <w:bookmarkEnd w:id="492"/>
      <w:bookmarkEnd w:id="493"/>
      <w:bookmarkEnd w:id="494"/>
      <w:bookmarkEnd w:id="495"/>
      <w:bookmarkEnd w:id="496"/>
    </w:p>
    <w:p w14:paraId="26EB173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4F668D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设计方案审查标准：见评标办法前附表。</w:t>
      </w:r>
    </w:p>
    <w:p w14:paraId="378182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2.1.3 资格评审标准：见评标办法前附表。</w:t>
      </w:r>
    </w:p>
    <w:p w14:paraId="7354ACD1">
      <w:pPr>
        <w:spacing w:line="360" w:lineRule="auto"/>
        <w:ind w:firstLine="420" w:firstLineChars="200"/>
        <w:rPr>
          <w:rFonts w:hint="eastAsia" w:ascii="新宋体" w:hAnsi="新宋体" w:eastAsia="新宋体" w:cs="新宋体"/>
          <w:color w:val="auto"/>
          <w:highlight w:val="none"/>
        </w:rPr>
      </w:pPr>
      <w:bookmarkStart w:id="497" w:name="_Toc247527628"/>
      <w:bookmarkStart w:id="498" w:name="_Toc15561"/>
      <w:bookmarkStart w:id="499" w:name="_Toc12471"/>
      <w:bookmarkStart w:id="500" w:name="_Toc144974570"/>
      <w:bookmarkStart w:id="501" w:name="_Toc152042380"/>
      <w:bookmarkStart w:id="502" w:name="_Toc152045603"/>
      <w:bookmarkStart w:id="503" w:name="_Toc247514027"/>
      <w:bookmarkStart w:id="504" w:name="_Toc10133"/>
      <w:r>
        <w:rPr>
          <w:rFonts w:hint="eastAsia" w:ascii="新宋体" w:hAnsi="新宋体" w:eastAsia="新宋体" w:cs="新宋体"/>
          <w:color w:val="auto"/>
          <w:highlight w:val="none"/>
        </w:rPr>
        <w:t xml:space="preserve">2.1.4 </w:t>
      </w:r>
      <w:r>
        <w:rPr>
          <w:rFonts w:hint="eastAsia" w:ascii="宋体" w:hAnsi="宋体" w:cs="宋体"/>
          <w:color w:val="auto"/>
          <w:szCs w:val="21"/>
          <w:highlight w:val="none"/>
          <w:u w:val="single"/>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647D356C">
      <w:pPr>
        <w:pStyle w:val="4"/>
        <w:rPr>
          <w:rFonts w:hint="eastAsia"/>
          <w:color w:val="auto"/>
          <w:highlight w:val="none"/>
        </w:rPr>
      </w:pPr>
      <w:bookmarkStart w:id="505" w:name="_Toc87238949"/>
      <w:bookmarkStart w:id="506" w:name="_Toc134304581"/>
      <w:r>
        <w:rPr>
          <w:rFonts w:hint="eastAsia"/>
          <w:color w:val="auto"/>
          <w:highlight w:val="none"/>
        </w:rPr>
        <w:t>2.2 分值构成与评分标准</w:t>
      </w:r>
      <w:bookmarkEnd w:id="497"/>
      <w:bookmarkEnd w:id="498"/>
      <w:bookmarkEnd w:id="499"/>
      <w:bookmarkEnd w:id="500"/>
      <w:bookmarkEnd w:id="501"/>
      <w:bookmarkEnd w:id="502"/>
      <w:bookmarkEnd w:id="503"/>
      <w:bookmarkEnd w:id="504"/>
      <w:bookmarkEnd w:id="505"/>
      <w:bookmarkEnd w:id="506"/>
    </w:p>
    <w:p w14:paraId="7B561C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034718F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（1）设计方案：见评标办法前附表；</w:t>
      </w:r>
    </w:p>
    <w:p w14:paraId="0FFC4503">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（2）工程总承包实施方案：见评标办法前附表；</w:t>
      </w:r>
    </w:p>
    <w:p w14:paraId="6F9A099C">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（3）投标报价：见评标办法前附表。</w:t>
      </w:r>
    </w:p>
    <w:p w14:paraId="49FDD4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5BAB0B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16312E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7E7EC5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0D5DE8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146AC8E7">
      <w:pPr>
        <w:spacing w:line="360" w:lineRule="auto"/>
        <w:ind w:firstLine="420" w:firstLineChars="200"/>
        <w:rPr>
          <w:rFonts w:hint="eastAsia" w:ascii="宋体" w:hAnsi="宋体" w:cs="宋体"/>
          <w:color w:val="auto"/>
          <w:highlight w:val="none"/>
          <w:u w:val="single"/>
        </w:rPr>
      </w:pPr>
      <w:bookmarkStart w:id="507" w:name="_Toc247527629"/>
      <w:bookmarkStart w:id="508" w:name="_Toc144974571"/>
      <w:bookmarkStart w:id="509" w:name="_Toc18562"/>
      <w:bookmarkStart w:id="510" w:name="_Toc247514028"/>
      <w:bookmarkStart w:id="511" w:name="_Toc152042381"/>
      <w:bookmarkStart w:id="512" w:name="_Toc20112"/>
      <w:bookmarkStart w:id="513" w:name="_Toc152045604"/>
      <w:r>
        <w:rPr>
          <w:rFonts w:hint="eastAsia" w:ascii="宋体" w:hAnsi="宋体" w:cs="宋体"/>
          <w:color w:val="auto"/>
          <w:highlight w:val="none"/>
          <w:u w:val="single"/>
        </w:rPr>
        <w:t>（1）设计方案评分标准：见评标办法前附表；</w:t>
      </w:r>
    </w:p>
    <w:p w14:paraId="1E8057BB">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（2）工程总承包实施方案评分标准：见评标办法前附表；</w:t>
      </w:r>
    </w:p>
    <w:p w14:paraId="766628AB">
      <w:pPr>
        <w:spacing w:line="360" w:lineRule="auto"/>
        <w:ind w:firstLine="420" w:firstLineChars="200"/>
        <w:rPr>
          <w:color w:val="auto"/>
          <w:highlight w:val="none"/>
        </w:rPr>
      </w:pPr>
      <w:r>
        <w:rPr>
          <w:rFonts w:hint="eastAsia" w:ascii="宋体" w:hAnsi="宋体" w:cs="宋体"/>
          <w:color w:val="auto"/>
          <w:highlight w:val="none"/>
          <w:u w:val="single"/>
        </w:rPr>
        <w:t>（3）投标报价评分标准：见评标办法前附表</w:t>
      </w:r>
    </w:p>
    <w:p w14:paraId="544FB1CE">
      <w:pPr>
        <w:pStyle w:val="2"/>
        <w:rPr>
          <w:color w:val="auto"/>
          <w:highlight w:val="none"/>
        </w:rPr>
      </w:pPr>
      <w:bookmarkStart w:id="514" w:name="_Toc134304582"/>
      <w:r>
        <w:rPr>
          <w:rFonts w:hint="eastAsia"/>
          <w:color w:val="auto"/>
          <w:highlight w:val="none"/>
        </w:rPr>
        <w:t>3. 评标程序</w:t>
      </w:r>
      <w:bookmarkEnd w:id="507"/>
      <w:bookmarkEnd w:id="508"/>
      <w:bookmarkEnd w:id="509"/>
      <w:bookmarkEnd w:id="510"/>
      <w:bookmarkEnd w:id="511"/>
      <w:bookmarkEnd w:id="512"/>
      <w:bookmarkEnd w:id="513"/>
      <w:bookmarkEnd w:id="514"/>
    </w:p>
    <w:p w14:paraId="50C228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本项目采取电子评标。设计方案由设计评审组负责，形式审查、资格审查（适用于资格后审项目）、工程总承包实施方案和投标报价的评审及评审汇总由施工评审组负责。</w:t>
      </w:r>
    </w:p>
    <w:p w14:paraId="3810C07E">
      <w:pPr>
        <w:pStyle w:val="4"/>
        <w:rPr>
          <w:rFonts w:hint="eastAsia"/>
          <w:color w:val="auto"/>
          <w:highlight w:val="none"/>
        </w:rPr>
      </w:pPr>
      <w:bookmarkStart w:id="515" w:name="_Toc3343"/>
      <w:bookmarkStart w:id="516" w:name="_Toc87238951"/>
      <w:bookmarkStart w:id="517" w:name="_Toc134304583"/>
      <w:bookmarkStart w:id="518" w:name="_Toc33695048"/>
      <w:bookmarkStart w:id="519" w:name="_Toc4286"/>
      <w:bookmarkStart w:id="520" w:name="_Toc27541"/>
      <w:bookmarkStart w:id="521" w:name="_Toc5650"/>
      <w:bookmarkStart w:id="522" w:name="_Toc439246059"/>
      <w:bookmarkStart w:id="523" w:name="_Toc439240660"/>
      <w:r>
        <w:rPr>
          <w:rFonts w:hint="eastAsia"/>
          <w:color w:val="auto"/>
          <w:highlight w:val="none"/>
        </w:rPr>
        <w:t>3.1 形式审查及资格审查（由施工评审组负责）</w:t>
      </w:r>
      <w:bookmarkEnd w:id="515"/>
      <w:bookmarkEnd w:id="516"/>
      <w:bookmarkEnd w:id="517"/>
      <w:bookmarkEnd w:id="518"/>
      <w:bookmarkEnd w:id="519"/>
      <w:bookmarkEnd w:id="520"/>
      <w:bookmarkEnd w:id="521"/>
    </w:p>
    <w:p w14:paraId="4AD2EED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3.1.1 形式审查中全部符合形式评审标准（详见前附表）中规定情形的，为形式审查合格。否则为形式审查不合格，经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对该情形的认定结论。</w:t>
      </w:r>
    </w:p>
    <w:p w14:paraId="40DD1DA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 投标人有以下情形之一的，评标委员会应当否决其投标：</w:t>
      </w:r>
    </w:p>
    <w:p w14:paraId="5AC9253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1D54C63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5985120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68514C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3.1.3 汇总形式审查情况，只有通过形式审查的投标人方可进入下一阶段的评审。形式审查合格的投标人少于3名的，则本项目招标失败。</w:t>
      </w:r>
    </w:p>
    <w:p w14:paraId="6E66B96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3.1.4 </w:t>
      </w:r>
      <w:r>
        <w:rPr>
          <w:rFonts w:hint="eastAsia" w:ascii="宋体" w:hAnsi="宋体" w:cs="宋体"/>
          <w:color w:val="auto"/>
          <w:highlight w:val="none"/>
          <w:u w:val="single"/>
        </w:rPr>
        <w:t>施工评审组评委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4918792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3.1.5 汇总资格审查情况，编写资格审查报告。资格审查合格的投标人少于3名的，则本项目招标失败。</w:t>
      </w:r>
    </w:p>
    <w:p w14:paraId="577A7EB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B1BA12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bookmarkEnd w:id="522"/>
      <w:bookmarkEnd w:id="523"/>
    </w:p>
    <w:p w14:paraId="332291AC">
      <w:pPr>
        <w:pStyle w:val="4"/>
        <w:rPr>
          <w:rFonts w:hint="eastAsia"/>
          <w:color w:val="auto"/>
          <w:szCs w:val="21"/>
          <w:highlight w:val="none"/>
        </w:rPr>
      </w:pPr>
      <w:bookmarkStart w:id="524" w:name="_Toc134304584"/>
      <w:bookmarkStart w:id="525" w:name="_Toc109114720"/>
      <w:bookmarkStart w:id="526" w:name="_Toc439240661"/>
      <w:bookmarkStart w:id="527" w:name="_Toc439246060"/>
      <w:bookmarkStart w:id="528" w:name="_Toc414"/>
      <w:bookmarkStart w:id="529" w:name="_Toc29953"/>
      <w:bookmarkStart w:id="530" w:name="_Toc28376"/>
      <w:bookmarkStart w:id="531" w:name="_Toc87238952"/>
      <w:bookmarkStart w:id="532" w:name="_Toc28052"/>
      <w:bookmarkStart w:id="533" w:name="_Toc33695050"/>
      <w:r>
        <w:rPr>
          <w:rFonts w:hint="eastAsia"/>
          <w:color w:val="auto"/>
          <w:highlight w:val="none"/>
        </w:rPr>
        <w:t>3.2 设计方案评审（暗标评审，由设计评审组负责）</w:t>
      </w:r>
      <w:bookmarkEnd w:id="524"/>
      <w:bookmarkEnd w:id="525"/>
    </w:p>
    <w:p w14:paraId="395463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3.2.1 设计方案的响应性审查：通过资格审查的投标文件中没有任一种列于设计方案响应性评审标准（详见前附表）中情形的，为有效标书。否则为无效标书，经设计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评委共同认定后，其投标文件将被拒绝。如设计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评委的评审意见不一致时，以设计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评委过半数成员的意见作为评标委员会对该情形的认定结论。</w:t>
      </w:r>
    </w:p>
    <w:p w14:paraId="06A3604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3.2.2设计方案投标文件详细审查评分：评标委员会按照设计方案评分标准（详见前附表），对通过有效性审查的投标文件进行详细审查评分，评出设计方案得分（投标人的得分为各评委评分汇总后的算术平均值，若分数出现小数点时，保留小数点后二位，第三位小数四舍五入）。</w:t>
      </w:r>
    </w:p>
    <w:p w14:paraId="428D923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3.2.3 评委揭晓投标人身份，并公布设计方案投标文件评审结果。设计组评标委员会取消未通过设计方案投标文件有效性审查的投标人的得分。</w:t>
      </w:r>
    </w:p>
    <w:p w14:paraId="5B40147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3.2.4 设计组评标委员会编写、签署评标报告。评标报告由评标委员会全体成员签字，对评标结论持有异议的评标委员会成员可以书面方式阐述其不同意见和理由。</w:t>
      </w:r>
    </w:p>
    <w:p w14:paraId="5FF2086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3.2.5 设计组评标委员会向招标人提交书面评标报告后即告解散，评标过程中使用的文件、表格以及其他资料应当即时归还招标人（招标代理机构）。</w:t>
      </w:r>
    </w:p>
    <w:p w14:paraId="1588CCDF">
      <w:pPr>
        <w:pStyle w:val="4"/>
        <w:rPr>
          <w:rFonts w:hint="eastAsia"/>
          <w:color w:val="auto"/>
          <w:szCs w:val="21"/>
          <w:highlight w:val="none"/>
        </w:rPr>
      </w:pPr>
      <w:bookmarkStart w:id="534" w:name="_Toc134304585"/>
      <w:r>
        <w:rPr>
          <w:rFonts w:hint="eastAsia"/>
          <w:color w:val="auto"/>
          <w:highlight w:val="none"/>
        </w:rPr>
        <w:t>3.3 工程总承包实施方案评审</w:t>
      </w:r>
      <w:bookmarkEnd w:id="526"/>
      <w:bookmarkEnd w:id="527"/>
      <w:r>
        <w:rPr>
          <w:rFonts w:hint="eastAsia"/>
          <w:color w:val="auto"/>
          <w:highlight w:val="none"/>
        </w:rPr>
        <w:t>（由施工评审组负责）</w:t>
      </w:r>
      <w:bookmarkEnd w:id="528"/>
      <w:bookmarkEnd w:id="529"/>
      <w:bookmarkEnd w:id="530"/>
      <w:bookmarkEnd w:id="531"/>
      <w:bookmarkEnd w:id="532"/>
      <w:bookmarkEnd w:id="533"/>
      <w:bookmarkEnd w:id="534"/>
    </w:p>
    <w:p w14:paraId="2EFE640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 工程总承包实施方案的响应性审查：通过资格审查的投标文件中没有任一种列于工程总承包实施方案响应性评审标准（详见前附表）中情形的，为有效标书。否则为无效标书，经</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评委过半数成员的意见作为评标委员会对该情形的认定结论。</w:t>
      </w:r>
    </w:p>
    <w:p w14:paraId="51E1C3D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3.3.2 工程总承包实施方案详细审查：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评委按照工程总承包实施方案评分标准（详见前附表），对通过响应性审查的投标文件进行详细审查，评分。</w:t>
      </w:r>
    </w:p>
    <w:p w14:paraId="6531CD7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3.3.3 各投标人工程总承包实施方案得分为各评委评分的算术平均值，</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评委按此汇总每个投标人工程总承包实施方案详细审查得分，分数出现小数点，保留小数点后二位，第三位小数四舍五入。</w:t>
      </w:r>
    </w:p>
    <w:p w14:paraId="3B1677B8">
      <w:pPr>
        <w:pStyle w:val="4"/>
        <w:rPr>
          <w:rFonts w:hint="eastAsia"/>
          <w:color w:val="auto"/>
          <w:highlight w:val="none"/>
        </w:rPr>
      </w:pPr>
      <w:bookmarkStart w:id="535" w:name="_Toc134304586"/>
      <w:bookmarkStart w:id="536" w:name="_Toc87238953"/>
      <w:r>
        <w:rPr>
          <w:rFonts w:hint="eastAsia"/>
          <w:color w:val="auto"/>
          <w:highlight w:val="none"/>
        </w:rPr>
        <w:t>34 投标报价得分（由施工评审组评委负责）</w:t>
      </w:r>
      <w:bookmarkEnd w:id="535"/>
      <w:bookmarkEnd w:id="536"/>
    </w:p>
    <w:p w14:paraId="6104BB6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施工评审组评委汇总工程总承包实施方案响应性评审结果，未通过工程总承包实施方案响应性评审的投标人的投标报价，不再进行投标报价评审，也不参与评标基准价的计算。</w:t>
      </w:r>
    </w:p>
    <w:p w14:paraId="743A2DB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3.4.2 投标报价的算术校核。</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评委对通过工程总承包实施方案响应性审查的投标文件的投标报进行算术校核，具体标准如下：</w:t>
      </w:r>
    </w:p>
    <w:p w14:paraId="5FD1322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（1）如果投标报价与最高投标限价计算的下浮率不等于投标下浮率时，以计算下浮率为准修正投标下浮率；</w:t>
      </w:r>
    </w:p>
    <w:p w14:paraId="417F3D8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（2）如果分项报价累加不等总价的，以分项报价累加为准，修正总价；</w:t>
      </w:r>
    </w:p>
    <w:p w14:paraId="678C462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（3）投标文件存在其他计算性错误的，按就低不就高计算并修正；</w:t>
      </w:r>
    </w:p>
    <w:p w14:paraId="7F14A4F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（4）若修正后的投标报价超过最高投标限价的，作否决投标处理；</w:t>
      </w:r>
    </w:p>
    <w:p w14:paraId="1C3C149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6AF6FC3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投标报价评分</w:t>
      </w:r>
    </w:p>
    <w:p w14:paraId="1120CC9B">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（1）</w:t>
      </w: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计算方法：</w:t>
      </w:r>
    </w:p>
    <w:p w14:paraId="24976B85">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区间抽取法：</w:t>
      </w:r>
    </w:p>
    <w:p w14:paraId="5234ADDA">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设立入围合格分数线（设计方案得分+工程总承包实施方案得分之和64分），达到或超过及格线的投标人的报价方能参与</w:t>
      </w: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的计算。将达到或超过及格分数线的投标报价由低至高进行排列，按以下公式计算</w:t>
      </w: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，计算公式如下：</w:t>
      </w:r>
    </w:p>
    <w:p w14:paraId="4ED2B693">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=（Q高-Q低）/100*X+Q低</w:t>
      </w:r>
    </w:p>
    <w:p w14:paraId="1F19CF42">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Q低：为达到或超过及格分数线的投标人最低报价与工程成本警示价两者中的较高值；如投标人均没有达到入围合格分数线的，则Q低为工程成本警示价。</w:t>
      </w:r>
    </w:p>
    <w:p w14:paraId="161465A4">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Q高：最高投标限价</w:t>
      </w:r>
    </w:p>
    <w:p w14:paraId="1A2DF145">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X：为等分点值，在开标前从[0,100]整数中随机抽取</w:t>
      </w:r>
    </w:p>
    <w:p w14:paraId="44254A51">
      <w:pPr>
        <w:spacing w:line="360" w:lineRule="auto"/>
        <w:ind w:firstLine="420" w:firstLineChars="200"/>
        <w:rPr>
          <w:rFonts w:hint="eastAsia" w:ascii="宋体" w:hAnsi="宋体" w:cs="宋体"/>
          <w:b/>
          <w:color w:val="auto"/>
          <w:kern w:val="1"/>
          <w:sz w:val="24"/>
          <w:highlight w:val="none"/>
          <w:lang w:val="zh-CN"/>
        </w:rPr>
      </w:pPr>
      <w:r>
        <w:rPr>
          <w:rFonts w:hint="eastAsia" w:ascii="宋体" w:hAnsi="宋体" w:cs="宋体"/>
          <w:color w:val="auto"/>
          <w:szCs w:val="21"/>
          <w:highlight w:val="none"/>
          <w:u w:val="single"/>
        </w:rPr>
        <w:t>（2）当投标总报价等于评标基准价时得100分，投标总报价每高于评标基准价1%，扣1.5分，每低于评标基准价1%，扣1分，最多扣100分，得出投标报价得分，精确到小数点后两位。</w:t>
      </w:r>
    </w:p>
    <w:p w14:paraId="270D2D41">
      <w:pPr>
        <w:pStyle w:val="4"/>
        <w:rPr>
          <w:rFonts w:hint="eastAsia"/>
          <w:color w:val="auto"/>
          <w:highlight w:val="none"/>
        </w:rPr>
      </w:pPr>
      <w:bookmarkStart w:id="537" w:name="_Toc2675447"/>
      <w:bookmarkStart w:id="538" w:name="_Toc31412"/>
      <w:bookmarkStart w:id="539" w:name="_Toc24469"/>
      <w:bookmarkStart w:id="540" w:name="_Toc12088"/>
      <w:bookmarkStart w:id="541" w:name="_Toc87238954"/>
      <w:bookmarkStart w:id="542" w:name="_Toc8695"/>
      <w:bookmarkStart w:id="543" w:name="_Toc134304587"/>
      <w:bookmarkStart w:id="544" w:name="_Toc33695052"/>
      <w:r>
        <w:rPr>
          <w:rFonts w:hint="eastAsia"/>
          <w:color w:val="auto"/>
          <w:highlight w:val="none"/>
        </w:rPr>
        <w:t>3.</w:t>
      </w:r>
      <w:bookmarkEnd w:id="537"/>
      <w:bookmarkStart w:id="545" w:name="_Toc2675448"/>
      <w:r>
        <w:rPr>
          <w:rFonts w:hint="eastAsia"/>
          <w:color w:val="auto"/>
          <w:highlight w:val="none"/>
        </w:rPr>
        <w:t>4 评审汇总（由施工评审组评委负责）</w:t>
      </w:r>
      <w:bookmarkEnd w:id="538"/>
      <w:bookmarkEnd w:id="539"/>
      <w:bookmarkEnd w:id="540"/>
      <w:bookmarkEnd w:id="541"/>
      <w:bookmarkEnd w:id="542"/>
      <w:bookmarkEnd w:id="543"/>
      <w:bookmarkEnd w:id="544"/>
    </w:p>
    <w:p w14:paraId="3D3061A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投标人总得分满分为100分，各部分分值分配详见评标办法前附表。</w:t>
      </w:r>
    </w:p>
    <w:p w14:paraId="13D088D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3.4.2 </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汇总各有效投标文件的总分，并按照总分从高到低排列先后次序，只有通过形式审查、资格审查、工程总承包实施方案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52A93BE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有效投标单位不足三家，应当依法重新组织招标。</w:t>
      </w:r>
    </w:p>
    <w:p w14:paraId="473C1AA8">
      <w:pPr>
        <w:pStyle w:val="4"/>
        <w:rPr>
          <w:rFonts w:hint="eastAsia"/>
          <w:color w:val="auto"/>
          <w:highlight w:val="none"/>
        </w:rPr>
      </w:pPr>
      <w:bookmarkStart w:id="546" w:name="_Toc33695053"/>
      <w:bookmarkStart w:id="547" w:name="_Toc134304588"/>
      <w:bookmarkStart w:id="548" w:name="_Toc26291"/>
      <w:bookmarkStart w:id="549" w:name="_Toc87238955"/>
      <w:bookmarkStart w:id="550" w:name="_Toc28792"/>
      <w:bookmarkStart w:id="551" w:name="_Toc31614"/>
      <w:bookmarkStart w:id="552" w:name="_Toc28206"/>
      <w:r>
        <w:rPr>
          <w:rFonts w:hint="eastAsia"/>
          <w:color w:val="auto"/>
          <w:highlight w:val="none"/>
        </w:rPr>
        <w:t>3.5 投标文件的澄清和补正</w:t>
      </w:r>
      <w:bookmarkEnd w:id="545"/>
      <w:bookmarkEnd w:id="546"/>
      <w:bookmarkEnd w:id="547"/>
      <w:bookmarkEnd w:id="548"/>
      <w:bookmarkEnd w:id="549"/>
      <w:bookmarkEnd w:id="550"/>
      <w:bookmarkEnd w:id="551"/>
      <w:bookmarkEnd w:id="552"/>
    </w:p>
    <w:p w14:paraId="54F9FB3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5E7E22A8">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5C02371">
      <w:pPr>
        <w:spacing w:line="360" w:lineRule="auto"/>
        <w:ind w:firstLine="396" w:firstLineChars="200"/>
        <w:rPr>
          <w:rFonts w:hint="eastAsia" w:ascii="宋体" w:hAnsi="宋体" w:cs="宋体"/>
          <w:color w:val="auto"/>
          <w:spacing w:val="-6"/>
          <w:highlight w:val="none"/>
          <w:u w:val="single"/>
        </w:rPr>
      </w:pPr>
      <w:r>
        <w:rPr>
          <w:rFonts w:hint="eastAsia" w:ascii="宋体" w:hAnsi="宋体" w:cs="宋体"/>
          <w:color w:val="auto"/>
          <w:spacing w:val="-6"/>
          <w:highlight w:val="none"/>
          <w:u w:val="single"/>
        </w:rPr>
        <w:t>3.5.3 评标委员会成员均应当阅读投标人的澄清，但应独立参考澄清对投标文件进行评审。</w:t>
      </w:r>
    </w:p>
    <w:p w14:paraId="35461CF5">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7F6CE62F">
      <w:pPr>
        <w:pStyle w:val="4"/>
        <w:rPr>
          <w:rFonts w:hint="eastAsia"/>
          <w:color w:val="auto"/>
          <w:highlight w:val="none"/>
        </w:rPr>
      </w:pPr>
      <w:bookmarkStart w:id="553" w:name="_Toc15798"/>
      <w:bookmarkStart w:id="554" w:name="_Toc134304589"/>
      <w:bookmarkStart w:id="555" w:name="_Toc33695054"/>
      <w:bookmarkStart w:id="556" w:name="_Toc27953"/>
      <w:bookmarkStart w:id="557" w:name="_Toc19558"/>
      <w:bookmarkStart w:id="558" w:name="_Toc2675449"/>
      <w:bookmarkStart w:id="559" w:name="_Toc13739"/>
      <w:bookmarkStart w:id="560" w:name="_Toc87238956"/>
      <w:r>
        <w:rPr>
          <w:rFonts w:hint="eastAsia"/>
          <w:color w:val="auto"/>
          <w:highlight w:val="none"/>
        </w:rPr>
        <w:t>3.6 评标结果</w:t>
      </w:r>
      <w:bookmarkEnd w:id="553"/>
      <w:bookmarkEnd w:id="554"/>
      <w:bookmarkEnd w:id="555"/>
      <w:bookmarkEnd w:id="556"/>
      <w:bookmarkEnd w:id="557"/>
      <w:bookmarkEnd w:id="558"/>
      <w:bookmarkEnd w:id="559"/>
      <w:bookmarkEnd w:id="560"/>
    </w:p>
    <w:p w14:paraId="3DD65B90">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 除第二章“投标人须知”前附表授权直接确定中标人外，评标委员会按照得分由高到低的顺序推荐中标候选人。</w:t>
      </w:r>
    </w:p>
    <w:p w14:paraId="7B3D3BF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评标委员会完成评标后，应当向招标人提交书面评标报告。</w:t>
      </w:r>
    </w:p>
    <w:p w14:paraId="6F802D85">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55595D8C">
      <w:pPr>
        <w:spacing w:line="360" w:lineRule="auto"/>
        <w:ind w:firstLine="420" w:firstLineChars="200"/>
        <w:rPr>
          <w:color w:val="auto"/>
          <w:highlight w:val="none"/>
        </w:rPr>
      </w:pPr>
      <w:r>
        <w:rPr>
          <w:color w:val="auto"/>
          <w:highlight w:val="none"/>
        </w:rPr>
        <w:br w:type="page"/>
      </w:r>
    </w:p>
    <w:p w14:paraId="0C75100E">
      <w:pPr>
        <w:pStyle w:val="112"/>
        <w:rPr>
          <w:color w:val="auto"/>
          <w:highlight w:val="none"/>
        </w:rPr>
      </w:pPr>
    </w:p>
    <w:p w14:paraId="6C6B6E82">
      <w:pPr>
        <w:pStyle w:val="112"/>
        <w:rPr>
          <w:color w:val="auto"/>
          <w:highlight w:val="none"/>
        </w:rPr>
      </w:pPr>
    </w:p>
    <w:p w14:paraId="6703380B">
      <w:pPr>
        <w:pStyle w:val="3"/>
        <w:rPr>
          <w:color w:val="auto"/>
          <w:highlight w:val="none"/>
        </w:rPr>
      </w:pPr>
      <w:bookmarkStart w:id="561" w:name="_Toc134304590"/>
      <w:r>
        <w:rPr>
          <w:rFonts w:hint="eastAsia"/>
          <w:color w:val="auto"/>
          <w:highlight w:val="none"/>
        </w:rPr>
        <w:t>第四章 合同条款及格式</w:t>
      </w:r>
      <w:bookmarkEnd w:id="473"/>
      <w:bookmarkEnd w:id="474"/>
      <w:bookmarkEnd w:id="475"/>
      <w:bookmarkEnd w:id="476"/>
      <w:bookmarkEnd w:id="477"/>
      <w:bookmarkEnd w:id="478"/>
      <w:bookmarkEnd w:id="561"/>
      <w:bookmarkStart w:id="562" w:name="_Toc247514034"/>
      <w:bookmarkStart w:id="563" w:name="_Toc184635097"/>
      <w:bookmarkStart w:id="564" w:name="_Toc247527635"/>
      <w:bookmarkStart w:id="565" w:name="_Toc152045610"/>
      <w:bookmarkStart w:id="566" w:name="_Toc144974578"/>
      <w:bookmarkStart w:id="567" w:name="_Toc152042388"/>
    </w:p>
    <w:p w14:paraId="5EDC4DCD">
      <w:pPr>
        <w:jc w:val="center"/>
        <w:rPr>
          <w:rFonts w:hint="eastAsia" w:ascii="宋体" w:hAnsi="宋体" w:cs="宋体"/>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另册</w:t>
      </w:r>
      <w:r>
        <w:rPr>
          <w:rFonts w:hint="eastAsia" w:ascii="宋体" w:hAnsi="宋体" w:cs="宋体"/>
          <w:b/>
          <w:bCs/>
          <w:color w:val="auto"/>
          <w:highlight w:val="none"/>
          <w:lang w:eastAsia="zh-CN"/>
        </w:rPr>
        <w:t>）</w:t>
      </w:r>
      <w:r>
        <w:rPr>
          <w:rFonts w:hint="eastAsia" w:ascii="宋体" w:hAnsi="宋体" w:cs="宋体"/>
          <w:color w:val="auto"/>
          <w:highlight w:val="none"/>
        </w:rPr>
        <w:br w:type="page"/>
      </w:r>
    </w:p>
    <w:p w14:paraId="7C15DB95">
      <w:pPr>
        <w:pStyle w:val="47"/>
        <w:rPr>
          <w:color w:val="auto"/>
          <w:highlight w:val="none"/>
        </w:rPr>
      </w:pPr>
    </w:p>
    <w:p w14:paraId="5E507344">
      <w:pPr>
        <w:topLinePunct/>
        <w:spacing w:line="440" w:lineRule="exact"/>
        <w:ind w:firstLine="420"/>
        <w:jc w:val="center"/>
        <w:rPr>
          <w:rFonts w:hint="eastAsia" w:ascii="宋体" w:hAnsi="宋体" w:cs="宋体"/>
          <w:color w:val="auto"/>
          <w:highlight w:val="none"/>
        </w:rPr>
      </w:pPr>
    </w:p>
    <w:p w14:paraId="69821A46">
      <w:pPr>
        <w:topLinePunct/>
        <w:spacing w:line="440" w:lineRule="exact"/>
        <w:ind w:firstLine="420"/>
        <w:jc w:val="center"/>
        <w:rPr>
          <w:rFonts w:hint="eastAsia" w:ascii="宋体" w:hAnsi="宋体" w:cs="宋体"/>
          <w:color w:val="auto"/>
          <w:highlight w:val="none"/>
        </w:rPr>
      </w:pPr>
    </w:p>
    <w:p w14:paraId="3543359C">
      <w:pPr>
        <w:pStyle w:val="112"/>
        <w:rPr>
          <w:color w:val="auto"/>
          <w:highlight w:val="none"/>
        </w:rPr>
      </w:pPr>
    </w:p>
    <w:p w14:paraId="2EA48624">
      <w:pPr>
        <w:spacing w:line="400" w:lineRule="exact"/>
        <w:ind w:firstLine="420"/>
        <w:rPr>
          <w:rFonts w:hint="eastAsia" w:ascii="宋体" w:hAnsi="宋体" w:cs="宋体"/>
          <w:color w:val="auto"/>
          <w:highlight w:val="none"/>
        </w:rPr>
      </w:pPr>
    </w:p>
    <w:p w14:paraId="2476DFEA">
      <w:pPr>
        <w:spacing w:line="400" w:lineRule="exact"/>
        <w:ind w:firstLine="420"/>
        <w:rPr>
          <w:rFonts w:hint="eastAsia" w:ascii="宋体" w:hAnsi="宋体" w:cs="宋体"/>
          <w:color w:val="auto"/>
          <w:highlight w:val="none"/>
        </w:rPr>
      </w:pPr>
    </w:p>
    <w:p w14:paraId="07FEBC44">
      <w:pPr>
        <w:pStyle w:val="112"/>
        <w:rPr>
          <w:color w:val="auto"/>
          <w:highlight w:val="none"/>
        </w:rPr>
      </w:pPr>
    </w:p>
    <w:bookmarkEnd w:id="562"/>
    <w:bookmarkEnd w:id="563"/>
    <w:bookmarkEnd w:id="564"/>
    <w:bookmarkEnd w:id="565"/>
    <w:bookmarkEnd w:id="566"/>
    <w:bookmarkEnd w:id="567"/>
    <w:p w14:paraId="481B64E5">
      <w:pPr>
        <w:spacing w:line="400" w:lineRule="exact"/>
        <w:ind w:firstLine="420"/>
        <w:rPr>
          <w:rFonts w:hint="eastAsia" w:ascii="宋体" w:hAnsi="宋体" w:cs="宋体"/>
          <w:color w:val="auto"/>
          <w:highlight w:val="none"/>
        </w:rPr>
      </w:pPr>
    </w:p>
    <w:p w14:paraId="05F9D97A">
      <w:pPr>
        <w:spacing w:line="400" w:lineRule="exact"/>
        <w:ind w:firstLine="420"/>
        <w:rPr>
          <w:rFonts w:hint="eastAsia" w:ascii="宋体" w:hAnsi="宋体" w:cs="宋体"/>
          <w:color w:val="auto"/>
          <w:highlight w:val="none"/>
        </w:rPr>
      </w:pPr>
    </w:p>
    <w:p w14:paraId="7B156CE3">
      <w:pPr>
        <w:pStyle w:val="3"/>
        <w:rPr>
          <w:color w:val="auto"/>
          <w:highlight w:val="none"/>
        </w:rPr>
      </w:pPr>
      <w:bookmarkStart w:id="568" w:name="_Toc247514232"/>
      <w:bookmarkStart w:id="569" w:name="_Toc247527819"/>
      <w:bookmarkStart w:id="570" w:name="_Toc134304591"/>
      <w:bookmarkStart w:id="571" w:name="_Toc25556"/>
      <w:r>
        <w:rPr>
          <w:rFonts w:hint="eastAsia"/>
          <w:color w:val="auto"/>
          <w:highlight w:val="none"/>
        </w:rPr>
        <w:t>第二卷</w:t>
      </w:r>
      <w:bookmarkEnd w:id="568"/>
      <w:bookmarkEnd w:id="569"/>
      <w:bookmarkEnd w:id="570"/>
    </w:p>
    <w:p w14:paraId="51E72793">
      <w:pPr>
        <w:spacing w:line="400" w:lineRule="exact"/>
        <w:ind w:firstLine="420"/>
        <w:rPr>
          <w:rFonts w:hint="eastAsia" w:ascii="宋体" w:hAnsi="宋体" w:cs="宋体"/>
          <w:color w:val="auto"/>
          <w:highlight w:val="none"/>
        </w:rPr>
      </w:pPr>
    </w:p>
    <w:p w14:paraId="3FF74D83">
      <w:pPr>
        <w:spacing w:line="400" w:lineRule="exact"/>
        <w:ind w:firstLine="420"/>
        <w:rPr>
          <w:rFonts w:hint="eastAsia" w:ascii="宋体" w:hAnsi="宋体" w:cs="宋体"/>
          <w:color w:val="auto"/>
          <w:highlight w:val="none"/>
        </w:rPr>
      </w:pPr>
    </w:p>
    <w:p w14:paraId="142C8551">
      <w:pPr>
        <w:spacing w:line="400" w:lineRule="exact"/>
        <w:ind w:firstLine="420"/>
        <w:rPr>
          <w:color w:val="auto"/>
          <w:szCs w:val="20"/>
          <w:highlight w:val="none"/>
        </w:rPr>
      </w:pPr>
      <w:r>
        <w:rPr>
          <w:rFonts w:hint="eastAsia" w:ascii="宋体" w:hAnsi="宋体" w:cs="宋体"/>
          <w:color w:val="auto"/>
          <w:highlight w:val="none"/>
        </w:rPr>
        <w:br w:type="page"/>
      </w:r>
      <w:bookmarkEnd w:id="571"/>
    </w:p>
    <w:p w14:paraId="1BBECEF1">
      <w:pPr>
        <w:spacing w:line="440" w:lineRule="exact"/>
        <w:ind w:firstLine="400"/>
        <w:jc w:val="center"/>
        <w:rPr>
          <w:rFonts w:hint="eastAsia" w:ascii="宋体" w:hAnsi="宋体" w:cs="宋体"/>
          <w:color w:val="auto"/>
          <w:sz w:val="20"/>
          <w:szCs w:val="20"/>
          <w:highlight w:val="none"/>
        </w:rPr>
      </w:pPr>
    </w:p>
    <w:p w14:paraId="27345074">
      <w:pPr>
        <w:spacing w:line="440" w:lineRule="exact"/>
        <w:ind w:firstLine="400"/>
        <w:jc w:val="center"/>
        <w:rPr>
          <w:rFonts w:hint="eastAsia" w:ascii="宋体" w:hAnsi="宋体" w:cs="宋体"/>
          <w:color w:val="auto"/>
          <w:sz w:val="20"/>
          <w:szCs w:val="20"/>
          <w:highlight w:val="none"/>
        </w:rPr>
      </w:pPr>
    </w:p>
    <w:p w14:paraId="6D549EA0">
      <w:pPr>
        <w:pStyle w:val="3"/>
        <w:rPr>
          <w:color w:val="auto"/>
          <w:highlight w:val="none"/>
        </w:rPr>
      </w:pPr>
      <w:bookmarkStart w:id="572" w:name="_Toc247514233"/>
      <w:bookmarkStart w:id="573" w:name="_Toc247527820"/>
      <w:bookmarkStart w:id="574" w:name="_Toc152042571"/>
      <w:bookmarkStart w:id="575" w:name="_Toc144974851"/>
      <w:bookmarkStart w:id="576" w:name="_Toc152045782"/>
      <w:bookmarkStart w:id="577" w:name="_Toc134304592"/>
      <w:bookmarkStart w:id="578" w:name="_Toc16616"/>
      <w:r>
        <w:rPr>
          <w:rFonts w:hint="eastAsia"/>
          <w:color w:val="auto"/>
          <w:highlight w:val="none"/>
        </w:rPr>
        <w:t xml:space="preserve">第五章  </w:t>
      </w:r>
      <w:bookmarkEnd w:id="572"/>
      <w:bookmarkEnd w:id="573"/>
      <w:bookmarkEnd w:id="574"/>
      <w:bookmarkEnd w:id="575"/>
      <w:bookmarkEnd w:id="576"/>
      <w:r>
        <w:rPr>
          <w:rFonts w:hint="eastAsia"/>
          <w:color w:val="auto"/>
          <w:highlight w:val="none"/>
        </w:rPr>
        <w:t>招标人要求</w:t>
      </w:r>
      <w:bookmarkEnd w:id="577"/>
      <w:bookmarkEnd w:id="578"/>
    </w:p>
    <w:p w14:paraId="4FADC6BC">
      <w:pPr>
        <w:widowControl/>
        <w:spacing w:line="360" w:lineRule="auto"/>
        <w:ind w:firstLine="420" w:firstLineChars="200"/>
        <w:jc w:val="left"/>
        <w:rPr>
          <w:rFonts w:hint="eastAsia" w:ascii="宋体" w:hAnsi="宋体" w:eastAsia="宋体" w:cs="宋体"/>
          <w:color w:val="auto"/>
          <w:sz w:val="21"/>
          <w:highlight w:val="none"/>
          <w:u w:val="single"/>
          <w:lang w:bidi="ar"/>
        </w:rPr>
      </w:pPr>
      <w:r>
        <w:rPr>
          <w:rFonts w:hint="eastAsia" w:ascii="宋体" w:hAnsi="宋体" w:eastAsia="宋体" w:cs="宋体"/>
          <w:color w:val="auto"/>
          <w:sz w:val="21"/>
          <w:highlight w:val="none"/>
          <w:u w:val="single"/>
          <w:lang w:val="en-US" w:eastAsia="zh-CN" w:bidi="ar"/>
        </w:rPr>
        <w:t>一、</w:t>
      </w:r>
      <w:r>
        <w:rPr>
          <w:rFonts w:hint="eastAsia" w:ascii="宋体" w:hAnsi="宋体" w:eastAsia="宋体" w:cs="宋体"/>
          <w:color w:val="auto"/>
          <w:sz w:val="21"/>
          <w:highlight w:val="none"/>
          <w:u w:val="single"/>
          <w:lang w:bidi="ar"/>
        </w:rPr>
        <w:t>施工现场建筑垃圾源头减量的具体要求和建筑垃圾综合利用品的使用要求</w:t>
      </w:r>
    </w:p>
    <w:p w14:paraId="1CE479C6">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545659E7">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（1）工程概况和施工单位基本信息；</w:t>
      </w:r>
    </w:p>
    <w:p w14:paraId="14AEB009">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（2）建筑垃圾产生量与种类；</w:t>
      </w:r>
    </w:p>
    <w:p w14:paraId="70454E8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（3）建筑垃圾源头减量、分类收集、综合利用、污染防治的措施和目标；</w:t>
      </w:r>
    </w:p>
    <w:p w14:paraId="769D9634">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（4）需要外运的建筑垃圾种类、数量与运输的时间、路线、方式和运输单位；</w:t>
      </w:r>
    </w:p>
    <w:p w14:paraId="213E5571">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（5）建筑垃圾回填、消纳、综合利用场所名称；</w:t>
      </w:r>
    </w:p>
    <w:p w14:paraId="4D61D37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（6）法律、法规规定的其他内容。</w:t>
      </w:r>
    </w:p>
    <w:p w14:paraId="0EACF2C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2.建筑垃圾应当按照国家有关规定进行分类，实行分类收集、分类贮存、分类运输、分类处置。</w:t>
      </w:r>
    </w:p>
    <w:p w14:paraId="5EB7F90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F851068">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4.运输建筑垃圾应当遵守下列规定：</w:t>
      </w:r>
    </w:p>
    <w:p w14:paraId="2FD43E5F">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（1）建立建筑垃圾运输管理台账；</w:t>
      </w:r>
    </w:p>
    <w:p w14:paraId="445EB0AD">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（2）不得将工程渣土、工程泥浆与其他建筑垃圾混合运输；</w:t>
      </w:r>
    </w:p>
    <w:p w14:paraId="1CAC07C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（3）保持运输车辆、船舶等运输工具的行驶记录、卫星定位等电子装置正常使用；</w:t>
      </w:r>
    </w:p>
    <w:p w14:paraId="561CAB99">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（4）运输过程中保持运输工具整洁，采取密闭或者其他有效措施防止遗撒建筑垃圾，不得擅自倾倒、抛撒建筑垃圾；</w:t>
      </w:r>
    </w:p>
    <w:p w14:paraId="56EA945C">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（5）按照建筑垃圾处理方案确定的时间、路线、方式、场所进行运输。建筑垃圾运输车辆、船舶应当符合相应的载运技术条件。建筑垃圾处置场所为陆域的，不得采用开底式船舶运输建筑垃圾。</w:t>
      </w:r>
    </w:p>
    <w:p w14:paraId="73E8EEA5">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09274B65">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0F12376">
      <w:pPr>
        <w:ind w:firstLine="420" w:firstLineChars="0"/>
        <w:rPr>
          <w:color w:val="auto"/>
          <w:highlight w:val="none"/>
          <w:u w:val="single"/>
        </w:rPr>
      </w:pPr>
      <w:r>
        <w:rPr>
          <w:rFonts w:hint="eastAsia" w:ascii="宋体" w:hAnsi="宋体" w:eastAsia="宋体" w:cs="宋体"/>
          <w:b/>
          <w:bCs/>
          <w:color w:val="auto"/>
          <w:sz w:val="24"/>
          <w:szCs w:val="24"/>
          <w:highlight w:val="none"/>
          <w:u w:val="single"/>
          <w:lang w:val="en-US" w:eastAsia="zh-CN"/>
        </w:rPr>
        <w:t>7.建设单位和施工单位严格遵守并执行《广东省建筑垃圾管理条例》。</w:t>
      </w:r>
    </w:p>
    <w:p w14:paraId="4FA4D0C6">
      <w:pPr>
        <w:topLinePunct/>
        <w:spacing w:line="440" w:lineRule="exact"/>
        <w:ind w:firstLine="420"/>
        <w:jc w:val="center"/>
        <w:rPr>
          <w:rFonts w:hint="eastAsia" w:ascii="宋体" w:hAnsi="宋体" w:cs="宋体"/>
          <w:color w:val="auto"/>
          <w:highlight w:val="none"/>
        </w:rPr>
      </w:pPr>
    </w:p>
    <w:p w14:paraId="723F5AD7">
      <w:pPr>
        <w:spacing w:line="40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48B35AFD">
      <w:pPr>
        <w:spacing w:line="400" w:lineRule="exact"/>
        <w:ind w:firstLine="420"/>
        <w:rPr>
          <w:rFonts w:hint="eastAsia" w:ascii="宋体" w:hAnsi="宋体" w:cs="宋体"/>
          <w:color w:val="auto"/>
          <w:szCs w:val="21"/>
          <w:highlight w:val="none"/>
        </w:rPr>
      </w:pPr>
    </w:p>
    <w:p w14:paraId="4E59632F">
      <w:pPr>
        <w:spacing w:line="360" w:lineRule="auto"/>
        <w:ind w:firstLine="420"/>
        <w:rPr>
          <w:rFonts w:hint="eastAsia" w:ascii="宋体" w:hAnsi="宋体" w:cs="宋体"/>
          <w:color w:val="auto"/>
          <w:szCs w:val="21"/>
          <w:highlight w:val="none"/>
        </w:rPr>
      </w:pPr>
    </w:p>
    <w:p w14:paraId="6A12A4FA">
      <w:pPr>
        <w:pStyle w:val="3"/>
        <w:rPr>
          <w:color w:val="auto"/>
          <w:highlight w:val="none"/>
        </w:rPr>
      </w:pPr>
      <w:bookmarkStart w:id="579" w:name="_Toc23943"/>
      <w:bookmarkStart w:id="580" w:name="_Toc134304593"/>
      <w:r>
        <w:rPr>
          <w:rFonts w:hint="eastAsia"/>
          <w:color w:val="auto"/>
          <w:highlight w:val="none"/>
        </w:rPr>
        <w:t>第六章  招标人提供的资料</w:t>
      </w:r>
      <w:bookmarkEnd w:id="579"/>
      <w:bookmarkEnd w:id="580"/>
    </w:p>
    <w:p w14:paraId="762DD371">
      <w:pPr>
        <w:jc w:val="left"/>
        <w:rPr>
          <w:rFonts w:ascii="Arial" w:hAnsi="Arial" w:cs="Arial"/>
          <w:b/>
          <w:color w:val="auto"/>
          <w:sz w:val="32"/>
          <w:szCs w:val="32"/>
          <w:highlight w:val="none"/>
        </w:rPr>
      </w:pPr>
      <w:bookmarkStart w:id="581" w:name="OLE_LINK18"/>
      <w:r>
        <w:rPr>
          <w:rFonts w:hint="eastAsia" w:ascii="Arial" w:hAnsi="Arial" w:cs="Arial"/>
          <w:b/>
          <w:color w:val="auto"/>
          <w:sz w:val="32"/>
          <w:szCs w:val="32"/>
          <w:highlight w:val="none"/>
        </w:rPr>
        <w:br w:type="page"/>
      </w:r>
    </w:p>
    <w:p w14:paraId="3B4A7D69">
      <w:pPr>
        <w:spacing w:before="62" w:beforeLines="20" w:after="62" w:afterLines="20" w:line="276" w:lineRule="auto"/>
        <w:jc w:val="center"/>
        <w:rPr>
          <w:rFonts w:ascii="Arial" w:hAnsi="Arial" w:cs="Arial"/>
          <w:b/>
          <w:color w:val="auto"/>
          <w:sz w:val="32"/>
          <w:szCs w:val="32"/>
          <w:highlight w:val="none"/>
        </w:rPr>
      </w:pPr>
      <w:r>
        <w:rPr>
          <w:rFonts w:hint="eastAsia" w:ascii="Arial" w:hAnsi="Arial" w:cs="Arial"/>
          <w:b/>
          <w:color w:val="auto"/>
          <w:sz w:val="32"/>
          <w:szCs w:val="32"/>
          <w:highlight w:val="none"/>
          <w:lang w:eastAsia="zh-CN"/>
        </w:rPr>
        <w:t>中山大学中山眼科中心公共实验平台（区庄院区）细胞培养室与临床病理实验室功能升级设计施工一体化项目</w:t>
      </w:r>
      <w:r>
        <w:rPr>
          <w:rFonts w:hint="eastAsia" w:ascii="Arial" w:hAnsi="Arial" w:cs="Arial"/>
          <w:b/>
          <w:color w:val="auto"/>
          <w:sz w:val="32"/>
          <w:szCs w:val="32"/>
          <w:highlight w:val="none"/>
        </w:rPr>
        <w:t>用户需求书</w:t>
      </w:r>
    </w:p>
    <w:bookmarkEnd w:id="581"/>
    <w:tbl>
      <w:tblPr>
        <w:tblStyle w:val="74"/>
        <w:tblW w:w="0" w:type="auto"/>
        <w:jc w:val="center"/>
        <w:tblLayout w:type="fixed"/>
        <w:tblCellMar>
          <w:top w:w="0" w:type="dxa"/>
          <w:left w:w="108" w:type="dxa"/>
          <w:bottom w:w="0" w:type="dxa"/>
          <w:right w:w="108" w:type="dxa"/>
        </w:tblCellMar>
      </w:tblPr>
      <w:tblGrid>
        <w:gridCol w:w="9569"/>
      </w:tblGrid>
      <w:tr w14:paraId="0149DD4B">
        <w:tblPrEx>
          <w:tblCellMar>
            <w:top w:w="0" w:type="dxa"/>
            <w:left w:w="108" w:type="dxa"/>
            <w:bottom w:w="0" w:type="dxa"/>
            <w:right w:w="108" w:type="dxa"/>
          </w:tblCellMar>
        </w:tblPrEx>
        <w:trPr>
          <w:trHeight w:val="1280" w:hRule="atLeast"/>
          <w:jc w:val="center"/>
        </w:trPr>
        <w:tc>
          <w:tcPr>
            <w:tcW w:w="9569" w:type="dxa"/>
            <w:tcBorders>
              <w:top w:val="nil"/>
              <w:left w:val="nil"/>
              <w:bottom w:val="nil"/>
              <w:right w:val="nil"/>
            </w:tcBorders>
            <w:vAlign w:val="center"/>
          </w:tcPr>
          <w:p w14:paraId="33B9FDC9">
            <w:pPr>
              <w:spacing w:before="62" w:beforeLines="20" w:after="62" w:afterLines="20" w:line="276" w:lineRule="auto"/>
              <w:jc w:val="left"/>
              <w:rPr>
                <w:rFonts w:ascii="Arial" w:hAnsi="Arial" w:cs="Arial"/>
                <w:color w:val="auto"/>
                <w:sz w:val="24"/>
                <w:highlight w:val="none"/>
              </w:rPr>
            </w:pPr>
          </w:p>
        </w:tc>
      </w:tr>
    </w:tbl>
    <w:p w14:paraId="09BB2E7C">
      <w:pPr>
        <w:spacing w:before="62" w:beforeLines="20" w:after="62" w:afterLines="20" w:line="360" w:lineRule="auto"/>
        <w:jc w:val="center"/>
        <w:rPr>
          <w:rFonts w:ascii="Arial" w:hAnsi="Arial" w:cs="Arial"/>
          <w:b/>
          <w:color w:val="auto"/>
          <w:sz w:val="44"/>
          <w:szCs w:val="44"/>
          <w:highlight w:val="none"/>
        </w:rPr>
      </w:pPr>
      <w:r>
        <w:rPr>
          <w:rFonts w:hint="eastAsia" w:ascii="Arial" w:hAnsi="Arial" w:cs="Arial"/>
          <w:b/>
          <w:color w:val="auto"/>
          <w:sz w:val="44"/>
          <w:szCs w:val="44"/>
          <w:highlight w:val="none"/>
        </w:rPr>
        <w:t>目录</w:t>
      </w:r>
    </w:p>
    <w:p w14:paraId="6CF31347">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一．项目概况</w:t>
      </w:r>
    </w:p>
    <w:p w14:paraId="44377408">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二、范围</w:t>
      </w:r>
    </w:p>
    <w:p w14:paraId="1E6B2210">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三、说明</w:t>
      </w:r>
    </w:p>
    <w:p w14:paraId="0F067A69">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四、总则</w:t>
      </w:r>
    </w:p>
    <w:p w14:paraId="0692C346">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五、综合要求</w:t>
      </w:r>
    </w:p>
    <w:p w14:paraId="4759FF97">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六、</w:t>
      </w:r>
      <w:r>
        <w:rPr>
          <w:rFonts w:hint="eastAsia" w:ascii="Arial" w:hAnsi="Arial" w:cs="Arial"/>
          <w:b/>
          <w:color w:val="auto"/>
          <w:sz w:val="24"/>
          <w:highlight w:val="none"/>
        </w:rPr>
        <w:t>装修要求</w:t>
      </w:r>
    </w:p>
    <w:p w14:paraId="62AF0F4E">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七、</w:t>
      </w:r>
      <w:r>
        <w:rPr>
          <w:rFonts w:hint="eastAsia" w:ascii="Arial" w:hAnsi="Arial" w:cs="Arial"/>
          <w:b/>
          <w:color w:val="auto"/>
          <w:sz w:val="24"/>
          <w:highlight w:val="none"/>
        </w:rPr>
        <w:t>工艺管道专业要求</w:t>
      </w:r>
    </w:p>
    <w:p w14:paraId="70EB202A">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八、电气专业要求</w:t>
      </w:r>
    </w:p>
    <w:p w14:paraId="073DDCA1">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九、给排水专业要求</w:t>
      </w:r>
    </w:p>
    <w:p w14:paraId="6B45B938">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w:t>
      </w:r>
      <w:r>
        <w:rPr>
          <w:rFonts w:ascii="Arial" w:hAnsi="Arial" w:cs="Arial"/>
          <w:b/>
          <w:color w:val="auto"/>
          <w:sz w:val="24"/>
          <w:highlight w:val="none"/>
        </w:rPr>
        <w:t>空调与通风安装工程</w:t>
      </w:r>
    </w:p>
    <w:p w14:paraId="6CDF840A">
      <w:pPr>
        <w:spacing w:before="62" w:beforeLines="20" w:after="62" w:afterLines="20" w:line="276" w:lineRule="auto"/>
        <w:jc w:val="left"/>
        <w:rPr>
          <w:rFonts w:hint="eastAsia" w:ascii="宋体" w:hAnsi="宋体" w:cs="Arial"/>
          <w:b/>
          <w:color w:val="auto"/>
          <w:sz w:val="24"/>
          <w:highlight w:val="none"/>
        </w:rPr>
      </w:pPr>
      <w:r>
        <w:rPr>
          <w:rFonts w:hint="eastAsia" w:ascii="宋体" w:hAnsi="宋体" w:cs="Arial"/>
          <w:b/>
          <w:color w:val="auto"/>
          <w:sz w:val="24"/>
          <w:highlight w:val="none"/>
        </w:rPr>
        <w:t>十一、洁净区恒温恒湿组合空调机组</w:t>
      </w:r>
    </w:p>
    <w:p w14:paraId="55D966A6">
      <w:pPr>
        <w:spacing w:before="62" w:beforeLines="20" w:after="62" w:afterLines="20" w:line="276" w:lineRule="auto"/>
        <w:jc w:val="left"/>
        <w:rPr>
          <w:rFonts w:hint="eastAsia" w:ascii="宋体" w:hAnsi="宋体" w:cs="Arial"/>
          <w:b/>
          <w:color w:val="auto"/>
          <w:sz w:val="24"/>
          <w:highlight w:val="none"/>
        </w:rPr>
      </w:pPr>
      <w:r>
        <w:rPr>
          <w:rFonts w:hint="eastAsia" w:ascii="宋体" w:hAnsi="宋体" w:cs="Arial"/>
          <w:b/>
          <w:color w:val="auto"/>
          <w:sz w:val="24"/>
          <w:highlight w:val="none"/>
        </w:rPr>
        <w:t>十二、实验气体要求</w:t>
      </w:r>
    </w:p>
    <w:p w14:paraId="1043C141">
      <w:pPr>
        <w:spacing w:before="62" w:beforeLines="20" w:after="62" w:afterLines="20" w:line="276" w:lineRule="auto"/>
        <w:jc w:val="left"/>
        <w:rPr>
          <w:rFonts w:hint="eastAsia" w:ascii="宋体" w:hAnsi="宋体" w:cs="Arial"/>
          <w:b/>
          <w:color w:val="auto"/>
          <w:sz w:val="24"/>
          <w:highlight w:val="none"/>
        </w:rPr>
      </w:pPr>
    </w:p>
    <w:p w14:paraId="12599104">
      <w:pPr>
        <w:spacing w:before="62" w:beforeLines="20" w:after="62" w:afterLines="20" w:line="276" w:lineRule="auto"/>
        <w:jc w:val="left"/>
        <w:rPr>
          <w:rFonts w:hint="eastAsia" w:ascii="宋体" w:hAnsi="宋体" w:cs="Arial"/>
          <w:b/>
          <w:color w:val="auto"/>
          <w:sz w:val="24"/>
          <w:highlight w:val="none"/>
        </w:rPr>
      </w:pPr>
    </w:p>
    <w:p w14:paraId="111CF4FD">
      <w:pPr>
        <w:spacing w:before="62" w:beforeLines="20" w:after="62" w:afterLines="20" w:line="276" w:lineRule="auto"/>
        <w:jc w:val="left"/>
        <w:rPr>
          <w:rFonts w:hint="eastAsia" w:ascii="宋体" w:hAnsi="宋体" w:cs="Arial"/>
          <w:b/>
          <w:color w:val="auto"/>
          <w:sz w:val="24"/>
          <w:highlight w:val="none"/>
        </w:rPr>
      </w:pPr>
    </w:p>
    <w:p w14:paraId="1EEF39AC">
      <w:pPr>
        <w:spacing w:before="62" w:beforeLines="20" w:after="62" w:afterLines="20" w:line="276" w:lineRule="auto"/>
        <w:jc w:val="left"/>
        <w:rPr>
          <w:rFonts w:hint="eastAsia" w:ascii="宋体" w:hAnsi="宋体" w:cs="Arial"/>
          <w:b/>
          <w:color w:val="auto"/>
          <w:sz w:val="24"/>
          <w:highlight w:val="none"/>
        </w:rPr>
      </w:pPr>
    </w:p>
    <w:p w14:paraId="5A8431F5">
      <w:pPr>
        <w:spacing w:before="62" w:beforeLines="20" w:after="62" w:afterLines="20" w:line="276" w:lineRule="auto"/>
        <w:jc w:val="left"/>
        <w:rPr>
          <w:rFonts w:hint="eastAsia" w:ascii="宋体" w:hAnsi="宋体" w:cs="Arial"/>
          <w:b/>
          <w:color w:val="auto"/>
          <w:sz w:val="24"/>
          <w:highlight w:val="none"/>
        </w:rPr>
      </w:pPr>
    </w:p>
    <w:p w14:paraId="1C7D5FDE">
      <w:pPr>
        <w:spacing w:before="62" w:beforeLines="20" w:after="62" w:afterLines="20" w:line="276" w:lineRule="auto"/>
        <w:jc w:val="left"/>
        <w:rPr>
          <w:rFonts w:hint="eastAsia" w:ascii="宋体" w:hAnsi="宋体" w:cs="Arial"/>
          <w:b/>
          <w:color w:val="auto"/>
          <w:sz w:val="24"/>
          <w:highlight w:val="none"/>
        </w:rPr>
      </w:pPr>
    </w:p>
    <w:p w14:paraId="10D395A7">
      <w:pPr>
        <w:spacing w:before="62" w:beforeLines="20" w:after="62" w:afterLines="20" w:line="276" w:lineRule="auto"/>
        <w:jc w:val="left"/>
        <w:rPr>
          <w:rFonts w:hint="eastAsia" w:ascii="宋体" w:hAnsi="宋体" w:cs="Arial"/>
          <w:b/>
          <w:color w:val="auto"/>
          <w:sz w:val="24"/>
          <w:highlight w:val="none"/>
        </w:rPr>
      </w:pPr>
    </w:p>
    <w:p w14:paraId="2020DE85">
      <w:pPr>
        <w:spacing w:before="62" w:beforeLines="20" w:after="62" w:afterLines="20" w:line="276" w:lineRule="auto"/>
        <w:jc w:val="left"/>
        <w:rPr>
          <w:rFonts w:hint="eastAsia" w:ascii="宋体" w:hAnsi="宋体" w:cs="Arial"/>
          <w:b/>
          <w:color w:val="auto"/>
          <w:sz w:val="24"/>
          <w:highlight w:val="none"/>
        </w:rPr>
      </w:pPr>
    </w:p>
    <w:p w14:paraId="2805464C">
      <w:pPr>
        <w:spacing w:before="62" w:beforeLines="20" w:after="62" w:afterLines="20" w:line="276" w:lineRule="auto"/>
        <w:jc w:val="left"/>
        <w:rPr>
          <w:rFonts w:hint="eastAsia" w:ascii="宋体" w:hAnsi="宋体" w:cs="Arial"/>
          <w:b/>
          <w:color w:val="auto"/>
          <w:sz w:val="24"/>
          <w:highlight w:val="none"/>
        </w:rPr>
      </w:pPr>
    </w:p>
    <w:p w14:paraId="37777A53">
      <w:pPr>
        <w:spacing w:before="62" w:beforeLines="20" w:after="62" w:afterLines="20" w:line="276" w:lineRule="auto"/>
        <w:jc w:val="left"/>
        <w:rPr>
          <w:rFonts w:hint="eastAsia" w:ascii="宋体" w:hAnsi="宋体" w:cs="Arial"/>
          <w:b/>
          <w:color w:val="auto"/>
          <w:sz w:val="24"/>
          <w:highlight w:val="none"/>
        </w:rPr>
      </w:pPr>
    </w:p>
    <w:p w14:paraId="4A3D69E8">
      <w:pPr>
        <w:spacing w:before="62" w:beforeLines="20" w:after="62" w:afterLines="20" w:line="276" w:lineRule="auto"/>
        <w:jc w:val="center"/>
        <w:rPr>
          <w:rFonts w:hint="eastAsia" w:ascii="Arial" w:hAnsi="Arial" w:cs="Arial"/>
          <w:b/>
          <w:color w:val="auto"/>
          <w:sz w:val="32"/>
          <w:szCs w:val="32"/>
          <w:highlight w:val="none"/>
        </w:rPr>
      </w:pPr>
      <w:r>
        <w:rPr>
          <w:rFonts w:hint="eastAsia" w:ascii="Arial" w:hAnsi="Arial" w:cs="Arial"/>
          <w:b/>
          <w:color w:val="auto"/>
          <w:sz w:val="32"/>
          <w:szCs w:val="32"/>
          <w:highlight w:val="none"/>
        </w:rPr>
        <w:t>中山大学中山眼科中心公共实验平台（区庄院区）细胞培养室与临床病理实验室功能升级设计施工一体化项目用户需求书</w:t>
      </w:r>
    </w:p>
    <w:p w14:paraId="385BCE57">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一．项目概况</w:t>
      </w:r>
    </w:p>
    <w:p w14:paraId="2F9A27AB">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中山大学中山眼科中心公共实验平台（区庄院区）细胞培养室与临床病理实验室功能升级设计施工一体化项目，项目位于广州市先烈南路54号中山大学中山眼科中心区庄院区3号楼15和16楼，建筑总面积约1120㎡，建设内容包括装修工程、通风与空调安装工程、给排水安装工程、电气安装工程、弱电安装工程、工艺管道安装工程、防水工程、消防工程等。包括设计、施工、安装调试、验收、质保期内售后服务（维修、保养等）等全过程工作内容</w:t>
      </w:r>
      <w:r>
        <w:rPr>
          <w:rFonts w:hint="eastAsia" w:ascii="宋体" w:hAnsi="宋体" w:cs="宋体"/>
          <w:color w:val="auto"/>
          <w:szCs w:val="21"/>
          <w:highlight w:val="none"/>
        </w:rPr>
        <w:t>。</w:t>
      </w:r>
    </w:p>
    <w:p w14:paraId="73282D03">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二、范围</w:t>
      </w:r>
    </w:p>
    <w:p w14:paraId="2FC35B39">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见建筑、电气、暖通、工艺及给排水各专业施工图纸范围，最后实施范围以发包人意见为准，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w:t>
      </w:r>
    </w:p>
    <w:p w14:paraId="15F6A054">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三、说明</w:t>
      </w:r>
    </w:p>
    <w:p w14:paraId="4C68A08B">
      <w:pPr>
        <w:spacing w:before="62" w:beforeLines="20" w:after="62" w:afterLines="20" w:line="276" w:lineRule="auto"/>
        <w:ind w:left="566" w:hanging="566" w:hangingChars="236"/>
        <w:jc w:val="left"/>
        <w:rPr>
          <w:rFonts w:ascii="Arial" w:hAnsi="Arial" w:cs="Arial"/>
          <w:color w:val="auto"/>
          <w:sz w:val="24"/>
          <w:highlight w:val="none"/>
        </w:rPr>
      </w:pPr>
      <w:r>
        <w:rPr>
          <w:rFonts w:hint="eastAsia" w:ascii="Arial" w:hAnsi="Arial" w:cs="Arial"/>
          <w:color w:val="auto"/>
          <w:sz w:val="24"/>
          <w:highlight w:val="none"/>
        </w:rPr>
        <w:t>3.1、带“▲”符号的，意为重点技术项目，验收时作为重点技术要求，不可偏离项。</w:t>
      </w:r>
    </w:p>
    <w:p w14:paraId="1AB9344B">
      <w:pPr>
        <w:spacing w:before="62" w:beforeLines="20" w:after="62" w:afterLines="20" w:line="276" w:lineRule="auto"/>
        <w:ind w:left="566" w:hanging="566" w:hangingChars="236"/>
        <w:jc w:val="left"/>
        <w:rPr>
          <w:rFonts w:ascii="Arial" w:hAnsi="Arial" w:cs="Arial"/>
          <w:color w:val="auto"/>
          <w:sz w:val="24"/>
          <w:highlight w:val="none"/>
        </w:rPr>
      </w:pPr>
      <w:r>
        <w:rPr>
          <w:rFonts w:hint="eastAsia" w:ascii="Arial" w:hAnsi="Arial" w:cs="Arial"/>
          <w:color w:val="auto"/>
          <w:sz w:val="24"/>
          <w:highlight w:val="none"/>
        </w:rPr>
        <w:t>3.2、未带“▲”符号的项目，有偏离的，在投标文件注明注明偏离说明，后由使用方评估而定，若使用方最终判定不能接受，则视为不符合要求（投标单位须再做补充说明达到使用方要求）。</w:t>
      </w:r>
    </w:p>
    <w:p w14:paraId="32C60C59">
      <w:pPr>
        <w:spacing w:before="62" w:beforeLines="20" w:after="62" w:afterLines="20" w:line="276" w:lineRule="auto"/>
        <w:ind w:left="566" w:hanging="566" w:hangingChars="236"/>
        <w:jc w:val="left"/>
        <w:rPr>
          <w:rFonts w:ascii="Arial" w:hAnsi="Arial" w:cs="Arial"/>
          <w:color w:val="auto"/>
          <w:sz w:val="24"/>
          <w:highlight w:val="none"/>
        </w:rPr>
      </w:pPr>
      <w:r>
        <w:rPr>
          <w:rFonts w:hint="eastAsia" w:ascii="Arial" w:hAnsi="Arial" w:cs="Arial"/>
          <w:color w:val="auto"/>
          <w:sz w:val="24"/>
          <w:highlight w:val="none"/>
        </w:rPr>
        <w:t>3.3</w:t>
      </w:r>
      <w:r>
        <w:rPr>
          <w:rFonts w:ascii="Arial" w:hAnsi="Arial" w:cs="Arial"/>
          <w:color w:val="auto"/>
          <w:sz w:val="24"/>
          <w:highlight w:val="none"/>
        </w:rPr>
        <w:t>供应商在设备购买合同签订前，</w:t>
      </w:r>
      <w:r>
        <w:rPr>
          <w:rFonts w:hint="eastAsia" w:ascii="Arial" w:hAnsi="Arial" w:cs="Arial"/>
          <w:color w:val="auto"/>
          <w:sz w:val="24"/>
          <w:highlight w:val="none"/>
        </w:rPr>
        <w:t>需</w:t>
      </w:r>
      <w:r>
        <w:rPr>
          <w:rFonts w:ascii="Arial" w:hAnsi="Arial" w:cs="Arial"/>
          <w:color w:val="auto"/>
          <w:sz w:val="24"/>
          <w:highlight w:val="none"/>
        </w:rPr>
        <w:t>经过甲方评估</w:t>
      </w:r>
      <w:r>
        <w:rPr>
          <w:rFonts w:hint="eastAsia" w:ascii="Arial" w:hAnsi="Arial" w:cs="Arial"/>
          <w:color w:val="auto"/>
          <w:sz w:val="24"/>
          <w:highlight w:val="none"/>
        </w:rPr>
        <w:t>同意</w:t>
      </w:r>
      <w:r>
        <w:rPr>
          <w:rFonts w:ascii="Arial" w:hAnsi="Arial" w:cs="Arial"/>
          <w:color w:val="auto"/>
          <w:sz w:val="24"/>
          <w:highlight w:val="none"/>
        </w:rPr>
        <w:t>。</w:t>
      </w:r>
    </w:p>
    <w:p w14:paraId="282A60B9">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w:t>
      </w:r>
      <w:r>
        <w:rPr>
          <w:rFonts w:hint="eastAsia" w:ascii="Arial" w:hAnsi="Arial" w:cs="Arial"/>
          <w:color w:val="auto"/>
          <w:sz w:val="24"/>
          <w:highlight w:val="none"/>
        </w:rPr>
        <w:t>4</w:t>
      </w:r>
      <w:r>
        <w:rPr>
          <w:rFonts w:ascii="Arial" w:hAnsi="Arial" w:cs="Arial"/>
          <w:color w:val="auto"/>
          <w:sz w:val="24"/>
          <w:highlight w:val="none"/>
        </w:rPr>
        <w:t>、合同签订前，供应商需针对</w:t>
      </w:r>
      <w:r>
        <w:rPr>
          <w:rFonts w:hint="eastAsia" w:ascii="Arial" w:hAnsi="Arial" w:cs="Arial"/>
          <w:color w:val="auto"/>
          <w:sz w:val="24"/>
          <w:highlight w:val="none"/>
        </w:rPr>
        <w:t>实验室</w:t>
      </w:r>
      <w:r>
        <w:rPr>
          <w:rFonts w:ascii="Arial" w:hAnsi="Arial" w:cs="Arial"/>
          <w:color w:val="auto"/>
          <w:sz w:val="24"/>
          <w:highlight w:val="none"/>
        </w:rPr>
        <w:t>装修用户需求各项目予以回复，并将偏离项汇总转发至甲方，经过甲方评估确认，否则视为供应商全部能符合各条款要求。</w:t>
      </w:r>
    </w:p>
    <w:p w14:paraId="301B5427">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w:t>
      </w:r>
      <w:r>
        <w:rPr>
          <w:rFonts w:hint="eastAsia" w:ascii="Arial" w:hAnsi="Arial" w:cs="Arial"/>
          <w:color w:val="auto"/>
          <w:sz w:val="24"/>
          <w:highlight w:val="none"/>
        </w:rPr>
        <w:t>5</w:t>
      </w:r>
      <w:r>
        <w:rPr>
          <w:rFonts w:ascii="Arial" w:hAnsi="Arial" w:cs="Arial"/>
          <w:color w:val="auto"/>
          <w:sz w:val="24"/>
          <w:highlight w:val="none"/>
        </w:rPr>
        <w:t>、在需求项目条款中，甲方的需求是“期望”，若供应商回复响应的，则视为最终按必须要求予以验收</w:t>
      </w:r>
      <w:r>
        <w:rPr>
          <w:rFonts w:hint="eastAsia" w:ascii="Arial" w:hAnsi="Arial" w:cs="Arial"/>
          <w:color w:val="auto"/>
          <w:sz w:val="24"/>
          <w:highlight w:val="none"/>
        </w:rPr>
        <w:t>。</w:t>
      </w:r>
    </w:p>
    <w:p w14:paraId="348D7746">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四、总则</w:t>
      </w:r>
    </w:p>
    <w:p w14:paraId="1DD73EB8">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4.1</w:t>
      </w:r>
      <w:r>
        <w:rPr>
          <w:rFonts w:hint="eastAsia" w:ascii="Arial" w:hAnsi="Arial" w:cs="Arial"/>
          <w:color w:val="auto"/>
          <w:sz w:val="24"/>
          <w:highlight w:val="none"/>
        </w:rPr>
        <w:t>、</w:t>
      </w:r>
      <w:r>
        <w:rPr>
          <w:rFonts w:ascii="Arial" w:hAnsi="Arial" w:cs="Arial"/>
          <w:color w:val="auto"/>
          <w:sz w:val="24"/>
          <w:highlight w:val="none"/>
        </w:rPr>
        <w:t>本</w:t>
      </w:r>
      <w:r>
        <w:rPr>
          <w:rFonts w:hint="eastAsia" w:ascii="Arial" w:hAnsi="Arial" w:cs="Arial"/>
          <w:color w:val="auto"/>
          <w:sz w:val="24"/>
          <w:highlight w:val="none"/>
        </w:rPr>
        <w:t>项目实验室材料、安装</w:t>
      </w:r>
      <w:r>
        <w:rPr>
          <w:rFonts w:ascii="Arial" w:hAnsi="Arial" w:cs="Arial"/>
          <w:color w:val="auto"/>
          <w:sz w:val="24"/>
          <w:highlight w:val="none"/>
        </w:rPr>
        <w:t>和装修要求体现当前国际先进流程设计理念，体现健康、安全、环保和节能的理念，降低生产运行成本。</w:t>
      </w:r>
    </w:p>
    <w:p w14:paraId="0F4F7B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4.2</w:t>
      </w:r>
      <w:r>
        <w:rPr>
          <w:rFonts w:hint="eastAsia" w:ascii="Arial" w:hAnsi="Arial" w:cs="Arial"/>
          <w:color w:val="auto"/>
          <w:sz w:val="24"/>
          <w:highlight w:val="none"/>
        </w:rPr>
        <w:t>、</w:t>
      </w:r>
      <w:r>
        <w:rPr>
          <w:rFonts w:ascii="Arial" w:hAnsi="Arial" w:cs="Arial"/>
          <w:color w:val="auto"/>
          <w:sz w:val="24"/>
          <w:highlight w:val="none"/>
        </w:rPr>
        <w:t>符合</w:t>
      </w:r>
      <w:r>
        <w:rPr>
          <w:rFonts w:hint="eastAsia" w:ascii="Arial" w:hAnsi="Arial" w:cs="Arial"/>
          <w:color w:val="auto"/>
          <w:sz w:val="24"/>
          <w:highlight w:val="none"/>
        </w:rPr>
        <w:t>相关实验室、病理检测实验室设计规范的要求</w:t>
      </w:r>
      <w:r>
        <w:rPr>
          <w:rFonts w:ascii="Arial" w:hAnsi="Arial" w:cs="Arial"/>
          <w:color w:val="auto"/>
          <w:sz w:val="24"/>
          <w:highlight w:val="none"/>
        </w:rPr>
        <w:t>。</w:t>
      </w:r>
    </w:p>
    <w:p w14:paraId="3BDEBE9D">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w:t>
      </w:r>
      <w:r>
        <w:rPr>
          <w:rFonts w:hint="eastAsia" w:ascii="Arial" w:hAnsi="Arial" w:cs="Arial"/>
          <w:color w:val="auto"/>
          <w:sz w:val="24"/>
          <w:highlight w:val="none"/>
        </w:rPr>
        <w:t>3、</w:t>
      </w:r>
      <w:r>
        <w:rPr>
          <w:rFonts w:ascii="Arial" w:hAnsi="Arial" w:cs="Arial"/>
          <w:color w:val="auto"/>
          <w:sz w:val="24"/>
          <w:highlight w:val="none"/>
        </w:rPr>
        <w:t>空调、开关及电器的设计采用节能环保的产品，空调系统</w:t>
      </w:r>
      <w:r>
        <w:rPr>
          <w:rFonts w:hint="eastAsia" w:ascii="Arial" w:hAnsi="Arial" w:cs="Arial"/>
          <w:color w:val="auto"/>
          <w:sz w:val="24"/>
          <w:highlight w:val="none"/>
        </w:rPr>
        <w:t>、通排风系统等机电设备全部</w:t>
      </w:r>
      <w:r>
        <w:rPr>
          <w:rFonts w:ascii="Arial" w:hAnsi="Arial" w:cs="Arial"/>
          <w:color w:val="auto"/>
          <w:sz w:val="24"/>
          <w:highlight w:val="none"/>
        </w:rPr>
        <w:t>采用</w:t>
      </w:r>
      <w:r>
        <w:rPr>
          <w:rFonts w:hint="eastAsia" w:ascii="Arial" w:hAnsi="Arial" w:cs="Arial"/>
          <w:color w:val="auto"/>
          <w:sz w:val="24"/>
          <w:highlight w:val="none"/>
        </w:rPr>
        <w:t>本地及</w:t>
      </w:r>
      <w:r>
        <w:rPr>
          <w:rFonts w:ascii="Arial" w:hAnsi="Arial" w:cs="Arial"/>
          <w:color w:val="auto"/>
          <w:sz w:val="24"/>
          <w:highlight w:val="none"/>
        </w:rPr>
        <w:t>远程控制（</w:t>
      </w:r>
      <w:r>
        <w:rPr>
          <w:rFonts w:hint="eastAsia" w:ascii="Arial" w:hAnsi="Arial" w:cs="Arial"/>
          <w:color w:val="auto"/>
          <w:sz w:val="24"/>
          <w:highlight w:val="none"/>
        </w:rPr>
        <w:t>可在珠江新城院区控制及区庄其他电脑与设备现场触摸屏控制</w:t>
      </w:r>
      <w:r>
        <w:rPr>
          <w:rFonts w:ascii="Arial" w:hAnsi="Arial" w:cs="Arial"/>
          <w:color w:val="auto"/>
          <w:sz w:val="24"/>
          <w:highlight w:val="none"/>
        </w:rPr>
        <w:t>）及节能环保设计。</w:t>
      </w:r>
    </w:p>
    <w:p w14:paraId="71B9C9C4">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w:t>
      </w:r>
      <w:r>
        <w:rPr>
          <w:rFonts w:hint="eastAsia" w:ascii="Arial" w:hAnsi="Arial" w:cs="Arial"/>
          <w:color w:val="auto"/>
          <w:sz w:val="24"/>
          <w:highlight w:val="none"/>
        </w:rPr>
        <w:t>4、</w:t>
      </w:r>
      <w:r>
        <w:rPr>
          <w:rFonts w:ascii="Arial" w:hAnsi="Arial" w:cs="Arial"/>
          <w:color w:val="auto"/>
          <w:sz w:val="24"/>
          <w:highlight w:val="none"/>
        </w:rPr>
        <w:t>整体使用寿命大于10年，</w:t>
      </w:r>
      <w:r>
        <w:rPr>
          <w:rFonts w:hint="eastAsia" w:ascii="Arial" w:hAnsi="Arial" w:cs="Arial"/>
          <w:color w:val="auto"/>
          <w:sz w:val="24"/>
          <w:highlight w:val="none"/>
        </w:rPr>
        <w:t>材料、配件品牌选择业内一线品牌，安装工艺先进性，现场安装要有保护实验室、地面及成品的措施</w:t>
      </w:r>
      <w:r>
        <w:rPr>
          <w:rFonts w:ascii="Arial" w:hAnsi="Arial" w:cs="Arial"/>
          <w:color w:val="auto"/>
          <w:sz w:val="24"/>
          <w:highlight w:val="none"/>
        </w:rPr>
        <w:t>。</w:t>
      </w:r>
    </w:p>
    <w:p w14:paraId="65C6FEF6">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五、综合</w:t>
      </w:r>
      <w:r>
        <w:rPr>
          <w:rFonts w:ascii="Arial" w:hAnsi="Arial" w:cs="Arial"/>
          <w:b/>
          <w:color w:val="auto"/>
          <w:sz w:val="24"/>
          <w:highlight w:val="none"/>
        </w:rPr>
        <w:t>要求</w:t>
      </w:r>
    </w:p>
    <w:p w14:paraId="23D2B07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5.1总体要求</w:t>
      </w:r>
    </w:p>
    <w:tbl>
      <w:tblPr>
        <w:tblStyle w:val="74"/>
        <w:tblpPr w:leftFromText="180" w:rightFromText="180" w:vertAnchor="text" w:horzAnchor="margin" w:tblpXSpec="center" w:tblpY="6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78"/>
        <w:gridCol w:w="993"/>
        <w:gridCol w:w="1417"/>
      </w:tblGrid>
      <w:tr w14:paraId="2502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blHeader/>
        </w:trPr>
        <w:tc>
          <w:tcPr>
            <w:tcW w:w="1668" w:type="dxa"/>
            <w:tcBorders>
              <w:bottom w:val="single" w:color="auto" w:sz="4" w:space="0"/>
            </w:tcBorders>
            <w:shd w:val="pct20" w:color="auto" w:fill="FFFFFF"/>
            <w:vAlign w:val="center"/>
          </w:tcPr>
          <w:p w14:paraId="4324C7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78" w:type="dxa"/>
            <w:tcBorders>
              <w:bottom w:val="single" w:color="auto" w:sz="4" w:space="0"/>
            </w:tcBorders>
            <w:shd w:val="pct20" w:color="auto" w:fill="FFFFFF"/>
            <w:vAlign w:val="center"/>
          </w:tcPr>
          <w:p w14:paraId="4F6ECD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3" w:type="dxa"/>
            <w:tcBorders>
              <w:bottom w:val="single" w:color="auto" w:sz="4" w:space="0"/>
            </w:tcBorders>
            <w:shd w:val="pct20" w:color="auto" w:fill="FFFFFF"/>
            <w:vAlign w:val="center"/>
          </w:tcPr>
          <w:p w14:paraId="17A38B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417" w:type="dxa"/>
            <w:tcBorders>
              <w:bottom w:val="single" w:color="auto" w:sz="4" w:space="0"/>
            </w:tcBorders>
            <w:shd w:val="pct20" w:color="auto" w:fill="FFFFFF"/>
          </w:tcPr>
          <w:p w14:paraId="099510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2C8C9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762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8" w:type="dxa"/>
            <w:vAlign w:val="center"/>
          </w:tcPr>
          <w:p w14:paraId="4049E8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▲URS5.1-01</w:t>
            </w:r>
          </w:p>
        </w:tc>
        <w:tc>
          <w:tcPr>
            <w:tcW w:w="6378" w:type="dxa"/>
            <w:vAlign w:val="center"/>
          </w:tcPr>
          <w:p w14:paraId="7CE1395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招标范围：</w:t>
            </w:r>
            <w:r>
              <w:rPr>
                <w:rFonts w:hint="eastAsia" w:ascii="Arial" w:hAnsi="Arial" w:cs="Arial"/>
                <w:color w:val="auto"/>
                <w:sz w:val="24"/>
                <w:highlight w:val="none"/>
              </w:rPr>
              <w:t>中山大学中山眼科中心公共实验平台（区庄院区）细胞培养室与临床病理实验室安装工程，</w:t>
            </w:r>
            <w:r>
              <w:rPr>
                <w:rFonts w:ascii="Arial" w:hAnsi="Arial" w:cs="Arial"/>
                <w:color w:val="auto"/>
                <w:sz w:val="24"/>
                <w:highlight w:val="none"/>
              </w:rPr>
              <w:t>装修工程、通风与空调安装工程、给排水安装工程、电气安装</w:t>
            </w:r>
            <w:r>
              <w:rPr>
                <w:rFonts w:hint="eastAsia" w:ascii="Arial" w:hAnsi="Arial" w:cs="Arial"/>
                <w:color w:val="auto"/>
                <w:sz w:val="24"/>
                <w:highlight w:val="none"/>
              </w:rPr>
              <w:t>工程</w:t>
            </w:r>
            <w:r>
              <w:rPr>
                <w:rFonts w:ascii="Arial" w:hAnsi="Arial" w:cs="Arial"/>
                <w:color w:val="auto"/>
                <w:sz w:val="24"/>
                <w:highlight w:val="none"/>
              </w:rPr>
              <w:t>、</w:t>
            </w:r>
            <w:r>
              <w:rPr>
                <w:rFonts w:hint="eastAsia" w:ascii="Arial" w:hAnsi="Arial" w:cs="Arial"/>
                <w:color w:val="auto"/>
                <w:sz w:val="24"/>
                <w:highlight w:val="none"/>
              </w:rPr>
              <w:t>弱电</w:t>
            </w:r>
            <w:r>
              <w:rPr>
                <w:rFonts w:ascii="Arial" w:hAnsi="Arial" w:cs="Arial"/>
                <w:color w:val="auto"/>
                <w:sz w:val="24"/>
                <w:highlight w:val="none"/>
              </w:rPr>
              <w:t>安装工程</w:t>
            </w:r>
            <w:r>
              <w:rPr>
                <w:rFonts w:hint="eastAsia" w:ascii="Arial" w:hAnsi="Arial" w:cs="Arial"/>
                <w:color w:val="auto"/>
                <w:sz w:val="24"/>
                <w:highlight w:val="none"/>
              </w:rPr>
              <w:t>等</w:t>
            </w:r>
            <w:r>
              <w:rPr>
                <w:rFonts w:ascii="Arial" w:hAnsi="Arial" w:cs="Arial"/>
                <w:color w:val="auto"/>
                <w:sz w:val="24"/>
                <w:highlight w:val="none"/>
              </w:rPr>
              <w:t>，工程项目及材料的采购、</w:t>
            </w:r>
            <w:r>
              <w:rPr>
                <w:rFonts w:hint="eastAsia" w:ascii="Arial" w:hAnsi="Arial" w:cs="Arial"/>
                <w:color w:val="auto"/>
                <w:sz w:val="24"/>
                <w:highlight w:val="none"/>
              </w:rPr>
              <w:t>施工、</w:t>
            </w:r>
            <w:r>
              <w:rPr>
                <w:rFonts w:ascii="Arial" w:hAnsi="Arial" w:cs="Arial"/>
                <w:color w:val="auto"/>
                <w:sz w:val="24"/>
                <w:highlight w:val="none"/>
              </w:rPr>
              <w:t>产品制造、运输、安装调试、系统检测、可靠的试运行、系统完善、培训操作和维修人员、提交图纸和资料以及售后服务等。</w:t>
            </w:r>
          </w:p>
        </w:tc>
        <w:tc>
          <w:tcPr>
            <w:tcW w:w="993" w:type="dxa"/>
            <w:vAlign w:val="center"/>
          </w:tcPr>
          <w:p w14:paraId="68E4D17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417" w:type="dxa"/>
          </w:tcPr>
          <w:p w14:paraId="7181328A">
            <w:pPr>
              <w:spacing w:before="62" w:beforeLines="20" w:after="62" w:afterLines="20" w:line="276" w:lineRule="auto"/>
              <w:jc w:val="left"/>
              <w:rPr>
                <w:rFonts w:ascii="Arial" w:hAnsi="Arial" w:cs="Arial"/>
                <w:color w:val="auto"/>
                <w:sz w:val="24"/>
                <w:highlight w:val="none"/>
              </w:rPr>
            </w:pPr>
          </w:p>
        </w:tc>
      </w:tr>
      <w:tr w14:paraId="28B6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4C5696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▲URS5.1-03</w:t>
            </w:r>
          </w:p>
        </w:tc>
        <w:tc>
          <w:tcPr>
            <w:tcW w:w="6378" w:type="dxa"/>
            <w:vAlign w:val="center"/>
          </w:tcPr>
          <w:p w14:paraId="1C50EB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 xml:space="preserve">    </w:t>
            </w:r>
            <w:r>
              <w:rPr>
                <w:rFonts w:ascii="Arial" w:hAnsi="Arial" w:cs="Arial"/>
                <w:color w:val="auto"/>
                <w:sz w:val="24"/>
                <w:highlight w:val="none"/>
              </w:rPr>
              <w:t>1</w:t>
            </w:r>
            <w:r>
              <w:rPr>
                <w:rFonts w:hint="eastAsia" w:ascii="Arial" w:hAnsi="Arial" w:cs="Arial"/>
                <w:color w:val="auto"/>
                <w:sz w:val="24"/>
                <w:highlight w:val="none"/>
              </w:rPr>
              <w:t>、</w:t>
            </w:r>
            <w:r>
              <w:rPr>
                <w:rFonts w:ascii="Arial" w:hAnsi="Arial" w:cs="Arial"/>
                <w:color w:val="auto"/>
                <w:sz w:val="24"/>
                <w:highlight w:val="none"/>
              </w:rPr>
              <w:t>本项目为按招标人确定的图纸及工程量清单（以图纸为准，工程量清单为</w:t>
            </w:r>
            <w:r>
              <w:rPr>
                <w:rFonts w:hint="eastAsia" w:ascii="Arial" w:hAnsi="Arial" w:cs="Arial"/>
                <w:color w:val="auto"/>
                <w:sz w:val="24"/>
                <w:highlight w:val="none"/>
              </w:rPr>
              <w:t>参考</w:t>
            </w:r>
            <w:r>
              <w:rPr>
                <w:rFonts w:ascii="Arial" w:hAnsi="Arial" w:cs="Arial"/>
                <w:color w:val="auto"/>
                <w:sz w:val="24"/>
                <w:highlight w:val="none"/>
              </w:rPr>
              <w:t>依据）</w:t>
            </w:r>
            <w:r>
              <w:rPr>
                <w:rFonts w:hint="eastAsia" w:ascii="Arial" w:hAnsi="Arial" w:cs="Arial"/>
                <w:color w:val="auto"/>
                <w:sz w:val="24"/>
                <w:highlight w:val="none"/>
              </w:rPr>
              <w:t>施工</w:t>
            </w:r>
            <w:r>
              <w:rPr>
                <w:rFonts w:ascii="Arial" w:hAnsi="Arial" w:cs="Arial"/>
                <w:color w:val="auto"/>
                <w:sz w:val="24"/>
                <w:highlight w:val="none"/>
              </w:rPr>
              <w:t>，</w:t>
            </w:r>
            <w:r>
              <w:rPr>
                <w:rFonts w:hint="eastAsia" w:ascii="Arial" w:hAnsi="Arial" w:cs="Arial"/>
                <w:color w:val="auto"/>
                <w:sz w:val="24"/>
                <w:highlight w:val="none"/>
              </w:rPr>
              <w:t>且结算价在总价内按实结算。</w:t>
            </w:r>
            <w:r>
              <w:rPr>
                <w:rFonts w:ascii="Arial" w:hAnsi="Arial" w:cs="Arial"/>
                <w:color w:val="auto"/>
                <w:sz w:val="24"/>
                <w:highlight w:val="none"/>
              </w:rPr>
              <w:t>包深化设计、包设备采购、</w:t>
            </w:r>
            <w:r>
              <w:rPr>
                <w:rFonts w:hint="eastAsia" w:ascii="Arial" w:hAnsi="Arial" w:cs="Arial"/>
                <w:color w:val="auto"/>
                <w:sz w:val="24"/>
                <w:highlight w:val="none"/>
              </w:rPr>
              <w:t>施工、</w:t>
            </w:r>
            <w:r>
              <w:rPr>
                <w:rFonts w:ascii="Arial" w:hAnsi="Arial" w:cs="Arial"/>
                <w:color w:val="auto"/>
                <w:sz w:val="24"/>
                <w:highlight w:val="none"/>
              </w:rPr>
              <w:t>运输、包安装、包调试、包系统试运转及系统性能测试。投标人报价应包括设备采购、运输、安装、</w:t>
            </w:r>
            <w:r>
              <w:rPr>
                <w:rFonts w:hint="eastAsia" w:ascii="Arial" w:hAnsi="Arial" w:cs="Arial"/>
                <w:color w:val="auto"/>
                <w:sz w:val="24"/>
                <w:highlight w:val="none"/>
              </w:rPr>
              <w:t>施工、</w:t>
            </w:r>
            <w:r>
              <w:rPr>
                <w:rFonts w:ascii="Arial" w:hAnsi="Arial" w:cs="Arial"/>
                <w:color w:val="auto"/>
                <w:sz w:val="24"/>
                <w:highlight w:val="none"/>
              </w:rPr>
              <w:t>调试、所有验收及保修期内的维护保养等所有费用</w:t>
            </w:r>
            <w:r>
              <w:rPr>
                <w:rFonts w:hint="eastAsia" w:ascii="Arial" w:hAnsi="Arial" w:cs="Arial"/>
                <w:color w:val="auto"/>
                <w:sz w:val="24"/>
                <w:highlight w:val="none"/>
              </w:rPr>
              <w:t>。</w:t>
            </w:r>
          </w:p>
        </w:tc>
        <w:tc>
          <w:tcPr>
            <w:tcW w:w="993" w:type="dxa"/>
            <w:vAlign w:val="center"/>
          </w:tcPr>
          <w:p w14:paraId="46D67A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417" w:type="dxa"/>
          </w:tcPr>
          <w:p w14:paraId="1D16CB5F">
            <w:pPr>
              <w:spacing w:before="62" w:beforeLines="20" w:after="62" w:afterLines="20" w:line="276" w:lineRule="auto"/>
              <w:jc w:val="left"/>
              <w:rPr>
                <w:rFonts w:ascii="Arial" w:hAnsi="Arial" w:cs="Arial"/>
                <w:color w:val="auto"/>
                <w:sz w:val="24"/>
                <w:highlight w:val="none"/>
              </w:rPr>
            </w:pPr>
          </w:p>
        </w:tc>
      </w:tr>
      <w:tr w14:paraId="694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F37EB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▲URS5.1-04</w:t>
            </w:r>
          </w:p>
        </w:tc>
        <w:tc>
          <w:tcPr>
            <w:tcW w:w="6378" w:type="dxa"/>
            <w:vAlign w:val="center"/>
          </w:tcPr>
          <w:p w14:paraId="440C9677">
            <w:pPr>
              <w:spacing w:before="62" w:beforeLines="20" w:after="62" w:afterLines="20" w:line="276" w:lineRule="auto"/>
              <w:ind w:firstLine="360" w:firstLineChars="150"/>
              <w:jc w:val="left"/>
              <w:rPr>
                <w:rFonts w:ascii="Arial" w:hAnsi="Arial" w:cs="Arial"/>
                <w:color w:val="auto"/>
                <w:sz w:val="24"/>
                <w:highlight w:val="none"/>
              </w:rPr>
            </w:pPr>
            <w:r>
              <w:rPr>
                <w:rFonts w:hint="eastAsia" w:ascii="Arial" w:hAnsi="Arial" w:cs="Arial"/>
                <w:color w:val="auto"/>
                <w:sz w:val="24"/>
                <w:highlight w:val="none"/>
              </w:rPr>
              <w:t>1、</w:t>
            </w:r>
            <w:r>
              <w:rPr>
                <w:rFonts w:ascii="Arial" w:hAnsi="Arial" w:cs="Arial"/>
                <w:color w:val="auto"/>
                <w:sz w:val="24"/>
                <w:highlight w:val="none"/>
              </w:rPr>
              <w:t>投标人应提供项目实施方案，</w:t>
            </w:r>
            <w:r>
              <w:rPr>
                <w:rFonts w:hint="eastAsia" w:ascii="Arial" w:hAnsi="Arial" w:cs="Arial"/>
                <w:color w:val="auto"/>
                <w:sz w:val="24"/>
                <w:highlight w:val="none"/>
              </w:rPr>
              <w:t>投标人应充分考虑图纸的要求、市场环境和生产要素的变化对报价的影响，除招标人要求增加或减少的数量外，结算时项目造价不因市场价格变化、人员工资福利调整以及其他政策性价格调整而调整。</w:t>
            </w:r>
          </w:p>
          <w:p w14:paraId="6F29E2F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2、若施工图纸上有清晰表示，清单未体现部分，承包方必须按照图纸施工，不做签证增加费用。因甲方变更增加项目，增加施工部分在结算中增加相关费用。</w:t>
            </w:r>
          </w:p>
        </w:tc>
        <w:tc>
          <w:tcPr>
            <w:tcW w:w="993" w:type="dxa"/>
          </w:tcPr>
          <w:p w14:paraId="2A8BA2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417" w:type="dxa"/>
          </w:tcPr>
          <w:p w14:paraId="203808A2">
            <w:pPr>
              <w:spacing w:before="62" w:beforeLines="20" w:after="62" w:afterLines="20" w:line="276" w:lineRule="auto"/>
              <w:jc w:val="left"/>
              <w:rPr>
                <w:rFonts w:ascii="Arial" w:hAnsi="Arial" w:cs="Arial"/>
                <w:color w:val="auto"/>
                <w:sz w:val="24"/>
                <w:highlight w:val="none"/>
              </w:rPr>
            </w:pPr>
          </w:p>
        </w:tc>
      </w:tr>
      <w:tr w14:paraId="03C3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35D07F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▲URS5.1-05</w:t>
            </w:r>
          </w:p>
        </w:tc>
        <w:tc>
          <w:tcPr>
            <w:tcW w:w="6378" w:type="dxa"/>
            <w:vAlign w:val="center"/>
          </w:tcPr>
          <w:p w14:paraId="55244FFE">
            <w:pPr>
              <w:spacing w:before="62" w:beforeLines="20" w:after="62" w:afterLines="20" w:line="276" w:lineRule="auto"/>
              <w:ind w:firstLine="360" w:firstLineChars="150"/>
              <w:jc w:val="left"/>
              <w:rPr>
                <w:rFonts w:ascii="Arial" w:hAnsi="Arial" w:cs="Arial"/>
                <w:color w:val="auto"/>
                <w:sz w:val="24"/>
                <w:highlight w:val="none"/>
              </w:rPr>
            </w:pPr>
            <w:r>
              <w:rPr>
                <w:rFonts w:ascii="Arial" w:hAnsi="Arial" w:cs="Arial"/>
                <w:color w:val="auto"/>
                <w:sz w:val="24"/>
                <w:highlight w:val="none"/>
              </w:rPr>
              <w:t>其中有洁净要求的房间需保证</w:t>
            </w:r>
            <w:r>
              <w:rPr>
                <w:rFonts w:hint="eastAsia" w:ascii="Arial" w:hAnsi="Arial" w:cs="Arial"/>
                <w:color w:val="auto"/>
                <w:sz w:val="24"/>
                <w:highlight w:val="none"/>
              </w:rPr>
              <w:t>实验室</w:t>
            </w:r>
            <w:r>
              <w:rPr>
                <w:rFonts w:ascii="Arial" w:hAnsi="Arial" w:cs="Arial"/>
                <w:color w:val="auto"/>
                <w:sz w:val="24"/>
                <w:highlight w:val="none"/>
              </w:rPr>
              <w:t>及设施的各项目能按</w:t>
            </w:r>
            <w:r>
              <w:rPr>
                <w:rFonts w:hint="eastAsia" w:ascii="Arial" w:hAnsi="Arial" w:cs="Arial"/>
                <w:color w:val="auto"/>
                <w:sz w:val="24"/>
                <w:highlight w:val="none"/>
              </w:rPr>
              <w:t>《生物安全实验室建筑技术规范》GB50346-2011</w:t>
            </w:r>
            <w:r>
              <w:rPr>
                <w:rFonts w:ascii="Arial" w:hAnsi="Arial" w:cs="Arial"/>
                <w:color w:val="auto"/>
                <w:sz w:val="24"/>
                <w:highlight w:val="none"/>
              </w:rPr>
              <w:t>要求进行</w:t>
            </w:r>
            <w:r>
              <w:rPr>
                <w:rFonts w:hint="eastAsia" w:ascii="Arial" w:hAnsi="Arial" w:cs="Arial"/>
                <w:color w:val="auto"/>
                <w:sz w:val="24"/>
                <w:highlight w:val="none"/>
              </w:rPr>
              <w:t>。</w:t>
            </w:r>
          </w:p>
        </w:tc>
        <w:tc>
          <w:tcPr>
            <w:tcW w:w="993" w:type="dxa"/>
          </w:tcPr>
          <w:p w14:paraId="2369377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417" w:type="dxa"/>
          </w:tcPr>
          <w:p w14:paraId="6F7255A2">
            <w:pPr>
              <w:spacing w:before="62" w:beforeLines="20" w:after="62" w:afterLines="20" w:line="276" w:lineRule="auto"/>
              <w:jc w:val="left"/>
              <w:rPr>
                <w:rFonts w:ascii="Arial" w:hAnsi="Arial" w:cs="Arial"/>
                <w:color w:val="auto"/>
                <w:sz w:val="24"/>
                <w:highlight w:val="none"/>
              </w:rPr>
            </w:pPr>
          </w:p>
        </w:tc>
      </w:tr>
      <w:tr w14:paraId="43B3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4FD71F1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sym w:font="Wingdings 2" w:char="F0EA"/>
            </w:r>
            <w:r>
              <w:rPr>
                <w:rFonts w:ascii="Arial" w:hAnsi="Arial" w:cs="Arial"/>
                <w:color w:val="auto"/>
                <w:sz w:val="24"/>
                <w:highlight w:val="none"/>
              </w:rPr>
              <w:t>URS5.1-06</w:t>
            </w:r>
          </w:p>
        </w:tc>
        <w:tc>
          <w:tcPr>
            <w:tcW w:w="6378" w:type="dxa"/>
            <w:vAlign w:val="center"/>
          </w:tcPr>
          <w:p w14:paraId="257F18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设备材料基本要求</w:t>
            </w:r>
          </w:p>
          <w:p w14:paraId="0F6564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1.1 各类设备材质按设计说明及施工图纸为依据。</w:t>
            </w:r>
          </w:p>
          <w:p w14:paraId="79ECC5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1.2严格按照招标文件要求和工程量清单中的品牌及投标文件中承诺选用设备、材料的生产厂家、型号规格、技术条件进行采购与安装。</w:t>
            </w:r>
          </w:p>
          <w:p w14:paraId="63505B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1.3投标设备和主要产品和应符合国家有关标准和规范及</w:t>
            </w:r>
            <w:r>
              <w:rPr>
                <w:rFonts w:hint="eastAsia" w:ascii="Arial" w:hAnsi="Arial" w:cs="Arial"/>
                <w:color w:val="auto"/>
                <w:sz w:val="24"/>
                <w:highlight w:val="none"/>
              </w:rPr>
              <w:t>《生物安全实验室建筑技术规范》GB50346-2011</w:t>
            </w:r>
            <w:r>
              <w:rPr>
                <w:rFonts w:ascii="Arial" w:hAnsi="Arial" w:cs="Arial"/>
                <w:color w:val="auto"/>
                <w:sz w:val="24"/>
                <w:highlight w:val="none"/>
              </w:rPr>
              <w:t>的规定和要求</w:t>
            </w:r>
            <w:r>
              <w:rPr>
                <w:rFonts w:hint="eastAsia" w:ascii="Arial" w:hAnsi="Arial" w:cs="Arial"/>
                <w:color w:val="auto"/>
                <w:sz w:val="24"/>
                <w:highlight w:val="none"/>
              </w:rPr>
              <w:t>。</w:t>
            </w:r>
          </w:p>
          <w:p w14:paraId="1A6450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1.4投标</w:t>
            </w:r>
            <w:r>
              <w:rPr>
                <w:rFonts w:hint="eastAsia" w:ascii="Arial" w:hAnsi="Arial" w:cs="Arial"/>
                <w:color w:val="auto"/>
                <w:sz w:val="24"/>
                <w:highlight w:val="none"/>
              </w:rPr>
              <w:t>人</w:t>
            </w:r>
            <w:r>
              <w:rPr>
                <w:rFonts w:ascii="Arial" w:hAnsi="Arial" w:cs="Arial"/>
                <w:color w:val="auto"/>
                <w:sz w:val="24"/>
                <w:highlight w:val="none"/>
              </w:rPr>
              <w:t>应按招标文件要求</w:t>
            </w:r>
            <w:r>
              <w:rPr>
                <w:rFonts w:hint="eastAsia" w:ascii="Arial" w:hAnsi="Arial" w:cs="Arial"/>
                <w:color w:val="auto"/>
                <w:sz w:val="24"/>
                <w:highlight w:val="none"/>
              </w:rPr>
              <w:t>推荐</w:t>
            </w:r>
            <w:r>
              <w:rPr>
                <w:rFonts w:ascii="Arial" w:hAnsi="Arial" w:cs="Arial"/>
                <w:color w:val="auto"/>
                <w:sz w:val="24"/>
                <w:highlight w:val="none"/>
              </w:rPr>
              <w:t>品牌</w:t>
            </w:r>
            <w:r>
              <w:rPr>
                <w:rFonts w:hint="eastAsia" w:ascii="Arial" w:hAnsi="Arial" w:cs="Arial"/>
                <w:color w:val="auto"/>
                <w:sz w:val="24"/>
                <w:highlight w:val="none"/>
              </w:rPr>
              <w:t>内的</w:t>
            </w:r>
            <w:r>
              <w:rPr>
                <w:rFonts w:ascii="Arial" w:hAnsi="Arial" w:cs="Arial"/>
                <w:color w:val="auto"/>
                <w:sz w:val="24"/>
                <w:highlight w:val="none"/>
              </w:rPr>
              <w:t>产品。</w:t>
            </w:r>
          </w:p>
        </w:tc>
        <w:tc>
          <w:tcPr>
            <w:tcW w:w="993" w:type="dxa"/>
          </w:tcPr>
          <w:p w14:paraId="3EBE1AA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417" w:type="dxa"/>
          </w:tcPr>
          <w:p w14:paraId="676AC503">
            <w:pPr>
              <w:spacing w:before="62" w:beforeLines="20" w:after="62" w:afterLines="20" w:line="276" w:lineRule="auto"/>
              <w:jc w:val="left"/>
              <w:rPr>
                <w:rFonts w:ascii="Arial" w:hAnsi="Arial" w:cs="Arial"/>
                <w:color w:val="auto"/>
                <w:sz w:val="24"/>
                <w:highlight w:val="none"/>
              </w:rPr>
            </w:pPr>
          </w:p>
        </w:tc>
      </w:tr>
      <w:tr w14:paraId="05FF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3D278EE9">
            <w:pPr>
              <w:spacing w:before="62" w:beforeLines="20" w:after="62" w:afterLines="20" w:line="276" w:lineRule="auto"/>
              <w:jc w:val="left"/>
              <w:rPr>
                <w:rFonts w:ascii="Arial" w:hAnsi="Arial" w:cs="Arial"/>
                <w:color w:val="auto"/>
                <w:sz w:val="24"/>
                <w:highlight w:val="none"/>
              </w:rPr>
            </w:pPr>
          </w:p>
        </w:tc>
        <w:tc>
          <w:tcPr>
            <w:tcW w:w="6378" w:type="dxa"/>
            <w:vAlign w:val="center"/>
          </w:tcPr>
          <w:p w14:paraId="376293B1">
            <w:pPr>
              <w:spacing w:before="62" w:beforeLines="20" w:after="62" w:afterLines="20" w:line="276" w:lineRule="auto"/>
              <w:jc w:val="left"/>
              <w:rPr>
                <w:rFonts w:ascii="Arial" w:hAnsi="Arial" w:cs="Arial"/>
                <w:color w:val="auto"/>
                <w:sz w:val="24"/>
                <w:highlight w:val="none"/>
              </w:rPr>
            </w:pPr>
          </w:p>
        </w:tc>
        <w:tc>
          <w:tcPr>
            <w:tcW w:w="993" w:type="dxa"/>
          </w:tcPr>
          <w:p w14:paraId="355EE5DF">
            <w:pPr>
              <w:spacing w:before="62" w:beforeLines="20" w:after="62" w:afterLines="20" w:line="276" w:lineRule="auto"/>
              <w:jc w:val="left"/>
              <w:rPr>
                <w:rFonts w:ascii="Arial" w:hAnsi="Arial" w:cs="Arial"/>
                <w:color w:val="auto"/>
                <w:sz w:val="24"/>
                <w:highlight w:val="none"/>
              </w:rPr>
            </w:pPr>
          </w:p>
        </w:tc>
        <w:tc>
          <w:tcPr>
            <w:tcW w:w="1417" w:type="dxa"/>
          </w:tcPr>
          <w:p w14:paraId="32CEF4D5">
            <w:pPr>
              <w:spacing w:before="62" w:beforeLines="20" w:after="62" w:afterLines="20" w:line="276" w:lineRule="auto"/>
              <w:jc w:val="left"/>
              <w:rPr>
                <w:rFonts w:ascii="Arial" w:hAnsi="Arial" w:cs="Arial"/>
                <w:color w:val="auto"/>
                <w:sz w:val="24"/>
                <w:highlight w:val="none"/>
              </w:rPr>
            </w:pPr>
          </w:p>
        </w:tc>
      </w:tr>
    </w:tbl>
    <w:p w14:paraId="37AA489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5.2包装与运输、存放</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05"/>
        <w:gridCol w:w="949"/>
        <w:gridCol w:w="1560"/>
      </w:tblGrid>
      <w:tr w14:paraId="2CBF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26" w:type="dxa"/>
            <w:tcBorders>
              <w:bottom w:val="single" w:color="auto" w:sz="4" w:space="0"/>
            </w:tcBorders>
            <w:shd w:val="pct20" w:color="auto" w:fill="FFFFFF"/>
            <w:vAlign w:val="center"/>
          </w:tcPr>
          <w:p w14:paraId="19DBD8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705" w:type="dxa"/>
            <w:tcBorders>
              <w:bottom w:val="single" w:color="auto" w:sz="4" w:space="0"/>
            </w:tcBorders>
            <w:shd w:val="pct20" w:color="auto" w:fill="FFFFFF"/>
            <w:vAlign w:val="center"/>
          </w:tcPr>
          <w:p w14:paraId="3FC35E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76E3E5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46ED9D9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4E544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83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26" w:type="dxa"/>
            <w:vAlign w:val="center"/>
          </w:tcPr>
          <w:p w14:paraId="10E321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URS5.2-01</w:t>
            </w:r>
          </w:p>
        </w:tc>
        <w:tc>
          <w:tcPr>
            <w:tcW w:w="6705" w:type="dxa"/>
            <w:vAlign w:val="center"/>
          </w:tcPr>
          <w:p w14:paraId="33E383E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中标人负责将</w:t>
            </w:r>
            <w:r>
              <w:rPr>
                <w:rFonts w:hint="eastAsia" w:ascii="Arial" w:hAnsi="Arial" w:cs="Arial"/>
                <w:color w:val="auto"/>
                <w:sz w:val="24"/>
                <w:highlight w:val="none"/>
              </w:rPr>
              <w:t>实验室</w:t>
            </w:r>
            <w:r>
              <w:rPr>
                <w:rFonts w:ascii="Arial" w:hAnsi="Arial" w:cs="Arial"/>
                <w:color w:val="auto"/>
                <w:sz w:val="24"/>
                <w:highlight w:val="none"/>
              </w:rPr>
              <w:t>设施及设备材料的全部运输，包括装卸车、货物现场的搬运。</w:t>
            </w:r>
          </w:p>
        </w:tc>
        <w:tc>
          <w:tcPr>
            <w:tcW w:w="949" w:type="dxa"/>
            <w:vAlign w:val="center"/>
          </w:tcPr>
          <w:p w14:paraId="32CA2A5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F86B72A">
            <w:pPr>
              <w:spacing w:before="62" w:beforeLines="20" w:after="62" w:afterLines="20" w:line="276" w:lineRule="auto"/>
              <w:jc w:val="left"/>
              <w:rPr>
                <w:rFonts w:ascii="Arial" w:hAnsi="Arial" w:cs="Arial"/>
                <w:color w:val="auto"/>
                <w:sz w:val="24"/>
                <w:highlight w:val="none"/>
              </w:rPr>
            </w:pPr>
          </w:p>
        </w:tc>
      </w:tr>
      <w:tr w14:paraId="58C3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5CEC8F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URS5.2-02</w:t>
            </w:r>
          </w:p>
        </w:tc>
        <w:tc>
          <w:tcPr>
            <w:tcW w:w="6705" w:type="dxa"/>
            <w:vAlign w:val="center"/>
          </w:tcPr>
          <w:p w14:paraId="185186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w:t>
            </w:r>
            <w:r>
              <w:rPr>
                <w:rFonts w:hint="eastAsia" w:ascii="Arial" w:hAnsi="Arial" w:cs="Arial"/>
                <w:color w:val="auto"/>
                <w:sz w:val="24"/>
                <w:highlight w:val="none"/>
              </w:rPr>
              <w:t>实验室</w:t>
            </w:r>
            <w:r>
              <w:rPr>
                <w:rFonts w:ascii="Arial" w:hAnsi="Arial" w:cs="Arial"/>
                <w:color w:val="auto"/>
                <w:sz w:val="24"/>
                <w:highlight w:val="none"/>
              </w:rPr>
              <w:t>设施及设备，应提供装箱清单，按装箱清单验收货物。</w:t>
            </w:r>
          </w:p>
        </w:tc>
        <w:tc>
          <w:tcPr>
            <w:tcW w:w="949" w:type="dxa"/>
            <w:vAlign w:val="center"/>
          </w:tcPr>
          <w:p w14:paraId="695EC73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2CB1737">
            <w:pPr>
              <w:spacing w:before="62" w:beforeLines="20" w:after="62" w:afterLines="20" w:line="276" w:lineRule="auto"/>
              <w:jc w:val="left"/>
              <w:rPr>
                <w:rFonts w:ascii="Arial" w:hAnsi="Arial" w:cs="Arial"/>
                <w:color w:val="auto"/>
                <w:sz w:val="24"/>
                <w:highlight w:val="none"/>
              </w:rPr>
            </w:pPr>
          </w:p>
        </w:tc>
      </w:tr>
      <w:tr w14:paraId="0DE8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3B8C41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URS5.2-03</w:t>
            </w:r>
          </w:p>
        </w:tc>
        <w:tc>
          <w:tcPr>
            <w:tcW w:w="6705" w:type="dxa"/>
            <w:vAlign w:val="center"/>
          </w:tcPr>
          <w:p w14:paraId="1ED134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货物在现场的保管由中标人负责，直至项目安装、验收完毕后，清理所剩材料及装修垃圾。</w:t>
            </w:r>
          </w:p>
        </w:tc>
        <w:tc>
          <w:tcPr>
            <w:tcW w:w="949" w:type="dxa"/>
            <w:vAlign w:val="center"/>
          </w:tcPr>
          <w:p w14:paraId="0D10F9A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FCDD1F2">
            <w:pPr>
              <w:spacing w:before="62" w:beforeLines="20" w:after="62" w:afterLines="20" w:line="276" w:lineRule="auto"/>
              <w:jc w:val="left"/>
              <w:rPr>
                <w:rFonts w:ascii="Arial" w:hAnsi="Arial" w:cs="Arial"/>
                <w:color w:val="auto"/>
                <w:sz w:val="24"/>
                <w:highlight w:val="none"/>
              </w:rPr>
            </w:pPr>
          </w:p>
        </w:tc>
      </w:tr>
      <w:tr w14:paraId="7A2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383EE5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URS5.2-04</w:t>
            </w:r>
          </w:p>
        </w:tc>
        <w:tc>
          <w:tcPr>
            <w:tcW w:w="6705" w:type="dxa"/>
            <w:vAlign w:val="center"/>
          </w:tcPr>
          <w:p w14:paraId="16C108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货物在安装调试验收合格前的保险由中标人负责。</w:t>
            </w:r>
          </w:p>
        </w:tc>
        <w:tc>
          <w:tcPr>
            <w:tcW w:w="949" w:type="dxa"/>
            <w:vAlign w:val="center"/>
          </w:tcPr>
          <w:p w14:paraId="493EF0C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9B352DF">
            <w:pPr>
              <w:spacing w:before="62" w:beforeLines="20" w:after="62" w:afterLines="20" w:line="276" w:lineRule="auto"/>
              <w:jc w:val="left"/>
              <w:rPr>
                <w:rFonts w:ascii="Arial" w:hAnsi="Arial" w:cs="Arial"/>
                <w:color w:val="auto"/>
                <w:sz w:val="24"/>
                <w:highlight w:val="none"/>
              </w:rPr>
            </w:pPr>
          </w:p>
        </w:tc>
      </w:tr>
    </w:tbl>
    <w:p w14:paraId="00A37AA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5.3验收</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63"/>
        <w:gridCol w:w="949"/>
        <w:gridCol w:w="1560"/>
      </w:tblGrid>
      <w:tr w14:paraId="7916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68" w:type="dxa"/>
            <w:tcBorders>
              <w:bottom w:val="single" w:color="auto" w:sz="4" w:space="0"/>
            </w:tcBorders>
            <w:shd w:val="pct20" w:color="auto" w:fill="FFFFFF"/>
            <w:vAlign w:val="center"/>
          </w:tcPr>
          <w:p w14:paraId="0271E5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563" w:type="dxa"/>
            <w:tcBorders>
              <w:bottom w:val="single" w:color="auto" w:sz="4" w:space="0"/>
            </w:tcBorders>
            <w:shd w:val="pct20" w:color="auto" w:fill="FFFFFF"/>
            <w:vAlign w:val="center"/>
          </w:tcPr>
          <w:p w14:paraId="08DAE8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529093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799076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8DA5E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149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68" w:type="dxa"/>
            <w:vAlign w:val="center"/>
          </w:tcPr>
          <w:p w14:paraId="0B72E4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URS5.3-01</w:t>
            </w:r>
          </w:p>
        </w:tc>
        <w:tc>
          <w:tcPr>
            <w:tcW w:w="6563" w:type="dxa"/>
            <w:vAlign w:val="center"/>
          </w:tcPr>
          <w:p w14:paraId="15EBE21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投标人应给出项目建设详细的验收方案，包括验收项目材料验收、中间验收、隐蔽工程验收、项目总验收、验收标准，验收实施办法等</w:t>
            </w:r>
            <w:r>
              <w:rPr>
                <w:rFonts w:hint="eastAsia" w:ascii="Arial" w:hAnsi="Arial" w:cs="Arial"/>
                <w:color w:val="auto"/>
                <w:sz w:val="24"/>
                <w:highlight w:val="none"/>
              </w:rPr>
              <w:t>，验收时须按国家规范组织验收与材料报第三方进行质量检测</w:t>
            </w:r>
            <w:r>
              <w:rPr>
                <w:rFonts w:ascii="Arial" w:hAnsi="Arial" w:cs="Arial"/>
                <w:color w:val="auto"/>
                <w:sz w:val="24"/>
                <w:highlight w:val="none"/>
              </w:rPr>
              <w:t>。</w:t>
            </w:r>
          </w:p>
        </w:tc>
        <w:tc>
          <w:tcPr>
            <w:tcW w:w="949" w:type="dxa"/>
            <w:vAlign w:val="center"/>
          </w:tcPr>
          <w:p w14:paraId="132F42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881EC8E">
            <w:pPr>
              <w:spacing w:before="62" w:beforeLines="20" w:after="62" w:afterLines="20" w:line="276" w:lineRule="auto"/>
              <w:jc w:val="left"/>
              <w:rPr>
                <w:rFonts w:ascii="Arial" w:hAnsi="Arial" w:cs="Arial"/>
                <w:color w:val="auto"/>
                <w:sz w:val="24"/>
                <w:highlight w:val="none"/>
              </w:rPr>
            </w:pPr>
          </w:p>
        </w:tc>
      </w:tr>
      <w:tr w14:paraId="5803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67EFA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URS5.3-02</w:t>
            </w:r>
          </w:p>
        </w:tc>
        <w:tc>
          <w:tcPr>
            <w:tcW w:w="6563" w:type="dxa"/>
            <w:vAlign w:val="center"/>
          </w:tcPr>
          <w:p w14:paraId="010F420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国家强制性相关产品应有CCC合格证或同等认证证书。</w:t>
            </w:r>
          </w:p>
        </w:tc>
        <w:tc>
          <w:tcPr>
            <w:tcW w:w="949" w:type="dxa"/>
            <w:vAlign w:val="center"/>
          </w:tcPr>
          <w:p w14:paraId="3DD18F8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6F9228C">
            <w:pPr>
              <w:spacing w:before="62" w:beforeLines="20" w:after="62" w:afterLines="20" w:line="276" w:lineRule="auto"/>
              <w:jc w:val="left"/>
              <w:rPr>
                <w:rFonts w:ascii="Arial" w:hAnsi="Arial" w:cs="Arial"/>
                <w:color w:val="auto"/>
                <w:sz w:val="24"/>
                <w:highlight w:val="none"/>
              </w:rPr>
            </w:pPr>
          </w:p>
        </w:tc>
      </w:tr>
      <w:tr w14:paraId="45CD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1E3F77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URS5.3-03</w:t>
            </w:r>
          </w:p>
        </w:tc>
        <w:tc>
          <w:tcPr>
            <w:tcW w:w="6563" w:type="dxa"/>
            <w:vAlign w:val="center"/>
          </w:tcPr>
          <w:p w14:paraId="39D1BE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验收由招标人、中标人及相关人员依国家有关标准、合同及有关附件要求进行。</w:t>
            </w:r>
          </w:p>
        </w:tc>
        <w:tc>
          <w:tcPr>
            <w:tcW w:w="949" w:type="dxa"/>
            <w:vAlign w:val="center"/>
          </w:tcPr>
          <w:p w14:paraId="1BD04C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3C5673F">
            <w:pPr>
              <w:spacing w:before="62" w:beforeLines="20" w:after="62" w:afterLines="20" w:line="276" w:lineRule="auto"/>
              <w:jc w:val="left"/>
              <w:rPr>
                <w:rFonts w:ascii="Arial" w:hAnsi="Arial" w:cs="Arial"/>
                <w:color w:val="auto"/>
                <w:sz w:val="24"/>
                <w:highlight w:val="none"/>
              </w:rPr>
            </w:pPr>
          </w:p>
        </w:tc>
      </w:tr>
      <w:tr w14:paraId="2F5A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23F8E0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URS5.3-04</w:t>
            </w:r>
          </w:p>
        </w:tc>
        <w:tc>
          <w:tcPr>
            <w:tcW w:w="6563" w:type="dxa"/>
            <w:vAlign w:val="center"/>
          </w:tcPr>
          <w:p w14:paraId="38FBB0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验收完毕由招标人及中标人在验收报告上签名。</w:t>
            </w:r>
          </w:p>
        </w:tc>
        <w:tc>
          <w:tcPr>
            <w:tcW w:w="949" w:type="dxa"/>
            <w:vAlign w:val="center"/>
          </w:tcPr>
          <w:p w14:paraId="19DD2D2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199C5D3">
            <w:pPr>
              <w:spacing w:before="62" w:beforeLines="20" w:after="62" w:afterLines="20" w:line="276" w:lineRule="auto"/>
              <w:jc w:val="left"/>
              <w:rPr>
                <w:rFonts w:ascii="Arial" w:hAnsi="Arial" w:cs="Arial"/>
                <w:color w:val="auto"/>
                <w:sz w:val="24"/>
                <w:highlight w:val="none"/>
              </w:rPr>
            </w:pPr>
          </w:p>
        </w:tc>
      </w:tr>
    </w:tbl>
    <w:p w14:paraId="20A8C2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5.4费用结算付款方式</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63"/>
        <w:gridCol w:w="949"/>
        <w:gridCol w:w="1560"/>
      </w:tblGrid>
      <w:tr w14:paraId="5061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68" w:type="dxa"/>
            <w:tcBorders>
              <w:bottom w:val="single" w:color="auto" w:sz="4" w:space="0"/>
            </w:tcBorders>
            <w:shd w:val="pct20" w:color="auto" w:fill="FFFFFF"/>
            <w:vAlign w:val="center"/>
          </w:tcPr>
          <w:p w14:paraId="37610DF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563" w:type="dxa"/>
            <w:tcBorders>
              <w:bottom w:val="single" w:color="auto" w:sz="4" w:space="0"/>
            </w:tcBorders>
            <w:shd w:val="pct20" w:color="auto" w:fill="FFFFFF"/>
            <w:vAlign w:val="center"/>
          </w:tcPr>
          <w:p w14:paraId="447059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66B69B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42A2F5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9C153C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DD8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68" w:type="dxa"/>
            <w:vAlign w:val="center"/>
          </w:tcPr>
          <w:p w14:paraId="10FC6F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URS5.4-01</w:t>
            </w:r>
          </w:p>
        </w:tc>
        <w:tc>
          <w:tcPr>
            <w:tcW w:w="6563" w:type="dxa"/>
            <w:vAlign w:val="center"/>
          </w:tcPr>
          <w:p w14:paraId="51DF975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本项目为按招标人确定的图纸包干项目，包人工、包材料、包安装、包供货期、包质量、包安全、包验收</w:t>
            </w:r>
            <w:r>
              <w:rPr>
                <w:rFonts w:hint="eastAsia" w:ascii="Arial" w:hAnsi="Arial" w:cs="Arial"/>
                <w:color w:val="auto"/>
                <w:sz w:val="24"/>
                <w:highlight w:val="none"/>
              </w:rPr>
              <w:t>，包质保期内维保，费用按实结算并不得超出合同价及付款按合同执行。</w:t>
            </w:r>
          </w:p>
        </w:tc>
        <w:tc>
          <w:tcPr>
            <w:tcW w:w="949" w:type="dxa"/>
            <w:vAlign w:val="center"/>
          </w:tcPr>
          <w:p w14:paraId="1D37FD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0C43CB3">
            <w:pPr>
              <w:spacing w:before="62" w:beforeLines="20" w:after="62" w:afterLines="20" w:line="276" w:lineRule="auto"/>
              <w:jc w:val="left"/>
              <w:rPr>
                <w:rFonts w:ascii="Arial" w:hAnsi="Arial" w:cs="Arial"/>
                <w:color w:val="auto"/>
                <w:sz w:val="24"/>
                <w:highlight w:val="none"/>
              </w:rPr>
            </w:pPr>
          </w:p>
        </w:tc>
      </w:tr>
      <w:tr w14:paraId="19A7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FC445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URS5.4-02</w:t>
            </w:r>
          </w:p>
        </w:tc>
        <w:tc>
          <w:tcPr>
            <w:tcW w:w="6563" w:type="dxa"/>
            <w:vAlign w:val="center"/>
          </w:tcPr>
          <w:p w14:paraId="6410FC3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投标人应充分考虑项目的技术要求、市场环境和生产要素的变化对报价的影响除招标人要求增加或减少的数量外，结算时项目造价不因市场价格变化、人员工资福利调整以及其他政策性价格调整而调整。</w:t>
            </w:r>
          </w:p>
        </w:tc>
        <w:tc>
          <w:tcPr>
            <w:tcW w:w="949" w:type="dxa"/>
            <w:vAlign w:val="center"/>
          </w:tcPr>
          <w:p w14:paraId="3F7389D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5B9163D">
            <w:pPr>
              <w:spacing w:before="62" w:beforeLines="20" w:after="62" w:afterLines="20" w:line="276" w:lineRule="auto"/>
              <w:jc w:val="left"/>
              <w:rPr>
                <w:rFonts w:ascii="Arial" w:hAnsi="Arial" w:cs="Arial"/>
                <w:color w:val="auto"/>
                <w:sz w:val="24"/>
                <w:highlight w:val="none"/>
              </w:rPr>
            </w:pPr>
          </w:p>
        </w:tc>
      </w:tr>
    </w:tbl>
    <w:p w14:paraId="70677C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5.5工程改造、安装、调试地点及工期要求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05"/>
        <w:gridCol w:w="949"/>
        <w:gridCol w:w="1560"/>
      </w:tblGrid>
      <w:tr w14:paraId="15E7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26" w:type="dxa"/>
            <w:tcBorders>
              <w:bottom w:val="single" w:color="auto" w:sz="4" w:space="0"/>
            </w:tcBorders>
            <w:shd w:val="pct20" w:color="auto" w:fill="FFFFFF"/>
            <w:vAlign w:val="center"/>
          </w:tcPr>
          <w:p w14:paraId="35AA2E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705" w:type="dxa"/>
            <w:tcBorders>
              <w:bottom w:val="single" w:color="auto" w:sz="4" w:space="0"/>
            </w:tcBorders>
            <w:shd w:val="pct20" w:color="auto" w:fill="FFFFFF"/>
            <w:vAlign w:val="center"/>
          </w:tcPr>
          <w:p w14:paraId="450E5E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5E4D7B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5A9CEB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C4596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06C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26" w:type="dxa"/>
            <w:vAlign w:val="center"/>
          </w:tcPr>
          <w:p w14:paraId="094DCF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URS5.5-01</w:t>
            </w:r>
          </w:p>
        </w:tc>
        <w:tc>
          <w:tcPr>
            <w:tcW w:w="6705" w:type="dxa"/>
            <w:vAlign w:val="center"/>
          </w:tcPr>
          <w:p w14:paraId="77288F8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交货、安装、调试地点：</w:t>
            </w:r>
            <w:r>
              <w:rPr>
                <w:rFonts w:hint="eastAsia" w:ascii="Arial" w:hAnsi="Arial" w:cs="Arial"/>
                <w:color w:val="auto"/>
                <w:sz w:val="24"/>
                <w:highlight w:val="none"/>
              </w:rPr>
              <w:t>中山眼科中心区庄院区三号楼15.16层实验室</w:t>
            </w:r>
          </w:p>
        </w:tc>
        <w:tc>
          <w:tcPr>
            <w:tcW w:w="949" w:type="dxa"/>
            <w:vAlign w:val="center"/>
          </w:tcPr>
          <w:p w14:paraId="232813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A512263">
            <w:pPr>
              <w:spacing w:before="62" w:beforeLines="20" w:after="62" w:afterLines="20" w:line="276" w:lineRule="auto"/>
              <w:jc w:val="left"/>
              <w:rPr>
                <w:rFonts w:ascii="Arial" w:hAnsi="Arial" w:cs="Arial"/>
                <w:color w:val="auto"/>
                <w:sz w:val="24"/>
                <w:highlight w:val="none"/>
              </w:rPr>
            </w:pPr>
          </w:p>
        </w:tc>
      </w:tr>
      <w:tr w14:paraId="0C71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753884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URS5.5-02</w:t>
            </w:r>
          </w:p>
        </w:tc>
        <w:tc>
          <w:tcPr>
            <w:tcW w:w="6705" w:type="dxa"/>
            <w:vAlign w:val="center"/>
          </w:tcPr>
          <w:p w14:paraId="3BA219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工期：以合同规定时间执行。不可抗拒条件影响的工期也包含在内。</w:t>
            </w:r>
          </w:p>
        </w:tc>
        <w:tc>
          <w:tcPr>
            <w:tcW w:w="949" w:type="dxa"/>
            <w:vAlign w:val="center"/>
          </w:tcPr>
          <w:p w14:paraId="6C9EF28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9E7B596">
            <w:pPr>
              <w:spacing w:before="62" w:beforeLines="20" w:after="62" w:afterLines="20" w:line="276" w:lineRule="auto"/>
              <w:jc w:val="left"/>
              <w:rPr>
                <w:rFonts w:ascii="Arial" w:hAnsi="Arial" w:cs="Arial"/>
                <w:color w:val="auto"/>
                <w:sz w:val="24"/>
                <w:highlight w:val="none"/>
              </w:rPr>
            </w:pPr>
          </w:p>
        </w:tc>
      </w:tr>
    </w:tbl>
    <w:p w14:paraId="2AB29B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5.6图纸及工程量</w:t>
      </w:r>
    </w:p>
    <w:tbl>
      <w:tblPr>
        <w:tblStyle w:val="74"/>
        <w:tblpPr w:leftFromText="180" w:rightFromText="180" w:vertAnchor="text" w:horzAnchor="margin" w:tblpXSpec="center" w:tblpY="63"/>
        <w:tblOverlap w:val="never"/>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63"/>
        <w:gridCol w:w="949"/>
        <w:gridCol w:w="1560"/>
      </w:tblGrid>
      <w:tr w14:paraId="3DEC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68" w:type="dxa"/>
            <w:tcBorders>
              <w:bottom w:val="single" w:color="auto" w:sz="4" w:space="0"/>
            </w:tcBorders>
            <w:shd w:val="pct20" w:color="auto" w:fill="FFFFFF"/>
            <w:vAlign w:val="center"/>
          </w:tcPr>
          <w:p w14:paraId="0897F3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563" w:type="dxa"/>
            <w:tcBorders>
              <w:bottom w:val="single" w:color="auto" w:sz="4" w:space="0"/>
            </w:tcBorders>
            <w:shd w:val="pct20" w:color="auto" w:fill="FFFFFF"/>
            <w:vAlign w:val="center"/>
          </w:tcPr>
          <w:p w14:paraId="602A78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2B1630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0A7CCF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3C294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36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68" w:type="dxa"/>
            <w:vAlign w:val="center"/>
          </w:tcPr>
          <w:p w14:paraId="3CAA90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URS5.6-01</w:t>
            </w:r>
          </w:p>
        </w:tc>
        <w:tc>
          <w:tcPr>
            <w:tcW w:w="6563" w:type="dxa"/>
            <w:vAlign w:val="center"/>
          </w:tcPr>
          <w:p w14:paraId="0F19CB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此</w:t>
            </w:r>
            <w:r>
              <w:rPr>
                <w:rFonts w:hint="eastAsia" w:ascii="Arial" w:hAnsi="Arial" w:cs="Arial"/>
                <w:color w:val="auto"/>
                <w:sz w:val="24"/>
                <w:highlight w:val="none"/>
              </w:rPr>
              <w:t>平面方案</w:t>
            </w:r>
            <w:r>
              <w:rPr>
                <w:rFonts w:ascii="Arial" w:hAnsi="Arial" w:cs="Arial"/>
                <w:color w:val="auto"/>
                <w:sz w:val="24"/>
                <w:highlight w:val="none"/>
              </w:rPr>
              <w:t>图纸经招标</w:t>
            </w:r>
            <w:r>
              <w:rPr>
                <w:rFonts w:hint="eastAsia" w:ascii="Arial" w:hAnsi="Arial" w:cs="Arial"/>
                <w:color w:val="auto"/>
                <w:sz w:val="24"/>
                <w:highlight w:val="none"/>
              </w:rPr>
              <w:t>人</w:t>
            </w:r>
            <w:r>
              <w:rPr>
                <w:rFonts w:ascii="Arial" w:hAnsi="Arial" w:cs="Arial"/>
                <w:color w:val="auto"/>
                <w:sz w:val="24"/>
                <w:highlight w:val="none"/>
              </w:rPr>
              <w:t>确认，请各投标人再根据各自的考虑进行投标报价。</w:t>
            </w:r>
          </w:p>
        </w:tc>
        <w:tc>
          <w:tcPr>
            <w:tcW w:w="949" w:type="dxa"/>
            <w:vAlign w:val="center"/>
          </w:tcPr>
          <w:p w14:paraId="7E6BCC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C8C2E22">
            <w:pPr>
              <w:spacing w:before="62" w:beforeLines="20" w:after="62" w:afterLines="20" w:line="276" w:lineRule="auto"/>
              <w:jc w:val="left"/>
              <w:rPr>
                <w:rFonts w:ascii="Arial" w:hAnsi="Arial" w:cs="Arial"/>
                <w:color w:val="auto"/>
                <w:sz w:val="24"/>
                <w:highlight w:val="none"/>
              </w:rPr>
            </w:pPr>
          </w:p>
        </w:tc>
      </w:tr>
      <w:tr w14:paraId="4AC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61ADDA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URS5.6-03</w:t>
            </w:r>
          </w:p>
        </w:tc>
        <w:tc>
          <w:tcPr>
            <w:tcW w:w="6563" w:type="dxa"/>
            <w:vAlign w:val="center"/>
          </w:tcPr>
          <w:p w14:paraId="048D0BB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方需对项目技术文件作充分了解，工程中若不了解项目而导致偏离的，不接受施工方提出的变更申请。若由建设方提出变更内容的，按施工管理相关制度程序办理，考虑对项目建设周期的影响评估，否则按合同约定时间商务条款执行。</w:t>
            </w:r>
          </w:p>
        </w:tc>
        <w:tc>
          <w:tcPr>
            <w:tcW w:w="949" w:type="dxa"/>
            <w:vAlign w:val="center"/>
          </w:tcPr>
          <w:p w14:paraId="30228A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E41456B">
            <w:pPr>
              <w:spacing w:before="62" w:beforeLines="20" w:after="62" w:afterLines="20" w:line="276" w:lineRule="auto"/>
              <w:jc w:val="left"/>
              <w:rPr>
                <w:rFonts w:ascii="Arial" w:hAnsi="Arial" w:cs="Arial"/>
                <w:color w:val="auto"/>
                <w:sz w:val="24"/>
                <w:highlight w:val="none"/>
              </w:rPr>
            </w:pPr>
          </w:p>
        </w:tc>
      </w:tr>
      <w:tr w14:paraId="25D2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8" w:type="dxa"/>
            <w:vAlign w:val="center"/>
          </w:tcPr>
          <w:p w14:paraId="383AF2A0">
            <w:pPr>
              <w:spacing w:before="62" w:beforeLines="20" w:after="62" w:afterLines="20" w:line="276" w:lineRule="auto"/>
              <w:jc w:val="left"/>
              <w:rPr>
                <w:rFonts w:ascii="Arial" w:hAnsi="Arial" w:cs="Arial"/>
                <w:color w:val="auto"/>
                <w:sz w:val="24"/>
                <w:highlight w:val="none"/>
              </w:rPr>
            </w:pPr>
          </w:p>
        </w:tc>
        <w:tc>
          <w:tcPr>
            <w:tcW w:w="6563" w:type="dxa"/>
            <w:vAlign w:val="center"/>
          </w:tcPr>
          <w:p w14:paraId="22869AE4">
            <w:pPr>
              <w:spacing w:before="62" w:beforeLines="20" w:after="62" w:afterLines="20" w:line="276" w:lineRule="auto"/>
              <w:jc w:val="left"/>
              <w:rPr>
                <w:rFonts w:ascii="Arial" w:hAnsi="Arial" w:cs="Arial"/>
                <w:color w:val="auto"/>
                <w:sz w:val="24"/>
                <w:highlight w:val="none"/>
              </w:rPr>
            </w:pPr>
          </w:p>
        </w:tc>
        <w:tc>
          <w:tcPr>
            <w:tcW w:w="949" w:type="dxa"/>
            <w:vAlign w:val="center"/>
          </w:tcPr>
          <w:p w14:paraId="6A171499">
            <w:pPr>
              <w:spacing w:before="62" w:beforeLines="20" w:after="62" w:afterLines="20" w:line="276" w:lineRule="auto"/>
              <w:jc w:val="left"/>
              <w:rPr>
                <w:rFonts w:ascii="Arial" w:hAnsi="Arial" w:cs="Arial"/>
                <w:color w:val="auto"/>
                <w:sz w:val="24"/>
                <w:highlight w:val="none"/>
              </w:rPr>
            </w:pPr>
          </w:p>
        </w:tc>
        <w:tc>
          <w:tcPr>
            <w:tcW w:w="1560" w:type="dxa"/>
            <w:vAlign w:val="center"/>
          </w:tcPr>
          <w:p w14:paraId="4EF5A8F9">
            <w:pPr>
              <w:spacing w:before="62" w:beforeLines="20" w:after="62" w:afterLines="20" w:line="276" w:lineRule="auto"/>
              <w:jc w:val="left"/>
              <w:rPr>
                <w:rFonts w:ascii="Arial" w:hAnsi="Arial" w:cs="Arial"/>
                <w:color w:val="auto"/>
                <w:sz w:val="24"/>
                <w:highlight w:val="none"/>
              </w:rPr>
            </w:pPr>
          </w:p>
        </w:tc>
      </w:tr>
    </w:tbl>
    <w:p w14:paraId="3C2E6B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5.7竣工资料的需求：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05"/>
        <w:gridCol w:w="949"/>
        <w:gridCol w:w="1560"/>
      </w:tblGrid>
      <w:tr w14:paraId="3BAE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26" w:type="dxa"/>
            <w:tcBorders>
              <w:bottom w:val="single" w:color="auto" w:sz="4" w:space="0"/>
            </w:tcBorders>
            <w:shd w:val="pct20" w:color="auto" w:fill="FFFFFF"/>
            <w:vAlign w:val="center"/>
          </w:tcPr>
          <w:p w14:paraId="4685EF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705" w:type="dxa"/>
            <w:tcBorders>
              <w:bottom w:val="single" w:color="auto" w:sz="4" w:space="0"/>
            </w:tcBorders>
            <w:shd w:val="pct20" w:color="auto" w:fill="FFFFFF"/>
            <w:vAlign w:val="center"/>
          </w:tcPr>
          <w:p w14:paraId="572A095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399000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4B4B920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B5E524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4A9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26" w:type="dxa"/>
            <w:vAlign w:val="center"/>
          </w:tcPr>
          <w:p w14:paraId="6742EE7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URS5.7-01</w:t>
            </w:r>
          </w:p>
        </w:tc>
        <w:tc>
          <w:tcPr>
            <w:tcW w:w="6705" w:type="dxa"/>
            <w:vAlign w:val="center"/>
          </w:tcPr>
          <w:p w14:paraId="00C0EE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需提供产品（含各类洁净空调、各类风柜、各类过滤器、管材、</w:t>
            </w:r>
            <w:r>
              <w:rPr>
                <w:rFonts w:hint="eastAsia" w:ascii="Arial" w:hAnsi="Arial" w:cs="Arial"/>
                <w:color w:val="auto"/>
                <w:sz w:val="24"/>
                <w:highlight w:val="none"/>
              </w:rPr>
              <w:t>等</w:t>
            </w:r>
            <w:r>
              <w:rPr>
                <w:rFonts w:ascii="Arial" w:hAnsi="Arial" w:cs="Arial"/>
                <w:color w:val="auto"/>
                <w:sz w:val="24"/>
                <w:highlight w:val="none"/>
              </w:rPr>
              <w:t>装修材料）合格证书、高效过滤器完整性测试证书、空调系统调试报告、仪器校正证书、</w:t>
            </w:r>
            <w:r>
              <w:rPr>
                <w:rFonts w:hint="eastAsia" w:ascii="Arial" w:hAnsi="Arial" w:cs="Arial"/>
                <w:color w:val="auto"/>
                <w:sz w:val="24"/>
                <w:highlight w:val="none"/>
              </w:rPr>
              <w:t>实验室</w:t>
            </w:r>
            <w:r>
              <w:rPr>
                <w:rFonts w:ascii="Arial" w:hAnsi="Arial" w:cs="Arial"/>
                <w:color w:val="auto"/>
                <w:sz w:val="24"/>
                <w:highlight w:val="none"/>
              </w:rPr>
              <w:t>设施设备清单、配备专用工具与附件、</w:t>
            </w:r>
            <w:r>
              <w:rPr>
                <w:rFonts w:hint="eastAsia" w:ascii="Arial" w:hAnsi="Arial" w:cs="Arial"/>
                <w:color w:val="auto"/>
                <w:sz w:val="24"/>
                <w:highlight w:val="none"/>
              </w:rPr>
              <w:t>实验室</w:t>
            </w:r>
            <w:r>
              <w:rPr>
                <w:rFonts w:ascii="Arial" w:hAnsi="Arial" w:cs="Arial"/>
                <w:color w:val="auto"/>
                <w:sz w:val="24"/>
                <w:highlight w:val="none"/>
              </w:rPr>
              <w:t>设施设备使用说明书、操作规程、清洁规程、维护保养规程</w:t>
            </w:r>
            <w:r>
              <w:rPr>
                <w:rFonts w:hint="eastAsia" w:ascii="Arial" w:hAnsi="Arial" w:cs="Arial"/>
                <w:color w:val="auto"/>
                <w:sz w:val="24"/>
                <w:highlight w:val="none"/>
              </w:rPr>
              <w:t>、洁净区第三方检测合格报告书及各类验收资料</w:t>
            </w:r>
            <w:r>
              <w:rPr>
                <w:rFonts w:ascii="Arial" w:hAnsi="Arial" w:cs="Arial"/>
                <w:color w:val="auto"/>
                <w:sz w:val="24"/>
                <w:highlight w:val="none"/>
              </w:rPr>
              <w:t>。</w:t>
            </w:r>
          </w:p>
        </w:tc>
        <w:tc>
          <w:tcPr>
            <w:tcW w:w="949" w:type="dxa"/>
            <w:vAlign w:val="center"/>
          </w:tcPr>
          <w:p w14:paraId="1205EC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5CADFAA">
            <w:pPr>
              <w:spacing w:before="62" w:beforeLines="20" w:after="62" w:afterLines="20" w:line="276" w:lineRule="auto"/>
              <w:jc w:val="left"/>
              <w:rPr>
                <w:rFonts w:ascii="Arial" w:hAnsi="Arial" w:cs="Arial"/>
                <w:color w:val="auto"/>
                <w:sz w:val="24"/>
                <w:highlight w:val="none"/>
              </w:rPr>
            </w:pPr>
          </w:p>
        </w:tc>
      </w:tr>
      <w:tr w14:paraId="7F2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446536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URS5.7-02</w:t>
            </w:r>
          </w:p>
        </w:tc>
        <w:tc>
          <w:tcPr>
            <w:tcW w:w="6705" w:type="dxa"/>
            <w:vAlign w:val="center"/>
          </w:tcPr>
          <w:p w14:paraId="0E4AC6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w:t>
            </w:r>
            <w:r>
              <w:rPr>
                <w:rFonts w:hint="eastAsia" w:ascii="Arial" w:hAnsi="Arial" w:cs="Arial"/>
                <w:color w:val="auto"/>
                <w:sz w:val="24"/>
                <w:highlight w:val="none"/>
              </w:rPr>
              <w:t>实验室</w:t>
            </w:r>
            <w:r>
              <w:rPr>
                <w:rFonts w:ascii="Arial" w:hAnsi="Arial" w:cs="Arial"/>
                <w:color w:val="auto"/>
                <w:sz w:val="24"/>
                <w:highlight w:val="none"/>
              </w:rPr>
              <w:t>施工完成后按</w:t>
            </w:r>
            <w:r>
              <w:rPr>
                <w:rFonts w:hint="eastAsia" w:ascii="Arial" w:hAnsi="Arial" w:cs="Arial"/>
                <w:color w:val="auto"/>
                <w:sz w:val="24"/>
                <w:highlight w:val="none"/>
              </w:rPr>
              <w:t>《生物安全实验室建筑技术规范》</w:t>
            </w:r>
            <w:r>
              <w:rPr>
                <w:rFonts w:ascii="Arial" w:hAnsi="Arial" w:cs="Arial"/>
                <w:color w:val="auto"/>
                <w:sz w:val="24"/>
                <w:highlight w:val="none"/>
              </w:rPr>
              <w:t>测试方法及要求由招标人进行检测，并符合施工图纸要求。</w:t>
            </w:r>
          </w:p>
        </w:tc>
        <w:tc>
          <w:tcPr>
            <w:tcW w:w="949" w:type="dxa"/>
            <w:vAlign w:val="center"/>
          </w:tcPr>
          <w:p w14:paraId="742843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CC90C16">
            <w:pPr>
              <w:spacing w:before="62" w:beforeLines="20" w:after="62" w:afterLines="20" w:line="276" w:lineRule="auto"/>
              <w:jc w:val="left"/>
              <w:rPr>
                <w:rFonts w:ascii="Arial" w:hAnsi="Arial" w:cs="Arial"/>
                <w:color w:val="auto"/>
                <w:sz w:val="24"/>
                <w:highlight w:val="none"/>
              </w:rPr>
            </w:pPr>
          </w:p>
        </w:tc>
      </w:tr>
      <w:tr w14:paraId="42C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452B9EE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URS5.7-03</w:t>
            </w:r>
          </w:p>
        </w:tc>
        <w:tc>
          <w:tcPr>
            <w:tcW w:w="6705" w:type="dxa"/>
            <w:vAlign w:val="center"/>
          </w:tcPr>
          <w:p w14:paraId="69EE62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装修施工后的竣工图纸不少于3套给</w:t>
            </w:r>
            <w:r>
              <w:rPr>
                <w:rFonts w:hint="eastAsia" w:ascii="Arial" w:hAnsi="Arial" w:cs="Arial"/>
                <w:color w:val="auto"/>
                <w:sz w:val="24"/>
                <w:highlight w:val="none"/>
              </w:rPr>
              <w:t>招标人</w:t>
            </w:r>
            <w:r>
              <w:rPr>
                <w:rFonts w:ascii="Arial" w:hAnsi="Arial" w:cs="Arial"/>
                <w:color w:val="auto"/>
                <w:sz w:val="24"/>
                <w:highlight w:val="none"/>
              </w:rPr>
              <w:t>存档。</w:t>
            </w:r>
          </w:p>
        </w:tc>
        <w:tc>
          <w:tcPr>
            <w:tcW w:w="949" w:type="dxa"/>
            <w:vAlign w:val="center"/>
          </w:tcPr>
          <w:p w14:paraId="75F1BC3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CB1419B">
            <w:pPr>
              <w:spacing w:before="62" w:beforeLines="20" w:after="62" w:afterLines="20" w:line="276" w:lineRule="auto"/>
              <w:jc w:val="left"/>
              <w:rPr>
                <w:rFonts w:ascii="Arial" w:hAnsi="Arial" w:cs="Arial"/>
                <w:color w:val="auto"/>
                <w:sz w:val="24"/>
                <w:highlight w:val="none"/>
              </w:rPr>
            </w:pPr>
          </w:p>
        </w:tc>
      </w:tr>
    </w:tbl>
    <w:p w14:paraId="0AFB097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5.8项目装修及验收依据</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05"/>
        <w:gridCol w:w="949"/>
        <w:gridCol w:w="1560"/>
      </w:tblGrid>
      <w:tr w14:paraId="2411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26" w:type="dxa"/>
            <w:tcBorders>
              <w:bottom w:val="single" w:color="auto" w:sz="4" w:space="0"/>
            </w:tcBorders>
            <w:shd w:val="pct20" w:color="auto" w:fill="FFFFFF"/>
            <w:vAlign w:val="center"/>
          </w:tcPr>
          <w:p w14:paraId="55C2EE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705" w:type="dxa"/>
            <w:tcBorders>
              <w:bottom w:val="single" w:color="auto" w:sz="4" w:space="0"/>
            </w:tcBorders>
            <w:shd w:val="pct20" w:color="auto" w:fill="FFFFFF"/>
            <w:vAlign w:val="center"/>
          </w:tcPr>
          <w:p w14:paraId="296609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6721C1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506B250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18B2D8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DE3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26" w:type="dxa"/>
            <w:vAlign w:val="center"/>
          </w:tcPr>
          <w:p w14:paraId="1BBAEB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URS5.8-01</w:t>
            </w:r>
          </w:p>
        </w:tc>
        <w:tc>
          <w:tcPr>
            <w:tcW w:w="6705" w:type="dxa"/>
            <w:vAlign w:val="center"/>
          </w:tcPr>
          <w:p w14:paraId="13DFF2D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装修及其安装需严格以设计说明与施工图纸为依据。</w:t>
            </w:r>
          </w:p>
        </w:tc>
        <w:tc>
          <w:tcPr>
            <w:tcW w:w="949" w:type="dxa"/>
            <w:vAlign w:val="center"/>
          </w:tcPr>
          <w:p w14:paraId="467EC6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F08B5E3">
            <w:pPr>
              <w:spacing w:before="62" w:beforeLines="20" w:after="62" w:afterLines="20" w:line="276" w:lineRule="auto"/>
              <w:jc w:val="left"/>
              <w:rPr>
                <w:rFonts w:ascii="Arial" w:hAnsi="Arial" w:cs="Arial"/>
                <w:color w:val="auto"/>
                <w:sz w:val="24"/>
                <w:highlight w:val="none"/>
              </w:rPr>
            </w:pPr>
          </w:p>
        </w:tc>
      </w:tr>
      <w:tr w14:paraId="7BD8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632C11C5">
            <w:pPr>
              <w:spacing w:before="62" w:beforeLines="20" w:after="62" w:afterLines="20" w:line="276" w:lineRule="auto"/>
              <w:jc w:val="left"/>
              <w:rPr>
                <w:rFonts w:ascii="Arial" w:hAnsi="Arial" w:cs="Arial"/>
                <w:color w:val="auto"/>
                <w:sz w:val="24"/>
                <w:highlight w:val="none"/>
              </w:rPr>
            </w:pPr>
          </w:p>
          <w:p w14:paraId="3020236E">
            <w:pPr>
              <w:spacing w:before="62" w:beforeLines="20" w:after="62" w:afterLines="20" w:line="276" w:lineRule="auto"/>
              <w:jc w:val="left"/>
              <w:rPr>
                <w:rFonts w:ascii="Arial" w:hAnsi="Arial" w:cs="Arial"/>
                <w:color w:val="auto"/>
                <w:sz w:val="24"/>
                <w:highlight w:val="none"/>
              </w:rPr>
            </w:pPr>
          </w:p>
          <w:p w14:paraId="7B52FA49">
            <w:pPr>
              <w:spacing w:before="62" w:beforeLines="20" w:after="62" w:afterLines="20" w:line="276" w:lineRule="auto"/>
              <w:jc w:val="left"/>
              <w:rPr>
                <w:rFonts w:ascii="Arial" w:hAnsi="Arial" w:cs="Arial"/>
                <w:color w:val="auto"/>
                <w:sz w:val="24"/>
                <w:highlight w:val="none"/>
              </w:rPr>
            </w:pPr>
          </w:p>
          <w:p w14:paraId="78B3E235">
            <w:pPr>
              <w:spacing w:before="62" w:beforeLines="20" w:after="62" w:afterLines="20" w:line="276" w:lineRule="auto"/>
              <w:jc w:val="left"/>
              <w:rPr>
                <w:rFonts w:ascii="Arial" w:hAnsi="Arial" w:cs="Arial"/>
                <w:color w:val="auto"/>
                <w:sz w:val="24"/>
                <w:highlight w:val="none"/>
              </w:rPr>
            </w:pPr>
          </w:p>
          <w:p w14:paraId="6FE10E6D">
            <w:pPr>
              <w:spacing w:before="62" w:beforeLines="20" w:after="62" w:afterLines="20" w:line="276" w:lineRule="auto"/>
              <w:jc w:val="left"/>
              <w:rPr>
                <w:rFonts w:ascii="Arial" w:hAnsi="Arial" w:cs="Arial"/>
                <w:color w:val="auto"/>
                <w:sz w:val="24"/>
                <w:highlight w:val="none"/>
              </w:rPr>
            </w:pPr>
          </w:p>
          <w:p w14:paraId="77FFAEB6">
            <w:pPr>
              <w:spacing w:before="62" w:beforeLines="20" w:after="62" w:afterLines="20" w:line="276" w:lineRule="auto"/>
              <w:jc w:val="left"/>
              <w:rPr>
                <w:rFonts w:ascii="Arial" w:hAnsi="Arial" w:cs="Arial"/>
                <w:color w:val="auto"/>
                <w:sz w:val="24"/>
                <w:highlight w:val="none"/>
              </w:rPr>
            </w:pPr>
          </w:p>
          <w:p w14:paraId="26A4BE53">
            <w:pPr>
              <w:spacing w:before="62" w:beforeLines="20" w:after="62" w:afterLines="20" w:line="276" w:lineRule="auto"/>
              <w:jc w:val="left"/>
              <w:rPr>
                <w:rFonts w:ascii="Arial" w:hAnsi="Arial" w:cs="Arial"/>
                <w:color w:val="auto"/>
                <w:sz w:val="24"/>
                <w:highlight w:val="none"/>
              </w:rPr>
            </w:pPr>
          </w:p>
          <w:p w14:paraId="545C25B9">
            <w:pPr>
              <w:spacing w:before="62" w:beforeLines="20" w:after="62" w:afterLines="20" w:line="276" w:lineRule="auto"/>
              <w:jc w:val="left"/>
              <w:rPr>
                <w:rFonts w:ascii="Arial" w:hAnsi="Arial" w:cs="Arial"/>
                <w:color w:val="auto"/>
                <w:sz w:val="24"/>
                <w:highlight w:val="none"/>
              </w:rPr>
            </w:pPr>
          </w:p>
          <w:p w14:paraId="247CDBDD">
            <w:pPr>
              <w:spacing w:before="62" w:beforeLines="20" w:after="62" w:afterLines="20" w:line="276" w:lineRule="auto"/>
              <w:jc w:val="left"/>
              <w:rPr>
                <w:rFonts w:ascii="Arial" w:hAnsi="Arial" w:cs="Arial"/>
                <w:color w:val="auto"/>
                <w:sz w:val="24"/>
                <w:highlight w:val="none"/>
              </w:rPr>
            </w:pPr>
          </w:p>
          <w:p w14:paraId="24AA07C8">
            <w:pPr>
              <w:spacing w:before="62" w:beforeLines="20" w:after="62" w:afterLines="20" w:line="276" w:lineRule="auto"/>
              <w:jc w:val="left"/>
              <w:rPr>
                <w:rFonts w:ascii="Arial" w:hAnsi="Arial" w:cs="Arial"/>
                <w:color w:val="auto"/>
                <w:sz w:val="24"/>
                <w:highlight w:val="none"/>
              </w:rPr>
            </w:pPr>
          </w:p>
          <w:p w14:paraId="2EF98547">
            <w:pPr>
              <w:spacing w:before="62" w:beforeLines="20" w:after="62" w:afterLines="20" w:line="276" w:lineRule="auto"/>
              <w:jc w:val="left"/>
              <w:rPr>
                <w:rFonts w:ascii="Arial" w:hAnsi="Arial" w:cs="Arial"/>
                <w:color w:val="auto"/>
                <w:sz w:val="24"/>
                <w:highlight w:val="none"/>
              </w:rPr>
            </w:pPr>
          </w:p>
          <w:p w14:paraId="3131DDFC">
            <w:pPr>
              <w:spacing w:before="62" w:beforeLines="20" w:after="62" w:afterLines="20" w:line="276" w:lineRule="auto"/>
              <w:jc w:val="left"/>
              <w:rPr>
                <w:rFonts w:ascii="Arial" w:hAnsi="Arial" w:cs="Arial"/>
                <w:color w:val="auto"/>
                <w:sz w:val="24"/>
                <w:highlight w:val="none"/>
              </w:rPr>
            </w:pPr>
          </w:p>
          <w:p w14:paraId="2A3B27C0">
            <w:pPr>
              <w:spacing w:before="62" w:beforeLines="20" w:after="62" w:afterLines="20" w:line="276" w:lineRule="auto"/>
              <w:jc w:val="left"/>
              <w:rPr>
                <w:rFonts w:ascii="Arial" w:hAnsi="Arial" w:cs="Arial"/>
                <w:color w:val="auto"/>
                <w:sz w:val="24"/>
                <w:highlight w:val="none"/>
              </w:rPr>
            </w:pPr>
          </w:p>
          <w:p w14:paraId="47D323EA">
            <w:pPr>
              <w:spacing w:before="62" w:beforeLines="20" w:after="62" w:afterLines="20" w:line="276" w:lineRule="auto"/>
              <w:jc w:val="left"/>
              <w:rPr>
                <w:rFonts w:ascii="Arial" w:hAnsi="Arial" w:cs="Arial"/>
                <w:color w:val="auto"/>
                <w:sz w:val="24"/>
                <w:highlight w:val="none"/>
              </w:rPr>
            </w:pPr>
          </w:p>
          <w:p w14:paraId="2063BFF4">
            <w:pPr>
              <w:spacing w:before="62" w:beforeLines="20" w:after="62" w:afterLines="20" w:line="276" w:lineRule="auto"/>
              <w:jc w:val="left"/>
              <w:rPr>
                <w:rFonts w:ascii="Arial" w:hAnsi="Arial" w:cs="Arial"/>
                <w:color w:val="auto"/>
                <w:sz w:val="24"/>
                <w:highlight w:val="none"/>
              </w:rPr>
            </w:pPr>
          </w:p>
          <w:p w14:paraId="63D1F2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URS5.8-02</w:t>
            </w:r>
          </w:p>
        </w:tc>
        <w:tc>
          <w:tcPr>
            <w:tcW w:w="6705" w:type="dxa"/>
            <w:vAlign w:val="center"/>
          </w:tcPr>
          <w:p w14:paraId="72BD112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装修及验收依据，</w:t>
            </w:r>
          </w:p>
          <w:p w14:paraId="46AC4A9D">
            <w:pPr>
              <w:pStyle w:val="508"/>
              <w:ind w:firstLine="420"/>
              <w:jc w:val="both"/>
              <w:rPr>
                <w:rFonts w:ascii="宋体" w:hAnsi="宋体" w:cs="宋体"/>
                <w:color w:val="auto"/>
                <w:sz w:val="24"/>
                <w:szCs w:val="24"/>
                <w:highlight w:val="none"/>
              </w:rPr>
            </w:pPr>
            <w:r>
              <w:rPr>
                <w:rFonts w:ascii="宋体" w:hAnsi="宋体" w:cs="宋体"/>
                <w:color w:val="auto"/>
                <w:sz w:val="24"/>
                <w:szCs w:val="24"/>
                <w:highlight w:val="none"/>
              </w:rPr>
              <w:t>《综合医院建筑设计规范》GB51039-2014</w:t>
            </w:r>
          </w:p>
          <w:p w14:paraId="172EEBF2">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《医院空气净化管理规范》WS/T 368-2012</w:t>
            </w:r>
          </w:p>
          <w:p w14:paraId="5CC0ADEF">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《医院消毒卫生标准》GB 15982-2012</w:t>
            </w:r>
          </w:p>
          <w:p w14:paraId="37C353A3">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《医疗机构消毒技术规范(2012年版）》WS/T 367-2012</w:t>
            </w:r>
          </w:p>
          <w:p w14:paraId="4FB086B9">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《生物安全实验室建筑技术规范》GB50346-2011</w:t>
            </w:r>
          </w:p>
          <w:p w14:paraId="69F596D0">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《医学生物安全二级实验室建筑技术标准》TCECS 662-2020</w:t>
            </w:r>
          </w:p>
          <w:p w14:paraId="26A43F1E">
            <w:pPr>
              <w:pStyle w:val="508"/>
              <w:spacing w:line="360" w:lineRule="auto"/>
              <w:ind w:firstLine="420"/>
              <w:rPr>
                <w:rFonts w:ascii="宋体" w:hAnsi="宋体" w:cs="宋体"/>
                <w:color w:val="auto"/>
                <w:sz w:val="24"/>
                <w:szCs w:val="24"/>
                <w:highlight w:val="none"/>
              </w:rPr>
            </w:pPr>
            <w:r>
              <w:rPr>
                <w:rFonts w:ascii="宋体" w:hAnsi="宋体" w:cs="宋体"/>
                <w:color w:val="auto"/>
                <w:sz w:val="24"/>
                <w:szCs w:val="24"/>
                <w:highlight w:val="none"/>
              </w:rPr>
              <w:t xml:space="preserve">《体外诊断检验系统 病原微生物检测和鉴定用核酸定性体外检验程序》GB/T 39367.1-2020 </w:t>
            </w:r>
          </w:p>
          <w:p w14:paraId="0AFF7F5C">
            <w:pPr>
              <w:pStyle w:val="508"/>
              <w:spacing w:line="360" w:lineRule="auto"/>
              <w:ind w:firstLine="420"/>
              <w:rPr>
                <w:rFonts w:ascii="宋体" w:hAnsi="宋体" w:cs="宋体"/>
                <w:color w:val="auto"/>
                <w:sz w:val="24"/>
                <w:szCs w:val="24"/>
                <w:highlight w:val="none"/>
              </w:rPr>
            </w:pPr>
            <w:r>
              <w:rPr>
                <w:rFonts w:ascii="宋体" w:hAnsi="宋体" w:cs="宋体"/>
                <w:color w:val="auto"/>
                <w:sz w:val="24"/>
                <w:szCs w:val="24"/>
                <w:highlight w:val="none"/>
              </w:rPr>
              <w:t xml:space="preserve">《实时荧光聚合酶链反应临床实验室应用指南》WS/T 230-2024 </w:t>
            </w:r>
          </w:p>
          <w:p w14:paraId="313B4EBD">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《医疗机构分子病理实验室建设规范》T/GDPMAA 0011—2022</w:t>
            </w:r>
          </w:p>
          <w:p w14:paraId="6737538E">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《民用建筑供暖通风与空气调节设计规范》GB50736-2012；</w:t>
            </w:r>
          </w:p>
          <w:p w14:paraId="3EEEB080">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《洁净厂房设计规范》GB50073-2013</w:t>
            </w:r>
          </w:p>
          <w:p w14:paraId="1660D5F1">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《民用建筑电气设计规范》(附条文说明[另册])JGJ/T16-2008</w:t>
            </w:r>
          </w:p>
          <w:p w14:paraId="4940BBC5">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《综合布线系统工程设计规范》GB50311-2016</w:t>
            </w:r>
          </w:p>
          <w:p w14:paraId="61A9223C">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《智能建筑设计标准》GB50314-2015</w:t>
            </w:r>
          </w:p>
          <w:p w14:paraId="3AE50180">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《通风与空调工程施工质量验收规范》GB50243-2016</w:t>
            </w:r>
          </w:p>
          <w:p w14:paraId="1ECD8403">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《洁净室施工及验收规范》GB50591-2010</w:t>
            </w:r>
          </w:p>
          <w:p w14:paraId="69ADBE17">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《建筑设计防火规范》GB50016-2014（2018版）</w:t>
            </w:r>
          </w:p>
          <w:p w14:paraId="1759450C">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《空气过滤器》GB/T14295-2019</w:t>
            </w:r>
          </w:p>
          <w:p w14:paraId="33C0E989">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《高效空气过滤器》GB/T13554-2020</w:t>
            </w:r>
          </w:p>
          <w:p w14:paraId="705B4211">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《建筑内部装修设计防火规范》GB50222-2017</w:t>
            </w:r>
          </w:p>
          <w:p w14:paraId="6A40659E">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《铜管接头》（GB/T 11618－2008）</w:t>
            </w:r>
          </w:p>
          <w:p w14:paraId="66668BD5">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《工业金属管道工程施工规范》GB50235－2010</w:t>
            </w:r>
          </w:p>
          <w:p w14:paraId="53CE8B17">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《医用电气设备第1部分：安全通用要求》(GB9706.12-1997)</w:t>
            </w:r>
          </w:p>
          <w:p w14:paraId="569A0081">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《建筑电气工程施工质量验收规范》（GB50303--2015）</w:t>
            </w:r>
          </w:p>
          <w:p w14:paraId="6B3C2FAD">
            <w:pPr>
              <w:pStyle w:val="508"/>
              <w:spacing w:line="360" w:lineRule="auto"/>
              <w:ind w:firstLine="420"/>
              <w:jc w:val="both"/>
              <w:rPr>
                <w:rFonts w:ascii="宋体" w:hAnsi="宋体" w:cs="宋体"/>
                <w:color w:val="auto"/>
                <w:sz w:val="24"/>
                <w:szCs w:val="24"/>
                <w:highlight w:val="none"/>
              </w:rPr>
            </w:pPr>
            <w:r>
              <w:rPr>
                <w:rFonts w:ascii="宋体" w:hAnsi="宋体" w:cs="宋体"/>
                <w:color w:val="auto"/>
                <w:sz w:val="24"/>
                <w:szCs w:val="24"/>
                <w:highlight w:val="none"/>
              </w:rPr>
              <w:t>《建筑工程施工质量验收统一标准》GB50300-2013</w:t>
            </w:r>
          </w:p>
          <w:p w14:paraId="31B0FE45">
            <w:pPr>
              <w:pStyle w:val="508"/>
              <w:spacing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其它与本工程相关的技术规范。</w:t>
            </w:r>
          </w:p>
          <w:p w14:paraId="73CD9E66">
            <w:pPr>
              <w:spacing w:before="62" w:beforeLines="20" w:after="62" w:afterLines="20" w:line="360" w:lineRule="auto"/>
              <w:ind w:firstLine="480" w:firstLineChars="200"/>
              <w:jc w:val="left"/>
              <w:rPr>
                <w:rFonts w:ascii="Arial" w:hAnsi="Arial" w:cs="Arial"/>
                <w:color w:val="auto"/>
                <w:sz w:val="24"/>
                <w:highlight w:val="none"/>
              </w:rPr>
            </w:pPr>
            <w:r>
              <w:rPr>
                <w:rFonts w:hint="eastAsia" w:ascii="宋体" w:hAnsi="宋体" w:cs="宋体"/>
                <w:color w:val="auto"/>
                <w:sz w:val="24"/>
                <w:highlight w:val="none"/>
              </w:rPr>
              <w:t>如果国家有新的行业标准公布，则按新标准执行。</w:t>
            </w:r>
          </w:p>
        </w:tc>
        <w:tc>
          <w:tcPr>
            <w:tcW w:w="949" w:type="dxa"/>
            <w:vAlign w:val="center"/>
          </w:tcPr>
          <w:p w14:paraId="21A525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6EEA766">
            <w:pPr>
              <w:spacing w:before="62" w:beforeLines="20" w:after="62" w:afterLines="20" w:line="276" w:lineRule="auto"/>
              <w:jc w:val="left"/>
              <w:rPr>
                <w:rFonts w:ascii="Arial" w:hAnsi="Arial" w:cs="Arial"/>
                <w:color w:val="auto"/>
                <w:sz w:val="24"/>
                <w:highlight w:val="none"/>
              </w:rPr>
            </w:pPr>
          </w:p>
        </w:tc>
      </w:tr>
    </w:tbl>
    <w:p w14:paraId="7BD88D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5.9质保及售后服务</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705"/>
        <w:gridCol w:w="949"/>
        <w:gridCol w:w="1560"/>
      </w:tblGrid>
      <w:tr w14:paraId="173F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26" w:type="dxa"/>
            <w:tcBorders>
              <w:bottom w:val="single" w:color="auto" w:sz="4" w:space="0"/>
            </w:tcBorders>
            <w:shd w:val="pct20" w:color="auto" w:fill="FFFFFF"/>
            <w:vAlign w:val="center"/>
          </w:tcPr>
          <w:p w14:paraId="1E677B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705" w:type="dxa"/>
            <w:tcBorders>
              <w:bottom w:val="single" w:color="auto" w:sz="4" w:space="0"/>
            </w:tcBorders>
            <w:shd w:val="pct20" w:color="auto" w:fill="FFFFFF"/>
            <w:vAlign w:val="center"/>
          </w:tcPr>
          <w:p w14:paraId="34C3DE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3CEFB6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7F65B0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2C7EF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1B7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26" w:type="dxa"/>
            <w:vAlign w:val="center"/>
          </w:tcPr>
          <w:p w14:paraId="1A1E45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URS5.9-01</w:t>
            </w:r>
          </w:p>
        </w:tc>
        <w:tc>
          <w:tcPr>
            <w:tcW w:w="6705" w:type="dxa"/>
            <w:vAlign w:val="center"/>
          </w:tcPr>
          <w:p w14:paraId="30AED2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质量要求为：合格。质量不符合经确认图纸和投标文件，以及技术质量和品牌经招标人现场人员核定质量不合格者，招标人可要求中标人退货，一切费用由中标人承担。</w:t>
            </w:r>
          </w:p>
        </w:tc>
        <w:tc>
          <w:tcPr>
            <w:tcW w:w="949" w:type="dxa"/>
            <w:vAlign w:val="center"/>
          </w:tcPr>
          <w:p w14:paraId="6C04C3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11BB972">
            <w:pPr>
              <w:spacing w:before="62" w:beforeLines="20" w:after="62" w:afterLines="20" w:line="276" w:lineRule="auto"/>
              <w:jc w:val="left"/>
              <w:rPr>
                <w:rFonts w:ascii="Arial" w:hAnsi="Arial" w:cs="Arial"/>
                <w:color w:val="auto"/>
                <w:sz w:val="24"/>
                <w:highlight w:val="none"/>
              </w:rPr>
            </w:pPr>
          </w:p>
        </w:tc>
      </w:tr>
      <w:tr w14:paraId="5FFE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0B85F4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URS5.9-02</w:t>
            </w:r>
          </w:p>
        </w:tc>
        <w:tc>
          <w:tcPr>
            <w:tcW w:w="6705" w:type="dxa"/>
            <w:vAlign w:val="center"/>
          </w:tcPr>
          <w:p w14:paraId="4FA5D6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质量保障：</w:t>
            </w:r>
          </w:p>
          <w:p w14:paraId="1CFBA7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投标人应提供已注册品牌制造商原装、全新的、符合国家及招标文件中规定的有关质量标准的货物。投标人应对国家强制性相关产品提供3C认证证书。国内产品或合资厂的产品应具备出厂合格证和原厂保修卡，进口产品须提供合法渠道证明文件；</w:t>
            </w:r>
          </w:p>
          <w:p w14:paraId="629216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（2）货物制造质量出现问题，投标人负责提供三包（包修、包换、包退）服务。</w:t>
            </w:r>
          </w:p>
          <w:p w14:paraId="24A71A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（3）所有货物，质量稳定，基本无磕、碰、划伤、锈蚀、毛刺等现象。</w:t>
            </w:r>
          </w:p>
        </w:tc>
        <w:tc>
          <w:tcPr>
            <w:tcW w:w="949" w:type="dxa"/>
            <w:vAlign w:val="center"/>
          </w:tcPr>
          <w:p w14:paraId="486C861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D670986">
            <w:pPr>
              <w:spacing w:before="62" w:beforeLines="20" w:after="62" w:afterLines="20" w:line="276" w:lineRule="auto"/>
              <w:jc w:val="left"/>
              <w:rPr>
                <w:rFonts w:ascii="Arial" w:hAnsi="Arial" w:cs="Arial"/>
                <w:color w:val="auto"/>
                <w:sz w:val="24"/>
                <w:highlight w:val="none"/>
              </w:rPr>
            </w:pPr>
          </w:p>
        </w:tc>
      </w:tr>
      <w:tr w14:paraId="600B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14:paraId="028D9D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URS5.9-03</w:t>
            </w:r>
          </w:p>
        </w:tc>
        <w:tc>
          <w:tcPr>
            <w:tcW w:w="6705" w:type="dxa"/>
            <w:vAlign w:val="center"/>
          </w:tcPr>
          <w:p w14:paraId="696DA7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保修及售后服务</w:t>
            </w:r>
          </w:p>
          <w:p w14:paraId="6C6EAC6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1）货物保修服务按厂家标准执行，中标单位免费提供至少两年免费上门保修服务的标准。保修期自验收合格，中标单位和招标人在验收单上签字之日起计算。</w:t>
            </w:r>
          </w:p>
          <w:p w14:paraId="4C9925D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2）自验收签字之日起所改造的工程免费保修（包括非人为损坏的质量问题引致发生的材料费用）24个月（两年）。3</w:t>
            </w:r>
            <w:r>
              <w:rPr>
                <w:rFonts w:ascii="Arial" w:hAnsi="Arial" w:cs="Arial"/>
                <w:color w:val="auto"/>
                <w:sz w:val="24"/>
                <w:highlight w:val="none"/>
              </w:rPr>
              <w:t>）</w:t>
            </w:r>
            <w:r>
              <w:rPr>
                <w:rFonts w:hint="eastAsia" w:ascii="Arial" w:hAnsi="Arial" w:cs="Arial"/>
                <w:color w:val="auto"/>
                <w:sz w:val="24"/>
                <w:highlight w:val="none"/>
              </w:rPr>
              <w:t>投</w:t>
            </w:r>
            <w:r>
              <w:rPr>
                <w:rFonts w:ascii="Arial" w:hAnsi="Arial" w:cs="Arial"/>
                <w:color w:val="auto"/>
                <w:sz w:val="24"/>
                <w:highlight w:val="none"/>
              </w:rPr>
              <w:t>标人应有长期售后维修服务机构或稳定的维修服务合作伙伴，有完善的售后服务，对工程提供终身维修服务。用户使用中出现故障应在接到通知后1小时响应，</w:t>
            </w:r>
            <w:r>
              <w:rPr>
                <w:rFonts w:hint="eastAsia" w:ascii="Arial" w:hAnsi="Arial" w:cs="Arial"/>
                <w:color w:val="auto"/>
                <w:sz w:val="24"/>
                <w:highlight w:val="none"/>
              </w:rPr>
              <w:t>4</w:t>
            </w:r>
            <w:r>
              <w:rPr>
                <w:rFonts w:ascii="Arial" w:hAnsi="Arial" w:cs="Arial"/>
                <w:color w:val="auto"/>
                <w:sz w:val="24"/>
                <w:highlight w:val="none"/>
              </w:rPr>
              <w:t>小时内派工程技术人员到达现场维修。</w:t>
            </w:r>
          </w:p>
        </w:tc>
        <w:tc>
          <w:tcPr>
            <w:tcW w:w="949" w:type="dxa"/>
            <w:vAlign w:val="center"/>
          </w:tcPr>
          <w:p w14:paraId="6727D5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w:t>
            </w:r>
          </w:p>
        </w:tc>
        <w:tc>
          <w:tcPr>
            <w:tcW w:w="1560" w:type="dxa"/>
            <w:vAlign w:val="center"/>
          </w:tcPr>
          <w:p w14:paraId="17225A88">
            <w:pPr>
              <w:spacing w:before="62" w:beforeLines="20" w:after="62" w:afterLines="20" w:line="276" w:lineRule="auto"/>
              <w:jc w:val="left"/>
              <w:rPr>
                <w:rFonts w:ascii="Arial" w:hAnsi="Arial" w:cs="Arial"/>
                <w:color w:val="auto"/>
                <w:sz w:val="24"/>
                <w:highlight w:val="none"/>
              </w:rPr>
            </w:pPr>
          </w:p>
        </w:tc>
      </w:tr>
    </w:tbl>
    <w:p w14:paraId="130E1EC5">
      <w:pPr>
        <w:spacing w:before="62" w:beforeLines="20" w:after="62" w:afterLines="20" w:line="276" w:lineRule="auto"/>
        <w:jc w:val="left"/>
        <w:rPr>
          <w:rFonts w:ascii="Arial" w:hAnsi="Arial" w:cs="Arial"/>
          <w:color w:val="auto"/>
          <w:sz w:val="24"/>
          <w:highlight w:val="none"/>
        </w:rPr>
      </w:pPr>
    </w:p>
    <w:p w14:paraId="53AF9DFC">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六</w:t>
      </w:r>
      <w:r>
        <w:rPr>
          <w:rFonts w:ascii="Arial" w:hAnsi="Arial" w:cs="Arial"/>
          <w:b/>
          <w:color w:val="auto"/>
          <w:sz w:val="24"/>
          <w:highlight w:val="none"/>
        </w:rPr>
        <w:t>、</w:t>
      </w:r>
      <w:r>
        <w:rPr>
          <w:rFonts w:hint="eastAsia" w:ascii="Arial" w:hAnsi="Arial" w:cs="Arial"/>
          <w:b/>
          <w:color w:val="auto"/>
          <w:sz w:val="24"/>
          <w:highlight w:val="none"/>
        </w:rPr>
        <w:t>实验室装修要求（建筑专业）</w:t>
      </w:r>
    </w:p>
    <w:p w14:paraId="76CA413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6A4D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4BBD8C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5780BCA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4AAABE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374BFB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240AA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ED0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2E1615FC">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p>
        </w:tc>
        <w:tc>
          <w:tcPr>
            <w:tcW w:w="6422" w:type="dxa"/>
            <w:vAlign w:val="center"/>
          </w:tcPr>
          <w:p w14:paraId="1E54C67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总体要求(按图纸施工，以图纸为准)：</w:t>
            </w:r>
          </w:p>
          <w:p w14:paraId="3539F75D">
            <w:pPr>
              <w:numPr>
                <w:ilvl w:val="0"/>
                <w:numId w:val="2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实验室区域采用硫氧镁隔墙及吊顶装配而成需由安装施工单位与业主单位确定板材的排列及门窗的最终定位等工作。要求房间内光滑平整墙面与地面和天棚墙面与墙面之间的阴角均做圆弧处理且需按设计要求采用净化实验室专用的门窗及净化地漏等建筑配件，安装时工艺、水、电、空调等专业要密切配合，以免造成遗漏和返工。隔墙、吊顶、回风夹道开孔位置及大小详见空调专业图纸。净化生产区内的柱子与砌体墙面均应采用彩钢硫氧镁板贴面（抗过氧化氢腐蚀材质）。</w:t>
            </w:r>
          </w:p>
          <w:p w14:paraId="04A00D94">
            <w:pPr>
              <w:numPr>
                <w:ilvl w:val="0"/>
                <w:numId w:val="2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洁净区的门窗、墙壁、顶棚、地面的构造和施工缝隙，应采用密闭措施，（抗过氧化氢腐蚀材质）；</w:t>
            </w:r>
          </w:p>
          <w:p w14:paraId="7EF5F77D">
            <w:pPr>
              <w:numPr>
                <w:ilvl w:val="0"/>
                <w:numId w:val="2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洁净室的门宜朝空气洁净度高的房间开启，并加设闭门器。</w:t>
            </w:r>
          </w:p>
          <w:p w14:paraId="2DB244B7">
            <w:pPr>
              <w:numPr>
                <w:ilvl w:val="0"/>
                <w:numId w:val="2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硫氧镁彩钢板隔墙上暗装消火栓等设备时，背部用硫氧镁彩钢板封平。洁净区与非洁净区之间墙耐火极限应≥1小时，疏散走道两侧隔断及顶棚耐火极限应≥1小时，疏散走道上隔墙上洁净窗的耐火时间≥1小时，其余区域洁净窗的耐火时间≥0.6小时。</w:t>
            </w:r>
          </w:p>
          <w:p w14:paraId="4EBDBB66">
            <w:pPr>
              <w:numPr>
                <w:ilvl w:val="0"/>
                <w:numId w:val="2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硫氧镁彩钢板墙的回风口、顶棚送风口及灯槽的位置见暖风专业图及电气专业图。</w:t>
            </w:r>
          </w:p>
        </w:tc>
        <w:tc>
          <w:tcPr>
            <w:tcW w:w="949" w:type="dxa"/>
            <w:vAlign w:val="center"/>
          </w:tcPr>
          <w:p w14:paraId="18A5EFD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A4E5B91">
            <w:pPr>
              <w:spacing w:before="62" w:beforeLines="20" w:after="62" w:afterLines="20" w:line="276" w:lineRule="auto"/>
              <w:jc w:val="left"/>
              <w:rPr>
                <w:rFonts w:ascii="Arial" w:hAnsi="Arial" w:cs="Arial"/>
                <w:color w:val="auto"/>
                <w:sz w:val="24"/>
                <w:highlight w:val="none"/>
              </w:rPr>
            </w:pPr>
          </w:p>
        </w:tc>
      </w:tr>
    </w:tbl>
    <w:p w14:paraId="6B0F1A1B">
      <w:pPr>
        <w:spacing w:before="62" w:beforeLines="20" w:after="62" w:afterLines="20" w:line="276" w:lineRule="auto"/>
        <w:jc w:val="left"/>
        <w:rPr>
          <w:rFonts w:ascii="Arial" w:hAnsi="Arial" w:cs="Arial"/>
          <w:color w:val="auto"/>
          <w:sz w:val="24"/>
          <w:highlight w:val="none"/>
        </w:rPr>
      </w:pPr>
    </w:p>
    <w:p w14:paraId="1C722D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6.1墙板</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66F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27569B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0B47AC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2337C8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18FB1E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421C2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E02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2D0D4D9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URS6.1-01</w:t>
            </w:r>
          </w:p>
        </w:tc>
        <w:tc>
          <w:tcPr>
            <w:tcW w:w="6422" w:type="dxa"/>
            <w:vAlign w:val="center"/>
          </w:tcPr>
          <w:p w14:paraId="3D72E3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墙板采用50mm厚的</w:t>
            </w:r>
            <w:r>
              <w:rPr>
                <w:rFonts w:hint="eastAsia" w:ascii="Arial" w:hAnsi="Arial" w:cs="Arial"/>
                <w:color w:val="auto"/>
                <w:sz w:val="24"/>
                <w:highlight w:val="none"/>
              </w:rPr>
              <w:t>机制</w:t>
            </w:r>
            <w:r>
              <w:rPr>
                <w:rFonts w:ascii="Arial" w:hAnsi="Arial" w:cs="Arial"/>
                <w:color w:val="auto"/>
                <w:sz w:val="24"/>
                <w:highlight w:val="none"/>
              </w:rPr>
              <w:t>硫氧镁彩钢板。基板为0.4</w:t>
            </w:r>
            <w:r>
              <w:rPr>
                <w:rFonts w:hint="eastAsia" w:ascii="Arial" w:hAnsi="Arial" w:cs="Arial"/>
                <w:color w:val="auto"/>
                <w:sz w:val="24"/>
                <w:highlight w:val="none"/>
              </w:rPr>
              <w:t>2</w:t>
            </w:r>
            <w:r>
              <w:rPr>
                <w:rFonts w:ascii="Arial" w:hAnsi="Arial" w:cs="Arial"/>
                <w:color w:val="auto"/>
                <w:sz w:val="24"/>
                <w:highlight w:val="none"/>
              </w:rPr>
              <w:t>6mm厚白灰色的华美钢板（颜色由招标人确认），表面覆上塑料保护膜 (0.05mm) ，以防运输或安装过程中，表面刮花颜色。墙板表面不吸尘不产尘易清洁，并能耐受清洗消毒。</w:t>
            </w:r>
          </w:p>
        </w:tc>
        <w:tc>
          <w:tcPr>
            <w:tcW w:w="949" w:type="dxa"/>
            <w:vAlign w:val="center"/>
          </w:tcPr>
          <w:p w14:paraId="0E962B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CF2F92E">
            <w:pPr>
              <w:spacing w:before="62" w:beforeLines="20" w:after="62" w:afterLines="20" w:line="276" w:lineRule="auto"/>
              <w:jc w:val="left"/>
              <w:rPr>
                <w:rFonts w:ascii="Arial" w:hAnsi="Arial" w:cs="Arial"/>
                <w:color w:val="auto"/>
                <w:sz w:val="24"/>
                <w:highlight w:val="none"/>
              </w:rPr>
            </w:pPr>
          </w:p>
        </w:tc>
      </w:tr>
      <w:tr w14:paraId="4C13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22E9EA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URS6.1-02</w:t>
            </w:r>
          </w:p>
        </w:tc>
        <w:tc>
          <w:tcPr>
            <w:tcW w:w="6422" w:type="dxa"/>
            <w:vAlign w:val="center"/>
          </w:tcPr>
          <w:p w14:paraId="5EE5F8A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墙体材料满足消防规范的要求，满足防火时间和人员疏散等的需要。提供硫氧镁彩钢板耐火性的证明文件</w:t>
            </w:r>
            <w:r>
              <w:rPr>
                <w:rFonts w:hint="eastAsia" w:ascii="Arial" w:hAnsi="Arial" w:cs="Arial"/>
                <w:color w:val="auto"/>
                <w:sz w:val="24"/>
                <w:highlight w:val="none"/>
              </w:rPr>
              <w:t>，第三方质量检测报告</w:t>
            </w:r>
            <w:r>
              <w:rPr>
                <w:rFonts w:ascii="Arial" w:hAnsi="Arial" w:cs="Arial"/>
                <w:color w:val="auto"/>
                <w:sz w:val="24"/>
                <w:highlight w:val="none"/>
              </w:rPr>
              <w:t>。</w:t>
            </w:r>
          </w:p>
        </w:tc>
        <w:tc>
          <w:tcPr>
            <w:tcW w:w="949" w:type="dxa"/>
            <w:vAlign w:val="center"/>
          </w:tcPr>
          <w:p w14:paraId="457737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39256A0">
            <w:pPr>
              <w:spacing w:before="62" w:beforeLines="20" w:after="62" w:afterLines="20" w:line="276" w:lineRule="auto"/>
              <w:jc w:val="left"/>
              <w:rPr>
                <w:rFonts w:ascii="Arial" w:hAnsi="Arial" w:cs="Arial"/>
                <w:color w:val="auto"/>
                <w:sz w:val="24"/>
                <w:highlight w:val="none"/>
              </w:rPr>
            </w:pPr>
          </w:p>
        </w:tc>
      </w:tr>
      <w:tr w14:paraId="50AD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0BD89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URS6.1-03</w:t>
            </w:r>
          </w:p>
        </w:tc>
        <w:tc>
          <w:tcPr>
            <w:tcW w:w="6422" w:type="dxa"/>
            <w:vAlign w:val="center"/>
          </w:tcPr>
          <w:p w14:paraId="1B52DE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工程期间建设方随机抽检彩板或下脚料。</w:t>
            </w:r>
          </w:p>
        </w:tc>
        <w:tc>
          <w:tcPr>
            <w:tcW w:w="949" w:type="dxa"/>
            <w:vAlign w:val="center"/>
          </w:tcPr>
          <w:p w14:paraId="335257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4DB35A7">
            <w:pPr>
              <w:spacing w:before="62" w:beforeLines="20" w:after="62" w:afterLines="20" w:line="276" w:lineRule="auto"/>
              <w:jc w:val="left"/>
              <w:rPr>
                <w:rFonts w:ascii="Arial" w:hAnsi="Arial" w:cs="Arial"/>
                <w:color w:val="auto"/>
                <w:sz w:val="24"/>
                <w:highlight w:val="none"/>
              </w:rPr>
            </w:pPr>
          </w:p>
        </w:tc>
      </w:tr>
      <w:tr w14:paraId="7BF0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0C2F83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URS6.1-04</w:t>
            </w:r>
          </w:p>
        </w:tc>
        <w:tc>
          <w:tcPr>
            <w:tcW w:w="6422" w:type="dxa"/>
            <w:vAlign w:val="center"/>
          </w:tcPr>
          <w:p w14:paraId="57C2C0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整个工程所有硫氧镁彩钢板建议用同一批号，以利于缩小色差。</w:t>
            </w:r>
          </w:p>
        </w:tc>
        <w:tc>
          <w:tcPr>
            <w:tcW w:w="949" w:type="dxa"/>
            <w:vAlign w:val="center"/>
          </w:tcPr>
          <w:p w14:paraId="15D141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D471ACB">
            <w:pPr>
              <w:spacing w:before="62" w:beforeLines="20" w:after="62" w:afterLines="20" w:line="276" w:lineRule="auto"/>
              <w:jc w:val="left"/>
              <w:rPr>
                <w:rFonts w:ascii="Arial" w:hAnsi="Arial" w:cs="Arial"/>
                <w:color w:val="auto"/>
                <w:sz w:val="24"/>
                <w:highlight w:val="none"/>
              </w:rPr>
            </w:pPr>
          </w:p>
        </w:tc>
      </w:tr>
      <w:tr w14:paraId="2B64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E4F8E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URS6.1-05</w:t>
            </w:r>
          </w:p>
        </w:tc>
        <w:tc>
          <w:tcPr>
            <w:tcW w:w="6422" w:type="dxa"/>
            <w:vAlign w:val="center"/>
          </w:tcPr>
          <w:p w14:paraId="03FAC017">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硫氧镁彩钢板必须有质量检测报告。</w:t>
            </w:r>
          </w:p>
        </w:tc>
        <w:tc>
          <w:tcPr>
            <w:tcW w:w="949" w:type="dxa"/>
            <w:vAlign w:val="center"/>
          </w:tcPr>
          <w:p w14:paraId="5A8315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E0F64B4">
            <w:pPr>
              <w:spacing w:before="62" w:beforeLines="20" w:after="62" w:afterLines="20" w:line="276" w:lineRule="auto"/>
              <w:jc w:val="left"/>
              <w:rPr>
                <w:rFonts w:ascii="Arial" w:hAnsi="Arial" w:cs="Arial"/>
                <w:color w:val="auto"/>
                <w:sz w:val="24"/>
                <w:highlight w:val="none"/>
              </w:rPr>
            </w:pPr>
          </w:p>
        </w:tc>
      </w:tr>
      <w:tr w14:paraId="4875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03BA6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URS6.1-06</w:t>
            </w:r>
          </w:p>
        </w:tc>
        <w:tc>
          <w:tcPr>
            <w:tcW w:w="6422" w:type="dxa"/>
            <w:vAlign w:val="center"/>
          </w:tcPr>
          <w:p w14:paraId="36BFB1B9">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949" w:type="dxa"/>
            <w:vAlign w:val="center"/>
          </w:tcPr>
          <w:p w14:paraId="3AA58B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343A61F">
            <w:pPr>
              <w:spacing w:before="62" w:beforeLines="20" w:after="62" w:afterLines="20" w:line="276" w:lineRule="auto"/>
              <w:jc w:val="left"/>
              <w:rPr>
                <w:rFonts w:ascii="Arial" w:hAnsi="Arial" w:cs="Arial"/>
                <w:color w:val="auto"/>
                <w:sz w:val="24"/>
                <w:highlight w:val="none"/>
              </w:rPr>
            </w:pPr>
          </w:p>
        </w:tc>
      </w:tr>
    </w:tbl>
    <w:p w14:paraId="159748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6.2顶板</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5ADF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0E93D4A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72E870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5BD5BE3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757DD9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099A4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1CC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0E5B0A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URS6.2-01</w:t>
            </w:r>
          </w:p>
        </w:tc>
        <w:tc>
          <w:tcPr>
            <w:tcW w:w="6422" w:type="dxa"/>
            <w:vAlign w:val="center"/>
          </w:tcPr>
          <w:p w14:paraId="6BF8C0F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顶板采用50mm厚的</w:t>
            </w:r>
            <w:r>
              <w:rPr>
                <w:rFonts w:hint="eastAsia" w:ascii="Arial" w:hAnsi="Arial" w:cs="Arial"/>
                <w:color w:val="auto"/>
                <w:sz w:val="24"/>
                <w:highlight w:val="none"/>
              </w:rPr>
              <w:t>手工</w:t>
            </w:r>
            <w:r>
              <w:rPr>
                <w:rFonts w:ascii="Arial" w:hAnsi="Arial" w:cs="Arial"/>
                <w:color w:val="auto"/>
                <w:sz w:val="24"/>
                <w:highlight w:val="none"/>
              </w:rPr>
              <w:t>硫氧镁彩钢板（</w:t>
            </w:r>
            <w:r>
              <w:rPr>
                <w:rFonts w:hint="eastAsia" w:ascii="Arial" w:hAnsi="Arial" w:cs="Arial"/>
                <w:color w:val="auto"/>
                <w:sz w:val="24"/>
                <w:highlight w:val="none"/>
              </w:rPr>
              <w:t>需抗过氧化氢腐蚀材质，</w:t>
            </w:r>
            <w:r>
              <w:rPr>
                <w:rFonts w:ascii="Arial" w:hAnsi="Arial" w:cs="Arial"/>
                <w:color w:val="auto"/>
                <w:sz w:val="24"/>
                <w:highlight w:val="none"/>
              </w:rPr>
              <w:t>颜色由招标人确认）。基板为0.4</w:t>
            </w:r>
            <w:r>
              <w:rPr>
                <w:rFonts w:hint="eastAsia" w:ascii="Arial" w:hAnsi="Arial" w:cs="Arial"/>
                <w:color w:val="auto"/>
                <w:sz w:val="24"/>
                <w:highlight w:val="none"/>
              </w:rPr>
              <w:t>2</w:t>
            </w:r>
            <w:r>
              <w:rPr>
                <w:rFonts w:ascii="Arial" w:hAnsi="Arial" w:cs="Arial"/>
                <w:color w:val="auto"/>
                <w:sz w:val="24"/>
                <w:highlight w:val="none"/>
              </w:rPr>
              <w:t>6mm厚白灰色的钢板，表面覆上塑料保护膜 (0.05mm) ，以防运输或安装过程中，表面刮花颜色。墙板表面不吸尘不产尘易清洁，并能耐受清洗消毒。承包方必须提供吊顶及相关辅材的材质、厚度、规格、连接方式及测试报告等</w:t>
            </w:r>
          </w:p>
        </w:tc>
        <w:tc>
          <w:tcPr>
            <w:tcW w:w="949" w:type="dxa"/>
            <w:vAlign w:val="center"/>
          </w:tcPr>
          <w:p w14:paraId="52C914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75E9B52">
            <w:pPr>
              <w:spacing w:before="62" w:beforeLines="20" w:after="62" w:afterLines="20" w:line="276" w:lineRule="auto"/>
              <w:jc w:val="left"/>
              <w:rPr>
                <w:rFonts w:ascii="Arial" w:hAnsi="Arial" w:cs="Arial"/>
                <w:color w:val="auto"/>
                <w:sz w:val="24"/>
                <w:highlight w:val="none"/>
              </w:rPr>
            </w:pPr>
          </w:p>
        </w:tc>
      </w:tr>
      <w:tr w14:paraId="3027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79A95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URS6.2-02</w:t>
            </w:r>
          </w:p>
        </w:tc>
        <w:tc>
          <w:tcPr>
            <w:tcW w:w="6422" w:type="dxa"/>
            <w:vAlign w:val="center"/>
          </w:tcPr>
          <w:p w14:paraId="36DAE4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w:t>
            </w:r>
          </w:p>
        </w:tc>
        <w:tc>
          <w:tcPr>
            <w:tcW w:w="949" w:type="dxa"/>
            <w:vAlign w:val="center"/>
          </w:tcPr>
          <w:p w14:paraId="7B1453B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D94D866">
            <w:pPr>
              <w:spacing w:before="62" w:beforeLines="20" w:after="62" w:afterLines="20" w:line="276" w:lineRule="auto"/>
              <w:jc w:val="left"/>
              <w:rPr>
                <w:rFonts w:ascii="Arial" w:hAnsi="Arial" w:cs="Arial"/>
                <w:color w:val="auto"/>
                <w:sz w:val="24"/>
                <w:highlight w:val="none"/>
              </w:rPr>
            </w:pPr>
          </w:p>
        </w:tc>
      </w:tr>
      <w:tr w14:paraId="0C11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2F478C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URS6.2-03</w:t>
            </w:r>
          </w:p>
        </w:tc>
        <w:tc>
          <w:tcPr>
            <w:tcW w:w="6422" w:type="dxa"/>
            <w:vAlign w:val="center"/>
          </w:tcPr>
          <w:p w14:paraId="754CE2E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整个工程所有硫氧镁彩钢板建议用同一批号，以利于缩小色差。</w:t>
            </w:r>
          </w:p>
        </w:tc>
        <w:tc>
          <w:tcPr>
            <w:tcW w:w="949" w:type="dxa"/>
            <w:vAlign w:val="center"/>
          </w:tcPr>
          <w:p w14:paraId="34FC72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6E8FB30">
            <w:pPr>
              <w:spacing w:before="62" w:beforeLines="20" w:after="62" w:afterLines="20" w:line="276" w:lineRule="auto"/>
              <w:jc w:val="left"/>
              <w:rPr>
                <w:rFonts w:ascii="Arial" w:hAnsi="Arial" w:cs="Arial"/>
                <w:color w:val="auto"/>
                <w:sz w:val="24"/>
                <w:highlight w:val="none"/>
              </w:rPr>
            </w:pPr>
          </w:p>
        </w:tc>
      </w:tr>
      <w:tr w14:paraId="202B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04E9CB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4</w:t>
            </w:r>
          </w:p>
        </w:tc>
        <w:tc>
          <w:tcPr>
            <w:tcW w:w="6422" w:type="dxa"/>
            <w:vAlign w:val="center"/>
          </w:tcPr>
          <w:p w14:paraId="6395640D">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硫氧镁彩钢板必须有质量检测报告。</w:t>
            </w:r>
          </w:p>
        </w:tc>
        <w:tc>
          <w:tcPr>
            <w:tcW w:w="949" w:type="dxa"/>
            <w:vAlign w:val="center"/>
          </w:tcPr>
          <w:p w14:paraId="4763567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FF40076">
            <w:pPr>
              <w:spacing w:before="62" w:beforeLines="20" w:after="62" w:afterLines="20" w:line="276" w:lineRule="auto"/>
              <w:jc w:val="left"/>
              <w:rPr>
                <w:rFonts w:ascii="Arial" w:hAnsi="Arial" w:cs="Arial"/>
                <w:color w:val="auto"/>
                <w:sz w:val="24"/>
                <w:highlight w:val="none"/>
              </w:rPr>
            </w:pPr>
          </w:p>
        </w:tc>
      </w:tr>
      <w:tr w14:paraId="0B0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43FE82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5</w:t>
            </w:r>
          </w:p>
        </w:tc>
        <w:tc>
          <w:tcPr>
            <w:tcW w:w="6422" w:type="dxa"/>
            <w:vAlign w:val="center"/>
          </w:tcPr>
          <w:p w14:paraId="1AC05039">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949" w:type="dxa"/>
            <w:vAlign w:val="center"/>
          </w:tcPr>
          <w:p w14:paraId="69603DB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BEACA2F">
            <w:pPr>
              <w:spacing w:before="62" w:beforeLines="20" w:after="62" w:afterLines="20" w:line="276" w:lineRule="auto"/>
              <w:jc w:val="left"/>
              <w:rPr>
                <w:rFonts w:ascii="Arial" w:hAnsi="Arial" w:cs="Arial"/>
                <w:color w:val="auto"/>
                <w:sz w:val="24"/>
                <w:highlight w:val="none"/>
              </w:rPr>
            </w:pPr>
          </w:p>
        </w:tc>
      </w:tr>
    </w:tbl>
    <w:p w14:paraId="27167FAB">
      <w:pPr>
        <w:spacing w:before="62" w:beforeLines="20" w:after="62" w:afterLines="20" w:line="276" w:lineRule="auto"/>
        <w:jc w:val="left"/>
        <w:rPr>
          <w:rFonts w:ascii="Arial" w:hAnsi="Arial" w:cs="Arial"/>
          <w:color w:val="auto"/>
          <w:sz w:val="24"/>
          <w:highlight w:val="none"/>
        </w:rPr>
      </w:pPr>
    </w:p>
    <w:p w14:paraId="2577ED9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w:t>
      </w:r>
      <w:r>
        <w:rPr>
          <w:rFonts w:ascii="Arial" w:hAnsi="Arial" w:cs="Arial"/>
          <w:color w:val="auto"/>
          <w:sz w:val="24"/>
          <w:highlight w:val="none"/>
        </w:rPr>
        <w:t>.</w:t>
      </w:r>
      <w:r>
        <w:rPr>
          <w:rFonts w:hint="eastAsia" w:ascii="Arial" w:hAnsi="Arial" w:cs="Arial"/>
          <w:color w:val="auto"/>
          <w:sz w:val="24"/>
          <w:highlight w:val="none"/>
        </w:rPr>
        <w:t>3</w:t>
      </w:r>
      <w:r>
        <w:rPr>
          <w:rFonts w:ascii="Arial" w:hAnsi="Arial" w:cs="Arial"/>
          <w:color w:val="auto"/>
          <w:sz w:val="24"/>
          <w:highlight w:val="none"/>
        </w:rPr>
        <w:t>吊顶施工</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1D39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5EC2B7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266503A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6F6353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5A265B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CF5F9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6C5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1FE25A9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URS6.3-01</w:t>
            </w:r>
          </w:p>
        </w:tc>
        <w:tc>
          <w:tcPr>
            <w:tcW w:w="6672" w:type="dxa"/>
            <w:vAlign w:val="center"/>
          </w:tcPr>
          <w:p w14:paraId="7FB85D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吊筋尺寸及布点距离必须满足行业标准，丝杆和龙骨必须做防锈和耐火处理。</w:t>
            </w:r>
          </w:p>
        </w:tc>
        <w:tc>
          <w:tcPr>
            <w:tcW w:w="992" w:type="dxa"/>
            <w:vAlign w:val="center"/>
          </w:tcPr>
          <w:p w14:paraId="021450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02E2D547">
            <w:pPr>
              <w:spacing w:before="62" w:beforeLines="20" w:after="62" w:afterLines="20" w:line="276" w:lineRule="auto"/>
              <w:jc w:val="left"/>
              <w:rPr>
                <w:rFonts w:ascii="Arial" w:hAnsi="Arial" w:cs="Arial"/>
                <w:color w:val="auto"/>
                <w:sz w:val="24"/>
                <w:highlight w:val="none"/>
              </w:rPr>
            </w:pPr>
          </w:p>
        </w:tc>
      </w:tr>
      <w:tr w14:paraId="3126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EC314B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URS6.3-02</w:t>
            </w:r>
          </w:p>
        </w:tc>
        <w:tc>
          <w:tcPr>
            <w:tcW w:w="6672" w:type="dxa"/>
            <w:vAlign w:val="center"/>
          </w:tcPr>
          <w:p w14:paraId="563622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w:t>
            </w:r>
            <w:r>
              <w:rPr>
                <w:rFonts w:hint="eastAsia" w:ascii="Arial" w:hAnsi="Arial" w:cs="Arial"/>
                <w:color w:val="auto"/>
                <w:sz w:val="24"/>
                <w:highlight w:val="none"/>
              </w:rPr>
              <w:t>板</w:t>
            </w:r>
            <w:r>
              <w:rPr>
                <w:rFonts w:ascii="Arial" w:hAnsi="Arial" w:cs="Arial"/>
                <w:color w:val="auto"/>
                <w:sz w:val="24"/>
                <w:highlight w:val="none"/>
              </w:rPr>
              <w:t>作密封处理，防止来自上方空间的污染。板材两端面必须密封，当因尺寸需要，或者灯具安装，风口安装而切割、打孔板材的，所露出来的孔必须充填发泡胶，杜绝空气进入板材内部，形成冷凝水腐蚀板材。</w:t>
            </w:r>
          </w:p>
        </w:tc>
        <w:tc>
          <w:tcPr>
            <w:tcW w:w="992" w:type="dxa"/>
            <w:vAlign w:val="center"/>
          </w:tcPr>
          <w:p w14:paraId="6D4764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75193DE">
            <w:pPr>
              <w:spacing w:before="62" w:beforeLines="20" w:after="62" w:afterLines="20" w:line="276" w:lineRule="auto"/>
              <w:jc w:val="left"/>
              <w:rPr>
                <w:rFonts w:ascii="Arial" w:hAnsi="Arial" w:cs="Arial"/>
                <w:color w:val="auto"/>
                <w:sz w:val="24"/>
                <w:highlight w:val="none"/>
              </w:rPr>
            </w:pPr>
          </w:p>
        </w:tc>
      </w:tr>
      <w:tr w14:paraId="707C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DAE7FA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URS6.3-03</w:t>
            </w:r>
          </w:p>
        </w:tc>
        <w:tc>
          <w:tcPr>
            <w:tcW w:w="6672" w:type="dxa"/>
            <w:vAlign w:val="center"/>
          </w:tcPr>
          <w:p w14:paraId="132A93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顶板之间采用凹凸联接联接。吊顶板排版布局按照房间独立排布，保证布局美观。</w:t>
            </w:r>
          </w:p>
        </w:tc>
        <w:tc>
          <w:tcPr>
            <w:tcW w:w="992" w:type="dxa"/>
            <w:vAlign w:val="center"/>
          </w:tcPr>
          <w:p w14:paraId="520892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672FA47">
            <w:pPr>
              <w:spacing w:before="62" w:beforeLines="20" w:after="62" w:afterLines="20" w:line="276" w:lineRule="auto"/>
              <w:jc w:val="left"/>
              <w:rPr>
                <w:rFonts w:ascii="Arial" w:hAnsi="Arial" w:cs="Arial"/>
                <w:color w:val="auto"/>
                <w:sz w:val="24"/>
                <w:highlight w:val="none"/>
              </w:rPr>
            </w:pPr>
          </w:p>
        </w:tc>
      </w:tr>
      <w:tr w14:paraId="7BE7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963DB6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URS6.3-04</w:t>
            </w:r>
          </w:p>
        </w:tc>
        <w:tc>
          <w:tcPr>
            <w:tcW w:w="6672" w:type="dxa"/>
            <w:vAlign w:val="center"/>
          </w:tcPr>
          <w:p w14:paraId="72C029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992" w:type="dxa"/>
            <w:vAlign w:val="center"/>
          </w:tcPr>
          <w:p w14:paraId="261729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C777C2D">
            <w:pPr>
              <w:spacing w:before="62" w:beforeLines="20" w:after="62" w:afterLines="20" w:line="276" w:lineRule="auto"/>
              <w:jc w:val="left"/>
              <w:rPr>
                <w:rFonts w:ascii="Arial" w:hAnsi="Arial" w:cs="Arial"/>
                <w:color w:val="auto"/>
                <w:sz w:val="24"/>
                <w:highlight w:val="none"/>
              </w:rPr>
            </w:pPr>
          </w:p>
        </w:tc>
      </w:tr>
      <w:tr w14:paraId="6A12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56B281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URS6.3-05</w:t>
            </w:r>
          </w:p>
        </w:tc>
        <w:tc>
          <w:tcPr>
            <w:tcW w:w="6672" w:type="dxa"/>
            <w:vAlign w:val="center"/>
          </w:tcPr>
          <w:p w14:paraId="3468E0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顶板吊装时，按照独立房间吊顶面积施工，不覆盖其它房间。吊顶与墙面之间采用光滑圆弧连接，并用硅胶密封。吊顶开口须根据灯具和风口位置开孔，并在孔四周用角钢加固，保证上人强度。</w:t>
            </w:r>
          </w:p>
        </w:tc>
        <w:tc>
          <w:tcPr>
            <w:tcW w:w="992" w:type="dxa"/>
            <w:vAlign w:val="center"/>
          </w:tcPr>
          <w:p w14:paraId="545F4B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6A1B1F53">
            <w:pPr>
              <w:spacing w:before="62" w:beforeLines="20" w:after="62" w:afterLines="20" w:line="276" w:lineRule="auto"/>
              <w:jc w:val="left"/>
              <w:rPr>
                <w:rFonts w:ascii="Arial" w:hAnsi="Arial" w:cs="Arial"/>
                <w:color w:val="auto"/>
                <w:sz w:val="24"/>
                <w:highlight w:val="none"/>
              </w:rPr>
            </w:pPr>
          </w:p>
        </w:tc>
      </w:tr>
      <w:tr w14:paraId="0332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4EFFA0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URS6.3-06</w:t>
            </w:r>
          </w:p>
        </w:tc>
        <w:tc>
          <w:tcPr>
            <w:tcW w:w="6672" w:type="dxa"/>
            <w:vAlign w:val="center"/>
          </w:tcPr>
          <w:p w14:paraId="1E5DBD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整面吊顶平整，板材连接部位不得出现高低。</w:t>
            </w:r>
          </w:p>
        </w:tc>
        <w:tc>
          <w:tcPr>
            <w:tcW w:w="992" w:type="dxa"/>
            <w:vAlign w:val="center"/>
          </w:tcPr>
          <w:p w14:paraId="4F75A80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9B28EE4">
            <w:pPr>
              <w:spacing w:before="62" w:beforeLines="20" w:after="62" w:afterLines="20" w:line="276" w:lineRule="auto"/>
              <w:jc w:val="left"/>
              <w:rPr>
                <w:rFonts w:ascii="Arial" w:hAnsi="Arial" w:cs="Arial"/>
                <w:color w:val="auto"/>
                <w:sz w:val="24"/>
                <w:highlight w:val="none"/>
              </w:rPr>
            </w:pPr>
          </w:p>
        </w:tc>
      </w:tr>
      <w:tr w14:paraId="72AD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B4FDFE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URS6.3-07</w:t>
            </w:r>
          </w:p>
        </w:tc>
        <w:tc>
          <w:tcPr>
            <w:tcW w:w="6672" w:type="dxa"/>
            <w:vAlign w:val="center"/>
          </w:tcPr>
          <w:p w14:paraId="57A922C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吊顶拉杆螺丝必须打入楼板体，长度适中，螺丝紧固。顶板吊筋杆采用镀锌通长丝杆，配高度调节装置。吊筋应与龙骨联接，不得直接固定顶板的面板上。</w:t>
            </w:r>
          </w:p>
        </w:tc>
        <w:tc>
          <w:tcPr>
            <w:tcW w:w="992" w:type="dxa"/>
            <w:vAlign w:val="center"/>
          </w:tcPr>
          <w:p w14:paraId="0456B2A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B7A208C">
            <w:pPr>
              <w:spacing w:before="62" w:beforeLines="20" w:after="62" w:afterLines="20" w:line="276" w:lineRule="auto"/>
              <w:jc w:val="left"/>
              <w:rPr>
                <w:rFonts w:ascii="Arial" w:hAnsi="Arial" w:cs="Arial"/>
                <w:color w:val="auto"/>
                <w:sz w:val="24"/>
                <w:highlight w:val="none"/>
              </w:rPr>
            </w:pPr>
          </w:p>
        </w:tc>
      </w:tr>
      <w:tr w14:paraId="13AC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DBB090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URS6.3-08</w:t>
            </w:r>
          </w:p>
        </w:tc>
        <w:tc>
          <w:tcPr>
            <w:tcW w:w="6672" w:type="dxa"/>
            <w:vAlign w:val="center"/>
          </w:tcPr>
          <w:p w14:paraId="5E263B52">
            <w:pPr>
              <w:spacing w:line="340" w:lineRule="exact"/>
              <w:jc w:val="left"/>
              <w:rPr>
                <w:rFonts w:hint="eastAsia" w:ascii="宋体" w:hAnsi="宋体"/>
                <w:bCs/>
                <w:color w:val="auto"/>
                <w:sz w:val="24"/>
                <w:highlight w:val="none"/>
              </w:rPr>
            </w:pPr>
            <w:r>
              <w:rPr>
                <w:rFonts w:hint="eastAsia" w:ascii="宋体" w:hAnsi="宋体"/>
                <w:bCs/>
                <w:color w:val="auto"/>
                <w:sz w:val="24"/>
                <w:highlight w:val="none"/>
              </w:rPr>
              <w:t>吊顶采用硫氧镁彩钢板专用铝合金暗吊梁。</w:t>
            </w:r>
          </w:p>
        </w:tc>
        <w:tc>
          <w:tcPr>
            <w:tcW w:w="992" w:type="dxa"/>
            <w:vAlign w:val="center"/>
          </w:tcPr>
          <w:p w14:paraId="5B6900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6DFAAB29">
            <w:pPr>
              <w:spacing w:before="62" w:beforeLines="20" w:after="62" w:afterLines="20" w:line="276" w:lineRule="auto"/>
              <w:jc w:val="left"/>
              <w:rPr>
                <w:rFonts w:ascii="Arial" w:hAnsi="Arial" w:cs="Arial"/>
                <w:color w:val="auto"/>
                <w:sz w:val="24"/>
                <w:highlight w:val="none"/>
              </w:rPr>
            </w:pPr>
          </w:p>
        </w:tc>
      </w:tr>
      <w:tr w14:paraId="0EBF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D67161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URS6.3-09</w:t>
            </w:r>
          </w:p>
        </w:tc>
        <w:tc>
          <w:tcPr>
            <w:tcW w:w="6672" w:type="dxa"/>
          </w:tcPr>
          <w:p w14:paraId="7281C469">
            <w:pPr>
              <w:spacing w:line="340" w:lineRule="exact"/>
              <w:rPr>
                <w:rFonts w:hint="eastAsia" w:ascii="宋体" w:hAnsi="宋体"/>
                <w:bCs/>
                <w:color w:val="auto"/>
                <w:sz w:val="24"/>
                <w:highlight w:val="none"/>
              </w:rPr>
            </w:pPr>
            <w:r>
              <w:rPr>
                <w:rFonts w:hint="eastAsia" w:ascii="宋体" w:hAnsi="宋体"/>
                <w:bCs/>
                <w:color w:val="auto"/>
                <w:sz w:val="24"/>
                <w:highlight w:val="none"/>
              </w:rPr>
              <w:t>吊顶工程应在吊顶内各项隐蔽工程验收、交接后施工。</w:t>
            </w:r>
          </w:p>
        </w:tc>
        <w:tc>
          <w:tcPr>
            <w:tcW w:w="992" w:type="dxa"/>
            <w:vAlign w:val="center"/>
          </w:tcPr>
          <w:p w14:paraId="734C86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8400FFB">
            <w:pPr>
              <w:spacing w:before="62" w:beforeLines="20" w:after="62" w:afterLines="20" w:line="276" w:lineRule="auto"/>
              <w:jc w:val="left"/>
              <w:rPr>
                <w:rFonts w:ascii="Arial" w:hAnsi="Arial" w:cs="Arial"/>
                <w:color w:val="auto"/>
                <w:sz w:val="24"/>
                <w:highlight w:val="none"/>
              </w:rPr>
            </w:pPr>
          </w:p>
        </w:tc>
      </w:tr>
      <w:tr w14:paraId="7335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53514C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URS6.3-10</w:t>
            </w:r>
          </w:p>
        </w:tc>
        <w:tc>
          <w:tcPr>
            <w:tcW w:w="6672" w:type="dxa"/>
          </w:tcPr>
          <w:p w14:paraId="556B3694">
            <w:pPr>
              <w:spacing w:line="340" w:lineRule="exact"/>
              <w:rPr>
                <w:rFonts w:hint="eastAsia" w:ascii="宋体" w:hAnsi="宋体"/>
                <w:bCs/>
                <w:color w:val="auto"/>
                <w:sz w:val="24"/>
                <w:highlight w:val="none"/>
              </w:rPr>
            </w:pPr>
            <w:r>
              <w:rPr>
                <w:rFonts w:hint="eastAsia" w:ascii="宋体" w:hAnsi="宋体"/>
                <w:bCs/>
                <w:color w:val="auto"/>
                <w:sz w:val="24"/>
                <w:highlight w:val="none"/>
              </w:rPr>
              <w:t>吊顶内各种金属件应进行防腐、防锈处理，预埋件和墙体、楼面衔接处均应作密封处理。</w:t>
            </w:r>
          </w:p>
        </w:tc>
        <w:tc>
          <w:tcPr>
            <w:tcW w:w="992" w:type="dxa"/>
            <w:vAlign w:val="center"/>
          </w:tcPr>
          <w:p w14:paraId="2F375F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6EE385B8">
            <w:pPr>
              <w:spacing w:before="62" w:beforeLines="20" w:after="62" w:afterLines="20" w:line="276" w:lineRule="auto"/>
              <w:jc w:val="left"/>
              <w:rPr>
                <w:rFonts w:ascii="Arial" w:hAnsi="Arial" w:cs="Arial"/>
                <w:color w:val="auto"/>
                <w:sz w:val="24"/>
                <w:highlight w:val="none"/>
              </w:rPr>
            </w:pPr>
          </w:p>
        </w:tc>
      </w:tr>
      <w:tr w14:paraId="007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1C8F2B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URS6.3-11</w:t>
            </w:r>
          </w:p>
        </w:tc>
        <w:tc>
          <w:tcPr>
            <w:tcW w:w="6672" w:type="dxa"/>
          </w:tcPr>
          <w:p w14:paraId="40B84C4B">
            <w:pPr>
              <w:spacing w:line="340" w:lineRule="exact"/>
              <w:rPr>
                <w:rFonts w:hint="eastAsia" w:ascii="宋体" w:hAnsi="宋体"/>
                <w:bCs/>
                <w:color w:val="auto"/>
                <w:sz w:val="24"/>
                <w:highlight w:val="none"/>
              </w:rPr>
            </w:pPr>
            <w:r>
              <w:rPr>
                <w:rFonts w:hint="eastAsia" w:ascii="宋体" w:hAnsi="宋体"/>
                <w:bCs/>
                <w:color w:val="auto"/>
                <w:sz w:val="24"/>
                <w:highlight w:val="none"/>
              </w:rPr>
              <w:t>吊顶的吊挂件不得作为管线或设备的吊架，管线和设备的吊架不得吊挂吊顶。</w:t>
            </w:r>
          </w:p>
        </w:tc>
        <w:tc>
          <w:tcPr>
            <w:tcW w:w="992" w:type="dxa"/>
            <w:vAlign w:val="center"/>
          </w:tcPr>
          <w:p w14:paraId="4CE683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031DF0A">
            <w:pPr>
              <w:spacing w:before="62" w:beforeLines="20" w:after="62" w:afterLines="20" w:line="276" w:lineRule="auto"/>
              <w:jc w:val="left"/>
              <w:rPr>
                <w:rFonts w:ascii="Arial" w:hAnsi="Arial" w:cs="Arial"/>
                <w:color w:val="auto"/>
                <w:sz w:val="24"/>
                <w:highlight w:val="none"/>
              </w:rPr>
            </w:pPr>
          </w:p>
        </w:tc>
      </w:tr>
      <w:tr w14:paraId="634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51284E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URS6.3-12</w:t>
            </w:r>
          </w:p>
        </w:tc>
        <w:tc>
          <w:tcPr>
            <w:tcW w:w="6672" w:type="dxa"/>
          </w:tcPr>
          <w:p w14:paraId="12CD35DB">
            <w:pPr>
              <w:spacing w:line="340" w:lineRule="exact"/>
              <w:rPr>
                <w:rFonts w:hint="eastAsia" w:ascii="宋体" w:hAnsi="宋体"/>
                <w:bCs/>
                <w:color w:val="auto"/>
                <w:sz w:val="24"/>
                <w:highlight w:val="none"/>
              </w:rPr>
            </w:pPr>
            <w:r>
              <w:rPr>
                <w:rFonts w:hint="eastAsia" w:ascii="宋体" w:hAnsi="宋体"/>
                <w:bCs/>
                <w:color w:val="auto"/>
                <w:sz w:val="24"/>
                <w:highlight w:val="none"/>
              </w:rPr>
              <w:t>吊顶饰面板板面缝隙允许偏差不大于0.5mm，并应用密封胶密封。</w:t>
            </w:r>
          </w:p>
        </w:tc>
        <w:tc>
          <w:tcPr>
            <w:tcW w:w="992" w:type="dxa"/>
            <w:vAlign w:val="center"/>
          </w:tcPr>
          <w:p w14:paraId="2ADE14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CB3F943">
            <w:pPr>
              <w:spacing w:before="62" w:beforeLines="20" w:after="62" w:afterLines="20" w:line="276" w:lineRule="auto"/>
              <w:jc w:val="left"/>
              <w:rPr>
                <w:rFonts w:ascii="Arial" w:hAnsi="Arial" w:cs="Arial"/>
                <w:color w:val="auto"/>
                <w:sz w:val="24"/>
                <w:highlight w:val="none"/>
              </w:rPr>
            </w:pPr>
          </w:p>
        </w:tc>
      </w:tr>
      <w:tr w14:paraId="4667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B96207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URS6.3-13</w:t>
            </w:r>
          </w:p>
        </w:tc>
        <w:tc>
          <w:tcPr>
            <w:tcW w:w="6672" w:type="dxa"/>
          </w:tcPr>
          <w:p w14:paraId="61528122">
            <w:pPr>
              <w:spacing w:line="340" w:lineRule="exact"/>
              <w:rPr>
                <w:rFonts w:hint="eastAsia" w:ascii="宋体" w:hAnsi="宋体"/>
                <w:bCs/>
                <w:color w:val="auto"/>
                <w:sz w:val="24"/>
                <w:highlight w:val="none"/>
              </w:rPr>
            </w:pPr>
            <w:r>
              <w:rPr>
                <w:rFonts w:hint="eastAsia" w:ascii="宋体" w:hAnsi="宋体"/>
                <w:bCs/>
                <w:color w:val="auto"/>
                <w:sz w:val="24"/>
                <w:highlight w:val="none"/>
              </w:rPr>
              <w:t>吊装应牢固，能满足检修人员行走强度。</w:t>
            </w:r>
          </w:p>
        </w:tc>
        <w:tc>
          <w:tcPr>
            <w:tcW w:w="992" w:type="dxa"/>
            <w:vAlign w:val="center"/>
          </w:tcPr>
          <w:p w14:paraId="792A90A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8E2AD27">
            <w:pPr>
              <w:spacing w:before="62" w:beforeLines="20" w:after="62" w:afterLines="20" w:line="276" w:lineRule="auto"/>
              <w:jc w:val="left"/>
              <w:rPr>
                <w:rFonts w:ascii="Arial" w:hAnsi="Arial" w:cs="Arial"/>
                <w:color w:val="auto"/>
                <w:sz w:val="24"/>
                <w:highlight w:val="none"/>
              </w:rPr>
            </w:pPr>
          </w:p>
        </w:tc>
      </w:tr>
    </w:tbl>
    <w:p w14:paraId="1FCF675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6.4</w:t>
      </w:r>
      <w:r>
        <w:rPr>
          <w:rFonts w:ascii="Arial" w:hAnsi="Arial" w:cs="Arial"/>
          <w:color w:val="auto"/>
          <w:sz w:val="24"/>
          <w:highlight w:val="none"/>
        </w:rPr>
        <w:t>墙面施工</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5A36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08D095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625DDA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053843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1FF681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26BDF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466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3F68063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▲URS6.4-01</w:t>
            </w:r>
          </w:p>
        </w:tc>
        <w:tc>
          <w:tcPr>
            <w:tcW w:w="6672" w:type="dxa"/>
            <w:vAlign w:val="center"/>
          </w:tcPr>
          <w:p w14:paraId="738C0C3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实验室</w:t>
            </w:r>
            <w:r>
              <w:rPr>
                <w:rFonts w:ascii="Arial" w:hAnsi="Arial" w:cs="Arial"/>
                <w:color w:val="auto"/>
                <w:sz w:val="24"/>
                <w:highlight w:val="none"/>
              </w:rPr>
              <w:t>的地面及洁净区的内表面（墙壁、地面、天棚）应当平整光滑、无裂缝、接口严密、无渗水、无颗粒物脱落，避免积尘，板间连接间隙≤2mm。竖拼接缝要铅垂，墙面饰材高度方向上不允许拼接。墙板安装前必须放线，墙角应垂直交接，防止累计误差造成壁板倾斜扭曲，壁板的垂直度偏差不应大于0.2%。</w:t>
            </w:r>
          </w:p>
        </w:tc>
        <w:tc>
          <w:tcPr>
            <w:tcW w:w="992" w:type="dxa"/>
            <w:vAlign w:val="center"/>
          </w:tcPr>
          <w:p w14:paraId="701B35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B1A9476">
            <w:pPr>
              <w:spacing w:before="62" w:beforeLines="20" w:after="62" w:afterLines="20" w:line="276" w:lineRule="auto"/>
              <w:jc w:val="left"/>
              <w:rPr>
                <w:rFonts w:ascii="Arial" w:hAnsi="Arial" w:cs="Arial"/>
                <w:color w:val="auto"/>
                <w:sz w:val="24"/>
                <w:highlight w:val="none"/>
              </w:rPr>
            </w:pPr>
          </w:p>
        </w:tc>
      </w:tr>
      <w:tr w14:paraId="095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5D7F21C">
            <w:pPr>
              <w:rPr>
                <w:color w:val="auto"/>
                <w:highlight w:val="none"/>
              </w:rPr>
            </w:pPr>
            <w:r>
              <w:rPr>
                <w:rFonts w:hint="eastAsia" w:ascii="Arial" w:hAnsi="Arial" w:cs="Arial"/>
                <w:color w:val="auto"/>
                <w:sz w:val="24"/>
                <w:highlight w:val="none"/>
              </w:rPr>
              <w:t>URS6.4-02</w:t>
            </w:r>
          </w:p>
        </w:tc>
        <w:tc>
          <w:tcPr>
            <w:tcW w:w="6672" w:type="dxa"/>
            <w:vAlign w:val="center"/>
          </w:tcPr>
          <w:p w14:paraId="58F8B30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面与吊顶、墙面与门框、墙面与窗之间连接处硅胶密封，保证密闭无泄漏。墙面与吊顶，采用光滑连体槽铝圆弧连接。墙面与地面，采用与地面材质相同的圆弧连接（或中标人提供的招标人认可的二次设计方案），防水密封性良好，不得有渗水的现象。墙面与门框、门板、铰链,壁板与窗户要平滑连接，没有凹凸。</w:t>
            </w:r>
          </w:p>
        </w:tc>
        <w:tc>
          <w:tcPr>
            <w:tcW w:w="992" w:type="dxa"/>
            <w:vAlign w:val="center"/>
          </w:tcPr>
          <w:p w14:paraId="7929A3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6EB728F8">
            <w:pPr>
              <w:spacing w:before="62" w:beforeLines="20" w:after="62" w:afterLines="20" w:line="276" w:lineRule="auto"/>
              <w:jc w:val="left"/>
              <w:rPr>
                <w:rFonts w:ascii="Arial" w:hAnsi="Arial" w:cs="Arial"/>
                <w:color w:val="auto"/>
                <w:sz w:val="24"/>
                <w:highlight w:val="none"/>
              </w:rPr>
            </w:pPr>
          </w:p>
        </w:tc>
      </w:tr>
      <w:tr w14:paraId="324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82596CD">
            <w:pPr>
              <w:rPr>
                <w:color w:val="auto"/>
                <w:highlight w:val="none"/>
              </w:rPr>
            </w:pPr>
            <w:r>
              <w:rPr>
                <w:rFonts w:hint="eastAsia" w:ascii="Arial" w:hAnsi="Arial" w:cs="Arial"/>
                <w:color w:val="auto"/>
                <w:sz w:val="24"/>
                <w:highlight w:val="none"/>
              </w:rPr>
              <w:t>URS6.4-03</w:t>
            </w:r>
          </w:p>
        </w:tc>
        <w:tc>
          <w:tcPr>
            <w:tcW w:w="6672" w:type="dxa"/>
            <w:vAlign w:val="center"/>
          </w:tcPr>
          <w:p w14:paraId="5037CB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工程期间业主方随机抽检彩板或下脚料。抽检不合格可要求暂停施工及退货，所有损失由施工方负责。</w:t>
            </w:r>
          </w:p>
        </w:tc>
        <w:tc>
          <w:tcPr>
            <w:tcW w:w="992" w:type="dxa"/>
            <w:vAlign w:val="center"/>
          </w:tcPr>
          <w:p w14:paraId="57D4B67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A1EF5B4">
            <w:pPr>
              <w:spacing w:before="62" w:beforeLines="20" w:after="62" w:afterLines="20" w:line="276" w:lineRule="auto"/>
              <w:jc w:val="left"/>
              <w:rPr>
                <w:rFonts w:ascii="Arial" w:hAnsi="Arial" w:cs="Arial"/>
                <w:color w:val="auto"/>
                <w:sz w:val="24"/>
                <w:highlight w:val="none"/>
              </w:rPr>
            </w:pPr>
          </w:p>
        </w:tc>
      </w:tr>
      <w:tr w14:paraId="73B7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BFA8D40">
            <w:pPr>
              <w:rPr>
                <w:color w:val="auto"/>
                <w:highlight w:val="none"/>
              </w:rPr>
            </w:pPr>
            <w:r>
              <w:rPr>
                <w:rFonts w:hint="eastAsia" w:ascii="Arial" w:hAnsi="Arial" w:cs="Arial"/>
                <w:color w:val="auto"/>
                <w:sz w:val="24"/>
                <w:highlight w:val="none"/>
              </w:rPr>
              <w:t>URS6.4-04</w:t>
            </w:r>
          </w:p>
        </w:tc>
        <w:tc>
          <w:tcPr>
            <w:tcW w:w="6672" w:type="dxa"/>
            <w:vAlign w:val="center"/>
          </w:tcPr>
          <w:p w14:paraId="648C72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整个工程所有硫氧镁彩钢板建议用同一批号，以利于缩小色差。</w:t>
            </w:r>
          </w:p>
        </w:tc>
        <w:tc>
          <w:tcPr>
            <w:tcW w:w="992" w:type="dxa"/>
            <w:vAlign w:val="center"/>
          </w:tcPr>
          <w:p w14:paraId="1D1E27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62258B8">
            <w:pPr>
              <w:spacing w:before="62" w:beforeLines="20" w:after="62" w:afterLines="20" w:line="276" w:lineRule="auto"/>
              <w:jc w:val="left"/>
              <w:rPr>
                <w:rFonts w:ascii="Arial" w:hAnsi="Arial" w:cs="Arial"/>
                <w:color w:val="auto"/>
                <w:sz w:val="24"/>
                <w:highlight w:val="none"/>
              </w:rPr>
            </w:pPr>
          </w:p>
        </w:tc>
      </w:tr>
      <w:tr w14:paraId="0B51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73C6741">
            <w:pPr>
              <w:rPr>
                <w:color w:val="auto"/>
                <w:highlight w:val="none"/>
              </w:rPr>
            </w:pPr>
            <w:r>
              <w:rPr>
                <w:rFonts w:hint="eastAsia" w:ascii="Arial" w:hAnsi="Arial" w:cs="Arial"/>
                <w:color w:val="auto"/>
                <w:sz w:val="24"/>
                <w:highlight w:val="none"/>
              </w:rPr>
              <w:t>URS6.4-05</w:t>
            </w:r>
          </w:p>
        </w:tc>
        <w:tc>
          <w:tcPr>
            <w:tcW w:w="6672" w:type="dxa"/>
            <w:vAlign w:val="center"/>
          </w:tcPr>
          <w:p w14:paraId="361DBC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墙板之间采用</w:t>
            </w:r>
            <w:r>
              <w:rPr>
                <w:rFonts w:hint="eastAsia" w:ascii="Arial" w:hAnsi="Arial" w:cs="Arial"/>
                <w:color w:val="auto"/>
                <w:sz w:val="24"/>
                <w:highlight w:val="none"/>
              </w:rPr>
              <w:t>中字铝</w:t>
            </w:r>
            <w:r>
              <w:rPr>
                <w:rFonts w:ascii="Arial" w:hAnsi="Arial" w:cs="Arial"/>
                <w:color w:val="auto"/>
                <w:sz w:val="24"/>
                <w:highlight w:val="none"/>
              </w:rPr>
              <w:t>联接。</w:t>
            </w:r>
            <w:r>
              <w:rPr>
                <w:rFonts w:hint="eastAsia" w:ascii="Arial" w:hAnsi="Arial" w:cs="Arial"/>
                <w:color w:val="auto"/>
                <w:sz w:val="24"/>
                <w:highlight w:val="none"/>
              </w:rPr>
              <w:t>采用80mm高</w:t>
            </w:r>
            <w:r>
              <w:rPr>
                <w:rFonts w:hint="eastAsia" w:ascii="宋体" w:hAnsi="宋体"/>
                <w:bCs/>
                <w:color w:val="auto"/>
                <w:highlight w:val="none"/>
              </w:rPr>
              <w:t>升降式地轨安装。</w:t>
            </w:r>
          </w:p>
        </w:tc>
        <w:tc>
          <w:tcPr>
            <w:tcW w:w="992" w:type="dxa"/>
            <w:vAlign w:val="center"/>
          </w:tcPr>
          <w:p w14:paraId="01D5CB3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r>
              <w:rPr>
                <w:rFonts w:hint="eastAsia" w:ascii="Arial" w:hAnsi="Arial" w:cs="Arial"/>
                <w:color w:val="auto"/>
                <w:sz w:val="24"/>
                <w:highlight w:val="none"/>
              </w:rPr>
              <w:t>★</w:t>
            </w:r>
          </w:p>
        </w:tc>
        <w:tc>
          <w:tcPr>
            <w:tcW w:w="1550" w:type="dxa"/>
            <w:vAlign w:val="center"/>
          </w:tcPr>
          <w:p w14:paraId="6EA3DC52">
            <w:pPr>
              <w:spacing w:before="62" w:beforeLines="20" w:after="62" w:afterLines="20" w:line="276" w:lineRule="auto"/>
              <w:jc w:val="left"/>
              <w:rPr>
                <w:rFonts w:ascii="Arial" w:hAnsi="Arial" w:cs="Arial"/>
                <w:color w:val="auto"/>
                <w:sz w:val="24"/>
                <w:highlight w:val="none"/>
              </w:rPr>
            </w:pPr>
          </w:p>
        </w:tc>
      </w:tr>
      <w:tr w14:paraId="35FB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254B251">
            <w:pPr>
              <w:rPr>
                <w:color w:val="auto"/>
                <w:highlight w:val="none"/>
              </w:rPr>
            </w:pPr>
            <w:r>
              <w:rPr>
                <w:rFonts w:hint="eastAsia" w:ascii="Arial" w:hAnsi="Arial" w:cs="Arial"/>
                <w:color w:val="auto"/>
                <w:sz w:val="24"/>
                <w:highlight w:val="none"/>
              </w:rPr>
              <w:t>URS6.4-06</w:t>
            </w:r>
          </w:p>
        </w:tc>
        <w:tc>
          <w:tcPr>
            <w:tcW w:w="6672" w:type="dxa"/>
            <w:vAlign w:val="center"/>
          </w:tcPr>
          <w:p w14:paraId="362EAC2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消防要求预留的逃生窗不能用墙板封堵，应安装逃生玻璃窗。</w:t>
            </w:r>
          </w:p>
        </w:tc>
        <w:tc>
          <w:tcPr>
            <w:tcW w:w="992" w:type="dxa"/>
            <w:vAlign w:val="center"/>
          </w:tcPr>
          <w:p w14:paraId="1EFD92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488E7BF">
            <w:pPr>
              <w:spacing w:before="62" w:beforeLines="20" w:after="62" w:afterLines="20" w:line="276" w:lineRule="auto"/>
              <w:jc w:val="left"/>
              <w:rPr>
                <w:rFonts w:ascii="Arial" w:hAnsi="Arial" w:cs="Arial"/>
                <w:color w:val="auto"/>
                <w:sz w:val="24"/>
                <w:highlight w:val="none"/>
              </w:rPr>
            </w:pPr>
          </w:p>
        </w:tc>
      </w:tr>
      <w:tr w14:paraId="1950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74CDC7E">
            <w:pPr>
              <w:rPr>
                <w:color w:val="auto"/>
                <w:highlight w:val="none"/>
              </w:rPr>
            </w:pPr>
            <w:r>
              <w:rPr>
                <w:rFonts w:hint="eastAsia" w:ascii="Arial" w:hAnsi="Arial" w:cs="Arial"/>
                <w:color w:val="auto"/>
                <w:sz w:val="24"/>
                <w:highlight w:val="none"/>
              </w:rPr>
              <w:t>URS6.4-07</w:t>
            </w:r>
          </w:p>
        </w:tc>
        <w:tc>
          <w:tcPr>
            <w:tcW w:w="6672" w:type="dxa"/>
            <w:vAlign w:val="center"/>
          </w:tcPr>
          <w:p w14:paraId="7D39A0D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立板两端板材，本手工板包含孔洞密封，若因切割导致板材内部的孔洞外漏，需填充发泡胶密封，杜绝冷凝水腐蚀墙板。</w:t>
            </w:r>
          </w:p>
        </w:tc>
        <w:tc>
          <w:tcPr>
            <w:tcW w:w="992" w:type="dxa"/>
            <w:vAlign w:val="center"/>
          </w:tcPr>
          <w:p w14:paraId="3B41068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必须</w:t>
            </w:r>
          </w:p>
        </w:tc>
        <w:tc>
          <w:tcPr>
            <w:tcW w:w="1550" w:type="dxa"/>
            <w:vAlign w:val="center"/>
          </w:tcPr>
          <w:p w14:paraId="77C1E5FF">
            <w:pPr>
              <w:spacing w:before="62" w:beforeLines="20" w:after="62" w:afterLines="20" w:line="276" w:lineRule="auto"/>
              <w:jc w:val="left"/>
              <w:rPr>
                <w:rFonts w:ascii="Arial" w:hAnsi="Arial" w:cs="Arial"/>
                <w:color w:val="auto"/>
                <w:sz w:val="24"/>
                <w:highlight w:val="none"/>
              </w:rPr>
            </w:pPr>
          </w:p>
        </w:tc>
      </w:tr>
    </w:tbl>
    <w:p w14:paraId="207D12A0">
      <w:pPr>
        <w:spacing w:before="62" w:beforeLines="20" w:after="62" w:afterLines="20" w:line="276" w:lineRule="auto"/>
        <w:jc w:val="left"/>
        <w:rPr>
          <w:rFonts w:ascii="Arial" w:hAnsi="Arial" w:cs="Arial"/>
          <w:color w:val="auto"/>
          <w:sz w:val="24"/>
          <w:highlight w:val="none"/>
        </w:rPr>
      </w:pPr>
    </w:p>
    <w:p w14:paraId="20EE50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5</w:t>
      </w:r>
      <w:r>
        <w:rPr>
          <w:rFonts w:ascii="Arial" w:hAnsi="Arial" w:cs="Arial"/>
          <w:color w:val="auto"/>
          <w:sz w:val="24"/>
          <w:highlight w:val="none"/>
        </w:rPr>
        <w:t>圆弧、龙骨、板缝、密封胶</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1EA2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085C72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7EAA73A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17AD42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0A424F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DB6EA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F47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7F1ADCB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-01</w:t>
            </w:r>
          </w:p>
        </w:tc>
        <w:tc>
          <w:tcPr>
            <w:tcW w:w="6422" w:type="dxa"/>
            <w:vAlign w:val="center"/>
          </w:tcPr>
          <w:p w14:paraId="0C14FB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未特别要求的墙板与地面</w:t>
            </w:r>
            <w:r>
              <w:rPr>
                <w:rFonts w:hint="eastAsia" w:ascii="Arial" w:hAnsi="Arial" w:cs="Arial"/>
                <w:color w:val="auto"/>
                <w:sz w:val="24"/>
                <w:highlight w:val="none"/>
              </w:rPr>
              <w:t>（硫氧镁彩钢板</w:t>
            </w:r>
            <w:r>
              <w:rPr>
                <w:rFonts w:ascii="Arial" w:hAnsi="Arial" w:cs="Arial"/>
                <w:color w:val="auto"/>
                <w:sz w:val="24"/>
                <w:highlight w:val="none"/>
              </w:rPr>
              <w:t>的立面与地面彩砂接触</w:t>
            </w:r>
            <w:r>
              <w:rPr>
                <w:rFonts w:hint="eastAsia" w:ascii="Arial" w:hAnsi="Arial" w:cs="Arial"/>
                <w:color w:val="auto"/>
                <w:sz w:val="24"/>
                <w:highlight w:val="none"/>
              </w:rPr>
              <w:t>或聚氨酯</w:t>
            </w:r>
            <w:r>
              <w:rPr>
                <w:rFonts w:ascii="Arial" w:hAnsi="Arial" w:cs="Arial"/>
                <w:color w:val="auto"/>
                <w:sz w:val="24"/>
                <w:highlight w:val="none"/>
              </w:rPr>
              <w:t>处采用彩砂圆弧</w:t>
            </w:r>
            <w:r>
              <w:rPr>
                <w:rFonts w:hint="eastAsia" w:ascii="Arial" w:hAnsi="Arial" w:cs="Arial"/>
                <w:color w:val="auto"/>
                <w:sz w:val="24"/>
                <w:highlight w:val="none"/>
              </w:rPr>
              <w:t>或聚氨酯圆弧），</w:t>
            </w:r>
            <w:r>
              <w:rPr>
                <w:rFonts w:ascii="Arial" w:hAnsi="Arial" w:cs="Arial"/>
                <w:color w:val="auto"/>
                <w:sz w:val="24"/>
                <w:highlight w:val="none"/>
              </w:rPr>
              <w:t>墙板与顶板连接圆弧采用连体槽铝圆弧,圆弧半径不小于50mm，厚度不小于1.0mm；回风墙与墙板、顶板、地面的连接圆弧能采用连体圆弧的尽可能采用连体圆弧，如确因采用连体圆弧无法施工处可采用分体圆弧连接，分体圆弧半径不小于50mm，厚度不小于1.0mm。铝合金型材采用</w:t>
            </w:r>
            <w:r>
              <w:rPr>
                <w:rFonts w:hint="eastAsia" w:ascii="Arial" w:hAnsi="Arial" w:cs="Arial"/>
                <w:color w:val="auto"/>
                <w:sz w:val="24"/>
                <w:highlight w:val="none"/>
              </w:rPr>
              <w:t>电泳</w:t>
            </w:r>
            <w:r>
              <w:rPr>
                <w:rFonts w:ascii="Arial" w:hAnsi="Arial" w:cs="Arial"/>
                <w:color w:val="auto"/>
                <w:sz w:val="24"/>
                <w:highlight w:val="none"/>
              </w:rPr>
              <w:t>材料（颜色甲方定），材料厚度应满足要求如下：槽铝、角铝≥1.0mm，阴角圆弧≥1.0mm（阴角圆弧采用整体式）。</w:t>
            </w:r>
          </w:p>
        </w:tc>
        <w:tc>
          <w:tcPr>
            <w:tcW w:w="949" w:type="dxa"/>
            <w:vAlign w:val="center"/>
          </w:tcPr>
          <w:p w14:paraId="098D84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285E7C9">
            <w:pPr>
              <w:spacing w:before="62" w:beforeLines="20" w:after="62" w:afterLines="20" w:line="276" w:lineRule="auto"/>
              <w:jc w:val="left"/>
              <w:rPr>
                <w:rFonts w:ascii="Arial" w:hAnsi="Arial" w:cs="Arial"/>
                <w:color w:val="auto"/>
                <w:sz w:val="24"/>
                <w:highlight w:val="none"/>
              </w:rPr>
            </w:pPr>
          </w:p>
        </w:tc>
      </w:tr>
      <w:tr w14:paraId="0AAB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31D54E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2</w:t>
            </w:r>
          </w:p>
        </w:tc>
        <w:tc>
          <w:tcPr>
            <w:tcW w:w="6422" w:type="dxa"/>
            <w:vAlign w:val="center"/>
          </w:tcPr>
          <w:p w14:paraId="44A604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三维角接头采用铝合金压铸件，且与地面、墙面、圆弧连接要紧密，外表喷塑处理。</w:t>
            </w:r>
          </w:p>
        </w:tc>
        <w:tc>
          <w:tcPr>
            <w:tcW w:w="949" w:type="dxa"/>
            <w:vAlign w:val="center"/>
          </w:tcPr>
          <w:p w14:paraId="2BE9C43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0CC99D0">
            <w:pPr>
              <w:spacing w:before="62" w:beforeLines="20" w:after="62" w:afterLines="20" w:line="276" w:lineRule="auto"/>
              <w:jc w:val="left"/>
              <w:rPr>
                <w:rFonts w:ascii="Arial" w:hAnsi="Arial" w:cs="Arial"/>
                <w:color w:val="auto"/>
                <w:sz w:val="24"/>
                <w:highlight w:val="none"/>
              </w:rPr>
            </w:pPr>
          </w:p>
        </w:tc>
      </w:tr>
      <w:tr w14:paraId="1E86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61475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3</w:t>
            </w:r>
          </w:p>
        </w:tc>
        <w:tc>
          <w:tcPr>
            <w:tcW w:w="6422" w:type="dxa"/>
            <w:vAlign w:val="center"/>
          </w:tcPr>
          <w:p w14:paraId="59BF2D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板缝之间缝隙要均匀一致，板缝理论宽度为2-3mm。</w:t>
            </w:r>
          </w:p>
        </w:tc>
        <w:tc>
          <w:tcPr>
            <w:tcW w:w="949" w:type="dxa"/>
            <w:vAlign w:val="center"/>
          </w:tcPr>
          <w:p w14:paraId="5768D5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CC45B79">
            <w:pPr>
              <w:spacing w:before="62" w:beforeLines="20" w:after="62" w:afterLines="20" w:line="276" w:lineRule="auto"/>
              <w:jc w:val="left"/>
              <w:rPr>
                <w:rFonts w:ascii="Arial" w:hAnsi="Arial" w:cs="Arial"/>
                <w:color w:val="auto"/>
                <w:sz w:val="24"/>
                <w:highlight w:val="none"/>
              </w:rPr>
            </w:pPr>
          </w:p>
        </w:tc>
      </w:tr>
      <w:tr w14:paraId="4482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D1DCC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4</w:t>
            </w:r>
          </w:p>
        </w:tc>
        <w:tc>
          <w:tcPr>
            <w:tcW w:w="6422" w:type="dxa"/>
            <w:vAlign w:val="center"/>
          </w:tcPr>
          <w:p w14:paraId="0BCDC4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所有外露铝型材外表面均</w:t>
            </w:r>
            <w:r>
              <w:rPr>
                <w:rFonts w:hint="eastAsia" w:ascii="Arial" w:hAnsi="Arial" w:cs="Arial"/>
                <w:color w:val="auto"/>
                <w:sz w:val="24"/>
                <w:highlight w:val="none"/>
              </w:rPr>
              <w:t>电泳</w:t>
            </w:r>
            <w:r>
              <w:rPr>
                <w:rFonts w:ascii="Arial" w:hAnsi="Arial" w:cs="Arial"/>
                <w:color w:val="auto"/>
                <w:sz w:val="24"/>
                <w:highlight w:val="none"/>
              </w:rPr>
              <w:t>处理，相互之间不得有明显的色差。</w:t>
            </w:r>
          </w:p>
        </w:tc>
        <w:tc>
          <w:tcPr>
            <w:tcW w:w="949" w:type="dxa"/>
            <w:vAlign w:val="center"/>
          </w:tcPr>
          <w:p w14:paraId="2A141B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7FA2E34">
            <w:pPr>
              <w:spacing w:before="62" w:beforeLines="20" w:after="62" w:afterLines="20" w:line="276" w:lineRule="auto"/>
              <w:jc w:val="left"/>
              <w:rPr>
                <w:rFonts w:ascii="Arial" w:hAnsi="Arial" w:cs="Arial"/>
                <w:color w:val="auto"/>
                <w:sz w:val="24"/>
                <w:highlight w:val="none"/>
              </w:rPr>
            </w:pPr>
          </w:p>
        </w:tc>
      </w:tr>
      <w:tr w14:paraId="6F55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1C9DC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5</w:t>
            </w:r>
          </w:p>
        </w:tc>
        <w:tc>
          <w:tcPr>
            <w:tcW w:w="6422" w:type="dxa"/>
            <w:vAlign w:val="center"/>
          </w:tcPr>
          <w:p w14:paraId="1CCE441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用于洁净室嵌缝的弹性密封材料使用白色中性硅酮密封胶，应有出厂日期、储存环境、有效期和施工方法的说明书。不得使用过期产品和未经鉴定的产品。</w:t>
            </w:r>
          </w:p>
          <w:p w14:paraId="49CD663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所有洁净室的安装缝隙，必须清洁后用密封胶双面密封。</w:t>
            </w:r>
          </w:p>
        </w:tc>
        <w:tc>
          <w:tcPr>
            <w:tcW w:w="949" w:type="dxa"/>
            <w:vAlign w:val="center"/>
          </w:tcPr>
          <w:p w14:paraId="60C560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5957E47">
            <w:pPr>
              <w:spacing w:before="62" w:beforeLines="20" w:after="62" w:afterLines="20" w:line="276" w:lineRule="auto"/>
              <w:jc w:val="left"/>
              <w:rPr>
                <w:rFonts w:ascii="Arial" w:hAnsi="Arial" w:cs="Arial"/>
                <w:color w:val="auto"/>
                <w:sz w:val="24"/>
                <w:highlight w:val="none"/>
              </w:rPr>
            </w:pPr>
          </w:p>
        </w:tc>
      </w:tr>
    </w:tbl>
    <w:p w14:paraId="494D60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6</w:t>
      </w:r>
      <w:r>
        <w:rPr>
          <w:rFonts w:ascii="Arial" w:hAnsi="Arial" w:cs="Arial"/>
          <w:color w:val="auto"/>
          <w:sz w:val="24"/>
          <w:highlight w:val="none"/>
        </w:rPr>
        <w:t>门</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2A9C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2E3B14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347E477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764EF3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616F870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F712A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9A1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55DDD2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-01</w:t>
            </w:r>
          </w:p>
        </w:tc>
        <w:tc>
          <w:tcPr>
            <w:tcW w:w="6422" w:type="dxa"/>
            <w:vAlign w:val="center"/>
          </w:tcPr>
          <w:p w14:paraId="06C776A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成品钢制洁净门：（抗过氧化氢腐蚀材质）</w:t>
            </w:r>
          </w:p>
          <w:p w14:paraId="1AA250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 xml:space="preserve">门框: </w:t>
            </w:r>
            <w:r>
              <w:rPr>
                <w:rFonts w:hint="eastAsia" w:ascii="Arial" w:hAnsi="Arial" w:cs="Arial"/>
                <w:color w:val="auto"/>
                <w:sz w:val="24"/>
                <w:highlight w:val="none"/>
              </w:rPr>
              <w:t>2mm厚钢制</w:t>
            </w:r>
            <w:r>
              <w:rPr>
                <w:rFonts w:ascii="Arial" w:hAnsi="Arial" w:cs="Arial"/>
                <w:color w:val="auto"/>
                <w:sz w:val="24"/>
                <w:highlight w:val="none"/>
              </w:rPr>
              <w:t>门框，装有塑胶密封条，提高气密效果</w:t>
            </w:r>
            <w:r>
              <w:rPr>
                <w:rFonts w:hint="eastAsia" w:ascii="Arial" w:hAnsi="Arial" w:cs="Arial"/>
                <w:color w:val="auto"/>
                <w:sz w:val="24"/>
                <w:highlight w:val="none"/>
              </w:rPr>
              <w:t>。</w:t>
            </w:r>
          </w:p>
          <w:p w14:paraId="247B8D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门扇:  50mm厚的成品门，基板为</w:t>
            </w:r>
            <w:r>
              <w:rPr>
                <w:rFonts w:hint="eastAsia" w:ascii="Arial" w:hAnsi="Arial" w:cs="Arial"/>
                <w:color w:val="auto"/>
                <w:sz w:val="24"/>
                <w:highlight w:val="none"/>
              </w:rPr>
              <w:t>1.2钢板</w:t>
            </w:r>
            <w:r>
              <w:rPr>
                <w:rFonts w:ascii="Arial" w:hAnsi="Arial" w:cs="Arial"/>
                <w:color w:val="auto"/>
                <w:sz w:val="24"/>
                <w:highlight w:val="none"/>
              </w:rPr>
              <w:t>mm</w:t>
            </w:r>
            <w:r>
              <w:rPr>
                <w:rFonts w:hint="eastAsia" w:ascii="Arial" w:hAnsi="Arial" w:cs="Arial"/>
                <w:color w:val="auto"/>
                <w:sz w:val="24"/>
                <w:highlight w:val="none"/>
              </w:rPr>
              <w:t>，填充</w:t>
            </w:r>
            <w:r>
              <w:rPr>
                <w:rFonts w:ascii="Arial" w:hAnsi="Arial" w:cs="Arial"/>
                <w:color w:val="auto"/>
                <w:sz w:val="24"/>
                <w:highlight w:val="none"/>
              </w:rPr>
              <w:t>材料为</w:t>
            </w:r>
            <w:r>
              <w:rPr>
                <w:rFonts w:hint="eastAsia" w:ascii="Arial" w:hAnsi="Arial" w:cs="Arial"/>
                <w:color w:val="auto"/>
                <w:sz w:val="24"/>
                <w:highlight w:val="none"/>
              </w:rPr>
              <w:t>铝蜂窝</w:t>
            </w:r>
            <w:r>
              <w:rPr>
                <w:rFonts w:ascii="Arial" w:hAnsi="Arial" w:cs="Arial"/>
                <w:color w:val="auto"/>
                <w:sz w:val="24"/>
                <w:highlight w:val="none"/>
              </w:rPr>
              <w:t>，</w:t>
            </w:r>
            <w:r>
              <w:rPr>
                <w:rFonts w:hint="eastAsia" w:ascii="Arial" w:hAnsi="Arial" w:cs="Arial"/>
                <w:color w:val="auto"/>
                <w:sz w:val="24"/>
                <w:highlight w:val="none"/>
              </w:rPr>
              <w:t>下部采用自动升降底封条，防止与地面磨擦。</w:t>
            </w:r>
            <w:r>
              <w:rPr>
                <w:rFonts w:ascii="Arial" w:hAnsi="Arial" w:cs="Arial"/>
                <w:color w:val="auto"/>
                <w:sz w:val="24"/>
                <w:highlight w:val="none"/>
              </w:rPr>
              <w:t>颜色由招标人确认，各门的颜色不得有肉眼可见的色差。</w:t>
            </w:r>
          </w:p>
        </w:tc>
        <w:tc>
          <w:tcPr>
            <w:tcW w:w="949" w:type="dxa"/>
            <w:vAlign w:val="center"/>
          </w:tcPr>
          <w:p w14:paraId="16EF07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95DEBD9">
            <w:pPr>
              <w:spacing w:before="62" w:beforeLines="20" w:after="62" w:afterLines="20" w:line="276" w:lineRule="auto"/>
              <w:jc w:val="left"/>
              <w:rPr>
                <w:rFonts w:ascii="Arial" w:hAnsi="Arial" w:cs="Arial"/>
                <w:color w:val="auto"/>
                <w:sz w:val="24"/>
                <w:highlight w:val="none"/>
              </w:rPr>
            </w:pPr>
          </w:p>
        </w:tc>
      </w:tr>
      <w:tr w14:paraId="6148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8A1A28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2</w:t>
            </w:r>
          </w:p>
        </w:tc>
        <w:tc>
          <w:tcPr>
            <w:tcW w:w="6422" w:type="dxa"/>
            <w:vAlign w:val="center"/>
          </w:tcPr>
          <w:p w14:paraId="1A7A4DF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门不得在现场加工，应为成型门。（订做）</w:t>
            </w:r>
          </w:p>
        </w:tc>
        <w:tc>
          <w:tcPr>
            <w:tcW w:w="949" w:type="dxa"/>
            <w:vAlign w:val="center"/>
          </w:tcPr>
          <w:p w14:paraId="1E7DE1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8FC8FB9">
            <w:pPr>
              <w:spacing w:before="62" w:beforeLines="20" w:after="62" w:afterLines="20" w:line="276" w:lineRule="auto"/>
              <w:jc w:val="left"/>
              <w:rPr>
                <w:rFonts w:ascii="Arial" w:hAnsi="Arial" w:cs="Arial"/>
                <w:color w:val="auto"/>
                <w:sz w:val="24"/>
                <w:highlight w:val="none"/>
              </w:rPr>
            </w:pPr>
          </w:p>
        </w:tc>
      </w:tr>
      <w:tr w14:paraId="0674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64D0E1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3</w:t>
            </w:r>
          </w:p>
        </w:tc>
        <w:tc>
          <w:tcPr>
            <w:tcW w:w="6422" w:type="dxa"/>
            <w:vAlign w:val="center"/>
          </w:tcPr>
          <w:p w14:paraId="00D6678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带固定双层玻璃视窗，边框处硅胶密封，密封胶要求均匀一致,款式同施工图一</w:t>
            </w:r>
            <w:r>
              <w:rPr>
                <w:rFonts w:hint="eastAsia" w:ascii="Arial" w:hAnsi="Arial" w:cs="Arial"/>
                <w:color w:val="auto"/>
                <w:sz w:val="24"/>
                <w:highlight w:val="none"/>
              </w:rPr>
              <w:t>致</w:t>
            </w:r>
            <w:r>
              <w:rPr>
                <w:rFonts w:ascii="Arial" w:hAnsi="Arial" w:cs="Arial"/>
                <w:color w:val="auto"/>
                <w:sz w:val="24"/>
                <w:highlight w:val="none"/>
              </w:rPr>
              <w:t>。</w:t>
            </w:r>
          </w:p>
        </w:tc>
        <w:tc>
          <w:tcPr>
            <w:tcW w:w="949" w:type="dxa"/>
            <w:vAlign w:val="center"/>
          </w:tcPr>
          <w:p w14:paraId="39A370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6E101A1">
            <w:pPr>
              <w:spacing w:before="62" w:beforeLines="20" w:after="62" w:afterLines="20" w:line="276" w:lineRule="auto"/>
              <w:jc w:val="left"/>
              <w:rPr>
                <w:rFonts w:ascii="Arial" w:hAnsi="Arial" w:cs="Arial"/>
                <w:color w:val="auto"/>
                <w:sz w:val="24"/>
                <w:highlight w:val="none"/>
              </w:rPr>
            </w:pPr>
          </w:p>
        </w:tc>
      </w:tr>
      <w:tr w14:paraId="6812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A155E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4</w:t>
            </w:r>
          </w:p>
        </w:tc>
        <w:tc>
          <w:tcPr>
            <w:tcW w:w="6422" w:type="dxa"/>
            <w:vAlign w:val="center"/>
          </w:tcPr>
          <w:p w14:paraId="4163E5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门上配件:</w:t>
            </w:r>
            <w:r>
              <w:rPr>
                <w:rFonts w:ascii="Arial" w:hAnsi="Arial" w:cs="Arial"/>
                <w:color w:val="auto"/>
                <w:sz w:val="24"/>
                <w:highlight w:val="none"/>
              </w:rPr>
              <w:tab/>
            </w:r>
            <w:r>
              <w:rPr>
                <w:rFonts w:ascii="Arial" w:hAnsi="Arial" w:cs="Arial"/>
                <w:color w:val="auto"/>
                <w:sz w:val="24"/>
                <w:highlight w:val="none"/>
              </w:rPr>
              <w:t>直L型把锁；不锈钢铰链；无任何螺丝外露。锁舌孔内必须密封，不允许空置。</w:t>
            </w:r>
            <w:r>
              <w:rPr>
                <w:rFonts w:hint="eastAsia" w:ascii="Arial" w:hAnsi="Arial" w:cs="Arial"/>
                <w:color w:val="auto"/>
                <w:sz w:val="24"/>
                <w:highlight w:val="none"/>
              </w:rPr>
              <w:t>每樘门配装闭门器。</w:t>
            </w:r>
          </w:p>
          <w:p w14:paraId="76DD30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门框铰链厚度与墙板相同，保证平滑连接。门周边为硅橡胶密封条或特殊刚性密封结构，保证门有良好的密封。</w:t>
            </w:r>
          </w:p>
        </w:tc>
        <w:tc>
          <w:tcPr>
            <w:tcW w:w="949" w:type="dxa"/>
            <w:vAlign w:val="center"/>
          </w:tcPr>
          <w:p w14:paraId="3146CE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7F4E6FC">
            <w:pPr>
              <w:spacing w:before="62" w:beforeLines="20" w:after="62" w:afterLines="20" w:line="276" w:lineRule="auto"/>
              <w:jc w:val="left"/>
              <w:rPr>
                <w:rFonts w:ascii="Arial" w:hAnsi="Arial" w:cs="Arial"/>
                <w:color w:val="auto"/>
                <w:sz w:val="24"/>
                <w:highlight w:val="none"/>
              </w:rPr>
            </w:pPr>
          </w:p>
        </w:tc>
      </w:tr>
      <w:tr w14:paraId="0F66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76AB3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5</w:t>
            </w:r>
          </w:p>
        </w:tc>
        <w:tc>
          <w:tcPr>
            <w:tcW w:w="6422" w:type="dxa"/>
            <w:vAlign w:val="center"/>
          </w:tcPr>
          <w:p w14:paraId="6EC98F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尽量减少机械部件（如锁、铰链等）的磨损及门与框、与地面之间的磨损。</w:t>
            </w:r>
          </w:p>
        </w:tc>
        <w:tc>
          <w:tcPr>
            <w:tcW w:w="949" w:type="dxa"/>
            <w:vAlign w:val="center"/>
          </w:tcPr>
          <w:p w14:paraId="2245E7C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B75324A">
            <w:pPr>
              <w:spacing w:before="62" w:beforeLines="20" w:after="62" w:afterLines="20" w:line="276" w:lineRule="auto"/>
              <w:jc w:val="left"/>
              <w:rPr>
                <w:rFonts w:ascii="Arial" w:hAnsi="Arial" w:cs="Arial"/>
                <w:color w:val="auto"/>
                <w:sz w:val="24"/>
                <w:highlight w:val="none"/>
              </w:rPr>
            </w:pPr>
          </w:p>
        </w:tc>
      </w:tr>
      <w:tr w14:paraId="2742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A99BC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6</w:t>
            </w:r>
          </w:p>
        </w:tc>
        <w:tc>
          <w:tcPr>
            <w:tcW w:w="6422" w:type="dxa"/>
            <w:vAlign w:val="center"/>
          </w:tcPr>
          <w:p w14:paraId="69C7D2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949" w:type="dxa"/>
            <w:vAlign w:val="center"/>
          </w:tcPr>
          <w:p w14:paraId="67D355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275FE9E">
            <w:pPr>
              <w:spacing w:before="62" w:beforeLines="20" w:after="62" w:afterLines="20" w:line="276" w:lineRule="auto"/>
              <w:jc w:val="left"/>
              <w:rPr>
                <w:rFonts w:ascii="Arial" w:hAnsi="Arial" w:cs="Arial"/>
                <w:color w:val="auto"/>
                <w:sz w:val="24"/>
                <w:highlight w:val="none"/>
              </w:rPr>
            </w:pPr>
          </w:p>
        </w:tc>
      </w:tr>
      <w:tr w14:paraId="54D3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90F27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7</w:t>
            </w:r>
          </w:p>
        </w:tc>
        <w:tc>
          <w:tcPr>
            <w:tcW w:w="6422" w:type="dxa"/>
            <w:vAlign w:val="center"/>
          </w:tcPr>
          <w:p w14:paraId="05641B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p>
        </w:tc>
        <w:tc>
          <w:tcPr>
            <w:tcW w:w="949" w:type="dxa"/>
            <w:vAlign w:val="center"/>
          </w:tcPr>
          <w:p w14:paraId="1FBA94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6D660B7">
            <w:pPr>
              <w:spacing w:before="62" w:beforeLines="20" w:after="62" w:afterLines="20" w:line="276" w:lineRule="auto"/>
              <w:jc w:val="left"/>
              <w:rPr>
                <w:rFonts w:ascii="Arial" w:hAnsi="Arial" w:cs="Arial"/>
                <w:color w:val="auto"/>
                <w:sz w:val="24"/>
                <w:highlight w:val="none"/>
              </w:rPr>
            </w:pPr>
          </w:p>
        </w:tc>
      </w:tr>
      <w:tr w14:paraId="550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832D9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8</w:t>
            </w:r>
          </w:p>
        </w:tc>
        <w:tc>
          <w:tcPr>
            <w:tcW w:w="6422" w:type="dxa"/>
            <w:vAlign w:val="center"/>
          </w:tcPr>
          <w:p w14:paraId="03EC7F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所有安全门，门上的视窗为5mm厚的钢化玻璃，满足消防规范要求，安全门边框适用于洁净室的要求，保证洁净室密封无泄漏。</w:t>
            </w:r>
          </w:p>
        </w:tc>
        <w:tc>
          <w:tcPr>
            <w:tcW w:w="949" w:type="dxa"/>
            <w:vAlign w:val="center"/>
          </w:tcPr>
          <w:p w14:paraId="27FF69C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5D892C2">
            <w:pPr>
              <w:spacing w:before="62" w:beforeLines="20" w:after="62" w:afterLines="20" w:line="276" w:lineRule="auto"/>
              <w:jc w:val="left"/>
              <w:rPr>
                <w:rFonts w:ascii="Arial" w:hAnsi="Arial" w:cs="Arial"/>
                <w:color w:val="auto"/>
                <w:sz w:val="24"/>
                <w:highlight w:val="none"/>
              </w:rPr>
            </w:pPr>
          </w:p>
        </w:tc>
      </w:tr>
      <w:tr w14:paraId="369D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46B4F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9</w:t>
            </w:r>
          </w:p>
        </w:tc>
        <w:tc>
          <w:tcPr>
            <w:tcW w:w="6422" w:type="dxa"/>
            <w:vAlign w:val="center"/>
          </w:tcPr>
          <w:p w14:paraId="582FCDE6">
            <w:pPr>
              <w:spacing w:before="62" w:beforeLines="20" w:after="62" w:afterLines="20" w:line="276" w:lineRule="auto"/>
              <w:jc w:val="left"/>
              <w:rPr>
                <w:rFonts w:ascii="Arial" w:hAnsi="Arial" w:cs="Arial"/>
                <w:color w:val="auto"/>
                <w:sz w:val="24"/>
                <w:highlight w:val="none"/>
              </w:rPr>
            </w:pPr>
            <w:r>
              <w:rPr>
                <w:rFonts w:hint="eastAsia"/>
                <w:color w:val="auto"/>
                <w:szCs w:val="21"/>
                <w:highlight w:val="none"/>
              </w:rPr>
              <w:t>安全门：洁净室专用安全，采用符合消防安全的推杆开门方式，同时符合洁净室要求，全密封。</w:t>
            </w:r>
          </w:p>
        </w:tc>
        <w:tc>
          <w:tcPr>
            <w:tcW w:w="949" w:type="dxa"/>
            <w:vAlign w:val="center"/>
          </w:tcPr>
          <w:p w14:paraId="75497C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ACD006E">
            <w:pPr>
              <w:spacing w:before="62" w:beforeLines="20" w:after="62" w:afterLines="20" w:line="276" w:lineRule="auto"/>
              <w:jc w:val="left"/>
              <w:rPr>
                <w:rFonts w:ascii="Arial" w:hAnsi="Arial" w:cs="Arial"/>
                <w:color w:val="auto"/>
                <w:sz w:val="24"/>
                <w:highlight w:val="none"/>
              </w:rPr>
            </w:pPr>
          </w:p>
        </w:tc>
      </w:tr>
    </w:tbl>
    <w:p w14:paraId="7548F784">
      <w:pPr>
        <w:spacing w:before="62" w:beforeLines="20" w:after="62" w:afterLines="20" w:line="276" w:lineRule="auto"/>
        <w:jc w:val="left"/>
        <w:rPr>
          <w:rFonts w:ascii="Arial" w:hAnsi="Arial" w:cs="Arial"/>
          <w:color w:val="auto"/>
          <w:sz w:val="24"/>
          <w:highlight w:val="none"/>
        </w:rPr>
      </w:pPr>
    </w:p>
    <w:p w14:paraId="50D3BE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6.7</w:t>
      </w:r>
      <w:r>
        <w:rPr>
          <w:rFonts w:ascii="Arial" w:hAnsi="Arial" w:cs="Arial"/>
          <w:color w:val="auto"/>
          <w:sz w:val="24"/>
          <w:highlight w:val="none"/>
        </w:rPr>
        <w:t>门安装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1DC4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66D78C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5C12B7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6C0980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399E89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E7095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371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4EC1D9D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URS6.7-01</w:t>
            </w:r>
          </w:p>
        </w:tc>
        <w:tc>
          <w:tcPr>
            <w:tcW w:w="6672" w:type="dxa"/>
            <w:vAlign w:val="center"/>
          </w:tcPr>
          <w:p w14:paraId="389043B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992" w:type="dxa"/>
            <w:vAlign w:val="center"/>
          </w:tcPr>
          <w:p w14:paraId="0FA18A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189BC39">
            <w:pPr>
              <w:spacing w:before="62" w:beforeLines="20" w:after="62" w:afterLines="20" w:line="276" w:lineRule="auto"/>
              <w:jc w:val="left"/>
              <w:rPr>
                <w:rFonts w:ascii="Arial" w:hAnsi="Arial" w:cs="Arial"/>
                <w:color w:val="auto"/>
                <w:sz w:val="24"/>
                <w:highlight w:val="none"/>
              </w:rPr>
            </w:pPr>
          </w:p>
        </w:tc>
      </w:tr>
      <w:tr w14:paraId="05B2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D7812F1">
            <w:pPr>
              <w:rPr>
                <w:color w:val="auto"/>
                <w:highlight w:val="none"/>
              </w:rPr>
            </w:pPr>
            <w:r>
              <w:rPr>
                <w:rFonts w:hint="eastAsia" w:ascii="Arial" w:hAnsi="Arial" w:cs="Arial"/>
                <w:color w:val="auto"/>
                <w:sz w:val="24"/>
                <w:highlight w:val="none"/>
              </w:rPr>
              <w:t>URS6.7-02</w:t>
            </w:r>
          </w:p>
        </w:tc>
        <w:tc>
          <w:tcPr>
            <w:tcW w:w="6672" w:type="dxa"/>
            <w:vAlign w:val="center"/>
          </w:tcPr>
          <w:p w14:paraId="591068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r>
              <w:rPr>
                <w:rFonts w:hint="eastAsia" w:ascii="Arial" w:hAnsi="Arial" w:cs="Arial"/>
                <w:color w:val="auto"/>
                <w:sz w:val="24"/>
                <w:highlight w:val="none"/>
              </w:rPr>
              <w:t>消防相关的门，则另按消防要求实施。</w:t>
            </w:r>
          </w:p>
        </w:tc>
        <w:tc>
          <w:tcPr>
            <w:tcW w:w="992" w:type="dxa"/>
            <w:vAlign w:val="center"/>
          </w:tcPr>
          <w:p w14:paraId="4A49EC8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F2948B6">
            <w:pPr>
              <w:spacing w:before="62" w:beforeLines="20" w:after="62" w:afterLines="20" w:line="276" w:lineRule="auto"/>
              <w:jc w:val="left"/>
              <w:rPr>
                <w:rFonts w:ascii="Arial" w:hAnsi="Arial" w:cs="Arial"/>
                <w:color w:val="auto"/>
                <w:sz w:val="24"/>
                <w:highlight w:val="none"/>
              </w:rPr>
            </w:pPr>
          </w:p>
        </w:tc>
      </w:tr>
      <w:tr w14:paraId="537F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74C5958">
            <w:pPr>
              <w:rPr>
                <w:color w:val="auto"/>
                <w:highlight w:val="none"/>
              </w:rPr>
            </w:pPr>
            <w:r>
              <w:rPr>
                <w:rFonts w:hint="eastAsia" w:ascii="Arial" w:hAnsi="Arial" w:cs="Arial"/>
                <w:color w:val="auto"/>
                <w:sz w:val="24"/>
                <w:highlight w:val="none"/>
              </w:rPr>
              <w:t>URS6.7-03</w:t>
            </w:r>
          </w:p>
        </w:tc>
        <w:tc>
          <w:tcPr>
            <w:tcW w:w="6672" w:type="dxa"/>
            <w:vAlign w:val="center"/>
          </w:tcPr>
          <w:p w14:paraId="063207F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门框安装垂直，与板墙接合牢固密封，门铰均匀受力，整体成型平整。</w:t>
            </w:r>
          </w:p>
        </w:tc>
        <w:tc>
          <w:tcPr>
            <w:tcW w:w="992" w:type="dxa"/>
          </w:tcPr>
          <w:p w14:paraId="72572E27">
            <w:pPr>
              <w:rPr>
                <w:color w:val="auto"/>
                <w:highlight w:val="none"/>
              </w:rPr>
            </w:pPr>
            <w:r>
              <w:rPr>
                <w:rFonts w:ascii="Arial" w:hAnsi="Arial" w:cs="Arial"/>
                <w:color w:val="auto"/>
                <w:sz w:val="24"/>
                <w:highlight w:val="none"/>
              </w:rPr>
              <w:t>必需</w:t>
            </w:r>
          </w:p>
        </w:tc>
        <w:tc>
          <w:tcPr>
            <w:tcW w:w="1550" w:type="dxa"/>
            <w:vAlign w:val="center"/>
          </w:tcPr>
          <w:p w14:paraId="5BA8F5AF">
            <w:pPr>
              <w:spacing w:before="62" w:beforeLines="20" w:after="62" w:afterLines="20" w:line="276" w:lineRule="auto"/>
              <w:jc w:val="left"/>
              <w:rPr>
                <w:rFonts w:ascii="Arial" w:hAnsi="Arial" w:cs="Arial"/>
                <w:color w:val="auto"/>
                <w:sz w:val="24"/>
                <w:highlight w:val="none"/>
              </w:rPr>
            </w:pPr>
          </w:p>
        </w:tc>
      </w:tr>
      <w:tr w14:paraId="07FA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3C5CC1C">
            <w:pPr>
              <w:rPr>
                <w:color w:val="auto"/>
                <w:highlight w:val="none"/>
              </w:rPr>
            </w:pPr>
            <w:r>
              <w:rPr>
                <w:rFonts w:hint="eastAsia" w:ascii="Arial" w:hAnsi="Arial" w:cs="Arial"/>
                <w:color w:val="auto"/>
                <w:sz w:val="24"/>
                <w:highlight w:val="none"/>
              </w:rPr>
              <w:t>URS6.7-04</w:t>
            </w:r>
          </w:p>
        </w:tc>
        <w:tc>
          <w:tcPr>
            <w:tcW w:w="6672" w:type="dxa"/>
            <w:vAlign w:val="center"/>
          </w:tcPr>
          <w:p w14:paraId="7A1AB57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开关门时不剐蹭地面。</w:t>
            </w:r>
          </w:p>
        </w:tc>
        <w:tc>
          <w:tcPr>
            <w:tcW w:w="992" w:type="dxa"/>
          </w:tcPr>
          <w:p w14:paraId="46D2C1DE">
            <w:pPr>
              <w:rPr>
                <w:color w:val="auto"/>
                <w:highlight w:val="none"/>
              </w:rPr>
            </w:pPr>
            <w:r>
              <w:rPr>
                <w:rFonts w:ascii="Arial" w:hAnsi="Arial" w:cs="Arial"/>
                <w:color w:val="auto"/>
                <w:sz w:val="24"/>
                <w:highlight w:val="none"/>
              </w:rPr>
              <w:t>必需</w:t>
            </w:r>
          </w:p>
        </w:tc>
        <w:tc>
          <w:tcPr>
            <w:tcW w:w="1550" w:type="dxa"/>
            <w:vAlign w:val="center"/>
          </w:tcPr>
          <w:p w14:paraId="22155519">
            <w:pPr>
              <w:spacing w:before="62" w:beforeLines="20" w:after="62" w:afterLines="20" w:line="276" w:lineRule="auto"/>
              <w:jc w:val="left"/>
              <w:rPr>
                <w:rFonts w:ascii="Arial" w:hAnsi="Arial" w:cs="Arial"/>
                <w:color w:val="auto"/>
                <w:sz w:val="24"/>
                <w:highlight w:val="none"/>
              </w:rPr>
            </w:pPr>
          </w:p>
        </w:tc>
      </w:tr>
      <w:tr w14:paraId="5D6C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A10B26B">
            <w:pPr>
              <w:rPr>
                <w:color w:val="auto"/>
                <w:highlight w:val="none"/>
              </w:rPr>
            </w:pPr>
            <w:r>
              <w:rPr>
                <w:rFonts w:hint="eastAsia" w:ascii="Arial" w:hAnsi="Arial" w:cs="Arial"/>
                <w:color w:val="auto"/>
                <w:sz w:val="24"/>
                <w:highlight w:val="none"/>
              </w:rPr>
              <w:t>URS6.7-05</w:t>
            </w:r>
          </w:p>
        </w:tc>
        <w:tc>
          <w:tcPr>
            <w:tcW w:w="6672" w:type="dxa"/>
            <w:vAlign w:val="center"/>
          </w:tcPr>
          <w:p w14:paraId="19E382D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双开门的门栓可拆卸时，维护简单，并可简单调节门栓的高低。</w:t>
            </w:r>
          </w:p>
        </w:tc>
        <w:tc>
          <w:tcPr>
            <w:tcW w:w="992" w:type="dxa"/>
          </w:tcPr>
          <w:p w14:paraId="55950409">
            <w:pPr>
              <w:rPr>
                <w:color w:val="auto"/>
                <w:highlight w:val="none"/>
              </w:rPr>
            </w:pPr>
            <w:r>
              <w:rPr>
                <w:rFonts w:ascii="Arial" w:hAnsi="Arial" w:cs="Arial"/>
                <w:color w:val="auto"/>
                <w:sz w:val="24"/>
                <w:highlight w:val="none"/>
              </w:rPr>
              <w:t>必需</w:t>
            </w:r>
          </w:p>
        </w:tc>
        <w:tc>
          <w:tcPr>
            <w:tcW w:w="1550" w:type="dxa"/>
            <w:vAlign w:val="center"/>
          </w:tcPr>
          <w:p w14:paraId="17F7AD04">
            <w:pPr>
              <w:spacing w:before="62" w:beforeLines="20" w:after="62" w:afterLines="20" w:line="276" w:lineRule="auto"/>
              <w:jc w:val="left"/>
              <w:rPr>
                <w:rFonts w:ascii="Arial" w:hAnsi="Arial" w:cs="Arial"/>
                <w:color w:val="auto"/>
                <w:sz w:val="24"/>
                <w:highlight w:val="none"/>
              </w:rPr>
            </w:pPr>
          </w:p>
        </w:tc>
      </w:tr>
      <w:tr w14:paraId="0A50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FD5060A">
            <w:pPr>
              <w:rPr>
                <w:color w:val="auto"/>
                <w:highlight w:val="none"/>
              </w:rPr>
            </w:pPr>
            <w:r>
              <w:rPr>
                <w:rFonts w:hint="eastAsia" w:ascii="Arial" w:hAnsi="Arial" w:cs="Arial"/>
                <w:color w:val="auto"/>
                <w:sz w:val="24"/>
                <w:highlight w:val="none"/>
              </w:rPr>
              <w:t>URS6.7-06</w:t>
            </w:r>
          </w:p>
        </w:tc>
        <w:tc>
          <w:tcPr>
            <w:tcW w:w="6672" w:type="dxa"/>
            <w:vAlign w:val="center"/>
          </w:tcPr>
          <w:p w14:paraId="61D2E9F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根据设计要求安装闭门器，闭门器采用优质耐用的品牌，打开力度可调，关门阻尼可调。</w:t>
            </w:r>
          </w:p>
        </w:tc>
        <w:tc>
          <w:tcPr>
            <w:tcW w:w="992" w:type="dxa"/>
          </w:tcPr>
          <w:p w14:paraId="4D2C18BC">
            <w:pPr>
              <w:rPr>
                <w:color w:val="auto"/>
                <w:highlight w:val="none"/>
              </w:rPr>
            </w:pPr>
            <w:r>
              <w:rPr>
                <w:rFonts w:ascii="Arial" w:hAnsi="Arial" w:cs="Arial"/>
                <w:color w:val="auto"/>
                <w:sz w:val="24"/>
                <w:highlight w:val="none"/>
              </w:rPr>
              <w:t>必需</w:t>
            </w:r>
          </w:p>
        </w:tc>
        <w:tc>
          <w:tcPr>
            <w:tcW w:w="1550" w:type="dxa"/>
            <w:vAlign w:val="center"/>
          </w:tcPr>
          <w:p w14:paraId="3D9A293D">
            <w:pPr>
              <w:spacing w:before="62" w:beforeLines="20" w:after="62" w:afterLines="20" w:line="276" w:lineRule="auto"/>
              <w:jc w:val="left"/>
              <w:rPr>
                <w:rFonts w:ascii="Arial" w:hAnsi="Arial" w:cs="Arial"/>
                <w:color w:val="auto"/>
                <w:sz w:val="24"/>
                <w:highlight w:val="none"/>
              </w:rPr>
            </w:pPr>
          </w:p>
        </w:tc>
      </w:tr>
      <w:tr w14:paraId="1C1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C4DE46B">
            <w:pPr>
              <w:rPr>
                <w:rFonts w:ascii="Arial" w:hAnsi="Arial" w:cs="Arial"/>
                <w:color w:val="auto"/>
                <w:sz w:val="24"/>
                <w:highlight w:val="none"/>
              </w:rPr>
            </w:pPr>
            <w:r>
              <w:rPr>
                <w:rFonts w:hint="eastAsia" w:ascii="Arial" w:hAnsi="Arial" w:cs="Arial"/>
                <w:color w:val="auto"/>
                <w:sz w:val="24"/>
                <w:highlight w:val="none"/>
              </w:rPr>
              <w:t>URS6.7-07</w:t>
            </w:r>
          </w:p>
        </w:tc>
        <w:tc>
          <w:tcPr>
            <w:tcW w:w="6672" w:type="dxa"/>
            <w:vAlign w:val="center"/>
          </w:tcPr>
          <w:p w14:paraId="2AE5DB4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门打开最大位置，尽量避开碰撞玻璃，配有防撞软胶</w:t>
            </w:r>
          </w:p>
        </w:tc>
        <w:tc>
          <w:tcPr>
            <w:tcW w:w="992" w:type="dxa"/>
          </w:tcPr>
          <w:p w14:paraId="6F690971">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94FC825">
            <w:pPr>
              <w:spacing w:before="62" w:beforeLines="20" w:after="62" w:afterLines="20" w:line="276" w:lineRule="auto"/>
              <w:jc w:val="left"/>
              <w:rPr>
                <w:rFonts w:ascii="Arial" w:hAnsi="Arial" w:cs="Arial"/>
                <w:color w:val="auto"/>
                <w:sz w:val="24"/>
                <w:highlight w:val="none"/>
              </w:rPr>
            </w:pPr>
          </w:p>
        </w:tc>
      </w:tr>
      <w:tr w14:paraId="1C9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0147ECF">
            <w:pPr>
              <w:rPr>
                <w:rFonts w:ascii="Arial" w:hAnsi="Arial" w:cs="Arial"/>
                <w:color w:val="auto"/>
                <w:sz w:val="24"/>
                <w:highlight w:val="none"/>
              </w:rPr>
            </w:pPr>
            <w:r>
              <w:rPr>
                <w:rFonts w:hint="eastAsia" w:ascii="Arial" w:hAnsi="Arial" w:cs="Arial"/>
                <w:color w:val="auto"/>
                <w:sz w:val="24"/>
                <w:highlight w:val="none"/>
              </w:rPr>
              <w:t>URS6.7-08</w:t>
            </w:r>
          </w:p>
        </w:tc>
        <w:tc>
          <w:tcPr>
            <w:tcW w:w="6672" w:type="dxa"/>
            <w:vAlign w:val="center"/>
          </w:tcPr>
          <w:p w14:paraId="515C3DC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消防栓位置应做消防栓配套门</w:t>
            </w:r>
          </w:p>
        </w:tc>
        <w:tc>
          <w:tcPr>
            <w:tcW w:w="992" w:type="dxa"/>
          </w:tcPr>
          <w:p w14:paraId="79A5CA53">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EBE43DF">
            <w:pPr>
              <w:spacing w:before="62" w:beforeLines="20" w:after="62" w:afterLines="20" w:line="276" w:lineRule="auto"/>
              <w:jc w:val="left"/>
              <w:rPr>
                <w:rFonts w:ascii="Arial" w:hAnsi="Arial" w:cs="Arial"/>
                <w:color w:val="auto"/>
                <w:sz w:val="24"/>
                <w:highlight w:val="none"/>
              </w:rPr>
            </w:pPr>
          </w:p>
        </w:tc>
      </w:tr>
    </w:tbl>
    <w:p w14:paraId="17F12751">
      <w:pPr>
        <w:spacing w:before="62" w:beforeLines="20" w:after="62" w:afterLines="20" w:line="276" w:lineRule="auto"/>
        <w:jc w:val="left"/>
        <w:rPr>
          <w:rFonts w:ascii="Arial" w:hAnsi="Arial" w:cs="Arial"/>
          <w:color w:val="auto"/>
          <w:sz w:val="24"/>
          <w:highlight w:val="none"/>
        </w:rPr>
      </w:pPr>
    </w:p>
    <w:p w14:paraId="0056533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6.8</w:t>
      </w:r>
      <w:r>
        <w:rPr>
          <w:rFonts w:ascii="Arial" w:hAnsi="Arial" w:cs="Arial"/>
          <w:color w:val="auto"/>
          <w:sz w:val="24"/>
          <w:highlight w:val="none"/>
        </w:rPr>
        <w:t>窗</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2087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53891F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1726BA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0D5D71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6E2755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0959F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A76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655B889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-01</w:t>
            </w:r>
          </w:p>
        </w:tc>
        <w:tc>
          <w:tcPr>
            <w:tcW w:w="6422" w:type="dxa"/>
            <w:vAlign w:val="center"/>
          </w:tcPr>
          <w:p w14:paraId="0FCC019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外包间观察窗：</w:t>
            </w:r>
            <w:r>
              <w:rPr>
                <w:rFonts w:ascii="Arial" w:hAnsi="Arial" w:cs="Arial"/>
                <w:color w:val="auto"/>
                <w:sz w:val="24"/>
                <w:highlight w:val="none"/>
              </w:rPr>
              <w:t xml:space="preserve"> </w:t>
            </w:r>
            <w:r>
              <w:rPr>
                <w:rFonts w:hint="eastAsia" w:ascii="Arial" w:hAnsi="Arial" w:cs="Arial"/>
                <w:color w:val="auto"/>
                <w:sz w:val="24"/>
                <w:highlight w:val="none"/>
              </w:rPr>
              <w:t>采用中空净化窗：双层5mm钢化玻璃，丝印黑色边框，成品窗，可直接进行整体安装。</w:t>
            </w:r>
          </w:p>
        </w:tc>
        <w:tc>
          <w:tcPr>
            <w:tcW w:w="949" w:type="dxa"/>
            <w:vAlign w:val="center"/>
          </w:tcPr>
          <w:p w14:paraId="086D3A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A04D8D7">
            <w:pPr>
              <w:spacing w:before="62" w:beforeLines="20" w:after="62" w:afterLines="20" w:line="276" w:lineRule="auto"/>
              <w:jc w:val="left"/>
              <w:rPr>
                <w:rFonts w:ascii="Arial" w:hAnsi="Arial" w:cs="Arial"/>
                <w:color w:val="auto"/>
                <w:sz w:val="24"/>
                <w:highlight w:val="none"/>
              </w:rPr>
            </w:pPr>
          </w:p>
        </w:tc>
      </w:tr>
      <w:tr w14:paraId="1C74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tcPr>
          <w:p w14:paraId="193083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2</w:t>
            </w:r>
          </w:p>
        </w:tc>
        <w:tc>
          <w:tcPr>
            <w:tcW w:w="6422" w:type="dxa"/>
            <w:vAlign w:val="center"/>
          </w:tcPr>
          <w:p w14:paraId="6175720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其余观察窗采用中空净化窗：双层5mm钢化玻璃，丝印黑色边框，成品窗，可直接进行整体安装。</w:t>
            </w:r>
          </w:p>
        </w:tc>
        <w:tc>
          <w:tcPr>
            <w:tcW w:w="949" w:type="dxa"/>
            <w:vAlign w:val="center"/>
          </w:tcPr>
          <w:p w14:paraId="620325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0CDE75F">
            <w:pPr>
              <w:spacing w:before="62" w:beforeLines="20" w:after="62" w:afterLines="20" w:line="276" w:lineRule="auto"/>
              <w:jc w:val="left"/>
              <w:rPr>
                <w:rFonts w:ascii="Arial" w:hAnsi="Arial" w:cs="Arial"/>
                <w:color w:val="auto"/>
                <w:sz w:val="24"/>
                <w:highlight w:val="none"/>
              </w:rPr>
            </w:pPr>
          </w:p>
        </w:tc>
      </w:tr>
      <w:tr w14:paraId="42C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59689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3</w:t>
            </w:r>
          </w:p>
        </w:tc>
        <w:tc>
          <w:tcPr>
            <w:tcW w:w="6422" w:type="dxa"/>
            <w:vAlign w:val="center"/>
          </w:tcPr>
          <w:p w14:paraId="2AF41E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窗户与墙面平行，圆弧平滑连接，无死角。</w:t>
            </w:r>
          </w:p>
        </w:tc>
        <w:tc>
          <w:tcPr>
            <w:tcW w:w="949" w:type="dxa"/>
            <w:vAlign w:val="center"/>
          </w:tcPr>
          <w:p w14:paraId="1A90E1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6DD3AA1">
            <w:pPr>
              <w:spacing w:before="62" w:beforeLines="20" w:after="62" w:afterLines="20" w:line="276" w:lineRule="auto"/>
              <w:jc w:val="left"/>
              <w:rPr>
                <w:rFonts w:ascii="Arial" w:hAnsi="Arial" w:cs="Arial"/>
                <w:color w:val="auto"/>
                <w:sz w:val="24"/>
                <w:highlight w:val="none"/>
              </w:rPr>
            </w:pPr>
          </w:p>
        </w:tc>
      </w:tr>
      <w:tr w14:paraId="2A8F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03918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4</w:t>
            </w:r>
          </w:p>
        </w:tc>
        <w:tc>
          <w:tcPr>
            <w:tcW w:w="6422" w:type="dxa"/>
            <w:vAlign w:val="center"/>
          </w:tcPr>
          <w:p w14:paraId="691ABD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所有玻璃采用钢化处理，不得在现场加工，应为成型窗，门的透视窗应在工厂预装在墙板内。</w:t>
            </w:r>
          </w:p>
        </w:tc>
        <w:tc>
          <w:tcPr>
            <w:tcW w:w="949" w:type="dxa"/>
            <w:vAlign w:val="center"/>
          </w:tcPr>
          <w:p w14:paraId="09E7D2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CD79E92">
            <w:pPr>
              <w:spacing w:before="62" w:beforeLines="20" w:after="62" w:afterLines="20" w:line="276" w:lineRule="auto"/>
              <w:jc w:val="left"/>
              <w:rPr>
                <w:rFonts w:ascii="Arial" w:hAnsi="Arial" w:cs="Arial"/>
                <w:color w:val="auto"/>
                <w:sz w:val="24"/>
                <w:highlight w:val="none"/>
              </w:rPr>
            </w:pPr>
          </w:p>
        </w:tc>
      </w:tr>
      <w:tr w14:paraId="2810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EC1408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5</w:t>
            </w:r>
          </w:p>
        </w:tc>
        <w:tc>
          <w:tcPr>
            <w:tcW w:w="6422" w:type="dxa"/>
            <w:vAlign w:val="center"/>
          </w:tcPr>
          <w:p w14:paraId="0C64F77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承包方应提供窗及其附件的材质、规格、尺寸、安装详图等。</w:t>
            </w:r>
          </w:p>
        </w:tc>
        <w:tc>
          <w:tcPr>
            <w:tcW w:w="949" w:type="dxa"/>
            <w:vAlign w:val="center"/>
          </w:tcPr>
          <w:p w14:paraId="1E09A6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B0AE68D">
            <w:pPr>
              <w:spacing w:before="62" w:beforeLines="20" w:after="62" w:afterLines="20" w:line="276" w:lineRule="auto"/>
              <w:jc w:val="left"/>
              <w:rPr>
                <w:rFonts w:ascii="Arial" w:hAnsi="Arial" w:cs="Arial"/>
                <w:color w:val="auto"/>
                <w:sz w:val="24"/>
                <w:highlight w:val="none"/>
              </w:rPr>
            </w:pPr>
          </w:p>
        </w:tc>
      </w:tr>
      <w:tr w14:paraId="5E82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ED112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6</w:t>
            </w:r>
          </w:p>
        </w:tc>
        <w:tc>
          <w:tcPr>
            <w:tcW w:w="6422" w:type="dxa"/>
            <w:vAlign w:val="center"/>
          </w:tcPr>
          <w:p w14:paraId="03729F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墙体的落地透视玻璃，另按设计施工说明实施。</w:t>
            </w:r>
          </w:p>
        </w:tc>
        <w:tc>
          <w:tcPr>
            <w:tcW w:w="949" w:type="dxa"/>
            <w:vAlign w:val="center"/>
          </w:tcPr>
          <w:p w14:paraId="1BACC36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5404E50">
            <w:pPr>
              <w:spacing w:before="62" w:beforeLines="20" w:after="62" w:afterLines="20" w:line="276" w:lineRule="auto"/>
              <w:jc w:val="left"/>
              <w:rPr>
                <w:rFonts w:ascii="Arial" w:hAnsi="Arial" w:cs="Arial"/>
                <w:color w:val="auto"/>
                <w:sz w:val="24"/>
                <w:highlight w:val="none"/>
              </w:rPr>
            </w:pPr>
          </w:p>
        </w:tc>
      </w:tr>
    </w:tbl>
    <w:p w14:paraId="52CB3628">
      <w:pPr>
        <w:spacing w:before="62" w:beforeLines="20" w:after="62" w:afterLines="20" w:line="276" w:lineRule="auto"/>
        <w:jc w:val="left"/>
        <w:rPr>
          <w:rFonts w:ascii="Arial" w:hAnsi="Arial" w:cs="Arial"/>
          <w:color w:val="auto"/>
          <w:sz w:val="24"/>
          <w:highlight w:val="none"/>
        </w:rPr>
      </w:pPr>
    </w:p>
    <w:p w14:paraId="4A5BC3B9">
      <w:pPr>
        <w:spacing w:before="62" w:beforeLines="20" w:after="62" w:afterLines="20" w:line="276" w:lineRule="auto"/>
        <w:jc w:val="left"/>
        <w:rPr>
          <w:rFonts w:ascii="Arial" w:hAnsi="Arial" w:cs="Arial"/>
          <w:color w:val="auto"/>
          <w:sz w:val="24"/>
          <w:highlight w:val="none"/>
        </w:rPr>
      </w:pPr>
    </w:p>
    <w:p w14:paraId="47F820B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6.9</w:t>
      </w:r>
      <w:r>
        <w:rPr>
          <w:rFonts w:ascii="Arial" w:hAnsi="Arial" w:cs="Arial"/>
          <w:color w:val="auto"/>
          <w:sz w:val="24"/>
          <w:highlight w:val="none"/>
        </w:rPr>
        <w:t>视窗安装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6FA4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63187D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314DFF7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7FB64A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6E6028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9C7C9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55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439DE58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▲URS6.9-01</w:t>
            </w:r>
          </w:p>
        </w:tc>
        <w:tc>
          <w:tcPr>
            <w:tcW w:w="6672" w:type="dxa"/>
            <w:vAlign w:val="center"/>
          </w:tcPr>
          <w:p w14:paraId="4D43C12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功能间门、走道墙壁视窗，中空双层钢化玻璃，窗台高</w:t>
            </w:r>
            <w:r>
              <w:rPr>
                <w:rFonts w:hint="eastAsia" w:ascii="Arial" w:hAnsi="Arial" w:cs="Arial"/>
                <w:color w:val="auto"/>
                <w:sz w:val="24"/>
                <w:highlight w:val="none"/>
              </w:rPr>
              <w:t>度</w:t>
            </w:r>
            <w:r>
              <w:rPr>
                <w:rFonts w:ascii="Arial" w:hAnsi="Arial" w:cs="Arial"/>
                <w:color w:val="auto"/>
                <w:sz w:val="24"/>
                <w:highlight w:val="none"/>
              </w:rPr>
              <w:t>具体尺寸及安装位置依据设计图纸。</w:t>
            </w:r>
          </w:p>
        </w:tc>
        <w:tc>
          <w:tcPr>
            <w:tcW w:w="992" w:type="dxa"/>
            <w:vAlign w:val="center"/>
          </w:tcPr>
          <w:p w14:paraId="03B812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255F7B2">
            <w:pPr>
              <w:spacing w:before="62" w:beforeLines="20" w:after="62" w:afterLines="20" w:line="276" w:lineRule="auto"/>
              <w:jc w:val="left"/>
              <w:rPr>
                <w:rFonts w:ascii="Arial" w:hAnsi="Arial" w:cs="Arial"/>
                <w:color w:val="auto"/>
                <w:sz w:val="24"/>
                <w:highlight w:val="none"/>
              </w:rPr>
            </w:pPr>
          </w:p>
        </w:tc>
      </w:tr>
      <w:tr w14:paraId="0D38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FFE322E">
            <w:pPr>
              <w:rPr>
                <w:color w:val="auto"/>
                <w:highlight w:val="none"/>
              </w:rPr>
            </w:pPr>
            <w:r>
              <w:rPr>
                <w:rFonts w:hint="eastAsia" w:ascii="Arial" w:hAnsi="Arial" w:cs="Arial"/>
                <w:color w:val="auto"/>
                <w:sz w:val="24"/>
                <w:highlight w:val="none"/>
              </w:rPr>
              <w:t>URS6.9-02</w:t>
            </w:r>
          </w:p>
        </w:tc>
        <w:tc>
          <w:tcPr>
            <w:tcW w:w="6672" w:type="dxa"/>
            <w:vAlign w:val="center"/>
          </w:tcPr>
          <w:p w14:paraId="3A010AC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外包参观走廊的透视墙，按设计与施工图纸要求</w:t>
            </w:r>
          </w:p>
        </w:tc>
        <w:tc>
          <w:tcPr>
            <w:tcW w:w="992" w:type="dxa"/>
            <w:vAlign w:val="center"/>
          </w:tcPr>
          <w:p w14:paraId="1CE3BB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F304EB3">
            <w:pPr>
              <w:spacing w:before="62" w:beforeLines="20" w:after="62" w:afterLines="20" w:line="276" w:lineRule="auto"/>
              <w:jc w:val="left"/>
              <w:rPr>
                <w:rFonts w:ascii="Arial" w:hAnsi="Arial" w:cs="Arial"/>
                <w:color w:val="auto"/>
                <w:sz w:val="24"/>
                <w:highlight w:val="none"/>
              </w:rPr>
            </w:pPr>
          </w:p>
        </w:tc>
      </w:tr>
      <w:tr w14:paraId="4248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388383A">
            <w:pPr>
              <w:rPr>
                <w:color w:val="auto"/>
                <w:highlight w:val="none"/>
              </w:rPr>
            </w:pPr>
            <w:r>
              <w:rPr>
                <w:rFonts w:hint="eastAsia" w:ascii="Arial" w:hAnsi="Arial" w:cs="Arial"/>
                <w:color w:val="auto"/>
                <w:sz w:val="24"/>
                <w:highlight w:val="none"/>
              </w:rPr>
              <w:t>URS6.9-03</w:t>
            </w:r>
          </w:p>
        </w:tc>
        <w:tc>
          <w:tcPr>
            <w:tcW w:w="6672" w:type="dxa"/>
            <w:vAlign w:val="center"/>
          </w:tcPr>
          <w:p w14:paraId="71B404B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透视窗安装与板墙结合平滑，水平安装。采用密封胶对结合部位密封。</w:t>
            </w:r>
          </w:p>
        </w:tc>
        <w:tc>
          <w:tcPr>
            <w:tcW w:w="992" w:type="dxa"/>
          </w:tcPr>
          <w:p w14:paraId="77C99513">
            <w:pPr>
              <w:rPr>
                <w:color w:val="auto"/>
                <w:highlight w:val="none"/>
              </w:rPr>
            </w:pPr>
            <w:r>
              <w:rPr>
                <w:rFonts w:ascii="Arial" w:hAnsi="Arial" w:cs="Arial"/>
                <w:color w:val="auto"/>
                <w:sz w:val="24"/>
                <w:highlight w:val="none"/>
              </w:rPr>
              <w:t>必需</w:t>
            </w:r>
          </w:p>
        </w:tc>
        <w:tc>
          <w:tcPr>
            <w:tcW w:w="1550" w:type="dxa"/>
            <w:vAlign w:val="center"/>
          </w:tcPr>
          <w:p w14:paraId="54411DC3">
            <w:pPr>
              <w:spacing w:before="62" w:beforeLines="20" w:after="62" w:afterLines="20" w:line="276" w:lineRule="auto"/>
              <w:jc w:val="left"/>
              <w:rPr>
                <w:rFonts w:ascii="Arial" w:hAnsi="Arial" w:cs="Arial"/>
                <w:color w:val="auto"/>
                <w:sz w:val="24"/>
                <w:highlight w:val="none"/>
              </w:rPr>
            </w:pPr>
          </w:p>
        </w:tc>
      </w:tr>
      <w:tr w14:paraId="1E1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E45EA1F">
            <w:pPr>
              <w:rPr>
                <w:rFonts w:ascii="Arial" w:hAnsi="Arial" w:cs="Arial"/>
                <w:color w:val="auto"/>
                <w:sz w:val="24"/>
                <w:highlight w:val="none"/>
              </w:rPr>
            </w:pPr>
            <w:r>
              <w:rPr>
                <w:rFonts w:hint="eastAsia" w:ascii="Arial" w:hAnsi="Arial" w:cs="Arial"/>
                <w:color w:val="auto"/>
                <w:sz w:val="24"/>
                <w:highlight w:val="none"/>
              </w:rPr>
              <w:t>URS6.9-04</w:t>
            </w:r>
          </w:p>
        </w:tc>
        <w:tc>
          <w:tcPr>
            <w:tcW w:w="6672" w:type="dxa"/>
            <w:vAlign w:val="center"/>
          </w:tcPr>
          <w:p w14:paraId="463AF0B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视窗其密封性必须良好，可多年保持其密封效果，避免漏气进冷凝水。</w:t>
            </w:r>
          </w:p>
        </w:tc>
        <w:tc>
          <w:tcPr>
            <w:tcW w:w="992" w:type="dxa"/>
          </w:tcPr>
          <w:p w14:paraId="47464C01">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DC5CCED">
            <w:pPr>
              <w:spacing w:before="62" w:beforeLines="20" w:after="62" w:afterLines="20" w:line="276" w:lineRule="auto"/>
              <w:jc w:val="left"/>
              <w:rPr>
                <w:rFonts w:ascii="Arial" w:hAnsi="Arial" w:cs="Arial"/>
                <w:color w:val="auto"/>
                <w:sz w:val="24"/>
                <w:highlight w:val="none"/>
              </w:rPr>
            </w:pPr>
          </w:p>
        </w:tc>
      </w:tr>
      <w:tr w14:paraId="69F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AFC68C0">
            <w:pPr>
              <w:rPr>
                <w:rFonts w:ascii="Arial" w:hAnsi="Arial" w:cs="Arial"/>
                <w:color w:val="auto"/>
                <w:sz w:val="24"/>
                <w:highlight w:val="none"/>
              </w:rPr>
            </w:pPr>
            <w:r>
              <w:rPr>
                <w:rFonts w:hint="eastAsia" w:ascii="Arial" w:hAnsi="Arial" w:cs="Arial"/>
                <w:color w:val="auto"/>
                <w:sz w:val="24"/>
                <w:highlight w:val="none"/>
              </w:rPr>
              <w:t>▲URS6.9-05</w:t>
            </w:r>
          </w:p>
        </w:tc>
        <w:tc>
          <w:tcPr>
            <w:tcW w:w="6672" w:type="dxa"/>
            <w:vAlign w:val="center"/>
          </w:tcPr>
          <w:p w14:paraId="18B78D8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图纸上有传递窗的位置需要安装传递窗</w:t>
            </w:r>
          </w:p>
        </w:tc>
        <w:tc>
          <w:tcPr>
            <w:tcW w:w="992" w:type="dxa"/>
          </w:tcPr>
          <w:p w14:paraId="539BA5F3">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4A46DD5">
            <w:pPr>
              <w:spacing w:before="62" w:beforeLines="20" w:after="62" w:afterLines="20" w:line="276" w:lineRule="auto"/>
              <w:jc w:val="left"/>
              <w:rPr>
                <w:rFonts w:ascii="Arial" w:hAnsi="Arial" w:cs="Arial"/>
                <w:color w:val="auto"/>
                <w:sz w:val="24"/>
                <w:highlight w:val="none"/>
              </w:rPr>
            </w:pPr>
          </w:p>
        </w:tc>
      </w:tr>
    </w:tbl>
    <w:p w14:paraId="19783A7C">
      <w:pPr>
        <w:spacing w:before="62" w:beforeLines="20" w:after="62" w:afterLines="20" w:line="276" w:lineRule="auto"/>
        <w:jc w:val="left"/>
        <w:rPr>
          <w:rFonts w:ascii="Arial" w:hAnsi="Arial" w:cs="Arial"/>
          <w:color w:val="auto"/>
          <w:sz w:val="24"/>
          <w:highlight w:val="none"/>
        </w:rPr>
      </w:pPr>
    </w:p>
    <w:p w14:paraId="186B4C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w:t>
      </w:r>
      <w:r>
        <w:rPr>
          <w:rFonts w:hint="eastAsia" w:ascii="Arial" w:hAnsi="Arial" w:cs="Arial"/>
          <w:color w:val="auto"/>
          <w:sz w:val="24"/>
          <w:highlight w:val="none"/>
        </w:rPr>
        <w:t>0</w:t>
      </w:r>
      <w:r>
        <w:rPr>
          <w:rFonts w:ascii="Arial" w:hAnsi="Arial" w:cs="Arial"/>
          <w:color w:val="auto"/>
          <w:sz w:val="24"/>
          <w:highlight w:val="none"/>
        </w:rPr>
        <w:t>地面</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1D0F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2033228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678FFB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5969153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5B8FB13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B9C117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8FD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7EF32CF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-01</w:t>
            </w:r>
          </w:p>
        </w:tc>
        <w:tc>
          <w:tcPr>
            <w:tcW w:w="6422" w:type="dxa"/>
            <w:vAlign w:val="center"/>
          </w:tcPr>
          <w:p w14:paraId="7D4B341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 xml:space="preserve">采用PVC同质透芯地板，实验室专用PVC卷材，厚度≥2.0mm。PVC地板耐磨满足EN 660-2要求等级为T级，材质需要耐过氧化氢腐蚀 </w:t>
            </w:r>
          </w:p>
        </w:tc>
        <w:tc>
          <w:tcPr>
            <w:tcW w:w="949" w:type="dxa"/>
            <w:vAlign w:val="center"/>
          </w:tcPr>
          <w:p w14:paraId="396DAB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FD5243B">
            <w:pPr>
              <w:spacing w:before="62" w:beforeLines="20" w:after="62" w:afterLines="20" w:line="276" w:lineRule="auto"/>
              <w:jc w:val="left"/>
              <w:rPr>
                <w:rFonts w:ascii="Arial" w:hAnsi="Arial" w:cs="Arial"/>
                <w:color w:val="auto"/>
                <w:sz w:val="24"/>
                <w:highlight w:val="none"/>
              </w:rPr>
            </w:pPr>
          </w:p>
        </w:tc>
      </w:tr>
      <w:tr w14:paraId="66D6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1D34E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2</w:t>
            </w:r>
          </w:p>
        </w:tc>
        <w:tc>
          <w:tcPr>
            <w:tcW w:w="6422" w:type="dxa"/>
            <w:vAlign w:val="center"/>
          </w:tcPr>
          <w:p w14:paraId="4AED2E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按大分区一次性施工，避免出现接口导致颜色、高低、不规程的效果出现。</w:t>
            </w:r>
          </w:p>
        </w:tc>
        <w:tc>
          <w:tcPr>
            <w:tcW w:w="949" w:type="dxa"/>
            <w:vAlign w:val="center"/>
          </w:tcPr>
          <w:p w14:paraId="561C3EE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56115E3">
            <w:pPr>
              <w:spacing w:before="62" w:beforeLines="20" w:after="62" w:afterLines="20" w:line="276" w:lineRule="auto"/>
              <w:jc w:val="left"/>
              <w:rPr>
                <w:rFonts w:ascii="Arial" w:hAnsi="Arial" w:cs="Arial"/>
                <w:color w:val="auto"/>
                <w:sz w:val="24"/>
                <w:highlight w:val="none"/>
              </w:rPr>
            </w:pPr>
          </w:p>
        </w:tc>
      </w:tr>
      <w:tr w14:paraId="6CDA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68A88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3</w:t>
            </w:r>
          </w:p>
        </w:tc>
        <w:tc>
          <w:tcPr>
            <w:tcW w:w="6422" w:type="dxa"/>
            <w:vAlign w:val="center"/>
          </w:tcPr>
          <w:p w14:paraId="761006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包含地面收缩缝的结合处理，提供施工方案建设方确认。</w:t>
            </w:r>
          </w:p>
        </w:tc>
        <w:tc>
          <w:tcPr>
            <w:tcW w:w="949" w:type="dxa"/>
            <w:vAlign w:val="center"/>
          </w:tcPr>
          <w:p w14:paraId="767F20A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F073592">
            <w:pPr>
              <w:spacing w:before="62" w:beforeLines="20" w:after="62" w:afterLines="20" w:line="276" w:lineRule="auto"/>
              <w:jc w:val="left"/>
              <w:rPr>
                <w:rFonts w:ascii="Arial" w:hAnsi="Arial" w:cs="Arial"/>
                <w:color w:val="auto"/>
                <w:sz w:val="24"/>
                <w:highlight w:val="none"/>
              </w:rPr>
            </w:pPr>
          </w:p>
        </w:tc>
      </w:tr>
      <w:tr w14:paraId="61AB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64772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4</w:t>
            </w:r>
          </w:p>
        </w:tc>
        <w:tc>
          <w:tcPr>
            <w:tcW w:w="6422" w:type="dxa"/>
            <w:vAlign w:val="center"/>
          </w:tcPr>
          <w:p w14:paraId="437920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包含原有的地面孔洞修复，以及无用的下水地漏。</w:t>
            </w:r>
          </w:p>
        </w:tc>
        <w:tc>
          <w:tcPr>
            <w:tcW w:w="949" w:type="dxa"/>
            <w:vAlign w:val="center"/>
          </w:tcPr>
          <w:p w14:paraId="34502C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859434C">
            <w:pPr>
              <w:spacing w:before="62" w:beforeLines="20" w:after="62" w:afterLines="20" w:line="276" w:lineRule="auto"/>
              <w:jc w:val="left"/>
              <w:rPr>
                <w:rFonts w:ascii="Arial" w:hAnsi="Arial" w:cs="Arial"/>
                <w:color w:val="auto"/>
                <w:sz w:val="24"/>
                <w:highlight w:val="none"/>
              </w:rPr>
            </w:pPr>
          </w:p>
        </w:tc>
      </w:tr>
      <w:tr w14:paraId="1D69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ADEC3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5</w:t>
            </w:r>
          </w:p>
        </w:tc>
        <w:tc>
          <w:tcPr>
            <w:tcW w:w="6422" w:type="dxa"/>
            <w:vAlign w:val="center"/>
          </w:tcPr>
          <w:p w14:paraId="2A1705C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结合设备布置，施工平整度应往地漏方向倾斜，避免地面积水</w:t>
            </w:r>
          </w:p>
        </w:tc>
        <w:tc>
          <w:tcPr>
            <w:tcW w:w="949" w:type="dxa"/>
            <w:vAlign w:val="center"/>
          </w:tcPr>
          <w:p w14:paraId="56831E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DE5F2E5">
            <w:pPr>
              <w:spacing w:before="62" w:beforeLines="20" w:after="62" w:afterLines="20" w:line="276" w:lineRule="auto"/>
              <w:jc w:val="left"/>
              <w:rPr>
                <w:rFonts w:ascii="Arial" w:hAnsi="Arial" w:cs="Arial"/>
                <w:color w:val="auto"/>
                <w:sz w:val="24"/>
                <w:highlight w:val="none"/>
              </w:rPr>
            </w:pPr>
          </w:p>
        </w:tc>
      </w:tr>
    </w:tbl>
    <w:p w14:paraId="026D013D">
      <w:pPr>
        <w:spacing w:before="62" w:beforeLines="20" w:after="62" w:afterLines="20" w:line="276" w:lineRule="auto"/>
        <w:jc w:val="left"/>
        <w:rPr>
          <w:rFonts w:ascii="Arial" w:hAnsi="Arial" w:cs="Arial"/>
          <w:color w:val="auto"/>
          <w:sz w:val="24"/>
          <w:highlight w:val="none"/>
        </w:rPr>
      </w:pPr>
    </w:p>
    <w:p w14:paraId="0E474831">
      <w:pPr>
        <w:spacing w:before="62" w:beforeLines="20" w:after="62" w:afterLines="20" w:line="276" w:lineRule="auto"/>
        <w:jc w:val="left"/>
        <w:rPr>
          <w:rFonts w:ascii="Arial" w:hAnsi="Arial" w:cs="Arial"/>
          <w:color w:val="auto"/>
          <w:sz w:val="24"/>
          <w:highlight w:val="none"/>
        </w:rPr>
      </w:pPr>
    </w:p>
    <w:p w14:paraId="5E3F645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6.11地面安装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4F33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29ABEF7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4775E7A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3F1E97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236751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DD6B11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8F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6025517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URS6.11-01</w:t>
            </w:r>
          </w:p>
        </w:tc>
        <w:tc>
          <w:tcPr>
            <w:tcW w:w="6672" w:type="dxa"/>
            <w:vAlign w:val="center"/>
          </w:tcPr>
          <w:p w14:paraId="0C3A0A8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楼面采用部位详见地面铺装平面图</w:t>
            </w:r>
            <w:r>
              <w:rPr>
                <w:rFonts w:ascii="Arial" w:hAnsi="Arial" w:cs="Arial"/>
                <w:color w:val="auto"/>
                <w:sz w:val="24"/>
                <w:highlight w:val="none"/>
              </w:rPr>
              <w:t>，地面需耐磨、耐压、耐腐蚀、不产尘。</w:t>
            </w:r>
          </w:p>
        </w:tc>
        <w:tc>
          <w:tcPr>
            <w:tcW w:w="992" w:type="dxa"/>
            <w:vAlign w:val="center"/>
          </w:tcPr>
          <w:p w14:paraId="44C79B5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BE9B536">
            <w:pPr>
              <w:spacing w:before="62" w:beforeLines="20" w:after="62" w:afterLines="20" w:line="276" w:lineRule="auto"/>
              <w:jc w:val="left"/>
              <w:rPr>
                <w:rFonts w:ascii="Arial" w:hAnsi="Arial" w:cs="Arial"/>
                <w:color w:val="auto"/>
                <w:sz w:val="24"/>
                <w:highlight w:val="none"/>
              </w:rPr>
            </w:pPr>
          </w:p>
        </w:tc>
      </w:tr>
      <w:tr w14:paraId="29B8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D989EB4">
            <w:pPr>
              <w:rPr>
                <w:color w:val="auto"/>
                <w:highlight w:val="none"/>
              </w:rPr>
            </w:pPr>
            <w:r>
              <w:rPr>
                <w:rFonts w:hint="eastAsia" w:ascii="Arial" w:hAnsi="Arial" w:cs="Arial"/>
                <w:color w:val="auto"/>
                <w:sz w:val="24"/>
                <w:highlight w:val="none"/>
              </w:rPr>
              <w:t>URS6.11-02</w:t>
            </w:r>
          </w:p>
        </w:tc>
        <w:tc>
          <w:tcPr>
            <w:tcW w:w="6672" w:type="dxa"/>
            <w:vAlign w:val="center"/>
          </w:tcPr>
          <w:p w14:paraId="7B3B26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必须保证房间与房间之间不得有渗水现象。</w:t>
            </w:r>
          </w:p>
        </w:tc>
        <w:tc>
          <w:tcPr>
            <w:tcW w:w="992" w:type="dxa"/>
            <w:vAlign w:val="center"/>
          </w:tcPr>
          <w:p w14:paraId="6AB2E4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A36B406">
            <w:pPr>
              <w:spacing w:before="62" w:beforeLines="20" w:after="62" w:afterLines="20" w:line="276" w:lineRule="auto"/>
              <w:jc w:val="left"/>
              <w:rPr>
                <w:rFonts w:ascii="Arial" w:hAnsi="Arial" w:cs="Arial"/>
                <w:color w:val="auto"/>
                <w:sz w:val="24"/>
                <w:highlight w:val="none"/>
              </w:rPr>
            </w:pPr>
          </w:p>
        </w:tc>
      </w:tr>
      <w:tr w14:paraId="1658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C533801">
            <w:pPr>
              <w:rPr>
                <w:color w:val="auto"/>
                <w:highlight w:val="none"/>
              </w:rPr>
            </w:pPr>
            <w:r>
              <w:rPr>
                <w:rFonts w:hint="eastAsia" w:ascii="Arial" w:hAnsi="Arial" w:cs="Arial"/>
                <w:color w:val="auto"/>
                <w:sz w:val="24"/>
                <w:highlight w:val="none"/>
              </w:rPr>
              <w:t>URS6.11-03</w:t>
            </w:r>
          </w:p>
        </w:tc>
        <w:tc>
          <w:tcPr>
            <w:tcW w:w="6672" w:type="dxa"/>
            <w:vAlign w:val="center"/>
          </w:tcPr>
          <w:p w14:paraId="29F823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必须保证地漏位于排水的最低点；走廊比房间水平稍高，保证房间的水不会流到走廊。</w:t>
            </w:r>
          </w:p>
        </w:tc>
        <w:tc>
          <w:tcPr>
            <w:tcW w:w="992" w:type="dxa"/>
            <w:vAlign w:val="center"/>
          </w:tcPr>
          <w:p w14:paraId="20B483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8DCCA8C">
            <w:pPr>
              <w:spacing w:before="62" w:beforeLines="20" w:after="62" w:afterLines="20" w:line="276" w:lineRule="auto"/>
              <w:jc w:val="left"/>
              <w:rPr>
                <w:rFonts w:ascii="Arial" w:hAnsi="Arial" w:cs="Arial"/>
                <w:color w:val="auto"/>
                <w:sz w:val="24"/>
                <w:highlight w:val="none"/>
              </w:rPr>
            </w:pPr>
          </w:p>
        </w:tc>
      </w:tr>
      <w:tr w14:paraId="03F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646338F">
            <w:pPr>
              <w:rPr>
                <w:rFonts w:ascii="Arial" w:hAnsi="Arial" w:cs="Arial"/>
                <w:color w:val="auto"/>
                <w:sz w:val="24"/>
                <w:highlight w:val="none"/>
              </w:rPr>
            </w:pPr>
            <w:r>
              <w:rPr>
                <w:rFonts w:hint="eastAsia" w:ascii="Arial" w:hAnsi="Arial" w:cs="Arial"/>
                <w:color w:val="auto"/>
                <w:sz w:val="24"/>
                <w:highlight w:val="none"/>
              </w:rPr>
              <w:t>URS6.11-04</w:t>
            </w:r>
          </w:p>
        </w:tc>
        <w:tc>
          <w:tcPr>
            <w:tcW w:w="6672" w:type="dxa"/>
            <w:vAlign w:val="center"/>
          </w:tcPr>
          <w:p w14:paraId="2697116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上墙连接，必须光滑，无肉眼可见的粗糙感</w:t>
            </w:r>
          </w:p>
        </w:tc>
        <w:tc>
          <w:tcPr>
            <w:tcW w:w="992" w:type="dxa"/>
            <w:vAlign w:val="center"/>
          </w:tcPr>
          <w:p w14:paraId="4160E2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02990DB5">
            <w:pPr>
              <w:spacing w:before="62" w:beforeLines="20" w:after="62" w:afterLines="20" w:line="276" w:lineRule="auto"/>
              <w:jc w:val="left"/>
              <w:rPr>
                <w:rFonts w:ascii="Arial" w:hAnsi="Arial" w:cs="Arial"/>
                <w:color w:val="auto"/>
                <w:sz w:val="24"/>
                <w:highlight w:val="none"/>
              </w:rPr>
            </w:pPr>
          </w:p>
        </w:tc>
      </w:tr>
    </w:tbl>
    <w:p w14:paraId="667D2655">
      <w:pPr>
        <w:spacing w:before="62" w:beforeLines="20" w:after="62" w:afterLines="20" w:line="276" w:lineRule="auto"/>
        <w:jc w:val="left"/>
        <w:rPr>
          <w:rFonts w:ascii="Arial" w:hAnsi="Arial" w:cs="Arial"/>
          <w:color w:val="auto"/>
          <w:sz w:val="24"/>
          <w:highlight w:val="none"/>
        </w:rPr>
      </w:pPr>
    </w:p>
    <w:p w14:paraId="390D78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1</w:t>
      </w:r>
      <w:r>
        <w:rPr>
          <w:rFonts w:ascii="Arial" w:hAnsi="Arial" w:cs="Arial"/>
          <w:color w:val="auto"/>
          <w:sz w:val="24"/>
          <w:highlight w:val="none"/>
        </w:rPr>
        <w:t>2安装与施工要求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1D78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4C0C4A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31CDD5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19605D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5242EF9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21204C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9FE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2207B0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2-01</w:t>
            </w:r>
          </w:p>
        </w:tc>
        <w:tc>
          <w:tcPr>
            <w:tcW w:w="6422" w:type="dxa"/>
            <w:vAlign w:val="center"/>
          </w:tcPr>
          <w:p w14:paraId="416159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立板顶口，吊顶板两端扣等应作密封处理，防止来自上方空间的污染，或者冷热问题导致板材有水腐蚀板墙。</w:t>
            </w:r>
          </w:p>
        </w:tc>
        <w:tc>
          <w:tcPr>
            <w:tcW w:w="949" w:type="dxa"/>
            <w:vAlign w:val="center"/>
          </w:tcPr>
          <w:p w14:paraId="1B912B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5D4BD61">
            <w:pPr>
              <w:spacing w:before="62" w:beforeLines="20" w:after="62" w:afterLines="20" w:line="276" w:lineRule="auto"/>
              <w:jc w:val="left"/>
              <w:rPr>
                <w:rFonts w:ascii="Arial" w:hAnsi="Arial" w:cs="Arial"/>
                <w:color w:val="auto"/>
                <w:sz w:val="24"/>
                <w:highlight w:val="none"/>
              </w:rPr>
            </w:pPr>
          </w:p>
        </w:tc>
      </w:tr>
      <w:tr w14:paraId="3736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5966C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2-02</w:t>
            </w:r>
          </w:p>
        </w:tc>
        <w:tc>
          <w:tcPr>
            <w:tcW w:w="6422" w:type="dxa"/>
            <w:vAlign w:val="center"/>
          </w:tcPr>
          <w:p w14:paraId="33D170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壁板安装前必须放线，墙角应垂直交接，防止累计误差造成壁板倾斜扭曲，壁板的垂直度偏差不应大于0.2%。</w:t>
            </w:r>
          </w:p>
        </w:tc>
        <w:tc>
          <w:tcPr>
            <w:tcW w:w="949" w:type="dxa"/>
            <w:vAlign w:val="center"/>
          </w:tcPr>
          <w:p w14:paraId="5AA9A3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4A89D06">
            <w:pPr>
              <w:spacing w:before="62" w:beforeLines="20" w:after="62" w:afterLines="20" w:line="276" w:lineRule="auto"/>
              <w:jc w:val="left"/>
              <w:rPr>
                <w:rFonts w:ascii="Arial" w:hAnsi="Arial" w:cs="Arial"/>
                <w:color w:val="auto"/>
                <w:sz w:val="24"/>
                <w:highlight w:val="none"/>
              </w:rPr>
            </w:pPr>
          </w:p>
        </w:tc>
      </w:tr>
      <w:tr w14:paraId="21A9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38F8CF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2-03</w:t>
            </w:r>
          </w:p>
        </w:tc>
        <w:tc>
          <w:tcPr>
            <w:tcW w:w="6422" w:type="dxa"/>
            <w:vAlign w:val="center"/>
          </w:tcPr>
          <w:p w14:paraId="7A0888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949" w:type="dxa"/>
            <w:vAlign w:val="center"/>
          </w:tcPr>
          <w:p w14:paraId="544F13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1ACDD3E">
            <w:pPr>
              <w:spacing w:before="62" w:beforeLines="20" w:after="62" w:afterLines="20" w:line="276" w:lineRule="auto"/>
              <w:jc w:val="left"/>
              <w:rPr>
                <w:rFonts w:ascii="Arial" w:hAnsi="Arial" w:cs="Arial"/>
                <w:color w:val="auto"/>
                <w:sz w:val="24"/>
                <w:highlight w:val="none"/>
              </w:rPr>
            </w:pPr>
          </w:p>
        </w:tc>
      </w:tr>
      <w:tr w14:paraId="16C8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4156D9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2-04</w:t>
            </w:r>
          </w:p>
        </w:tc>
        <w:tc>
          <w:tcPr>
            <w:tcW w:w="6422" w:type="dxa"/>
            <w:vAlign w:val="center"/>
          </w:tcPr>
          <w:p w14:paraId="0A82AD7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实验室</w:t>
            </w:r>
            <w:r>
              <w:rPr>
                <w:rFonts w:ascii="Arial" w:hAnsi="Arial" w:cs="Arial"/>
                <w:color w:val="auto"/>
                <w:sz w:val="24"/>
                <w:highlight w:val="none"/>
              </w:rPr>
              <w:t>须按业主方确认的设计图纸施工，施工中若发现存在设计缺陷，应及时提出，并在接到设计单位或业主方的变更通知后方可</w:t>
            </w:r>
            <w:r>
              <w:rPr>
                <w:rFonts w:hint="eastAsia" w:ascii="Arial" w:hAnsi="Arial" w:cs="Arial"/>
                <w:color w:val="auto"/>
                <w:sz w:val="24"/>
                <w:highlight w:val="none"/>
              </w:rPr>
              <w:t>施工</w:t>
            </w:r>
            <w:r>
              <w:rPr>
                <w:rFonts w:ascii="Arial" w:hAnsi="Arial" w:cs="Arial"/>
                <w:color w:val="auto"/>
                <w:sz w:val="24"/>
                <w:highlight w:val="none"/>
              </w:rPr>
              <w:t>。</w:t>
            </w:r>
          </w:p>
        </w:tc>
        <w:tc>
          <w:tcPr>
            <w:tcW w:w="949" w:type="dxa"/>
            <w:vAlign w:val="center"/>
          </w:tcPr>
          <w:p w14:paraId="13A49E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D94D388">
            <w:pPr>
              <w:spacing w:before="62" w:beforeLines="20" w:after="62" w:afterLines="20" w:line="276" w:lineRule="auto"/>
              <w:jc w:val="left"/>
              <w:rPr>
                <w:rFonts w:ascii="Arial" w:hAnsi="Arial" w:cs="Arial"/>
                <w:color w:val="auto"/>
                <w:sz w:val="24"/>
                <w:highlight w:val="none"/>
              </w:rPr>
            </w:pPr>
          </w:p>
        </w:tc>
      </w:tr>
      <w:tr w14:paraId="0521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52B7E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2-05</w:t>
            </w:r>
          </w:p>
        </w:tc>
        <w:tc>
          <w:tcPr>
            <w:tcW w:w="6422" w:type="dxa"/>
            <w:vAlign w:val="center"/>
          </w:tcPr>
          <w:p w14:paraId="2084FF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各种构配件和材料应存放在有围护结构的清洁、干燥的环境中，平整地放置在防潮膜上。</w:t>
            </w:r>
          </w:p>
        </w:tc>
        <w:tc>
          <w:tcPr>
            <w:tcW w:w="949" w:type="dxa"/>
            <w:vAlign w:val="center"/>
          </w:tcPr>
          <w:p w14:paraId="3F4218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A0D224C">
            <w:pPr>
              <w:spacing w:before="62" w:beforeLines="20" w:after="62" w:afterLines="20" w:line="276" w:lineRule="auto"/>
              <w:jc w:val="left"/>
              <w:rPr>
                <w:rFonts w:ascii="Arial" w:hAnsi="Arial" w:cs="Arial"/>
                <w:color w:val="auto"/>
                <w:sz w:val="24"/>
                <w:highlight w:val="none"/>
              </w:rPr>
            </w:pPr>
          </w:p>
        </w:tc>
      </w:tr>
      <w:tr w14:paraId="62B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396D44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2-06</w:t>
            </w:r>
          </w:p>
        </w:tc>
        <w:tc>
          <w:tcPr>
            <w:tcW w:w="6422" w:type="dxa"/>
            <w:vAlign w:val="center"/>
          </w:tcPr>
          <w:p w14:paraId="3E723D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开箱启封（尤其是高效过滤器）应在清洁环境中进行，应严格检查其规格性能和完好程度，不合格或已损坏的配件严禁安装。</w:t>
            </w:r>
          </w:p>
        </w:tc>
        <w:tc>
          <w:tcPr>
            <w:tcW w:w="949" w:type="dxa"/>
            <w:vAlign w:val="center"/>
          </w:tcPr>
          <w:p w14:paraId="08F247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FC55D22">
            <w:pPr>
              <w:spacing w:before="62" w:beforeLines="20" w:after="62" w:afterLines="20" w:line="276" w:lineRule="auto"/>
              <w:jc w:val="left"/>
              <w:rPr>
                <w:rFonts w:ascii="Arial" w:hAnsi="Arial" w:cs="Arial"/>
                <w:color w:val="auto"/>
                <w:sz w:val="24"/>
                <w:highlight w:val="none"/>
              </w:rPr>
            </w:pPr>
          </w:p>
        </w:tc>
      </w:tr>
      <w:tr w14:paraId="2A97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55F6D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2-07</w:t>
            </w:r>
          </w:p>
        </w:tc>
        <w:tc>
          <w:tcPr>
            <w:tcW w:w="6422" w:type="dxa"/>
            <w:vAlign w:val="center"/>
          </w:tcPr>
          <w:p w14:paraId="3DA276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施工结束后负责清理吊顶及夹层内的施工垃圾，保证夹层卫生要求。</w:t>
            </w:r>
          </w:p>
        </w:tc>
        <w:tc>
          <w:tcPr>
            <w:tcW w:w="949" w:type="dxa"/>
            <w:vAlign w:val="center"/>
          </w:tcPr>
          <w:p w14:paraId="500CFB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D6E83F3">
            <w:pPr>
              <w:spacing w:before="62" w:beforeLines="20" w:after="62" w:afterLines="20" w:line="276" w:lineRule="auto"/>
              <w:jc w:val="left"/>
              <w:rPr>
                <w:rFonts w:ascii="Arial" w:hAnsi="Arial" w:cs="Arial"/>
                <w:color w:val="auto"/>
                <w:sz w:val="24"/>
                <w:highlight w:val="none"/>
              </w:rPr>
            </w:pPr>
          </w:p>
        </w:tc>
      </w:tr>
      <w:tr w14:paraId="4EED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3C7127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2-08</w:t>
            </w:r>
          </w:p>
        </w:tc>
        <w:tc>
          <w:tcPr>
            <w:tcW w:w="6422" w:type="dxa"/>
            <w:vAlign w:val="center"/>
          </w:tcPr>
          <w:p w14:paraId="46DEEC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未经业主方同意不得将工程项目委托他方进行安装，安装人员需为有经验的熟练技工。</w:t>
            </w:r>
          </w:p>
        </w:tc>
        <w:tc>
          <w:tcPr>
            <w:tcW w:w="949" w:type="dxa"/>
            <w:vAlign w:val="center"/>
          </w:tcPr>
          <w:p w14:paraId="116DA4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FED7993">
            <w:pPr>
              <w:spacing w:before="62" w:beforeLines="20" w:after="62" w:afterLines="20" w:line="276" w:lineRule="auto"/>
              <w:jc w:val="left"/>
              <w:rPr>
                <w:rFonts w:ascii="Arial" w:hAnsi="Arial" w:cs="Arial"/>
                <w:color w:val="auto"/>
                <w:sz w:val="24"/>
                <w:highlight w:val="none"/>
              </w:rPr>
            </w:pPr>
          </w:p>
        </w:tc>
      </w:tr>
      <w:tr w14:paraId="615C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6B415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2-09</w:t>
            </w:r>
          </w:p>
        </w:tc>
        <w:tc>
          <w:tcPr>
            <w:tcW w:w="6422" w:type="dxa"/>
            <w:vAlign w:val="center"/>
          </w:tcPr>
          <w:p w14:paraId="08C1D8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施工方必须按确认的进度计划组织施工，接受业主方对工程进度的检查、监督。</w:t>
            </w:r>
          </w:p>
        </w:tc>
        <w:tc>
          <w:tcPr>
            <w:tcW w:w="949" w:type="dxa"/>
            <w:vAlign w:val="center"/>
          </w:tcPr>
          <w:p w14:paraId="351CF5D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686AD87">
            <w:pPr>
              <w:spacing w:before="62" w:beforeLines="20" w:after="62" w:afterLines="20" w:line="276" w:lineRule="auto"/>
              <w:jc w:val="left"/>
              <w:rPr>
                <w:rFonts w:ascii="Arial" w:hAnsi="Arial" w:cs="Arial"/>
                <w:color w:val="auto"/>
                <w:sz w:val="24"/>
                <w:highlight w:val="none"/>
              </w:rPr>
            </w:pPr>
          </w:p>
        </w:tc>
      </w:tr>
      <w:tr w14:paraId="13DA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76EA69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2-10</w:t>
            </w:r>
          </w:p>
        </w:tc>
        <w:tc>
          <w:tcPr>
            <w:tcW w:w="6422" w:type="dxa"/>
            <w:vAlign w:val="center"/>
          </w:tcPr>
          <w:p w14:paraId="1395F5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施工方须提供施工安全预案并设置安全员，接受业主方教育监督。</w:t>
            </w:r>
          </w:p>
        </w:tc>
        <w:tc>
          <w:tcPr>
            <w:tcW w:w="949" w:type="dxa"/>
            <w:vAlign w:val="center"/>
          </w:tcPr>
          <w:p w14:paraId="6DC667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2B1DD97">
            <w:pPr>
              <w:spacing w:before="62" w:beforeLines="20" w:after="62" w:afterLines="20" w:line="276" w:lineRule="auto"/>
              <w:jc w:val="left"/>
              <w:rPr>
                <w:rFonts w:ascii="Arial" w:hAnsi="Arial" w:cs="Arial"/>
                <w:color w:val="auto"/>
                <w:sz w:val="24"/>
                <w:highlight w:val="none"/>
              </w:rPr>
            </w:pPr>
          </w:p>
        </w:tc>
      </w:tr>
      <w:tr w14:paraId="68A1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025AE9F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2-11</w:t>
            </w:r>
          </w:p>
        </w:tc>
        <w:tc>
          <w:tcPr>
            <w:tcW w:w="6422" w:type="dxa"/>
            <w:vAlign w:val="center"/>
          </w:tcPr>
          <w:p w14:paraId="007D61F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施工方须提供至少一名熟悉洁净技术的项目技术员，负责与业主方沟通。</w:t>
            </w:r>
          </w:p>
        </w:tc>
        <w:tc>
          <w:tcPr>
            <w:tcW w:w="949" w:type="dxa"/>
            <w:vAlign w:val="center"/>
          </w:tcPr>
          <w:p w14:paraId="7674EE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C44CE1D">
            <w:pPr>
              <w:spacing w:before="62" w:beforeLines="20" w:after="62" w:afterLines="20" w:line="276" w:lineRule="auto"/>
              <w:jc w:val="left"/>
              <w:rPr>
                <w:rFonts w:ascii="Arial" w:hAnsi="Arial" w:cs="Arial"/>
                <w:color w:val="auto"/>
                <w:sz w:val="24"/>
                <w:highlight w:val="none"/>
              </w:rPr>
            </w:pPr>
          </w:p>
        </w:tc>
      </w:tr>
    </w:tbl>
    <w:p w14:paraId="240BFED0">
      <w:pPr>
        <w:spacing w:before="62" w:beforeLines="20" w:after="62" w:afterLines="20" w:line="276" w:lineRule="auto"/>
        <w:jc w:val="left"/>
        <w:rPr>
          <w:rFonts w:ascii="Arial" w:hAnsi="Arial" w:cs="Arial"/>
          <w:b/>
          <w:bCs/>
          <w:color w:val="auto"/>
          <w:sz w:val="24"/>
          <w:highlight w:val="none"/>
        </w:rPr>
      </w:pPr>
    </w:p>
    <w:p w14:paraId="0D7EB2F6">
      <w:pPr>
        <w:spacing w:before="62" w:beforeLines="20" w:after="62" w:afterLines="20" w:line="276" w:lineRule="auto"/>
        <w:jc w:val="left"/>
        <w:rPr>
          <w:rFonts w:ascii="Arial" w:hAnsi="Arial" w:cs="Arial"/>
          <w:b/>
          <w:bCs/>
          <w:color w:val="auto"/>
          <w:sz w:val="24"/>
          <w:highlight w:val="none"/>
        </w:rPr>
      </w:pPr>
    </w:p>
    <w:p w14:paraId="12FD5A20">
      <w:pPr>
        <w:spacing w:before="62" w:beforeLines="20" w:after="62" w:afterLines="20" w:line="276" w:lineRule="auto"/>
        <w:jc w:val="left"/>
        <w:rPr>
          <w:rFonts w:ascii="Arial" w:hAnsi="Arial" w:cs="Arial"/>
          <w:b/>
          <w:bCs/>
          <w:color w:val="auto"/>
          <w:sz w:val="24"/>
          <w:highlight w:val="none"/>
        </w:rPr>
      </w:pPr>
      <w:r>
        <w:rPr>
          <w:rFonts w:hint="eastAsia" w:ascii="Arial" w:hAnsi="Arial" w:cs="Arial"/>
          <w:b/>
          <w:bCs/>
          <w:color w:val="auto"/>
          <w:sz w:val="24"/>
          <w:highlight w:val="none"/>
        </w:rPr>
        <w:t>七、工艺管道专业要求</w:t>
      </w:r>
    </w:p>
    <w:p w14:paraId="644577C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0508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blHeader/>
        </w:trPr>
        <w:tc>
          <w:tcPr>
            <w:tcW w:w="1809" w:type="dxa"/>
            <w:tcBorders>
              <w:bottom w:val="single" w:color="auto" w:sz="4" w:space="0"/>
            </w:tcBorders>
            <w:shd w:val="pct20" w:color="auto" w:fill="FFFFFF"/>
            <w:vAlign w:val="center"/>
          </w:tcPr>
          <w:p w14:paraId="43C7D75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04BFD1F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2DBBF7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09931F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AE15F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E8C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09" w:type="dxa"/>
            <w:vAlign w:val="center"/>
          </w:tcPr>
          <w:p w14:paraId="2D518B64">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7</w:t>
            </w:r>
          </w:p>
        </w:tc>
        <w:tc>
          <w:tcPr>
            <w:tcW w:w="6422" w:type="dxa"/>
            <w:vAlign w:val="center"/>
          </w:tcPr>
          <w:p w14:paraId="279C3462">
            <w:pPr>
              <w:numPr>
                <w:ilvl w:val="0"/>
                <w:numId w:val="27"/>
              </w:numPr>
              <w:snapToGrid w:val="0"/>
              <w:spacing w:line="360" w:lineRule="auto"/>
              <w:rPr>
                <w:rFonts w:ascii="Arial" w:hAnsi="Arial" w:cs="Arial"/>
                <w:color w:val="auto"/>
                <w:sz w:val="24"/>
                <w:highlight w:val="none"/>
              </w:rPr>
            </w:pPr>
            <w:r>
              <w:rPr>
                <w:rFonts w:hint="eastAsia" w:ascii="Arial" w:hAnsi="Arial" w:cs="Arial"/>
                <w:color w:val="auto"/>
                <w:sz w:val="24"/>
                <w:highlight w:val="none"/>
              </w:rPr>
              <w:t>总体要求：按图纸施工，本工程压力管道制作安装应符合国家有关标准和规范。各管路材质以图纸为准。</w:t>
            </w:r>
          </w:p>
          <w:p w14:paraId="5538E82C">
            <w:pPr>
              <w:snapToGrid w:val="0"/>
              <w:spacing w:line="360" w:lineRule="auto"/>
              <w:rPr>
                <w:rFonts w:ascii="Arial" w:hAnsi="Arial" w:cs="Arial"/>
                <w:color w:val="auto"/>
                <w:sz w:val="24"/>
                <w:highlight w:val="none"/>
              </w:rPr>
            </w:pPr>
            <w:r>
              <w:rPr>
                <w:rFonts w:hint="eastAsia" w:ascii="Arial" w:hAnsi="Arial" w:cs="Arial"/>
                <w:color w:val="auto"/>
                <w:sz w:val="24"/>
                <w:highlight w:val="none"/>
              </w:rPr>
              <w:t>2、卫生级管道规定根据中国、美国及欧盟现行GMP有关要求。</w:t>
            </w:r>
          </w:p>
          <w:p w14:paraId="78E78C26">
            <w:pPr>
              <w:snapToGrid w:val="0"/>
              <w:spacing w:line="360" w:lineRule="auto"/>
              <w:rPr>
                <w:rFonts w:ascii="Arial" w:hAnsi="Arial" w:cs="Arial"/>
                <w:color w:val="auto"/>
                <w:sz w:val="24"/>
                <w:highlight w:val="none"/>
              </w:rPr>
            </w:pPr>
            <w:r>
              <w:rPr>
                <w:rFonts w:hint="eastAsia" w:ascii="Arial" w:hAnsi="Arial" w:cs="Arial"/>
                <w:color w:val="auto"/>
                <w:sz w:val="24"/>
                <w:highlight w:val="none"/>
              </w:rPr>
              <w:t>3、各种管道标识清楚，机房、室外、洁净区内可见保温管道需做不锈钢板保护层。</w:t>
            </w:r>
          </w:p>
          <w:p w14:paraId="477E08AA">
            <w:pPr>
              <w:pStyle w:val="73"/>
              <w:ind w:firstLine="480"/>
              <w:rPr>
                <w:rFonts w:ascii="Arial" w:hAnsi="Arial" w:cs="Arial"/>
                <w:color w:val="auto"/>
                <w:sz w:val="24"/>
                <w:highlight w:val="none"/>
              </w:rPr>
            </w:pPr>
            <w:r>
              <w:rPr>
                <w:rFonts w:hint="eastAsia" w:ascii="Arial" w:hAnsi="Arial" w:cs="Arial"/>
                <w:color w:val="auto"/>
                <w:sz w:val="24"/>
                <w:highlight w:val="none"/>
              </w:rPr>
              <w:t>4、生活冷水和热水均采用304不锈钢管，管道连接使用环压连接</w:t>
            </w:r>
          </w:p>
          <w:p w14:paraId="3CEC846E">
            <w:pPr>
              <w:pStyle w:val="73"/>
              <w:ind w:firstLine="480"/>
              <w:rPr>
                <w:rFonts w:ascii="Arial" w:hAnsi="Arial" w:cs="Arial"/>
                <w:color w:val="auto"/>
                <w:sz w:val="24"/>
                <w:highlight w:val="none"/>
              </w:rPr>
            </w:pPr>
            <w:r>
              <w:rPr>
                <w:rFonts w:hint="eastAsia" w:ascii="Arial" w:hAnsi="Arial" w:cs="Arial"/>
                <w:color w:val="auto"/>
                <w:sz w:val="24"/>
                <w:highlight w:val="none"/>
              </w:rPr>
              <w:t>5、实验气体管道采用316管道，管道连接使用螺牙连接与焊接</w:t>
            </w:r>
          </w:p>
          <w:p w14:paraId="5B5D6A6B">
            <w:pPr>
              <w:pStyle w:val="73"/>
              <w:ind w:firstLine="480"/>
              <w:rPr>
                <w:color w:val="auto"/>
                <w:highlight w:val="none"/>
              </w:rPr>
            </w:pPr>
            <w:r>
              <w:rPr>
                <w:rFonts w:hint="eastAsia" w:ascii="Arial" w:hAnsi="Arial" w:cs="Arial"/>
                <w:color w:val="auto"/>
                <w:sz w:val="24"/>
                <w:highlight w:val="none"/>
              </w:rPr>
              <w:t>6、排水管材质以图纸为准</w:t>
            </w:r>
          </w:p>
        </w:tc>
        <w:tc>
          <w:tcPr>
            <w:tcW w:w="949" w:type="dxa"/>
            <w:vAlign w:val="center"/>
          </w:tcPr>
          <w:p w14:paraId="61F5C7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46C60882">
            <w:pPr>
              <w:spacing w:before="62" w:beforeLines="20" w:after="62" w:afterLines="20" w:line="276" w:lineRule="auto"/>
              <w:jc w:val="left"/>
              <w:rPr>
                <w:rFonts w:ascii="Arial" w:hAnsi="Arial" w:cs="Arial"/>
                <w:color w:val="auto"/>
                <w:sz w:val="24"/>
                <w:highlight w:val="none"/>
              </w:rPr>
            </w:pPr>
          </w:p>
        </w:tc>
      </w:tr>
    </w:tbl>
    <w:p w14:paraId="78F50DBF">
      <w:pPr>
        <w:spacing w:before="62" w:beforeLines="20" w:after="62" w:afterLines="20" w:line="276" w:lineRule="auto"/>
        <w:jc w:val="left"/>
        <w:rPr>
          <w:rFonts w:ascii="Arial" w:hAnsi="Arial" w:cs="Arial"/>
          <w:color w:val="auto"/>
          <w:sz w:val="24"/>
          <w:highlight w:val="none"/>
        </w:rPr>
      </w:pPr>
    </w:p>
    <w:p w14:paraId="7E710350">
      <w:pPr>
        <w:spacing w:before="62" w:beforeLines="20" w:after="62" w:afterLines="20" w:line="276" w:lineRule="auto"/>
        <w:jc w:val="left"/>
        <w:rPr>
          <w:rFonts w:ascii="Arial" w:hAnsi="Arial" w:cs="Arial"/>
          <w:b/>
          <w:bCs/>
          <w:color w:val="auto"/>
          <w:sz w:val="24"/>
          <w:highlight w:val="none"/>
        </w:rPr>
      </w:pPr>
    </w:p>
    <w:p w14:paraId="13B119AB">
      <w:pPr>
        <w:spacing w:before="62" w:beforeLines="20" w:after="62" w:afterLines="20" w:line="276" w:lineRule="auto"/>
        <w:jc w:val="left"/>
        <w:rPr>
          <w:rFonts w:ascii="Arial" w:hAnsi="Arial" w:cs="Arial"/>
          <w:b/>
          <w:bCs/>
          <w:color w:val="auto"/>
          <w:sz w:val="24"/>
          <w:highlight w:val="none"/>
        </w:rPr>
      </w:pPr>
    </w:p>
    <w:p w14:paraId="1BB33454">
      <w:pPr>
        <w:spacing w:before="62" w:beforeLines="20" w:after="62" w:afterLines="20" w:line="276" w:lineRule="auto"/>
        <w:jc w:val="left"/>
        <w:rPr>
          <w:rFonts w:ascii="Arial" w:hAnsi="Arial" w:cs="Arial"/>
          <w:b/>
          <w:bCs/>
          <w:color w:val="auto"/>
          <w:sz w:val="24"/>
          <w:highlight w:val="none"/>
        </w:rPr>
      </w:pPr>
    </w:p>
    <w:p w14:paraId="3438DB5C">
      <w:pPr>
        <w:spacing w:before="62" w:beforeLines="20" w:after="62" w:afterLines="20" w:line="276" w:lineRule="auto"/>
        <w:jc w:val="left"/>
        <w:rPr>
          <w:rFonts w:ascii="Arial" w:hAnsi="Arial" w:cs="Arial"/>
          <w:b/>
          <w:bCs/>
          <w:color w:val="auto"/>
          <w:sz w:val="24"/>
          <w:highlight w:val="none"/>
        </w:rPr>
      </w:pPr>
    </w:p>
    <w:p w14:paraId="2906657E">
      <w:pPr>
        <w:spacing w:before="62" w:beforeLines="20" w:after="62" w:afterLines="20" w:line="276" w:lineRule="auto"/>
        <w:jc w:val="left"/>
        <w:rPr>
          <w:rFonts w:ascii="Arial" w:hAnsi="Arial" w:cs="Arial"/>
          <w:b/>
          <w:bCs/>
          <w:color w:val="auto"/>
          <w:sz w:val="24"/>
          <w:highlight w:val="none"/>
        </w:rPr>
      </w:pPr>
    </w:p>
    <w:p w14:paraId="4C702924">
      <w:pPr>
        <w:spacing w:before="62" w:beforeLines="20" w:after="62" w:afterLines="20" w:line="276" w:lineRule="auto"/>
        <w:jc w:val="left"/>
        <w:rPr>
          <w:rFonts w:ascii="Arial" w:hAnsi="Arial" w:cs="Arial"/>
          <w:b/>
          <w:bCs/>
          <w:color w:val="auto"/>
          <w:sz w:val="24"/>
          <w:highlight w:val="none"/>
        </w:rPr>
      </w:pPr>
      <w:r>
        <w:rPr>
          <w:rFonts w:hint="eastAsia" w:ascii="Arial" w:hAnsi="Arial" w:cs="Arial"/>
          <w:b/>
          <w:bCs/>
          <w:color w:val="auto"/>
          <w:sz w:val="24"/>
          <w:highlight w:val="none"/>
        </w:rPr>
        <w:t>八、电气专业要求（含弱电专业）</w:t>
      </w:r>
    </w:p>
    <w:p w14:paraId="02AFBB4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4414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72B0F06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59528B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26BA7F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41E4B1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327D3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5A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0E98512C">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8</w:t>
            </w:r>
          </w:p>
        </w:tc>
        <w:tc>
          <w:tcPr>
            <w:tcW w:w="6422" w:type="dxa"/>
            <w:vAlign w:val="center"/>
          </w:tcPr>
          <w:p w14:paraId="2F143E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总体要求：按图纸施工，配电箱、电线、线管、开关、插座安装要求符合国家有关标准和规范。</w:t>
            </w:r>
          </w:p>
        </w:tc>
        <w:tc>
          <w:tcPr>
            <w:tcW w:w="949" w:type="dxa"/>
            <w:vAlign w:val="center"/>
          </w:tcPr>
          <w:p w14:paraId="5E9DA85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535D9C12">
            <w:pPr>
              <w:spacing w:before="62" w:beforeLines="20" w:after="62" w:afterLines="20" w:line="276" w:lineRule="auto"/>
              <w:jc w:val="left"/>
              <w:rPr>
                <w:rFonts w:ascii="Arial" w:hAnsi="Arial" w:cs="Arial"/>
                <w:color w:val="auto"/>
                <w:sz w:val="24"/>
                <w:highlight w:val="none"/>
              </w:rPr>
            </w:pPr>
          </w:p>
        </w:tc>
      </w:tr>
    </w:tbl>
    <w:p w14:paraId="1CD88FBC">
      <w:pPr>
        <w:spacing w:before="62" w:beforeLines="20" w:after="62" w:afterLines="20" w:line="276" w:lineRule="auto"/>
        <w:jc w:val="left"/>
        <w:rPr>
          <w:rFonts w:ascii="Arial" w:hAnsi="Arial" w:cs="Arial"/>
          <w:color w:val="auto"/>
          <w:sz w:val="24"/>
          <w:highlight w:val="none"/>
        </w:rPr>
      </w:pPr>
    </w:p>
    <w:p w14:paraId="204D682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8.1</w:t>
      </w:r>
      <w:r>
        <w:rPr>
          <w:rFonts w:ascii="Arial" w:hAnsi="Arial" w:cs="Arial"/>
          <w:color w:val="auto"/>
          <w:sz w:val="24"/>
          <w:highlight w:val="none"/>
        </w:rPr>
        <w:t>灯具与开关安装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4B49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59CE3F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1CF5E1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072A61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049445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E7307A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0AA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1DE80F3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▲URS8.1-01</w:t>
            </w:r>
          </w:p>
        </w:tc>
        <w:tc>
          <w:tcPr>
            <w:tcW w:w="6672" w:type="dxa"/>
            <w:vAlign w:val="center"/>
          </w:tcPr>
          <w:p w14:paraId="19D413B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灯具：吸顶式/全密封/超薄型/LED平板净化灯,使用年限大于3年，光衰减不得高于80%。成排安装的灯具，中心线允许偏差不超过5mm。（紫外灯灯管吊装高度距离地面1.8m-2.2m，安装数量&gt;1.5W/m</w:t>
            </w:r>
            <w:r>
              <w:rPr>
                <w:rFonts w:hint="eastAsia" w:ascii="Arial" w:hAnsi="Arial" w:cs="Arial"/>
                <w:color w:val="auto"/>
                <w:szCs w:val="21"/>
                <w:highlight w:val="none"/>
                <w:vertAlign w:val="superscript"/>
              </w:rPr>
              <w:t>3</w:t>
            </w:r>
            <w:r>
              <w:rPr>
                <w:rFonts w:hint="eastAsia" w:ascii="Arial" w:hAnsi="Arial" w:cs="Arial"/>
                <w:color w:val="auto"/>
                <w:sz w:val="24"/>
                <w:highlight w:val="none"/>
              </w:rPr>
              <w:t>，使用中紫外线灯辐照强度≥70μW/cm</w:t>
            </w:r>
            <w:r>
              <w:rPr>
                <w:rFonts w:hint="eastAsia" w:ascii="Arial" w:hAnsi="Arial" w:cs="Arial"/>
                <w:color w:val="auto"/>
                <w:sz w:val="24"/>
                <w:highlight w:val="none"/>
                <w:vertAlign w:val="superscript"/>
              </w:rPr>
              <w:t>2</w:t>
            </w:r>
            <w:r>
              <w:rPr>
                <w:rFonts w:hint="eastAsia" w:ascii="Arial" w:hAnsi="Arial" w:cs="Arial"/>
                <w:color w:val="auto"/>
                <w:sz w:val="24"/>
                <w:highlight w:val="none"/>
              </w:rPr>
              <w:t>；</w:t>
            </w:r>
            <w:r>
              <w:rPr>
                <w:rFonts w:ascii="Arial" w:hAnsi="Arial" w:cs="Arial"/>
                <w:color w:val="auto"/>
                <w:sz w:val="24"/>
                <w:highlight w:val="none"/>
              </w:rPr>
              <w:t>WS/T 367—2012《医疗机构消毒技术规范》</w:t>
            </w:r>
            <w:r>
              <w:rPr>
                <w:rFonts w:hint="eastAsia" w:ascii="Arial" w:hAnsi="Arial" w:cs="Arial"/>
                <w:color w:val="auto"/>
                <w:sz w:val="24"/>
                <w:highlight w:val="none"/>
              </w:rPr>
              <w:t>）</w:t>
            </w:r>
          </w:p>
        </w:tc>
        <w:tc>
          <w:tcPr>
            <w:tcW w:w="992" w:type="dxa"/>
            <w:vAlign w:val="center"/>
          </w:tcPr>
          <w:p w14:paraId="34F57F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18F65F6">
            <w:pPr>
              <w:spacing w:before="62" w:beforeLines="20" w:after="62" w:afterLines="20" w:line="276" w:lineRule="auto"/>
              <w:jc w:val="left"/>
              <w:rPr>
                <w:rFonts w:ascii="Arial" w:hAnsi="Arial" w:cs="Arial"/>
                <w:color w:val="auto"/>
                <w:sz w:val="24"/>
                <w:highlight w:val="none"/>
              </w:rPr>
            </w:pPr>
          </w:p>
        </w:tc>
      </w:tr>
      <w:tr w14:paraId="20B4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11B7688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URS8.1-02</w:t>
            </w:r>
          </w:p>
        </w:tc>
        <w:tc>
          <w:tcPr>
            <w:tcW w:w="6672" w:type="dxa"/>
            <w:vAlign w:val="center"/>
          </w:tcPr>
          <w:p w14:paraId="32AAFBB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开关插座：，开关、插座均采用知名品牌产品，塑料绝缘材料阻燃性能应符合国家认证及安全标准。</w:t>
            </w:r>
          </w:p>
        </w:tc>
        <w:tc>
          <w:tcPr>
            <w:tcW w:w="992" w:type="dxa"/>
            <w:vAlign w:val="center"/>
          </w:tcPr>
          <w:p w14:paraId="1B4F1F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1E28D49">
            <w:pPr>
              <w:spacing w:before="62" w:beforeLines="20" w:after="62" w:afterLines="20" w:line="276" w:lineRule="auto"/>
              <w:jc w:val="left"/>
              <w:rPr>
                <w:rFonts w:ascii="Arial" w:hAnsi="Arial" w:cs="Arial"/>
                <w:color w:val="auto"/>
                <w:sz w:val="24"/>
                <w:highlight w:val="none"/>
              </w:rPr>
            </w:pPr>
          </w:p>
        </w:tc>
      </w:tr>
      <w:tr w14:paraId="5281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F32CB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URS8.1-03</w:t>
            </w:r>
          </w:p>
        </w:tc>
        <w:tc>
          <w:tcPr>
            <w:tcW w:w="6672" w:type="dxa"/>
            <w:vAlign w:val="center"/>
          </w:tcPr>
          <w:p w14:paraId="13CB57C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各种标志灯的指示方向正确无误，应暗装，应急灯必须灵敏可靠。</w:t>
            </w:r>
          </w:p>
        </w:tc>
        <w:tc>
          <w:tcPr>
            <w:tcW w:w="992" w:type="dxa"/>
            <w:vAlign w:val="center"/>
          </w:tcPr>
          <w:p w14:paraId="7D95D9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08CD4AF">
            <w:pPr>
              <w:spacing w:before="62" w:beforeLines="20" w:after="62" w:afterLines="20" w:line="276" w:lineRule="auto"/>
              <w:jc w:val="left"/>
              <w:rPr>
                <w:rFonts w:ascii="Arial" w:hAnsi="Arial" w:cs="Arial"/>
                <w:color w:val="auto"/>
                <w:sz w:val="24"/>
                <w:highlight w:val="none"/>
              </w:rPr>
            </w:pPr>
          </w:p>
        </w:tc>
      </w:tr>
      <w:tr w14:paraId="1B43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5AF4C2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▲URS8.1-04</w:t>
            </w:r>
          </w:p>
        </w:tc>
        <w:tc>
          <w:tcPr>
            <w:tcW w:w="6672" w:type="dxa"/>
          </w:tcPr>
          <w:p w14:paraId="7CA11BB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线管：导线穿线管或（槽）要求管径、厚度均匀，表面无锈蚀，镀锌层覆盖完整，管（槽）无压扁、内壁光滑，并有材质检验报告单及产品合格证，镀锌穿线管厚度不得低于图纸要求或国家标准。</w:t>
            </w:r>
          </w:p>
        </w:tc>
        <w:tc>
          <w:tcPr>
            <w:tcW w:w="992" w:type="dxa"/>
            <w:vAlign w:val="center"/>
          </w:tcPr>
          <w:p w14:paraId="37F18C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092FCEB">
            <w:pPr>
              <w:spacing w:before="62" w:beforeLines="20" w:after="62" w:afterLines="20" w:line="276" w:lineRule="auto"/>
              <w:jc w:val="left"/>
              <w:rPr>
                <w:rFonts w:ascii="Arial" w:hAnsi="Arial" w:cs="Arial"/>
                <w:color w:val="auto"/>
                <w:sz w:val="24"/>
                <w:highlight w:val="none"/>
              </w:rPr>
            </w:pPr>
          </w:p>
        </w:tc>
      </w:tr>
      <w:tr w14:paraId="3CAF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66E365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URS8.1-05</w:t>
            </w:r>
          </w:p>
        </w:tc>
        <w:tc>
          <w:tcPr>
            <w:tcW w:w="6672" w:type="dxa"/>
          </w:tcPr>
          <w:p w14:paraId="05A4A5E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绝缘导线及电缆：应符合国家制定响应技术安全标准，不同规格的绝缘导线及电缆都应有生产认证、产品生产许可证、线径标准、绝缘厚度均匀，外护绝缘层有明显标志和制造厂标。</w:t>
            </w:r>
          </w:p>
        </w:tc>
        <w:tc>
          <w:tcPr>
            <w:tcW w:w="992" w:type="dxa"/>
            <w:vAlign w:val="center"/>
          </w:tcPr>
          <w:p w14:paraId="785535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8AD63BF">
            <w:pPr>
              <w:spacing w:before="62" w:beforeLines="20" w:after="62" w:afterLines="20" w:line="276" w:lineRule="auto"/>
              <w:jc w:val="left"/>
              <w:rPr>
                <w:rFonts w:ascii="Arial" w:hAnsi="Arial" w:cs="Arial"/>
                <w:color w:val="auto"/>
                <w:sz w:val="24"/>
                <w:highlight w:val="none"/>
              </w:rPr>
            </w:pPr>
          </w:p>
        </w:tc>
      </w:tr>
      <w:tr w14:paraId="77B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519CB2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URS8.1-06</w:t>
            </w:r>
          </w:p>
        </w:tc>
        <w:tc>
          <w:tcPr>
            <w:tcW w:w="6672" w:type="dxa"/>
          </w:tcPr>
          <w:p w14:paraId="41A0A2F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灯具结构必须便于清扫，便于在顶棚下更换灯管及检修；</w:t>
            </w:r>
          </w:p>
        </w:tc>
        <w:tc>
          <w:tcPr>
            <w:tcW w:w="992" w:type="dxa"/>
            <w:vAlign w:val="center"/>
          </w:tcPr>
          <w:p w14:paraId="77F4CB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68094C93">
            <w:pPr>
              <w:spacing w:before="62" w:beforeLines="20" w:after="62" w:afterLines="20" w:line="276" w:lineRule="auto"/>
              <w:jc w:val="left"/>
              <w:rPr>
                <w:rFonts w:ascii="Arial" w:hAnsi="Arial" w:cs="Arial"/>
                <w:color w:val="auto"/>
                <w:sz w:val="24"/>
                <w:highlight w:val="none"/>
              </w:rPr>
            </w:pPr>
          </w:p>
        </w:tc>
      </w:tr>
      <w:tr w14:paraId="45C5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70CB3E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URS8.1-07</w:t>
            </w:r>
          </w:p>
        </w:tc>
        <w:tc>
          <w:tcPr>
            <w:tcW w:w="6672" w:type="dxa"/>
          </w:tcPr>
          <w:p w14:paraId="040AEFA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按照图纸配备走廊安装安全指示灯及出口指示灯。</w:t>
            </w:r>
          </w:p>
        </w:tc>
        <w:tc>
          <w:tcPr>
            <w:tcW w:w="992" w:type="dxa"/>
            <w:vAlign w:val="center"/>
          </w:tcPr>
          <w:p w14:paraId="5D0280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C444D35">
            <w:pPr>
              <w:spacing w:before="62" w:beforeLines="20" w:after="62" w:afterLines="20" w:line="276" w:lineRule="auto"/>
              <w:jc w:val="left"/>
              <w:rPr>
                <w:rFonts w:ascii="Arial" w:hAnsi="Arial" w:cs="Arial"/>
                <w:color w:val="auto"/>
                <w:sz w:val="24"/>
                <w:highlight w:val="none"/>
              </w:rPr>
            </w:pPr>
          </w:p>
        </w:tc>
      </w:tr>
      <w:tr w14:paraId="4FA9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3150BA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URS8.1-08</w:t>
            </w:r>
          </w:p>
        </w:tc>
        <w:tc>
          <w:tcPr>
            <w:tcW w:w="6672" w:type="dxa"/>
          </w:tcPr>
          <w:p w14:paraId="5A0F493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有产品选择采购到现场必须按国家相关规定执行，具有产品生产许可证、产品合格证、企业法人营业执照及国家强制性产品认证证书。</w:t>
            </w:r>
          </w:p>
        </w:tc>
        <w:tc>
          <w:tcPr>
            <w:tcW w:w="992" w:type="dxa"/>
            <w:vAlign w:val="center"/>
          </w:tcPr>
          <w:p w14:paraId="543E9E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0BEBF18">
            <w:pPr>
              <w:spacing w:before="62" w:beforeLines="20" w:after="62" w:afterLines="20" w:line="276" w:lineRule="auto"/>
              <w:jc w:val="left"/>
              <w:rPr>
                <w:rFonts w:ascii="Arial" w:hAnsi="Arial" w:cs="Arial"/>
                <w:color w:val="auto"/>
                <w:sz w:val="24"/>
                <w:highlight w:val="none"/>
              </w:rPr>
            </w:pPr>
          </w:p>
        </w:tc>
      </w:tr>
      <w:tr w14:paraId="43C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84E6C6D">
            <w:pPr>
              <w:rPr>
                <w:color w:val="auto"/>
                <w:highlight w:val="none"/>
              </w:rPr>
            </w:pPr>
            <w:r>
              <w:rPr>
                <w:rFonts w:hint="eastAsia" w:ascii="Arial" w:hAnsi="Arial" w:cs="Arial"/>
                <w:color w:val="auto"/>
                <w:sz w:val="24"/>
                <w:highlight w:val="none"/>
              </w:rPr>
              <w:t>URS8.1-09</w:t>
            </w:r>
          </w:p>
        </w:tc>
        <w:tc>
          <w:tcPr>
            <w:tcW w:w="6672" w:type="dxa"/>
            <w:vAlign w:val="center"/>
          </w:tcPr>
          <w:p w14:paraId="4B7AE03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灯具安装在洁净实验室的吊顶板时，板材开孔后需做密封处理，防止冷热气体影响，提供二次方案，并经双方确认，保证灯具内部不会因内外部因素而进水。灯罩安装时，保证里面干净。</w:t>
            </w:r>
          </w:p>
        </w:tc>
        <w:tc>
          <w:tcPr>
            <w:tcW w:w="992" w:type="dxa"/>
          </w:tcPr>
          <w:p w14:paraId="51F937AD">
            <w:pPr>
              <w:rPr>
                <w:color w:val="auto"/>
                <w:highlight w:val="none"/>
              </w:rPr>
            </w:pPr>
            <w:r>
              <w:rPr>
                <w:rFonts w:ascii="Arial" w:hAnsi="Arial" w:cs="Arial"/>
                <w:color w:val="auto"/>
                <w:sz w:val="24"/>
                <w:highlight w:val="none"/>
              </w:rPr>
              <w:t>必需</w:t>
            </w:r>
          </w:p>
        </w:tc>
        <w:tc>
          <w:tcPr>
            <w:tcW w:w="1550" w:type="dxa"/>
            <w:vAlign w:val="center"/>
          </w:tcPr>
          <w:p w14:paraId="7ED41A50">
            <w:pPr>
              <w:spacing w:before="62" w:beforeLines="20" w:after="62" w:afterLines="20" w:line="276" w:lineRule="auto"/>
              <w:jc w:val="left"/>
              <w:rPr>
                <w:rFonts w:ascii="Arial" w:hAnsi="Arial" w:cs="Arial"/>
                <w:color w:val="auto"/>
                <w:sz w:val="24"/>
                <w:highlight w:val="none"/>
              </w:rPr>
            </w:pPr>
          </w:p>
        </w:tc>
      </w:tr>
      <w:tr w14:paraId="7D87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F4A37DB">
            <w:pPr>
              <w:rPr>
                <w:color w:val="auto"/>
                <w:highlight w:val="none"/>
              </w:rPr>
            </w:pPr>
            <w:r>
              <w:rPr>
                <w:rFonts w:hint="eastAsia" w:ascii="Arial" w:hAnsi="Arial" w:cs="Arial"/>
                <w:color w:val="auto"/>
                <w:sz w:val="24"/>
                <w:highlight w:val="none"/>
              </w:rPr>
              <w:t>URS8.1-10</w:t>
            </w:r>
          </w:p>
        </w:tc>
        <w:tc>
          <w:tcPr>
            <w:tcW w:w="6672" w:type="dxa"/>
            <w:vAlign w:val="center"/>
          </w:tcPr>
          <w:p w14:paraId="4C413A5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防爆区内的灯具、</w:t>
            </w:r>
            <w:r>
              <w:rPr>
                <w:rFonts w:ascii="Arial" w:hAnsi="Arial" w:cs="Arial"/>
                <w:color w:val="auto"/>
                <w:sz w:val="24"/>
                <w:highlight w:val="none"/>
              </w:rPr>
              <w:t>开关、插座必须是防爆型。</w:t>
            </w:r>
          </w:p>
        </w:tc>
        <w:tc>
          <w:tcPr>
            <w:tcW w:w="992" w:type="dxa"/>
          </w:tcPr>
          <w:p w14:paraId="4FCB357A">
            <w:pPr>
              <w:rPr>
                <w:color w:val="auto"/>
                <w:highlight w:val="none"/>
              </w:rPr>
            </w:pPr>
            <w:r>
              <w:rPr>
                <w:rFonts w:ascii="Arial" w:hAnsi="Arial" w:cs="Arial"/>
                <w:color w:val="auto"/>
                <w:sz w:val="24"/>
                <w:highlight w:val="none"/>
              </w:rPr>
              <w:t>必需</w:t>
            </w:r>
          </w:p>
        </w:tc>
        <w:tc>
          <w:tcPr>
            <w:tcW w:w="1550" w:type="dxa"/>
            <w:vAlign w:val="center"/>
          </w:tcPr>
          <w:p w14:paraId="7233CA46">
            <w:pPr>
              <w:spacing w:before="62" w:beforeLines="20" w:after="62" w:afterLines="20" w:line="276" w:lineRule="auto"/>
              <w:jc w:val="left"/>
              <w:rPr>
                <w:rFonts w:ascii="Arial" w:hAnsi="Arial" w:cs="Arial"/>
                <w:color w:val="auto"/>
                <w:sz w:val="24"/>
                <w:highlight w:val="none"/>
              </w:rPr>
            </w:pPr>
          </w:p>
        </w:tc>
      </w:tr>
      <w:tr w14:paraId="39EB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7CCB73D">
            <w:pPr>
              <w:rPr>
                <w:rFonts w:ascii="Arial" w:hAnsi="Arial" w:cs="Arial"/>
                <w:color w:val="auto"/>
                <w:sz w:val="24"/>
                <w:highlight w:val="none"/>
              </w:rPr>
            </w:pPr>
            <w:r>
              <w:rPr>
                <w:rFonts w:hint="eastAsia" w:ascii="Arial" w:hAnsi="Arial" w:cs="Arial"/>
                <w:color w:val="auto"/>
                <w:sz w:val="24"/>
                <w:highlight w:val="none"/>
              </w:rPr>
              <w:t>URS8.1-11</w:t>
            </w:r>
          </w:p>
        </w:tc>
        <w:tc>
          <w:tcPr>
            <w:tcW w:w="6672" w:type="dxa"/>
            <w:vAlign w:val="center"/>
          </w:tcPr>
          <w:p w14:paraId="5B8347F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有感染风险的区域需要设置紫外灯，且需要有定时开关</w:t>
            </w:r>
          </w:p>
        </w:tc>
        <w:tc>
          <w:tcPr>
            <w:tcW w:w="992" w:type="dxa"/>
          </w:tcPr>
          <w:p w14:paraId="73AE8EF4">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799CE62">
            <w:pPr>
              <w:spacing w:before="62" w:beforeLines="20" w:after="62" w:afterLines="20" w:line="276" w:lineRule="auto"/>
              <w:jc w:val="left"/>
              <w:rPr>
                <w:rFonts w:ascii="Arial" w:hAnsi="Arial" w:cs="Arial"/>
                <w:color w:val="auto"/>
                <w:sz w:val="24"/>
                <w:highlight w:val="none"/>
              </w:rPr>
            </w:pPr>
          </w:p>
        </w:tc>
      </w:tr>
    </w:tbl>
    <w:p w14:paraId="61D571D6">
      <w:pPr>
        <w:spacing w:before="62" w:beforeLines="20" w:after="62" w:afterLines="20" w:line="276" w:lineRule="auto"/>
        <w:jc w:val="left"/>
        <w:rPr>
          <w:rFonts w:ascii="Arial" w:hAnsi="Arial" w:cs="Arial"/>
          <w:color w:val="auto"/>
          <w:sz w:val="24"/>
          <w:highlight w:val="none"/>
        </w:rPr>
      </w:pPr>
    </w:p>
    <w:p w14:paraId="7B08620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8.2</w:t>
      </w:r>
      <w:r>
        <w:rPr>
          <w:rFonts w:hint="eastAsia" w:ascii="宋体" w:hAnsi="宋体"/>
          <w:b/>
          <w:bCs/>
          <w:color w:val="auto"/>
          <w:highlight w:val="none"/>
        </w:rPr>
        <w:t>动力配电系统</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1312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5B7E21E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42C1E2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0DAE7C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246520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5B6D2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95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5280507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▲URS8.2-01</w:t>
            </w:r>
          </w:p>
        </w:tc>
        <w:tc>
          <w:tcPr>
            <w:tcW w:w="6672" w:type="dxa"/>
          </w:tcPr>
          <w:p w14:paraId="20E3C08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电缆与电线均采用国标产品。电缆与电线型号符合设计图纸要求。铜的材质为一级铜；绝缘层不得用再生材料。</w:t>
            </w:r>
          </w:p>
        </w:tc>
        <w:tc>
          <w:tcPr>
            <w:tcW w:w="992" w:type="dxa"/>
            <w:vAlign w:val="center"/>
          </w:tcPr>
          <w:p w14:paraId="0ED0C44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4F1E9CB">
            <w:pPr>
              <w:spacing w:before="62" w:beforeLines="20" w:after="62" w:afterLines="20" w:line="276" w:lineRule="auto"/>
              <w:jc w:val="left"/>
              <w:rPr>
                <w:rFonts w:ascii="Arial" w:hAnsi="Arial" w:cs="Arial"/>
                <w:color w:val="auto"/>
                <w:sz w:val="24"/>
                <w:highlight w:val="none"/>
              </w:rPr>
            </w:pPr>
          </w:p>
        </w:tc>
      </w:tr>
      <w:tr w14:paraId="47E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1360DE5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URS8.2-02</w:t>
            </w:r>
          </w:p>
        </w:tc>
        <w:tc>
          <w:tcPr>
            <w:tcW w:w="6672" w:type="dxa"/>
          </w:tcPr>
          <w:p w14:paraId="5BF3C4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配电电源采用交流50Hz，220/380V，带电导体系统型式为三相五线制。</w:t>
            </w:r>
          </w:p>
        </w:tc>
        <w:tc>
          <w:tcPr>
            <w:tcW w:w="992" w:type="dxa"/>
            <w:vAlign w:val="center"/>
          </w:tcPr>
          <w:p w14:paraId="55AE44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F6B1A1F">
            <w:pPr>
              <w:spacing w:before="62" w:beforeLines="20" w:after="62" w:afterLines="20" w:line="276" w:lineRule="auto"/>
              <w:jc w:val="left"/>
              <w:rPr>
                <w:rFonts w:ascii="Arial" w:hAnsi="Arial" w:cs="Arial"/>
                <w:color w:val="auto"/>
                <w:sz w:val="24"/>
                <w:highlight w:val="none"/>
              </w:rPr>
            </w:pPr>
          </w:p>
        </w:tc>
      </w:tr>
      <w:tr w14:paraId="52F7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AE344F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URS8.2-03</w:t>
            </w:r>
          </w:p>
        </w:tc>
        <w:tc>
          <w:tcPr>
            <w:tcW w:w="6672" w:type="dxa"/>
          </w:tcPr>
          <w:p w14:paraId="7D192F3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1、所有电缆和电线必须有出厂合格证。敷设的电缆和电线应便于检查、维修、更换。</w:t>
            </w:r>
          </w:p>
          <w:p w14:paraId="0F73191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2、线径及耐压均符合设计要求，线色应正确，相线为黄色、绿色、红色，零线为黑色，PE线为黄绿双色线。</w:t>
            </w:r>
          </w:p>
          <w:p w14:paraId="2337E79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3、不同回路不同电压的导线不得穿入同一管内，同一交流电回路的导线必须穿过同一根管内。</w:t>
            </w:r>
          </w:p>
          <w:p w14:paraId="5C48AA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4、导线在管内不得有接头和扭结，接头必须在接线盒内。所有分支连接和中间连接均应采用搪锡焊。</w:t>
            </w:r>
          </w:p>
          <w:p w14:paraId="61D6FE7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5、管内导线截面不超过管子截面的40％。管内导线根数最多不超过8根。穿线完毕，必须进行绝缘测试并做好记录。</w:t>
            </w:r>
          </w:p>
        </w:tc>
        <w:tc>
          <w:tcPr>
            <w:tcW w:w="992" w:type="dxa"/>
            <w:vAlign w:val="center"/>
          </w:tcPr>
          <w:p w14:paraId="6128F88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ED185E3">
            <w:pPr>
              <w:spacing w:before="62" w:beforeLines="20" w:after="62" w:afterLines="20" w:line="276" w:lineRule="auto"/>
              <w:jc w:val="left"/>
              <w:rPr>
                <w:rFonts w:ascii="Arial" w:hAnsi="Arial" w:cs="Arial"/>
                <w:color w:val="auto"/>
                <w:sz w:val="24"/>
                <w:highlight w:val="none"/>
              </w:rPr>
            </w:pPr>
          </w:p>
        </w:tc>
      </w:tr>
      <w:tr w14:paraId="70E8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1A94EC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URS8.2-04</w:t>
            </w:r>
          </w:p>
        </w:tc>
        <w:tc>
          <w:tcPr>
            <w:tcW w:w="6672" w:type="dxa"/>
          </w:tcPr>
          <w:p w14:paraId="372437D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电缆桥架采用槽式和托盘式电缆桥架。配套提供桥架的支架、盖板、弯头、三通，具体符合设计要求。</w:t>
            </w:r>
          </w:p>
        </w:tc>
        <w:tc>
          <w:tcPr>
            <w:tcW w:w="992" w:type="dxa"/>
            <w:vAlign w:val="center"/>
          </w:tcPr>
          <w:p w14:paraId="18D1F3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80412FC">
            <w:pPr>
              <w:spacing w:before="62" w:beforeLines="20" w:after="62" w:afterLines="20" w:line="276" w:lineRule="auto"/>
              <w:jc w:val="left"/>
              <w:rPr>
                <w:rFonts w:ascii="Arial" w:hAnsi="Arial" w:cs="Arial"/>
                <w:color w:val="auto"/>
                <w:sz w:val="24"/>
                <w:highlight w:val="none"/>
              </w:rPr>
            </w:pPr>
          </w:p>
        </w:tc>
      </w:tr>
      <w:tr w14:paraId="7330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892F05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URS8.2-05</w:t>
            </w:r>
          </w:p>
        </w:tc>
        <w:tc>
          <w:tcPr>
            <w:tcW w:w="6672" w:type="dxa"/>
          </w:tcPr>
          <w:p w14:paraId="0FDE78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电缆桥架直线段长度超过30m，应留有20~30mm补偿余量，其连接采用伸缩连接板。连接板之间可靠连接接地。</w:t>
            </w:r>
          </w:p>
        </w:tc>
        <w:tc>
          <w:tcPr>
            <w:tcW w:w="992" w:type="dxa"/>
            <w:vAlign w:val="center"/>
          </w:tcPr>
          <w:p w14:paraId="4EDFD7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C0B7A25">
            <w:pPr>
              <w:spacing w:before="62" w:beforeLines="20" w:after="62" w:afterLines="20" w:line="276" w:lineRule="auto"/>
              <w:jc w:val="left"/>
              <w:rPr>
                <w:rFonts w:ascii="Arial" w:hAnsi="Arial" w:cs="Arial"/>
                <w:color w:val="auto"/>
                <w:sz w:val="24"/>
                <w:highlight w:val="none"/>
              </w:rPr>
            </w:pPr>
          </w:p>
        </w:tc>
      </w:tr>
      <w:tr w14:paraId="1EB5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EEBBE5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6672" w:type="dxa"/>
          </w:tcPr>
          <w:p w14:paraId="2697E0C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分支电缆桥架采用大于200mm*1.5mm冷轧钢板制作，而主电缆桥架采用不低于2.0mm冷轧钢板制作。</w:t>
            </w:r>
          </w:p>
        </w:tc>
        <w:tc>
          <w:tcPr>
            <w:tcW w:w="992" w:type="dxa"/>
            <w:vAlign w:val="center"/>
          </w:tcPr>
          <w:p w14:paraId="4B7CF9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92CEBC4">
            <w:pPr>
              <w:spacing w:before="62" w:beforeLines="20" w:after="62" w:afterLines="20" w:line="276" w:lineRule="auto"/>
              <w:jc w:val="left"/>
              <w:rPr>
                <w:rFonts w:ascii="Arial" w:hAnsi="Arial" w:cs="Arial"/>
                <w:color w:val="auto"/>
                <w:sz w:val="24"/>
                <w:highlight w:val="none"/>
              </w:rPr>
            </w:pPr>
          </w:p>
        </w:tc>
      </w:tr>
      <w:tr w14:paraId="021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816244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6672" w:type="dxa"/>
          </w:tcPr>
          <w:p w14:paraId="78BBD9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过防火墙处应按要求作相应处理.（见国标94D401-3《爆炸和火灾危险环境电气线路和电气设备安装》）。由非洁净区进出洁净区的电缆桥架、管线须作密封处理，垂直敷设至配电箱（柜）的电缆桥架待箱体定位后再安装。未标注安装尺寸的电缆桥架距柱边或墙边100mm。</w:t>
            </w:r>
          </w:p>
        </w:tc>
        <w:tc>
          <w:tcPr>
            <w:tcW w:w="992" w:type="dxa"/>
            <w:vAlign w:val="center"/>
          </w:tcPr>
          <w:p w14:paraId="2843E8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40DAE5C">
            <w:pPr>
              <w:spacing w:before="62" w:beforeLines="20" w:after="62" w:afterLines="20" w:line="276" w:lineRule="auto"/>
              <w:jc w:val="left"/>
              <w:rPr>
                <w:rFonts w:ascii="Arial" w:hAnsi="Arial" w:cs="Arial"/>
                <w:color w:val="auto"/>
                <w:sz w:val="24"/>
                <w:highlight w:val="none"/>
              </w:rPr>
            </w:pPr>
          </w:p>
        </w:tc>
      </w:tr>
      <w:tr w14:paraId="324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A2D21D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6672" w:type="dxa"/>
          </w:tcPr>
          <w:p w14:paraId="061C7AF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技术夹层布线应满足电气规范要求，布线合理；洁净区用电线路与非洁净区线路应分开敷设；主要工作区与辅助工作区线路应分开敷设；不同工艺要求的线路应分开敷设。</w:t>
            </w:r>
          </w:p>
        </w:tc>
        <w:tc>
          <w:tcPr>
            <w:tcW w:w="992" w:type="dxa"/>
            <w:vAlign w:val="center"/>
          </w:tcPr>
          <w:p w14:paraId="49CC63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BE6D1E6">
            <w:pPr>
              <w:spacing w:before="62" w:beforeLines="20" w:after="62" w:afterLines="20" w:line="276" w:lineRule="auto"/>
              <w:jc w:val="left"/>
              <w:rPr>
                <w:rFonts w:ascii="Arial" w:hAnsi="Arial" w:cs="Arial"/>
                <w:color w:val="auto"/>
                <w:sz w:val="24"/>
                <w:highlight w:val="none"/>
              </w:rPr>
            </w:pPr>
          </w:p>
        </w:tc>
      </w:tr>
      <w:tr w14:paraId="1F2D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3FFA06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6672" w:type="dxa"/>
          </w:tcPr>
          <w:p w14:paraId="654F694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进入洁净室的穿线管口采用无腐蚀、不起尘和不燃材料密封。</w:t>
            </w:r>
          </w:p>
        </w:tc>
        <w:tc>
          <w:tcPr>
            <w:tcW w:w="992" w:type="dxa"/>
            <w:vAlign w:val="center"/>
          </w:tcPr>
          <w:p w14:paraId="43F501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1D72193">
            <w:pPr>
              <w:spacing w:before="62" w:beforeLines="20" w:after="62" w:afterLines="20" w:line="276" w:lineRule="auto"/>
              <w:jc w:val="left"/>
              <w:rPr>
                <w:rFonts w:ascii="Arial" w:hAnsi="Arial" w:cs="Arial"/>
                <w:color w:val="auto"/>
                <w:sz w:val="24"/>
                <w:highlight w:val="none"/>
              </w:rPr>
            </w:pPr>
          </w:p>
        </w:tc>
      </w:tr>
    </w:tbl>
    <w:p w14:paraId="6B0A2F8E">
      <w:pPr>
        <w:spacing w:line="340" w:lineRule="exact"/>
        <w:rPr>
          <w:rFonts w:ascii="Arial" w:hAnsi="Arial" w:cs="Arial"/>
          <w:color w:val="auto"/>
          <w:sz w:val="24"/>
          <w:highlight w:val="none"/>
        </w:rPr>
      </w:pPr>
    </w:p>
    <w:p w14:paraId="7691E41E">
      <w:pPr>
        <w:spacing w:before="62" w:beforeLines="20" w:after="62" w:afterLines="20" w:line="276" w:lineRule="auto"/>
        <w:jc w:val="left"/>
        <w:rPr>
          <w:rFonts w:ascii="Arial" w:hAnsi="Arial" w:cs="Arial"/>
          <w:color w:val="auto"/>
          <w:sz w:val="24"/>
          <w:highlight w:val="none"/>
        </w:rPr>
      </w:pPr>
    </w:p>
    <w:p w14:paraId="0082D6C9">
      <w:pPr>
        <w:spacing w:line="340" w:lineRule="exact"/>
        <w:rPr>
          <w:rFonts w:hint="eastAsia" w:ascii="宋体" w:hAnsi="宋体"/>
          <w:b/>
          <w:bCs/>
          <w:color w:val="auto"/>
          <w:szCs w:val="21"/>
          <w:highlight w:val="none"/>
        </w:rPr>
      </w:pPr>
      <w:r>
        <w:rPr>
          <w:rFonts w:hint="eastAsia" w:ascii="Arial" w:hAnsi="Arial" w:cs="Arial"/>
          <w:color w:val="auto"/>
          <w:sz w:val="24"/>
          <w:highlight w:val="none"/>
        </w:rPr>
        <w:t>8.3综合布线系统</w:t>
      </w:r>
    </w:p>
    <w:tbl>
      <w:tblPr>
        <w:tblStyle w:val="74"/>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6E30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016D21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672" w:type="dxa"/>
            <w:tcBorders>
              <w:bottom w:val="single" w:color="auto" w:sz="4" w:space="0"/>
            </w:tcBorders>
            <w:shd w:val="pct20" w:color="auto" w:fill="FFFFFF"/>
            <w:vAlign w:val="center"/>
          </w:tcPr>
          <w:p w14:paraId="1671609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18FC0F8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25E3AAE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B4447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09D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7ED52CF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URS8.3-01</w:t>
            </w:r>
          </w:p>
        </w:tc>
        <w:tc>
          <w:tcPr>
            <w:tcW w:w="6672" w:type="dxa"/>
          </w:tcPr>
          <w:p w14:paraId="5C560691">
            <w:pPr>
              <w:spacing w:line="340" w:lineRule="exact"/>
              <w:rPr>
                <w:rFonts w:hint="eastAsia" w:ascii="宋体" w:hAnsi="宋体" w:cs="宋体"/>
                <w:color w:val="auto"/>
                <w:sz w:val="24"/>
                <w:highlight w:val="none"/>
              </w:rPr>
            </w:pPr>
            <w:r>
              <w:rPr>
                <w:rFonts w:hint="eastAsia" w:ascii="宋体" w:hAnsi="宋体" w:cs="宋体"/>
                <w:color w:val="auto"/>
                <w:sz w:val="24"/>
                <w:highlight w:val="none"/>
              </w:rPr>
              <w:t>符合最新的国际标准ISO/IEC11801布线标准，保证计算机网络高速、可靠的信息传输要求，并具有高度灵活性、可靠性、综合性、易扩容性。所有网线采用超六类网线</w:t>
            </w:r>
          </w:p>
          <w:p w14:paraId="6DB58EFB">
            <w:pPr>
              <w:spacing w:line="340" w:lineRule="exact"/>
              <w:rPr>
                <w:rFonts w:hint="eastAsia" w:ascii="宋体" w:hAnsi="宋体" w:cs="宋体"/>
                <w:color w:val="auto"/>
                <w:sz w:val="24"/>
                <w:highlight w:val="none"/>
              </w:rPr>
            </w:pPr>
          </w:p>
        </w:tc>
        <w:tc>
          <w:tcPr>
            <w:tcW w:w="992" w:type="dxa"/>
            <w:vAlign w:val="center"/>
          </w:tcPr>
          <w:p w14:paraId="6D9540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6345969">
            <w:pPr>
              <w:spacing w:before="62" w:beforeLines="20" w:after="62" w:afterLines="20" w:line="276" w:lineRule="auto"/>
              <w:jc w:val="left"/>
              <w:rPr>
                <w:rFonts w:ascii="Arial" w:hAnsi="Arial" w:cs="Arial"/>
                <w:color w:val="auto"/>
                <w:sz w:val="24"/>
                <w:highlight w:val="none"/>
              </w:rPr>
            </w:pPr>
          </w:p>
        </w:tc>
      </w:tr>
      <w:tr w14:paraId="57A8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61E5285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URS8.3-02</w:t>
            </w:r>
          </w:p>
        </w:tc>
        <w:tc>
          <w:tcPr>
            <w:tcW w:w="6672" w:type="dxa"/>
          </w:tcPr>
          <w:p w14:paraId="43A08EC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进行开放式布线，所有插座端口都支持数据通讯、话音和图像传递，设置广播多媒体等系统；能满足灵活的应用要求，即任一信息点能够方便地任意连接计算机或电话。</w:t>
            </w:r>
          </w:p>
        </w:tc>
        <w:tc>
          <w:tcPr>
            <w:tcW w:w="992" w:type="dxa"/>
            <w:vAlign w:val="center"/>
          </w:tcPr>
          <w:p w14:paraId="3DDF20F4">
            <w:pPr>
              <w:spacing w:before="62" w:beforeLines="20" w:after="62" w:afterLines="20" w:line="276" w:lineRule="auto"/>
              <w:jc w:val="left"/>
              <w:rPr>
                <w:rFonts w:ascii="Arial" w:hAnsi="Arial" w:cs="Arial"/>
                <w:color w:val="auto"/>
                <w:sz w:val="24"/>
                <w:highlight w:val="none"/>
              </w:rPr>
            </w:pPr>
          </w:p>
        </w:tc>
        <w:tc>
          <w:tcPr>
            <w:tcW w:w="1550" w:type="dxa"/>
            <w:vAlign w:val="center"/>
          </w:tcPr>
          <w:p w14:paraId="647A3986">
            <w:pPr>
              <w:spacing w:before="62" w:beforeLines="20" w:after="62" w:afterLines="20" w:line="276" w:lineRule="auto"/>
              <w:jc w:val="left"/>
              <w:rPr>
                <w:rFonts w:ascii="Arial" w:hAnsi="Arial" w:cs="Arial"/>
                <w:color w:val="auto"/>
                <w:sz w:val="24"/>
                <w:highlight w:val="none"/>
              </w:rPr>
            </w:pPr>
          </w:p>
        </w:tc>
      </w:tr>
      <w:tr w14:paraId="0D78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2D2940F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URS8.3-03</w:t>
            </w:r>
          </w:p>
        </w:tc>
        <w:tc>
          <w:tcPr>
            <w:tcW w:w="6672" w:type="dxa"/>
          </w:tcPr>
          <w:p w14:paraId="661650AD">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所有接插件都应是模块化的标准件，以方便将来有更大的发展时，很容易地将设备扩展进去。</w:t>
            </w:r>
          </w:p>
        </w:tc>
        <w:tc>
          <w:tcPr>
            <w:tcW w:w="992" w:type="dxa"/>
            <w:vAlign w:val="center"/>
          </w:tcPr>
          <w:p w14:paraId="73151B94">
            <w:pPr>
              <w:spacing w:before="62" w:beforeLines="20" w:after="62" w:afterLines="20" w:line="276" w:lineRule="auto"/>
              <w:jc w:val="left"/>
              <w:rPr>
                <w:rFonts w:ascii="Arial" w:hAnsi="Arial" w:cs="Arial"/>
                <w:color w:val="auto"/>
                <w:sz w:val="24"/>
                <w:highlight w:val="none"/>
              </w:rPr>
            </w:pPr>
          </w:p>
        </w:tc>
        <w:tc>
          <w:tcPr>
            <w:tcW w:w="1550" w:type="dxa"/>
            <w:vAlign w:val="center"/>
          </w:tcPr>
          <w:p w14:paraId="6713FDA1">
            <w:pPr>
              <w:pStyle w:val="73"/>
              <w:ind w:firstLine="420"/>
              <w:rPr>
                <w:color w:val="auto"/>
                <w:highlight w:val="none"/>
              </w:rPr>
            </w:pPr>
          </w:p>
        </w:tc>
      </w:tr>
      <w:tr w14:paraId="01A6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6644A2A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URS8.3-04</w:t>
            </w:r>
          </w:p>
        </w:tc>
        <w:tc>
          <w:tcPr>
            <w:tcW w:w="6672" w:type="dxa"/>
          </w:tcPr>
          <w:p w14:paraId="6D4DB501">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综合布线考虑摄像机监控布点位置进行布线，摄像机监控不在本包内</w:t>
            </w:r>
          </w:p>
        </w:tc>
        <w:tc>
          <w:tcPr>
            <w:tcW w:w="992" w:type="dxa"/>
            <w:vAlign w:val="center"/>
          </w:tcPr>
          <w:p w14:paraId="5AF4778A">
            <w:pPr>
              <w:spacing w:before="62" w:beforeLines="20" w:after="62" w:afterLines="20" w:line="276" w:lineRule="auto"/>
              <w:jc w:val="left"/>
              <w:rPr>
                <w:rFonts w:ascii="Arial" w:hAnsi="Arial" w:cs="Arial"/>
                <w:color w:val="auto"/>
                <w:sz w:val="24"/>
                <w:highlight w:val="none"/>
              </w:rPr>
            </w:pPr>
          </w:p>
        </w:tc>
        <w:tc>
          <w:tcPr>
            <w:tcW w:w="1550" w:type="dxa"/>
            <w:vAlign w:val="center"/>
          </w:tcPr>
          <w:p w14:paraId="4E593FA3">
            <w:pPr>
              <w:pStyle w:val="73"/>
              <w:ind w:firstLine="420"/>
              <w:rPr>
                <w:color w:val="auto"/>
                <w:highlight w:val="none"/>
              </w:rPr>
            </w:pPr>
          </w:p>
        </w:tc>
      </w:tr>
      <w:tr w14:paraId="106B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75F078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URS8.3-05</w:t>
            </w:r>
          </w:p>
        </w:tc>
        <w:tc>
          <w:tcPr>
            <w:tcW w:w="6672" w:type="dxa"/>
          </w:tcPr>
          <w:p w14:paraId="5A4C5B8B">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综合布线考虑门禁布点位置进行布线，门禁系统不在本包内</w:t>
            </w:r>
          </w:p>
        </w:tc>
        <w:tc>
          <w:tcPr>
            <w:tcW w:w="992" w:type="dxa"/>
            <w:vAlign w:val="center"/>
          </w:tcPr>
          <w:p w14:paraId="04767CA2">
            <w:pPr>
              <w:spacing w:before="62" w:beforeLines="20" w:after="62" w:afterLines="20" w:line="276" w:lineRule="auto"/>
              <w:jc w:val="left"/>
              <w:rPr>
                <w:rFonts w:ascii="Arial" w:hAnsi="Arial" w:cs="Arial"/>
                <w:color w:val="auto"/>
                <w:sz w:val="24"/>
                <w:highlight w:val="none"/>
              </w:rPr>
            </w:pPr>
          </w:p>
        </w:tc>
        <w:tc>
          <w:tcPr>
            <w:tcW w:w="1550" w:type="dxa"/>
            <w:vAlign w:val="center"/>
          </w:tcPr>
          <w:p w14:paraId="105A3B05">
            <w:pPr>
              <w:pStyle w:val="73"/>
              <w:ind w:firstLine="420"/>
              <w:rPr>
                <w:color w:val="auto"/>
                <w:highlight w:val="none"/>
              </w:rPr>
            </w:pPr>
          </w:p>
        </w:tc>
      </w:tr>
    </w:tbl>
    <w:p w14:paraId="28C212C7">
      <w:pPr>
        <w:spacing w:before="62" w:beforeLines="20" w:after="62" w:afterLines="20" w:line="276" w:lineRule="auto"/>
        <w:jc w:val="left"/>
        <w:rPr>
          <w:rFonts w:ascii="Arial" w:hAnsi="Arial" w:cs="Arial"/>
          <w:b/>
          <w:bCs/>
          <w:color w:val="auto"/>
          <w:sz w:val="24"/>
          <w:highlight w:val="none"/>
        </w:rPr>
      </w:pPr>
      <w:r>
        <w:rPr>
          <w:rFonts w:hint="eastAsia" w:ascii="Arial" w:hAnsi="Arial" w:cs="Arial"/>
          <w:b/>
          <w:bCs/>
          <w:color w:val="auto"/>
          <w:sz w:val="24"/>
          <w:highlight w:val="none"/>
        </w:rPr>
        <w:t>九、给排水专业要求</w:t>
      </w:r>
    </w:p>
    <w:p w14:paraId="6CEFD2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p w14:paraId="72C893C5">
      <w:pPr>
        <w:spacing w:before="62" w:beforeLines="20" w:after="62" w:afterLines="20" w:line="276" w:lineRule="auto"/>
        <w:jc w:val="left"/>
        <w:rPr>
          <w:rFonts w:ascii="Arial" w:hAnsi="Arial" w:cs="Arial"/>
          <w:color w:val="auto"/>
          <w:sz w:val="24"/>
          <w:highlight w:val="none"/>
        </w:rPr>
      </w:pP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150D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1EA3879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7078A0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0DD10B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29FD75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1614D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B4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0EB4F961">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9</w:t>
            </w:r>
          </w:p>
        </w:tc>
        <w:tc>
          <w:tcPr>
            <w:tcW w:w="6422" w:type="dxa"/>
            <w:vAlign w:val="center"/>
          </w:tcPr>
          <w:p w14:paraId="46E6E3F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总体要求：按图纸施工，符合国家有关标准和规范要求。</w:t>
            </w:r>
          </w:p>
          <w:p w14:paraId="05511D4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水管材要求：（给水管道材质详见工艺管道图纸，室内给水支管：304不锈钢管。）</w:t>
            </w:r>
          </w:p>
          <w:p w14:paraId="6062A78A">
            <w:pPr>
              <w:numPr>
                <w:ilvl w:val="0"/>
                <w:numId w:val="28"/>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常温生产污水管管材：UPVC管，溶剂粘接。</w:t>
            </w:r>
          </w:p>
          <w:p w14:paraId="40FE01C4">
            <w:pPr>
              <w:numPr>
                <w:ilvl w:val="0"/>
                <w:numId w:val="28"/>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高温生产污水管管材：304不锈钢管，焊接。</w:t>
            </w:r>
          </w:p>
          <w:p w14:paraId="22EED7BC">
            <w:pPr>
              <w:numPr>
                <w:ilvl w:val="0"/>
                <w:numId w:val="28"/>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蒸汽凝结水管管材：镀锌钢管，卡箍连接</w:t>
            </w:r>
          </w:p>
          <w:p w14:paraId="3AC8D736">
            <w:pPr>
              <w:numPr>
                <w:ilvl w:val="0"/>
                <w:numId w:val="28"/>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常温自来水管村：304不锈钢管，压头连接</w:t>
            </w:r>
          </w:p>
        </w:tc>
        <w:tc>
          <w:tcPr>
            <w:tcW w:w="949" w:type="dxa"/>
            <w:vAlign w:val="center"/>
          </w:tcPr>
          <w:p w14:paraId="56E0EC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68DFDB4">
            <w:pPr>
              <w:spacing w:before="62" w:beforeLines="20" w:after="62" w:afterLines="20" w:line="276" w:lineRule="auto"/>
              <w:jc w:val="left"/>
              <w:rPr>
                <w:rFonts w:ascii="Arial" w:hAnsi="Arial" w:cs="Arial"/>
                <w:color w:val="auto"/>
                <w:sz w:val="24"/>
                <w:highlight w:val="none"/>
              </w:rPr>
            </w:pPr>
          </w:p>
        </w:tc>
      </w:tr>
    </w:tbl>
    <w:p w14:paraId="1FAE5C69">
      <w:pPr>
        <w:pStyle w:val="18"/>
        <w:rPr>
          <w:color w:val="auto"/>
          <w:highlight w:val="none"/>
        </w:rPr>
      </w:pPr>
    </w:p>
    <w:p w14:paraId="1B130C3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9.1</w:t>
      </w:r>
      <w:r>
        <w:rPr>
          <w:rFonts w:ascii="Arial" w:hAnsi="Arial" w:cs="Arial"/>
          <w:color w:val="auto"/>
          <w:sz w:val="24"/>
          <w:highlight w:val="none"/>
        </w:rPr>
        <w:t>排水管道与沉弯、接头安装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6397"/>
        <w:gridCol w:w="992"/>
        <w:gridCol w:w="1550"/>
      </w:tblGrid>
      <w:tr w14:paraId="7811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17" w:type="dxa"/>
            <w:tcBorders>
              <w:bottom w:val="single" w:color="auto" w:sz="4" w:space="0"/>
            </w:tcBorders>
            <w:shd w:val="pct20" w:color="auto" w:fill="FFFFFF"/>
            <w:vAlign w:val="center"/>
          </w:tcPr>
          <w:p w14:paraId="2F5B7E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97" w:type="dxa"/>
            <w:tcBorders>
              <w:bottom w:val="single" w:color="auto" w:sz="4" w:space="0"/>
            </w:tcBorders>
            <w:shd w:val="pct20" w:color="auto" w:fill="FFFFFF"/>
            <w:vAlign w:val="center"/>
          </w:tcPr>
          <w:p w14:paraId="0152E6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5CE713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1917DC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8B2F87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C93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3F0A538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URS9.1-01</w:t>
            </w:r>
          </w:p>
        </w:tc>
        <w:tc>
          <w:tcPr>
            <w:tcW w:w="6397" w:type="dxa"/>
            <w:vAlign w:val="center"/>
          </w:tcPr>
          <w:p w14:paraId="4EB568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穿过楼板套管与管道间的缝隙用阻燃密实材料和防水油膏填实，端面光滑。</w:t>
            </w:r>
          </w:p>
        </w:tc>
        <w:tc>
          <w:tcPr>
            <w:tcW w:w="992" w:type="dxa"/>
            <w:vAlign w:val="center"/>
          </w:tcPr>
          <w:p w14:paraId="56B15CD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596851D1">
            <w:pPr>
              <w:spacing w:before="62" w:beforeLines="20" w:after="62" w:afterLines="20" w:line="276" w:lineRule="auto"/>
              <w:jc w:val="left"/>
              <w:rPr>
                <w:rFonts w:ascii="Arial" w:hAnsi="Arial" w:cs="Arial"/>
                <w:color w:val="auto"/>
                <w:sz w:val="24"/>
                <w:highlight w:val="none"/>
              </w:rPr>
            </w:pPr>
          </w:p>
        </w:tc>
      </w:tr>
      <w:tr w14:paraId="76A8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6CA02B97">
            <w:pPr>
              <w:rPr>
                <w:color w:val="auto"/>
                <w:highlight w:val="none"/>
              </w:rPr>
            </w:pPr>
            <w:r>
              <w:rPr>
                <w:rFonts w:hint="eastAsia" w:ascii="Arial" w:hAnsi="Arial" w:cs="Arial"/>
                <w:color w:val="auto"/>
                <w:sz w:val="24"/>
                <w:highlight w:val="none"/>
              </w:rPr>
              <w:t>URS9.1-02</w:t>
            </w:r>
          </w:p>
        </w:tc>
        <w:tc>
          <w:tcPr>
            <w:tcW w:w="6397" w:type="dxa"/>
            <w:vAlign w:val="center"/>
          </w:tcPr>
          <w:p w14:paraId="795039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管道支、吊架间距必须符合施工图设计施工说明要求。</w:t>
            </w:r>
          </w:p>
        </w:tc>
        <w:tc>
          <w:tcPr>
            <w:tcW w:w="992" w:type="dxa"/>
            <w:vAlign w:val="center"/>
          </w:tcPr>
          <w:p w14:paraId="047510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65BBAF3">
            <w:pPr>
              <w:spacing w:before="62" w:beforeLines="20" w:after="62" w:afterLines="20" w:line="276" w:lineRule="auto"/>
              <w:jc w:val="left"/>
              <w:rPr>
                <w:rFonts w:ascii="Arial" w:hAnsi="Arial" w:cs="Arial"/>
                <w:color w:val="auto"/>
                <w:sz w:val="24"/>
                <w:highlight w:val="none"/>
              </w:rPr>
            </w:pPr>
          </w:p>
        </w:tc>
      </w:tr>
      <w:tr w14:paraId="01BE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7A73363E">
            <w:pPr>
              <w:rPr>
                <w:color w:val="auto"/>
                <w:highlight w:val="none"/>
              </w:rPr>
            </w:pPr>
            <w:r>
              <w:rPr>
                <w:rFonts w:hint="eastAsia" w:ascii="Arial" w:hAnsi="Arial" w:cs="Arial"/>
                <w:color w:val="auto"/>
                <w:sz w:val="24"/>
                <w:highlight w:val="none"/>
              </w:rPr>
              <w:t>URS9.1-03</w:t>
            </w:r>
          </w:p>
        </w:tc>
        <w:tc>
          <w:tcPr>
            <w:tcW w:w="6397" w:type="dxa"/>
            <w:vAlign w:val="center"/>
          </w:tcPr>
          <w:p w14:paraId="642827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排水管道安装后必须进行灌水试验，凡属隐蔽暗装管道必须按分项工序进行。</w:t>
            </w:r>
          </w:p>
        </w:tc>
        <w:tc>
          <w:tcPr>
            <w:tcW w:w="992" w:type="dxa"/>
            <w:vAlign w:val="center"/>
          </w:tcPr>
          <w:p w14:paraId="67A5C5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E517FDB">
            <w:pPr>
              <w:spacing w:before="62" w:beforeLines="20" w:after="62" w:afterLines="20" w:line="276" w:lineRule="auto"/>
              <w:jc w:val="left"/>
              <w:rPr>
                <w:rFonts w:ascii="Arial" w:hAnsi="Arial" w:cs="Arial"/>
                <w:color w:val="auto"/>
                <w:sz w:val="24"/>
                <w:highlight w:val="none"/>
              </w:rPr>
            </w:pPr>
          </w:p>
        </w:tc>
      </w:tr>
      <w:tr w14:paraId="7A4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7F8776A4">
            <w:pPr>
              <w:rPr>
                <w:color w:val="auto"/>
                <w:highlight w:val="none"/>
              </w:rPr>
            </w:pPr>
            <w:r>
              <w:rPr>
                <w:rFonts w:hint="eastAsia" w:ascii="Arial" w:hAnsi="Arial" w:cs="Arial"/>
                <w:color w:val="auto"/>
                <w:sz w:val="24"/>
                <w:highlight w:val="none"/>
              </w:rPr>
              <w:t>URS9.1-04</w:t>
            </w:r>
          </w:p>
        </w:tc>
        <w:tc>
          <w:tcPr>
            <w:tcW w:w="6397" w:type="dxa"/>
            <w:vAlign w:val="center"/>
          </w:tcPr>
          <w:p w14:paraId="73A7E0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蒸气冷凝水、疏水阀排水管应当在适当的位置保温，同时有防止蒸汽倒</w:t>
            </w:r>
            <w:r>
              <w:rPr>
                <w:rFonts w:hint="eastAsia" w:ascii="Arial" w:hAnsi="Arial" w:cs="Arial"/>
                <w:color w:val="auto"/>
                <w:sz w:val="24"/>
                <w:highlight w:val="none"/>
              </w:rPr>
              <w:t>灌</w:t>
            </w:r>
            <w:r>
              <w:rPr>
                <w:rFonts w:ascii="Arial" w:hAnsi="Arial" w:cs="Arial"/>
                <w:color w:val="auto"/>
                <w:sz w:val="24"/>
                <w:highlight w:val="none"/>
              </w:rPr>
              <w:t>措施。</w:t>
            </w:r>
          </w:p>
        </w:tc>
        <w:tc>
          <w:tcPr>
            <w:tcW w:w="992" w:type="dxa"/>
            <w:vAlign w:val="center"/>
          </w:tcPr>
          <w:p w14:paraId="7CAEFC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F7CE7C9">
            <w:pPr>
              <w:spacing w:before="62" w:beforeLines="20" w:after="62" w:afterLines="20" w:line="276" w:lineRule="auto"/>
              <w:jc w:val="left"/>
              <w:rPr>
                <w:rFonts w:ascii="Arial" w:hAnsi="Arial" w:cs="Arial"/>
                <w:color w:val="auto"/>
                <w:sz w:val="24"/>
                <w:highlight w:val="none"/>
              </w:rPr>
            </w:pPr>
          </w:p>
        </w:tc>
      </w:tr>
      <w:tr w14:paraId="017B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10D69BB8">
            <w:pPr>
              <w:rPr>
                <w:color w:val="auto"/>
                <w:highlight w:val="none"/>
              </w:rPr>
            </w:pPr>
            <w:r>
              <w:rPr>
                <w:rFonts w:hint="eastAsia" w:ascii="Arial" w:hAnsi="Arial" w:cs="Arial"/>
                <w:color w:val="auto"/>
                <w:sz w:val="24"/>
                <w:highlight w:val="none"/>
              </w:rPr>
              <w:t>URS9.1-05</w:t>
            </w:r>
          </w:p>
        </w:tc>
        <w:tc>
          <w:tcPr>
            <w:tcW w:w="6397" w:type="dxa"/>
            <w:vAlign w:val="center"/>
          </w:tcPr>
          <w:p w14:paraId="23F2526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房间地漏口安装时，下排装存水弯，弯头并用吊杆拉住，PVC材质的涂胶水粘黏，热水管道的采用金属管焊接，防止接口松脱。（热水管道的材质需要达到耐高温（121℃及以上）要求）</w:t>
            </w:r>
          </w:p>
        </w:tc>
        <w:tc>
          <w:tcPr>
            <w:tcW w:w="992" w:type="dxa"/>
            <w:vAlign w:val="center"/>
          </w:tcPr>
          <w:p w14:paraId="15FC16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DF56998">
            <w:pPr>
              <w:spacing w:before="62" w:beforeLines="20" w:after="62" w:afterLines="20" w:line="276" w:lineRule="auto"/>
              <w:jc w:val="left"/>
              <w:rPr>
                <w:rFonts w:ascii="Arial" w:hAnsi="Arial" w:cs="Arial"/>
                <w:color w:val="auto"/>
                <w:sz w:val="24"/>
                <w:highlight w:val="none"/>
              </w:rPr>
            </w:pPr>
          </w:p>
        </w:tc>
      </w:tr>
      <w:tr w14:paraId="1300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6637178C">
            <w:pPr>
              <w:rPr>
                <w:rFonts w:ascii="Arial" w:hAnsi="Arial" w:cs="Arial"/>
                <w:color w:val="auto"/>
                <w:sz w:val="24"/>
                <w:highlight w:val="none"/>
              </w:rPr>
            </w:pPr>
            <w:r>
              <w:rPr>
                <w:rFonts w:hint="eastAsia" w:ascii="Arial" w:hAnsi="Arial" w:cs="Arial"/>
                <w:color w:val="auto"/>
                <w:sz w:val="24"/>
                <w:highlight w:val="none"/>
              </w:rPr>
              <w:t>URS9.1-06</w:t>
            </w:r>
          </w:p>
        </w:tc>
        <w:tc>
          <w:tcPr>
            <w:tcW w:w="6397" w:type="dxa"/>
            <w:vAlign w:val="center"/>
          </w:tcPr>
          <w:p w14:paraId="2D117AC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保温措施：蒸汽凝结水管、高温污水管采用厚度40mm不燃A级玻璃棉保温层外包铝箔保护层，具体见16S401-31~40,保温结构II型。</w:t>
            </w:r>
          </w:p>
        </w:tc>
        <w:tc>
          <w:tcPr>
            <w:tcW w:w="992" w:type="dxa"/>
            <w:vAlign w:val="center"/>
          </w:tcPr>
          <w:p w14:paraId="013C30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82A5256">
            <w:pPr>
              <w:spacing w:before="62" w:beforeLines="20" w:after="62" w:afterLines="20" w:line="276" w:lineRule="auto"/>
              <w:jc w:val="left"/>
              <w:rPr>
                <w:rFonts w:ascii="Arial" w:hAnsi="Arial" w:cs="Arial"/>
                <w:color w:val="auto"/>
                <w:sz w:val="24"/>
                <w:highlight w:val="none"/>
              </w:rPr>
            </w:pPr>
          </w:p>
        </w:tc>
      </w:tr>
      <w:tr w14:paraId="1299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47C25E8F">
            <w:pPr>
              <w:rPr>
                <w:rFonts w:ascii="Arial" w:hAnsi="Arial" w:cs="Arial"/>
                <w:color w:val="auto"/>
                <w:sz w:val="24"/>
                <w:highlight w:val="none"/>
              </w:rPr>
            </w:pPr>
            <w:r>
              <w:rPr>
                <w:rFonts w:hint="eastAsia" w:ascii="Arial" w:hAnsi="Arial" w:cs="Arial"/>
                <w:color w:val="auto"/>
                <w:sz w:val="24"/>
                <w:highlight w:val="none"/>
              </w:rPr>
              <w:t>URS9.1-07</w:t>
            </w:r>
          </w:p>
        </w:tc>
        <w:tc>
          <w:tcPr>
            <w:tcW w:w="6397" w:type="dxa"/>
            <w:vAlign w:val="center"/>
          </w:tcPr>
          <w:p w14:paraId="1A5AAE4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防结露措施：空调冷凝水排水地漏采用厚度20mm难燃B1级橡塑保温层外包铝箔保护层，具体见16S401-48~57,防结露结构II型.</w:t>
            </w:r>
          </w:p>
        </w:tc>
        <w:tc>
          <w:tcPr>
            <w:tcW w:w="992" w:type="dxa"/>
            <w:vAlign w:val="center"/>
          </w:tcPr>
          <w:p w14:paraId="056A79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68A82EA">
            <w:pPr>
              <w:spacing w:before="62" w:beforeLines="20" w:after="62" w:afterLines="20" w:line="276" w:lineRule="auto"/>
              <w:jc w:val="left"/>
              <w:rPr>
                <w:rFonts w:ascii="Arial" w:hAnsi="Arial" w:cs="Arial"/>
                <w:color w:val="auto"/>
                <w:sz w:val="24"/>
                <w:highlight w:val="none"/>
              </w:rPr>
            </w:pPr>
          </w:p>
        </w:tc>
      </w:tr>
    </w:tbl>
    <w:p w14:paraId="4C91B40C">
      <w:pPr>
        <w:spacing w:before="62" w:beforeLines="20" w:after="62" w:afterLines="20" w:line="276" w:lineRule="auto"/>
        <w:jc w:val="left"/>
        <w:rPr>
          <w:rFonts w:ascii="Arial" w:hAnsi="Arial" w:cs="Arial"/>
          <w:color w:val="auto"/>
          <w:sz w:val="24"/>
          <w:highlight w:val="none"/>
        </w:rPr>
      </w:pPr>
    </w:p>
    <w:p w14:paraId="2FB1552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9.2地漏安装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6397"/>
        <w:gridCol w:w="992"/>
        <w:gridCol w:w="1550"/>
      </w:tblGrid>
      <w:tr w14:paraId="5D62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17" w:type="dxa"/>
            <w:tcBorders>
              <w:bottom w:val="single" w:color="auto" w:sz="4" w:space="0"/>
            </w:tcBorders>
            <w:shd w:val="pct20" w:color="auto" w:fill="FFFFFF"/>
            <w:vAlign w:val="center"/>
          </w:tcPr>
          <w:p w14:paraId="7A70FF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97" w:type="dxa"/>
            <w:tcBorders>
              <w:bottom w:val="single" w:color="auto" w:sz="4" w:space="0"/>
            </w:tcBorders>
            <w:shd w:val="pct20" w:color="auto" w:fill="FFFFFF"/>
            <w:vAlign w:val="center"/>
          </w:tcPr>
          <w:p w14:paraId="42450F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6112C4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476347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5FA3C7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545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3A6FB81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URS9.2-01</w:t>
            </w:r>
          </w:p>
        </w:tc>
        <w:tc>
          <w:tcPr>
            <w:tcW w:w="6397" w:type="dxa"/>
            <w:vAlign w:val="center"/>
          </w:tcPr>
          <w:p w14:paraId="3145FDE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地漏应设于地面低位处，</w:t>
            </w:r>
            <w:r>
              <w:rPr>
                <w:rFonts w:ascii="Arial" w:hAnsi="Arial" w:cs="Arial"/>
                <w:color w:val="auto"/>
                <w:sz w:val="24"/>
                <w:highlight w:val="none"/>
              </w:rPr>
              <w:t>排水地漏的顶面应低于</w:t>
            </w:r>
            <w:r>
              <w:rPr>
                <w:rFonts w:hint="eastAsia" w:ascii="Arial" w:hAnsi="Arial" w:cs="Arial"/>
                <w:color w:val="auto"/>
                <w:sz w:val="24"/>
                <w:highlight w:val="none"/>
              </w:rPr>
              <w:t>房间整体</w:t>
            </w:r>
            <w:r>
              <w:rPr>
                <w:rFonts w:ascii="Arial" w:hAnsi="Arial" w:cs="Arial"/>
                <w:color w:val="auto"/>
                <w:sz w:val="24"/>
                <w:highlight w:val="none"/>
              </w:rPr>
              <w:t>地面</w:t>
            </w:r>
            <w:r>
              <w:rPr>
                <w:rFonts w:hint="eastAsia" w:ascii="Arial" w:hAnsi="Arial" w:cs="Arial"/>
                <w:color w:val="auto"/>
                <w:sz w:val="24"/>
                <w:highlight w:val="none"/>
              </w:rPr>
              <w:t>，合适落差</w:t>
            </w:r>
            <w:r>
              <w:rPr>
                <w:rFonts w:ascii="Arial" w:hAnsi="Arial" w:cs="Arial"/>
                <w:color w:val="auto"/>
                <w:sz w:val="24"/>
                <w:highlight w:val="none"/>
              </w:rPr>
              <w:t>，地面应有不小于0.01</w:t>
            </w:r>
            <w:r>
              <w:rPr>
                <w:rFonts w:hint="eastAsia" w:ascii="Arial" w:hAnsi="Arial" w:cs="Arial"/>
                <w:color w:val="auto"/>
                <w:sz w:val="24"/>
                <w:highlight w:val="none"/>
              </w:rPr>
              <w:t>mm</w:t>
            </w:r>
            <w:r>
              <w:rPr>
                <w:rFonts w:ascii="Arial" w:hAnsi="Arial" w:cs="Arial"/>
                <w:color w:val="auto"/>
                <w:sz w:val="24"/>
                <w:highlight w:val="none"/>
              </w:rPr>
              <w:t>的坡度向地漏。</w:t>
            </w:r>
            <w:r>
              <w:rPr>
                <w:rFonts w:hint="eastAsia" w:ascii="Arial" w:hAnsi="Arial" w:cs="Arial"/>
                <w:color w:val="auto"/>
                <w:sz w:val="24"/>
                <w:highlight w:val="none"/>
              </w:rPr>
              <w:t>避开正常行走通道。</w:t>
            </w:r>
          </w:p>
        </w:tc>
        <w:tc>
          <w:tcPr>
            <w:tcW w:w="992" w:type="dxa"/>
            <w:vAlign w:val="center"/>
          </w:tcPr>
          <w:p w14:paraId="55CCC1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BA4B4CA">
            <w:pPr>
              <w:spacing w:before="62" w:beforeLines="20" w:after="62" w:afterLines="20" w:line="276" w:lineRule="auto"/>
              <w:jc w:val="left"/>
              <w:rPr>
                <w:rFonts w:ascii="Arial" w:hAnsi="Arial" w:cs="Arial"/>
                <w:color w:val="auto"/>
                <w:sz w:val="24"/>
                <w:highlight w:val="none"/>
              </w:rPr>
            </w:pPr>
          </w:p>
        </w:tc>
      </w:tr>
      <w:tr w14:paraId="4B85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33D2FBA5">
            <w:pPr>
              <w:rPr>
                <w:color w:val="auto"/>
                <w:highlight w:val="none"/>
              </w:rPr>
            </w:pPr>
            <w:r>
              <w:rPr>
                <w:rFonts w:hint="eastAsia" w:ascii="Arial" w:hAnsi="Arial" w:cs="Arial"/>
                <w:color w:val="auto"/>
                <w:sz w:val="24"/>
                <w:highlight w:val="none"/>
              </w:rPr>
              <w:t>URS9.2-02</w:t>
            </w:r>
          </w:p>
        </w:tc>
        <w:tc>
          <w:tcPr>
            <w:tcW w:w="6397" w:type="dxa"/>
            <w:vAlign w:val="center"/>
          </w:tcPr>
          <w:p w14:paraId="7A58C0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采用</w:t>
            </w:r>
            <w:r>
              <w:rPr>
                <w:rFonts w:hint="eastAsia" w:ascii="Arial" w:hAnsi="Arial" w:cs="Arial"/>
                <w:color w:val="auto"/>
                <w:sz w:val="24"/>
                <w:highlight w:val="none"/>
              </w:rPr>
              <w:t>新款符合要求的地漏</w:t>
            </w:r>
          </w:p>
        </w:tc>
        <w:tc>
          <w:tcPr>
            <w:tcW w:w="992" w:type="dxa"/>
            <w:vAlign w:val="center"/>
          </w:tcPr>
          <w:p w14:paraId="59C4C2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AF16317">
            <w:pPr>
              <w:spacing w:before="62" w:beforeLines="20" w:after="62" w:afterLines="20" w:line="276" w:lineRule="auto"/>
              <w:jc w:val="left"/>
              <w:rPr>
                <w:rFonts w:ascii="Arial" w:hAnsi="Arial" w:cs="Arial"/>
                <w:color w:val="auto"/>
                <w:sz w:val="24"/>
                <w:highlight w:val="none"/>
              </w:rPr>
            </w:pPr>
          </w:p>
        </w:tc>
      </w:tr>
      <w:tr w14:paraId="2D48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2B4C6997">
            <w:pPr>
              <w:rPr>
                <w:color w:val="auto"/>
                <w:highlight w:val="none"/>
              </w:rPr>
            </w:pPr>
            <w:r>
              <w:rPr>
                <w:rFonts w:hint="eastAsia" w:ascii="Arial" w:hAnsi="Arial" w:cs="Arial"/>
                <w:color w:val="auto"/>
                <w:sz w:val="24"/>
                <w:highlight w:val="none"/>
              </w:rPr>
              <w:t>URS9.2-03</w:t>
            </w:r>
          </w:p>
        </w:tc>
        <w:tc>
          <w:tcPr>
            <w:tcW w:w="6397" w:type="dxa"/>
            <w:vAlign w:val="center"/>
          </w:tcPr>
          <w:p w14:paraId="6503E3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保证水封的密封性</w:t>
            </w:r>
            <w:r>
              <w:rPr>
                <w:rFonts w:hint="eastAsia" w:ascii="Arial" w:hAnsi="Arial" w:cs="Arial"/>
                <w:color w:val="auto"/>
                <w:sz w:val="24"/>
                <w:highlight w:val="none"/>
              </w:rPr>
              <w:t>良好，并且更换维护方便。</w:t>
            </w:r>
          </w:p>
        </w:tc>
        <w:tc>
          <w:tcPr>
            <w:tcW w:w="992" w:type="dxa"/>
            <w:vAlign w:val="center"/>
          </w:tcPr>
          <w:p w14:paraId="4DB4B1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237216C">
            <w:pPr>
              <w:spacing w:before="62" w:beforeLines="20" w:after="62" w:afterLines="20" w:line="276" w:lineRule="auto"/>
              <w:jc w:val="left"/>
              <w:rPr>
                <w:rFonts w:ascii="Arial" w:hAnsi="Arial" w:cs="Arial"/>
                <w:color w:val="auto"/>
                <w:sz w:val="24"/>
                <w:highlight w:val="none"/>
              </w:rPr>
            </w:pPr>
          </w:p>
        </w:tc>
      </w:tr>
      <w:tr w14:paraId="686C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tcPr>
          <w:p w14:paraId="0A803B12">
            <w:pPr>
              <w:rPr>
                <w:color w:val="auto"/>
                <w:highlight w:val="none"/>
              </w:rPr>
            </w:pPr>
            <w:r>
              <w:rPr>
                <w:rFonts w:hint="eastAsia" w:ascii="Arial" w:hAnsi="Arial" w:cs="Arial"/>
                <w:color w:val="auto"/>
                <w:sz w:val="24"/>
                <w:highlight w:val="none"/>
              </w:rPr>
              <w:t>URS9.2-04</w:t>
            </w:r>
          </w:p>
        </w:tc>
        <w:tc>
          <w:tcPr>
            <w:tcW w:w="6397" w:type="dxa"/>
            <w:vAlign w:val="center"/>
          </w:tcPr>
          <w:p w14:paraId="292D823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地漏与地板结合必须密封。</w:t>
            </w:r>
          </w:p>
        </w:tc>
        <w:tc>
          <w:tcPr>
            <w:tcW w:w="992" w:type="dxa"/>
            <w:vAlign w:val="center"/>
          </w:tcPr>
          <w:p w14:paraId="674F299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35FD2693">
            <w:pPr>
              <w:spacing w:before="62" w:beforeLines="20" w:after="62" w:afterLines="20" w:line="276" w:lineRule="auto"/>
              <w:jc w:val="left"/>
              <w:rPr>
                <w:rFonts w:ascii="Arial" w:hAnsi="Arial" w:cs="Arial"/>
                <w:color w:val="auto"/>
                <w:sz w:val="24"/>
                <w:highlight w:val="none"/>
              </w:rPr>
            </w:pPr>
          </w:p>
        </w:tc>
      </w:tr>
    </w:tbl>
    <w:p w14:paraId="5857D72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9.3单独的洗手池安装</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6397"/>
        <w:gridCol w:w="992"/>
        <w:gridCol w:w="1550"/>
      </w:tblGrid>
      <w:tr w14:paraId="044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17" w:type="dxa"/>
            <w:tcBorders>
              <w:bottom w:val="single" w:color="auto" w:sz="4" w:space="0"/>
            </w:tcBorders>
            <w:shd w:val="pct20" w:color="auto" w:fill="FFFFFF"/>
            <w:vAlign w:val="center"/>
          </w:tcPr>
          <w:p w14:paraId="273CD9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97" w:type="dxa"/>
            <w:tcBorders>
              <w:bottom w:val="single" w:color="auto" w:sz="4" w:space="0"/>
            </w:tcBorders>
            <w:shd w:val="pct20" w:color="auto" w:fill="FFFFFF"/>
            <w:vAlign w:val="center"/>
          </w:tcPr>
          <w:p w14:paraId="178E52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27E3F8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1B35327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1F5C51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A6F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17" w:type="dxa"/>
            <w:vAlign w:val="center"/>
          </w:tcPr>
          <w:p w14:paraId="14A9B88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URS9.3-01</w:t>
            </w:r>
          </w:p>
        </w:tc>
        <w:tc>
          <w:tcPr>
            <w:tcW w:w="6397" w:type="dxa"/>
            <w:vAlign w:val="center"/>
          </w:tcPr>
          <w:p w14:paraId="74ACEFC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独立洗手盆采用304不锈钢材质。结构牢固，安装可靠，排水通畅不留积水。</w:t>
            </w:r>
          </w:p>
        </w:tc>
        <w:tc>
          <w:tcPr>
            <w:tcW w:w="992" w:type="dxa"/>
            <w:vAlign w:val="center"/>
          </w:tcPr>
          <w:p w14:paraId="44B27EE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137480A5">
            <w:pPr>
              <w:spacing w:before="62" w:beforeLines="20" w:after="62" w:afterLines="20" w:line="276" w:lineRule="auto"/>
              <w:jc w:val="left"/>
              <w:rPr>
                <w:rFonts w:ascii="Arial" w:hAnsi="Arial" w:cs="Arial"/>
                <w:color w:val="auto"/>
                <w:sz w:val="24"/>
                <w:highlight w:val="none"/>
              </w:rPr>
            </w:pPr>
          </w:p>
        </w:tc>
      </w:tr>
      <w:tr w14:paraId="1030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7" w:type="dxa"/>
          </w:tcPr>
          <w:p w14:paraId="4F15FA85">
            <w:pPr>
              <w:rPr>
                <w:color w:val="auto"/>
                <w:highlight w:val="none"/>
              </w:rPr>
            </w:pPr>
            <w:r>
              <w:rPr>
                <w:rFonts w:hint="eastAsia" w:ascii="Arial" w:hAnsi="Arial" w:cs="Arial"/>
                <w:color w:val="auto"/>
                <w:sz w:val="24"/>
                <w:highlight w:val="none"/>
              </w:rPr>
              <w:t>URS9.3-02</w:t>
            </w:r>
          </w:p>
        </w:tc>
        <w:tc>
          <w:tcPr>
            <w:tcW w:w="6397" w:type="dxa"/>
            <w:vAlign w:val="center"/>
          </w:tcPr>
          <w:p w14:paraId="663CC12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配感应水龙头，所有洁具需采购节能产品。</w:t>
            </w:r>
          </w:p>
        </w:tc>
        <w:tc>
          <w:tcPr>
            <w:tcW w:w="992" w:type="dxa"/>
            <w:vAlign w:val="center"/>
          </w:tcPr>
          <w:p w14:paraId="579F19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70B6E1CF">
            <w:pPr>
              <w:spacing w:before="62" w:beforeLines="20" w:after="62" w:afterLines="20" w:line="276" w:lineRule="auto"/>
              <w:jc w:val="left"/>
              <w:rPr>
                <w:rFonts w:ascii="Arial" w:hAnsi="Arial" w:cs="Arial"/>
                <w:color w:val="auto"/>
                <w:sz w:val="24"/>
                <w:highlight w:val="none"/>
              </w:rPr>
            </w:pPr>
          </w:p>
        </w:tc>
      </w:tr>
    </w:tbl>
    <w:p w14:paraId="429CC674">
      <w:pPr>
        <w:spacing w:before="62" w:beforeLines="20" w:after="62" w:afterLines="20" w:line="276" w:lineRule="auto"/>
        <w:jc w:val="left"/>
        <w:rPr>
          <w:rFonts w:ascii="Arial" w:hAnsi="Arial" w:cs="Arial"/>
          <w:b/>
          <w:color w:val="auto"/>
          <w:sz w:val="24"/>
          <w:highlight w:val="none"/>
        </w:rPr>
      </w:pPr>
    </w:p>
    <w:p w14:paraId="5E3C9285">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w:t>
      </w:r>
      <w:r>
        <w:rPr>
          <w:rFonts w:ascii="Arial" w:hAnsi="Arial" w:cs="Arial"/>
          <w:b/>
          <w:color w:val="auto"/>
          <w:sz w:val="24"/>
          <w:highlight w:val="none"/>
        </w:rPr>
        <w:t>空调与通风安装工程</w:t>
      </w:r>
      <w:r>
        <w:rPr>
          <w:rFonts w:hint="eastAsia" w:ascii="Arial" w:hAnsi="Arial" w:cs="Arial"/>
          <w:b/>
          <w:color w:val="auto"/>
          <w:sz w:val="24"/>
          <w:highlight w:val="none"/>
        </w:rPr>
        <w:t>（暖通专业）</w:t>
      </w:r>
    </w:p>
    <w:p w14:paraId="138534D4">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总体要求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2C4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1C1D2E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1D5D2F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73917A1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1EB9CF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FD076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C5A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0B5E78B0">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w:t>
            </w:r>
          </w:p>
        </w:tc>
        <w:tc>
          <w:tcPr>
            <w:tcW w:w="6422" w:type="dxa"/>
            <w:vAlign w:val="center"/>
          </w:tcPr>
          <w:p w14:paraId="10C1D76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风量必须保证净化要求并保证房间的静压差、温度、相对湿度、换气次数、菌落数、尘埃粒子数等达到设计要求。新风量需保证每人每小时不低40m3，同时满足补充漏风和排风的要求。室外保温管道需用铝板做外保护。</w:t>
            </w:r>
          </w:p>
        </w:tc>
        <w:tc>
          <w:tcPr>
            <w:tcW w:w="949" w:type="dxa"/>
            <w:vAlign w:val="center"/>
          </w:tcPr>
          <w:p w14:paraId="473359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A5C1060">
            <w:pPr>
              <w:spacing w:before="62" w:beforeLines="20" w:after="62" w:afterLines="20" w:line="276" w:lineRule="auto"/>
              <w:jc w:val="left"/>
              <w:rPr>
                <w:rFonts w:ascii="Arial" w:hAnsi="Arial" w:cs="Arial"/>
                <w:color w:val="auto"/>
                <w:sz w:val="24"/>
                <w:highlight w:val="none"/>
              </w:rPr>
            </w:pPr>
          </w:p>
        </w:tc>
      </w:tr>
    </w:tbl>
    <w:p w14:paraId="2B8E2CEF">
      <w:pPr>
        <w:spacing w:before="62" w:beforeLines="20" w:after="62" w:afterLines="20" w:line="276" w:lineRule="auto"/>
        <w:jc w:val="left"/>
        <w:rPr>
          <w:rFonts w:ascii="Arial" w:hAnsi="Arial" w:cs="Arial"/>
          <w:b/>
          <w:color w:val="auto"/>
          <w:sz w:val="24"/>
          <w:highlight w:val="none"/>
        </w:rPr>
      </w:pPr>
    </w:p>
    <w:p w14:paraId="3E98AC8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10.1</w:t>
      </w:r>
      <w:r>
        <w:rPr>
          <w:rFonts w:ascii="Arial" w:hAnsi="Arial" w:cs="Arial"/>
          <w:color w:val="auto"/>
          <w:sz w:val="24"/>
          <w:highlight w:val="none"/>
        </w:rPr>
        <w:t>空调与通风安装工程</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6763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0138DD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2B8E33B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1CD3DE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774CB1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8F321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FB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09" w:type="dxa"/>
            <w:vAlign w:val="center"/>
          </w:tcPr>
          <w:p w14:paraId="37CDB76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-01</w:t>
            </w:r>
          </w:p>
        </w:tc>
        <w:tc>
          <w:tcPr>
            <w:tcW w:w="6422" w:type="dxa"/>
            <w:vAlign w:val="center"/>
          </w:tcPr>
          <w:p w14:paraId="2BFC5A1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装修的辅助设备（如：洁净空调系统改造的设备、各类进排风柜等）的选型与技术参数需用户确认与验收，品牌以工程量清单备注的品牌为依据。</w:t>
            </w:r>
          </w:p>
        </w:tc>
        <w:tc>
          <w:tcPr>
            <w:tcW w:w="949" w:type="dxa"/>
            <w:vAlign w:val="center"/>
          </w:tcPr>
          <w:p w14:paraId="16907C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7F951F1B">
            <w:pPr>
              <w:spacing w:before="62" w:beforeLines="20" w:after="62" w:afterLines="20" w:line="276" w:lineRule="auto"/>
              <w:jc w:val="left"/>
              <w:rPr>
                <w:rFonts w:ascii="Arial" w:hAnsi="Arial" w:cs="Arial"/>
                <w:color w:val="auto"/>
                <w:sz w:val="24"/>
                <w:highlight w:val="none"/>
              </w:rPr>
            </w:pPr>
          </w:p>
        </w:tc>
      </w:tr>
      <w:tr w14:paraId="0FAD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50E1F4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2</w:t>
            </w:r>
          </w:p>
        </w:tc>
        <w:tc>
          <w:tcPr>
            <w:tcW w:w="6422" w:type="dxa"/>
            <w:vAlign w:val="center"/>
          </w:tcPr>
          <w:p w14:paraId="6E820E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管道（洁净空调风管、排风管道等）的材质、厚度、安装需严格以设计说明与施工图纸为依据，按国家的规范进行施与验收。</w:t>
            </w:r>
          </w:p>
        </w:tc>
        <w:tc>
          <w:tcPr>
            <w:tcW w:w="949" w:type="dxa"/>
            <w:vAlign w:val="center"/>
          </w:tcPr>
          <w:p w14:paraId="1E3A49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0E709F98">
            <w:pPr>
              <w:spacing w:before="62" w:beforeLines="20" w:after="62" w:afterLines="20" w:line="276" w:lineRule="auto"/>
              <w:jc w:val="left"/>
              <w:rPr>
                <w:rFonts w:ascii="Arial" w:hAnsi="Arial" w:cs="Arial"/>
                <w:color w:val="auto"/>
                <w:sz w:val="24"/>
                <w:highlight w:val="none"/>
              </w:rPr>
            </w:pPr>
          </w:p>
        </w:tc>
      </w:tr>
      <w:tr w14:paraId="2BE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4720457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3</w:t>
            </w:r>
          </w:p>
        </w:tc>
        <w:tc>
          <w:tcPr>
            <w:tcW w:w="6422" w:type="dxa"/>
            <w:vAlign w:val="center"/>
          </w:tcPr>
          <w:p w14:paraId="6C7862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各种管道、风口和其他公用设施的安装应当避免出现不易清洁的部位，根据设计图及设计要求安装。</w:t>
            </w:r>
          </w:p>
        </w:tc>
        <w:tc>
          <w:tcPr>
            <w:tcW w:w="949" w:type="dxa"/>
            <w:vAlign w:val="center"/>
          </w:tcPr>
          <w:p w14:paraId="1C4246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72E016B">
            <w:pPr>
              <w:spacing w:before="62" w:beforeLines="20" w:after="62" w:afterLines="20" w:line="276" w:lineRule="auto"/>
              <w:jc w:val="left"/>
              <w:rPr>
                <w:rFonts w:ascii="Arial" w:hAnsi="Arial" w:cs="Arial"/>
                <w:color w:val="auto"/>
                <w:sz w:val="24"/>
                <w:highlight w:val="none"/>
              </w:rPr>
            </w:pPr>
          </w:p>
        </w:tc>
      </w:tr>
      <w:tr w14:paraId="75CB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436955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4</w:t>
            </w:r>
          </w:p>
        </w:tc>
        <w:tc>
          <w:tcPr>
            <w:tcW w:w="6422" w:type="dxa"/>
            <w:vAlign w:val="center"/>
          </w:tcPr>
          <w:p w14:paraId="78A673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管道的辅助材料（如：各类过滤器、阀门、各类管材、保温材料、等）的选材需用户确认及验收，品牌以工程量清单备注的品牌为依据。</w:t>
            </w:r>
            <w:r>
              <w:rPr>
                <w:rFonts w:hint="eastAsia" w:ascii="Arial" w:hAnsi="Arial" w:cs="Arial"/>
                <w:color w:val="auto"/>
                <w:sz w:val="24"/>
                <w:highlight w:val="none"/>
              </w:rPr>
              <w:t>特别风管保温棉的外层，含有铝箔包裹，防止保温棉粘黏脱落。</w:t>
            </w:r>
          </w:p>
        </w:tc>
        <w:tc>
          <w:tcPr>
            <w:tcW w:w="949" w:type="dxa"/>
            <w:vAlign w:val="center"/>
          </w:tcPr>
          <w:p w14:paraId="623C8E0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3468C63">
            <w:pPr>
              <w:spacing w:before="62" w:beforeLines="20" w:after="62" w:afterLines="20" w:line="276" w:lineRule="auto"/>
              <w:jc w:val="left"/>
              <w:rPr>
                <w:rFonts w:ascii="Arial" w:hAnsi="Arial" w:cs="Arial"/>
                <w:color w:val="auto"/>
                <w:sz w:val="24"/>
                <w:highlight w:val="none"/>
              </w:rPr>
            </w:pPr>
          </w:p>
        </w:tc>
      </w:tr>
      <w:tr w14:paraId="11CD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61FBF65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5</w:t>
            </w:r>
          </w:p>
        </w:tc>
        <w:tc>
          <w:tcPr>
            <w:tcW w:w="6422" w:type="dxa"/>
            <w:vAlign w:val="center"/>
          </w:tcPr>
          <w:p w14:paraId="2E6230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洁净空调的风管安装完成后需进行漏风检测，检测结果需符合国家有关标准要求。</w:t>
            </w:r>
          </w:p>
        </w:tc>
        <w:tc>
          <w:tcPr>
            <w:tcW w:w="949" w:type="dxa"/>
            <w:vAlign w:val="center"/>
          </w:tcPr>
          <w:p w14:paraId="2D6555F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56290981">
            <w:pPr>
              <w:spacing w:before="62" w:beforeLines="20" w:after="62" w:afterLines="20" w:line="276" w:lineRule="auto"/>
              <w:jc w:val="left"/>
              <w:rPr>
                <w:rFonts w:ascii="Arial" w:hAnsi="Arial" w:cs="Arial"/>
                <w:color w:val="auto"/>
                <w:sz w:val="24"/>
                <w:highlight w:val="none"/>
              </w:rPr>
            </w:pPr>
          </w:p>
        </w:tc>
      </w:tr>
      <w:tr w14:paraId="769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1E79EA7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6</w:t>
            </w:r>
          </w:p>
        </w:tc>
        <w:tc>
          <w:tcPr>
            <w:tcW w:w="6422" w:type="dxa"/>
            <w:vAlign w:val="center"/>
          </w:tcPr>
          <w:p w14:paraId="677E381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保温材料应符合国家消防要求。</w:t>
            </w:r>
          </w:p>
        </w:tc>
        <w:tc>
          <w:tcPr>
            <w:tcW w:w="949" w:type="dxa"/>
            <w:vAlign w:val="center"/>
          </w:tcPr>
          <w:p w14:paraId="6A56BB6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62223FAD">
            <w:pPr>
              <w:spacing w:before="62" w:beforeLines="20" w:after="62" w:afterLines="20" w:line="276" w:lineRule="auto"/>
              <w:jc w:val="left"/>
              <w:rPr>
                <w:rFonts w:ascii="Arial" w:hAnsi="Arial" w:cs="Arial"/>
                <w:color w:val="auto"/>
                <w:sz w:val="24"/>
                <w:highlight w:val="none"/>
              </w:rPr>
            </w:pPr>
          </w:p>
        </w:tc>
      </w:tr>
      <w:tr w14:paraId="4C9E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2CCDA1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7</w:t>
            </w:r>
          </w:p>
        </w:tc>
        <w:tc>
          <w:tcPr>
            <w:tcW w:w="6422" w:type="dxa"/>
            <w:vAlign w:val="center"/>
          </w:tcPr>
          <w:p w14:paraId="5FE51A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所有风管的保温材料采用难燃材料，厚度、材料及安装方法按施工图纸执行。胶水应能适应温度的变化，粘贴性能好，不易脱落，且保温层平整美观，其他施工，不得对保温层产生不利影响</w:t>
            </w:r>
            <w:r>
              <w:rPr>
                <w:rFonts w:hint="eastAsia" w:ascii="Arial" w:hAnsi="Arial" w:cs="Arial"/>
                <w:color w:val="auto"/>
                <w:sz w:val="24"/>
                <w:highlight w:val="none"/>
              </w:rPr>
              <w:t>，包括损坏保温材料</w:t>
            </w:r>
            <w:r>
              <w:rPr>
                <w:rFonts w:ascii="Arial" w:hAnsi="Arial" w:cs="Arial"/>
                <w:color w:val="auto"/>
                <w:sz w:val="24"/>
                <w:highlight w:val="none"/>
              </w:rPr>
              <w:t>。</w:t>
            </w:r>
            <w:r>
              <w:rPr>
                <w:rFonts w:hint="eastAsia" w:ascii="Arial" w:hAnsi="Arial" w:cs="Arial"/>
                <w:color w:val="auto"/>
                <w:sz w:val="24"/>
                <w:highlight w:val="none"/>
              </w:rPr>
              <w:t>另外保温层表面有一层铝箔纸包裹，保证保温层2年后不脱落。</w:t>
            </w:r>
          </w:p>
        </w:tc>
        <w:tc>
          <w:tcPr>
            <w:tcW w:w="949" w:type="dxa"/>
            <w:vAlign w:val="center"/>
          </w:tcPr>
          <w:p w14:paraId="084BB6E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382BEE21">
            <w:pPr>
              <w:spacing w:before="62" w:beforeLines="20" w:after="62" w:afterLines="20" w:line="276" w:lineRule="auto"/>
              <w:jc w:val="left"/>
              <w:rPr>
                <w:rFonts w:ascii="Arial" w:hAnsi="Arial" w:cs="Arial"/>
                <w:color w:val="auto"/>
                <w:sz w:val="24"/>
                <w:highlight w:val="none"/>
              </w:rPr>
            </w:pPr>
          </w:p>
        </w:tc>
      </w:tr>
      <w:tr w14:paraId="7006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44EF47B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8</w:t>
            </w:r>
          </w:p>
        </w:tc>
        <w:tc>
          <w:tcPr>
            <w:tcW w:w="6422" w:type="dxa"/>
            <w:vAlign w:val="center"/>
          </w:tcPr>
          <w:p w14:paraId="3A36D9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洁净室内噪声级要求：静态测试时（最大风速时），乱流洁净室的噪声级不宜大于 6</w:t>
            </w:r>
            <w:r>
              <w:rPr>
                <w:rFonts w:hint="eastAsia" w:ascii="Arial" w:hAnsi="Arial" w:cs="Arial"/>
                <w:color w:val="auto"/>
                <w:sz w:val="24"/>
                <w:highlight w:val="none"/>
              </w:rPr>
              <w:t>0</w:t>
            </w:r>
            <w:r>
              <w:rPr>
                <w:rFonts w:ascii="Arial" w:hAnsi="Arial" w:cs="Arial"/>
                <w:color w:val="auto"/>
                <w:sz w:val="24"/>
                <w:highlight w:val="none"/>
              </w:rPr>
              <w:t>dBA；</w:t>
            </w:r>
          </w:p>
        </w:tc>
        <w:tc>
          <w:tcPr>
            <w:tcW w:w="949" w:type="dxa"/>
            <w:vAlign w:val="center"/>
          </w:tcPr>
          <w:p w14:paraId="50C216E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7B53D2F6">
            <w:pPr>
              <w:spacing w:before="62" w:beforeLines="20" w:after="62" w:afterLines="20" w:line="276" w:lineRule="auto"/>
              <w:jc w:val="left"/>
              <w:rPr>
                <w:rFonts w:ascii="Arial" w:hAnsi="Arial" w:cs="Arial"/>
                <w:color w:val="auto"/>
                <w:sz w:val="24"/>
                <w:highlight w:val="none"/>
              </w:rPr>
            </w:pPr>
          </w:p>
        </w:tc>
      </w:tr>
      <w:tr w14:paraId="671B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tcPr>
          <w:p w14:paraId="33DD14B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9</w:t>
            </w:r>
          </w:p>
        </w:tc>
        <w:tc>
          <w:tcPr>
            <w:tcW w:w="6422" w:type="dxa"/>
            <w:vAlign w:val="center"/>
          </w:tcPr>
          <w:p w14:paraId="6A326F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风管：采购镀锌铁皮制作，镀锌铁皮厚度必须符合设计说明中各类风管对应要求，偏差不得≤0.02mm。</w:t>
            </w:r>
            <w:r>
              <w:rPr>
                <w:rFonts w:hint="eastAsia" w:ascii="Arial" w:hAnsi="Arial" w:cs="Arial"/>
                <w:color w:val="auto"/>
                <w:sz w:val="24"/>
                <w:highlight w:val="none"/>
              </w:rPr>
              <w:t>风管采用角铁法兰连接，制作严格按照设计图纸与安装说明施工。</w:t>
            </w:r>
          </w:p>
        </w:tc>
        <w:tc>
          <w:tcPr>
            <w:tcW w:w="949" w:type="dxa"/>
            <w:vAlign w:val="center"/>
          </w:tcPr>
          <w:p w14:paraId="29B9DF5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2B10407C">
            <w:pPr>
              <w:spacing w:before="62" w:beforeLines="20" w:after="62" w:afterLines="20" w:line="276" w:lineRule="auto"/>
              <w:jc w:val="left"/>
              <w:rPr>
                <w:rFonts w:ascii="Arial" w:hAnsi="Arial" w:cs="Arial"/>
                <w:color w:val="auto"/>
                <w:sz w:val="24"/>
                <w:highlight w:val="none"/>
              </w:rPr>
            </w:pPr>
          </w:p>
        </w:tc>
      </w:tr>
      <w:tr w14:paraId="6958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09" w:type="dxa"/>
            <w:vAlign w:val="center"/>
          </w:tcPr>
          <w:p w14:paraId="161DBB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11</w:t>
            </w:r>
          </w:p>
        </w:tc>
        <w:tc>
          <w:tcPr>
            <w:tcW w:w="6422" w:type="dxa"/>
            <w:vAlign w:val="center"/>
          </w:tcPr>
          <w:p w14:paraId="400879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制作、吊装过程中，应分段进行控制，保证风管安装的质量，施工方应先自检其密封性，确认后以书面形式告知建设方进行质量复检，当复检发现漏风判断不合格，并且两条风管以上存在的，施工方则自行继续整改修复，所花费的时间施工方承担。另外风管在制作到吊装，需注意卫生保护，吊装前必须保证其内壁干净，必要时进行清理。</w:t>
            </w:r>
          </w:p>
        </w:tc>
        <w:tc>
          <w:tcPr>
            <w:tcW w:w="949" w:type="dxa"/>
            <w:vAlign w:val="center"/>
          </w:tcPr>
          <w:p w14:paraId="3170962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4713F09F">
            <w:pPr>
              <w:spacing w:before="62" w:beforeLines="20" w:after="62" w:afterLines="20" w:line="276" w:lineRule="auto"/>
              <w:jc w:val="left"/>
              <w:rPr>
                <w:rFonts w:ascii="Arial" w:hAnsi="Arial" w:cs="Arial"/>
                <w:color w:val="auto"/>
                <w:sz w:val="24"/>
                <w:highlight w:val="none"/>
              </w:rPr>
            </w:pPr>
          </w:p>
        </w:tc>
      </w:tr>
      <w:tr w14:paraId="1FFA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09" w:type="dxa"/>
          </w:tcPr>
          <w:p w14:paraId="2C0E586E">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12</w:t>
            </w:r>
          </w:p>
        </w:tc>
        <w:tc>
          <w:tcPr>
            <w:tcW w:w="6422" w:type="dxa"/>
            <w:vAlign w:val="center"/>
          </w:tcPr>
          <w:p w14:paraId="6592799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风管吊杆，必需调节均匀受力到位，整条风管平衡稳固。预留夹层检修行走通道。</w:t>
            </w:r>
          </w:p>
        </w:tc>
        <w:tc>
          <w:tcPr>
            <w:tcW w:w="949" w:type="dxa"/>
            <w:vAlign w:val="center"/>
          </w:tcPr>
          <w:p w14:paraId="3E03E21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3605FA10">
            <w:pPr>
              <w:spacing w:before="62" w:beforeLines="20" w:after="62" w:afterLines="20" w:line="276" w:lineRule="auto"/>
              <w:jc w:val="left"/>
              <w:rPr>
                <w:rFonts w:ascii="Arial" w:hAnsi="Arial" w:cs="Arial"/>
                <w:color w:val="auto"/>
                <w:sz w:val="24"/>
                <w:highlight w:val="none"/>
              </w:rPr>
            </w:pPr>
          </w:p>
        </w:tc>
      </w:tr>
      <w:tr w14:paraId="70CA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09" w:type="dxa"/>
          </w:tcPr>
          <w:p w14:paraId="3A7AB71E">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13</w:t>
            </w:r>
          </w:p>
        </w:tc>
        <w:tc>
          <w:tcPr>
            <w:tcW w:w="6422" w:type="dxa"/>
            <w:vAlign w:val="center"/>
          </w:tcPr>
          <w:p w14:paraId="411361F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对于上下安装距离过近的风管，或者风管底部距离吊顶空间狭小的，需在吊装时保温预装好，杜绝保温未包裹出现。</w:t>
            </w:r>
          </w:p>
        </w:tc>
        <w:tc>
          <w:tcPr>
            <w:tcW w:w="949" w:type="dxa"/>
            <w:vAlign w:val="center"/>
          </w:tcPr>
          <w:p w14:paraId="76DA41D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1347B628">
            <w:pPr>
              <w:spacing w:before="62" w:beforeLines="20" w:after="62" w:afterLines="20" w:line="276" w:lineRule="auto"/>
              <w:jc w:val="left"/>
              <w:rPr>
                <w:rFonts w:ascii="Arial" w:hAnsi="Arial" w:cs="Arial"/>
                <w:color w:val="auto"/>
                <w:sz w:val="24"/>
                <w:highlight w:val="none"/>
              </w:rPr>
            </w:pPr>
          </w:p>
        </w:tc>
      </w:tr>
      <w:tr w14:paraId="1CF6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809" w:type="dxa"/>
          </w:tcPr>
          <w:p w14:paraId="1E1EBBA1">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14</w:t>
            </w:r>
          </w:p>
        </w:tc>
        <w:tc>
          <w:tcPr>
            <w:tcW w:w="6422" w:type="dxa"/>
            <w:vAlign w:val="center"/>
          </w:tcPr>
          <w:p w14:paraId="7D3A371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生产设备排风管，需要与空调风管交叉通过，风管吊装时严格按照设计施工与说明图纸进行，保证设备工艺排风管的正常安装。</w:t>
            </w:r>
          </w:p>
        </w:tc>
        <w:tc>
          <w:tcPr>
            <w:tcW w:w="949" w:type="dxa"/>
            <w:vAlign w:val="center"/>
          </w:tcPr>
          <w:p w14:paraId="76322A5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65345B04">
            <w:pPr>
              <w:spacing w:before="62" w:beforeLines="20" w:after="62" w:afterLines="20" w:line="276" w:lineRule="auto"/>
              <w:jc w:val="left"/>
              <w:rPr>
                <w:rFonts w:ascii="Arial" w:hAnsi="Arial" w:cs="Arial"/>
                <w:color w:val="auto"/>
                <w:sz w:val="24"/>
                <w:highlight w:val="none"/>
              </w:rPr>
            </w:pPr>
          </w:p>
        </w:tc>
      </w:tr>
      <w:tr w14:paraId="17F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809" w:type="dxa"/>
          </w:tcPr>
          <w:p w14:paraId="52E8694D">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15</w:t>
            </w:r>
          </w:p>
        </w:tc>
        <w:tc>
          <w:tcPr>
            <w:tcW w:w="6422" w:type="dxa"/>
            <w:vAlign w:val="center"/>
          </w:tcPr>
          <w:p w14:paraId="5BA960A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任何管道外排至室外的，留有有下倾坡度，另室内外均需做专业防水，防止室外下雨顺延风管渗入实验室夹层。</w:t>
            </w:r>
          </w:p>
        </w:tc>
        <w:tc>
          <w:tcPr>
            <w:tcW w:w="949" w:type="dxa"/>
            <w:vAlign w:val="center"/>
          </w:tcPr>
          <w:p w14:paraId="24D2DE9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4EB89CAA">
            <w:pPr>
              <w:spacing w:before="62" w:beforeLines="20" w:after="62" w:afterLines="20" w:line="276" w:lineRule="auto"/>
              <w:jc w:val="left"/>
              <w:rPr>
                <w:rFonts w:ascii="Arial" w:hAnsi="Arial" w:cs="Arial"/>
                <w:color w:val="auto"/>
                <w:sz w:val="24"/>
                <w:highlight w:val="none"/>
              </w:rPr>
            </w:pPr>
          </w:p>
        </w:tc>
      </w:tr>
      <w:tr w14:paraId="2C67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tcPr>
          <w:p w14:paraId="4493B8A1">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16</w:t>
            </w:r>
          </w:p>
        </w:tc>
        <w:tc>
          <w:tcPr>
            <w:tcW w:w="6422" w:type="dxa"/>
            <w:vAlign w:val="center"/>
          </w:tcPr>
          <w:p w14:paraId="06AD57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除尘管道的安装应尽可能由内到除尘</w:t>
            </w:r>
            <w:r>
              <w:rPr>
                <w:rFonts w:hint="eastAsia" w:ascii="Arial" w:hAnsi="Arial" w:cs="Arial"/>
                <w:color w:val="auto"/>
                <w:sz w:val="24"/>
                <w:highlight w:val="none"/>
              </w:rPr>
              <w:t>设施</w:t>
            </w:r>
            <w:r>
              <w:rPr>
                <w:rFonts w:ascii="Arial" w:hAnsi="Arial" w:cs="Arial"/>
                <w:color w:val="auto"/>
                <w:sz w:val="24"/>
                <w:highlight w:val="none"/>
              </w:rPr>
              <w:t>有一定的坡度，便于粉尘向除尘</w:t>
            </w:r>
            <w:r>
              <w:rPr>
                <w:rFonts w:hint="eastAsia" w:ascii="Arial" w:hAnsi="Arial" w:cs="Arial"/>
                <w:color w:val="auto"/>
                <w:sz w:val="24"/>
                <w:highlight w:val="none"/>
              </w:rPr>
              <w:t>设施</w:t>
            </w:r>
            <w:r>
              <w:rPr>
                <w:rFonts w:ascii="Arial" w:hAnsi="Arial" w:cs="Arial"/>
                <w:color w:val="auto"/>
                <w:sz w:val="24"/>
                <w:highlight w:val="none"/>
              </w:rPr>
              <w:t>流通。</w:t>
            </w:r>
            <w:r>
              <w:rPr>
                <w:rFonts w:hint="eastAsia" w:ascii="Arial" w:hAnsi="Arial" w:cs="Arial"/>
                <w:color w:val="auto"/>
                <w:sz w:val="24"/>
                <w:highlight w:val="none"/>
              </w:rPr>
              <w:t>另，风管与硫氧镁彩钢板结合位置，保证其密封性，防止震动导致分离露出缝隙，需提供二次设计方案，并得到双方确认。</w:t>
            </w:r>
          </w:p>
        </w:tc>
        <w:tc>
          <w:tcPr>
            <w:tcW w:w="949" w:type="dxa"/>
            <w:vAlign w:val="center"/>
          </w:tcPr>
          <w:p w14:paraId="352D725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298967B9">
            <w:pPr>
              <w:spacing w:before="62" w:beforeLines="20" w:after="62" w:afterLines="20" w:line="276" w:lineRule="auto"/>
              <w:jc w:val="left"/>
              <w:rPr>
                <w:rFonts w:ascii="Arial" w:hAnsi="Arial" w:cs="Arial"/>
                <w:color w:val="auto"/>
                <w:sz w:val="24"/>
                <w:highlight w:val="none"/>
              </w:rPr>
            </w:pPr>
          </w:p>
        </w:tc>
      </w:tr>
      <w:tr w14:paraId="4F8F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tcPr>
          <w:p w14:paraId="19B3AE89">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17</w:t>
            </w:r>
          </w:p>
        </w:tc>
        <w:tc>
          <w:tcPr>
            <w:tcW w:w="6422" w:type="dxa"/>
            <w:vAlign w:val="center"/>
          </w:tcPr>
          <w:p w14:paraId="7F053EE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洁净室内的回风口、排风口如果是下开口，侧立板开口处下方与管内地面齐平，防止管内积尘、积水。</w:t>
            </w:r>
          </w:p>
        </w:tc>
        <w:tc>
          <w:tcPr>
            <w:tcW w:w="949" w:type="dxa"/>
            <w:vAlign w:val="center"/>
          </w:tcPr>
          <w:p w14:paraId="3829106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22C1C6CE">
            <w:pPr>
              <w:spacing w:before="62" w:beforeLines="20" w:after="62" w:afterLines="20" w:line="276" w:lineRule="auto"/>
              <w:jc w:val="left"/>
              <w:rPr>
                <w:rFonts w:ascii="Arial" w:hAnsi="Arial" w:cs="Arial"/>
                <w:color w:val="auto"/>
                <w:sz w:val="24"/>
                <w:highlight w:val="none"/>
              </w:rPr>
            </w:pPr>
          </w:p>
        </w:tc>
      </w:tr>
      <w:tr w14:paraId="33B9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tcPr>
          <w:p w14:paraId="78D18C3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18</w:t>
            </w:r>
          </w:p>
        </w:tc>
        <w:tc>
          <w:tcPr>
            <w:tcW w:w="6422" w:type="dxa"/>
            <w:vAlign w:val="center"/>
          </w:tcPr>
          <w:p w14:paraId="4BB91D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所有高效过滤器的安装及检漏需符合《洁净室施工及验收规范》规范要求。</w:t>
            </w:r>
          </w:p>
        </w:tc>
        <w:tc>
          <w:tcPr>
            <w:tcW w:w="949" w:type="dxa"/>
            <w:vAlign w:val="center"/>
          </w:tcPr>
          <w:p w14:paraId="0060D7A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670AE565">
            <w:pPr>
              <w:spacing w:before="62" w:beforeLines="20" w:after="62" w:afterLines="20" w:line="276" w:lineRule="auto"/>
              <w:jc w:val="left"/>
              <w:rPr>
                <w:rFonts w:ascii="Arial" w:hAnsi="Arial" w:cs="Arial"/>
                <w:color w:val="auto"/>
                <w:sz w:val="24"/>
                <w:highlight w:val="none"/>
              </w:rPr>
            </w:pPr>
          </w:p>
        </w:tc>
      </w:tr>
      <w:tr w14:paraId="70C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809" w:type="dxa"/>
          </w:tcPr>
          <w:p w14:paraId="2236890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19</w:t>
            </w:r>
          </w:p>
        </w:tc>
        <w:tc>
          <w:tcPr>
            <w:tcW w:w="6422" w:type="dxa"/>
            <w:vAlign w:val="center"/>
          </w:tcPr>
          <w:p w14:paraId="3C7F0C5D">
            <w:pPr>
              <w:spacing w:line="288" w:lineRule="auto"/>
              <w:rPr>
                <w:rFonts w:hint="eastAsia" w:ascii="宋体" w:hAnsi="宋体"/>
                <w:color w:val="auto"/>
                <w:sz w:val="24"/>
                <w:highlight w:val="none"/>
              </w:rPr>
            </w:pPr>
            <w:r>
              <w:rPr>
                <w:rFonts w:hint="eastAsia" w:ascii="宋体" w:hAnsi="宋体"/>
                <w:color w:val="auto"/>
                <w:sz w:val="24"/>
                <w:highlight w:val="none"/>
              </w:rPr>
              <w:t>风阀：</w:t>
            </w:r>
          </w:p>
          <w:p w14:paraId="269B6BEC">
            <w:pPr>
              <w:spacing w:line="288" w:lineRule="auto"/>
              <w:rPr>
                <w:bCs/>
                <w:color w:val="auto"/>
                <w:sz w:val="24"/>
                <w:highlight w:val="none"/>
              </w:rPr>
            </w:pPr>
            <w:r>
              <w:rPr>
                <w:rFonts w:hint="eastAsia" w:ascii="宋体" w:hAnsi="宋体"/>
                <w:color w:val="auto"/>
                <w:sz w:val="24"/>
                <w:highlight w:val="none"/>
              </w:rPr>
              <w:t>1、</w:t>
            </w:r>
            <w:r>
              <w:rPr>
                <w:rFonts w:hint="eastAsia"/>
                <w:bCs/>
                <w:color w:val="auto"/>
                <w:sz w:val="24"/>
                <w:highlight w:val="none"/>
              </w:rPr>
              <w:t>调节风阀选用具有锁闭功能的风阀；高效送风口带配套调节阀。</w:t>
            </w:r>
          </w:p>
          <w:p w14:paraId="00548264">
            <w:pPr>
              <w:spacing w:line="288" w:lineRule="auto"/>
              <w:rPr>
                <w:rFonts w:ascii="Arial" w:hAnsi="Arial" w:cs="Arial"/>
                <w:color w:val="auto"/>
                <w:sz w:val="24"/>
                <w:highlight w:val="none"/>
              </w:rPr>
            </w:pPr>
            <w:r>
              <w:rPr>
                <w:rFonts w:hint="eastAsia" w:ascii="宋体" w:hAnsi="宋体"/>
                <w:color w:val="auto"/>
                <w:sz w:val="24"/>
                <w:highlight w:val="none"/>
              </w:rPr>
              <w:t>2、各调节阀密闭良好，开关灵活，满足规范要求（特别是防火阀），并有开关及开度指示。</w:t>
            </w:r>
          </w:p>
        </w:tc>
        <w:tc>
          <w:tcPr>
            <w:tcW w:w="949" w:type="dxa"/>
            <w:vAlign w:val="center"/>
          </w:tcPr>
          <w:p w14:paraId="096375F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25D1413A">
            <w:pPr>
              <w:spacing w:before="62" w:beforeLines="20" w:after="62" w:afterLines="20" w:line="276" w:lineRule="auto"/>
              <w:jc w:val="left"/>
              <w:rPr>
                <w:rFonts w:ascii="Arial" w:hAnsi="Arial" w:cs="Arial"/>
                <w:color w:val="auto"/>
                <w:sz w:val="24"/>
                <w:highlight w:val="none"/>
              </w:rPr>
            </w:pPr>
          </w:p>
        </w:tc>
      </w:tr>
      <w:tr w14:paraId="17C8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809" w:type="dxa"/>
          </w:tcPr>
          <w:p w14:paraId="1F6799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20</w:t>
            </w:r>
          </w:p>
        </w:tc>
        <w:tc>
          <w:tcPr>
            <w:tcW w:w="6422" w:type="dxa"/>
            <w:vAlign w:val="center"/>
          </w:tcPr>
          <w:p w14:paraId="62E2FF18">
            <w:pPr>
              <w:spacing w:line="288" w:lineRule="auto"/>
              <w:rPr>
                <w:rFonts w:hint="eastAsia" w:ascii="宋体" w:hAnsi="宋体"/>
                <w:color w:val="auto"/>
                <w:sz w:val="24"/>
                <w:highlight w:val="none"/>
              </w:rPr>
            </w:pPr>
            <w:r>
              <w:rPr>
                <w:rFonts w:hint="eastAsia" w:ascii="宋体" w:hAnsi="宋体"/>
                <w:color w:val="auto"/>
                <w:sz w:val="24"/>
                <w:highlight w:val="none"/>
              </w:rPr>
              <w:t>高效过滤器：</w:t>
            </w:r>
          </w:p>
          <w:p w14:paraId="573DC7DD">
            <w:pPr>
              <w:spacing w:line="288" w:lineRule="auto"/>
              <w:rPr>
                <w:rFonts w:hint="eastAsia" w:ascii="宋体" w:hAnsi="宋体" w:cs="Arial"/>
                <w:color w:val="auto"/>
                <w:sz w:val="24"/>
                <w:highlight w:val="none"/>
              </w:rPr>
            </w:pPr>
            <w:r>
              <w:rPr>
                <w:rFonts w:hint="eastAsia" w:ascii="宋体" w:hAnsi="宋体" w:cs="Arial"/>
                <w:color w:val="auto"/>
                <w:sz w:val="24"/>
                <w:highlight w:val="none"/>
              </w:rPr>
              <w:t>1、</w:t>
            </w:r>
            <w:r>
              <w:rPr>
                <w:rFonts w:hint="eastAsia" w:ascii="宋体" w:hAnsi="宋体"/>
                <w:bCs/>
                <w:color w:val="auto"/>
                <w:sz w:val="24"/>
                <w:highlight w:val="none"/>
              </w:rPr>
              <w:t>高效过滤器采用液槽密封，过滤效率H14。</w:t>
            </w:r>
          </w:p>
          <w:p w14:paraId="190E34B0">
            <w:pPr>
              <w:spacing w:line="288" w:lineRule="auto"/>
              <w:rPr>
                <w:rFonts w:hint="eastAsia" w:ascii="宋体" w:hAnsi="宋体"/>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高效过滤器配套的静压箱有</w:t>
            </w:r>
            <w:r>
              <w:rPr>
                <w:rFonts w:hint="eastAsia" w:ascii="宋体" w:hAnsi="宋体"/>
                <w:color w:val="auto"/>
                <w:sz w:val="24"/>
                <w:highlight w:val="none"/>
              </w:rPr>
              <w:t>DOP测试口。</w:t>
            </w:r>
          </w:p>
          <w:p w14:paraId="6BF2D87E">
            <w:pPr>
              <w:spacing w:line="288" w:lineRule="auto"/>
              <w:rPr>
                <w:rFonts w:ascii="Arial" w:hAnsi="Arial" w:cs="Arial"/>
                <w:color w:val="auto"/>
                <w:sz w:val="24"/>
                <w:highlight w:val="none"/>
              </w:rPr>
            </w:pPr>
            <w:r>
              <w:rPr>
                <w:rFonts w:hint="eastAsia" w:ascii="宋体" w:hAnsi="宋体" w:cs="Arial"/>
                <w:color w:val="auto"/>
                <w:sz w:val="24"/>
                <w:highlight w:val="none"/>
              </w:rPr>
              <w:t>3、高效过滤器的编号和位置在图纸上已标明。</w:t>
            </w:r>
          </w:p>
        </w:tc>
        <w:tc>
          <w:tcPr>
            <w:tcW w:w="949" w:type="dxa"/>
            <w:vAlign w:val="center"/>
          </w:tcPr>
          <w:p w14:paraId="6CE2A38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560" w:type="dxa"/>
            <w:vAlign w:val="center"/>
          </w:tcPr>
          <w:p w14:paraId="4F053B69">
            <w:pPr>
              <w:spacing w:before="62" w:beforeLines="20" w:after="62" w:afterLines="20" w:line="276" w:lineRule="auto"/>
              <w:jc w:val="left"/>
              <w:rPr>
                <w:rFonts w:ascii="Arial" w:hAnsi="Arial" w:cs="Arial"/>
                <w:color w:val="auto"/>
                <w:sz w:val="24"/>
                <w:highlight w:val="none"/>
              </w:rPr>
            </w:pPr>
          </w:p>
        </w:tc>
      </w:tr>
    </w:tbl>
    <w:p w14:paraId="39DEAF0D">
      <w:pPr>
        <w:spacing w:before="62" w:beforeLines="20" w:after="62" w:afterLines="20" w:line="276" w:lineRule="auto"/>
        <w:jc w:val="left"/>
        <w:rPr>
          <w:rFonts w:ascii="Arial" w:hAnsi="Arial" w:cs="Arial"/>
          <w:color w:val="auto"/>
          <w:sz w:val="24"/>
          <w:highlight w:val="none"/>
        </w:rPr>
      </w:pPr>
    </w:p>
    <w:p w14:paraId="565786C4">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10.2风机盘管要求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6DF6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475409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284576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43C4FA2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2D15852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8D6A1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C7F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783CCB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10.2</w:t>
            </w:r>
            <w:r>
              <w:rPr>
                <w:rFonts w:ascii="Arial" w:hAnsi="Arial" w:cs="Arial"/>
                <w:color w:val="auto"/>
                <w:sz w:val="24"/>
                <w:highlight w:val="none"/>
              </w:rPr>
              <w:t>-</w:t>
            </w:r>
            <w:r>
              <w:rPr>
                <w:rFonts w:hint="eastAsia" w:ascii="Arial" w:hAnsi="Arial" w:cs="Arial"/>
                <w:color w:val="auto"/>
                <w:sz w:val="24"/>
                <w:highlight w:val="none"/>
              </w:rPr>
              <w:t>1</w:t>
            </w:r>
          </w:p>
        </w:tc>
        <w:tc>
          <w:tcPr>
            <w:tcW w:w="6422" w:type="dxa"/>
            <w:vAlign w:val="center"/>
          </w:tcPr>
          <w:p w14:paraId="3F37FF6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风机盘管冷水管连接，应在管道系统冲洗排污后再连接，以防堵塞热交换器。</w:t>
            </w:r>
          </w:p>
        </w:tc>
        <w:tc>
          <w:tcPr>
            <w:tcW w:w="949" w:type="dxa"/>
            <w:vAlign w:val="center"/>
          </w:tcPr>
          <w:p w14:paraId="35247F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3B24D804">
            <w:pPr>
              <w:spacing w:before="62" w:beforeLines="20" w:after="62" w:afterLines="20" w:line="276" w:lineRule="auto"/>
              <w:jc w:val="left"/>
              <w:rPr>
                <w:rFonts w:ascii="Arial" w:hAnsi="Arial" w:cs="Arial"/>
                <w:color w:val="auto"/>
                <w:sz w:val="24"/>
                <w:highlight w:val="none"/>
              </w:rPr>
            </w:pPr>
          </w:p>
        </w:tc>
      </w:tr>
      <w:tr w14:paraId="5932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46927D3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10.2</w:t>
            </w:r>
            <w:r>
              <w:rPr>
                <w:rFonts w:ascii="Arial" w:hAnsi="Arial" w:cs="Arial"/>
                <w:color w:val="auto"/>
                <w:sz w:val="24"/>
                <w:highlight w:val="none"/>
              </w:rPr>
              <w:t>-</w:t>
            </w:r>
            <w:r>
              <w:rPr>
                <w:rFonts w:hint="eastAsia" w:ascii="Arial" w:hAnsi="Arial" w:cs="Arial"/>
                <w:color w:val="auto"/>
                <w:sz w:val="24"/>
                <w:highlight w:val="none"/>
              </w:rPr>
              <w:t>2</w:t>
            </w:r>
          </w:p>
        </w:tc>
        <w:tc>
          <w:tcPr>
            <w:tcW w:w="6422" w:type="dxa"/>
            <w:vAlign w:val="center"/>
          </w:tcPr>
          <w:p w14:paraId="31389CB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风机盘管、诱导器与进出水管的连接严禁渗漏，凝结水管的坡度必须符合排水要求，与风口及回风室的连接必须严密。</w:t>
            </w:r>
          </w:p>
        </w:tc>
        <w:tc>
          <w:tcPr>
            <w:tcW w:w="949" w:type="dxa"/>
            <w:vAlign w:val="center"/>
          </w:tcPr>
          <w:p w14:paraId="56F8CA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24E02E6">
            <w:pPr>
              <w:spacing w:before="62" w:beforeLines="20" w:after="62" w:afterLines="20" w:line="276" w:lineRule="auto"/>
              <w:jc w:val="left"/>
              <w:rPr>
                <w:rFonts w:ascii="Arial" w:hAnsi="Arial" w:cs="Arial"/>
                <w:color w:val="auto"/>
                <w:sz w:val="24"/>
                <w:highlight w:val="none"/>
              </w:rPr>
            </w:pPr>
          </w:p>
        </w:tc>
      </w:tr>
      <w:tr w14:paraId="5AFB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14A35D8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10.2</w:t>
            </w:r>
            <w:r>
              <w:rPr>
                <w:rFonts w:ascii="Arial" w:hAnsi="Arial" w:cs="Arial"/>
                <w:color w:val="auto"/>
                <w:sz w:val="24"/>
                <w:highlight w:val="none"/>
              </w:rPr>
              <w:t>-</w:t>
            </w:r>
            <w:r>
              <w:rPr>
                <w:rFonts w:hint="eastAsia" w:ascii="Arial" w:hAnsi="Arial" w:cs="Arial"/>
                <w:color w:val="auto"/>
                <w:sz w:val="24"/>
                <w:highlight w:val="none"/>
              </w:rPr>
              <w:t>3</w:t>
            </w:r>
          </w:p>
        </w:tc>
        <w:tc>
          <w:tcPr>
            <w:tcW w:w="6422" w:type="dxa"/>
            <w:vAlign w:val="center"/>
          </w:tcPr>
          <w:p w14:paraId="06853CE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暗装的卧式风机盘管、吊顶应留有活动检查门，便于机组能整体拆卸和维修。</w:t>
            </w:r>
          </w:p>
        </w:tc>
        <w:tc>
          <w:tcPr>
            <w:tcW w:w="949" w:type="dxa"/>
            <w:vAlign w:val="center"/>
          </w:tcPr>
          <w:p w14:paraId="4D4028C3">
            <w:pPr>
              <w:spacing w:before="62" w:beforeLines="20" w:after="62" w:afterLines="20" w:line="276" w:lineRule="auto"/>
              <w:jc w:val="left"/>
              <w:rPr>
                <w:rFonts w:ascii="Arial" w:hAnsi="Arial" w:cs="Arial"/>
                <w:color w:val="auto"/>
                <w:sz w:val="24"/>
                <w:highlight w:val="none"/>
              </w:rPr>
            </w:pPr>
          </w:p>
        </w:tc>
        <w:tc>
          <w:tcPr>
            <w:tcW w:w="1560" w:type="dxa"/>
            <w:vAlign w:val="center"/>
          </w:tcPr>
          <w:p w14:paraId="5BC4B2B6">
            <w:pPr>
              <w:spacing w:before="62" w:beforeLines="20" w:after="62" w:afterLines="20" w:line="276" w:lineRule="auto"/>
              <w:jc w:val="left"/>
              <w:rPr>
                <w:rFonts w:ascii="Arial" w:hAnsi="Arial" w:cs="Arial"/>
                <w:color w:val="auto"/>
                <w:sz w:val="24"/>
                <w:highlight w:val="none"/>
              </w:rPr>
            </w:pPr>
          </w:p>
        </w:tc>
      </w:tr>
    </w:tbl>
    <w:p w14:paraId="2A05BE4E">
      <w:pPr>
        <w:spacing w:before="62" w:beforeLines="20" w:after="62" w:afterLines="20" w:line="276" w:lineRule="auto"/>
        <w:jc w:val="left"/>
        <w:rPr>
          <w:rFonts w:ascii="Arial" w:hAnsi="Arial" w:cs="Arial"/>
          <w:color w:val="auto"/>
          <w:sz w:val="24"/>
          <w:highlight w:val="none"/>
        </w:rPr>
      </w:pPr>
    </w:p>
    <w:p w14:paraId="1D2D44B8">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10.3排风机要求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152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013C53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7676EC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2082C5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56826B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7FF5F4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BFF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3A8E21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10.3</w:t>
            </w:r>
            <w:r>
              <w:rPr>
                <w:rFonts w:ascii="Arial" w:hAnsi="Arial" w:cs="Arial"/>
                <w:color w:val="auto"/>
                <w:sz w:val="24"/>
                <w:highlight w:val="none"/>
              </w:rPr>
              <w:t>-</w:t>
            </w:r>
            <w:r>
              <w:rPr>
                <w:rFonts w:hint="eastAsia" w:ascii="Arial" w:hAnsi="Arial" w:cs="Arial"/>
                <w:color w:val="auto"/>
                <w:sz w:val="24"/>
                <w:highlight w:val="none"/>
              </w:rPr>
              <w:t>1</w:t>
            </w:r>
          </w:p>
        </w:tc>
        <w:tc>
          <w:tcPr>
            <w:tcW w:w="6422" w:type="dxa"/>
            <w:vAlign w:val="center"/>
          </w:tcPr>
          <w:p w14:paraId="3CB5FD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风机选用优质耐酸碱腐蚀的变频离心风机，风机性能曲线优良，满 足风量风压要求。风机整体应为玻离钢制作，其叶轮为翼型离心式，风机效率75%以上。</w:t>
            </w:r>
          </w:p>
        </w:tc>
        <w:tc>
          <w:tcPr>
            <w:tcW w:w="949" w:type="dxa"/>
            <w:vAlign w:val="center"/>
          </w:tcPr>
          <w:p w14:paraId="51B093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B243193">
            <w:pPr>
              <w:spacing w:before="62" w:beforeLines="20" w:after="62" w:afterLines="20" w:line="276" w:lineRule="auto"/>
              <w:jc w:val="left"/>
              <w:rPr>
                <w:rFonts w:ascii="Arial" w:hAnsi="Arial" w:cs="Arial"/>
                <w:color w:val="auto"/>
                <w:sz w:val="24"/>
                <w:highlight w:val="none"/>
              </w:rPr>
            </w:pPr>
          </w:p>
        </w:tc>
      </w:tr>
      <w:tr w14:paraId="7E83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74F7A5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10.3</w:t>
            </w:r>
            <w:r>
              <w:rPr>
                <w:rFonts w:ascii="Arial" w:hAnsi="Arial" w:cs="Arial"/>
                <w:color w:val="auto"/>
                <w:sz w:val="24"/>
                <w:highlight w:val="none"/>
              </w:rPr>
              <w:t>-</w:t>
            </w:r>
            <w:r>
              <w:rPr>
                <w:rFonts w:hint="eastAsia" w:ascii="Arial" w:hAnsi="Arial" w:cs="Arial"/>
                <w:color w:val="auto"/>
                <w:sz w:val="24"/>
                <w:highlight w:val="none"/>
              </w:rPr>
              <w:t>2</w:t>
            </w:r>
          </w:p>
        </w:tc>
        <w:tc>
          <w:tcPr>
            <w:tcW w:w="6422" w:type="dxa"/>
            <w:vAlign w:val="center"/>
          </w:tcPr>
          <w:p w14:paraId="092F1CF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风机结构紧凑、噪声低、耐腐蚀、强度高、使用寿命长；运行效率高、高效区平坦、性能稳定可靠，风速、风量稳定。</w:t>
            </w:r>
          </w:p>
        </w:tc>
        <w:tc>
          <w:tcPr>
            <w:tcW w:w="949" w:type="dxa"/>
            <w:vAlign w:val="center"/>
          </w:tcPr>
          <w:p w14:paraId="171B41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6FC574C9">
            <w:pPr>
              <w:spacing w:before="62" w:beforeLines="20" w:after="62" w:afterLines="20" w:line="276" w:lineRule="auto"/>
              <w:jc w:val="left"/>
              <w:rPr>
                <w:rFonts w:ascii="Arial" w:hAnsi="Arial" w:cs="Arial"/>
                <w:color w:val="auto"/>
                <w:sz w:val="24"/>
                <w:highlight w:val="none"/>
              </w:rPr>
            </w:pPr>
          </w:p>
        </w:tc>
      </w:tr>
      <w:tr w14:paraId="15CB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29D94D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10.3</w:t>
            </w:r>
            <w:r>
              <w:rPr>
                <w:rFonts w:ascii="Arial" w:hAnsi="Arial" w:cs="Arial"/>
                <w:color w:val="auto"/>
                <w:sz w:val="24"/>
                <w:highlight w:val="none"/>
              </w:rPr>
              <w:t>-</w:t>
            </w:r>
            <w:r>
              <w:rPr>
                <w:rFonts w:hint="eastAsia" w:ascii="Arial" w:hAnsi="Arial" w:cs="Arial"/>
                <w:color w:val="auto"/>
                <w:sz w:val="24"/>
                <w:highlight w:val="none"/>
              </w:rPr>
              <w:t>3</w:t>
            </w:r>
          </w:p>
        </w:tc>
        <w:tc>
          <w:tcPr>
            <w:tcW w:w="6422" w:type="dxa"/>
            <w:vAlign w:val="center"/>
          </w:tcPr>
          <w:p w14:paraId="2F7B050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选用的风机必须满足节能的需要。</w:t>
            </w:r>
          </w:p>
        </w:tc>
        <w:tc>
          <w:tcPr>
            <w:tcW w:w="949" w:type="dxa"/>
            <w:vAlign w:val="center"/>
          </w:tcPr>
          <w:p w14:paraId="0F8DEB5D">
            <w:pPr>
              <w:spacing w:before="62" w:beforeLines="20" w:after="62" w:afterLines="20" w:line="276" w:lineRule="auto"/>
              <w:jc w:val="left"/>
              <w:rPr>
                <w:rFonts w:ascii="Arial" w:hAnsi="Arial" w:cs="Arial"/>
                <w:color w:val="auto"/>
                <w:sz w:val="24"/>
                <w:highlight w:val="none"/>
              </w:rPr>
            </w:pPr>
          </w:p>
        </w:tc>
        <w:tc>
          <w:tcPr>
            <w:tcW w:w="1560" w:type="dxa"/>
            <w:vAlign w:val="center"/>
          </w:tcPr>
          <w:p w14:paraId="60969F09">
            <w:pPr>
              <w:spacing w:before="62" w:beforeLines="20" w:after="62" w:afterLines="20" w:line="276" w:lineRule="auto"/>
              <w:jc w:val="left"/>
              <w:rPr>
                <w:rFonts w:ascii="Arial" w:hAnsi="Arial" w:cs="Arial"/>
                <w:color w:val="auto"/>
                <w:sz w:val="24"/>
                <w:highlight w:val="none"/>
              </w:rPr>
            </w:pPr>
          </w:p>
        </w:tc>
      </w:tr>
    </w:tbl>
    <w:p w14:paraId="4FE7290A">
      <w:pPr>
        <w:spacing w:before="62" w:beforeLines="20" w:after="62" w:afterLines="20" w:line="276" w:lineRule="auto"/>
        <w:jc w:val="left"/>
        <w:rPr>
          <w:rFonts w:ascii="Arial" w:hAnsi="Arial" w:cs="Arial"/>
          <w:color w:val="auto"/>
          <w:sz w:val="24"/>
          <w:highlight w:val="none"/>
        </w:rPr>
      </w:pPr>
    </w:p>
    <w:p w14:paraId="6E507737">
      <w:pPr>
        <w:pStyle w:val="18"/>
        <w:rPr>
          <w:color w:val="auto"/>
          <w:highlight w:val="none"/>
        </w:rPr>
      </w:pPr>
    </w:p>
    <w:p w14:paraId="2F0DA725">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10.4新风机要求</w:t>
      </w:r>
    </w:p>
    <w:tbl>
      <w:tblPr>
        <w:tblStyle w:val="74"/>
        <w:tblpPr w:leftFromText="180" w:rightFromText="180" w:vertAnchor="text" w:horzAnchor="margin" w:tblpXSpec="center"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422"/>
        <w:gridCol w:w="949"/>
        <w:gridCol w:w="1560"/>
      </w:tblGrid>
      <w:tr w14:paraId="3C7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809" w:type="dxa"/>
            <w:tcBorders>
              <w:bottom w:val="single" w:color="auto" w:sz="4" w:space="0"/>
            </w:tcBorders>
            <w:shd w:val="pct20" w:color="auto" w:fill="FFFFFF"/>
            <w:vAlign w:val="center"/>
          </w:tcPr>
          <w:p w14:paraId="4284E1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422" w:type="dxa"/>
            <w:tcBorders>
              <w:bottom w:val="single" w:color="auto" w:sz="4" w:space="0"/>
            </w:tcBorders>
            <w:shd w:val="pct20" w:color="auto" w:fill="FFFFFF"/>
            <w:vAlign w:val="center"/>
          </w:tcPr>
          <w:p w14:paraId="1102EA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49" w:type="dxa"/>
            <w:tcBorders>
              <w:bottom w:val="single" w:color="auto" w:sz="4" w:space="0"/>
            </w:tcBorders>
            <w:shd w:val="pct20" w:color="auto" w:fill="FFFFFF"/>
            <w:vAlign w:val="center"/>
          </w:tcPr>
          <w:p w14:paraId="5B6D87D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60" w:type="dxa"/>
            <w:tcBorders>
              <w:bottom w:val="single" w:color="auto" w:sz="4" w:space="0"/>
            </w:tcBorders>
            <w:shd w:val="pct20" w:color="auto" w:fill="FFFFFF"/>
          </w:tcPr>
          <w:p w14:paraId="141F1B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A5532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A21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1D3ABC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10.4</w:t>
            </w:r>
            <w:r>
              <w:rPr>
                <w:rFonts w:ascii="Arial" w:hAnsi="Arial" w:cs="Arial"/>
                <w:color w:val="auto"/>
                <w:sz w:val="24"/>
                <w:highlight w:val="none"/>
              </w:rPr>
              <w:t>-</w:t>
            </w:r>
            <w:r>
              <w:rPr>
                <w:rFonts w:hint="eastAsia" w:ascii="Arial" w:hAnsi="Arial" w:cs="Arial"/>
                <w:color w:val="auto"/>
                <w:sz w:val="24"/>
                <w:highlight w:val="none"/>
              </w:rPr>
              <w:t>1</w:t>
            </w:r>
          </w:p>
        </w:tc>
        <w:tc>
          <w:tcPr>
            <w:tcW w:w="6422" w:type="dxa"/>
            <w:vAlign w:val="center"/>
          </w:tcPr>
          <w:p w14:paraId="0F53090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新风机入口处若设有常闭电动风阀，与送风机连锁，送风机启动，新风阀完全打开，送风机停机，新风阀将被关闭。</w:t>
            </w:r>
          </w:p>
        </w:tc>
        <w:tc>
          <w:tcPr>
            <w:tcW w:w="949" w:type="dxa"/>
            <w:vAlign w:val="center"/>
          </w:tcPr>
          <w:p w14:paraId="49E032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2D72298E">
            <w:pPr>
              <w:spacing w:before="62" w:beforeLines="20" w:after="62" w:afterLines="20" w:line="276" w:lineRule="auto"/>
              <w:jc w:val="left"/>
              <w:rPr>
                <w:rFonts w:ascii="Arial" w:hAnsi="Arial" w:cs="Arial"/>
                <w:color w:val="auto"/>
                <w:sz w:val="24"/>
                <w:highlight w:val="none"/>
              </w:rPr>
            </w:pPr>
          </w:p>
        </w:tc>
      </w:tr>
      <w:tr w14:paraId="6522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809" w:type="dxa"/>
            <w:vAlign w:val="center"/>
          </w:tcPr>
          <w:p w14:paraId="5F7B8E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10.4</w:t>
            </w:r>
            <w:r>
              <w:rPr>
                <w:rFonts w:ascii="Arial" w:hAnsi="Arial" w:cs="Arial"/>
                <w:color w:val="auto"/>
                <w:sz w:val="24"/>
                <w:highlight w:val="none"/>
              </w:rPr>
              <w:t>-</w:t>
            </w:r>
            <w:r>
              <w:rPr>
                <w:rFonts w:hint="eastAsia" w:ascii="Arial" w:hAnsi="Arial" w:cs="Arial"/>
                <w:color w:val="auto"/>
                <w:sz w:val="24"/>
                <w:highlight w:val="none"/>
              </w:rPr>
              <w:t>2</w:t>
            </w:r>
          </w:p>
        </w:tc>
        <w:tc>
          <w:tcPr>
            <w:tcW w:w="6422" w:type="dxa"/>
            <w:vAlign w:val="center"/>
          </w:tcPr>
          <w:p w14:paraId="57D8EEF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风机结构紧凑、噪声低、耐腐蚀、强度高、使用寿命长；运行效率高、高效区平坦、性能稳定可靠，风速、风量稳定。</w:t>
            </w:r>
          </w:p>
        </w:tc>
        <w:tc>
          <w:tcPr>
            <w:tcW w:w="949" w:type="dxa"/>
            <w:vAlign w:val="center"/>
          </w:tcPr>
          <w:p w14:paraId="33EC1A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560" w:type="dxa"/>
            <w:vAlign w:val="center"/>
          </w:tcPr>
          <w:p w14:paraId="1490C7D8">
            <w:pPr>
              <w:spacing w:before="62" w:beforeLines="20" w:after="62" w:afterLines="20" w:line="276" w:lineRule="auto"/>
              <w:jc w:val="left"/>
              <w:rPr>
                <w:rFonts w:ascii="Arial" w:hAnsi="Arial" w:cs="Arial"/>
                <w:color w:val="auto"/>
                <w:sz w:val="24"/>
                <w:highlight w:val="none"/>
              </w:rPr>
            </w:pPr>
          </w:p>
        </w:tc>
      </w:tr>
    </w:tbl>
    <w:p w14:paraId="49457706">
      <w:pPr>
        <w:spacing w:before="62" w:beforeLines="20" w:after="62" w:afterLines="20" w:line="276" w:lineRule="auto"/>
        <w:jc w:val="left"/>
        <w:rPr>
          <w:rFonts w:ascii="Arial" w:hAnsi="Arial" w:cs="Arial"/>
          <w:color w:val="auto"/>
          <w:sz w:val="24"/>
          <w:highlight w:val="none"/>
        </w:rPr>
      </w:pPr>
    </w:p>
    <w:p w14:paraId="0FF997BB">
      <w:pPr>
        <w:pStyle w:val="18"/>
        <w:ind w:firstLine="480"/>
        <w:rPr>
          <w:rFonts w:ascii="Arial" w:hAnsi="Arial" w:cs="Arial"/>
          <w:color w:val="auto"/>
          <w:sz w:val="24"/>
          <w:highlight w:val="none"/>
        </w:rPr>
      </w:pPr>
    </w:p>
    <w:p w14:paraId="6477E7B6">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十一、</w:t>
      </w:r>
      <w:r>
        <w:rPr>
          <w:rFonts w:ascii="Arial" w:hAnsi="Arial" w:cs="Arial"/>
          <w:b/>
          <w:color w:val="auto"/>
          <w:sz w:val="24"/>
          <w:highlight w:val="none"/>
        </w:rPr>
        <w:t>洁净区恒温恒湿组合空调机组</w:t>
      </w:r>
    </w:p>
    <w:p w14:paraId="3C79D0D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11.1</w:t>
      </w:r>
      <w:r>
        <w:rPr>
          <w:rFonts w:hint="eastAsia" w:ascii="Arial Bold" w:hAnsi="Arial Bold"/>
          <w:caps/>
          <w:color w:val="auto"/>
          <w:kern w:val="32"/>
          <w:sz w:val="24"/>
          <w:highlight w:val="none"/>
        </w:rPr>
        <w:t>整机要求</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6521"/>
        <w:gridCol w:w="992"/>
        <w:gridCol w:w="1550"/>
      </w:tblGrid>
      <w:tr w14:paraId="1264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93" w:type="dxa"/>
            <w:tcBorders>
              <w:bottom w:val="single" w:color="auto" w:sz="4" w:space="0"/>
            </w:tcBorders>
            <w:shd w:val="pct20" w:color="auto" w:fill="FFFFFF"/>
            <w:vAlign w:val="center"/>
          </w:tcPr>
          <w:p w14:paraId="30ECE73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521" w:type="dxa"/>
            <w:tcBorders>
              <w:bottom w:val="single" w:color="auto" w:sz="4" w:space="0"/>
            </w:tcBorders>
            <w:shd w:val="pct20" w:color="auto" w:fill="FFFFFF"/>
            <w:vAlign w:val="center"/>
          </w:tcPr>
          <w:p w14:paraId="1C47B15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72C263E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66B0FCB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2172CBE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41A7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12CA7442">
            <w:pPr>
              <w:rPr>
                <w:color w:val="auto"/>
                <w:highlight w:val="none"/>
              </w:rPr>
            </w:pPr>
            <w:r>
              <w:rPr>
                <w:rFonts w:hint="eastAsia" w:ascii="宋体" w:hAnsi="宋体" w:cs="Arial"/>
                <w:color w:val="auto"/>
                <w:sz w:val="24"/>
                <w:highlight w:val="none"/>
              </w:rPr>
              <w:t>▲URS11.1-01</w:t>
            </w:r>
          </w:p>
        </w:tc>
        <w:tc>
          <w:tcPr>
            <w:tcW w:w="6521" w:type="dxa"/>
            <w:vAlign w:val="center"/>
          </w:tcPr>
          <w:p w14:paraId="1137C3D3">
            <w:pPr>
              <w:ind w:left="31" w:leftChars="15"/>
              <w:rPr>
                <w:rFonts w:hint="eastAsia" w:ascii="宋体" w:hAnsi="宋体"/>
                <w:color w:val="auto"/>
                <w:sz w:val="24"/>
                <w:highlight w:val="none"/>
              </w:rPr>
            </w:pPr>
            <w:r>
              <w:rPr>
                <w:rFonts w:hint="eastAsia" w:ascii="宋体" w:hAnsi="宋体"/>
                <w:color w:val="auto"/>
                <w:sz w:val="24"/>
                <w:szCs w:val="20"/>
                <w:highlight w:val="none"/>
              </w:rPr>
              <w:t>所提供的空调机组满足</w:t>
            </w:r>
            <w:r>
              <w:rPr>
                <w:rFonts w:hint="eastAsia" w:ascii="宋体" w:hAnsi="宋体"/>
                <w:color w:val="auto"/>
                <w:kern w:val="0"/>
                <w:sz w:val="24"/>
                <w:szCs w:val="20"/>
                <w:highlight w:val="none"/>
              </w:rPr>
              <w:t>组合式空调风柜的基本功能段技术参数要求。（各功能段及技术参数详见附件的设备技术参数表。）</w:t>
            </w:r>
            <w:r>
              <w:rPr>
                <w:rFonts w:hint="eastAsia" w:ascii="宋体" w:hAnsi="宋体"/>
                <w:color w:val="auto"/>
                <w:sz w:val="24"/>
                <w:szCs w:val="20"/>
                <w:highlight w:val="none"/>
              </w:rPr>
              <w:t>组合式空调风柜框架采用内部充有</w:t>
            </w:r>
            <w:r>
              <w:rPr>
                <w:rFonts w:hint="eastAsia" w:ascii="宋体" w:hAnsi="宋体"/>
                <w:b/>
                <w:bCs/>
                <w:color w:val="auto"/>
                <w:sz w:val="24"/>
                <w:szCs w:val="20"/>
                <w:highlight w:val="none"/>
              </w:rPr>
              <w:t>高密度聚氨酯发泡铝合金榫头双柱结构</w:t>
            </w:r>
            <w:r>
              <w:rPr>
                <w:rFonts w:hint="eastAsia" w:ascii="宋体" w:hAnsi="宋体"/>
                <w:color w:val="auto"/>
                <w:sz w:val="24"/>
                <w:szCs w:val="20"/>
                <w:highlight w:val="none"/>
              </w:rPr>
              <w:t>结构，要保证机组的刚度和强度，机体在运转时不变形。采用最新一代的面板直接拼装结构，凹凸槽扣压式强制密封边框复合型材料，与箱板内外金属板通过高密度聚氨酯发泡形成整体，使得箱体板与板连接时可达到高密封性和高强度，避免了箱体内外形成冷桥和结露。机组的冷桥因子不低于TB1级。组合式空调风柜的外板采用</w:t>
            </w:r>
            <w:r>
              <w:rPr>
                <w:rFonts w:hint="eastAsia" w:ascii="宋体" w:hAnsi="宋体"/>
                <w:b/>
                <w:bCs/>
                <w:color w:val="auto"/>
                <w:sz w:val="24"/>
                <w:szCs w:val="20"/>
                <w:highlight w:val="none"/>
              </w:rPr>
              <w:t>灰白色烤漆镀锌宝钢板，</w:t>
            </w:r>
            <w:r>
              <w:rPr>
                <w:rFonts w:hint="eastAsia" w:ascii="宋体" w:hAnsi="宋体"/>
                <w:color w:val="auto"/>
                <w:sz w:val="24"/>
                <w:szCs w:val="20"/>
                <w:highlight w:val="none"/>
              </w:rPr>
              <w:t>镀锌板的锌含</w:t>
            </w:r>
            <w:r>
              <w:rPr>
                <w:rFonts w:ascii="宋体" w:hAnsi="宋体"/>
                <w:color w:val="auto"/>
                <w:sz w:val="24"/>
                <w:szCs w:val="20"/>
                <w:highlight w:val="none"/>
              </w:rPr>
              <w:t>量</w:t>
            </w:r>
            <w:r>
              <w:rPr>
                <w:rFonts w:hint="eastAsia" w:ascii="宋体" w:hAnsi="宋体"/>
                <w:b/>
                <w:bCs/>
                <w:color w:val="auto"/>
                <w:sz w:val="24"/>
                <w:szCs w:val="20"/>
                <w:highlight w:val="none"/>
              </w:rPr>
              <w:t>不低于</w:t>
            </w:r>
            <w:r>
              <w:rPr>
                <w:rFonts w:ascii="宋体" w:hAnsi="宋体"/>
                <w:b/>
                <w:bCs/>
                <w:color w:val="auto"/>
                <w:sz w:val="24"/>
                <w:szCs w:val="20"/>
                <w:highlight w:val="none"/>
              </w:rPr>
              <w:t>120g/m</w:t>
            </w:r>
            <w:r>
              <w:rPr>
                <w:rFonts w:ascii="宋体" w:hAnsi="宋体"/>
                <w:b/>
                <w:bCs/>
                <w:color w:val="auto"/>
                <w:sz w:val="24"/>
                <w:szCs w:val="20"/>
                <w:highlight w:val="none"/>
                <w:shd w:val="clear" w:color="auto" w:fill="FFFFFF"/>
                <w:vertAlign w:val="superscript"/>
              </w:rPr>
              <w:t>2</w:t>
            </w:r>
            <w:r>
              <w:rPr>
                <w:rFonts w:hint="eastAsia" w:ascii="宋体" w:hAnsi="宋体"/>
                <w:color w:val="auto"/>
                <w:sz w:val="24"/>
                <w:szCs w:val="20"/>
                <w:highlight w:val="none"/>
              </w:rPr>
              <w:t>，外壁板厚度</w:t>
            </w:r>
            <w:r>
              <w:rPr>
                <w:rFonts w:hint="eastAsia" w:ascii="宋体" w:hAnsi="宋体"/>
                <w:b/>
                <w:bCs/>
                <w:color w:val="auto"/>
                <w:sz w:val="24"/>
                <w:szCs w:val="20"/>
                <w:highlight w:val="none"/>
              </w:rPr>
              <w:t>≥</w:t>
            </w:r>
            <w:r>
              <w:rPr>
                <w:rFonts w:ascii="宋体" w:hAnsi="宋体"/>
                <w:b/>
                <w:bCs/>
                <w:color w:val="auto"/>
                <w:sz w:val="24"/>
                <w:szCs w:val="20"/>
                <w:highlight w:val="none"/>
              </w:rPr>
              <w:t>1.0</w:t>
            </w:r>
            <w:r>
              <w:rPr>
                <w:rFonts w:hint="eastAsia" w:ascii="宋体" w:hAnsi="宋体"/>
                <w:b/>
                <w:bCs/>
                <w:color w:val="auto"/>
                <w:sz w:val="24"/>
                <w:szCs w:val="20"/>
                <w:highlight w:val="none"/>
              </w:rPr>
              <w:t>mm</w:t>
            </w:r>
            <w:r>
              <w:rPr>
                <w:rFonts w:hint="eastAsia" w:ascii="宋体" w:hAnsi="宋体"/>
                <w:color w:val="auto"/>
                <w:sz w:val="24"/>
                <w:szCs w:val="20"/>
                <w:highlight w:val="none"/>
              </w:rPr>
              <w:t>。机组构件表面应作防锈和防腐处理，涂层厚度不低于50um。运转时正压、负压段壁板不变形。机组热绝缘性能保证应不低于T2级。风柜内部</w:t>
            </w:r>
            <w:r>
              <w:rPr>
                <w:rFonts w:hint="eastAsia" w:ascii="宋体" w:hAnsi="宋体"/>
                <w:b/>
                <w:bCs/>
                <w:color w:val="auto"/>
                <w:sz w:val="24"/>
                <w:szCs w:val="20"/>
                <w:highlight w:val="none"/>
              </w:rPr>
              <w:t>均使用304不锈钢</w:t>
            </w:r>
            <w:r>
              <w:rPr>
                <w:rFonts w:hint="eastAsia" w:ascii="宋体" w:hAnsi="宋体"/>
                <w:color w:val="auto"/>
                <w:sz w:val="24"/>
                <w:szCs w:val="20"/>
                <w:highlight w:val="none"/>
              </w:rPr>
              <w:t>材质（顶侧面板材厚度不小于0.5mm，底面板材不小于</w:t>
            </w:r>
            <w:r>
              <w:rPr>
                <w:rFonts w:ascii="宋体" w:hAnsi="宋体"/>
                <w:color w:val="auto"/>
                <w:sz w:val="24"/>
                <w:szCs w:val="20"/>
                <w:highlight w:val="none"/>
              </w:rPr>
              <w:t>1.0</w:t>
            </w:r>
            <w:r>
              <w:rPr>
                <w:rFonts w:hint="eastAsia" w:ascii="宋体" w:hAnsi="宋体"/>
                <w:color w:val="auto"/>
                <w:sz w:val="24"/>
                <w:szCs w:val="20"/>
                <w:highlight w:val="none"/>
              </w:rPr>
              <w:t>mm），同时底座等有色金属进行防锈镀锌。保温层厚度不小于50mm，内充填聚氨脂发泡保温（</w:t>
            </w:r>
            <w:r>
              <w:rPr>
                <w:rFonts w:hint="eastAsia" w:ascii="宋体" w:hAnsi="宋体"/>
                <w:b/>
                <w:bCs/>
                <w:color w:val="auto"/>
                <w:sz w:val="24"/>
                <w:szCs w:val="20"/>
                <w:highlight w:val="none"/>
              </w:rPr>
              <w:t>密度≥48kg/m3</w:t>
            </w:r>
            <w:r>
              <w:rPr>
                <w:rFonts w:hint="eastAsia" w:ascii="宋体" w:hAnsi="宋体"/>
                <w:color w:val="auto"/>
                <w:sz w:val="24"/>
                <w:szCs w:val="20"/>
                <w:highlight w:val="none"/>
              </w:rPr>
              <w:t>），改善隔热保温的质量，降低和避免冷量的损失。机组热绝缘性能保证应不低于T2级。</w:t>
            </w:r>
          </w:p>
        </w:tc>
        <w:tc>
          <w:tcPr>
            <w:tcW w:w="992" w:type="dxa"/>
          </w:tcPr>
          <w:p w14:paraId="5C8BB7A7">
            <w:pPr>
              <w:rPr>
                <w:color w:val="auto"/>
                <w:highlight w:val="none"/>
              </w:rPr>
            </w:pPr>
            <w:r>
              <w:rPr>
                <w:rFonts w:hint="eastAsia" w:ascii="宋体" w:hAnsi="宋体" w:cs="Arial"/>
                <w:caps/>
                <w:color w:val="auto"/>
                <w:highlight w:val="none"/>
              </w:rPr>
              <w:t>必需</w:t>
            </w:r>
          </w:p>
        </w:tc>
        <w:tc>
          <w:tcPr>
            <w:tcW w:w="1550" w:type="dxa"/>
            <w:vAlign w:val="center"/>
          </w:tcPr>
          <w:p w14:paraId="400AF47A">
            <w:pPr>
              <w:spacing w:before="62" w:beforeLines="20" w:after="62" w:afterLines="20" w:line="276" w:lineRule="auto"/>
              <w:jc w:val="left"/>
              <w:rPr>
                <w:rFonts w:hint="eastAsia" w:ascii="宋体" w:hAnsi="宋体" w:cs="Arial"/>
                <w:color w:val="auto"/>
                <w:sz w:val="24"/>
                <w:highlight w:val="none"/>
              </w:rPr>
            </w:pPr>
          </w:p>
        </w:tc>
      </w:tr>
      <w:tr w14:paraId="6369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7B4519D0">
            <w:pPr>
              <w:rPr>
                <w:color w:val="auto"/>
                <w:highlight w:val="none"/>
              </w:rPr>
            </w:pPr>
            <w:r>
              <w:rPr>
                <w:rFonts w:hint="eastAsia" w:ascii="宋体" w:hAnsi="宋体" w:cs="Arial"/>
                <w:color w:val="auto"/>
                <w:sz w:val="24"/>
                <w:highlight w:val="none"/>
              </w:rPr>
              <w:t>▲URS11.1-02</w:t>
            </w:r>
          </w:p>
        </w:tc>
        <w:tc>
          <w:tcPr>
            <w:tcW w:w="6521" w:type="dxa"/>
            <w:vAlign w:val="center"/>
          </w:tcPr>
          <w:p w14:paraId="11F9A11C">
            <w:pPr>
              <w:ind w:left="12" w:hanging="12" w:hangingChars="5"/>
              <w:rPr>
                <w:rFonts w:hint="eastAsia" w:ascii="宋体" w:hAnsi="宋体" w:cs="宋体"/>
                <w:color w:val="auto"/>
                <w:sz w:val="24"/>
                <w:highlight w:val="none"/>
              </w:rPr>
            </w:pPr>
            <w:r>
              <w:rPr>
                <w:rFonts w:hint="eastAsia" w:ascii="宋体" w:hAnsi="宋体" w:cs="宋体"/>
                <w:color w:val="auto"/>
                <w:sz w:val="24"/>
                <w:highlight w:val="none"/>
              </w:rPr>
              <w:t>温湿度要求：温度18-26℃，湿度45-65%，要求全年365天 温湿度不能超标，并且在范围内任何的设定值均可达到。</w:t>
            </w:r>
          </w:p>
        </w:tc>
        <w:tc>
          <w:tcPr>
            <w:tcW w:w="992" w:type="dxa"/>
          </w:tcPr>
          <w:p w14:paraId="3E64CF14">
            <w:pPr>
              <w:rPr>
                <w:color w:val="auto"/>
                <w:highlight w:val="none"/>
              </w:rPr>
            </w:pPr>
            <w:r>
              <w:rPr>
                <w:rFonts w:hint="eastAsia" w:ascii="宋体" w:hAnsi="宋体" w:cs="Arial"/>
                <w:caps/>
                <w:color w:val="auto"/>
                <w:highlight w:val="none"/>
              </w:rPr>
              <w:t>必需</w:t>
            </w:r>
          </w:p>
        </w:tc>
        <w:tc>
          <w:tcPr>
            <w:tcW w:w="1550" w:type="dxa"/>
            <w:vAlign w:val="center"/>
          </w:tcPr>
          <w:p w14:paraId="2C2C4D0F">
            <w:pPr>
              <w:spacing w:before="62" w:beforeLines="20" w:after="62" w:afterLines="20" w:line="276" w:lineRule="auto"/>
              <w:jc w:val="left"/>
              <w:rPr>
                <w:rFonts w:hint="eastAsia" w:ascii="宋体" w:hAnsi="宋体" w:cs="Arial"/>
                <w:color w:val="auto"/>
                <w:sz w:val="24"/>
                <w:highlight w:val="none"/>
              </w:rPr>
            </w:pPr>
          </w:p>
        </w:tc>
      </w:tr>
      <w:tr w14:paraId="4382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1B25A9A9">
            <w:pPr>
              <w:rPr>
                <w:color w:val="auto"/>
                <w:highlight w:val="none"/>
              </w:rPr>
            </w:pPr>
            <w:r>
              <w:rPr>
                <w:rFonts w:hint="eastAsia" w:ascii="宋体" w:hAnsi="宋体" w:cs="Arial"/>
                <w:color w:val="auto"/>
                <w:sz w:val="24"/>
                <w:highlight w:val="none"/>
              </w:rPr>
              <w:t>URS11.1-03</w:t>
            </w:r>
          </w:p>
        </w:tc>
        <w:tc>
          <w:tcPr>
            <w:tcW w:w="6521" w:type="dxa"/>
            <w:vAlign w:val="center"/>
          </w:tcPr>
          <w:p w14:paraId="7D8C0DD8">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s="宋体"/>
                <w:caps/>
                <w:color w:val="auto"/>
                <w:kern w:val="0"/>
                <w:sz w:val="24"/>
                <w:highlight w:val="none"/>
                <w:lang w:val="en-GB"/>
              </w:rPr>
              <w:t>洁净区的压差按设计以及GMP的要求。</w:t>
            </w:r>
          </w:p>
        </w:tc>
        <w:tc>
          <w:tcPr>
            <w:tcW w:w="992" w:type="dxa"/>
          </w:tcPr>
          <w:p w14:paraId="5C44674F">
            <w:pPr>
              <w:rPr>
                <w:color w:val="auto"/>
                <w:highlight w:val="none"/>
              </w:rPr>
            </w:pPr>
            <w:r>
              <w:rPr>
                <w:rFonts w:hint="eastAsia" w:ascii="宋体" w:hAnsi="宋体" w:cs="Arial"/>
                <w:caps/>
                <w:color w:val="auto"/>
                <w:highlight w:val="none"/>
              </w:rPr>
              <w:t>必需</w:t>
            </w:r>
          </w:p>
        </w:tc>
        <w:tc>
          <w:tcPr>
            <w:tcW w:w="1550" w:type="dxa"/>
            <w:vAlign w:val="center"/>
          </w:tcPr>
          <w:p w14:paraId="040D71EA">
            <w:pPr>
              <w:spacing w:before="62" w:beforeLines="20" w:after="62" w:afterLines="20" w:line="276" w:lineRule="auto"/>
              <w:jc w:val="left"/>
              <w:rPr>
                <w:rFonts w:hint="eastAsia" w:ascii="宋体" w:hAnsi="宋体" w:cs="Arial"/>
                <w:color w:val="auto"/>
                <w:sz w:val="24"/>
                <w:highlight w:val="none"/>
              </w:rPr>
            </w:pPr>
          </w:p>
        </w:tc>
      </w:tr>
      <w:tr w14:paraId="77E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2F4120B1">
            <w:pPr>
              <w:rPr>
                <w:color w:val="auto"/>
                <w:highlight w:val="none"/>
              </w:rPr>
            </w:pPr>
            <w:r>
              <w:rPr>
                <w:rFonts w:hint="eastAsia" w:ascii="宋体" w:hAnsi="宋体" w:cs="Arial"/>
                <w:color w:val="auto"/>
                <w:sz w:val="24"/>
                <w:highlight w:val="none"/>
              </w:rPr>
              <w:t>URS11.1-04</w:t>
            </w:r>
          </w:p>
        </w:tc>
        <w:tc>
          <w:tcPr>
            <w:tcW w:w="6521" w:type="dxa"/>
          </w:tcPr>
          <w:p w14:paraId="58FF515E">
            <w:pPr>
              <w:spacing w:line="320" w:lineRule="exact"/>
              <w:rPr>
                <w:rFonts w:hint="eastAsia" w:ascii="宋体" w:hAnsi="宋体" w:cs="Arial"/>
                <w:color w:val="auto"/>
                <w:sz w:val="24"/>
                <w:highlight w:val="none"/>
              </w:rPr>
            </w:pPr>
            <w:r>
              <w:rPr>
                <w:rFonts w:hint="eastAsia" w:ascii="宋体" w:hAnsi="宋体"/>
                <w:color w:val="auto"/>
                <w:sz w:val="24"/>
                <w:highlight w:val="none"/>
              </w:rPr>
              <w:t>自动控制，适应每天24小时连续稳定运行。</w:t>
            </w:r>
            <w:r>
              <w:rPr>
                <w:rFonts w:hint="eastAsia" w:ascii="宋体" w:hAnsi="宋体" w:cs="System"/>
                <w:color w:val="auto"/>
                <w:kern w:val="0"/>
                <w:sz w:val="24"/>
                <w:highlight w:val="none"/>
              </w:rPr>
              <w:t>洁净区送风机，排风机以及新风电动密闭阀应进行电气联锁，正压洁净室联锁程序为：先启动送风机，同时开启新风电动密闭阀，再启动排风机；关闭时联锁程序应相反。</w:t>
            </w:r>
          </w:p>
        </w:tc>
        <w:tc>
          <w:tcPr>
            <w:tcW w:w="992" w:type="dxa"/>
          </w:tcPr>
          <w:p w14:paraId="2952DB9E">
            <w:pPr>
              <w:rPr>
                <w:color w:val="auto"/>
                <w:highlight w:val="none"/>
              </w:rPr>
            </w:pPr>
            <w:r>
              <w:rPr>
                <w:rFonts w:hint="eastAsia" w:ascii="宋体" w:hAnsi="宋体" w:cs="Arial"/>
                <w:caps/>
                <w:color w:val="auto"/>
                <w:highlight w:val="none"/>
              </w:rPr>
              <w:t>必需</w:t>
            </w:r>
          </w:p>
        </w:tc>
        <w:tc>
          <w:tcPr>
            <w:tcW w:w="1550" w:type="dxa"/>
            <w:vAlign w:val="center"/>
          </w:tcPr>
          <w:p w14:paraId="3217AD64">
            <w:pPr>
              <w:spacing w:before="62" w:beforeLines="20" w:after="62" w:afterLines="20" w:line="276" w:lineRule="auto"/>
              <w:jc w:val="left"/>
              <w:rPr>
                <w:rFonts w:hint="eastAsia" w:ascii="宋体" w:hAnsi="宋体" w:cs="Arial"/>
                <w:color w:val="auto"/>
                <w:sz w:val="24"/>
                <w:highlight w:val="none"/>
              </w:rPr>
            </w:pPr>
          </w:p>
        </w:tc>
      </w:tr>
      <w:tr w14:paraId="1FEB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2969926F">
            <w:pPr>
              <w:rPr>
                <w:color w:val="auto"/>
                <w:highlight w:val="none"/>
              </w:rPr>
            </w:pPr>
            <w:r>
              <w:rPr>
                <w:rFonts w:hint="eastAsia" w:ascii="宋体" w:hAnsi="宋体" w:cs="Arial"/>
                <w:color w:val="auto"/>
                <w:sz w:val="24"/>
                <w:highlight w:val="none"/>
              </w:rPr>
              <w:t>URS11.1-05</w:t>
            </w:r>
          </w:p>
        </w:tc>
        <w:tc>
          <w:tcPr>
            <w:tcW w:w="6521" w:type="dxa"/>
            <w:vAlign w:val="center"/>
          </w:tcPr>
          <w:p w14:paraId="04982163">
            <w:pPr>
              <w:rPr>
                <w:rFonts w:hint="eastAsia" w:ascii="宋体" w:hAnsi="宋体"/>
                <w:color w:val="auto"/>
                <w:sz w:val="24"/>
                <w:highlight w:val="none"/>
              </w:rPr>
            </w:pPr>
            <w:r>
              <w:rPr>
                <w:rFonts w:ascii="宋体" w:hAnsi="宋体"/>
                <w:color w:val="auto"/>
                <w:sz w:val="24"/>
                <w:highlight w:val="none"/>
              </w:rPr>
              <w:t>设备应符合国家环保要求，其在操作区域的噪音等级应低于70dB。</w:t>
            </w:r>
          </w:p>
        </w:tc>
        <w:tc>
          <w:tcPr>
            <w:tcW w:w="992" w:type="dxa"/>
          </w:tcPr>
          <w:p w14:paraId="7530F58A">
            <w:pPr>
              <w:rPr>
                <w:color w:val="auto"/>
                <w:highlight w:val="none"/>
              </w:rPr>
            </w:pPr>
            <w:r>
              <w:rPr>
                <w:rFonts w:hint="eastAsia" w:ascii="宋体" w:hAnsi="宋体" w:cs="Arial"/>
                <w:caps/>
                <w:color w:val="auto"/>
                <w:highlight w:val="none"/>
              </w:rPr>
              <w:t>必需</w:t>
            </w:r>
          </w:p>
        </w:tc>
        <w:tc>
          <w:tcPr>
            <w:tcW w:w="1550" w:type="dxa"/>
            <w:vAlign w:val="center"/>
          </w:tcPr>
          <w:p w14:paraId="26E373E7">
            <w:pPr>
              <w:spacing w:before="62" w:beforeLines="20" w:after="62" w:afterLines="20" w:line="276" w:lineRule="auto"/>
              <w:jc w:val="left"/>
              <w:rPr>
                <w:rFonts w:hint="eastAsia" w:ascii="宋体" w:hAnsi="宋体" w:cs="Arial"/>
                <w:color w:val="auto"/>
                <w:sz w:val="24"/>
                <w:highlight w:val="none"/>
              </w:rPr>
            </w:pPr>
          </w:p>
        </w:tc>
      </w:tr>
      <w:tr w14:paraId="7E59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0BAD35DB">
            <w:pPr>
              <w:rPr>
                <w:color w:val="auto"/>
                <w:highlight w:val="none"/>
              </w:rPr>
            </w:pPr>
            <w:r>
              <w:rPr>
                <w:rFonts w:hint="eastAsia" w:ascii="宋体" w:hAnsi="宋体" w:cs="Arial"/>
                <w:color w:val="auto"/>
                <w:sz w:val="24"/>
                <w:highlight w:val="none"/>
              </w:rPr>
              <w:t>URS11.1-06</w:t>
            </w:r>
          </w:p>
        </w:tc>
        <w:tc>
          <w:tcPr>
            <w:tcW w:w="6521" w:type="dxa"/>
            <w:vAlign w:val="center"/>
          </w:tcPr>
          <w:p w14:paraId="57EAD0AA">
            <w:pPr>
              <w:widowControl/>
              <w:tabs>
                <w:tab w:val="center" w:pos="2268"/>
                <w:tab w:val="right" w:pos="5387"/>
              </w:tabs>
              <w:jc w:val="left"/>
              <w:rPr>
                <w:rFonts w:hint="eastAsia" w:ascii="宋体" w:hAnsi="宋体"/>
                <w:color w:val="auto"/>
                <w:sz w:val="24"/>
                <w:highlight w:val="none"/>
              </w:rPr>
            </w:pPr>
            <w:r>
              <w:rPr>
                <w:rFonts w:hint="eastAsia" w:ascii="宋体" w:hAnsi="宋体"/>
                <w:caps/>
                <w:color w:val="auto"/>
                <w:kern w:val="0"/>
                <w:sz w:val="24"/>
                <w:highlight w:val="none"/>
              </w:rPr>
              <w:t>投标</w:t>
            </w:r>
            <w:r>
              <w:rPr>
                <w:rFonts w:ascii="宋体" w:hAnsi="宋体"/>
                <w:caps/>
                <w:color w:val="auto"/>
                <w:kern w:val="0"/>
                <w:sz w:val="24"/>
                <w:highlight w:val="none"/>
                <w:lang w:val="en-GB"/>
              </w:rPr>
              <w:t>方应提供设备详细所需动力系统和</w:t>
            </w:r>
            <w:r>
              <w:rPr>
                <w:rFonts w:hint="eastAsia" w:ascii="宋体" w:hAnsi="宋体"/>
                <w:caps/>
                <w:color w:val="auto"/>
                <w:kern w:val="0"/>
                <w:sz w:val="24"/>
                <w:highlight w:val="none"/>
                <w:lang w:val="en-GB"/>
              </w:rPr>
              <w:t>实验室</w:t>
            </w:r>
            <w:r>
              <w:rPr>
                <w:rFonts w:ascii="宋体" w:hAnsi="宋体"/>
                <w:caps/>
                <w:color w:val="auto"/>
                <w:kern w:val="0"/>
                <w:sz w:val="24"/>
                <w:highlight w:val="none"/>
                <w:lang w:val="en-GB"/>
              </w:rPr>
              <w:t>设施配套要求，并协助用户完成</w:t>
            </w:r>
            <w:r>
              <w:rPr>
                <w:rFonts w:hint="eastAsia" w:ascii="宋体" w:hAnsi="宋体"/>
                <w:caps/>
                <w:color w:val="auto"/>
                <w:kern w:val="0"/>
                <w:sz w:val="24"/>
                <w:highlight w:val="none"/>
                <w:lang w:val="en-GB"/>
              </w:rPr>
              <w:t>现场</w:t>
            </w:r>
            <w:r>
              <w:rPr>
                <w:rFonts w:ascii="宋体" w:hAnsi="宋体"/>
                <w:caps/>
                <w:color w:val="auto"/>
                <w:kern w:val="0"/>
                <w:sz w:val="24"/>
                <w:highlight w:val="none"/>
                <w:lang w:val="en-GB"/>
              </w:rPr>
              <w:t>安装</w:t>
            </w:r>
            <w:r>
              <w:rPr>
                <w:rFonts w:hint="eastAsia" w:ascii="宋体" w:hAnsi="宋体"/>
                <w:caps/>
                <w:color w:val="auto"/>
                <w:kern w:val="0"/>
                <w:sz w:val="24"/>
                <w:highlight w:val="none"/>
                <w:lang w:val="en-GB"/>
              </w:rPr>
              <w:t>平面</w:t>
            </w:r>
            <w:r>
              <w:rPr>
                <w:rFonts w:ascii="宋体" w:hAnsi="宋体"/>
                <w:caps/>
                <w:color w:val="auto"/>
                <w:kern w:val="0"/>
                <w:sz w:val="24"/>
                <w:highlight w:val="none"/>
                <w:lang w:val="en-GB"/>
              </w:rPr>
              <w:t>图设计。</w:t>
            </w:r>
            <w:r>
              <w:rPr>
                <w:rFonts w:ascii="宋体" w:hAnsi="宋体"/>
                <w:caps/>
                <w:color w:val="auto"/>
                <w:kern w:val="0"/>
                <w:sz w:val="24"/>
                <w:szCs w:val="21"/>
                <w:highlight w:val="none"/>
                <w:lang w:val="en-GB"/>
              </w:rPr>
              <w:t>公用系统与客户连接图中应标明</w:t>
            </w:r>
            <w:r>
              <w:rPr>
                <w:rFonts w:hint="eastAsia" w:ascii="宋体" w:hAnsi="宋体"/>
                <w:caps/>
                <w:color w:val="auto"/>
                <w:kern w:val="0"/>
                <w:sz w:val="24"/>
                <w:szCs w:val="21"/>
                <w:highlight w:val="none"/>
                <w:lang w:val="en-GB"/>
              </w:rPr>
              <w:t>风管</w:t>
            </w:r>
            <w:r>
              <w:rPr>
                <w:rFonts w:ascii="宋体" w:hAnsi="宋体"/>
                <w:caps/>
                <w:color w:val="auto"/>
                <w:kern w:val="0"/>
                <w:sz w:val="24"/>
                <w:szCs w:val="21"/>
                <w:highlight w:val="none"/>
                <w:lang w:val="en-GB"/>
              </w:rPr>
              <w:t>连接位置、尺寸及连接方式。</w:t>
            </w:r>
          </w:p>
        </w:tc>
        <w:tc>
          <w:tcPr>
            <w:tcW w:w="992" w:type="dxa"/>
            <w:vAlign w:val="center"/>
          </w:tcPr>
          <w:p w14:paraId="283C7DBD">
            <w:pPr>
              <w:spacing w:line="320" w:lineRule="atLeast"/>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550" w:type="dxa"/>
            <w:vAlign w:val="center"/>
          </w:tcPr>
          <w:p w14:paraId="21D5D28B">
            <w:pPr>
              <w:spacing w:before="62" w:beforeLines="20" w:after="62" w:afterLines="20" w:line="276" w:lineRule="auto"/>
              <w:jc w:val="left"/>
              <w:rPr>
                <w:rFonts w:hint="eastAsia" w:ascii="宋体" w:hAnsi="宋体" w:cs="Arial"/>
                <w:color w:val="auto"/>
                <w:sz w:val="24"/>
                <w:highlight w:val="none"/>
              </w:rPr>
            </w:pPr>
          </w:p>
        </w:tc>
      </w:tr>
      <w:tr w14:paraId="58F8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46B496FE">
            <w:pPr>
              <w:rPr>
                <w:color w:val="auto"/>
                <w:highlight w:val="none"/>
              </w:rPr>
            </w:pPr>
            <w:r>
              <w:rPr>
                <w:rFonts w:hint="eastAsia" w:ascii="宋体" w:hAnsi="宋体" w:cs="Arial"/>
                <w:color w:val="auto"/>
                <w:sz w:val="24"/>
                <w:highlight w:val="none"/>
              </w:rPr>
              <w:t>▲URS11.1-07</w:t>
            </w:r>
          </w:p>
        </w:tc>
        <w:tc>
          <w:tcPr>
            <w:tcW w:w="6521" w:type="dxa"/>
          </w:tcPr>
          <w:p w14:paraId="29F60030">
            <w:pPr>
              <w:tabs>
                <w:tab w:val="left" w:pos="360"/>
              </w:tabs>
              <w:rPr>
                <w:rFonts w:hint="eastAsia" w:ascii="宋体" w:hAnsi="宋体"/>
                <w:color w:val="auto"/>
                <w:sz w:val="24"/>
                <w:highlight w:val="none"/>
              </w:rPr>
            </w:pPr>
            <w:r>
              <w:rPr>
                <w:rFonts w:ascii="宋体" w:hAnsi="宋体"/>
                <w:color w:val="auto"/>
                <w:sz w:val="24"/>
                <w:highlight w:val="none"/>
              </w:rPr>
              <w:t>电源：三相五线制，AC</w:t>
            </w:r>
            <w:r>
              <w:rPr>
                <w:rFonts w:hint="eastAsia" w:ascii="宋体" w:hAnsi="宋体"/>
                <w:color w:val="auto"/>
                <w:sz w:val="24"/>
                <w:highlight w:val="none"/>
              </w:rPr>
              <w:t>，</w:t>
            </w:r>
            <w:r>
              <w:rPr>
                <w:rFonts w:ascii="宋体" w:hAnsi="宋体"/>
                <w:color w:val="auto"/>
                <w:sz w:val="24"/>
                <w:highlight w:val="none"/>
              </w:rPr>
              <w:t>380V，50Hz，供应商应提供设备所需总功率</w:t>
            </w:r>
            <w:r>
              <w:rPr>
                <w:rFonts w:hint="eastAsia" w:ascii="宋体" w:hAnsi="宋体"/>
                <w:color w:val="auto"/>
                <w:sz w:val="24"/>
                <w:highlight w:val="none"/>
              </w:rPr>
              <w:t>。</w:t>
            </w:r>
            <w:r>
              <w:rPr>
                <w:rFonts w:hint="eastAsia"/>
                <w:color w:val="auto"/>
                <w:kern w:val="0"/>
                <w:sz w:val="24"/>
                <w:highlight w:val="none"/>
                <w:lang w:val="en-CA"/>
              </w:rPr>
              <w:t>空调机组应采用合理的变频起动控制方案，需配置工频启动回路，可进行工频、变频及应急三个功能的回路切换。</w:t>
            </w:r>
          </w:p>
        </w:tc>
        <w:tc>
          <w:tcPr>
            <w:tcW w:w="992" w:type="dxa"/>
          </w:tcPr>
          <w:p w14:paraId="732DE58C">
            <w:pPr>
              <w:rPr>
                <w:color w:val="auto"/>
                <w:highlight w:val="none"/>
              </w:rPr>
            </w:pPr>
            <w:r>
              <w:rPr>
                <w:rFonts w:hint="eastAsia" w:ascii="宋体" w:hAnsi="宋体" w:cs="Arial"/>
                <w:color w:val="auto"/>
                <w:sz w:val="24"/>
                <w:highlight w:val="none"/>
                <w:lang w:val="en-GB"/>
              </w:rPr>
              <w:t>必需</w:t>
            </w:r>
          </w:p>
        </w:tc>
        <w:tc>
          <w:tcPr>
            <w:tcW w:w="1550" w:type="dxa"/>
            <w:vAlign w:val="center"/>
          </w:tcPr>
          <w:p w14:paraId="6460C781">
            <w:pPr>
              <w:spacing w:before="62" w:beforeLines="20" w:after="62" w:afterLines="20" w:line="276" w:lineRule="auto"/>
              <w:jc w:val="left"/>
              <w:rPr>
                <w:rFonts w:hint="eastAsia" w:ascii="宋体" w:hAnsi="宋体" w:cs="Arial"/>
                <w:color w:val="auto"/>
                <w:sz w:val="24"/>
                <w:highlight w:val="none"/>
              </w:rPr>
            </w:pPr>
          </w:p>
        </w:tc>
      </w:tr>
      <w:tr w14:paraId="3917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4338B502">
            <w:pPr>
              <w:rPr>
                <w:color w:val="auto"/>
                <w:highlight w:val="none"/>
              </w:rPr>
            </w:pPr>
            <w:r>
              <w:rPr>
                <w:rFonts w:hint="eastAsia" w:ascii="宋体" w:hAnsi="宋体" w:cs="Arial"/>
                <w:color w:val="auto"/>
                <w:sz w:val="24"/>
                <w:highlight w:val="none"/>
              </w:rPr>
              <w:t>URS11.1-08</w:t>
            </w:r>
          </w:p>
        </w:tc>
        <w:tc>
          <w:tcPr>
            <w:tcW w:w="6521" w:type="dxa"/>
          </w:tcPr>
          <w:p w14:paraId="58F503ED">
            <w:pPr>
              <w:tabs>
                <w:tab w:val="left" w:pos="7380"/>
              </w:tabs>
              <w:spacing w:line="360" w:lineRule="auto"/>
              <w:rPr>
                <w:rFonts w:hint="eastAsia" w:ascii="宋体" w:hAnsi="宋体"/>
                <w:color w:val="auto"/>
                <w:sz w:val="24"/>
                <w:highlight w:val="none"/>
              </w:rPr>
            </w:pPr>
            <w:r>
              <w:rPr>
                <w:rFonts w:ascii="宋体" w:hAnsi="宋体"/>
                <w:color w:val="auto"/>
                <w:sz w:val="24"/>
                <w:highlight w:val="none"/>
              </w:rPr>
              <w:t>风量、全压、</w:t>
            </w:r>
            <w:r>
              <w:rPr>
                <w:rFonts w:hint="eastAsia" w:ascii="宋体" w:hAnsi="宋体"/>
                <w:color w:val="auto"/>
                <w:sz w:val="24"/>
                <w:highlight w:val="none"/>
              </w:rPr>
              <w:t>余压、</w:t>
            </w:r>
            <w:r>
              <w:rPr>
                <w:rFonts w:ascii="宋体" w:hAnsi="宋体"/>
                <w:color w:val="auto"/>
                <w:sz w:val="24"/>
                <w:highlight w:val="none"/>
              </w:rPr>
              <w:t>噪声、漏风率</w:t>
            </w:r>
            <w:r>
              <w:rPr>
                <w:rFonts w:hint="eastAsia" w:ascii="宋体" w:hAnsi="宋体"/>
                <w:color w:val="auto"/>
                <w:sz w:val="24"/>
                <w:highlight w:val="none"/>
              </w:rPr>
              <w:t>应≤0.1%</w:t>
            </w:r>
            <w:r>
              <w:rPr>
                <w:rFonts w:ascii="宋体" w:hAnsi="宋体"/>
                <w:color w:val="auto"/>
                <w:sz w:val="24"/>
                <w:highlight w:val="none"/>
              </w:rPr>
              <w:t>符合设计要求。</w:t>
            </w:r>
          </w:p>
        </w:tc>
        <w:tc>
          <w:tcPr>
            <w:tcW w:w="992" w:type="dxa"/>
          </w:tcPr>
          <w:p w14:paraId="4BC792EA">
            <w:pPr>
              <w:rPr>
                <w:color w:val="auto"/>
                <w:highlight w:val="none"/>
              </w:rPr>
            </w:pPr>
            <w:r>
              <w:rPr>
                <w:rFonts w:hint="eastAsia" w:ascii="宋体" w:hAnsi="宋体" w:cs="Arial"/>
                <w:color w:val="auto"/>
                <w:sz w:val="24"/>
                <w:highlight w:val="none"/>
                <w:lang w:val="en-GB"/>
              </w:rPr>
              <w:t>必需</w:t>
            </w:r>
          </w:p>
        </w:tc>
        <w:tc>
          <w:tcPr>
            <w:tcW w:w="1550" w:type="dxa"/>
            <w:vAlign w:val="center"/>
          </w:tcPr>
          <w:p w14:paraId="50B1A485">
            <w:pPr>
              <w:spacing w:before="62" w:beforeLines="20" w:after="62" w:afterLines="20" w:line="276" w:lineRule="auto"/>
              <w:jc w:val="left"/>
              <w:rPr>
                <w:rFonts w:hint="eastAsia" w:ascii="宋体" w:hAnsi="宋体" w:cs="Arial"/>
                <w:color w:val="auto"/>
                <w:sz w:val="24"/>
                <w:highlight w:val="none"/>
              </w:rPr>
            </w:pPr>
          </w:p>
        </w:tc>
      </w:tr>
      <w:tr w14:paraId="7A80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40D4C728">
            <w:pPr>
              <w:rPr>
                <w:color w:val="auto"/>
                <w:highlight w:val="none"/>
              </w:rPr>
            </w:pPr>
            <w:r>
              <w:rPr>
                <w:rFonts w:hint="eastAsia" w:ascii="宋体" w:hAnsi="宋体" w:cs="Arial"/>
                <w:color w:val="auto"/>
                <w:sz w:val="24"/>
                <w:highlight w:val="none"/>
              </w:rPr>
              <w:t>URS11.1-09</w:t>
            </w:r>
          </w:p>
        </w:tc>
        <w:tc>
          <w:tcPr>
            <w:tcW w:w="6521" w:type="dxa"/>
          </w:tcPr>
          <w:p w14:paraId="6110FB82">
            <w:pPr>
              <w:rPr>
                <w:rFonts w:hint="eastAsia" w:ascii="宋体" w:hAnsi="宋体"/>
                <w:color w:val="auto"/>
                <w:sz w:val="24"/>
                <w:highlight w:val="none"/>
              </w:rPr>
            </w:pPr>
            <w:r>
              <w:rPr>
                <w:rFonts w:hint="eastAsia" w:ascii="宋体" w:hAnsi="宋体"/>
                <w:color w:val="auto"/>
                <w:sz w:val="24"/>
                <w:highlight w:val="none"/>
              </w:rPr>
              <w:t>空调机组应方便进行整体组装或现场拆装。面板固定应牢固，应当采取可靠的密封措施。</w:t>
            </w:r>
          </w:p>
        </w:tc>
        <w:tc>
          <w:tcPr>
            <w:tcW w:w="992" w:type="dxa"/>
          </w:tcPr>
          <w:p w14:paraId="65EE6FC2">
            <w:pPr>
              <w:rPr>
                <w:color w:val="auto"/>
                <w:highlight w:val="none"/>
              </w:rPr>
            </w:pPr>
            <w:r>
              <w:rPr>
                <w:rFonts w:hint="eastAsia" w:ascii="宋体" w:hAnsi="宋体" w:cs="Arial"/>
                <w:color w:val="auto"/>
                <w:sz w:val="24"/>
                <w:highlight w:val="none"/>
                <w:lang w:val="en-GB"/>
              </w:rPr>
              <w:t>必需</w:t>
            </w:r>
          </w:p>
        </w:tc>
        <w:tc>
          <w:tcPr>
            <w:tcW w:w="1550" w:type="dxa"/>
            <w:vAlign w:val="center"/>
          </w:tcPr>
          <w:p w14:paraId="04FC6B60">
            <w:pPr>
              <w:spacing w:before="62" w:beforeLines="20" w:after="62" w:afterLines="20" w:line="276" w:lineRule="auto"/>
              <w:jc w:val="left"/>
              <w:rPr>
                <w:rFonts w:hint="eastAsia" w:ascii="宋体" w:hAnsi="宋体" w:cs="Arial"/>
                <w:color w:val="auto"/>
                <w:sz w:val="24"/>
                <w:highlight w:val="none"/>
              </w:rPr>
            </w:pPr>
          </w:p>
        </w:tc>
      </w:tr>
      <w:tr w14:paraId="1D8D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37C75AF0">
            <w:pPr>
              <w:rPr>
                <w:color w:val="auto"/>
                <w:highlight w:val="none"/>
              </w:rPr>
            </w:pPr>
            <w:r>
              <w:rPr>
                <w:rFonts w:hint="eastAsia" w:ascii="宋体" w:hAnsi="宋体" w:cs="Arial"/>
                <w:color w:val="auto"/>
                <w:sz w:val="24"/>
                <w:highlight w:val="none"/>
              </w:rPr>
              <w:t>URS11.1-10</w:t>
            </w:r>
          </w:p>
        </w:tc>
        <w:tc>
          <w:tcPr>
            <w:tcW w:w="6521" w:type="dxa"/>
          </w:tcPr>
          <w:p w14:paraId="2A840D44">
            <w:pPr>
              <w:rPr>
                <w:rFonts w:hint="eastAsia" w:ascii="宋体" w:hAnsi="宋体"/>
                <w:color w:val="auto"/>
                <w:sz w:val="24"/>
                <w:highlight w:val="none"/>
              </w:rPr>
            </w:pPr>
            <w:r>
              <w:rPr>
                <w:rFonts w:hint="eastAsia" w:ascii="宋体" w:hAnsi="宋体"/>
                <w:color w:val="auto"/>
                <w:sz w:val="24"/>
                <w:highlight w:val="none"/>
              </w:rPr>
              <w:t>机组内板和外壁要求表面应保持光洁</w:t>
            </w:r>
            <w:r>
              <w:rPr>
                <w:rFonts w:ascii="宋体" w:hAnsi="宋体"/>
                <w:color w:val="auto"/>
                <w:sz w:val="24"/>
                <w:highlight w:val="none"/>
              </w:rPr>
              <w:t>,</w:t>
            </w:r>
            <w:r>
              <w:rPr>
                <w:rFonts w:hint="eastAsia" w:ascii="宋体" w:hAnsi="宋体"/>
                <w:color w:val="auto"/>
                <w:sz w:val="24"/>
                <w:highlight w:val="none"/>
              </w:rPr>
              <w:t>不应有明显划痕或损伤；</w:t>
            </w:r>
          </w:p>
        </w:tc>
        <w:tc>
          <w:tcPr>
            <w:tcW w:w="992" w:type="dxa"/>
          </w:tcPr>
          <w:p w14:paraId="7FD8F987">
            <w:pPr>
              <w:rPr>
                <w:color w:val="auto"/>
                <w:highlight w:val="none"/>
              </w:rPr>
            </w:pPr>
            <w:r>
              <w:rPr>
                <w:rFonts w:hint="eastAsia" w:ascii="宋体" w:hAnsi="宋体" w:cs="Arial"/>
                <w:color w:val="auto"/>
                <w:sz w:val="24"/>
                <w:highlight w:val="none"/>
                <w:lang w:val="en-GB"/>
              </w:rPr>
              <w:t>必需</w:t>
            </w:r>
          </w:p>
        </w:tc>
        <w:tc>
          <w:tcPr>
            <w:tcW w:w="1550" w:type="dxa"/>
            <w:vAlign w:val="center"/>
          </w:tcPr>
          <w:p w14:paraId="2EF5049C">
            <w:pPr>
              <w:spacing w:before="62" w:beforeLines="20" w:after="62" w:afterLines="20" w:line="276" w:lineRule="auto"/>
              <w:jc w:val="left"/>
              <w:rPr>
                <w:rFonts w:hint="eastAsia" w:ascii="宋体" w:hAnsi="宋体" w:cs="Arial"/>
                <w:color w:val="auto"/>
                <w:sz w:val="24"/>
                <w:highlight w:val="none"/>
              </w:rPr>
            </w:pPr>
          </w:p>
        </w:tc>
      </w:tr>
      <w:tr w14:paraId="1E75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09BB9BA9">
            <w:pPr>
              <w:rPr>
                <w:color w:val="auto"/>
                <w:highlight w:val="none"/>
              </w:rPr>
            </w:pPr>
            <w:r>
              <w:rPr>
                <w:rFonts w:hint="eastAsia" w:ascii="宋体" w:hAnsi="宋体" w:cs="Arial"/>
                <w:color w:val="auto"/>
                <w:sz w:val="24"/>
                <w:highlight w:val="none"/>
              </w:rPr>
              <w:t>URS11.1-11</w:t>
            </w:r>
          </w:p>
        </w:tc>
        <w:tc>
          <w:tcPr>
            <w:tcW w:w="6521" w:type="dxa"/>
          </w:tcPr>
          <w:p w14:paraId="6D683DB1">
            <w:pPr>
              <w:rPr>
                <w:rFonts w:hint="eastAsia" w:ascii="宋体" w:hAnsi="宋体"/>
                <w:color w:val="auto"/>
                <w:sz w:val="24"/>
                <w:highlight w:val="none"/>
              </w:rPr>
            </w:pPr>
            <w:r>
              <w:rPr>
                <w:rFonts w:hint="eastAsia" w:ascii="宋体" w:hAnsi="宋体"/>
                <w:color w:val="auto"/>
                <w:sz w:val="24"/>
                <w:highlight w:val="none"/>
              </w:rPr>
              <w:t>机组要求有良好的保温性能和防冷桥性能，应符合相关标准中防外部凝露试验的有关要求；箱板厚度不应低于50MM。</w:t>
            </w:r>
          </w:p>
        </w:tc>
        <w:tc>
          <w:tcPr>
            <w:tcW w:w="992" w:type="dxa"/>
          </w:tcPr>
          <w:p w14:paraId="212E4BB8">
            <w:pPr>
              <w:rPr>
                <w:color w:val="auto"/>
                <w:highlight w:val="none"/>
              </w:rPr>
            </w:pPr>
            <w:r>
              <w:rPr>
                <w:rFonts w:hint="eastAsia" w:ascii="宋体" w:hAnsi="宋体" w:cs="Arial"/>
                <w:color w:val="auto"/>
                <w:sz w:val="24"/>
                <w:highlight w:val="none"/>
                <w:lang w:val="en-GB"/>
              </w:rPr>
              <w:t>必需</w:t>
            </w:r>
          </w:p>
        </w:tc>
        <w:tc>
          <w:tcPr>
            <w:tcW w:w="1550" w:type="dxa"/>
            <w:vAlign w:val="center"/>
          </w:tcPr>
          <w:p w14:paraId="46FA52FE">
            <w:pPr>
              <w:spacing w:before="62" w:beforeLines="20" w:after="62" w:afterLines="20" w:line="276" w:lineRule="auto"/>
              <w:jc w:val="left"/>
              <w:rPr>
                <w:rFonts w:hint="eastAsia" w:ascii="宋体" w:hAnsi="宋体" w:cs="Arial"/>
                <w:color w:val="auto"/>
                <w:sz w:val="24"/>
                <w:highlight w:val="none"/>
              </w:rPr>
            </w:pPr>
          </w:p>
        </w:tc>
      </w:tr>
      <w:tr w14:paraId="3AA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3C6D0A34">
            <w:pPr>
              <w:rPr>
                <w:color w:val="auto"/>
                <w:highlight w:val="none"/>
              </w:rPr>
            </w:pPr>
            <w:r>
              <w:rPr>
                <w:rFonts w:hint="eastAsia" w:ascii="宋体" w:hAnsi="宋体" w:cs="Arial"/>
                <w:color w:val="auto"/>
                <w:sz w:val="24"/>
                <w:highlight w:val="none"/>
              </w:rPr>
              <w:t>URS11.1-12</w:t>
            </w:r>
          </w:p>
        </w:tc>
        <w:tc>
          <w:tcPr>
            <w:tcW w:w="6521" w:type="dxa"/>
          </w:tcPr>
          <w:p w14:paraId="1F34298C">
            <w:pPr>
              <w:rPr>
                <w:rFonts w:hint="eastAsia" w:ascii="宋体" w:hAnsi="宋体"/>
                <w:color w:val="auto"/>
                <w:sz w:val="24"/>
                <w:highlight w:val="none"/>
              </w:rPr>
            </w:pPr>
            <w:r>
              <w:rPr>
                <w:rFonts w:hint="eastAsia" w:ascii="宋体" w:hAnsi="宋体"/>
                <w:color w:val="auto"/>
                <w:sz w:val="24"/>
                <w:highlight w:val="none"/>
              </w:rPr>
              <w:t>机组应有足够的设计强度，在最大设计静压下，能承受持久的压力扭曲而不产生永久变形；</w:t>
            </w:r>
          </w:p>
        </w:tc>
        <w:tc>
          <w:tcPr>
            <w:tcW w:w="992" w:type="dxa"/>
          </w:tcPr>
          <w:p w14:paraId="5841E4C6">
            <w:pPr>
              <w:rPr>
                <w:color w:val="auto"/>
                <w:highlight w:val="none"/>
              </w:rPr>
            </w:pPr>
            <w:r>
              <w:rPr>
                <w:rFonts w:hint="eastAsia" w:ascii="宋体" w:hAnsi="宋体" w:cs="Arial"/>
                <w:color w:val="auto"/>
                <w:sz w:val="24"/>
                <w:highlight w:val="none"/>
                <w:lang w:val="en-GB"/>
              </w:rPr>
              <w:t>必需</w:t>
            </w:r>
          </w:p>
        </w:tc>
        <w:tc>
          <w:tcPr>
            <w:tcW w:w="1550" w:type="dxa"/>
            <w:vAlign w:val="center"/>
          </w:tcPr>
          <w:p w14:paraId="19CFD8DC">
            <w:pPr>
              <w:spacing w:before="62" w:beforeLines="20" w:after="62" w:afterLines="20" w:line="276" w:lineRule="auto"/>
              <w:jc w:val="left"/>
              <w:rPr>
                <w:rFonts w:hint="eastAsia" w:ascii="宋体" w:hAnsi="宋体" w:cs="Arial"/>
                <w:color w:val="auto"/>
                <w:sz w:val="24"/>
                <w:highlight w:val="none"/>
              </w:rPr>
            </w:pPr>
          </w:p>
        </w:tc>
      </w:tr>
      <w:tr w14:paraId="4356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0ECB9CF6">
            <w:pPr>
              <w:rPr>
                <w:color w:val="auto"/>
                <w:highlight w:val="none"/>
              </w:rPr>
            </w:pPr>
            <w:r>
              <w:rPr>
                <w:rFonts w:hint="eastAsia" w:ascii="宋体" w:hAnsi="宋体" w:cs="Arial"/>
                <w:color w:val="auto"/>
                <w:sz w:val="24"/>
                <w:highlight w:val="none"/>
              </w:rPr>
              <w:t>URS11.1-13</w:t>
            </w:r>
          </w:p>
        </w:tc>
        <w:tc>
          <w:tcPr>
            <w:tcW w:w="6521" w:type="dxa"/>
          </w:tcPr>
          <w:p w14:paraId="49ECA332">
            <w:pPr>
              <w:rPr>
                <w:rFonts w:hint="eastAsia" w:ascii="宋体" w:hAnsi="宋体"/>
                <w:color w:val="auto"/>
                <w:sz w:val="24"/>
                <w:highlight w:val="none"/>
              </w:rPr>
            </w:pPr>
            <w:r>
              <w:rPr>
                <w:rFonts w:hint="eastAsia" w:ascii="宋体" w:hAnsi="宋体"/>
                <w:color w:val="auto"/>
                <w:sz w:val="24"/>
                <w:highlight w:val="none"/>
              </w:rPr>
              <w:t>机组应当有良好的密封性能，</w:t>
            </w:r>
            <w:r>
              <w:rPr>
                <w:rFonts w:ascii="宋体" w:hAnsi="宋体"/>
                <w:color w:val="auto"/>
                <w:sz w:val="24"/>
                <w:highlight w:val="none"/>
              </w:rPr>
              <w:t>1000Pa</w:t>
            </w:r>
            <w:r>
              <w:rPr>
                <w:rFonts w:hint="eastAsia" w:ascii="宋体" w:hAnsi="宋体"/>
                <w:color w:val="auto"/>
                <w:sz w:val="24"/>
                <w:highlight w:val="none"/>
              </w:rPr>
              <w:t>压差下漏风率应小于</w:t>
            </w:r>
            <w:r>
              <w:rPr>
                <w:rFonts w:ascii="宋体" w:hAnsi="宋体"/>
                <w:color w:val="auto"/>
                <w:sz w:val="24"/>
                <w:highlight w:val="none"/>
              </w:rPr>
              <w:t>0.</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w:t>
            </w:r>
          </w:p>
        </w:tc>
        <w:tc>
          <w:tcPr>
            <w:tcW w:w="992" w:type="dxa"/>
            <w:vAlign w:val="center"/>
          </w:tcPr>
          <w:p w14:paraId="6B18600D">
            <w:pPr>
              <w:rPr>
                <w:rFonts w:hint="eastAsia" w:ascii="宋体" w:hAnsi="宋体"/>
                <w:color w:val="auto"/>
                <w:sz w:val="24"/>
                <w:highlight w:val="none"/>
              </w:rPr>
            </w:pPr>
            <w:r>
              <w:rPr>
                <w:rFonts w:hint="eastAsia" w:ascii="宋体" w:hAnsi="宋体"/>
                <w:color w:val="auto"/>
                <w:sz w:val="24"/>
                <w:highlight w:val="none"/>
              </w:rPr>
              <w:t>必需</w:t>
            </w:r>
          </w:p>
        </w:tc>
        <w:tc>
          <w:tcPr>
            <w:tcW w:w="1550" w:type="dxa"/>
            <w:vAlign w:val="center"/>
          </w:tcPr>
          <w:p w14:paraId="1EDB2F89">
            <w:pPr>
              <w:spacing w:before="62" w:beforeLines="20" w:after="62" w:afterLines="20" w:line="276" w:lineRule="auto"/>
              <w:jc w:val="left"/>
              <w:rPr>
                <w:rFonts w:hint="eastAsia" w:ascii="宋体" w:hAnsi="宋体" w:cs="Arial"/>
                <w:color w:val="auto"/>
                <w:sz w:val="24"/>
                <w:highlight w:val="none"/>
              </w:rPr>
            </w:pPr>
          </w:p>
        </w:tc>
      </w:tr>
      <w:tr w14:paraId="1C43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07933E2E">
            <w:pPr>
              <w:rPr>
                <w:color w:val="auto"/>
                <w:highlight w:val="none"/>
              </w:rPr>
            </w:pPr>
            <w:r>
              <w:rPr>
                <w:rFonts w:hint="eastAsia" w:ascii="宋体" w:hAnsi="宋体" w:cs="Arial"/>
                <w:color w:val="auto"/>
                <w:sz w:val="24"/>
                <w:highlight w:val="none"/>
              </w:rPr>
              <w:t>URS11.1-14</w:t>
            </w:r>
          </w:p>
        </w:tc>
        <w:tc>
          <w:tcPr>
            <w:tcW w:w="6521" w:type="dxa"/>
          </w:tcPr>
          <w:p w14:paraId="5212F77A">
            <w:pPr>
              <w:rPr>
                <w:rFonts w:hint="eastAsia" w:ascii="宋体" w:hAnsi="宋体"/>
                <w:color w:val="auto"/>
                <w:sz w:val="24"/>
                <w:highlight w:val="none"/>
              </w:rPr>
            </w:pPr>
            <w:r>
              <w:rPr>
                <w:rFonts w:hint="eastAsia" w:ascii="宋体" w:hAnsi="宋体"/>
                <w:color w:val="auto"/>
                <w:sz w:val="24"/>
                <w:highlight w:val="none"/>
              </w:rPr>
              <w:t>机组应采取有效的凝水排放措施，保证内部不积水；</w:t>
            </w:r>
          </w:p>
        </w:tc>
        <w:tc>
          <w:tcPr>
            <w:tcW w:w="992" w:type="dxa"/>
          </w:tcPr>
          <w:p w14:paraId="1B34090E">
            <w:pPr>
              <w:rPr>
                <w:color w:val="auto"/>
                <w:highlight w:val="none"/>
              </w:rPr>
            </w:pPr>
            <w:r>
              <w:rPr>
                <w:rFonts w:hint="eastAsia" w:ascii="宋体" w:hAnsi="宋体" w:cs="Arial"/>
                <w:color w:val="auto"/>
                <w:sz w:val="24"/>
                <w:highlight w:val="none"/>
                <w:lang w:val="en-GB"/>
              </w:rPr>
              <w:t>必需</w:t>
            </w:r>
          </w:p>
        </w:tc>
        <w:tc>
          <w:tcPr>
            <w:tcW w:w="1550" w:type="dxa"/>
            <w:vAlign w:val="center"/>
          </w:tcPr>
          <w:p w14:paraId="72B40B63">
            <w:pPr>
              <w:spacing w:before="62" w:beforeLines="20" w:after="62" w:afterLines="20" w:line="276" w:lineRule="auto"/>
              <w:jc w:val="left"/>
              <w:rPr>
                <w:rFonts w:hint="eastAsia" w:ascii="宋体" w:hAnsi="宋体" w:cs="Arial"/>
                <w:color w:val="auto"/>
                <w:sz w:val="24"/>
                <w:highlight w:val="none"/>
              </w:rPr>
            </w:pPr>
          </w:p>
        </w:tc>
      </w:tr>
      <w:tr w14:paraId="3F94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7EED36BD">
            <w:pPr>
              <w:rPr>
                <w:color w:val="auto"/>
                <w:highlight w:val="none"/>
              </w:rPr>
            </w:pPr>
            <w:r>
              <w:rPr>
                <w:rFonts w:hint="eastAsia" w:ascii="宋体" w:hAnsi="宋体" w:cs="Arial"/>
                <w:color w:val="auto"/>
                <w:sz w:val="24"/>
                <w:highlight w:val="none"/>
              </w:rPr>
              <w:t>URS11.1-15</w:t>
            </w:r>
          </w:p>
        </w:tc>
        <w:tc>
          <w:tcPr>
            <w:tcW w:w="6521" w:type="dxa"/>
          </w:tcPr>
          <w:p w14:paraId="4FC05DEA">
            <w:pPr>
              <w:spacing w:line="360" w:lineRule="auto"/>
              <w:rPr>
                <w:rFonts w:hint="eastAsia" w:ascii="宋体" w:hAnsi="宋体"/>
                <w:color w:val="auto"/>
                <w:sz w:val="24"/>
                <w:highlight w:val="none"/>
              </w:rPr>
            </w:pPr>
            <w:r>
              <w:rPr>
                <w:rFonts w:hint="eastAsia" w:ascii="宋体" w:hAnsi="宋体"/>
                <w:color w:val="auto"/>
                <w:sz w:val="24"/>
                <w:highlight w:val="none"/>
              </w:rPr>
              <w:t>机组应采取内部减振措施，防止振动沿基础或风管传递；</w:t>
            </w:r>
          </w:p>
        </w:tc>
        <w:tc>
          <w:tcPr>
            <w:tcW w:w="992" w:type="dxa"/>
          </w:tcPr>
          <w:p w14:paraId="2712C489">
            <w:pPr>
              <w:rPr>
                <w:color w:val="auto"/>
                <w:highlight w:val="none"/>
              </w:rPr>
            </w:pPr>
            <w:r>
              <w:rPr>
                <w:rFonts w:hint="eastAsia" w:ascii="宋体" w:hAnsi="宋体" w:cs="Arial"/>
                <w:color w:val="auto"/>
                <w:sz w:val="24"/>
                <w:highlight w:val="none"/>
                <w:lang w:val="en-GB"/>
              </w:rPr>
              <w:t>必需</w:t>
            </w:r>
          </w:p>
        </w:tc>
        <w:tc>
          <w:tcPr>
            <w:tcW w:w="1550" w:type="dxa"/>
            <w:vAlign w:val="center"/>
          </w:tcPr>
          <w:p w14:paraId="32BE4762">
            <w:pPr>
              <w:spacing w:before="62" w:beforeLines="20" w:after="62" w:afterLines="20" w:line="276" w:lineRule="auto"/>
              <w:jc w:val="left"/>
              <w:rPr>
                <w:rFonts w:hint="eastAsia" w:ascii="宋体" w:hAnsi="宋体" w:cs="Arial"/>
                <w:color w:val="auto"/>
                <w:sz w:val="24"/>
                <w:highlight w:val="none"/>
              </w:rPr>
            </w:pPr>
          </w:p>
        </w:tc>
      </w:tr>
      <w:tr w14:paraId="0542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277A8D24">
            <w:pPr>
              <w:rPr>
                <w:color w:val="auto"/>
                <w:highlight w:val="none"/>
              </w:rPr>
            </w:pPr>
            <w:r>
              <w:rPr>
                <w:rFonts w:hint="eastAsia" w:ascii="宋体" w:hAnsi="宋体" w:cs="Arial"/>
                <w:color w:val="auto"/>
                <w:sz w:val="24"/>
                <w:highlight w:val="none"/>
              </w:rPr>
              <w:t>URS11.1-16</w:t>
            </w:r>
          </w:p>
        </w:tc>
        <w:tc>
          <w:tcPr>
            <w:tcW w:w="6521" w:type="dxa"/>
          </w:tcPr>
          <w:p w14:paraId="454B384C">
            <w:pPr>
              <w:rPr>
                <w:rFonts w:hint="eastAsia" w:ascii="宋体" w:hAnsi="宋体"/>
                <w:color w:val="auto"/>
                <w:sz w:val="24"/>
                <w:highlight w:val="none"/>
              </w:rPr>
            </w:pPr>
            <w:r>
              <w:rPr>
                <w:rFonts w:hint="eastAsia" w:ascii="宋体" w:hAnsi="宋体"/>
                <w:color w:val="auto"/>
                <w:sz w:val="24"/>
                <w:highlight w:val="none"/>
              </w:rPr>
              <w:t>每台机组应配一套安装于机组内的初、中效过滤器</w:t>
            </w:r>
          </w:p>
        </w:tc>
        <w:tc>
          <w:tcPr>
            <w:tcW w:w="992" w:type="dxa"/>
          </w:tcPr>
          <w:p w14:paraId="1684708D">
            <w:pPr>
              <w:rPr>
                <w:color w:val="auto"/>
                <w:highlight w:val="none"/>
              </w:rPr>
            </w:pPr>
            <w:r>
              <w:rPr>
                <w:rFonts w:hint="eastAsia" w:ascii="宋体" w:hAnsi="宋体" w:cs="Arial"/>
                <w:color w:val="auto"/>
                <w:sz w:val="24"/>
                <w:highlight w:val="none"/>
                <w:lang w:val="en-GB"/>
              </w:rPr>
              <w:t>必需</w:t>
            </w:r>
          </w:p>
        </w:tc>
        <w:tc>
          <w:tcPr>
            <w:tcW w:w="1550" w:type="dxa"/>
            <w:vAlign w:val="center"/>
          </w:tcPr>
          <w:p w14:paraId="02A345A1">
            <w:pPr>
              <w:spacing w:before="62" w:beforeLines="20" w:after="62" w:afterLines="20" w:line="276" w:lineRule="auto"/>
              <w:jc w:val="left"/>
              <w:rPr>
                <w:rFonts w:hint="eastAsia" w:ascii="宋体" w:hAnsi="宋体" w:cs="Arial"/>
                <w:color w:val="auto"/>
                <w:sz w:val="24"/>
                <w:highlight w:val="none"/>
              </w:rPr>
            </w:pPr>
          </w:p>
        </w:tc>
      </w:tr>
      <w:tr w14:paraId="655D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109EA872">
            <w:pPr>
              <w:rPr>
                <w:color w:val="auto"/>
                <w:highlight w:val="none"/>
              </w:rPr>
            </w:pPr>
            <w:r>
              <w:rPr>
                <w:rFonts w:hint="eastAsia" w:ascii="宋体" w:hAnsi="宋体" w:cs="Arial"/>
                <w:color w:val="auto"/>
                <w:sz w:val="24"/>
                <w:highlight w:val="none"/>
              </w:rPr>
              <w:t>URS11.1-17</w:t>
            </w:r>
          </w:p>
        </w:tc>
        <w:tc>
          <w:tcPr>
            <w:tcW w:w="6521" w:type="dxa"/>
          </w:tcPr>
          <w:p w14:paraId="55F628B3">
            <w:pPr>
              <w:spacing w:line="360" w:lineRule="auto"/>
              <w:rPr>
                <w:rFonts w:hint="eastAsia" w:ascii="宋体" w:hAnsi="宋体"/>
                <w:color w:val="auto"/>
                <w:sz w:val="24"/>
                <w:highlight w:val="none"/>
              </w:rPr>
            </w:pPr>
            <w:r>
              <w:rPr>
                <w:rFonts w:hint="eastAsia" w:ascii="宋体" w:hAnsi="宋体"/>
                <w:color w:val="auto"/>
                <w:sz w:val="24"/>
                <w:highlight w:val="none"/>
              </w:rPr>
              <w:t>配备新风电动调节阀、回风手动调节阀</w:t>
            </w:r>
            <w:r>
              <w:rPr>
                <w:rFonts w:ascii="宋体" w:hAnsi="宋体"/>
                <w:color w:val="auto"/>
                <w:sz w:val="24"/>
                <w:highlight w:val="none"/>
              </w:rPr>
              <w:t>;</w:t>
            </w:r>
            <w:r>
              <w:rPr>
                <w:rFonts w:hint="eastAsia" w:ascii="宋体" w:hAnsi="宋体"/>
                <w:color w:val="auto"/>
                <w:sz w:val="24"/>
                <w:highlight w:val="none"/>
              </w:rPr>
              <w:t>送风手动调节阀</w:t>
            </w:r>
          </w:p>
        </w:tc>
        <w:tc>
          <w:tcPr>
            <w:tcW w:w="992" w:type="dxa"/>
          </w:tcPr>
          <w:p w14:paraId="178CB456">
            <w:pPr>
              <w:rPr>
                <w:color w:val="auto"/>
                <w:highlight w:val="none"/>
              </w:rPr>
            </w:pPr>
            <w:r>
              <w:rPr>
                <w:rFonts w:hint="eastAsia" w:ascii="宋体" w:hAnsi="宋体" w:cs="Arial"/>
                <w:color w:val="auto"/>
                <w:sz w:val="24"/>
                <w:highlight w:val="none"/>
                <w:lang w:val="en-GB"/>
              </w:rPr>
              <w:t>必需</w:t>
            </w:r>
          </w:p>
        </w:tc>
        <w:tc>
          <w:tcPr>
            <w:tcW w:w="1550" w:type="dxa"/>
            <w:vAlign w:val="center"/>
          </w:tcPr>
          <w:p w14:paraId="6B25FAC8">
            <w:pPr>
              <w:spacing w:before="62" w:beforeLines="20" w:after="62" w:afterLines="20" w:line="276" w:lineRule="auto"/>
              <w:jc w:val="left"/>
              <w:rPr>
                <w:rFonts w:hint="eastAsia" w:ascii="宋体" w:hAnsi="宋体" w:cs="Arial"/>
                <w:color w:val="auto"/>
                <w:sz w:val="24"/>
                <w:highlight w:val="none"/>
              </w:rPr>
            </w:pPr>
          </w:p>
        </w:tc>
      </w:tr>
      <w:tr w14:paraId="1615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7A3B54B7">
            <w:pPr>
              <w:rPr>
                <w:color w:val="auto"/>
                <w:highlight w:val="none"/>
              </w:rPr>
            </w:pPr>
            <w:r>
              <w:rPr>
                <w:rFonts w:hint="eastAsia" w:ascii="宋体" w:hAnsi="宋体" w:cs="Arial"/>
                <w:color w:val="auto"/>
                <w:sz w:val="24"/>
                <w:highlight w:val="none"/>
              </w:rPr>
              <w:t>URS11.1-18</w:t>
            </w:r>
          </w:p>
        </w:tc>
        <w:tc>
          <w:tcPr>
            <w:tcW w:w="6521" w:type="dxa"/>
          </w:tcPr>
          <w:p w14:paraId="06AC95E9">
            <w:pPr>
              <w:spacing w:line="360" w:lineRule="auto"/>
              <w:rPr>
                <w:rFonts w:hint="eastAsia" w:ascii="宋体" w:hAnsi="宋体"/>
                <w:color w:val="auto"/>
                <w:sz w:val="24"/>
                <w:highlight w:val="none"/>
              </w:rPr>
            </w:pPr>
            <w:r>
              <w:rPr>
                <w:rFonts w:hint="eastAsia" w:ascii="宋体" w:hAnsi="宋体"/>
                <w:color w:val="auto"/>
                <w:sz w:val="24"/>
                <w:highlight w:val="none"/>
              </w:rPr>
              <w:t>机组各检修位应设检修门，检修门配备观察窗，并配</w:t>
            </w:r>
            <w:r>
              <w:rPr>
                <w:rFonts w:ascii="宋体" w:hAnsi="宋体"/>
                <w:color w:val="auto"/>
                <w:sz w:val="24"/>
                <w:highlight w:val="none"/>
              </w:rPr>
              <w:t>24V</w:t>
            </w:r>
            <w:r>
              <w:rPr>
                <w:rFonts w:hint="eastAsia" w:ascii="宋体" w:hAnsi="宋体"/>
                <w:color w:val="auto"/>
                <w:sz w:val="24"/>
                <w:highlight w:val="none"/>
              </w:rPr>
              <w:t>防水照明灯。检查门设应设计严密、灵活、方便维修；</w:t>
            </w:r>
          </w:p>
        </w:tc>
        <w:tc>
          <w:tcPr>
            <w:tcW w:w="992" w:type="dxa"/>
          </w:tcPr>
          <w:p w14:paraId="0C95AE26">
            <w:pPr>
              <w:rPr>
                <w:color w:val="auto"/>
                <w:highlight w:val="none"/>
              </w:rPr>
            </w:pPr>
            <w:r>
              <w:rPr>
                <w:rFonts w:hint="eastAsia" w:ascii="宋体" w:hAnsi="宋体" w:cs="Arial"/>
                <w:color w:val="auto"/>
                <w:sz w:val="24"/>
                <w:highlight w:val="none"/>
                <w:lang w:val="en-GB"/>
              </w:rPr>
              <w:t>必需</w:t>
            </w:r>
          </w:p>
        </w:tc>
        <w:tc>
          <w:tcPr>
            <w:tcW w:w="1550" w:type="dxa"/>
            <w:vAlign w:val="center"/>
          </w:tcPr>
          <w:p w14:paraId="7D288B16">
            <w:pPr>
              <w:spacing w:before="62" w:beforeLines="20" w:after="62" w:afterLines="20" w:line="276" w:lineRule="auto"/>
              <w:jc w:val="left"/>
              <w:rPr>
                <w:rFonts w:hint="eastAsia" w:ascii="宋体" w:hAnsi="宋体" w:cs="Arial"/>
                <w:color w:val="auto"/>
                <w:sz w:val="24"/>
                <w:highlight w:val="none"/>
              </w:rPr>
            </w:pPr>
          </w:p>
        </w:tc>
      </w:tr>
      <w:tr w14:paraId="09D4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5C1A7CDC">
            <w:pPr>
              <w:rPr>
                <w:color w:val="auto"/>
                <w:highlight w:val="none"/>
              </w:rPr>
            </w:pPr>
            <w:r>
              <w:rPr>
                <w:rFonts w:hint="eastAsia" w:ascii="宋体" w:hAnsi="宋体" w:cs="Arial"/>
                <w:color w:val="auto"/>
                <w:sz w:val="24"/>
                <w:highlight w:val="none"/>
              </w:rPr>
              <w:t>URS11.1-19</w:t>
            </w:r>
          </w:p>
        </w:tc>
        <w:tc>
          <w:tcPr>
            <w:tcW w:w="6521" w:type="dxa"/>
          </w:tcPr>
          <w:p w14:paraId="198A6A28">
            <w:pPr>
              <w:rPr>
                <w:rFonts w:hint="eastAsia" w:ascii="宋体" w:hAnsi="宋体"/>
                <w:color w:val="auto"/>
                <w:sz w:val="24"/>
                <w:highlight w:val="none"/>
              </w:rPr>
            </w:pPr>
            <w:r>
              <w:rPr>
                <w:rFonts w:hint="eastAsia" w:ascii="宋体" w:hAnsi="宋体"/>
                <w:color w:val="auto"/>
                <w:sz w:val="24"/>
                <w:highlight w:val="none"/>
              </w:rPr>
              <w:t>投标人应提供国家权威机构出具的组合式空调机组检验报告。</w:t>
            </w:r>
          </w:p>
        </w:tc>
        <w:tc>
          <w:tcPr>
            <w:tcW w:w="992" w:type="dxa"/>
          </w:tcPr>
          <w:p w14:paraId="21B90C76">
            <w:pPr>
              <w:rPr>
                <w:color w:val="auto"/>
                <w:highlight w:val="none"/>
              </w:rPr>
            </w:pPr>
            <w:r>
              <w:rPr>
                <w:rFonts w:hint="eastAsia" w:ascii="宋体" w:hAnsi="宋体" w:cs="Arial"/>
                <w:color w:val="auto"/>
                <w:sz w:val="24"/>
                <w:highlight w:val="none"/>
                <w:lang w:val="en-GB"/>
              </w:rPr>
              <w:t>必需</w:t>
            </w:r>
          </w:p>
        </w:tc>
        <w:tc>
          <w:tcPr>
            <w:tcW w:w="1550" w:type="dxa"/>
            <w:vAlign w:val="center"/>
          </w:tcPr>
          <w:p w14:paraId="3D1DBE73">
            <w:pPr>
              <w:spacing w:before="62" w:beforeLines="20" w:after="62" w:afterLines="20" w:line="276" w:lineRule="auto"/>
              <w:jc w:val="left"/>
              <w:rPr>
                <w:rFonts w:hint="eastAsia" w:ascii="宋体" w:hAnsi="宋体" w:cs="Arial"/>
                <w:color w:val="auto"/>
                <w:sz w:val="24"/>
                <w:highlight w:val="none"/>
              </w:rPr>
            </w:pPr>
          </w:p>
        </w:tc>
      </w:tr>
      <w:tr w14:paraId="27AB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76A11C68">
            <w:pPr>
              <w:rPr>
                <w:color w:val="auto"/>
                <w:highlight w:val="none"/>
              </w:rPr>
            </w:pPr>
            <w:r>
              <w:rPr>
                <w:rFonts w:hint="eastAsia" w:ascii="宋体" w:hAnsi="宋体" w:cs="Arial"/>
                <w:color w:val="auto"/>
                <w:sz w:val="24"/>
                <w:highlight w:val="none"/>
              </w:rPr>
              <w:t>URS11.1-20</w:t>
            </w:r>
          </w:p>
        </w:tc>
        <w:tc>
          <w:tcPr>
            <w:tcW w:w="6521" w:type="dxa"/>
          </w:tcPr>
          <w:p w14:paraId="5B337CBE">
            <w:pPr>
              <w:spacing w:line="360" w:lineRule="auto"/>
              <w:rPr>
                <w:rFonts w:hint="eastAsia" w:ascii="宋体" w:hAnsi="宋体"/>
                <w:color w:val="auto"/>
                <w:sz w:val="24"/>
                <w:highlight w:val="none"/>
              </w:rPr>
            </w:pPr>
            <w:r>
              <w:rPr>
                <w:rFonts w:hint="eastAsia" w:ascii="宋体" w:hAnsi="宋体"/>
                <w:color w:val="auto"/>
                <w:sz w:val="24"/>
                <w:highlight w:val="none"/>
              </w:rPr>
              <w:t>金属板材：所有板材均要求采用进口或国产优质产品。内面板采用304不锈钢板，厚度应不小于</w:t>
            </w:r>
            <w:r>
              <w:rPr>
                <w:rFonts w:ascii="宋体" w:hAnsi="宋体"/>
                <w:color w:val="auto"/>
                <w:sz w:val="24"/>
                <w:highlight w:val="none"/>
              </w:rPr>
              <w:t>0.</w:t>
            </w:r>
            <w:r>
              <w:rPr>
                <w:rFonts w:hint="eastAsia" w:ascii="宋体" w:hAnsi="宋体"/>
                <w:color w:val="auto"/>
                <w:sz w:val="24"/>
                <w:highlight w:val="none"/>
              </w:rPr>
              <w:t>7</w:t>
            </w:r>
            <w:r>
              <w:rPr>
                <w:rFonts w:ascii="宋体" w:hAnsi="宋体"/>
                <w:color w:val="auto"/>
                <w:sz w:val="24"/>
                <w:highlight w:val="none"/>
              </w:rPr>
              <w:t>mm</w:t>
            </w:r>
            <w:r>
              <w:rPr>
                <w:rFonts w:hint="eastAsia" w:ascii="宋体" w:hAnsi="宋体"/>
                <w:color w:val="auto"/>
                <w:sz w:val="24"/>
                <w:highlight w:val="none"/>
              </w:rPr>
              <w:t>；</w:t>
            </w:r>
          </w:p>
        </w:tc>
        <w:tc>
          <w:tcPr>
            <w:tcW w:w="992" w:type="dxa"/>
          </w:tcPr>
          <w:p w14:paraId="50E4D111">
            <w:pPr>
              <w:rPr>
                <w:color w:val="auto"/>
                <w:highlight w:val="none"/>
              </w:rPr>
            </w:pPr>
            <w:r>
              <w:rPr>
                <w:rFonts w:hint="eastAsia" w:ascii="宋体" w:hAnsi="宋体" w:cs="Arial"/>
                <w:color w:val="auto"/>
                <w:sz w:val="24"/>
                <w:highlight w:val="none"/>
                <w:lang w:val="en-GB"/>
              </w:rPr>
              <w:t>必需</w:t>
            </w:r>
          </w:p>
        </w:tc>
        <w:tc>
          <w:tcPr>
            <w:tcW w:w="1550" w:type="dxa"/>
            <w:vAlign w:val="center"/>
          </w:tcPr>
          <w:p w14:paraId="710DAC46">
            <w:pPr>
              <w:spacing w:before="62" w:beforeLines="20" w:after="62" w:afterLines="20" w:line="276" w:lineRule="auto"/>
              <w:jc w:val="left"/>
              <w:rPr>
                <w:rFonts w:hint="eastAsia" w:ascii="宋体" w:hAnsi="宋体" w:cs="Arial"/>
                <w:color w:val="auto"/>
                <w:sz w:val="24"/>
                <w:highlight w:val="none"/>
              </w:rPr>
            </w:pPr>
          </w:p>
        </w:tc>
      </w:tr>
      <w:tr w14:paraId="398D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0D583BFF">
            <w:pPr>
              <w:rPr>
                <w:color w:val="auto"/>
                <w:highlight w:val="none"/>
              </w:rPr>
            </w:pPr>
            <w:r>
              <w:rPr>
                <w:rFonts w:hint="eastAsia" w:ascii="宋体" w:hAnsi="宋体" w:cs="Arial"/>
                <w:color w:val="auto"/>
                <w:sz w:val="24"/>
                <w:highlight w:val="none"/>
              </w:rPr>
              <w:t>URS11.1-21</w:t>
            </w:r>
          </w:p>
        </w:tc>
        <w:tc>
          <w:tcPr>
            <w:tcW w:w="6521" w:type="dxa"/>
          </w:tcPr>
          <w:p w14:paraId="1F7885FB">
            <w:pPr>
              <w:spacing w:line="360" w:lineRule="auto"/>
              <w:rPr>
                <w:rFonts w:hint="eastAsia" w:ascii="宋体" w:hAnsi="宋体"/>
                <w:color w:val="auto"/>
                <w:sz w:val="24"/>
                <w:highlight w:val="none"/>
              </w:rPr>
            </w:pPr>
            <w:r>
              <w:rPr>
                <w:rFonts w:hint="eastAsia" w:ascii="宋体" w:hAnsi="宋体"/>
                <w:color w:val="auto"/>
                <w:sz w:val="24"/>
                <w:highlight w:val="none"/>
              </w:rPr>
              <w:t>保温材料：要求采用硬质聚氨酯直接发泡，不接受将内外面板粘贴在聚氨酯发泡板上的面板，保温层厚度应不小于</w:t>
            </w:r>
            <w:r>
              <w:rPr>
                <w:rFonts w:ascii="宋体" w:hAnsi="宋体"/>
                <w:color w:val="auto"/>
                <w:sz w:val="24"/>
                <w:highlight w:val="none"/>
              </w:rPr>
              <w:t>50mm</w:t>
            </w:r>
            <w:r>
              <w:rPr>
                <w:rFonts w:hint="eastAsia" w:ascii="宋体" w:hAnsi="宋体"/>
                <w:color w:val="auto"/>
                <w:sz w:val="24"/>
                <w:highlight w:val="none"/>
              </w:rPr>
              <w:t>；保温层与面板应结合牢固、无间隙。</w:t>
            </w:r>
          </w:p>
        </w:tc>
        <w:tc>
          <w:tcPr>
            <w:tcW w:w="992" w:type="dxa"/>
          </w:tcPr>
          <w:p w14:paraId="6F8CCE8F">
            <w:pPr>
              <w:rPr>
                <w:color w:val="auto"/>
                <w:highlight w:val="none"/>
              </w:rPr>
            </w:pPr>
            <w:r>
              <w:rPr>
                <w:rFonts w:hint="eastAsia" w:ascii="宋体" w:hAnsi="宋体" w:cs="Arial"/>
                <w:color w:val="auto"/>
                <w:sz w:val="24"/>
                <w:highlight w:val="none"/>
                <w:lang w:val="en-GB"/>
              </w:rPr>
              <w:t>必需</w:t>
            </w:r>
          </w:p>
        </w:tc>
        <w:tc>
          <w:tcPr>
            <w:tcW w:w="1550" w:type="dxa"/>
            <w:vAlign w:val="center"/>
          </w:tcPr>
          <w:p w14:paraId="0FD3F4C5">
            <w:pPr>
              <w:spacing w:before="62" w:beforeLines="20" w:after="62" w:afterLines="20" w:line="276" w:lineRule="auto"/>
              <w:jc w:val="left"/>
              <w:rPr>
                <w:rFonts w:hint="eastAsia" w:ascii="宋体" w:hAnsi="宋体" w:cs="Arial"/>
                <w:color w:val="auto"/>
                <w:sz w:val="24"/>
                <w:highlight w:val="none"/>
              </w:rPr>
            </w:pPr>
          </w:p>
        </w:tc>
      </w:tr>
      <w:tr w14:paraId="32AE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493582D6">
            <w:pPr>
              <w:rPr>
                <w:color w:val="auto"/>
                <w:highlight w:val="none"/>
              </w:rPr>
            </w:pPr>
            <w:r>
              <w:rPr>
                <w:rFonts w:hint="eastAsia" w:ascii="宋体" w:hAnsi="宋体" w:cs="Arial"/>
                <w:color w:val="auto"/>
                <w:sz w:val="24"/>
                <w:highlight w:val="none"/>
              </w:rPr>
              <w:t>URS11.1-22</w:t>
            </w:r>
          </w:p>
        </w:tc>
        <w:tc>
          <w:tcPr>
            <w:tcW w:w="6521" w:type="dxa"/>
          </w:tcPr>
          <w:p w14:paraId="42304346">
            <w:pPr>
              <w:spacing w:line="360" w:lineRule="auto"/>
              <w:rPr>
                <w:rFonts w:hint="eastAsia" w:ascii="宋体" w:hAnsi="宋体"/>
                <w:color w:val="auto"/>
                <w:sz w:val="24"/>
                <w:highlight w:val="none"/>
              </w:rPr>
            </w:pPr>
            <w:r>
              <w:rPr>
                <w:rFonts w:hint="eastAsia" w:ascii="宋体" w:hAnsi="宋体" w:cs="宋体"/>
                <w:color w:val="auto"/>
                <w:sz w:val="24"/>
                <w:highlight w:val="none"/>
              </w:rPr>
              <w:t>检修门：采用钢制检修门，平整不变形，外形美观，区分正压段门和负压段门的开启方向，密闭效果好，检修门带有可视观察窗；</w:t>
            </w:r>
          </w:p>
        </w:tc>
        <w:tc>
          <w:tcPr>
            <w:tcW w:w="992" w:type="dxa"/>
          </w:tcPr>
          <w:p w14:paraId="66717B34">
            <w:pPr>
              <w:rPr>
                <w:color w:val="auto"/>
                <w:highlight w:val="none"/>
              </w:rPr>
            </w:pPr>
            <w:r>
              <w:rPr>
                <w:rFonts w:hint="eastAsia" w:ascii="宋体" w:hAnsi="宋体" w:cs="Arial"/>
                <w:color w:val="auto"/>
                <w:sz w:val="24"/>
                <w:highlight w:val="none"/>
                <w:lang w:val="en-GB"/>
              </w:rPr>
              <w:t>必需</w:t>
            </w:r>
          </w:p>
        </w:tc>
        <w:tc>
          <w:tcPr>
            <w:tcW w:w="1550" w:type="dxa"/>
            <w:vAlign w:val="center"/>
          </w:tcPr>
          <w:p w14:paraId="7C7ACBBD">
            <w:pPr>
              <w:spacing w:before="62" w:beforeLines="20" w:after="62" w:afterLines="20" w:line="276" w:lineRule="auto"/>
              <w:jc w:val="left"/>
              <w:rPr>
                <w:rFonts w:hint="eastAsia" w:ascii="宋体" w:hAnsi="宋体" w:cs="Arial"/>
                <w:color w:val="auto"/>
                <w:sz w:val="24"/>
                <w:highlight w:val="none"/>
              </w:rPr>
            </w:pPr>
          </w:p>
        </w:tc>
      </w:tr>
      <w:tr w14:paraId="5119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42D2910C">
            <w:pPr>
              <w:rPr>
                <w:color w:val="auto"/>
                <w:highlight w:val="none"/>
              </w:rPr>
            </w:pPr>
            <w:r>
              <w:rPr>
                <w:rFonts w:hint="eastAsia" w:ascii="宋体" w:hAnsi="宋体" w:cs="Arial"/>
                <w:color w:val="auto"/>
                <w:sz w:val="24"/>
                <w:highlight w:val="none"/>
              </w:rPr>
              <w:t>URS11.1-23</w:t>
            </w:r>
          </w:p>
        </w:tc>
        <w:tc>
          <w:tcPr>
            <w:tcW w:w="6521" w:type="dxa"/>
          </w:tcPr>
          <w:p w14:paraId="520491A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机组的混合段、回风段、送风段等需要与风管连接的功能段风口均配置碳钢法兰，风口尺寸按空调机条件图提的尺寸。</w:t>
            </w:r>
          </w:p>
        </w:tc>
        <w:tc>
          <w:tcPr>
            <w:tcW w:w="992" w:type="dxa"/>
            <w:vAlign w:val="center"/>
          </w:tcPr>
          <w:p w14:paraId="446EB781">
            <w:pPr>
              <w:jc w:val="center"/>
              <w:rPr>
                <w:rFonts w:hint="eastAsia" w:ascii="宋体" w:hAnsi="宋体"/>
                <w:color w:val="auto"/>
                <w:sz w:val="24"/>
                <w:highlight w:val="none"/>
              </w:rPr>
            </w:pPr>
            <w:r>
              <w:rPr>
                <w:rFonts w:hint="eastAsia" w:ascii="宋体" w:hAnsi="宋体" w:cs="Arial"/>
                <w:color w:val="auto"/>
                <w:sz w:val="24"/>
                <w:highlight w:val="none"/>
                <w:lang w:val="en-GB"/>
              </w:rPr>
              <w:t>必需</w:t>
            </w:r>
          </w:p>
        </w:tc>
        <w:tc>
          <w:tcPr>
            <w:tcW w:w="1550" w:type="dxa"/>
            <w:vAlign w:val="center"/>
          </w:tcPr>
          <w:p w14:paraId="183324ED">
            <w:pPr>
              <w:spacing w:before="62" w:beforeLines="20" w:after="62" w:afterLines="20" w:line="276" w:lineRule="auto"/>
              <w:jc w:val="left"/>
              <w:rPr>
                <w:rFonts w:hint="eastAsia" w:ascii="宋体" w:hAnsi="宋体" w:cs="Arial"/>
                <w:color w:val="auto"/>
                <w:sz w:val="24"/>
                <w:highlight w:val="none"/>
              </w:rPr>
            </w:pPr>
          </w:p>
        </w:tc>
      </w:tr>
      <w:tr w14:paraId="061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3" w:type="dxa"/>
          </w:tcPr>
          <w:p w14:paraId="7F8D1BC4">
            <w:pPr>
              <w:rPr>
                <w:rFonts w:hint="eastAsia" w:ascii="宋体" w:hAnsi="宋体" w:cs="Arial"/>
                <w:color w:val="auto"/>
                <w:sz w:val="24"/>
                <w:highlight w:val="none"/>
              </w:rPr>
            </w:pPr>
            <w:r>
              <w:rPr>
                <w:rFonts w:hint="eastAsia" w:ascii="宋体" w:hAnsi="宋体" w:cs="Arial"/>
                <w:color w:val="auto"/>
                <w:sz w:val="24"/>
                <w:highlight w:val="none"/>
              </w:rPr>
              <w:t>URS11.1-24</w:t>
            </w:r>
          </w:p>
        </w:tc>
        <w:tc>
          <w:tcPr>
            <w:tcW w:w="6521" w:type="dxa"/>
          </w:tcPr>
          <w:p w14:paraId="636F30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洁净空调系统应至少提供3年维保服务，包括但不限于初效、中效、高效过滤器定期更换、年度检漏、风速风量年度验证等。</w:t>
            </w:r>
          </w:p>
        </w:tc>
        <w:tc>
          <w:tcPr>
            <w:tcW w:w="992" w:type="dxa"/>
            <w:vAlign w:val="center"/>
          </w:tcPr>
          <w:p w14:paraId="3BAD3998">
            <w:pPr>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550" w:type="dxa"/>
            <w:vAlign w:val="center"/>
          </w:tcPr>
          <w:p w14:paraId="7F8756E1">
            <w:pPr>
              <w:spacing w:before="62" w:beforeLines="20" w:after="62" w:afterLines="20" w:line="276" w:lineRule="auto"/>
              <w:ind w:firstLine="516"/>
              <w:jc w:val="left"/>
              <w:rPr>
                <w:rFonts w:hint="eastAsia" w:ascii="宋体" w:hAnsi="宋体" w:cs="Arial"/>
                <w:color w:val="auto"/>
                <w:sz w:val="24"/>
                <w:highlight w:val="none"/>
              </w:rPr>
            </w:pPr>
          </w:p>
        </w:tc>
      </w:tr>
    </w:tbl>
    <w:p w14:paraId="4930802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11.2过滤器</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6379"/>
        <w:gridCol w:w="992"/>
        <w:gridCol w:w="1550"/>
      </w:tblGrid>
      <w:tr w14:paraId="77CB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35" w:type="dxa"/>
            <w:tcBorders>
              <w:bottom w:val="single" w:color="auto" w:sz="4" w:space="0"/>
            </w:tcBorders>
            <w:shd w:val="pct20" w:color="auto" w:fill="FFFFFF"/>
            <w:vAlign w:val="center"/>
          </w:tcPr>
          <w:p w14:paraId="484B33C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79" w:type="dxa"/>
            <w:tcBorders>
              <w:bottom w:val="single" w:color="auto" w:sz="4" w:space="0"/>
            </w:tcBorders>
            <w:shd w:val="pct20" w:color="auto" w:fill="FFFFFF"/>
            <w:vAlign w:val="center"/>
          </w:tcPr>
          <w:p w14:paraId="3100E8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410D4F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28C8CB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89AA3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00F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vAlign w:val="center"/>
          </w:tcPr>
          <w:p w14:paraId="24C9FE3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.2-01</w:t>
            </w:r>
          </w:p>
        </w:tc>
        <w:tc>
          <w:tcPr>
            <w:tcW w:w="6379" w:type="dxa"/>
            <w:vAlign w:val="center"/>
          </w:tcPr>
          <w:p w14:paraId="7E42AEA4">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初效过滤器采用G4级板式过滤器，厚95mm；</w:t>
            </w:r>
          </w:p>
        </w:tc>
        <w:tc>
          <w:tcPr>
            <w:tcW w:w="992" w:type="dxa"/>
          </w:tcPr>
          <w:p w14:paraId="6F68DF07">
            <w:pPr>
              <w:rPr>
                <w:rFonts w:ascii="Arial" w:hAnsi="Arial" w:cs="Arial"/>
                <w:color w:val="auto"/>
                <w:sz w:val="24"/>
                <w:highlight w:val="none"/>
              </w:rPr>
            </w:pPr>
            <w:r>
              <w:rPr>
                <w:rFonts w:hint="eastAsia" w:ascii="Arial" w:hAnsi="Arial" w:cs="Arial"/>
                <w:color w:val="auto"/>
                <w:sz w:val="24"/>
                <w:highlight w:val="none"/>
              </w:rPr>
              <w:t>必需</w:t>
            </w:r>
          </w:p>
        </w:tc>
        <w:tc>
          <w:tcPr>
            <w:tcW w:w="1550" w:type="dxa"/>
            <w:vAlign w:val="center"/>
          </w:tcPr>
          <w:p w14:paraId="0BCB2AF7">
            <w:pPr>
              <w:spacing w:before="62" w:beforeLines="20" w:after="62" w:afterLines="20" w:line="276" w:lineRule="auto"/>
              <w:jc w:val="left"/>
              <w:rPr>
                <w:rFonts w:ascii="Arial" w:hAnsi="Arial" w:cs="Arial"/>
                <w:color w:val="auto"/>
                <w:sz w:val="24"/>
                <w:highlight w:val="none"/>
              </w:rPr>
            </w:pPr>
          </w:p>
        </w:tc>
      </w:tr>
      <w:tr w14:paraId="6E4E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196E203C">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2</w:t>
            </w:r>
          </w:p>
        </w:tc>
        <w:tc>
          <w:tcPr>
            <w:tcW w:w="6379" w:type="dxa"/>
            <w:vAlign w:val="center"/>
          </w:tcPr>
          <w:p w14:paraId="6F4E6B63">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中效过滤器采用知名过滤器厂家生产的袋式过滤器（F8），袋长不小于530mm，袋数不小于8袋；</w:t>
            </w:r>
          </w:p>
        </w:tc>
        <w:tc>
          <w:tcPr>
            <w:tcW w:w="992" w:type="dxa"/>
          </w:tcPr>
          <w:p w14:paraId="192539BA">
            <w:pPr>
              <w:rPr>
                <w:color w:val="auto"/>
                <w:highlight w:val="none"/>
              </w:rPr>
            </w:pPr>
            <w:r>
              <w:rPr>
                <w:rFonts w:hint="eastAsia" w:ascii="Arial" w:hAnsi="Arial" w:cs="Arial"/>
                <w:color w:val="auto"/>
                <w:sz w:val="24"/>
                <w:highlight w:val="none"/>
              </w:rPr>
              <w:t>必需</w:t>
            </w:r>
          </w:p>
        </w:tc>
        <w:tc>
          <w:tcPr>
            <w:tcW w:w="1550" w:type="dxa"/>
            <w:vAlign w:val="center"/>
          </w:tcPr>
          <w:p w14:paraId="701C8A8D">
            <w:pPr>
              <w:spacing w:before="62" w:beforeLines="20" w:after="62" w:afterLines="20" w:line="276" w:lineRule="auto"/>
              <w:jc w:val="left"/>
              <w:rPr>
                <w:rFonts w:ascii="Arial" w:hAnsi="Arial" w:cs="Arial"/>
                <w:color w:val="auto"/>
                <w:sz w:val="24"/>
                <w:highlight w:val="none"/>
              </w:rPr>
            </w:pPr>
          </w:p>
        </w:tc>
      </w:tr>
      <w:tr w14:paraId="2F3D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4CD033E7">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3</w:t>
            </w:r>
          </w:p>
        </w:tc>
        <w:tc>
          <w:tcPr>
            <w:tcW w:w="6379" w:type="dxa"/>
            <w:vAlign w:val="center"/>
          </w:tcPr>
          <w:p w14:paraId="41A199DB">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过滤器应方便拆装，初中效过滤器槽架应采取良好密封措施</w:t>
            </w:r>
          </w:p>
        </w:tc>
        <w:tc>
          <w:tcPr>
            <w:tcW w:w="992" w:type="dxa"/>
          </w:tcPr>
          <w:p w14:paraId="7D6CC2CE">
            <w:pPr>
              <w:rPr>
                <w:color w:val="auto"/>
                <w:highlight w:val="none"/>
              </w:rPr>
            </w:pPr>
            <w:r>
              <w:rPr>
                <w:rFonts w:hint="eastAsia" w:ascii="Arial" w:hAnsi="Arial" w:cs="Arial"/>
                <w:color w:val="auto"/>
                <w:sz w:val="24"/>
                <w:highlight w:val="none"/>
              </w:rPr>
              <w:t>必需</w:t>
            </w:r>
          </w:p>
        </w:tc>
        <w:tc>
          <w:tcPr>
            <w:tcW w:w="1550" w:type="dxa"/>
            <w:vAlign w:val="center"/>
          </w:tcPr>
          <w:p w14:paraId="306AC167">
            <w:pPr>
              <w:spacing w:before="62" w:beforeLines="20" w:after="62" w:afterLines="20" w:line="276" w:lineRule="auto"/>
              <w:jc w:val="left"/>
              <w:rPr>
                <w:rFonts w:ascii="Arial" w:hAnsi="Arial" w:cs="Arial"/>
                <w:color w:val="auto"/>
                <w:sz w:val="24"/>
                <w:highlight w:val="none"/>
              </w:rPr>
            </w:pPr>
          </w:p>
        </w:tc>
      </w:tr>
      <w:tr w14:paraId="21E9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68764D1F">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4</w:t>
            </w:r>
          </w:p>
        </w:tc>
        <w:tc>
          <w:tcPr>
            <w:tcW w:w="6379" w:type="dxa"/>
            <w:vAlign w:val="center"/>
          </w:tcPr>
          <w:p w14:paraId="732BD54A">
            <w:pPr>
              <w:autoSpaceDE w:val="0"/>
              <w:autoSpaceDN w:val="0"/>
              <w:adjustRightInd w:val="0"/>
              <w:spacing w:line="276" w:lineRule="auto"/>
              <w:textAlignment w:val="baseline"/>
              <w:rPr>
                <w:rFonts w:ascii="Arial" w:hAnsi="Arial" w:cs="Arial"/>
                <w:color w:val="auto"/>
                <w:sz w:val="24"/>
                <w:highlight w:val="none"/>
              </w:rPr>
            </w:pPr>
            <w:r>
              <w:rPr>
                <w:rFonts w:ascii="Arial" w:hAnsi="Arial" w:cs="Arial"/>
                <w:color w:val="auto"/>
                <w:sz w:val="24"/>
                <w:highlight w:val="none"/>
              </w:rPr>
              <w:t>各级过滤器前后应设表盘式压差表，方便观察过滤器风阻力；同时设置电子式压差报警器，可设定压差值，达到设定压力自动报警。</w:t>
            </w:r>
          </w:p>
        </w:tc>
        <w:tc>
          <w:tcPr>
            <w:tcW w:w="992" w:type="dxa"/>
          </w:tcPr>
          <w:p w14:paraId="4B96C75F">
            <w:pPr>
              <w:rPr>
                <w:color w:val="auto"/>
                <w:highlight w:val="none"/>
              </w:rPr>
            </w:pPr>
            <w:r>
              <w:rPr>
                <w:rFonts w:hint="eastAsia" w:ascii="Arial" w:hAnsi="Arial" w:cs="Arial"/>
                <w:color w:val="auto"/>
                <w:sz w:val="24"/>
                <w:highlight w:val="none"/>
              </w:rPr>
              <w:t>必需</w:t>
            </w:r>
          </w:p>
        </w:tc>
        <w:tc>
          <w:tcPr>
            <w:tcW w:w="1550" w:type="dxa"/>
            <w:vAlign w:val="center"/>
          </w:tcPr>
          <w:p w14:paraId="31B7909F">
            <w:pPr>
              <w:spacing w:before="62" w:beforeLines="20" w:after="62" w:afterLines="20" w:line="276" w:lineRule="auto"/>
              <w:jc w:val="left"/>
              <w:rPr>
                <w:rFonts w:ascii="Arial" w:hAnsi="Arial" w:cs="Arial"/>
                <w:color w:val="auto"/>
                <w:sz w:val="24"/>
                <w:highlight w:val="none"/>
              </w:rPr>
            </w:pPr>
          </w:p>
        </w:tc>
      </w:tr>
      <w:tr w14:paraId="481C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195DECD1">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5</w:t>
            </w:r>
          </w:p>
        </w:tc>
        <w:tc>
          <w:tcPr>
            <w:tcW w:w="6379" w:type="dxa"/>
          </w:tcPr>
          <w:p w14:paraId="422DF161">
            <w:pPr>
              <w:spacing w:line="0" w:lineRule="atLeast"/>
              <w:rPr>
                <w:rFonts w:ascii="Arial" w:hAnsi="Arial" w:cs="Arial"/>
                <w:color w:val="auto"/>
                <w:sz w:val="24"/>
                <w:highlight w:val="none"/>
              </w:rPr>
            </w:pPr>
            <w:r>
              <w:rPr>
                <w:rFonts w:ascii="Arial" w:hAnsi="Arial" w:cs="Arial"/>
                <w:color w:val="auto"/>
                <w:sz w:val="24"/>
                <w:highlight w:val="none"/>
              </w:rPr>
              <w:t>过滤段配备的G4级初效过滤器为无纺布板式过滤袋，安装、拆卸方便，过滤袋本身带金属框。</w:t>
            </w:r>
          </w:p>
        </w:tc>
        <w:tc>
          <w:tcPr>
            <w:tcW w:w="992" w:type="dxa"/>
          </w:tcPr>
          <w:p w14:paraId="17F744B4">
            <w:pPr>
              <w:rPr>
                <w:rFonts w:ascii="Arial" w:hAnsi="Arial" w:cs="Arial"/>
                <w:color w:val="auto"/>
                <w:sz w:val="24"/>
                <w:highlight w:val="none"/>
              </w:rPr>
            </w:pPr>
            <w:r>
              <w:rPr>
                <w:rFonts w:hint="eastAsia" w:ascii="Arial" w:hAnsi="Arial" w:cs="Arial"/>
                <w:color w:val="auto"/>
                <w:sz w:val="24"/>
                <w:highlight w:val="none"/>
              </w:rPr>
              <w:t>期望</w:t>
            </w:r>
          </w:p>
        </w:tc>
        <w:tc>
          <w:tcPr>
            <w:tcW w:w="1550" w:type="dxa"/>
            <w:vAlign w:val="center"/>
          </w:tcPr>
          <w:p w14:paraId="26A6BF85">
            <w:pPr>
              <w:spacing w:before="62" w:beforeLines="20" w:after="62" w:afterLines="20" w:line="276" w:lineRule="auto"/>
              <w:jc w:val="left"/>
              <w:rPr>
                <w:rFonts w:ascii="Arial" w:hAnsi="Arial" w:cs="Arial"/>
                <w:color w:val="auto"/>
                <w:sz w:val="24"/>
                <w:highlight w:val="none"/>
              </w:rPr>
            </w:pPr>
          </w:p>
        </w:tc>
      </w:tr>
      <w:tr w14:paraId="091F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08780F1E">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6</w:t>
            </w:r>
          </w:p>
        </w:tc>
        <w:tc>
          <w:tcPr>
            <w:tcW w:w="6379" w:type="dxa"/>
            <w:vAlign w:val="center"/>
          </w:tcPr>
          <w:p w14:paraId="6EBCF150">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过滤段配备的F8级中效过滤器为进口化纤袋式过滤袋，安装、拆卸方便，过滤袋本身带金属框。</w:t>
            </w:r>
          </w:p>
        </w:tc>
        <w:tc>
          <w:tcPr>
            <w:tcW w:w="992" w:type="dxa"/>
          </w:tcPr>
          <w:p w14:paraId="1C27E67B">
            <w:pPr>
              <w:rPr>
                <w:rFonts w:ascii="Arial" w:hAnsi="Arial" w:cs="Arial"/>
                <w:color w:val="auto"/>
                <w:sz w:val="24"/>
                <w:highlight w:val="none"/>
              </w:rPr>
            </w:pPr>
            <w:r>
              <w:rPr>
                <w:rFonts w:hint="eastAsia" w:ascii="Arial" w:hAnsi="Arial" w:cs="Arial"/>
                <w:color w:val="auto"/>
                <w:sz w:val="24"/>
                <w:highlight w:val="none"/>
              </w:rPr>
              <w:t>期望</w:t>
            </w:r>
          </w:p>
        </w:tc>
        <w:tc>
          <w:tcPr>
            <w:tcW w:w="1550" w:type="dxa"/>
            <w:vAlign w:val="center"/>
          </w:tcPr>
          <w:p w14:paraId="33882D60">
            <w:pPr>
              <w:spacing w:before="62" w:beforeLines="20" w:after="62" w:afterLines="20" w:line="276" w:lineRule="auto"/>
              <w:jc w:val="left"/>
              <w:rPr>
                <w:rFonts w:ascii="Arial" w:hAnsi="Arial" w:cs="Arial"/>
                <w:color w:val="auto"/>
                <w:sz w:val="24"/>
                <w:highlight w:val="none"/>
              </w:rPr>
            </w:pPr>
          </w:p>
        </w:tc>
      </w:tr>
      <w:tr w14:paraId="3007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04AB1B7B">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7</w:t>
            </w:r>
          </w:p>
        </w:tc>
        <w:tc>
          <w:tcPr>
            <w:tcW w:w="6379" w:type="dxa"/>
            <w:vAlign w:val="center"/>
          </w:tcPr>
          <w:p w14:paraId="67F0837A">
            <w:pPr>
              <w:autoSpaceDE w:val="0"/>
              <w:autoSpaceDN w:val="0"/>
              <w:adjustRightInd w:val="0"/>
              <w:spacing w:line="276" w:lineRule="auto"/>
              <w:textAlignment w:val="baseline"/>
              <w:rPr>
                <w:rFonts w:ascii="Arial" w:hAnsi="Arial" w:cs="Arial"/>
                <w:color w:val="auto"/>
                <w:sz w:val="24"/>
                <w:highlight w:val="none"/>
              </w:rPr>
            </w:pPr>
            <w:r>
              <w:rPr>
                <w:rFonts w:hint="eastAsia" w:ascii="Arial" w:hAnsi="Arial" w:cs="Arial"/>
                <w:color w:val="auto"/>
                <w:sz w:val="24"/>
                <w:highlight w:val="none"/>
              </w:rPr>
              <w:t>若采用亚初效+初效，亚中效+中效，的双过滤方式的，压差期望为：初效段30-50pa范围，中效段60-90pa范围。</w:t>
            </w:r>
          </w:p>
        </w:tc>
        <w:tc>
          <w:tcPr>
            <w:tcW w:w="992" w:type="dxa"/>
          </w:tcPr>
          <w:p w14:paraId="1F22AEDF">
            <w:pPr>
              <w:rPr>
                <w:rFonts w:ascii="Arial" w:hAnsi="Arial" w:cs="Arial"/>
                <w:color w:val="auto"/>
                <w:sz w:val="24"/>
                <w:highlight w:val="none"/>
              </w:rPr>
            </w:pPr>
            <w:r>
              <w:rPr>
                <w:rFonts w:hint="eastAsia" w:ascii="Arial" w:hAnsi="Arial" w:cs="Arial"/>
                <w:color w:val="auto"/>
                <w:sz w:val="24"/>
                <w:highlight w:val="none"/>
              </w:rPr>
              <w:t>期望</w:t>
            </w:r>
          </w:p>
        </w:tc>
        <w:tc>
          <w:tcPr>
            <w:tcW w:w="1550" w:type="dxa"/>
            <w:vAlign w:val="center"/>
          </w:tcPr>
          <w:p w14:paraId="5DC6F3A2">
            <w:pPr>
              <w:spacing w:before="62" w:beforeLines="20" w:after="62" w:afterLines="20" w:line="276" w:lineRule="auto"/>
              <w:jc w:val="left"/>
              <w:rPr>
                <w:rFonts w:ascii="Arial" w:hAnsi="Arial" w:cs="Arial"/>
                <w:color w:val="auto"/>
                <w:sz w:val="24"/>
                <w:highlight w:val="none"/>
              </w:rPr>
            </w:pPr>
          </w:p>
        </w:tc>
      </w:tr>
    </w:tbl>
    <w:p w14:paraId="2ED1A77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11.3蒸发盘管</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6379"/>
        <w:gridCol w:w="992"/>
        <w:gridCol w:w="1550"/>
      </w:tblGrid>
      <w:tr w14:paraId="741E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35" w:type="dxa"/>
            <w:tcBorders>
              <w:bottom w:val="single" w:color="auto" w:sz="4" w:space="0"/>
            </w:tcBorders>
            <w:shd w:val="pct20" w:color="auto" w:fill="FFFFFF"/>
            <w:vAlign w:val="center"/>
          </w:tcPr>
          <w:p w14:paraId="6A17BD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6379" w:type="dxa"/>
            <w:tcBorders>
              <w:bottom w:val="single" w:color="auto" w:sz="4" w:space="0"/>
            </w:tcBorders>
            <w:shd w:val="pct20" w:color="auto" w:fill="FFFFFF"/>
            <w:vAlign w:val="center"/>
          </w:tcPr>
          <w:p w14:paraId="385F248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992" w:type="dxa"/>
            <w:tcBorders>
              <w:bottom w:val="single" w:color="auto" w:sz="4" w:space="0"/>
            </w:tcBorders>
            <w:shd w:val="pct20" w:color="auto" w:fill="FFFFFF"/>
            <w:vAlign w:val="center"/>
          </w:tcPr>
          <w:p w14:paraId="4DAFFC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550" w:type="dxa"/>
            <w:tcBorders>
              <w:bottom w:val="single" w:color="auto" w:sz="4" w:space="0"/>
            </w:tcBorders>
            <w:shd w:val="pct20" w:color="auto" w:fill="FFFFFF"/>
          </w:tcPr>
          <w:p w14:paraId="63B517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55361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1E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vAlign w:val="center"/>
          </w:tcPr>
          <w:p w14:paraId="22315D3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.3-01</w:t>
            </w:r>
          </w:p>
        </w:tc>
        <w:tc>
          <w:tcPr>
            <w:tcW w:w="6379" w:type="dxa"/>
            <w:vAlign w:val="center"/>
          </w:tcPr>
          <w:p w14:paraId="72F384AB">
            <w:pPr>
              <w:widowControl/>
              <w:tabs>
                <w:tab w:val="center" w:pos="2268"/>
                <w:tab w:val="right" w:pos="5387"/>
              </w:tabs>
              <w:spacing w:line="320" w:lineRule="atLeast"/>
              <w:jc w:val="left"/>
              <w:rPr>
                <w:rFonts w:ascii="Arial" w:hAnsi="Arial" w:cs="Arial"/>
                <w:caps/>
                <w:color w:val="auto"/>
                <w:kern w:val="0"/>
                <w:sz w:val="24"/>
                <w:highlight w:val="none"/>
              </w:rPr>
            </w:pPr>
            <w:r>
              <w:rPr>
                <w:rFonts w:ascii="Arial" w:hAnsi="Arial" w:cs="Arial"/>
                <w:caps/>
                <w:color w:val="auto"/>
                <w:kern w:val="0"/>
                <w:sz w:val="24"/>
                <w:highlight w:val="none"/>
                <w:lang w:val="en-GB"/>
              </w:rPr>
              <w:t>采用优质铜管，翅片应采用</w:t>
            </w:r>
            <w:r>
              <w:rPr>
                <w:rFonts w:ascii="Arial" w:hAnsi="Arial" w:cs="Arial"/>
                <w:bCs/>
                <w:caps/>
                <w:color w:val="auto"/>
                <w:kern w:val="0"/>
                <w:sz w:val="24"/>
                <w:highlight w:val="none"/>
                <w:lang w:val="en-GB"/>
              </w:rPr>
              <w:t>带有防腐亲水涂层的优质铝箔</w:t>
            </w:r>
            <w:r>
              <w:rPr>
                <w:rFonts w:ascii="Arial" w:hAnsi="Arial" w:cs="Arial"/>
                <w:caps/>
                <w:color w:val="auto"/>
                <w:kern w:val="0"/>
                <w:sz w:val="24"/>
                <w:highlight w:val="none"/>
                <w:lang w:val="en-GB"/>
              </w:rPr>
              <w:t>，投标时应标明厚度，</w:t>
            </w:r>
            <w:r>
              <w:rPr>
                <w:rFonts w:ascii="Arial" w:hAnsi="Arial" w:cs="Arial"/>
                <w:caps/>
                <w:color w:val="auto"/>
                <w:kern w:val="0"/>
                <w:sz w:val="24"/>
                <w:highlight w:val="none"/>
              </w:rPr>
              <w:t xml:space="preserve"> </w:t>
            </w:r>
          </w:p>
        </w:tc>
        <w:tc>
          <w:tcPr>
            <w:tcW w:w="992" w:type="dxa"/>
          </w:tcPr>
          <w:p w14:paraId="0BA49D6D">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2F59ED18">
            <w:pPr>
              <w:spacing w:before="62" w:beforeLines="20" w:after="62" w:afterLines="20" w:line="276" w:lineRule="auto"/>
              <w:jc w:val="left"/>
              <w:rPr>
                <w:rFonts w:ascii="Arial" w:hAnsi="Arial" w:cs="Arial"/>
                <w:color w:val="auto"/>
                <w:sz w:val="24"/>
                <w:highlight w:val="none"/>
              </w:rPr>
            </w:pPr>
          </w:p>
        </w:tc>
      </w:tr>
      <w:tr w14:paraId="7635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7A09F450">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.3-02</w:t>
            </w:r>
          </w:p>
        </w:tc>
        <w:tc>
          <w:tcPr>
            <w:tcW w:w="6379" w:type="dxa"/>
            <w:vAlign w:val="center"/>
          </w:tcPr>
          <w:p w14:paraId="18055C7C">
            <w:pPr>
              <w:widowControl/>
              <w:tabs>
                <w:tab w:val="center" w:pos="2268"/>
                <w:tab w:val="right" w:pos="5387"/>
              </w:tabs>
              <w:spacing w:line="320" w:lineRule="atLeast"/>
              <w:jc w:val="left"/>
              <w:rPr>
                <w:rFonts w:ascii="Arial" w:hAnsi="Arial" w:cs="Arial"/>
                <w:caps/>
                <w:color w:val="auto"/>
                <w:kern w:val="0"/>
                <w:sz w:val="24"/>
                <w:highlight w:val="none"/>
                <w:lang w:val="en-GB"/>
              </w:rPr>
            </w:pPr>
            <w:r>
              <w:rPr>
                <w:rFonts w:ascii="Arial" w:hAnsi="Arial" w:cs="Arial"/>
                <w:caps/>
                <w:color w:val="auto"/>
                <w:kern w:val="0"/>
                <w:sz w:val="24"/>
                <w:highlight w:val="none"/>
                <w:lang w:val="en-GB"/>
              </w:rPr>
              <w:t>盘管最大迎面风速不超过2.3m/s，盘管经经过严格电脑选型，保证满足设计需要；边框应采用镀锌钢板，厚度不小于1.2mm；</w:t>
            </w:r>
          </w:p>
        </w:tc>
        <w:tc>
          <w:tcPr>
            <w:tcW w:w="992" w:type="dxa"/>
          </w:tcPr>
          <w:p w14:paraId="38EA86F9">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40F79E2C">
            <w:pPr>
              <w:spacing w:before="62" w:beforeLines="20" w:after="62" w:afterLines="20" w:line="276" w:lineRule="auto"/>
              <w:jc w:val="left"/>
              <w:rPr>
                <w:rFonts w:ascii="Arial" w:hAnsi="Arial" w:cs="Arial"/>
                <w:color w:val="auto"/>
                <w:sz w:val="24"/>
                <w:highlight w:val="none"/>
              </w:rPr>
            </w:pPr>
          </w:p>
        </w:tc>
      </w:tr>
      <w:tr w14:paraId="2308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7F178C6B">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.3-03</w:t>
            </w:r>
          </w:p>
        </w:tc>
        <w:tc>
          <w:tcPr>
            <w:tcW w:w="6379" w:type="dxa"/>
          </w:tcPr>
          <w:p w14:paraId="587520DB">
            <w:pPr>
              <w:tabs>
                <w:tab w:val="left" w:pos="7380"/>
              </w:tabs>
              <w:spacing w:line="276" w:lineRule="auto"/>
              <w:rPr>
                <w:rFonts w:ascii="Arial" w:hAnsi="Arial" w:cs="Arial"/>
                <w:color w:val="auto"/>
                <w:sz w:val="24"/>
                <w:highlight w:val="none"/>
              </w:rPr>
            </w:pPr>
            <w:r>
              <w:rPr>
                <w:rFonts w:ascii="Arial" w:hAnsi="Arial" w:cs="Arial"/>
                <w:color w:val="auto"/>
                <w:sz w:val="24"/>
                <w:highlight w:val="none"/>
              </w:rPr>
              <w:t>盘管应方便清洗，投标时说明表冷器形式以及阻力；配备挡水板，投标时说明挡水板材质</w:t>
            </w:r>
          </w:p>
        </w:tc>
        <w:tc>
          <w:tcPr>
            <w:tcW w:w="992" w:type="dxa"/>
          </w:tcPr>
          <w:p w14:paraId="77C4D40D">
            <w:pPr>
              <w:rPr>
                <w:rFonts w:ascii="Arial" w:hAnsi="Arial" w:cs="Arial"/>
                <w:color w:val="auto"/>
                <w:sz w:val="24"/>
                <w:highlight w:val="none"/>
              </w:rPr>
            </w:pPr>
            <w:r>
              <w:rPr>
                <w:rFonts w:ascii="Arial" w:hAnsi="Arial" w:cs="Arial"/>
                <w:color w:val="auto"/>
                <w:sz w:val="24"/>
                <w:highlight w:val="none"/>
              </w:rPr>
              <w:t>必需</w:t>
            </w:r>
          </w:p>
        </w:tc>
        <w:tc>
          <w:tcPr>
            <w:tcW w:w="1550" w:type="dxa"/>
            <w:vAlign w:val="center"/>
          </w:tcPr>
          <w:p w14:paraId="06B4D7B5">
            <w:pPr>
              <w:spacing w:before="62" w:beforeLines="20" w:after="62" w:afterLines="20" w:line="276" w:lineRule="auto"/>
              <w:jc w:val="left"/>
              <w:rPr>
                <w:rFonts w:ascii="Arial" w:hAnsi="Arial" w:cs="Arial"/>
                <w:color w:val="auto"/>
                <w:sz w:val="24"/>
                <w:highlight w:val="none"/>
              </w:rPr>
            </w:pPr>
          </w:p>
        </w:tc>
      </w:tr>
    </w:tbl>
    <w:p w14:paraId="53B6CC7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11.4积水盘</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0C8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6108584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006F689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031AB10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167B7D0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9E737B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05D3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2DF0B27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w:t>
            </w:r>
            <w:r>
              <w:rPr>
                <w:rFonts w:hint="eastAsia" w:ascii="宋体" w:hAnsi="宋体" w:cs="Arial"/>
                <w:color w:val="auto"/>
                <w:sz w:val="24"/>
                <w:highlight w:val="none"/>
              </w:rPr>
              <w:t>11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-01</w:t>
            </w:r>
          </w:p>
        </w:tc>
        <w:tc>
          <w:tcPr>
            <w:tcW w:w="6672" w:type="dxa"/>
            <w:vAlign w:val="center"/>
          </w:tcPr>
          <w:p w14:paraId="0D0CFB04">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积水盘应采用</w:t>
            </w:r>
            <w:r>
              <w:rPr>
                <w:rFonts w:ascii="宋体" w:hAnsi="宋体"/>
                <w:caps/>
                <w:color w:val="auto"/>
                <w:kern w:val="0"/>
                <w:sz w:val="24"/>
                <w:highlight w:val="none"/>
                <w:lang w:val="en-GB"/>
              </w:rPr>
              <w:t>304#</w:t>
            </w:r>
            <w:r>
              <w:rPr>
                <w:rFonts w:hint="eastAsia" w:ascii="宋体" w:hAnsi="宋体"/>
                <w:bCs/>
                <w:caps/>
                <w:color w:val="auto"/>
                <w:kern w:val="0"/>
                <w:sz w:val="24"/>
                <w:highlight w:val="none"/>
                <w:lang w:val="en-GB"/>
              </w:rPr>
              <w:t>不锈钢板</w:t>
            </w:r>
          </w:p>
        </w:tc>
        <w:tc>
          <w:tcPr>
            <w:tcW w:w="992" w:type="dxa"/>
          </w:tcPr>
          <w:p w14:paraId="35B61B4D">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550" w:type="dxa"/>
            <w:vAlign w:val="center"/>
          </w:tcPr>
          <w:p w14:paraId="1DDAD10B">
            <w:pPr>
              <w:spacing w:before="62" w:beforeLines="20" w:after="62" w:afterLines="20" w:line="276" w:lineRule="auto"/>
              <w:jc w:val="left"/>
              <w:rPr>
                <w:rFonts w:hint="eastAsia" w:ascii="宋体" w:hAnsi="宋体" w:cs="Arial"/>
                <w:color w:val="auto"/>
                <w:sz w:val="24"/>
                <w:highlight w:val="none"/>
              </w:rPr>
            </w:pPr>
          </w:p>
        </w:tc>
      </w:tr>
      <w:tr w14:paraId="4E08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112FC0C">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2</w:t>
            </w:r>
          </w:p>
        </w:tc>
        <w:tc>
          <w:tcPr>
            <w:tcW w:w="6672" w:type="dxa"/>
            <w:vAlign w:val="center"/>
          </w:tcPr>
          <w:p w14:paraId="3FEC0894">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应保证积水排放通畅，运行时水盘内无积水、无气流倒灌。</w:t>
            </w:r>
          </w:p>
        </w:tc>
        <w:tc>
          <w:tcPr>
            <w:tcW w:w="992" w:type="dxa"/>
          </w:tcPr>
          <w:p w14:paraId="456157F6">
            <w:pPr>
              <w:rPr>
                <w:rFonts w:hint="eastAsia" w:ascii="宋体" w:hAnsi="宋体"/>
                <w:color w:val="auto"/>
                <w:sz w:val="24"/>
                <w:highlight w:val="none"/>
              </w:rPr>
            </w:pPr>
            <w:r>
              <w:rPr>
                <w:rFonts w:hint="eastAsia" w:ascii="宋体" w:hAnsi="宋体" w:cs="Arial"/>
                <w:color w:val="auto"/>
                <w:sz w:val="24"/>
                <w:highlight w:val="none"/>
              </w:rPr>
              <w:t>必需</w:t>
            </w:r>
          </w:p>
        </w:tc>
        <w:tc>
          <w:tcPr>
            <w:tcW w:w="1550" w:type="dxa"/>
            <w:vAlign w:val="center"/>
          </w:tcPr>
          <w:p w14:paraId="55DEC13E">
            <w:pPr>
              <w:spacing w:before="62" w:beforeLines="20" w:after="62" w:afterLines="20" w:line="276" w:lineRule="auto"/>
              <w:jc w:val="left"/>
              <w:rPr>
                <w:rFonts w:hint="eastAsia" w:ascii="宋体" w:hAnsi="宋体" w:cs="Arial"/>
                <w:color w:val="auto"/>
                <w:sz w:val="24"/>
                <w:highlight w:val="none"/>
              </w:rPr>
            </w:pPr>
          </w:p>
        </w:tc>
      </w:tr>
      <w:tr w14:paraId="099B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81A6BF1">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3</w:t>
            </w:r>
          </w:p>
        </w:tc>
        <w:tc>
          <w:tcPr>
            <w:tcW w:w="6672" w:type="dxa"/>
          </w:tcPr>
          <w:p w14:paraId="30A71F7A">
            <w:pPr>
              <w:tabs>
                <w:tab w:val="left" w:pos="7380"/>
              </w:tabs>
              <w:spacing w:line="360" w:lineRule="auto"/>
              <w:rPr>
                <w:rFonts w:hint="eastAsia" w:ascii="宋体" w:hAnsi="宋体"/>
                <w:color w:val="auto"/>
                <w:sz w:val="24"/>
                <w:highlight w:val="none"/>
              </w:rPr>
            </w:pPr>
            <w:r>
              <w:rPr>
                <w:rFonts w:hint="eastAsia" w:ascii="宋体" w:hAnsi="宋体"/>
                <w:color w:val="auto"/>
                <w:sz w:val="24"/>
                <w:highlight w:val="none"/>
              </w:rPr>
              <w:t>排水管径需足够大，保证积水盘中粉尘沉积物可排放通畅。</w:t>
            </w:r>
          </w:p>
        </w:tc>
        <w:tc>
          <w:tcPr>
            <w:tcW w:w="992" w:type="dxa"/>
          </w:tcPr>
          <w:p w14:paraId="690CD3B8">
            <w:pPr>
              <w:rPr>
                <w:rFonts w:hint="eastAsia" w:ascii="宋体" w:hAnsi="宋体"/>
                <w:color w:val="auto"/>
                <w:sz w:val="24"/>
                <w:highlight w:val="none"/>
              </w:rPr>
            </w:pPr>
            <w:r>
              <w:rPr>
                <w:rFonts w:hint="eastAsia" w:ascii="宋体" w:hAnsi="宋体" w:cs="Arial"/>
                <w:color w:val="auto"/>
                <w:sz w:val="24"/>
                <w:highlight w:val="none"/>
              </w:rPr>
              <w:t>必需</w:t>
            </w:r>
          </w:p>
        </w:tc>
        <w:tc>
          <w:tcPr>
            <w:tcW w:w="1550" w:type="dxa"/>
            <w:vAlign w:val="center"/>
          </w:tcPr>
          <w:p w14:paraId="20D38FBA">
            <w:pPr>
              <w:spacing w:before="62" w:beforeLines="20" w:after="62" w:afterLines="20" w:line="276" w:lineRule="auto"/>
              <w:jc w:val="left"/>
              <w:rPr>
                <w:rFonts w:hint="eastAsia" w:ascii="宋体" w:hAnsi="宋体" w:cs="Arial"/>
                <w:color w:val="auto"/>
                <w:sz w:val="24"/>
                <w:highlight w:val="none"/>
              </w:rPr>
            </w:pPr>
          </w:p>
        </w:tc>
      </w:tr>
      <w:tr w14:paraId="76D7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51D7854">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4</w:t>
            </w:r>
          </w:p>
        </w:tc>
        <w:tc>
          <w:tcPr>
            <w:tcW w:w="6672" w:type="dxa"/>
          </w:tcPr>
          <w:p w14:paraId="6060A79D">
            <w:pPr>
              <w:spacing w:line="320" w:lineRule="atLeast"/>
              <w:rPr>
                <w:rFonts w:hint="eastAsia" w:ascii="宋体" w:hAnsi="宋体" w:cs="Arial"/>
                <w:color w:val="auto"/>
                <w:sz w:val="24"/>
                <w:highlight w:val="none"/>
              </w:rPr>
            </w:pPr>
            <w:r>
              <w:rPr>
                <w:rFonts w:hint="eastAsia" w:ascii="宋体" w:hAnsi="宋体"/>
                <w:color w:val="auto"/>
                <w:sz w:val="24"/>
                <w:highlight w:val="none"/>
              </w:rPr>
              <w:t>积水盘位置的设计应方便清洁</w:t>
            </w:r>
          </w:p>
        </w:tc>
        <w:tc>
          <w:tcPr>
            <w:tcW w:w="992" w:type="dxa"/>
          </w:tcPr>
          <w:p w14:paraId="0BA52195">
            <w:pPr>
              <w:rPr>
                <w:rFonts w:hint="eastAsia" w:ascii="宋体" w:hAnsi="宋体"/>
                <w:color w:val="auto"/>
                <w:sz w:val="24"/>
                <w:highlight w:val="none"/>
              </w:rPr>
            </w:pPr>
            <w:r>
              <w:rPr>
                <w:rFonts w:hint="eastAsia" w:ascii="宋体" w:hAnsi="宋体" w:cs="Arial"/>
                <w:color w:val="auto"/>
                <w:sz w:val="24"/>
                <w:highlight w:val="none"/>
              </w:rPr>
              <w:t>必需</w:t>
            </w:r>
          </w:p>
        </w:tc>
        <w:tc>
          <w:tcPr>
            <w:tcW w:w="1550" w:type="dxa"/>
            <w:vAlign w:val="center"/>
          </w:tcPr>
          <w:p w14:paraId="46438D5C">
            <w:pPr>
              <w:spacing w:before="62" w:beforeLines="20" w:after="62" w:afterLines="20" w:line="276" w:lineRule="auto"/>
              <w:jc w:val="left"/>
              <w:rPr>
                <w:rFonts w:hint="eastAsia" w:ascii="宋体" w:hAnsi="宋体" w:cs="Arial"/>
                <w:color w:val="auto"/>
                <w:sz w:val="24"/>
                <w:highlight w:val="none"/>
              </w:rPr>
            </w:pPr>
          </w:p>
        </w:tc>
      </w:tr>
    </w:tbl>
    <w:p w14:paraId="43E55E7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11.5</w:t>
      </w:r>
      <w:r>
        <w:rPr>
          <w:rFonts w:hint="eastAsia" w:ascii="Arial Bold" w:hAnsi="Arial Bold"/>
          <w:caps/>
          <w:color w:val="auto"/>
          <w:kern w:val="32"/>
          <w:sz w:val="24"/>
          <w:highlight w:val="none"/>
        </w:rPr>
        <w:t>蒸汽加热盘管，加湿器</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5393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25665C8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04DDA28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0F9B0F3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58A0CF7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7C14DB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60A2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2D0EE70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-01</w:t>
            </w:r>
          </w:p>
        </w:tc>
        <w:tc>
          <w:tcPr>
            <w:tcW w:w="6672" w:type="dxa"/>
            <w:vAlign w:val="center"/>
          </w:tcPr>
          <w:p w14:paraId="38D90D30">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b/>
                <w:bCs/>
                <w:caps/>
                <w:color w:val="auto"/>
                <w:kern w:val="32"/>
                <w:sz w:val="24"/>
                <w:highlight w:val="none"/>
              </w:rPr>
              <w:t>304不锈钢绕片</w:t>
            </w:r>
          </w:p>
        </w:tc>
        <w:tc>
          <w:tcPr>
            <w:tcW w:w="992" w:type="dxa"/>
          </w:tcPr>
          <w:p w14:paraId="49D1EF14">
            <w:pPr>
              <w:rPr>
                <w:color w:val="auto"/>
                <w:highlight w:val="none"/>
              </w:rPr>
            </w:pPr>
            <w:r>
              <w:rPr>
                <w:rFonts w:hint="eastAsia" w:ascii="宋体" w:hAnsi="宋体" w:cs="Arial"/>
                <w:color w:val="auto"/>
                <w:sz w:val="24"/>
                <w:highlight w:val="none"/>
              </w:rPr>
              <w:t>必需</w:t>
            </w:r>
          </w:p>
        </w:tc>
        <w:tc>
          <w:tcPr>
            <w:tcW w:w="1550" w:type="dxa"/>
            <w:vAlign w:val="center"/>
          </w:tcPr>
          <w:p w14:paraId="1BB68E36">
            <w:pPr>
              <w:spacing w:before="62" w:beforeLines="20" w:after="62" w:afterLines="20" w:line="276" w:lineRule="auto"/>
              <w:jc w:val="left"/>
              <w:rPr>
                <w:rFonts w:hint="eastAsia" w:ascii="宋体" w:hAnsi="宋体" w:cs="Arial"/>
                <w:color w:val="auto"/>
                <w:sz w:val="24"/>
                <w:highlight w:val="none"/>
              </w:rPr>
            </w:pPr>
          </w:p>
        </w:tc>
      </w:tr>
      <w:tr w14:paraId="2A74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CB5D1BC">
            <w:pPr>
              <w:rPr>
                <w:rFonts w:ascii="Arial Bold" w:hAnsi="Arial Bold"/>
                <w:caps/>
                <w:color w:val="auto"/>
                <w:kern w:val="32"/>
                <w:sz w:val="24"/>
                <w:highlight w:val="none"/>
              </w:rPr>
            </w:pPr>
            <w:r>
              <w:rPr>
                <w:rFonts w:hint="eastAsia" w:ascii="宋体" w:hAnsi="宋体" w:cs="Arial"/>
                <w:color w:val="auto"/>
                <w:sz w:val="24"/>
                <w:highlight w:val="none"/>
              </w:rPr>
              <w:t>URS11.5-02</w:t>
            </w:r>
          </w:p>
        </w:tc>
        <w:tc>
          <w:tcPr>
            <w:tcW w:w="6672" w:type="dxa"/>
            <w:vAlign w:val="center"/>
          </w:tcPr>
          <w:p w14:paraId="48A4AF76">
            <w:pPr>
              <w:autoSpaceDE w:val="0"/>
              <w:autoSpaceDN w:val="0"/>
              <w:adjustRightInd w:val="0"/>
              <w:spacing w:line="360" w:lineRule="auto"/>
              <w:textAlignment w:val="baseline"/>
              <w:rPr>
                <w:rFonts w:ascii="Arial Bold" w:hAnsi="Arial Bold"/>
                <w:caps/>
                <w:color w:val="auto"/>
                <w:kern w:val="32"/>
                <w:sz w:val="24"/>
                <w:highlight w:val="none"/>
              </w:rPr>
            </w:pPr>
            <w:r>
              <w:rPr>
                <w:rFonts w:hint="eastAsia" w:ascii="Arial Bold" w:hAnsi="Arial Bold"/>
                <w:caps/>
                <w:color w:val="auto"/>
                <w:kern w:val="32"/>
                <w:sz w:val="24"/>
                <w:highlight w:val="none"/>
              </w:rPr>
              <w:t>应采取有效措施防止“水锤”破坏，保证蒸汽盘管安全运行。</w:t>
            </w:r>
          </w:p>
        </w:tc>
        <w:tc>
          <w:tcPr>
            <w:tcW w:w="992" w:type="dxa"/>
          </w:tcPr>
          <w:p w14:paraId="453FDEEC">
            <w:pPr>
              <w:rPr>
                <w:color w:val="auto"/>
                <w:highlight w:val="none"/>
              </w:rPr>
            </w:pPr>
            <w:r>
              <w:rPr>
                <w:rFonts w:hint="eastAsia" w:ascii="宋体" w:hAnsi="宋体" w:cs="Arial"/>
                <w:color w:val="auto"/>
                <w:sz w:val="24"/>
                <w:highlight w:val="none"/>
              </w:rPr>
              <w:t>必需</w:t>
            </w:r>
          </w:p>
        </w:tc>
        <w:tc>
          <w:tcPr>
            <w:tcW w:w="1550" w:type="dxa"/>
            <w:vAlign w:val="center"/>
          </w:tcPr>
          <w:p w14:paraId="7FE6BB16">
            <w:pPr>
              <w:spacing w:before="62" w:beforeLines="20" w:after="62" w:afterLines="20" w:line="276" w:lineRule="auto"/>
              <w:jc w:val="left"/>
              <w:rPr>
                <w:rFonts w:hint="eastAsia" w:ascii="宋体" w:hAnsi="宋体" w:cs="Arial"/>
                <w:color w:val="auto"/>
                <w:sz w:val="24"/>
                <w:highlight w:val="none"/>
              </w:rPr>
            </w:pPr>
          </w:p>
        </w:tc>
      </w:tr>
      <w:tr w14:paraId="2DE2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3F76CF2">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3</w:t>
            </w:r>
          </w:p>
        </w:tc>
        <w:tc>
          <w:tcPr>
            <w:tcW w:w="6672" w:type="dxa"/>
            <w:vAlign w:val="center"/>
          </w:tcPr>
          <w:p w14:paraId="0093FCB6">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caps/>
                <w:color w:val="auto"/>
                <w:kern w:val="32"/>
                <w:sz w:val="24"/>
                <w:highlight w:val="none"/>
              </w:rPr>
              <w:t>蒸汽压力：0.2MPA~0.3MPa</w:t>
            </w:r>
          </w:p>
        </w:tc>
        <w:tc>
          <w:tcPr>
            <w:tcW w:w="992" w:type="dxa"/>
          </w:tcPr>
          <w:p w14:paraId="1C77028F">
            <w:pPr>
              <w:rPr>
                <w:color w:val="auto"/>
                <w:highlight w:val="none"/>
              </w:rPr>
            </w:pPr>
            <w:r>
              <w:rPr>
                <w:rFonts w:hint="eastAsia" w:ascii="宋体" w:hAnsi="宋体" w:cs="Arial"/>
                <w:color w:val="auto"/>
                <w:sz w:val="24"/>
                <w:highlight w:val="none"/>
              </w:rPr>
              <w:t>必需</w:t>
            </w:r>
          </w:p>
        </w:tc>
        <w:tc>
          <w:tcPr>
            <w:tcW w:w="1550" w:type="dxa"/>
            <w:vAlign w:val="center"/>
          </w:tcPr>
          <w:p w14:paraId="672CACFA">
            <w:pPr>
              <w:spacing w:before="62" w:beforeLines="20" w:after="62" w:afterLines="20" w:line="276" w:lineRule="auto"/>
              <w:jc w:val="left"/>
              <w:rPr>
                <w:rFonts w:hint="eastAsia" w:ascii="宋体" w:hAnsi="宋体" w:cs="Arial"/>
                <w:color w:val="auto"/>
                <w:sz w:val="24"/>
                <w:highlight w:val="none"/>
              </w:rPr>
            </w:pPr>
          </w:p>
        </w:tc>
      </w:tr>
      <w:tr w14:paraId="3D00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580E5A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4</w:t>
            </w:r>
          </w:p>
        </w:tc>
        <w:tc>
          <w:tcPr>
            <w:tcW w:w="6672" w:type="dxa"/>
            <w:vAlign w:val="center"/>
          </w:tcPr>
          <w:p w14:paraId="7174A2D7">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aps/>
                <w:color w:val="auto"/>
                <w:kern w:val="0"/>
                <w:sz w:val="24"/>
                <w:highlight w:val="none"/>
                <w:lang w:val="en-GB"/>
              </w:rPr>
              <w:t>采用干蒸汽加湿器，说明标准加湿量，提供相关参数以及型号，提供厂家的出场报告。</w:t>
            </w:r>
          </w:p>
        </w:tc>
        <w:tc>
          <w:tcPr>
            <w:tcW w:w="992" w:type="dxa"/>
          </w:tcPr>
          <w:p w14:paraId="37D98ACA">
            <w:pPr>
              <w:rPr>
                <w:color w:val="auto"/>
                <w:highlight w:val="none"/>
              </w:rPr>
            </w:pPr>
            <w:r>
              <w:rPr>
                <w:rFonts w:hint="eastAsia" w:ascii="宋体" w:hAnsi="宋体" w:cs="Arial"/>
                <w:color w:val="auto"/>
                <w:sz w:val="24"/>
                <w:highlight w:val="none"/>
              </w:rPr>
              <w:t>必需</w:t>
            </w:r>
          </w:p>
        </w:tc>
        <w:tc>
          <w:tcPr>
            <w:tcW w:w="1550" w:type="dxa"/>
            <w:vAlign w:val="center"/>
          </w:tcPr>
          <w:p w14:paraId="355A4679">
            <w:pPr>
              <w:spacing w:before="62" w:beforeLines="20" w:after="62" w:afterLines="20" w:line="276" w:lineRule="auto"/>
              <w:jc w:val="left"/>
              <w:rPr>
                <w:rFonts w:hint="eastAsia" w:ascii="宋体" w:hAnsi="宋体" w:cs="Arial"/>
                <w:color w:val="auto"/>
                <w:sz w:val="24"/>
                <w:highlight w:val="none"/>
              </w:rPr>
            </w:pPr>
          </w:p>
        </w:tc>
      </w:tr>
      <w:tr w14:paraId="1903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tcPr>
          <w:p w14:paraId="4F232AE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5</w:t>
            </w:r>
          </w:p>
        </w:tc>
        <w:tc>
          <w:tcPr>
            <w:tcW w:w="6672" w:type="dxa"/>
            <w:vAlign w:val="center"/>
          </w:tcPr>
          <w:p w14:paraId="7D990BC0">
            <w:pPr>
              <w:widowControl/>
              <w:tabs>
                <w:tab w:val="center" w:pos="2268"/>
                <w:tab w:val="right" w:pos="5387"/>
              </w:tabs>
              <w:spacing w:line="320" w:lineRule="atLeast"/>
              <w:jc w:val="left"/>
              <w:rPr>
                <w:rFonts w:hint="eastAsia" w:ascii="宋体" w:hAnsi="宋体"/>
                <w:caps/>
                <w:color w:val="auto"/>
                <w:kern w:val="0"/>
                <w:sz w:val="24"/>
                <w:highlight w:val="none"/>
                <w:lang w:val="en-GB"/>
              </w:rPr>
            </w:pPr>
            <w:r>
              <w:rPr>
                <w:rFonts w:hint="eastAsia" w:ascii="宋体" w:hAnsi="宋体" w:cs="宋体"/>
                <w:caps/>
                <w:color w:val="auto"/>
                <w:kern w:val="0"/>
                <w:sz w:val="24"/>
                <w:highlight w:val="none"/>
                <w:lang w:val="en-GB"/>
              </w:rPr>
              <w:t>加湿器采用不锈钢材质制造，外型美观，耐腐蚀，加湿效率高、使用寿命长。</w:t>
            </w:r>
          </w:p>
        </w:tc>
        <w:tc>
          <w:tcPr>
            <w:tcW w:w="992" w:type="dxa"/>
          </w:tcPr>
          <w:p w14:paraId="661718FA">
            <w:pPr>
              <w:rPr>
                <w:color w:val="auto"/>
                <w:highlight w:val="none"/>
              </w:rPr>
            </w:pPr>
            <w:r>
              <w:rPr>
                <w:rFonts w:hint="eastAsia" w:ascii="宋体" w:hAnsi="宋体" w:cs="Arial"/>
                <w:color w:val="auto"/>
                <w:sz w:val="24"/>
                <w:highlight w:val="none"/>
              </w:rPr>
              <w:t>必需</w:t>
            </w:r>
          </w:p>
        </w:tc>
        <w:tc>
          <w:tcPr>
            <w:tcW w:w="1550" w:type="dxa"/>
            <w:vAlign w:val="center"/>
          </w:tcPr>
          <w:p w14:paraId="036FD428">
            <w:pPr>
              <w:spacing w:before="62" w:beforeLines="20" w:after="62" w:afterLines="20" w:line="276" w:lineRule="auto"/>
              <w:jc w:val="left"/>
              <w:rPr>
                <w:rFonts w:hint="eastAsia" w:ascii="宋体" w:hAnsi="宋体" w:cs="Arial"/>
                <w:color w:val="auto"/>
                <w:sz w:val="24"/>
                <w:highlight w:val="none"/>
              </w:rPr>
            </w:pPr>
          </w:p>
        </w:tc>
      </w:tr>
      <w:tr w14:paraId="6D7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FA341AF">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6</w:t>
            </w:r>
          </w:p>
        </w:tc>
        <w:tc>
          <w:tcPr>
            <w:tcW w:w="6672" w:type="dxa"/>
            <w:vAlign w:val="center"/>
          </w:tcPr>
          <w:p w14:paraId="126285BB">
            <w:pPr>
              <w:widowControl/>
              <w:tabs>
                <w:tab w:val="center" w:pos="2268"/>
                <w:tab w:val="right" w:pos="5387"/>
              </w:tabs>
              <w:spacing w:line="320" w:lineRule="atLeast"/>
              <w:jc w:val="left"/>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加湿器喷蒸汽孔距离最近功能部件应具有足够距离，防止湿蒸汽影响其他部件的使用。</w:t>
            </w:r>
          </w:p>
        </w:tc>
        <w:tc>
          <w:tcPr>
            <w:tcW w:w="992" w:type="dxa"/>
          </w:tcPr>
          <w:p w14:paraId="0A30793B">
            <w:pPr>
              <w:rPr>
                <w:color w:val="auto"/>
                <w:highlight w:val="none"/>
              </w:rPr>
            </w:pPr>
            <w:r>
              <w:rPr>
                <w:rFonts w:hint="eastAsia" w:ascii="宋体" w:hAnsi="宋体" w:cs="Arial"/>
                <w:color w:val="auto"/>
                <w:sz w:val="24"/>
                <w:highlight w:val="none"/>
              </w:rPr>
              <w:t>必需</w:t>
            </w:r>
          </w:p>
        </w:tc>
        <w:tc>
          <w:tcPr>
            <w:tcW w:w="1550" w:type="dxa"/>
            <w:vAlign w:val="center"/>
          </w:tcPr>
          <w:p w14:paraId="4A8F9683">
            <w:pPr>
              <w:spacing w:before="62" w:beforeLines="20" w:after="62" w:afterLines="20" w:line="276" w:lineRule="auto"/>
              <w:jc w:val="left"/>
              <w:rPr>
                <w:rFonts w:hint="eastAsia" w:ascii="宋体" w:hAnsi="宋体" w:cs="Arial"/>
                <w:color w:val="auto"/>
                <w:sz w:val="24"/>
                <w:highlight w:val="none"/>
              </w:rPr>
            </w:pPr>
          </w:p>
        </w:tc>
      </w:tr>
    </w:tbl>
    <w:p w14:paraId="08D83F4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11.6</w:t>
      </w:r>
      <w:r>
        <w:rPr>
          <w:rFonts w:hint="eastAsia" w:ascii="Arial Bold" w:hAnsi="Arial Bold"/>
          <w:caps/>
          <w:color w:val="auto"/>
          <w:kern w:val="32"/>
          <w:sz w:val="24"/>
          <w:highlight w:val="none"/>
        </w:rPr>
        <w:t>风机和电机</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6DCC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58C4C77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71C3432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7D83D14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5D6B5AB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2C86018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6DBD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15A3470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-01</w:t>
            </w:r>
          </w:p>
        </w:tc>
        <w:tc>
          <w:tcPr>
            <w:tcW w:w="6672" w:type="dxa"/>
          </w:tcPr>
          <w:p w14:paraId="03DC814E">
            <w:pPr>
              <w:rPr>
                <w:rFonts w:hint="eastAsia" w:ascii="宋体" w:hAnsi="宋体"/>
                <w:color w:val="auto"/>
                <w:sz w:val="24"/>
                <w:highlight w:val="none"/>
              </w:rPr>
            </w:pPr>
            <w:r>
              <w:rPr>
                <w:rFonts w:hint="eastAsia" w:ascii="宋体" w:hAnsi="宋体"/>
                <w:color w:val="auto"/>
                <w:sz w:val="24"/>
                <w:highlight w:val="none"/>
              </w:rPr>
              <w:t>风机风量、全压符合要求。电机功率符合风机要求。防爆区配置的空调，</w:t>
            </w:r>
            <w:r>
              <w:rPr>
                <w:rFonts w:hint="eastAsia" w:ascii="Arial" w:hAnsi="Arial" w:cs="Arial"/>
                <w:caps/>
                <w:color w:val="auto"/>
                <w:kern w:val="32"/>
                <w:sz w:val="24"/>
                <w:highlight w:val="none"/>
              </w:rPr>
              <w:t>其风机</w:t>
            </w:r>
            <w:r>
              <w:rPr>
                <w:rFonts w:ascii="Arial" w:hAnsi="Arial" w:cs="Arial"/>
                <w:caps/>
                <w:color w:val="auto"/>
                <w:kern w:val="32"/>
                <w:sz w:val="24"/>
                <w:highlight w:val="none"/>
              </w:rPr>
              <w:t xml:space="preserve">防爆等级为Exd </w:t>
            </w:r>
            <w:r>
              <w:rPr>
                <w:rFonts w:hint="eastAsia" w:ascii="宋体" w:hAnsi="宋体" w:cs="宋体"/>
                <w:caps/>
                <w:color w:val="auto"/>
                <w:kern w:val="32"/>
                <w:sz w:val="24"/>
                <w:highlight w:val="none"/>
              </w:rPr>
              <w:t>Ⅱ</w:t>
            </w:r>
            <w:r>
              <w:rPr>
                <w:rFonts w:ascii="Arial" w:hAnsi="Arial" w:cs="Arial"/>
                <w:caps/>
                <w:color w:val="auto"/>
                <w:kern w:val="32"/>
                <w:sz w:val="24"/>
                <w:highlight w:val="none"/>
              </w:rPr>
              <w:t>BT4</w:t>
            </w:r>
            <w:r>
              <w:rPr>
                <w:rFonts w:hint="eastAsia" w:ascii="Arial" w:hAnsi="Arial" w:cs="Arial"/>
                <w:caps/>
                <w:color w:val="auto"/>
                <w:kern w:val="32"/>
                <w:sz w:val="24"/>
                <w:highlight w:val="none"/>
              </w:rPr>
              <w:t>。</w:t>
            </w:r>
          </w:p>
        </w:tc>
        <w:tc>
          <w:tcPr>
            <w:tcW w:w="992" w:type="dxa"/>
          </w:tcPr>
          <w:p w14:paraId="4BCBB6F1">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550" w:type="dxa"/>
            <w:vAlign w:val="center"/>
          </w:tcPr>
          <w:p w14:paraId="10C62DD6">
            <w:pPr>
              <w:spacing w:before="62" w:beforeLines="20" w:after="62" w:afterLines="20" w:line="276" w:lineRule="auto"/>
              <w:jc w:val="left"/>
              <w:rPr>
                <w:rFonts w:hint="eastAsia" w:ascii="宋体" w:hAnsi="宋体" w:cs="Arial"/>
                <w:color w:val="auto"/>
                <w:sz w:val="24"/>
                <w:highlight w:val="none"/>
              </w:rPr>
            </w:pPr>
          </w:p>
        </w:tc>
      </w:tr>
      <w:tr w14:paraId="4D87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B8AB538">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2</w:t>
            </w:r>
          </w:p>
        </w:tc>
        <w:tc>
          <w:tcPr>
            <w:tcW w:w="6672" w:type="dxa"/>
          </w:tcPr>
          <w:p w14:paraId="384B8083">
            <w:pPr>
              <w:rPr>
                <w:rFonts w:hint="eastAsia" w:ascii="宋体" w:hAnsi="宋体"/>
                <w:color w:val="auto"/>
                <w:sz w:val="24"/>
                <w:highlight w:val="none"/>
              </w:rPr>
            </w:pPr>
            <w:r>
              <w:rPr>
                <w:rFonts w:hint="eastAsia" w:ascii="宋体" w:hAnsi="宋体"/>
                <w:color w:val="auto"/>
                <w:sz w:val="24"/>
                <w:highlight w:val="none"/>
              </w:rPr>
              <w:t>风柜安全性能要求应符合GB10891的规定。风柜密闭性好，整机漏风率：在负400Pa工况下，箱体漏风等级不低于L1；在静压保持701Pa时，箱体漏风等级不低于L2。</w:t>
            </w:r>
          </w:p>
        </w:tc>
        <w:tc>
          <w:tcPr>
            <w:tcW w:w="992" w:type="dxa"/>
          </w:tcPr>
          <w:p w14:paraId="15380BD4">
            <w:pPr>
              <w:rPr>
                <w:color w:val="auto"/>
                <w:sz w:val="24"/>
                <w:highlight w:val="none"/>
              </w:rPr>
            </w:pPr>
            <w:r>
              <w:rPr>
                <w:rFonts w:hint="eastAsia" w:ascii="宋体" w:hAnsi="宋体" w:cs="Arial"/>
                <w:color w:val="auto"/>
                <w:sz w:val="24"/>
                <w:highlight w:val="none"/>
              </w:rPr>
              <w:t>必需</w:t>
            </w:r>
          </w:p>
        </w:tc>
        <w:tc>
          <w:tcPr>
            <w:tcW w:w="1550" w:type="dxa"/>
            <w:vAlign w:val="center"/>
          </w:tcPr>
          <w:p w14:paraId="4275639B">
            <w:pPr>
              <w:spacing w:before="62" w:beforeLines="20" w:after="62" w:afterLines="20" w:line="276" w:lineRule="auto"/>
              <w:jc w:val="left"/>
              <w:rPr>
                <w:rFonts w:hint="eastAsia" w:ascii="宋体" w:hAnsi="宋体" w:cs="Arial"/>
                <w:color w:val="auto"/>
                <w:sz w:val="24"/>
                <w:highlight w:val="none"/>
              </w:rPr>
            </w:pPr>
          </w:p>
        </w:tc>
      </w:tr>
      <w:tr w14:paraId="77B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5578D4D">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3</w:t>
            </w:r>
          </w:p>
        </w:tc>
        <w:tc>
          <w:tcPr>
            <w:tcW w:w="6672" w:type="dxa"/>
            <w:vAlign w:val="center"/>
          </w:tcPr>
          <w:p w14:paraId="261CB8EC">
            <w:pPr>
              <w:autoSpaceDE w:val="0"/>
              <w:autoSpaceDN w:val="0"/>
              <w:adjustRightInd w:val="0"/>
              <w:spacing w:line="276" w:lineRule="auto"/>
              <w:textAlignment w:val="baseline"/>
              <w:rPr>
                <w:color w:val="auto"/>
                <w:sz w:val="24"/>
                <w:highlight w:val="none"/>
              </w:rPr>
            </w:pPr>
            <w:r>
              <w:rPr>
                <w:rFonts w:hint="eastAsia" w:ascii="宋体" w:hAnsi="宋体" w:cs="宋体"/>
                <w:color w:val="auto"/>
                <w:sz w:val="24"/>
                <w:highlight w:val="none"/>
              </w:rPr>
              <w:t>风机要求噪音低，效率高，耐使用；风机电机固定在减震台座上，台座下是高性能弹簧减震器，保证空调器在运行中达到平稳。</w:t>
            </w:r>
          </w:p>
        </w:tc>
        <w:tc>
          <w:tcPr>
            <w:tcW w:w="992" w:type="dxa"/>
          </w:tcPr>
          <w:p w14:paraId="17E3D9E2">
            <w:pPr>
              <w:rPr>
                <w:color w:val="auto"/>
                <w:sz w:val="24"/>
                <w:highlight w:val="none"/>
              </w:rPr>
            </w:pPr>
            <w:r>
              <w:rPr>
                <w:rFonts w:hint="eastAsia" w:ascii="宋体" w:hAnsi="宋体" w:cs="Arial"/>
                <w:color w:val="auto"/>
                <w:sz w:val="24"/>
                <w:highlight w:val="none"/>
              </w:rPr>
              <w:t>必需</w:t>
            </w:r>
          </w:p>
        </w:tc>
        <w:tc>
          <w:tcPr>
            <w:tcW w:w="1550" w:type="dxa"/>
            <w:vAlign w:val="center"/>
          </w:tcPr>
          <w:p w14:paraId="35BE333E">
            <w:pPr>
              <w:spacing w:before="62" w:beforeLines="20" w:after="62" w:afterLines="20" w:line="276" w:lineRule="auto"/>
              <w:jc w:val="left"/>
              <w:rPr>
                <w:rFonts w:hint="eastAsia" w:ascii="宋体" w:hAnsi="宋体" w:cs="Arial"/>
                <w:color w:val="auto"/>
                <w:sz w:val="24"/>
                <w:highlight w:val="none"/>
              </w:rPr>
            </w:pPr>
          </w:p>
        </w:tc>
      </w:tr>
      <w:tr w14:paraId="5BA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247A878">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4</w:t>
            </w:r>
          </w:p>
        </w:tc>
        <w:tc>
          <w:tcPr>
            <w:tcW w:w="6672" w:type="dxa"/>
            <w:vAlign w:val="center"/>
          </w:tcPr>
          <w:p w14:paraId="60D7AC42">
            <w:pPr>
              <w:autoSpaceDE w:val="0"/>
              <w:autoSpaceDN w:val="0"/>
              <w:adjustRightInd w:val="0"/>
              <w:spacing w:line="276" w:lineRule="auto"/>
              <w:textAlignment w:val="baseline"/>
              <w:rPr>
                <w:color w:val="auto"/>
                <w:sz w:val="24"/>
                <w:highlight w:val="none"/>
              </w:rPr>
            </w:pPr>
            <w:r>
              <w:rPr>
                <w:rFonts w:hint="eastAsia"/>
                <w:color w:val="auto"/>
                <w:sz w:val="24"/>
                <w:highlight w:val="none"/>
              </w:rPr>
              <w:t>电机采用</w:t>
            </w:r>
            <w:r>
              <w:rPr>
                <w:rFonts w:hint="eastAsia" w:ascii="宋体" w:hAnsi="宋体"/>
                <w:color w:val="auto"/>
                <w:sz w:val="24"/>
                <w:highlight w:val="none"/>
              </w:rPr>
              <w:t>进口国际知名品牌三相异步电机。</w:t>
            </w:r>
            <w:r>
              <w:rPr>
                <w:rFonts w:hint="eastAsia"/>
                <w:color w:val="auto"/>
                <w:sz w:val="24"/>
                <w:highlight w:val="none"/>
              </w:rPr>
              <w:t>选用的电机应当与变频器（采用国际知名品牌）有良好的适配性。为了达到较好的静音效果，所有的风机电机额定转速不得超过1500转/min</w:t>
            </w:r>
          </w:p>
        </w:tc>
        <w:tc>
          <w:tcPr>
            <w:tcW w:w="992" w:type="dxa"/>
          </w:tcPr>
          <w:p w14:paraId="12E32883">
            <w:pPr>
              <w:rPr>
                <w:color w:val="auto"/>
                <w:sz w:val="24"/>
                <w:highlight w:val="none"/>
              </w:rPr>
            </w:pPr>
            <w:r>
              <w:rPr>
                <w:rFonts w:hint="eastAsia" w:ascii="宋体" w:hAnsi="宋体" w:cs="Arial"/>
                <w:color w:val="auto"/>
                <w:sz w:val="24"/>
                <w:highlight w:val="none"/>
              </w:rPr>
              <w:t>必需</w:t>
            </w:r>
          </w:p>
        </w:tc>
        <w:tc>
          <w:tcPr>
            <w:tcW w:w="1550" w:type="dxa"/>
            <w:vAlign w:val="center"/>
          </w:tcPr>
          <w:p w14:paraId="35D2741B">
            <w:pPr>
              <w:spacing w:before="62" w:beforeLines="20" w:after="62" w:afterLines="20" w:line="276" w:lineRule="auto"/>
              <w:jc w:val="left"/>
              <w:rPr>
                <w:rFonts w:hint="eastAsia" w:ascii="宋体" w:hAnsi="宋体" w:cs="Arial"/>
                <w:color w:val="auto"/>
                <w:sz w:val="24"/>
                <w:highlight w:val="none"/>
              </w:rPr>
            </w:pPr>
          </w:p>
        </w:tc>
      </w:tr>
      <w:tr w14:paraId="1071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4D9642F">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5</w:t>
            </w:r>
          </w:p>
        </w:tc>
        <w:tc>
          <w:tcPr>
            <w:tcW w:w="6672" w:type="dxa"/>
            <w:vAlign w:val="center"/>
          </w:tcPr>
          <w:p w14:paraId="2BDA9E0C">
            <w:pPr>
              <w:spacing w:line="276" w:lineRule="auto"/>
              <w:rPr>
                <w:rFonts w:hint="eastAsia" w:ascii="宋体" w:hAnsi="宋体"/>
                <w:color w:val="auto"/>
                <w:sz w:val="24"/>
                <w:highlight w:val="none"/>
              </w:rPr>
            </w:pPr>
            <w:r>
              <w:rPr>
                <w:rFonts w:hint="eastAsia" w:ascii="宋体" w:hAnsi="宋体" w:cs="宋体"/>
                <w:color w:val="auto"/>
                <w:sz w:val="24"/>
                <w:highlight w:val="none"/>
              </w:rPr>
              <w:t>风机传动采用皮带传动。风机和电机底座及风机出口采取措施降低振动和噪音。</w:t>
            </w:r>
          </w:p>
        </w:tc>
        <w:tc>
          <w:tcPr>
            <w:tcW w:w="992" w:type="dxa"/>
          </w:tcPr>
          <w:p w14:paraId="45083B0C">
            <w:pPr>
              <w:rPr>
                <w:color w:val="auto"/>
                <w:sz w:val="24"/>
                <w:highlight w:val="none"/>
              </w:rPr>
            </w:pPr>
            <w:r>
              <w:rPr>
                <w:rFonts w:hint="eastAsia" w:ascii="宋体" w:hAnsi="宋体" w:cs="Arial"/>
                <w:color w:val="auto"/>
                <w:sz w:val="24"/>
                <w:highlight w:val="none"/>
              </w:rPr>
              <w:t>必需</w:t>
            </w:r>
          </w:p>
        </w:tc>
        <w:tc>
          <w:tcPr>
            <w:tcW w:w="1550" w:type="dxa"/>
            <w:vAlign w:val="center"/>
          </w:tcPr>
          <w:p w14:paraId="21E28931">
            <w:pPr>
              <w:spacing w:before="62" w:beforeLines="20" w:after="62" w:afterLines="20" w:line="276" w:lineRule="auto"/>
              <w:jc w:val="left"/>
              <w:rPr>
                <w:rFonts w:hint="eastAsia" w:ascii="宋体" w:hAnsi="宋体" w:cs="Arial"/>
                <w:color w:val="auto"/>
                <w:sz w:val="24"/>
                <w:highlight w:val="none"/>
              </w:rPr>
            </w:pPr>
          </w:p>
        </w:tc>
      </w:tr>
    </w:tbl>
    <w:p w14:paraId="4C72AB3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11.7</w:t>
      </w:r>
      <w:r>
        <w:rPr>
          <w:rFonts w:hint="eastAsia" w:ascii="Arial Bold" w:hAnsi="Arial Bold"/>
          <w:caps/>
          <w:color w:val="auto"/>
          <w:kern w:val="32"/>
          <w:sz w:val="24"/>
          <w:highlight w:val="none"/>
        </w:rPr>
        <w:t>风阀</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0F61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3B20BA0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4B2150E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6E8CE57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2EB6E3C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026A69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63C2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30C7768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-01</w:t>
            </w:r>
          </w:p>
        </w:tc>
        <w:tc>
          <w:tcPr>
            <w:tcW w:w="6672" w:type="dxa"/>
            <w:vAlign w:val="center"/>
          </w:tcPr>
          <w:p w14:paraId="45644BCF">
            <w:pPr>
              <w:spacing w:line="276" w:lineRule="auto"/>
              <w:rPr>
                <w:rFonts w:hint="eastAsia" w:ascii="宋体" w:hAnsi="宋体" w:cs="宋体"/>
                <w:color w:val="auto"/>
                <w:sz w:val="24"/>
                <w:highlight w:val="none"/>
              </w:rPr>
            </w:pPr>
            <w:r>
              <w:rPr>
                <w:rFonts w:hint="eastAsia" w:ascii="宋体" w:hAnsi="宋体" w:cs="宋体"/>
                <w:color w:val="auto"/>
                <w:sz w:val="24"/>
                <w:highlight w:val="none"/>
              </w:rPr>
              <w:t>机组自带的调节风阀应当采用铝合金型材制作；</w:t>
            </w:r>
          </w:p>
        </w:tc>
        <w:tc>
          <w:tcPr>
            <w:tcW w:w="992" w:type="dxa"/>
          </w:tcPr>
          <w:p w14:paraId="4AA43319">
            <w:pPr>
              <w:rPr>
                <w:color w:val="auto"/>
                <w:highlight w:val="none"/>
              </w:rPr>
            </w:pPr>
            <w:r>
              <w:rPr>
                <w:rFonts w:hint="eastAsia" w:ascii="宋体" w:hAnsi="宋体" w:cs="Arial"/>
                <w:color w:val="auto"/>
                <w:sz w:val="24"/>
                <w:highlight w:val="none"/>
              </w:rPr>
              <w:t>必需</w:t>
            </w:r>
          </w:p>
        </w:tc>
        <w:tc>
          <w:tcPr>
            <w:tcW w:w="1550" w:type="dxa"/>
            <w:vAlign w:val="center"/>
          </w:tcPr>
          <w:p w14:paraId="74F4C98B">
            <w:pPr>
              <w:spacing w:before="62" w:beforeLines="20" w:after="62" w:afterLines="20" w:line="276" w:lineRule="auto"/>
              <w:jc w:val="left"/>
              <w:rPr>
                <w:rFonts w:hint="eastAsia" w:ascii="宋体" w:hAnsi="宋体" w:cs="Arial"/>
                <w:color w:val="auto"/>
                <w:sz w:val="24"/>
                <w:highlight w:val="none"/>
              </w:rPr>
            </w:pPr>
          </w:p>
        </w:tc>
      </w:tr>
      <w:tr w14:paraId="4050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A09280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2</w:t>
            </w:r>
          </w:p>
        </w:tc>
        <w:tc>
          <w:tcPr>
            <w:tcW w:w="6672" w:type="dxa"/>
            <w:vAlign w:val="center"/>
          </w:tcPr>
          <w:p w14:paraId="36700AC3">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风阀经裁剪、折弯、焊接等工艺制作，无砂眼、烧穿等缺陷，焊缝需光滑平整；边角需经倒角处理，无钝边；阀体两端连接法兰需平整，保证加装密封垫安装后密闭无泄漏；</w:t>
            </w:r>
          </w:p>
        </w:tc>
        <w:tc>
          <w:tcPr>
            <w:tcW w:w="992" w:type="dxa"/>
          </w:tcPr>
          <w:p w14:paraId="77D701F7">
            <w:pPr>
              <w:rPr>
                <w:color w:val="auto"/>
                <w:highlight w:val="none"/>
              </w:rPr>
            </w:pPr>
            <w:r>
              <w:rPr>
                <w:rFonts w:hint="eastAsia" w:ascii="宋体" w:hAnsi="宋体" w:cs="Arial"/>
                <w:color w:val="auto"/>
                <w:sz w:val="24"/>
                <w:highlight w:val="none"/>
              </w:rPr>
              <w:t>必需</w:t>
            </w:r>
          </w:p>
        </w:tc>
        <w:tc>
          <w:tcPr>
            <w:tcW w:w="1550" w:type="dxa"/>
            <w:vAlign w:val="center"/>
          </w:tcPr>
          <w:p w14:paraId="2CDAC99C">
            <w:pPr>
              <w:spacing w:before="62" w:beforeLines="20" w:after="62" w:afterLines="20" w:line="276" w:lineRule="auto"/>
              <w:jc w:val="left"/>
              <w:rPr>
                <w:rFonts w:hint="eastAsia" w:ascii="宋体" w:hAnsi="宋体" w:cs="Arial"/>
                <w:color w:val="auto"/>
                <w:sz w:val="24"/>
                <w:highlight w:val="none"/>
              </w:rPr>
            </w:pPr>
          </w:p>
        </w:tc>
      </w:tr>
      <w:tr w14:paraId="226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957C74F">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3</w:t>
            </w:r>
          </w:p>
        </w:tc>
        <w:tc>
          <w:tcPr>
            <w:tcW w:w="6672" w:type="dxa"/>
            <w:vAlign w:val="center"/>
          </w:tcPr>
          <w:p w14:paraId="72A8EE5A">
            <w:pPr>
              <w:spacing w:line="276" w:lineRule="auto"/>
              <w:rPr>
                <w:rFonts w:hint="eastAsia" w:ascii="宋体" w:hAnsi="宋体" w:cs="宋体"/>
                <w:color w:val="auto"/>
                <w:sz w:val="24"/>
                <w:highlight w:val="none"/>
              </w:rPr>
            </w:pPr>
            <w:r>
              <w:rPr>
                <w:rFonts w:hint="eastAsia" w:ascii="宋体" w:hAnsi="宋体" w:cs="宋体"/>
                <w:color w:val="auto"/>
                <w:sz w:val="24"/>
                <w:highlight w:val="none"/>
              </w:rPr>
              <w:t>传动部件要求采用防锈材料，风阀叶片间应采取密封措施。</w:t>
            </w:r>
          </w:p>
        </w:tc>
        <w:tc>
          <w:tcPr>
            <w:tcW w:w="992" w:type="dxa"/>
          </w:tcPr>
          <w:p w14:paraId="6E15D9DB">
            <w:pPr>
              <w:rPr>
                <w:color w:val="auto"/>
                <w:highlight w:val="none"/>
              </w:rPr>
            </w:pPr>
            <w:r>
              <w:rPr>
                <w:rFonts w:hint="eastAsia" w:ascii="宋体" w:hAnsi="宋体" w:cs="Arial"/>
                <w:color w:val="auto"/>
                <w:sz w:val="24"/>
                <w:highlight w:val="none"/>
              </w:rPr>
              <w:t>必需</w:t>
            </w:r>
          </w:p>
        </w:tc>
        <w:tc>
          <w:tcPr>
            <w:tcW w:w="1550" w:type="dxa"/>
            <w:vAlign w:val="center"/>
          </w:tcPr>
          <w:p w14:paraId="77962095">
            <w:pPr>
              <w:spacing w:before="62" w:beforeLines="20" w:after="62" w:afterLines="20" w:line="276" w:lineRule="auto"/>
              <w:jc w:val="left"/>
              <w:rPr>
                <w:rFonts w:hint="eastAsia" w:ascii="宋体" w:hAnsi="宋体" w:cs="Arial"/>
                <w:color w:val="auto"/>
                <w:sz w:val="24"/>
                <w:highlight w:val="none"/>
              </w:rPr>
            </w:pPr>
          </w:p>
        </w:tc>
      </w:tr>
      <w:tr w14:paraId="43F9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BAD577E">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4</w:t>
            </w:r>
          </w:p>
        </w:tc>
        <w:tc>
          <w:tcPr>
            <w:tcW w:w="6672" w:type="dxa"/>
            <w:vAlign w:val="center"/>
          </w:tcPr>
          <w:p w14:paraId="7B2FC938">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调节手柄开关灵活，开度指示正确。</w:t>
            </w:r>
          </w:p>
        </w:tc>
        <w:tc>
          <w:tcPr>
            <w:tcW w:w="992" w:type="dxa"/>
          </w:tcPr>
          <w:p w14:paraId="26853EEE">
            <w:pPr>
              <w:rPr>
                <w:color w:val="auto"/>
                <w:highlight w:val="none"/>
              </w:rPr>
            </w:pPr>
            <w:r>
              <w:rPr>
                <w:rFonts w:hint="eastAsia" w:ascii="宋体" w:hAnsi="宋体" w:cs="Arial"/>
                <w:color w:val="auto"/>
                <w:sz w:val="24"/>
                <w:highlight w:val="none"/>
              </w:rPr>
              <w:t>必需</w:t>
            </w:r>
          </w:p>
        </w:tc>
        <w:tc>
          <w:tcPr>
            <w:tcW w:w="1550" w:type="dxa"/>
            <w:vAlign w:val="center"/>
          </w:tcPr>
          <w:p w14:paraId="5FB61D10">
            <w:pPr>
              <w:spacing w:before="62" w:beforeLines="20" w:after="62" w:afterLines="20" w:line="276" w:lineRule="auto"/>
              <w:jc w:val="left"/>
              <w:rPr>
                <w:rFonts w:hint="eastAsia" w:ascii="宋体" w:hAnsi="宋体" w:cs="Arial"/>
                <w:color w:val="auto"/>
                <w:sz w:val="24"/>
                <w:highlight w:val="none"/>
              </w:rPr>
            </w:pPr>
          </w:p>
        </w:tc>
      </w:tr>
    </w:tbl>
    <w:p w14:paraId="58B4DC8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11.8控制功能及控制硬件要求</w:t>
      </w: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6379"/>
        <w:gridCol w:w="992"/>
        <w:gridCol w:w="1550"/>
      </w:tblGrid>
      <w:tr w14:paraId="13B8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835" w:type="dxa"/>
            <w:tcBorders>
              <w:bottom w:val="single" w:color="auto" w:sz="4" w:space="0"/>
            </w:tcBorders>
            <w:shd w:val="pct20" w:color="auto" w:fill="FFFFFF"/>
            <w:vAlign w:val="center"/>
          </w:tcPr>
          <w:p w14:paraId="174C3DF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379" w:type="dxa"/>
            <w:tcBorders>
              <w:bottom w:val="single" w:color="auto" w:sz="4" w:space="0"/>
            </w:tcBorders>
            <w:shd w:val="pct20" w:color="auto" w:fill="FFFFFF"/>
            <w:vAlign w:val="center"/>
          </w:tcPr>
          <w:p w14:paraId="2D798B9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3A40547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28B2428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1A9384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3FEE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vAlign w:val="center"/>
          </w:tcPr>
          <w:p w14:paraId="3C5B50E2">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-01</w:t>
            </w:r>
          </w:p>
        </w:tc>
        <w:tc>
          <w:tcPr>
            <w:tcW w:w="6379" w:type="dxa"/>
            <w:vAlign w:val="center"/>
          </w:tcPr>
          <w:p w14:paraId="2AE80CEF">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组合式空调控制部分采集监测功能</w:t>
            </w:r>
          </w:p>
          <w:p w14:paraId="5F671F0E">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回风温湿度参数实时采集显示；</w:t>
            </w:r>
          </w:p>
          <w:p w14:paraId="0275888C">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箱内温湿度实时采集显示；</w:t>
            </w:r>
          </w:p>
          <w:p w14:paraId="56154F97">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送风机运行状态、故障状态监测；</w:t>
            </w:r>
          </w:p>
          <w:p w14:paraId="3CB45793">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室内排风机运行状态、故障状态监测；</w:t>
            </w:r>
          </w:p>
          <w:p w14:paraId="50F83D4D">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送风机前后空气压差状态监测，用于系统缺风保护；</w:t>
            </w:r>
          </w:p>
          <w:p w14:paraId="73BA7D53">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冬夏工况状态实时检测，用于转换冬夏季控制逻辑；</w:t>
            </w:r>
          </w:p>
          <w:p w14:paraId="60154A36">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空调机组初、中效过滤器缺风压差监测；</w:t>
            </w:r>
          </w:p>
          <w:p w14:paraId="6687EB34">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送风机、排风机累积运行时间及起动次数统计；</w:t>
            </w:r>
          </w:p>
          <w:p w14:paraId="3744E174">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主机运行状态、故障状态监测；</w:t>
            </w:r>
          </w:p>
          <w:p w14:paraId="7988AF52">
            <w:pPr>
              <w:numPr>
                <w:ilvl w:val="0"/>
                <w:numId w:val="29"/>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进出水温度、压力的监测显示</w:t>
            </w:r>
          </w:p>
          <w:p w14:paraId="72A5B70B">
            <w:pPr>
              <w:numPr>
                <w:ilvl w:val="0"/>
                <w:numId w:val="30"/>
              </w:numPr>
              <w:tabs>
                <w:tab w:val="left" w:pos="945"/>
              </w:tabs>
              <w:adjustRightInd w:val="0"/>
              <w:snapToGrid w:val="0"/>
              <w:spacing w:line="276" w:lineRule="auto"/>
              <w:ind w:left="945"/>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p w14:paraId="49A93A28">
            <w:pPr>
              <w:numPr>
                <w:ilvl w:val="0"/>
                <w:numId w:val="30"/>
              </w:numPr>
              <w:tabs>
                <w:tab w:val="left" w:pos="945"/>
              </w:tabs>
              <w:adjustRightInd w:val="0"/>
              <w:snapToGrid w:val="0"/>
              <w:spacing w:line="276" w:lineRule="auto"/>
              <w:ind w:left="945"/>
              <w:jc w:val="left"/>
              <w:rPr>
                <w:rFonts w:hint="eastAsia" w:ascii="宋体" w:hAnsi="宋体" w:cs="宋体"/>
                <w:color w:val="auto"/>
                <w:sz w:val="24"/>
                <w:highlight w:val="none"/>
              </w:rPr>
            </w:pPr>
          </w:p>
        </w:tc>
        <w:tc>
          <w:tcPr>
            <w:tcW w:w="992" w:type="dxa"/>
          </w:tcPr>
          <w:p w14:paraId="19080708">
            <w:pPr>
              <w:rPr>
                <w:color w:val="auto"/>
                <w:highlight w:val="none"/>
              </w:rPr>
            </w:pPr>
            <w:r>
              <w:rPr>
                <w:rFonts w:hint="eastAsia"/>
                <w:color w:val="auto"/>
                <w:highlight w:val="none"/>
              </w:rPr>
              <w:t>必需</w:t>
            </w:r>
          </w:p>
        </w:tc>
        <w:tc>
          <w:tcPr>
            <w:tcW w:w="1550" w:type="dxa"/>
            <w:vAlign w:val="center"/>
          </w:tcPr>
          <w:p w14:paraId="1915C680">
            <w:pPr>
              <w:spacing w:before="62" w:beforeLines="20" w:after="62" w:afterLines="20" w:line="276" w:lineRule="auto"/>
              <w:jc w:val="left"/>
              <w:rPr>
                <w:rFonts w:hint="eastAsia" w:ascii="宋体" w:hAnsi="宋体" w:cs="Arial"/>
                <w:color w:val="auto"/>
                <w:sz w:val="24"/>
                <w:highlight w:val="none"/>
              </w:rPr>
            </w:pPr>
          </w:p>
        </w:tc>
      </w:tr>
      <w:tr w14:paraId="1F9E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40F9BA83">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2</w:t>
            </w:r>
          </w:p>
        </w:tc>
        <w:tc>
          <w:tcPr>
            <w:tcW w:w="6379" w:type="dxa"/>
            <w:vAlign w:val="center"/>
          </w:tcPr>
          <w:p w14:paraId="25322E21">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安全保护及报警功能</w:t>
            </w:r>
          </w:p>
          <w:p w14:paraId="61630C6C">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通过现场控制柜配套相关外围设备及软件策略，应可实现如下保护功能：缺风保护、停机延时、高压保护、变频器故障、送风机、排风机等过载保护、电气安全保护、水温保护、缺水保护。</w:t>
            </w:r>
          </w:p>
        </w:tc>
        <w:tc>
          <w:tcPr>
            <w:tcW w:w="992" w:type="dxa"/>
          </w:tcPr>
          <w:p w14:paraId="348368A3">
            <w:pPr>
              <w:rPr>
                <w:color w:val="auto"/>
                <w:highlight w:val="none"/>
              </w:rPr>
            </w:pPr>
            <w:r>
              <w:rPr>
                <w:rFonts w:hint="eastAsia"/>
                <w:color w:val="auto"/>
                <w:highlight w:val="none"/>
              </w:rPr>
              <w:t>必需</w:t>
            </w:r>
          </w:p>
        </w:tc>
        <w:tc>
          <w:tcPr>
            <w:tcW w:w="1550" w:type="dxa"/>
            <w:vAlign w:val="center"/>
          </w:tcPr>
          <w:p w14:paraId="1F57A494">
            <w:pPr>
              <w:spacing w:before="62" w:beforeLines="20" w:after="62" w:afterLines="20" w:line="276" w:lineRule="auto"/>
              <w:jc w:val="left"/>
              <w:rPr>
                <w:rFonts w:hint="eastAsia" w:ascii="宋体" w:hAnsi="宋体" w:cs="Arial"/>
                <w:color w:val="auto"/>
                <w:sz w:val="24"/>
                <w:highlight w:val="none"/>
              </w:rPr>
            </w:pPr>
          </w:p>
        </w:tc>
      </w:tr>
      <w:tr w14:paraId="29D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3D22DE35">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3</w:t>
            </w:r>
          </w:p>
        </w:tc>
        <w:tc>
          <w:tcPr>
            <w:tcW w:w="6379" w:type="dxa"/>
            <w:vAlign w:val="center"/>
          </w:tcPr>
          <w:p w14:paraId="53AB1DAD">
            <w:pPr>
              <w:spacing w:line="276" w:lineRule="auto"/>
              <w:ind w:left="102"/>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组合式空调控制部分控制功能</w:t>
            </w:r>
          </w:p>
          <w:p w14:paraId="1181D254">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起停方式控制。包括自动起停、现场手动起停。有远程控制功能。</w:t>
            </w:r>
          </w:p>
          <w:p w14:paraId="4ABB53D3">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恒温恒湿控制。应可根据回风温湿度，自动控制压缩机的投入数量、蒸汽加热阀（电加热）、加湿量的投入量实现恒温恒湿自动控制。</w:t>
            </w:r>
          </w:p>
          <w:p w14:paraId="7B5CACAB">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送风恒风量控制 </w:t>
            </w:r>
          </w:p>
          <w:p w14:paraId="414C5BCB">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新风控制，新风阀与风机联锁，停机时关闭新风阀。</w:t>
            </w:r>
          </w:p>
          <w:p w14:paraId="79BC114C">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p w14:paraId="5528F703">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系统硬件故障自检及显示</w:t>
            </w:r>
          </w:p>
          <w:p w14:paraId="24C84A12">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可进行空调系统控制参数设定与修改</w:t>
            </w:r>
          </w:p>
          <w:p w14:paraId="5A1FDAAF">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臭氧消毒联动控制功能</w:t>
            </w:r>
          </w:p>
          <w:p w14:paraId="30EA1DD0">
            <w:pPr>
              <w:numPr>
                <w:ilvl w:val="0"/>
                <w:numId w:val="30"/>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主机系统、除尘机、排风机联动功能（含手动与自动功能）</w:t>
            </w:r>
          </w:p>
        </w:tc>
        <w:tc>
          <w:tcPr>
            <w:tcW w:w="992" w:type="dxa"/>
          </w:tcPr>
          <w:p w14:paraId="493BE94C">
            <w:pPr>
              <w:rPr>
                <w:color w:val="auto"/>
                <w:highlight w:val="none"/>
              </w:rPr>
            </w:pPr>
            <w:r>
              <w:rPr>
                <w:rFonts w:hint="eastAsia"/>
                <w:color w:val="auto"/>
                <w:highlight w:val="none"/>
              </w:rPr>
              <w:t>必需</w:t>
            </w:r>
          </w:p>
        </w:tc>
        <w:tc>
          <w:tcPr>
            <w:tcW w:w="1550" w:type="dxa"/>
            <w:vAlign w:val="center"/>
          </w:tcPr>
          <w:p w14:paraId="0EAD5542">
            <w:pPr>
              <w:spacing w:before="62" w:beforeLines="20" w:after="62" w:afterLines="20" w:line="276" w:lineRule="auto"/>
              <w:jc w:val="left"/>
              <w:rPr>
                <w:rFonts w:hint="eastAsia" w:ascii="宋体" w:hAnsi="宋体" w:cs="Arial"/>
                <w:color w:val="auto"/>
                <w:sz w:val="24"/>
                <w:highlight w:val="none"/>
              </w:rPr>
            </w:pPr>
          </w:p>
        </w:tc>
      </w:tr>
      <w:tr w14:paraId="1C26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143806D0">
            <w:pPr>
              <w:rPr>
                <w:color w:val="auto"/>
                <w:highlight w:val="none"/>
              </w:rPr>
            </w:pPr>
            <w:r>
              <w:rPr>
                <w:rFonts w:hint="eastAsia" w:ascii="宋体" w:hAnsi="宋体" w:cs="Arial"/>
                <w:color w:val="auto"/>
                <w:sz w:val="24"/>
                <w:highlight w:val="none"/>
              </w:rPr>
              <w:sym w:font="Wingdings 2" w:char="F0EA"/>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4</w:t>
            </w:r>
          </w:p>
        </w:tc>
        <w:tc>
          <w:tcPr>
            <w:tcW w:w="6379" w:type="dxa"/>
            <w:vAlign w:val="center"/>
          </w:tcPr>
          <w:p w14:paraId="7C9DAAD9">
            <w:pPr>
              <w:widowControl/>
              <w:tabs>
                <w:tab w:val="center" w:pos="2268"/>
                <w:tab w:val="right" w:pos="5387"/>
              </w:tabs>
              <w:spacing w:line="320" w:lineRule="atLeast"/>
              <w:jc w:val="left"/>
              <w:rPr>
                <w:rFonts w:hint="eastAsia" w:ascii="宋体" w:hAnsi="宋体" w:cs="宋体"/>
                <w:color w:val="auto"/>
                <w:sz w:val="24"/>
                <w:highlight w:val="none"/>
                <w:lang w:val="en-GB"/>
              </w:rPr>
            </w:pPr>
            <w:r>
              <w:rPr>
                <w:rFonts w:hint="eastAsia" w:ascii="宋体" w:hAnsi="宋体" w:cs="宋体"/>
                <w:color w:val="auto"/>
                <w:sz w:val="24"/>
                <w:highlight w:val="none"/>
                <w:lang w:val="en-GB"/>
              </w:rPr>
              <w:t>现场控制器采用SIEMENS PLC、SIEMENS触摸屏控制面板10寸、ABB变频器，投标方提供详细的参数以及说明，远程控制平台利用招标人即有的西门子wincc扩展进行远程控制，需要中标方购买需要的扩展点位，中标方需要提供西门子正版授权，远程平台需要做到</w:t>
            </w:r>
            <w:r>
              <w:rPr>
                <w:rFonts w:hint="eastAsia" w:ascii="宋体" w:hAnsi="宋体" w:cs="宋体"/>
                <w:color w:val="auto"/>
                <w:sz w:val="24"/>
                <w:highlight w:val="none"/>
              </w:rPr>
              <w:t>洁净空调机组负载的各受控房间的温度湿度与压力远程显示、洁净机组与通排风设备、空调主机、水泵、通风柜等动力设备需要远程监控，做到可监可控，并无条件免费开放权限给招标人配合招标人采集数据传输给招标人指定的第三方平台。</w:t>
            </w:r>
          </w:p>
        </w:tc>
        <w:tc>
          <w:tcPr>
            <w:tcW w:w="992" w:type="dxa"/>
          </w:tcPr>
          <w:p w14:paraId="6F36CF20">
            <w:pPr>
              <w:rPr>
                <w:color w:val="auto"/>
                <w:highlight w:val="none"/>
              </w:rPr>
            </w:pPr>
            <w:r>
              <w:rPr>
                <w:rFonts w:hint="eastAsia"/>
                <w:color w:val="auto"/>
                <w:highlight w:val="none"/>
              </w:rPr>
              <w:t>必需</w:t>
            </w:r>
          </w:p>
        </w:tc>
        <w:tc>
          <w:tcPr>
            <w:tcW w:w="1550" w:type="dxa"/>
            <w:vAlign w:val="center"/>
          </w:tcPr>
          <w:p w14:paraId="1E95F1E3">
            <w:pPr>
              <w:spacing w:before="62" w:beforeLines="20" w:after="62" w:afterLines="20" w:line="276" w:lineRule="auto"/>
              <w:jc w:val="left"/>
              <w:rPr>
                <w:rFonts w:hint="eastAsia" w:ascii="宋体" w:hAnsi="宋体" w:cs="Arial"/>
                <w:color w:val="auto"/>
                <w:sz w:val="24"/>
                <w:highlight w:val="none"/>
              </w:rPr>
            </w:pPr>
          </w:p>
        </w:tc>
      </w:tr>
      <w:tr w14:paraId="0564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7769A6F5">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5</w:t>
            </w:r>
          </w:p>
        </w:tc>
        <w:tc>
          <w:tcPr>
            <w:tcW w:w="6379" w:type="dxa"/>
            <w:vAlign w:val="center"/>
          </w:tcPr>
          <w:p w14:paraId="73BAE631">
            <w:pPr>
              <w:spacing w:line="360" w:lineRule="auto"/>
              <w:rPr>
                <w:rFonts w:hint="eastAsia" w:ascii="宋体" w:hAnsi="宋体" w:cs="宋体"/>
                <w:color w:val="auto"/>
                <w:sz w:val="24"/>
                <w:highlight w:val="none"/>
              </w:rPr>
            </w:pPr>
            <w:r>
              <w:rPr>
                <w:rFonts w:hint="eastAsia" w:ascii="宋体" w:hAnsi="宋体" w:cs="宋体"/>
                <w:color w:val="auto"/>
                <w:sz w:val="24"/>
                <w:highlight w:val="none"/>
              </w:rPr>
              <w:t>风管内温湿度传感器和室内环境温湿度传感器应选用带显示屏的温湿度传感器E+E品牌 或者带显示屏的西门子温湿传感器</w:t>
            </w:r>
          </w:p>
          <w:p w14:paraId="4AC66805">
            <w:pPr>
              <w:numPr>
                <w:ilvl w:val="0"/>
                <w:numId w:val="31"/>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温度/湿度范围：0～50℃/0～95%RH</w:t>
            </w:r>
          </w:p>
          <w:p w14:paraId="2D8E547C">
            <w:pPr>
              <w:numPr>
                <w:ilvl w:val="0"/>
                <w:numId w:val="31"/>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温度/湿度精度：±1℃/±5％RH</w:t>
            </w:r>
          </w:p>
        </w:tc>
        <w:tc>
          <w:tcPr>
            <w:tcW w:w="992" w:type="dxa"/>
          </w:tcPr>
          <w:p w14:paraId="46E78158">
            <w:pPr>
              <w:rPr>
                <w:color w:val="auto"/>
                <w:highlight w:val="none"/>
              </w:rPr>
            </w:pPr>
            <w:r>
              <w:rPr>
                <w:rFonts w:hint="eastAsia"/>
                <w:color w:val="auto"/>
                <w:highlight w:val="none"/>
              </w:rPr>
              <w:t>必需</w:t>
            </w:r>
          </w:p>
        </w:tc>
        <w:tc>
          <w:tcPr>
            <w:tcW w:w="1550" w:type="dxa"/>
            <w:vAlign w:val="center"/>
          </w:tcPr>
          <w:p w14:paraId="5AE14E1E">
            <w:pPr>
              <w:spacing w:before="62" w:beforeLines="20" w:after="62" w:afterLines="20" w:line="276" w:lineRule="auto"/>
              <w:jc w:val="left"/>
              <w:rPr>
                <w:rFonts w:hint="eastAsia" w:ascii="宋体" w:hAnsi="宋体" w:cs="Arial"/>
                <w:color w:val="auto"/>
                <w:sz w:val="24"/>
                <w:highlight w:val="none"/>
              </w:rPr>
            </w:pPr>
          </w:p>
        </w:tc>
      </w:tr>
      <w:tr w14:paraId="386F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15F9186A">
            <w:pPr>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6</w:t>
            </w:r>
          </w:p>
        </w:tc>
        <w:tc>
          <w:tcPr>
            <w:tcW w:w="6379" w:type="dxa"/>
            <w:vAlign w:val="center"/>
          </w:tcPr>
          <w:p w14:paraId="4607466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泵组、空调主机、洁净空调机组、排风机、送风机、层间主电箱的进线及每个出线回路，房间电箱进线及大功率出线、每个三相出线回路均需要安装远程计量仪表，并且仪表需要布置通讯采集线汇总至弱电机房连接至设备网</w:t>
            </w:r>
          </w:p>
        </w:tc>
        <w:tc>
          <w:tcPr>
            <w:tcW w:w="992" w:type="dxa"/>
          </w:tcPr>
          <w:p w14:paraId="4AD354AC">
            <w:pPr>
              <w:rPr>
                <w:color w:val="auto"/>
                <w:highlight w:val="none"/>
              </w:rPr>
            </w:pPr>
          </w:p>
        </w:tc>
        <w:tc>
          <w:tcPr>
            <w:tcW w:w="1550" w:type="dxa"/>
            <w:vAlign w:val="center"/>
          </w:tcPr>
          <w:p w14:paraId="31DF67C8">
            <w:pPr>
              <w:spacing w:before="62" w:beforeLines="20" w:after="62" w:afterLines="20" w:line="276" w:lineRule="auto"/>
              <w:jc w:val="left"/>
              <w:rPr>
                <w:rFonts w:hint="eastAsia" w:ascii="宋体" w:hAnsi="宋体" w:cs="Arial"/>
                <w:color w:val="auto"/>
                <w:sz w:val="24"/>
                <w:highlight w:val="none"/>
              </w:rPr>
            </w:pPr>
          </w:p>
        </w:tc>
      </w:tr>
      <w:tr w14:paraId="65F8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6B4E9B4B">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6</w:t>
            </w:r>
          </w:p>
        </w:tc>
        <w:tc>
          <w:tcPr>
            <w:tcW w:w="6379" w:type="dxa"/>
            <w:vAlign w:val="center"/>
          </w:tcPr>
          <w:p w14:paraId="0C8D38B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配套落地或壁挂式控制柜或控制箱；</w:t>
            </w:r>
          </w:p>
        </w:tc>
        <w:tc>
          <w:tcPr>
            <w:tcW w:w="992" w:type="dxa"/>
          </w:tcPr>
          <w:p w14:paraId="62A43C03">
            <w:pPr>
              <w:rPr>
                <w:color w:val="auto"/>
                <w:highlight w:val="none"/>
              </w:rPr>
            </w:pPr>
            <w:r>
              <w:rPr>
                <w:rFonts w:hint="eastAsia"/>
                <w:color w:val="auto"/>
                <w:highlight w:val="none"/>
              </w:rPr>
              <w:t>必需</w:t>
            </w:r>
          </w:p>
        </w:tc>
        <w:tc>
          <w:tcPr>
            <w:tcW w:w="1550" w:type="dxa"/>
            <w:vAlign w:val="center"/>
          </w:tcPr>
          <w:p w14:paraId="33ECB567">
            <w:pPr>
              <w:spacing w:before="62" w:beforeLines="20" w:after="62" w:afterLines="20" w:line="276" w:lineRule="auto"/>
              <w:jc w:val="left"/>
              <w:rPr>
                <w:rFonts w:hint="eastAsia" w:ascii="宋体" w:hAnsi="宋体" w:cs="Arial"/>
                <w:color w:val="auto"/>
                <w:sz w:val="24"/>
                <w:highlight w:val="none"/>
              </w:rPr>
            </w:pPr>
          </w:p>
        </w:tc>
      </w:tr>
      <w:tr w14:paraId="5951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472441A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7</w:t>
            </w:r>
          </w:p>
        </w:tc>
        <w:tc>
          <w:tcPr>
            <w:tcW w:w="6379" w:type="dxa"/>
            <w:vAlign w:val="center"/>
          </w:tcPr>
          <w:p w14:paraId="5C712735">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空调机组应采用合理的变频起动控制方案，需配置工频启动回路，可进行工频、变频及应急三个功能的回路切换；</w:t>
            </w:r>
          </w:p>
        </w:tc>
        <w:tc>
          <w:tcPr>
            <w:tcW w:w="992" w:type="dxa"/>
          </w:tcPr>
          <w:p w14:paraId="5D5E8E91">
            <w:pPr>
              <w:rPr>
                <w:color w:val="auto"/>
                <w:highlight w:val="none"/>
              </w:rPr>
            </w:pPr>
            <w:r>
              <w:rPr>
                <w:rFonts w:hint="eastAsia"/>
                <w:color w:val="auto"/>
                <w:highlight w:val="none"/>
              </w:rPr>
              <w:t>必需</w:t>
            </w:r>
          </w:p>
        </w:tc>
        <w:tc>
          <w:tcPr>
            <w:tcW w:w="1550" w:type="dxa"/>
            <w:vAlign w:val="center"/>
          </w:tcPr>
          <w:p w14:paraId="135D56D8">
            <w:pPr>
              <w:spacing w:before="62" w:beforeLines="20" w:after="62" w:afterLines="20" w:line="276" w:lineRule="auto"/>
              <w:jc w:val="left"/>
              <w:rPr>
                <w:rFonts w:hint="eastAsia" w:ascii="宋体" w:hAnsi="宋体" w:cs="Arial"/>
                <w:color w:val="auto"/>
                <w:sz w:val="24"/>
                <w:highlight w:val="none"/>
              </w:rPr>
            </w:pPr>
          </w:p>
        </w:tc>
      </w:tr>
      <w:tr w14:paraId="3A9F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750A5344">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8</w:t>
            </w:r>
          </w:p>
        </w:tc>
        <w:tc>
          <w:tcPr>
            <w:tcW w:w="6379" w:type="dxa"/>
            <w:vAlign w:val="center"/>
          </w:tcPr>
          <w:p w14:paraId="43F4372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空开、交流接触器等其它低压电气元件品牌；ABB，施耐德、西门子中选择，</w:t>
            </w:r>
            <w:r>
              <w:rPr>
                <w:rFonts w:hint="eastAsia"/>
                <w:color w:val="auto"/>
                <w:sz w:val="24"/>
                <w:highlight w:val="none"/>
              </w:rPr>
              <w:t>详见工艺设备品牌推荐参考表</w:t>
            </w:r>
            <w:r>
              <w:rPr>
                <w:rFonts w:hint="eastAsia" w:ascii="宋体" w:hAnsi="宋体" w:cs="宋体"/>
                <w:color w:val="auto"/>
                <w:sz w:val="24"/>
                <w:highlight w:val="none"/>
              </w:rPr>
              <w:t>；</w:t>
            </w:r>
          </w:p>
        </w:tc>
        <w:tc>
          <w:tcPr>
            <w:tcW w:w="992" w:type="dxa"/>
          </w:tcPr>
          <w:p w14:paraId="4A2DC2B7">
            <w:pPr>
              <w:rPr>
                <w:color w:val="auto"/>
                <w:highlight w:val="none"/>
              </w:rPr>
            </w:pPr>
            <w:r>
              <w:rPr>
                <w:rFonts w:hint="eastAsia"/>
                <w:color w:val="auto"/>
                <w:highlight w:val="none"/>
              </w:rPr>
              <w:t>必需</w:t>
            </w:r>
          </w:p>
        </w:tc>
        <w:tc>
          <w:tcPr>
            <w:tcW w:w="1550" w:type="dxa"/>
            <w:vAlign w:val="center"/>
          </w:tcPr>
          <w:p w14:paraId="125CE01C">
            <w:pPr>
              <w:spacing w:before="62" w:beforeLines="20" w:after="62" w:afterLines="20" w:line="276" w:lineRule="auto"/>
              <w:jc w:val="left"/>
              <w:rPr>
                <w:rFonts w:hint="eastAsia" w:ascii="宋体" w:hAnsi="宋体" w:cs="Arial"/>
                <w:color w:val="auto"/>
                <w:sz w:val="24"/>
                <w:highlight w:val="none"/>
              </w:rPr>
            </w:pPr>
          </w:p>
        </w:tc>
      </w:tr>
      <w:tr w14:paraId="36F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3B1D364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9</w:t>
            </w:r>
          </w:p>
        </w:tc>
        <w:tc>
          <w:tcPr>
            <w:tcW w:w="6379" w:type="dxa"/>
            <w:vAlign w:val="center"/>
          </w:tcPr>
          <w:p w14:paraId="1914EA3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控制柜面板上应有电源、运行及报警指示功能；</w:t>
            </w:r>
          </w:p>
        </w:tc>
        <w:tc>
          <w:tcPr>
            <w:tcW w:w="992" w:type="dxa"/>
          </w:tcPr>
          <w:p w14:paraId="16B080FB">
            <w:pPr>
              <w:rPr>
                <w:color w:val="auto"/>
                <w:highlight w:val="none"/>
              </w:rPr>
            </w:pPr>
            <w:r>
              <w:rPr>
                <w:rFonts w:hint="eastAsia"/>
                <w:color w:val="auto"/>
                <w:highlight w:val="none"/>
              </w:rPr>
              <w:t>必需</w:t>
            </w:r>
          </w:p>
        </w:tc>
        <w:tc>
          <w:tcPr>
            <w:tcW w:w="1550" w:type="dxa"/>
            <w:vAlign w:val="center"/>
          </w:tcPr>
          <w:p w14:paraId="19A99F1D">
            <w:pPr>
              <w:spacing w:before="62" w:beforeLines="20" w:after="62" w:afterLines="20" w:line="276" w:lineRule="auto"/>
              <w:jc w:val="left"/>
              <w:rPr>
                <w:rFonts w:hint="eastAsia" w:ascii="宋体" w:hAnsi="宋体" w:cs="Arial"/>
                <w:color w:val="auto"/>
                <w:sz w:val="24"/>
                <w:highlight w:val="none"/>
              </w:rPr>
            </w:pPr>
          </w:p>
        </w:tc>
      </w:tr>
      <w:tr w14:paraId="7887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5" w:type="dxa"/>
          </w:tcPr>
          <w:p w14:paraId="06FB89D0">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10</w:t>
            </w:r>
          </w:p>
        </w:tc>
        <w:tc>
          <w:tcPr>
            <w:tcW w:w="6379" w:type="dxa"/>
            <w:vAlign w:val="center"/>
          </w:tcPr>
          <w:p w14:paraId="2DFACFBA">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控制柜上应设急停开关。</w:t>
            </w:r>
          </w:p>
        </w:tc>
        <w:tc>
          <w:tcPr>
            <w:tcW w:w="992" w:type="dxa"/>
          </w:tcPr>
          <w:p w14:paraId="13577961">
            <w:pPr>
              <w:rPr>
                <w:color w:val="auto"/>
                <w:highlight w:val="none"/>
              </w:rPr>
            </w:pPr>
            <w:r>
              <w:rPr>
                <w:rFonts w:hint="eastAsia"/>
                <w:color w:val="auto"/>
                <w:highlight w:val="none"/>
              </w:rPr>
              <w:t>必需</w:t>
            </w:r>
          </w:p>
        </w:tc>
        <w:tc>
          <w:tcPr>
            <w:tcW w:w="1550" w:type="dxa"/>
            <w:vAlign w:val="center"/>
          </w:tcPr>
          <w:p w14:paraId="75DDCFF5">
            <w:pPr>
              <w:spacing w:before="62" w:beforeLines="20" w:after="62" w:afterLines="20" w:line="276" w:lineRule="auto"/>
              <w:jc w:val="left"/>
              <w:rPr>
                <w:rFonts w:hint="eastAsia" w:ascii="宋体" w:hAnsi="宋体" w:cs="Arial"/>
                <w:color w:val="auto"/>
                <w:sz w:val="24"/>
                <w:highlight w:val="none"/>
              </w:rPr>
            </w:pPr>
          </w:p>
        </w:tc>
      </w:tr>
    </w:tbl>
    <w:p w14:paraId="5AF63A0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11.9安全要求</w:t>
      </w:r>
    </w:p>
    <w:tbl>
      <w:tblPr>
        <w:tblStyle w:val="74"/>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58B0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5259823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4F44A76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762DCE0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0FCF122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2551581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B46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69DE898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-01</w:t>
            </w:r>
          </w:p>
        </w:tc>
        <w:tc>
          <w:tcPr>
            <w:tcW w:w="6672" w:type="dxa"/>
            <w:vAlign w:val="center"/>
          </w:tcPr>
          <w:p w14:paraId="65C2972C">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lang w:val="en-GB"/>
              </w:rPr>
              <w:t>在设备使用说明书内，详细说明安全与职业卫生保护注意事项。</w:t>
            </w:r>
          </w:p>
        </w:tc>
        <w:tc>
          <w:tcPr>
            <w:tcW w:w="992" w:type="dxa"/>
          </w:tcPr>
          <w:p w14:paraId="2EE34251">
            <w:pPr>
              <w:rPr>
                <w:color w:val="auto"/>
                <w:highlight w:val="none"/>
              </w:rPr>
            </w:pPr>
            <w:r>
              <w:rPr>
                <w:rFonts w:hint="eastAsia"/>
                <w:color w:val="auto"/>
                <w:highlight w:val="none"/>
              </w:rPr>
              <w:t>必需</w:t>
            </w:r>
          </w:p>
        </w:tc>
        <w:tc>
          <w:tcPr>
            <w:tcW w:w="1550" w:type="dxa"/>
            <w:vAlign w:val="center"/>
          </w:tcPr>
          <w:p w14:paraId="00272212">
            <w:pPr>
              <w:spacing w:before="62" w:beforeLines="20" w:after="62" w:afterLines="20" w:line="276" w:lineRule="auto"/>
              <w:jc w:val="left"/>
              <w:rPr>
                <w:rFonts w:hint="eastAsia" w:ascii="宋体" w:hAnsi="宋体" w:cs="Arial"/>
                <w:color w:val="auto"/>
                <w:sz w:val="24"/>
                <w:highlight w:val="none"/>
              </w:rPr>
            </w:pPr>
          </w:p>
        </w:tc>
      </w:tr>
      <w:tr w14:paraId="2A8F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90EA6C9">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2</w:t>
            </w:r>
          </w:p>
        </w:tc>
        <w:tc>
          <w:tcPr>
            <w:tcW w:w="6672" w:type="dxa"/>
            <w:vAlign w:val="center"/>
          </w:tcPr>
          <w:p w14:paraId="6EA8737D">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en-GB"/>
              </w:rPr>
              <w:t>必须具备必要的措施在设备功能失调或者失效的情况下，保证设备和产品仍然处于一个安全状态。</w:t>
            </w:r>
          </w:p>
        </w:tc>
        <w:tc>
          <w:tcPr>
            <w:tcW w:w="992" w:type="dxa"/>
          </w:tcPr>
          <w:p w14:paraId="277083C5">
            <w:pPr>
              <w:rPr>
                <w:color w:val="auto"/>
                <w:highlight w:val="none"/>
              </w:rPr>
            </w:pPr>
            <w:r>
              <w:rPr>
                <w:rFonts w:hint="eastAsia"/>
                <w:color w:val="auto"/>
                <w:highlight w:val="none"/>
              </w:rPr>
              <w:t>必需</w:t>
            </w:r>
          </w:p>
        </w:tc>
        <w:tc>
          <w:tcPr>
            <w:tcW w:w="1550" w:type="dxa"/>
            <w:vAlign w:val="center"/>
          </w:tcPr>
          <w:p w14:paraId="0C7E7710">
            <w:pPr>
              <w:spacing w:before="62" w:beforeLines="20" w:after="62" w:afterLines="20" w:line="276" w:lineRule="auto"/>
              <w:jc w:val="left"/>
              <w:rPr>
                <w:rFonts w:hint="eastAsia" w:ascii="宋体" w:hAnsi="宋体" w:cs="Arial"/>
                <w:color w:val="auto"/>
                <w:sz w:val="24"/>
                <w:highlight w:val="none"/>
              </w:rPr>
            </w:pPr>
          </w:p>
        </w:tc>
      </w:tr>
      <w:tr w14:paraId="16CD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4DC0E8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3</w:t>
            </w:r>
          </w:p>
        </w:tc>
        <w:tc>
          <w:tcPr>
            <w:tcW w:w="6672" w:type="dxa"/>
            <w:vAlign w:val="center"/>
          </w:tcPr>
          <w:p w14:paraId="4903CA30">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涉及运动、触电的安全防护的门、盖、罩脱离应有安全位置状态时，所有运动必须得到禁止，带电体自动脱电并处于安全状态。</w:t>
            </w:r>
          </w:p>
        </w:tc>
        <w:tc>
          <w:tcPr>
            <w:tcW w:w="992" w:type="dxa"/>
          </w:tcPr>
          <w:p w14:paraId="0DA7C57A">
            <w:pPr>
              <w:rPr>
                <w:color w:val="auto"/>
                <w:highlight w:val="none"/>
              </w:rPr>
            </w:pPr>
            <w:r>
              <w:rPr>
                <w:rFonts w:hint="eastAsia"/>
                <w:color w:val="auto"/>
                <w:highlight w:val="none"/>
              </w:rPr>
              <w:t>必需</w:t>
            </w:r>
          </w:p>
        </w:tc>
        <w:tc>
          <w:tcPr>
            <w:tcW w:w="1550" w:type="dxa"/>
            <w:vAlign w:val="center"/>
          </w:tcPr>
          <w:p w14:paraId="53B0D70B">
            <w:pPr>
              <w:spacing w:before="62" w:beforeLines="20" w:after="62" w:afterLines="20" w:line="276" w:lineRule="auto"/>
              <w:jc w:val="left"/>
              <w:rPr>
                <w:rFonts w:hint="eastAsia" w:ascii="宋体" w:hAnsi="宋体" w:cs="Arial"/>
                <w:color w:val="auto"/>
                <w:sz w:val="24"/>
                <w:highlight w:val="none"/>
              </w:rPr>
            </w:pPr>
          </w:p>
        </w:tc>
      </w:tr>
      <w:tr w14:paraId="27E5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E546E6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4</w:t>
            </w:r>
          </w:p>
        </w:tc>
        <w:tc>
          <w:tcPr>
            <w:tcW w:w="6672" w:type="dxa"/>
            <w:vAlign w:val="center"/>
          </w:tcPr>
          <w:p w14:paraId="515790ED">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在检修附机时，有防止启动主机的连锁功能，避免误操作。</w:t>
            </w:r>
          </w:p>
        </w:tc>
        <w:tc>
          <w:tcPr>
            <w:tcW w:w="992" w:type="dxa"/>
          </w:tcPr>
          <w:p w14:paraId="7FB95BD2">
            <w:pPr>
              <w:rPr>
                <w:color w:val="auto"/>
                <w:highlight w:val="none"/>
              </w:rPr>
            </w:pPr>
            <w:r>
              <w:rPr>
                <w:rFonts w:hint="eastAsia"/>
                <w:color w:val="auto"/>
                <w:highlight w:val="none"/>
              </w:rPr>
              <w:t>必需</w:t>
            </w:r>
          </w:p>
        </w:tc>
        <w:tc>
          <w:tcPr>
            <w:tcW w:w="1550" w:type="dxa"/>
            <w:vAlign w:val="center"/>
          </w:tcPr>
          <w:p w14:paraId="08A69797">
            <w:pPr>
              <w:spacing w:before="62" w:beforeLines="20" w:after="62" w:afterLines="20" w:line="276" w:lineRule="auto"/>
              <w:jc w:val="left"/>
              <w:rPr>
                <w:rFonts w:hint="eastAsia" w:ascii="宋体" w:hAnsi="宋体" w:cs="Arial"/>
                <w:color w:val="auto"/>
                <w:sz w:val="24"/>
                <w:highlight w:val="none"/>
              </w:rPr>
            </w:pPr>
          </w:p>
        </w:tc>
      </w:tr>
      <w:tr w14:paraId="57FF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25422E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5</w:t>
            </w:r>
          </w:p>
        </w:tc>
        <w:tc>
          <w:tcPr>
            <w:tcW w:w="6672" w:type="dxa"/>
            <w:vAlign w:val="center"/>
          </w:tcPr>
          <w:p w14:paraId="57262899">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电力/动力出现故障时，设备应处于停止状态，系统会进入"安全状态"。</w:t>
            </w:r>
          </w:p>
          <w:p w14:paraId="6A3E1024">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电力/动力恢复时，设备系统应不能自动恢复运行，没有操作员介入确认，系统应不能重新开始。 </w:t>
            </w:r>
          </w:p>
          <w:p w14:paraId="4DA607A0">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在发生电力故障时，系统应以下列优先顺序加以保护：</w:t>
            </w:r>
          </w:p>
          <w:p w14:paraId="296972F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1人员---2设备---3</w:t>
            </w:r>
            <w:r>
              <w:rPr>
                <w:rFonts w:hint="eastAsia" w:ascii="宋体" w:hAnsi="宋体" w:cs="宋体"/>
                <w:color w:val="auto"/>
                <w:sz w:val="24"/>
                <w:highlight w:val="none"/>
                <w:lang w:val="en-GB" w:eastAsia="en-US"/>
              </w:rPr>
              <w:t>产品</w:t>
            </w:r>
          </w:p>
        </w:tc>
        <w:tc>
          <w:tcPr>
            <w:tcW w:w="992" w:type="dxa"/>
          </w:tcPr>
          <w:p w14:paraId="368BE32B">
            <w:pPr>
              <w:rPr>
                <w:color w:val="auto"/>
                <w:highlight w:val="none"/>
              </w:rPr>
            </w:pPr>
            <w:r>
              <w:rPr>
                <w:rFonts w:hint="eastAsia"/>
                <w:color w:val="auto"/>
                <w:highlight w:val="none"/>
              </w:rPr>
              <w:t>必需</w:t>
            </w:r>
          </w:p>
        </w:tc>
        <w:tc>
          <w:tcPr>
            <w:tcW w:w="1550" w:type="dxa"/>
            <w:vAlign w:val="center"/>
          </w:tcPr>
          <w:p w14:paraId="6F109187">
            <w:pPr>
              <w:spacing w:before="62" w:beforeLines="20" w:after="62" w:afterLines="20" w:line="276" w:lineRule="auto"/>
              <w:jc w:val="left"/>
              <w:rPr>
                <w:rFonts w:hint="eastAsia" w:ascii="宋体" w:hAnsi="宋体" w:cs="Arial"/>
                <w:color w:val="auto"/>
                <w:sz w:val="24"/>
                <w:highlight w:val="none"/>
              </w:rPr>
            </w:pPr>
          </w:p>
        </w:tc>
      </w:tr>
      <w:tr w14:paraId="7090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6311A60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6</w:t>
            </w:r>
          </w:p>
        </w:tc>
        <w:tc>
          <w:tcPr>
            <w:tcW w:w="6672" w:type="dxa"/>
            <w:vAlign w:val="center"/>
          </w:tcPr>
          <w:p w14:paraId="03F9F035">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电气绝缘防护应符合GB/T5226中规定；接地电阻不大于0.1</w:t>
            </w:r>
            <w:r>
              <w:rPr>
                <w:rFonts w:hint="eastAsia" w:ascii="宋体" w:hAnsi="宋体" w:cs="宋体"/>
                <w:color w:val="auto"/>
                <w:sz w:val="24"/>
                <w:highlight w:val="none"/>
                <w:lang w:val="en-GB" w:eastAsia="en-US"/>
              </w:rPr>
              <w:t>Ω</w:t>
            </w:r>
            <w:r>
              <w:rPr>
                <w:rFonts w:hint="eastAsia" w:ascii="宋体" w:hAnsi="宋体" w:cs="宋体"/>
                <w:color w:val="auto"/>
                <w:sz w:val="24"/>
                <w:highlight w:val="none"/>
                <w:lang w:val="en-GB"/>
              </w:rPr>
              <w:t>；绝缘等级F级。最低的IP保护等级为IP55</w:t>
            </w:r>
          </w:p>
        </w:tc>
        <w:tc>
          <w:tcPr>
            <w:tcW w:w="992" w:type="dxa"/>
          </w:tcPr>
          <w:p w14:paraId="3C5F3D4B">
            <w:pPr>
              <w:rPr>
                <w:color w:val="auto"/>
                <w:highlight w:val="none"/>
              </w:rPr>
            </w:pPr>
            <w:r>
              <w:rPr>
                <w:rFonts w:hint="eastAsia"/>
                <w:color w:val="auto"/>
                <w:highlight w:val="none"/>
              </w:rPr>
              <w:t>必需</w:t>
            </w:r>
          </w:p>
        </w:tc>
        <w:tc>
          <w:tcPr>
            <w:tcW w:w="1550" w:type="dxa"/>
            <w:vAlign w:val="center"/>
          </w:tcPr>
          <w:p w14:paraId="7940CB9C">
            <w:pPr>
              <w:spacing w:before="62" w:beforeLines="20" w:after="62" w:afterLines="20" w:line="276" w:lineRule="auto"/>
              <w:jc w:val="left"/>
              <w:rPr>
                <w:rFonts w:hint="eastAsia" w:ascii="宋体" w:hAnsi="宋体" w:cs="Arial"/>
                <w:color w:val="auto"/>
                <w:sz w:val="24"/>
                <w:highlight w:val="none"/>
              </w:rPr>
            </w:pPr>
          </w:p>
        </w:tc>
      </w:tr>
      <w:tr w14:paraId="2C73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834EFB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7</w:t>
            </w:r>
          </w:p>
        </w:tc>
        <w:tc>
          <w:tcPr>
            <w:tcW w:w="6672" w:type="dxa"/>
            <w:vAlign w:val="center"/>
          </w:tcPr>
          <w:p w14:paraId="5E0DB26A">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采取符合国家相关标准的防漏电及电气安全接地措施。</w:t>
            </w:r>
          </w:p>
          <w:p w14:paraId="2C0F1FB9">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采取（粉尘）防静电配置和电器带静电接地措施。</w:t>
            </w:r>
          </w:p>
          <w:p w14:paraId="4F1AC664">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采取适当的预防电磁干扰措施。</w:t>
            </w:r>
          </w:p>
        </w:tc>
        <w:tc>
          <w:tcPr>
            <w:tcW w:w="992" w:type="dxa"/>
          </w:tcPr>
          <w:p w14:paraId="4FB1A6EB">
            <w:pPr>
              <w:rPr>
                <w:color w:val="auto"/>
                <w:highlight w:val="none"/>
              </w:rPr>
            </w:pPr>
            <w:r>
              <w:rPr>
                <w:rFonts w:hint="eastAsia"/>
                <w:color w:val="auto"/>
                <w:highlight w:val="none"/>
              </w:rPr>
              <w:t>必需</w:t>
            </w:r>
          </w:p>
        </w:tc>
        <w:tc>
          <w:tcPr>
            <w:tcW w:w="1550" w:type="dxa"/>
            <w:vAlign w:val="center"/>
          </w:tcPr>
          <w:p w14:paraId="7A788210">
            <w:pPr>
              <w:spacing w:before="62" w:beforeLines="20" w:after="62" w:afterLines="20" w:line="276" w:lineRule="auto"/>
              <w:jc w:val="left"/>
              <w:rPr>
                <w:rFonts w:hint="eastAsia" w:ascii="宋体" w:hAnsi="宋体" w:cs="Arial"/>
                <w:color w:val="auto"/>
                <w:sz w:val="24"/>
                <w:highlight w:val="none"/>
              </w:rPr>
            </w:pPr>
          </w:p>
        </w:tc>
      </w:tr>
      <w:tr w14:paraId="6C9D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3C1F99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8</w:t>
            </w:r>
          </w:p>
        </w:tc>
        <w:tc>
          <w:tcPr>
            <w:tcW w:w="6672" w:type="dxa"/>
            <w:vAlign w:val="center"/>
          </w:tcPr>
          <w:p w14:paraId="00354EC9">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应采取恰当的故障检测和警报通知，通知可采用声光形式（提示灯或蜂鸣报警器）。 </w:t>
            </w:r>
          </w:p>
          <w:p w14:paraId="03C5D138">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所有电气部位、旋转部位、容易夹伤部位、发热部位、登高部位要有警告和警示。</w:t>
            </w:r>
          </w:p>
          <w:p w14:paraId="20D087C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所有机械运动、旋转部件，要有性能可靠的连锁防护和密闭措施，并在明显位置设置安全警示标识。</w:t>
            </w:r>
          </w:p>
          <w:p w14:paraId="14982943">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必须配置足够的、适当的仪表用于控制生产、安全和操作。</w:t>
            </w:r>
          </w:p>
        </w:tc>
        <w:tc>
          <w:tcPr>
            <w:tcW w:w="992" w:type="dxa"/>
          </w:tcPr>
          <w:p w14:paraId="2127D2DB">
            <w:pPr>
              <w:rPr>
                <w:color w:val="auto"/>
                <w:highlight w:val="none"/>
              </w:rPr>
            </w:pPr>
            <w:r>
              <w:rPr>
                <w:rFonts w:hint="eastAsia"/>
                <w:color w:val="auto"/>
                <w:highlight w:val="none"/>
              </w:rPr>
              <w:t>必需</w:t>
            </w:r>
          </w:p>
        </w:tc>
        <w:tc>
          <w:tcPr>
            <w:tcW w:w="1550" w:type="dxa"/>
            <w:vAlign w:val="center"/>
          </w:tcPr>
          <w:p w14:paraId="347EAC5A">
            <w:pPr>
              <w:spacing w:before="62" w:beforeLines="20" w:after="62" w:afterLines="20" w:line="276" w:lineRule="auto"/>
              <w:jc w:val="left"/>
              <w:rPr>
                <w:rFonts w:hint="eastAsia" w:ascii="宋体" w:hAnsi="宋体" w:cs="Arial"/>
                <w:color w:val="auto"/>
                <w:sz w:val="24"/>
                <w:highlight w:val="none"/>
              </w:rPr>
            </w:pPr>
          </w:p>
        </w:tc>
      </w:tr>
      <w:tr w14:paraId="786B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F897B1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9</w:t>
            </w:r>
          </w:p>
        </w:tc>
        <w:tc>
          <w:tcPr>
            <w:tcW w:w="6672" w:type="dxa"/>
            <w:vAlign w:val="center"/>
          </w:tcPr>
          <w:p w14:paraId="72D7F4B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采取适当措施避免操作者直接面对产生粉尘的操作，如采取隔离、排风、合理的气流组织和过滤等措施。</w:t>
            </w:r>
          </w:p>
        </w:tc>
        <w:tc>
          <w:tcPr>
            <w:tcW w:w="992" w:type="dxa"/>
          </w:tcPr>
          <w:p w14:paraId="0BFA7184">
            <w:pPr>
              <w:rPr>
                <w:color w:val="auto"/>
                <w:highlight w:val="none"/>
              </w:rPr>
            </w:pPr>
            <w:r>
              <w:rPr>
                <w:rFonts w:hint="eastAsia"/>
                <w:color w:val="auto"/>
                <w:highlight w:val="none"/>
              </w:rPr>
              <w:t>必需</w:t>
            </w:r>
          </w:p>
        </w:tc>
        <w:tc>
          <w:tcPr>
            <w:tcW w:w="1550" w:type="dxa"/>
            <w:vAlign w:val="center"/>
          </w:tcPr>
          <w:p w14:paraId="445679EE">
            <w:pPr>
              <w:spacing w:before="62" w:beforeLines="20" w:after="62" w:afterLines="20" w:line="276" w:lineRule="auto"/>
              <w:jc w:val="left"/>
              <w:rPr>
                <w:rFonts w:hint="eastAsia" w:ascii="宋体" w:hAnsi="宋体" w:cs="Arial"/>
                <w:color w:val="auto"/>
                <w:sz w:val="24"/>
                <w:highlight w:val="none"/>
              </w:rPr>
            </w:pPr>
          </w:p>
        </w:tc>
      </w:tr>
      <w:tr w14:paraId="1811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896B25B">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w:t>
            </w:r>
            <w:r>
              <w:rPr>
                <w:rFonts w:ascii="宋体" w:hAnsi="宋体" w:cs="Arial"/>
                <w:color w:val="auto"/>
                <w:sz w:val="24"/>
                <w:highlight w:val="none"/>
              </w:rPr>
              <w:t>0</w:t>
            </w:r>
          </w:p>
        </w:tc>
        <w:tc>
          <w:tcPr>
            <w:tcW w:w="6672" w:type="dxa"/>
            <w:vAlign w:val="center"/>
          </w:tcPr>
          <w:p w14:paraId="19F4190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距离设备负载1m的噪音在75 db以下。</w:t>
            </w:r>
          </w:p>
        </w:tc>
        <w:tc>
          <w:tcPr>
            <w:tcW w:w="992" w:type="dxa"/>
          </w:tcPr>
          <w:p w14:paraId="548057BB">
            <w:pPr>
              <w:rPr>
                <w:color w:val="auto"/>
                <w:highlight w:val="none"/>
              </w:rPr>
            </w:pPr>
            <w:r>
              <w:rPr>
                <w:rFonts w:hint="eastAsia"/>
                <w:color w:val="auto"/>
                <w:highlight w:val="none"/>
              </w:rPr>
              <w:t>必需</w:t>
            </w:r>
          </w:p>
        </w:tc>
        <w:tc>
          <w:tcPr>
            <w:tcW w:w="1550" w:type="dxa"/>
            <w:vAlign w:val="center"/>
          </w:tcPr>
          <w:p w14:paraId="4AEEBCE7">
            <w:pPr>
              <w:spacing w:before="62" w:beforeLines="20" w:after="62" w:afterLines="20" w:line="276" w:lineRule="auto"/>
              <w:jc w:val="left"/>
              <w:rPr>
                <w:rFonts w:hint="eastAsia" w:ascii="宋体" w:hAnsi="宋体" w:cs="Arial"/>
                <w:color w:val="auto"/>
                <w:sz w:val="24"/>
                <w:highlight w:val="none"/>
              </w:rPr>
            </w:pPr>
          </w:p>
        </w:tc>
      </w:tr>
      <w:tr w14:paraId="6A79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48590C2A">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11</w:t>
            </w:r>
          </w:p>
        </w:tc>
        <w:tc>
          <w:tcPr>
            <w:tcW w:w="6672" w:type="dxa"/>
            <w:vAlign w:val="center"/>
          </w:tcPr>
          <w:p w14:paraId="4388BAFC">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设备任何部位不能有锋利的边缘和尖角。</w:t>
            </w:r>
          </w:p>
        </w:tc>
        <w:tc>
          <w:tcPr>
            <w:tcW w:w="992" w:type="dxa"/>
          </w:tcPr>
          <w:p w14:paraId="3743B4C7">
            <w:pPr>
              <w:rPr>
                <w:color w:val="auto"/>
                <w:highlight w:val="none"/>
              </w:rPr>
            </w:pPr>
            <w:r>
              <w:rPr>
                <w:rFonts w:hint="eastAsia"/>
                <w:color w:val="auto"/>
                <w:highlight w:val="none"/>
              </w:rPr>
              <w:t>必需</w:t>
            </w:r>
          </w:p>
        </w:tc>
        <w:tc>
          <w:tcPr>
            <w:tcW w:w="1550" w:type="dxa"/>
            <w:vAlign w:val="center"/>
          </w:tcPr>
          <w:p w14:paraId="23B3E469">
            <w:pPr>
              <w:spacing w:before="62" w:beforeLines="20" w:after="62" w:afterLines="20" w:line="276" w:lineRule="auto"/>
              <w:jc w:val="left"/>
              <w:rPr>
                <w:rFonts w:hint="eastAsia" w:ascii="宋体" w:hAnsi="宋体" w:cs="Arial"/>
                <w:color w:val="auto"/>
                <w:sz w:val="24"/>
                <w:highlight w:val="none"/>
              </w:rPr>
            </w:pPr>
          </w:p>
        </w:tc>
      </w:tr>
      <w:tr w14:paraId="06D8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EF6E86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12</w:t>
            </w:r>
          </w:p>
        </w:tc>
        <w:tc>
          <w:tcPr>
            <w:tcW w:w="6672" w:type="dxa"/>
            <w:vAlign w:val="center"/>
          </w:tcPr>
          <w:p w14:paraId="16BB0B9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设备的安全性能、电气系统的安全性能应符合相关的国家安全标准。</w:t>
            </w:r>
          </w:p>
        </w:tc>
        <w:tc>
          <w:tcPr>
            <w:tcW w:w="992" w:type="dxa"/>
          </w:tcPr>
          <w:p w14:paraId="19C3FB89">
            <w:pPr>
              <w:rPr>
                <w:color w:val="auto"/>
                <w:highlight w:val="none"/>
              </w:rPr>
            </w:pPr>
            <w:r>
              <w:rPr>
                <w:rFonts w:hint="eastAsia"/>
                <w:color w:val="auto"/>
                <w:highlight w:val="none"/>
              </w:rPr>
              <w:t>必需</w:t>
            </w:r>
          </w:p>
        </w:tc>
        <w:tc>
          <w:tcPr>
            <w:tcW w:w="1550" w:type="dxa"/>
            <w:vAlign w:val="center"/>
          </w:tcPr>
          <w:p w14:paraId="61613851">
            <w:pPr>
              <w:spacing w:before="62" w:beforeLines="20" w:after="62" w:afterLines="20" w:line="276" w:lineRule="auto"/>
              <w:jc w:val="left"/>
              <w:rPr>
                <w:rFonts w:hint="eastAsia" w:ascii="宋体" w:hAnsi="宋体" w:cs="Arial"/>
                <w:color w:val="auto"/>
                <w:sz w:val="24"/>
                <w:highlight w:val="none"/>
              </w:rPr>
            </w:pPr>
          </w:p>
        </w:tc>
      </w:tr>
      <w:tr w14:paraId="2FBC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32295E2">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13</w:t>
            </w:r>
          </w:p>
        </w:tc>
        <w:tc>
          <w:tcPr>
            <w:tcW w:w="6672" w:type="dxa"/>
            <w:vAlign w:val="center"/>
          </w:tcPr>
          <w:p w14:paraId="58E35DDC">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“安全状态”的定义</w:t>
            </w:r>
          </w:p>
          <w:p w14:paraId="33839EF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机器所有活动停止</w:t>
            </w:r>
          </w:p>
          <w:p w14:paraId="5FCC082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机器重新开始前需复位</w:t>
            </w:r>
          </w:p>
          <w:p w14:paraId="7AC4947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机器到安全状态时不会对机器产品损坏</w:t>
            </w:r>
          </w:p>
          <w:p w14:paraId="741BBE6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阀门和启动装置设到安全状态（界定）</w:t>
            </w:r>
          </w:p>
          <w:p w14:paraId="34304DA5">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没有产品损失</w:t>
            </w:r>
          </w:p>
          <w:p w14:paraId="2F2EFF8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重新开始不会丢失原（生产批次）状态数据。</w:t>
            </w:r>
          </w:p>
        </w:tc>
        <w:tc>
          <w:tcPr>
            <w:tcW w:w="992" w:type="dxa"/>
          </w:tcPr>
          <w:p w14:paraId="1138457C">
            <w:pPr>
              <w:rPr>
                <w:color w:val="auto"/>
                <w:highlight w:val="none"/>
              </w:rPr>
            </w:pPr>
            <w:r>
              <w:rPr>
                <w:rFonts w:hint="eastAsia"/>
                <w:color w:val="auto"/>
                <w:highlight w:val="none"/>
              </w:rPr>
              <w:t>必需</w:t>
            </w:r>
          </w:p>
        </w:tc>
        <w:tc>
          <w:tcPr>
            <w:tcW w:w="1550" w:type="dxa"/>
            <w:vAlign w:val="center"/>
          </w:tcPr>
          <w:p w14:paraId="2D50A077">
            <w:pPr>
              <w:spacing w:before="62" w:beforeLines="20" w:after="62" w:afterLines="20" w:line="276" w:lineRule="auto"/>
              <w:jc w:val="left"/>
              <w:rPr>
                <w:rFonts w:hint="eastAsia" w:ascii="宋体" w:hAnsi="宋体" w:cs="Arial"/>
                <w:color w:val="auto"/>
                <w:sz w:val="24"/>
                <w:highlight w:val="none"/>
              </w:rPr>
            </w:pPr>
          </w:p>
        </w:tc>
      </w:tr>
    </w:tbl>
    <w:p w14:paraId="54516B52">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十二、实验气体要求</w:t>
      </w:r>
    </w:p>
    <w:p w14:paraId="04958E99">
      <w:pPr>
        <w:spacing w:before="62" w:beforeLines="20" w:after="62" w:afterLines="20" w:line="276" w:lineRule="auto"/>
        <w:jc w:val="left"/>
        <w:rPr>
          <w:rFonts w:ascii="Arial" w:hAnsi="Arial" w:cs="Arial"/>
          <w:color w:val="auto"/>
          <w:sz w:val="24"/>
          <w:highlight w:val="none"/>
        </w:rPr>
      </w:pPr>
    </w:p>
    <w:tbl>
      <w:tblPr>
        <w:tblStyle w:val="74"/>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5468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085B650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37F407D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52D4205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1B9950C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B5D182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483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5422749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1</w:t>
            </w:r>
          </w:p>
        </w:tc>
        <w:tc>
          <w:tcPr>
            <w:tcW w:w="6672" w:type="dxa"/>
            <w:vAlign w:val="center"/>
          </w:tcPr>
          <w:p w14:paraId="6821492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lang w:val="en-GB"/>
              </w:rPr>
              <w:t>气体房需要提供氧气、</w:t>
            </w:r>
            <w:r>
              <w:rPr>
                <w:rFonts w:hint="eastAsia" w:ascii="宋体" w:hAnsi="宋体" w:cs="宋体"/>
                <w:color w:val="auto"/>
                <w:sz w:val="24"/>
                <w:highlight w:val="none"/>
              </w:rPr>
              <w:t>氩气、氦气、</w:t>
            </w:r>
            <w:r>
              <w:rPr>
                <w:rFonts w:hint="eastAsia" w:ascii="宋体" w:hAnsi="宋体" w:cs="宋体"/>
                <w:color w:val="auto"/>
                <w:sz w:val="24"/>
                <w:highlight w:val="none"/>
                <w:lang w:val="en-GB"/>
              </w:rPr>
              <w:t>二氧化碳、高纯氮、压缩空气，气体需要有固定装置防止倾倒。</w:t>
            </w:r>
          </w:p>
        </w:tc>
        <w:tc>
          <w:tcPr>
            <w:tcW w:w="992" w:type="dxa"/>
          </w:tcPr>
          <w:p w14:paraId="20221A8E">
            <w:pPr>
              <w:rPr>
                <w:color w:val="auto"/>
                <w:highlight w:val="none"/>
              </w:rPr>
            </w:pPr>
            <w:r>
              <w:rPr>
                <w:rFonts w:hint="eastAsia"/>
                <w:color w:val="auto"/>
                <w:highlight w:val="none"/>
              </w:rPr>
              <w:t>必需</w:t>
            </w:r>
          </w:p>
        </w:tc>
        <w:tc>
          <w:tcPr>
            <w:tcW w:w="1550" w:type="dxa"/>
            <w:vAlign w:val="center"/>
          </w:tcPr>
          <w:p w14:paraId="3354107B">
            <w:pPr>
              <w:spacing w:before="62" w:beforeLines="20" w:after="62" w:afterLines="20" w:line="276" w:lineRule="auto"/>
              <w:jc w:val="left"/>
              <w:rPr>
                <w:rFonts w:hint="eastAsia" w:ascii="宋体" w:hAnsi="宋体" w:cs="Arial"/>
                <w:color w:val="auto"/>
                <w:sz w:val="24"/>
                <w:highlight w:val="none"/>
              </w:rPr>
            </w:pPr>
          </w:p>
        </w:tc>
      </w:tr>
      <w:tr w14:paraId="78E5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52F3F58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2</w:t>
            </w:r>
          </w:p>
        </w:tc>
        <w:tc>
          <w:tcPr>
            <w:tcW w:w="6672" w:type="dxa"/>
            <w:vAlign w:val="center"/>
          </w:tcPr>
          <w:p w14:paraId="28479C86">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en-GB"/>
              </w:rPr>
              <w:t>所有气体管道与汇流排和阀门均需要采用316不锈钢材质。</w:t>
            </w:r>
          </w:p>
        </w:tc>
        <w:tc>
          <w:tcPr>
            <w:tcW w:w="992" w:type="dxa"/>
          </w:tcPr>
          <w:p w14:paraId="7427C662">
            <w:pPr>
              <w:rPr>
                <w:color w:val="auto"/>
                <w:highlight w:val="none"/>
              </w:rPr>
            </w:pPr>
            <w:r>
              <w:rPr>
                <w:rFonts w:hint="eastAsia"/>
                <w:color w:val="auto"/>
                <w:highlight w:val="none"/>
              </w:rPr>
              <w:t>必需</w:t>
            </w:r>
          </w:p>
        </w:tc>
        <w:tc>
          <w:tcPr>
            <w:tcW w:w="1550" w:type="dxa"/>
            <w:vAlign w:val="center"/>
          </w:tcPr>
          <w:p w14:paraId="33E20609">
            <w:pPr>
              <w:spacing w:before="62" w:beforeLines="20" w:after="62" w:afterLines="20" w:line="276" w:lineRule="auto"/>
              <w:jc w:val="left"/>
              <w:rPr>
                <w:rFonts w:hint="eastAsia" w:ascii="宋体" w:hAnsi="宋体" w:cs="Arial"/>
                <w:color w:val="auto"/>
                <w:sz w:val="24"/>
                <w:highlight w:val="none"/>
              </w:rPr>
            </w:pPr>
          </w:p>
        </w:tc>
      </w:tr>
      <w:tr w14:paraId="2760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AD85EA2">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3</w:t>
            </w:r>
          </w:p>
        </w:tc>
        <w:tc>
          <w:tcPr>
            <w:tcW w:w="6672" w:type="dxa"/>
            <w:vAlign w:val="center"/>
          </w:tcPr>
          <w:p w14:paraId="5A78D21F">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 xml:space="preserve">气瓶供气使用要双路全自动切换的方式的汇流排，不需要手动操作切换阀。 </w:t>
            </w:r>
          </w:p>
        </w:tc>
        <w:tc>
          <w:tcPr>
            <w:tcW w:w="992" w:type="dxa"/>
          </w:tcPr>
          <w:p w14:paraId="65B04849">
            <w:pPr>
              <w:rPr>
                <w:color w:val="auto"/>
                <w:highlight w:val="none"/>
              </w:rPr>
            </w:pPr>
            <w:r>
              <w:rPr>
                <w:rFonts w:hint="eastAsia"/>
                <w:color w:val="auto"/>
                <w:highlight w:val="none"/>
              </w:rPr>
              <w:t>必需</w:t>
            </w:r>
          </w:p>
        </w:tc>
        <w:tc>
          <w:tcPr>
            <w:tcW w:w="1550" w:type="dxa"/>
            <w:vAlign w:val="center"/>
          </w:tcPr>
          <w:p w14:paraId="25DCE7EB">
            <w:pPr>
              <w:spacing w:before="62" w:beforeLines="20" w:after="62" w:afterLines="20" w:line="276" w:lineRule="auto"/>
              <w:jc w:val="left"/>
              <w:rPr>
                <w:rFonts w:hint="eastAsia" w:ascii="宋体" w:hAnsi="宋体" w:cs="Arial"/>
                <w:color w:val="auto"/>
                <w:sz w:val="24"/>
                <w:highlight w:val="none"/>
              </w:rPr>
            </w:pPr>
          </w:p>
        </w:tc>
      </w:tr>
      <w:tr w14:paraId="27B9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9678547">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4</w:t>
            </w:r>
          </w:p>
        </w:tc>
        <w:tc>
          <w:tcPr>
            <w:tcW w:w="6672" w:type="dxa"/>
            <w:vAlign w:val="center"/>
          </w:tcPr>
          <w:p w14:paraId="0C85CC50">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二氧化碳专用的汇流排在减压阀前需要有电加热装置。</w:t>
            </w:r>
          </w:p>
        </w:tc>
        <w:tc>
          <w:tcPr>
            <w:tcW w:w="992" w:type="dxa"/>
          </w:tcPr>
          <w:p w14:paraId="61AB5E87">
            <w:pPr>
              <w:rPr>
                <w:color w:val="auto"/>
                <w:highlight w:val="none"/>
              </w:rPr>
            </w:pPr>
            <w:r>
              <w:rPr>
                <w:rFonts w:hint="eastAsia"/>
                <w:color w:val="auto"/>
                <w:highlight w:val="none"/>
              </w:rPr>
              <w:t>必需</w:t>
            </w:r>
          </w:p>
        </w:tc>
        <w:tc>
          <w:tcPr>
            <w:tcW w:w="1550" w:type="dxa"/>
            <w:vAlign w:val="center"/>
          </w:tcPr>
          <w:p w14:paraId="2791E960">
            <w:pPr>
              <w:spacing w:before="62" w:beforeLines="20" w:after="62" w:afterLines="20" w:line="276" w:lineRule="auto"/>
              <w:jc w:val="left"/>
              <w:rPr>
                <w:rFonts w:hint="eastAsia" w:ascii="宋体" w:hAnsi="宋体" w:cs="Arial"/>
                <w:color w:val="auto"/>
                <w:sz w:val="24"/>
                <w:highlight w:val="none"/>
              </w:rPr>
            </w:pPr>
          </w:p>
        </w:tc>
      </w:tr>
      <w:tr w14:paraId="3E77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CF085EA">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5</w:t>
            </w:r>
          </w:p>
        </w:tc>
        <w:tc>
          <w:tcPr>
            <w:tcW w:w="6672" w:type="dxa"/>
            <w:vAlign w:val="center"/>
          </w:tcPr>
          <w:p w14:paraId="57EA51E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汇流排两侧的气瓶压力、输出端的气体压力、目前在用的气组和备用的气组需要远程在wincc平台上显示</w:t>
            </w:r>
          </w:p>
        </w:tc>
        <w:tc>
          <w:tcPr>
            <w:tcW w:w="992" w:type="dxa"/>
          </w:tcPr>
          <w:p w14:paraId="760E0A77">
            <w:pPr>
              <w:rPr>
                <w:color w:val="auto"/>
                <w:highlight w:val="none"/>
              </w:rPr>
            </w:pPr>
            <w:r>
              <w:rPr>
                <w:rFonts w:hint="eastAsia"/>
                <w:color w:val="auto"/>
                <w:highlight w:val="none"/>
              </w:rPr>
              <w:t>必需</w:t>
            </w:r>
          </w:p>
        </w:tc>
        <w:tc>
          <w:tcPr>
            <w:tcW w:w="1550" w:type="dxa"/>
            <w:vAlign w:val="center"/>
          </w:tcPr>
          <w:p w14:paraId="3F3AC564">
            <w:pPr>
              <w:spacing w:before="62" w:beforeLines="20" w:after="62" w:afterLines="20" w:line="276" w:lineRule="auto"/>
              <w:jc w:val="left"/>
              <w:rPr>
                <w:rFonts w:hint="eastAsia" w:ascii="宋体" w:hAnsi="宋体" w:cs="Arial"/>
                <w:color w:val="auto"/>
                <w:sz w:val="24"/>
                <w:highlight w:val="none"/>
              </w:rPr>
            </w:pPr>
          </w:p>
        </w:tc>
      </w:tr>
      <w:tr w14:paraId="4AD4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73B42E37">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6</w:t>
            </w:r>
          </w:p>
        </w:tc>
        <w:tc>
          <w:tcPr>
            <w:tcW w:w="6672" w:type="dxa"/>
            <w:vAlign w:val="center"/>
          </w:tcPr>
          <w:p w14:paraId="4E7AC959">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气体房需要有氧气浓度传感器监控房间内氧气浓度，并且远程在wincc平台上显示</w:t>
            </w:r>
          </w:p>
        </w:tc>
        <w:tc>
          <w:tcPr>
            <w:tcW w:w="992" w:type="dxa"/>
          </w:tcPr>
          <w:p w14:paraId="0660CD29">
            <w:pPr>
              <w:rPr>
                <w:color w:val="auto"/>
                <w:highlight w:val="none"/>
              </w:rPr>
            </w:pPr>
            <w:r>
              <w:rPr>
                <w:rFonts w:hint="eastAsia"/>
                <w:color w:val="auto"/>
                <w:highlight w:val="none"/>
              </w:rPr>
              <w:t>必需</w:t>
            </w:r>
          </w:p>
        </w:tc>
        <w:tc>
          <w:tcPr>
            <w:tcW w:w="1550" w:type="dxa"/>
            <w:vAlign w:val="center"/>
          </w:tcPr>
          <w:p w14:paraId="35088CA2">
            <w:pPr>
              <w:spacing w:before="62" w:beforeLines="20" w:after="62" w:afterLines="20" w:line="276" w:lineRule="auto"/>
              <w:jc w:val="left"/>
              <w:rPr>
                <w:rFonts w:hint="eastAsia" w:ascii="宋体" w:hAnsi="宋体" w:cs="Arial"/>
                <w:color w:val="auto"/>
                <w:sz w:val="24"/>
                <w:highlight w:val="none"/>
              </w:rPr>
            </w:pPr>
          </w:p>
        </w:tc>
      </w:tr>
      <w:tr w14:paraId="2DE8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B88D41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7</w:t>
            </w:r>
          </w:p>
        </w:tc>
        <w:tc>
          <w:tcPr>
            <w:tcW w:w="6672" w:type="dxa"/>
            <w:vAlign w:val="center"/>
          </w:tcPr>
          <w:p w14:paraId="3E1D2DBE">
            <w:pPr>
              <w:autoSpaceDE w:val="0"/>
              <w:autoSpaceDN w:val="0"/>
              <w:adjustRightInd w:val="0"/>
              <w:spacing w:line="360" w:lineRule="auto"/>
              <w:textAlignment w:val="baseline"/>
              <w:rPr>
                <w:rFonts w:hint="eastAsia" w:ascii="宋体" w:hAnsi="宋体" w:cs="宋体"/>
                <w:bCs/>
                <w:color w:val="auto"/>
                <w:sz w:val="24"/>
                <w:highlight w:val="none"/>
                <w:lang w:val="en-GB"/>
              </w:rPr>
            </w:pPr>
            <w:r>
              <w:rPr>
                <w:rFonts w:hint="eastAsia" w:ascii="Arial" w:hAnsi="Arial" w:cs="Arial"/>
                <w:bCs/>
                <w:color w:val="auto"/>
                <w:sz w:val="24"/>
                <w:highlight w:val="none"/>
              </w:rPr>
              <w:t>需要有强制排风设备，排风机需要使用防爆风机，能设置常开，间隔时间开，必须在室内氧气浓度异常时强制开启排风设备</w:t>
            </w:r>
            <w:r>
              <w:rPr>
                <w:rFonts w:hint="eastAsia" w:ascii="宋体" w:hAnsi="宋体" w:cs="宋体"/>
                <w:bCs/>
                <w:color w:val="auto"/>
                <w:sz w:val="24"/>
                <w:highlight w:val="none"/>
                <w:lang w:val="en-GB"/>
              </w:rPr>
              <w:t>。</w:t>
            </w:r>
          </w:p>
        </w:tc>
        <w:tc>
          <w:tcPr>
            <w:tcW w:w="992" w:type="dxa"/>
          </w:tcPr>
          <w:p w14:paraId="086FB998">
            <w:pPr>
              <w:rPr>
                <w:color w:val="auto"/>
                <w:highlight w:val="none"/>
              </w:rPr>
            </w:pPr>
            <w:r>
              <w:rPr>
                <w:rFonts w:hint="eastAsia"/>
                <w:color w:val="auto"/>
                <w:highlight w:val="none"/>
              </w:rPr>
              <w:t>必需</w:t>
            </w:r>
          </w:p>
        </w:tc>
        <w:tc>
          <w:tcPr>
            <w:tcW w:w="1550" w:type="dxa"/>
            <w:vAlign w:val="center"/>
          </w:tcPr>
          <w:p w14:paraId="72F7C9E3">
            <w:pPr>
              <w:spacing w:before="62" w:beforeLines="20" w:after="62" w:afterLines="20" w:line="276" w:lineRule="auto"/>
              <w:jc w:val="left"/>
              <w:rPr>
                <w:rFonts w:hint="eastAsia" w:ascii="宋体" w:hAnsi="宋体" w:cs="Arial"/>
                <w:color w:val="auto"/>
                <w:sz w:val="24"/>
                <w:highlight w:val="none"/>
              </w:rPr>
            </w:pPr>
          </w:p>
        </w:tc>
      </w:tr>
      <w:tr w14:paraId="470B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E6DA951">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8</w:t>
            </w:r>
          </w:p>
        </w:tc>
        <w:tc>
          <w:tcPr>
            <w:tcW w:w="6672" w:type="dxa"/>
            <w:vAlign w:val="center"/>
          </w:tcPr>
          <w:p w14:paraId="1B33BD61">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rPr>
              <w:t>压缩空气设备需要有一用一备，设备状态与告警信息及设备输出的气体压力需要远程在wincc平台上显示 并且可以远程控制启停，机组的输出阀门需要使用电动阀，并且电动阀的开启状态需要远程显示，并且可以远程控制，每台空气压缩机需要配置一台干燥机，两台压缩机共用一个空气储罐，储罐要求在0.8-1.0立方米之间，空气压缩机、干燥机、储罐均需要设备自动排水阀</w:t>
            </w:r>
            <w:r>
              <w:rPr>
                <w:rFonts w:hint="eastAsia" w:ascii="宋体" w:hAnsi="宋体" w:cs="宋体"/>
                <w:color w:val="auto"/>
                <w:sz w:val="24"/>
                <w:highlight w:val="none"/>
                <w:lang w:val="en-GB"/>
              </w:rPr>
              <w:t>。</w:t>
            </w:r>
          </w:p>
        </w:tc>
        <w:tc>
          <w:tcPr>
            <w:tcW w:w="992" w:type="dxa"/>
          </w:tcPr>
          <w:p w14:paraId="14FB4B75">
            <w:pPr>
              <w:rPr>
                <w:color w:val="auto"/>
                <w:highlight w:val="none"/>
              </w:rPr>
            </w:pPr>
            <w:r>
              <w:rPr>
                <w:rFonts w:hint="eastAsia"/>
                <w:color w:val="auto"/>
                <w:highlight w:val="none"/>
              </w:rPr>
              <w:t>必需</w:t>
            </w:r>
          </w:p>
        </w:tc>
        <w:tc>
          <w:tcPr>
            <w:tcW w:w="1550" w:type="dxa"/>
            <w:vAlign w:val="center"/>
          </w:tcPr>
          <w:p w14:paraId="7BAC6732">
            <w:pPr>
              <w:spacing w:before="62" w:beforeLines="20" w:after="62" w:afterLines="20" w:line="276" w:lineRule="auto"/>
              <w:jc w:val="left"/>
              <w:rPr>
                <w:rFonts w:hint="eastAsia" w:ascii="宋体" w:hAnsi="宋体" w:cs="Arial"/>
                <w:color w:val="auto"/>
                <w:sz w:val="24"/>
                <w:highlight w:val="none"/>
              </w:rPr>
            </w:pPr>
          </w:p>
        </w:tc>
      </w:tr>
      <w:tr w14:paraId="09A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2DDAAD7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9</w:t>
            </w:r>
          </w:p>
        </w:tc>
        <w:tc>
          <w:tcPr>
            <w:tcW w:w="6672" w:type="dxa"/>
            <w:vAlign w:val="center"/>
          </w:tcPr>
          <w:p w14:paraId="4E12674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气体房的门口需要设备明显的气体房标识，各种气体管道和汇流排也需要设置标识与气体走向标识。</w:t>
            </w:r>
          </w:p>
        </w:tc>
        <w:tc>
          <w:tcPr>
            <w:tcW w:w="992" w:type="dxa"/>
          </w:tcPr>
          <w:p w14:paraId="55916144">
            <w:pPr>
              <w:rPr>
                <w:color w:val="auto"/>
                <w:highlight w:val="none"/>
              </w:rPr>
            </w:pPr>
            <w:r>
              <w:rPr>
                <w:rFonts w:hint="eastAsia"/>
                <w:color w:val="auto"/>
                <w:highlight w:val="none"/>
              </w:rPr>
              <w:t>必需</w:t>
            </w:r>
          </w:p>
        </w:tc>
        <w:tc>
          <w:tcPr>
            <w:tcW w:w="1550" w:type="dxa"/>
            <w:vAlign w:val="center"/>
          </w:tcPr>
          <w:p w14:paraId="6AEE8F14">
            <w:pPr>
              <w:spacing w:before="62" w:beforeLines="20" w:after="62" w:afterLines="20" w:line="276" w:lineRule="auto"/>
              <w:jc w:val="left"/>
              <w:rPr>
                <w:rFonts w:hint="eastAsia" w:ascii="宋体" w:hAnsi="宋体" w:cs="Arial"/>
                <w:color w:val="auto"/>
                <w:sz w:val="24"/>
                <w:highlight w:val="none"/>
              </w:rPr>
            </w:pPr>
          </w:p>
        </w:tc>
      </w:tr>
      <w:tr w14:paraId="42A3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36E4AE8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1</w:t>
            </w:r>
            <w:r>
              <w:rPr>
                <w:rFonts w:ascii="宋体" w:hAnsi="宋体" w:cs="Arial"/>
                <w:color w:val="auto"/>
                <w:sz w:val="24"/>
                <w:highlight w:val="none"/>
              </w:rPr>
              <w:t>0</w:t>
            </w:r>
          </w:p>
        </w:tc>
        <w:tc>
          <w:tcPr>
            <w:tcW w:w="6672" w:type="dxa"/>
            <w:vAlign w:val="center"/>
          </w:tcPr>
          <w:p w14:paraId="4B0AE345">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气体供应15和16两层楼，并且两层楼的总支管均需要预留到大楼的气体井处安装好截止阀，方便日后与大楼的医用气体主管连接。</w:t>
            </w:r>
          </w:p>
        </w:tc>
        <w:tc>
          <w:tcPr>
            <w:tcW w:w="992" w:type="dxa"/>
          </w:tcPr>
          <w:p w14:paraId="02B249DC">
            <w:pPr>
              <w:rPr>
                <w:color w:val="auto"/>
                <w:highlight w:val="none"/>
              </w:rPr>
            </w:pPr>
            <w:r>
              <w:rPr>
                <w:rFonts w:hint="eastAsia"/>
                <w:color w:val="auto"/>
                <w:highlight w:val="none"/>
              </w:rPr>
              <w:t>必需</w:t>
            </w:r>
          </w:p>
        </w:tc>
        <w:tc>
          <w:tcPr>
            <w:tcW w:w="1550" w:type="dxa"/>
            <w:vAlign w:val="center"/>
          </w:tcPr>
          <w:p w14:paraId="2F53D239">
            <w:pPr>
              <w:spacing w:before="62" w:beforeLines="20" w:after="62" w:afterLines="20" w:line="276" w:lineRule="auto"/>
              <w:jc w:val="left"/>
              <w:rPr>
                <w:rFonts w:hint="eastAsia" w:ascii="宋体" w:hAnsi="宋体" w:cs="Arial"/>
                <w:color w:val="auto"/>
                <w:sz w:val="24"/>
                <w:highlight w:val="none"/>
              </w:rPr>
            </w:pPr>
          </w:p>
        </w:tc>
      </w:tr>
      <w:tr w14:paraId="14B2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00BD8785">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2</w:t>
            </w:r>
            <w:r>
              <w:rPr>
                <w:rFonts w:ascii="宋体" w:hAnsi="宋体" w:cs="Arial"/>
                <w:color w:val="auto"/>
                <w:sz w:val="24"/>
                <w:highlight w:val="none"/>
              </w:rPr>
              <w:t>.</w:t>
            </w:r>
            <w:r>
              <w:rPr>
                <w:rFonts w:hint="eastAsia" w:ascii="宋体" w:hAnsi="宋体" w:cs="Arial"/>
                <w:color w:val="auto"/>
                <w:sz w:val="24"/>
                <w:highlight w:val="none"/>
              </w:rPr>
              <w:t>11</w:t>
            </w:r>
          </w:p>
        </w:tc>
        <w:tc>
          <w:tcPr>
            <w:tcW w:w="6672" w:type="dxa"/>
            <w:vAlign w:val="center"/>
          </w:tcPr>
          <w:p w14:paraId="2712036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气体房电气安装需要满足防爆相关的要求</w:t>
            </w:r>
          </w:p>
        </w:tc>
        <w:tc>
          <w:tcPr>
            <w:tcW w:w="992" w:type="dxa"/>
          </w:tcPr>
          <w:p w14:paraId="76F7ADA1">
            <w:pPr>
              <w:rPr>
                <w:color w:val="auto"/>
                <w:highlight w:val="none"/>
              </w:rPr>
            </w:pPr>
            <w:r>
              <w:rPr>
                <w:rFonts w:hint="eastAsia"/>
                <w:color w:val="auto"/>
                <w:highlight w:val="none"/>
              </w:rPr>
              <w:t>必须</w:t>
            </w:r>
          </w:p>
        </w:tc>
        <w:tc>
          <w:tcPr>
            <w:tcW w:w="1550" w:type="dxa"/>
            <w:vAlign w:val="center"/>
          </w:tcPr>
          <w:p w14:paraId="3E9533DC">
            <w:pPr>
              <w:spacing w:before="62" w:beforeLines="20" w:after="62" w:afterLines="20" w:line="276" w:lineRule="auto"/>
              <w:jc w:val="left"/>
              <w:rPr>
                <w:rFonts w:hint="eastAsia" w:ascii="宋体" w:hAnsi="宋体" w:cs="Arial"/>
                <w:color w:val="auto"/>
                <w:sz w:val="24"/>
                <w:highlight w:val="none"/>
              </w:rPr>
            </w:pPr>
          </w:p>
        </w:tc>
      </w:tr>
    </w:tbl>
    <w:p w14:paraId="5835C8CD">
      <w:pPr>
        <w:spacing w:before="62" w:beforeLines="20" w:after="62" w:afterLines="20" w:line="276" w:lineRule="auto"/>
        <w:jc w:val="left"/>
        <w:rPr>
          <w:rFonts w:ascii="Arial" w:hAnsi="Arial" w:cs="Arial"/>
          <w:color w:val="auto"/>
          <w:sz w:val="24"/>
          <w:highlight w:val="none"/>
        </w:rPr>
      </w:pPr>
    </w:p>
    <w:p w14:paraId="620B2251">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十三、消防工程要求</w:t>
      </w:r>
    </w:p>
    <w:p w14:paraId="6030754F">
      <w:pPr>
        <w:spacing w:before="62" w:beforeLines="20" w:after="62" w:afterLines="20" w:line="276" w:lineRule="auto"/>
        <w:jc w:val="left"/>
        <w:rPr>
          <w:rFonts w:ascii="Arial" w:hAnsi="Arial" w:cs="Arial"/>
          <w:color w:val="auto"/>
          <w:sz w:val="24"/>
          <w:highlight w:val="none"/>
        </w:rPr>
      </w:pPr>
    </w:p>
    <w:tbl>
      <w:tblPr>
        <w:tblStyle w:val="74"/>
        <w:tblW w:w="10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672"/>
        <w:gridCol w:w="992"/>
        <w:gridCol w:w="1550"/>
      </w:tblGrid>
      <w:tr w14:paraId="2947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42" w:type="dxa"/>
            <w:tcBorders>
              <w:bottom w:val="single" w:color="auto" w:sz="4" w:space="0"/>
            </w:tcBorders>
            <w:shd w:val="pct20" w:color="auto" w:fill="FFFFFF"/>
            <w:vAlign w:val="center"/>
          </w:tcPr>
          <w:p w14:paraId="3E11498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6672" w:type="dxa"/>
            <w:tcBorders>
              <w:bottom w:val="single" w:color="auto" w:sz="4" w:space="0"/>
            </w:tcBorders>
            <w:shd w:val="pct20" w:color="auto" w:fill="FFFFFF"/>
            <w:vAlign w:val="center"/>
          </w:tcPr>
          <w:p w14:paraId="383E236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992" w:type="dxa"/>
            <w:tcBorders>
              <w:bottom w:val="single" w:color="auto" w:sz="4" w:space="0"/>
            </w:tcBorders>
            <w:shd w:val="pct20" w:color="auto" w:fill="FFFFFF"/>
            <w:vAlign w:val="center"/>
          </w:tcPr>
          <w:p w14:paraId="42E1B13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550" w:type="dxa"/>
            <w:tcBorders>
              <w:bottom w:val="single" w:color="auto" w:sz="4" w:space="0"/>
            </w:tcBorders>
            <w:shd w:val="pct20" w:color="auto" w:fill="FFFFFF"/>
          </w:tcPr>
          <w:p w14:paraId="6759442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66997C7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33D8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vAlign w:val="center"/>
          </w:tcPr>
          <w:p w14:paraId="4263302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3</w:t>
            </w:r>
            <w:r>
              <w:rPr>
                <w:rFonts w:ascii="宋体" w:hAnsi="宋体" w:cs="Arial"/>
                <w:color w:val="auto"/>
                <w:sz w:val="24"/>
                <w:highlight w:val="none"/>
              </w:rPr>
              <w:t>.</w:t>
            </w:r>
            <w:r>
              <w:rPr>
                <w:rFonts w:hint="eastAsia" w:ascii="宋体" w:hAnsi="宋体" w:cs="Arial"/>
                <w:color w:val="auto"/>
                <w:sz w:val="24"/>
                <w:highlight w:val="none"/>
              </w:rPr>
              <w:t>1</w:t>
            </w:r>
          </w:p>
        </w:tc>
        <w:tc>
          <w:tcPr>
            <w:tcW w:w="6672" w:type="dxa"/>
            <w:vAlign w:val="center"/>
          </w:tcPr>
          <w:p w14:paraId="723AFB1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lang w:val="en-GB"/>
              </w:rPr>
              <w:t>满足消防规范标准</w:t>
            </w:r>
          </w:p>
        </w:tc>
        <w:tc>
          <w:tcPr>
            <w:tcW w:w="992" w:type="dxa"/>
          </w:tcPr>
          <w:p w14:paraId="5BC09B84">
            <w:pPr>
              <w:rPr>
                <w:color w:val="auto"/>
                <w:highlight w:val="none"/>
              </w:rPr>
            </w:pPr>
            <w:r>
              <w:rPr>
                <w:rFonts w:hint="eastAsia"/>
                <w:color w:val="auto"/>
                <w:highlight w:val="none"/>
              </w:rPr>
              <w:t>必需</w:t>
            </w:r>
          </w:p>
        </w:tc>
        <w:tc>
          <w:tcPr>
            <w:tcW w:w="1550" w:type="dxa"/>
            <w:vAlign w:val="center"/>
          </w:tcPr>
          <w:p w14:paraId="071B0D45">
            <w:pPr>
              <w:spacing w:before="62" w:beforeLines="20" w:after="62" w:afterLines="20" w:line="276" w:lineRule="auto"/>
              <w:jc w:val="left"/>
              <w:rPr>
                <w:rFonts w:hint="eastAsia" w:ascii="宋体" w:hAnsi="宋体" w:cs="Arial"/>
                <w:color w:val="auto"/>
                <w:sz w:val="24"/>
                <w:highlight w:val="none"/>
              </w:rPr>
            </w:pPr>
          </w:p>
        </w:tc>
      </w:tr>
      <w:tr w14:paraId="515D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CBBA9B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3</w:t>
            </w:r>
            <w:r>
              <w:rPr>
                <w:rFonts w:ascii="宋体" w:hAnsi="宋体" w:cs="Arial"/>
                <w:color w:val="auto"/>
                <w:sz w:val="24"/>
                <w:highlight w:val="none"/>
              </w:rPr>
              <w:t>.</w:t>
            </w:r>
            <w:r>
              <w:rPr>
                <w:rFonts w:hint="eastAsia" w:ascii="宋体" w:hAnsi="宋体" w:cs="Arial"/>
                <w:color w:val="auto"/>
                <w:sz w:val="24"/>
                <w:highlight w:val="none"/>
              </w:rPr>
              <w:t>2</w:t>
            </w:r>
          </w:p>
        </w:tc>
        <w:tc>
          <w:tcPr>
            <w:tcW w:w="6672" w:type="dxa"/>
            <w:vAlign w:val="center"/>
          </w:tcPr>
          <w:p w14:paraId="666A949D">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en-GB"/>
              </w:rPr>
              <w:t>承包区域内的消防管路仅含楼层支管。</w:t>
            </w:r>
          </w:p>
        </w:tc>
        <w:tc>
          <w:tcPr>
            <w:tcW w:w="992" w:type="dxa"/>
          </w:tcPr>
          <w:p w14:paraId="21D441A6">
            <w:pPr>
              <w:rPr>
                <w:color w:val="auto"/>
                <w:highlight w:val="none"/>
              </w:rPr>
            </w:pPr>
            <w:r>
              <w:rPr>
                <w:rFonts w:hint="eastAsia"/>
                <w:color w:val="auto"/>
                <w:highlight w:val="none"/>
              </w:rPr>
              <w:t>必需</w:t>
            </w:r>
          </w:p>
        </w:tc>
        <w:tc>
          <w:tcPr>
            <w:tcW w:w="1550" w:type="dxa"/>
            <w:vAlign w:val="center"/>
          </w:tcPr>
          <w:p w14:paraId="66E74562">
            <w:pPr>
              <w:spacing w:before="62" w:beforeLines="20" w:after="62" w:afterLines="20" w:line="276" w:lineRule="auto"/>
              <w:jc w:val="left"/>
              <w:rPr>
                <w:rFonts w:hint="eastAsia" w:ascii="宋体" w:hAnsi="宋体" w:cs="Arial"/>
                <w:color w:val="auto"/>
                <w:sz w:val="24"/>
                <w:highlight w:val="none"/>
              </w:rPr>
            </w:pPr>
          </w:p>
        </w:tc>
      </w:tr>
      <w:tr w14:paraId="7F3B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2" w:type="dxa"/>
          </w:tcPr>
          <w:p w14:paraId="133941D7">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3</w:t>
            </w:r>
            <w:r>
              <w:rPr>
                <w:rFonts w:ascii="宋体" w:hAnsi="宋体" w:cs="Arial"/>
                <w:color w:val="auto"/>
                <w:sz w:val="24"/>
                <w:highlight w:val="none"/>
              </w:rPr>
              <w:t>.</w:t>
            </w:r>
            <w:r>
              <w:rPr>
                <w:rFonts w:hint="eastAsia" w:ascii="宋体" w:hAnsi="宋体" w:cs="Arial"/>
                <w:color w:val="auto"/>
                <w:sz w:val="24"/>
                <w:highlight w:val="none"/>
              </w:rPr>
              <w:t>3</w:t>
            </w:r>
          </w:p>
        </w:tc>
        <w:tc>
          <w:tcPr>
            <w:tcW w:w="6672" w:type="dxa"/>
            <w:vAlign w:val="center"/>
          </w:tcPr>
          <w:p w14:paraId="169F9745">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承包区域内的消防线路需与大楼消防中心主机进行连接</w:t>
            </w:r>
          </w:p>
        </w:tc>
        <w:tc>
          <w:tcPr>
            <w:tcW w:w="992" w:type="dxa"/>
          </w:tcPr>
          <w:p w14:paraId="037AF475">
            <w:pPr>
              <w:rPr>
                <w:color w:val="auto"/>
                <w:highlight w:val="none"/>
              </w:rPr>
            </w:pPr>
            <w:r>
              <w:rPr>
                <w:rFonts w:hint="eastAsia"/>
                <w:color w:val="auto"/>
                <w:highlight w:val="none"/>
              </w:rPr>
              <w:t>必需</w:t>
            </w:r>
          </w:p>
        </w:tc>
        <w:tc>
          <w:tcPr>
            <w:tcW w:w="1550" w:type="dxa"/>
            <w:vAlign w:val="center"/>
          </w:tcPr>
          <w:p w14:paraId="1F00DD6F">
            <w:pPr>
              <w:spacing w:before="62" w:beforeLines="20" w:after="62" w:afterLines="20" w:line="276" w:lineRule="auto"/>
              <w:jc w:val="left"/>
              <w:rPr>
                <w:rFonts w:hint="eastAsia" w:ascii="宋体" w:hAnsi="宋体" w:cs="Arial"/>
                <w:color w:val="auto"/>
                <w:sz w:val="24"/>
                <w:highlight w:val="none"/>
              </w:rPr>
            </w:pPr>
          </w:p>
        </w:tc>
      </w:tr>
    </w:tbl>
    <w:p w14:paraId="500C3B69">
      <w:pPr>
        <w:spacing w:before="62" w:beforeLines="20" w:after="62" w:afterLines="20" w:line="276" w:lineRule="auto"/>
        <w:jc w:val="left"/>
        <w:rPr>
          <w:rFonts w:ascii="Arial" w:hAnsi="Arial" w:cs="Arial"/>
          <w:color w:val="auto"/>
          <w:sz w:val="24"/>
          <w:highlight w:val="none"/>
        </w:rPr>
      </w:pPr>
    </w:p>
    <w:tbl>
      <w:tblPr>
        <w:tblStyle w:val="74"/>
        <w:tblW w:w="10363" w:type="dxa"/>
        <w:tblInd w:w="93" w:type="dxa"/>
        <w:tblLayout w:type="fixed"/>
        <w:tblCellMar>
          <w:top w:w="0" w:type="dxa"/>
          <w:left w:w="108" w:type="dxa"/>
          <w:bottom w:w="0" w:type="dxa"/>
          <w:right w:w="108" w:type="dxa"/>
        </w:tblCellMar>
      </w:tblPr>
      <w:tblGrid>
        <w:gridCol w:w="789"/>
        <w:gridCol w:w="2205"/>
        <w:gridCol w:w="2145"/>
        <w:gridCol w:w="1845"/>
        <w:gridCol w:w="1965"/>
        <w:gridCol w:w="1414"/>
      </w:tblGrid>
      <w:tr w14:paraId="50850794">
        <w:tblPrEx>
          <w:tblCellMar>
            <w:top w:w="0" w:type="dxa"/>
            <w:left w:w="108" w:type="dxa"/>
            <w:bottom w:w="0" w:type="dxa"/>
            <w:right w:w="108" w:type="dxa"/>
          </w:tblCellMar>
        </w:tblPrEx>
        <w:trPr>
          <w:trHeight w:val="420" w:hRule="atLeast"/>
        </w:trPr>
        <w:tc>
          <w:tcPr>
            <w:tcW w:w="10363" w:type="dxa"/>
            <w:gridSpan w:val="6"/>
            <w:tcBorders>
              <w:top w:val="nil"/>
              <w:left w:val="nil"/>
              <w:bottom w:val="nil"/>
              <w:right w:val="nil"/>
            </w:tcBorders>
            <w:noWrap/>
            <w:vAlign w:val="center"/>
          </w:tcPr>
          <w:p w14:paraId="15113759">
            <w:pPr>
              <w:widowControl/>
              <w:jc w:val="center"/>
              <w:textAlignment w:val="center"/>
              <w:rPr>
                <w:rFonts w:hint="eastAsia" w:ascii="宋体" w:hAnsi="宋体" w:cs="宋体"/>
                <w:b/>
                <w:bCs/>
                <w:color w:val="auto"/>
                <w:sz w:val="30"/>
                <w:szCs w:val="30"/>
                <w:highlight w:val="none"/>
              </w:rPr>
            </w:pPr>
            <w:r>
              <w:rPr>
                <w:rFonts w:hint="eastAsia" w:ascii="宋体" w:hAnsi="宋体" w:cs="宋体"/>
                <w:b/>
                <w:color w:val="auto"/>
                <w:kern w:val="0"/>
                <w:sz w:val="24"/>
                <w:highlight w:val="none"/>
                <w:lang w:bidi="ar"/>
              </w:rPr>
              <w:t>主要材料、设备参考品牌表</w:t>
            </w:r>
          </w:p>
        </w:tc>
      </w:tr>
      <w:tr w14:paraId="6283182E">
        <w:tblPrEx>
          <w:tblCellMar>
            <w:top w:w="0" w:type="dxa"/>
            <w:left w:w="108" w:type="dxa"/>
            <w:bottom w:w="0" w:type="dxa"/>
            <w:right w:w="108" w:type="dxa"/>
          </w:tblCellMar>
        </w:tblPrEx>
        <w:trPr>
          <w:trHeight w:val="600" w:hRule="atLeast"/>
        </w:trPr>
        <w:tc>
          <w:tcPr>
            <w:tcW w:w="789" w:type="dxa"/>
            <w:tcBorders>
              <w:top w:val="single" w:color="000000" w:sz="8" w:space="0"/>
              <w:left w:val="single" w:color="000000" w:sz="8" w:space="0"/>
              <w:bottom w:val="single" w:color="000000" w:sz="8" w:space="0"/>
              <w:right w:val="single" w:color="000000" w:sz="4" w:space="0"/>
            </w:tcBorders>
            <w:vAlign w:val="center"/>
          </w:tcPr>
          <w:p w14:paraId="1A80A61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2205" w:type="dxa"/>
            <w:tcBorders>
              <w:top w:val="single" w:color="000000" w:sz="8" w:space="0"/>
              <w:left w:val="single" w:color="000000" w:sz="4" w:space="0"/>
              <w:bottom w:val="single" w:color="000000" w:sz="8" w:space="0"/>
              <w:right w:val="single" w:color="000000" w:sz="4" w:space="0"/>
            </w:tcBorders>
            <w:vAlign w:val="center"/>
          </w:tcPr>
          <w:p w14:paraId="547074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材料设备名称</w:t>
            </w:r>
          </w:p>
        </w:tc>
        <w:tc>
          <w:tcPr>
            <w:tcW w:w="5955" w:type="dxa"/>
            <w:gridSpan w:val="3"/>
            <w:tcBorders>
              <w:top w:val="single" w:color="000000" w:sz="8" w:space="0"/>
              <w:left w:val="single" w:color="000000" w:sz="4" w:space="0"/>
              <w:bottom w:val="single" w:color="000000" w:sz="8" w:space="0"/>
              <w:right w:val="single" w:color="000000" w:sz="4" w:space="0"/>
            </w:tcBorders>
            <w:noWrap/>
            <w:vAlign w:val="center"/>
          </w:tcPr>
          <w:p w14:paraId="792CA32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参考品牌、厂家(达到同等或以上要求)</w:t>
            </w:r>
          </w:p>
        </w:tc>
        <w:tc>
          <w:tcPr>
            <w:tcW w:w="1414" w:type="dxa"/>
            <w:tcBorders>
              <w:top w:val="single" w:color="000000" w:sz="8" w:space="0"/>
              <w:left w:val="single" w:color="000000" w:sz="4" w:space="0"/>
              <w:bottom w:val="single" w:color="000000" w:sz="8" w:space="0"/>
              <w:right w:val="single" w:color="000000" w:sz="8" w:space="0"/>
            </w:tcBorders>
            <w:vAlign w:val="center"/>
          </w:tcPr>
          <w:p w14:paraId="407BA5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58956B3E">
        <w:tblPrEx>
          <w:tblCellMar>
            <w:top w:w="0" w:type="dxa"/>
            <w:left w:w="108" w:type="dxa"/>
            <w:bottom w:w="0" w:type="dxa"/>
            <w:right w:w="108" w:type="dxa"/>
          </w:tblCellMar>
        </w:tblPrEx>
        <w:trPr>
          <w:trHeight w:val="499" w:hRule="atLeast"/>
        </w:trPr>
        <w:tc>
          <w:tcPr>
            <w:tcW w:w="789" w:type="dxa"/>
            <w:tcBorders>
              <w:top w:val="nil"/>
              <w:left w:val="single" w:color="000000" w:sz="8" w:space="0"/>
              <w:bottom w:val="single" w:color="000000" w:sz="4" w:space="0"/>
              <w:right w:val="single" w:color="000000" w:sz="4" w:space="0"/>
            </w:tcBorders>
            <w:vAlign w:val="center"/>
          </w:tcPr>
          <w:p w14:paraId="5A4376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2205" w:type="dxa"/>
            <w:tcBorders>
              <w:top w:val="nil"/>
              <w:left w:val="single" w:color="000000" w:sz="4" w:space="0"/>
              <w:bottom w:val="single" w:color="000000" w:sz="4" w:space="0"/>
              <w:right w:val="single" w:color="000000" w:sz="4" w:space="0"/>
            </w:tcBorders>
            <w:vAlign w:val="center"/>
          </w:tcPr>
          <w:p w14:paraId="6919718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装修部分</w:t>
            </w:r>
          </w:p>
        </w:tc>
        <w:tc>
          <w:tcPr>
            <w:tcW w:w="2145" w:type="dxa"/>
            <w:tcBorders>
              <w:top w:val="nil"/>
              <w:left w:val="single" w:color="000000" w:sz="4" w:space="0"/>
              <w:bottom w:val="single" w:color="000000" w:sz="4" w:space="0"/>
              <w:right w:val="single" w:color="000000" w:sz="4" w:space="0"/>
            </w:tcBorders>
            <w:noWrap/>
            <w:vAlign w:val="center"/>
          </w:tcPr>
          <w:p w14:paraId="1025A921">
            <w:pPr>
              <w:jc w:val="center"/>
              <w:rPr>
                <w:rFonts w:hint="eastAsia" w:ascii="宋体" w:hAnsi="宋体" w:cs="宋体"/>
                <w:color w:val="auto"/>
                <w:sz w:val="24"/>
                <w:highlight w:val="none"/>
              </w:rPr>
            </w:pPr>
          </w:p>
        </w:tc>
        <w:tc>
          <w:tcPr>
            <w:tcW w:w="1845" w:type="dxa"/>
            <w:tcBorders>
              <w:top w:val="nil"/>
              <w:left w:val="single" w:color="000000" w:sz="4" w:space="0"/>
              <w:bottom w:val="single" w:color="000000" w:sz="4" w:space="0"/>
              <w:right w:val="single" w:color="000000" w:sz="4" w:space="0"/>
            </w:tcBorders>
            <w:noWrap/>
            <w:vAlign w:val="center"/>
          </w:tcPr>
          <w:p w14:paraId="0FD62358">
            <w:pPr>
              <w:jc w:val="center"/>
              <w:rPr>
                <w:rFonts w:hint="eastAsia" w:ascii="宋体" w:hAnsi="宋体" w:cs="宋体"/>
                <w:color w:val="auto"/>
                <w:sz w:val="24"/>
                <w:highlight w:val="none"/>
              </w:rPr>
            </w:pPr>
          </w:p>
        </w:tc>
        <w:tc>
          <w:tcPr>
            <w:tcW w:w="1965" w:type="dxa"/>
            <w:tcBorders>
              <w:top w:val="nil"/>
              <w:left w:val="single" w:color="000000" w:sz="4" w:space="0"/>
              <w:bottom w:val="single" w:color="000000" w:sz="4" w:space="0"/>
              <w:right w:val="single" w:color="000000" w:sz="4" w:space="0"/>
            </w:tcBorders>
            <w:noWrap/>
            <w:vAlign w:val="center"/>
          </w:tcPr>
          <w:p w14:paraId="25169DF8">
            <w:pPr>
              <w:jc w:val="center"/>
              <w:rPr>
                <w:rFonts w:hint="eastAsia" w:ascii="宋体" w:hAnsi="宋体" w:cs="宋体"/>
                <w:color w:val="auto"/>
                <w:sz w:val="24"/>
                <w:highlight w:val="none"/>
              </w:rPr>
            </w:pPr>
          </w:p>
        </w:tc>
        <w:tc>
          <w:tcPr>
            <w:tcW w:w="1414" w:type="dxa"/>
            <w:tcBorders>
              <w:top w:val="nil"/>
              <w:left w:val="single" w:color="000000" w:sz="4" w:space="0"/>
              <w:bottom w:val="single" w:color="000000" w:sz="4" w:space="0"/>
              <w:right w:val="single" w:color="000000" w:sz="8" w:space="0"/>
            </w:tcBorders>
            <w:noWrap/>
            <w:vAlign w:val="center"/>
          </w:tcPr>
          <w:p w14:paraId="6FB6F301">
            <w:pPr>
              <w:rPr>
                <w:rFonts w:hint="eastAsia" w:ascii="宋体" w:hAnsi="宋体" w:cs="宋体"/>
                <w:color w:val="auto"/>
                <w:sz w:val="24"/>
                <w:highlight w:val="none"/>
              </w:rPr>
            </w:pPr>
          </w:p>
        </w:tc>
      </w:tr>
      <w:tr w14:paraId="399C6FEC">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74009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6EB3CE1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PVC塑胶地板</w:t>
            </w:r>
          </w:p>
        </w:tc>
        <w:tc>
          <w:tcPr>
            <w:tcW w:w="2145" w:type="dxa"/>
            <w:tcBorders>
              <w:top w:val="single" w:color="000000" w:sz="4" w:space="0"/>
              <w:left w:val="single" w:color="000000" w:sz="4" w:space="0"/>
              <w:bottom w:val="single" w:color="000000" w:sz="4" w:space="0"/>
              <w:right w:val="single" w:color="000000" w:sz="4" w:space="0"/>
            </w:tcBorders>
            <w:vAlign w:val="center"/>
          </w:tcPr>
          <w:p w14:paraId="02F6F1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法国洁福</w:t>
            </w:r>
          </w:p>
        </w:tc>
        <w:tc>
          <w:tcPr>
            <w:tcW w:w="1845" w:type="dxa"/>
            <w:tcBorders>
              <w:top w:val="single" w:color="000000" w:sz="4" w:space="0"/>
              <w:left w:val="single" w:color="000000" w:sz="4" w:space="0"/>
              <w:bottom w:val="single" w:color="000000" w:sz="4" w:space="0"/>
              <w:right w:val="single" w:color="000000" w:sz="4" w:space="0"/>
            </w:tcBorders>
            <w:vAlign w:val="center"/>
          </w:tcPr>
          <w:p w14:paraId="5693C4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美国阿姆斯壮</w:t>
            </w:r>
          </w:p>
        </w:tc>
        <w:tc>
          <w:tcPr>
            <w:tcW w:w="1965" w:type="dxa"/>
            <w:tcBorders>
              <w:top w:val="single" w:color="000000" w:sz="4" w:space="0"/>
              <w:left w:val="single" w:color="000000" w:sz="4" w:space="0"/>
              <w:bottom w:val="single" w:color="000000" w:sz="4" w:space="0"/>
              <w:right w:val="single" w:color="000000" w:sz="4" w:space="0"/>
            </w:tcBorders>
            <w:vAlign w:val="center"/>
          </w:tcPr>
          <w:p w14:paraId="7DE479C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LG</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412167EB">
            <w:pPr>
              <w:rPr>
                <w:rFonts w:hint="eastAsia" w:ascii="宋体" w:hAnsi="宋体" w:cs="宋体"/>
                <w:color w:val="auto"/>
                <w:sz w:val="24"/>
                <w:highlight w:val="none"/>
              </w:rPr>
            </w:pPr>
          </w:p>
        </w:tc>
      </w:tr>
      <w:tr w14:paraId="0C82B8BF">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417E8A8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2E941B3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抛光砖、防滑砖、墙面砖</w:t>
            </w:r>
          </w:p>
        </w:tc>
        <w:tc>
          <w:tcPr>
            <w:tcW w:w="2145" w:type="dxa"/>
            <w:tcBorders>
              <w:top w:val="single" w:color="000000" w:sz="4" w:space="0"/>
              <w:left w:val="single" w:color="000000" w:sz="4" w:space="0"/>
              <w:bottom w:val="single" w:color="000000" w:sz="4" w:space="0"/>
              <w:right w:val="single" w:color="000000" w:sz="4" w:space="0"/>
            </w:tcBorders>
            <w:vAlign w:val="center"/>
          </w:tcPr>
          <w:p w14:paraId="02E477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东鹏</w:t>
            </w:r>
          </w:p>
        </w:tc>
        <w:tc>
          <w:tcPr>
            <w:tcW w:w="1845" w:type="dxa"/>
            <w:tcBorders>
              <w:top w:val="single" w:color="000000" w:sz="4" w:space="0"/>
              <w:left w:val="single" w:color="000000" w:sz="4" w:space="0"/>
              <w:bottom w:val="single" w:color="000000" w:sz="4" w:space="0"/>
              <w:right w:val="single" w:color="000000" w:sz="4" w:space="0"/>
            </w:tcBorders>
            <w:vAlign w:val="center"/>
          </w:tcPr>
          <w:p w14:paraId="11C578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蒙罗丽莎</w:t>
            </w:r>
          </w:p>
        </w:tc>
        <w:tc>
          <w:tcPr>
            <w:tcW w:w="1965" w:type="dxa"/>
            <w:tcBorders>
              <w:top w:val="single" w:color="000000" w:sz="4" w:space="0"/>
              <w:left w:val="single" w:color="000000" w:sz="4" w:space="0"/>
              <w:bottom w:val="single" w:color="000000" w:sz="4" w:space="0"/>
              <w:right w:val="single" w:color="000000" w:sz="4" w:space="0"/>
            </w:tcBorders>
            <w:vAlign w:val="center"/>
          </w:tcPr>
          <w:p w14:paraId="5FA3BE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冠珠</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7CA0731">
            <w:pPr>
              <w:rPr>
                <w:rFonts w:hint="eastAsia" w:ascii="宋体" w:hAnsi="宋体" w:cs="宋体"/>
                <w:color w:val="auto"/>
                <w:sz w:val="24"/>
                <w:highlight w:val="none"/>
              </w:rPr>
            </w:pPr>
          </w:p>
        </w:tc>
      </w:tr>
      <w:tr w14:paraId="0FB122DC">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DF637F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39CE3B5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手工玻镁岩棉彩钢板</w:t>
            </w:r>
          </w:p>
        </w:tc>
        <w:tc>
          <w:tcPr>
            <w:tcW w:w="2145" w:type="dxa"/>
            <w:tcBorders>
              <w:top w:val="single" w:color="000000" w:sz="4" w:space="0"/>
              <w:left w:val="single" w:color="000000" w:sz="4" w:space="0"/>
              <w:bottom w:val="single" w:color="000000" w:sz="4" w:space="0"/>
              <w:right w:val="single" w:color="000000" w:sz="4" w:space="0"/>
            </w:tcBorders>
            <w:vAlign w:val="center"/>
          </w:tcPr>
          <w:p w14:paraId="37C6C04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广东华翱</w:t>
            </w:r>
          </w:p>
        </w:tc>
        <w:tc>
          <w:tcPr>
            <w:tcW w:w="1845" w:type="dxa"/>
            <w:tcBorders>
              <w:top w:val="single" w:color="000000" w:sz="4" w:space="0"/>
              <w:left w:val="single" w:color="000000" w:sz="4" w:space="0"/>
              <w:bottom w:val="single" w:color="000000" w:sz="4" w:space="0"/>
              <w:right w:val="single" w:color="000000" w:sz="4" w:space="0"/>
            </w:tcBorders>
            <w:vAlign w:val="center"/>
          </w:tcPr>
          <w:p w14:paraId="5ECA8D6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广东晓宝</w:t>
            </w:r>
          </w:p>
        </w:tc>
        <w:tc>
          <w:tcPr>
            <w:tcW w:w="1965" w:type="dxa"/>
            <w:tcBorders>
              <w:top w:val="single" w:color="000000" w:sz="4" w:space="0"/>
              <w:left w:val="single" w:color="000000" w:sz="4" w:space="0"/>
              <w:bottom w:val="single" w:color="000000" w:sz="4" w:space="0"/>
              <w:right w:val="single" w:color="000000" w:sz="4" w:space="0"/>
            </w:tcBorders>
            <w:vAlign w:val="center"/>
          </w:tcPr>
          <w:p w14:paraId="1B9F71B3">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广东莱润</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4ED9AC3B">
            <w:pPr>
              <w:rPr>
                <w:rFonts w:hint="eastAsia" w:ascii="宋体" w:hAnsi="宋体" w:cs="宋体"/>
                <w:color w:val="auto"/>
                <w:sz w:val="24"/>
                <w:highlight w:val="none"/>
              </w:rPr>
            </w:pPr>
          </w:p>
        </w:tc>
      </w:tr>
      <w:tr w14:paraId="67F179B5">
        <w:tblPrEx>
          <w:tblCellMar>
            <w:top w:w="0" w:type="dxa"/>
            <w:left w:w="108" w:type="dxa"/>
            <w:bottom w:w="0" w:type="dxa"/>
            <w:right w:w="108" w:type="dxa"/>
          </w:tblCellMar>
        </w:tblPrEx>
        <w:trPr>
          <w:trHeight w:val="522"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19931A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3B5C48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铝扣板</w:t>
            </w:r>
          </w:p>
        </w:tc>
        <w:tc>
          <w:tcPr>
            <w:tcW w:w="2145" w:type="dxa"/>
            <w:tcBorders>
              <w:top w:val="single" w:color="000000" w:sz="4" w:space="0"/>
              <w:left w:val="single" w:color="000000" w:sz="4" w:space="0"/>
              <w:bottom w:val="single" w:color="000000" w:sz="4" w:space="0"/>
              <w:right w:val="single" w:color="000000" w:sz="4" w:space="0"/>
            </w:tcBorders>
            <w:vAlign w:val="center"/>
          </w:tcPr>
          <w:p w14:paraId="5E4441C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845" w:type="dxa"/>
            <w:tcBorders>
              <w:top w:val="single" w:color="000000" w:sz="4" w:space="0"/>
              <w:left w:val="single" w:color="000000" w:sz="4" w:space="0"/>
              <w:bottom w:val="single" w:color="000000" w:sz="4" w:space="0"/>
              <w:right w:val="single" w:color="000000" w:sz="4" w:space="0"/>
            </w:tcBorders>
            <w:vAlign w:val="center"/>
          </w:tcPr>
          <w:p w14:paraId="7B9C7E8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965" w:type="dxa"/>
            <w:tcBorders>
              <w:top w:val="single" w:color="000000" w:sz="4" w:space="0"/>
              <w:left w:val="single" w:color="000000" w:sz="4" w:space="0"/>
              <w:bottom w:val="single" w:color="000000" w:sz="4" w:space="0"/>
              <w:right w:val="single" w:color="000000" w:sz="4" w:space="0"/>
            </w:tcBorders>
            <w:vAlign w:val="center"/>
          </w:tcPr>
          <w:p w14:paraId="3DAFF2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202FEB0">
            <w:pPr>
              <w:rPr>
                <w:rFonts w:hint="eastAsia" w:ascii="宋体" w:hAnsi="宋体" w:cs="宋体"/>
                <w:color w:val="auto"/>
                <w:sz w:val="24"/>
                <w:highlight w:val="none"/>
              </w:rPr>
            </w:pPr>
          </w:p>
        </w:tc>
      </w:tr>
      <w:tr w14:paraId="69B85AF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5D6F17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205" w:type="dxa"/>
            <w:tcBorders>
              <w:top w:val="single" w:color="000000" w:sz="4" w:space="0"/>
              <w:left w:val="single" w:color="000000" w:sz="4" w:space="0"/>
              <w:bottom w:val="single" w:color="000000" w:sz="4" w:space="0"/>
              <w:right w:val="single" w:color="000000" w:sz="4" w:space="0"/>
            </w:tcBorders>
            <w:vAlign w:val="center"/>
          </w:tcPr>
          <w:p w14:paraId="11F949F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铝单板</w:t>
            </w:r>
          </w:p>
        </w:tc>
        <w:tc>
          <w:tcPr>
            <w:tcW w:w="2145" w:type="dxa"/>
            <w:tcBorders>
              <w:top w:val="single" w:color="000000" w:sz="4" w:space="0"/>
              <w:left w:val="single" w:color="000000" w:sz="4" w:space="0"/>
              <w:bottom w:val="single" w:color="000000" w:sz="4" w:space="0"/>
              <w:right w:val="single" w:color="000000" w:sz="4" w:space="0"/>
            </w:tcBorders>
            <w:vAlign w:val="center"/>
          </w:tcPr>
          <w:p w14:paraId="2397D21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845" w:type="dxa"/>
            <w:tcBorders>
              <w:top w:val="single" w:color="000000" w:sz="4" w:space="0"/>
              <w:left w:val="single" w:color="000000" w:sz="4" w:space="0"/>
              <w:bottom w:val="single" w:color="000000" w:sz="4" w:space="0"/>
              <w:right w:val="single" w:color="000000" w:sz="4" w:space="0"/>
            </w:tcBorders>
            <w:vAlign w:val="center"/>
          </w:tcPr>
          <w:p w14:paraId="12628C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965" w:type="dxa"/>
            <w:tcBorders>
              <w:top w:val="single" w:color="000000" w:sz="4" w:space="0"/>
              <w:left w:val="single" w:color="000000" w:sz="4" w:space="0"/>
              <w:bottom w:val="single" w:color="000000" w:sz="4" w:space="0"/>
              <w:right w:val="single" w:color="000000" w:sz="4" w:space="0"/>
            </w:tcBorders>
            <w:vAlign w:val="center"/>
          </w:tcPr>
          <w:p w14:paraId="69AC38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F0C662C">
            <w:pPr>
              <w:rPr>
                <w:rFonts w:hint="eastAsia" w:ascii="宋体" w:hAnsi="宋体" w:cs="宋体"/>
                <w:color w:val="auto"/>
                <w:sz w:val="24"/>
                <w:highlight w:val="none"/>
              </w:rPr>
            </w:pPr>
          </w:p>
        </w:tc>
      </w:tr>
      <w:tr w14:paraId="562ADA70">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08652F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205" w:type="dxa"/>
            <w:tcBorders>
              <w:top w:val="single" w:color="000000" w:sz="4" w:space="0"/>
              <w:left w:val="single" w:color="000000" w:sz="4" w:space="0"/>
              <w:bottom w:val="single" w:color="000000" w:sz="4" w:space="0"/>
              <w:right w:val="single" w:color="000000" w:sz="4" w:space="0"/>
            </w:tcBorders>
            <w:vAlign w:val="center"/>
          </w:tcPr>
          <w:p w14:paraId="1C292E5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传递窗、风淋室</w:t>
            </w:r>
          </w:p>
        </w:tc>
        <w:tc>
          <w:tcPr>
            <w:tcW w:w="2145" w:type="dxa"/>
            <w:tcBorders>
              <w:top w:val="single" w:color="000000" w:sz="4" w:space="0"/>
              <w:left w:val="single" w:color="000000" w:sz="4" w:space="0"/>
              <w:bottom w:val="single" w:color="000000" w:sz="4" w:space="0"/>
              <w:right w:val="single" w:color="000000" w:sz="4" w:space="0"/>
            </w:tcBorders>
            <w:vAlign w:val="center"/>
          </w:tcPr>
          <w:p w14:paraId="72E36EF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中境</w:t>
            </w:r>
          </w:p>
        </w:tc>
        <w:tc>
          <w:tcPr>
            <w:tcW w:w="1845" w:type="dxa"/>
            <w:tcBorders>
              <w:top w:val="single" w:color="000000" w:sz="4" w:space="0"/>
              <w:left w:val="single" w:color="000000" w:sz="4" w:space="0"/>
              <w:bottom w:val="single" w:color="000000" w:sz="4" w:space="0"/>
              <w:right w:val="single" w:color="000000" w:sz="4" w:space="0"/>
            </w:tcBorders>
            <w:vAlign w:val="center"/>
          </w:tcPr>
          <w:p w14:paraId="1A24A5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中科圣杰</w:t>
            </w:r>
          </w:p>
        </w:tc>
        <w:tc>
          <w:tcPr>
            <w:tcW w:w="1965" w:type="dxa"/>
            <w:tcBorders>
              <w:top w:val="single" w:color="000000" w:sz="4" w:space="0"/>
              <w:left w:val="single" w:color="000000" w:sz="4" w:space="0"/>
              <w:bottom w:val="single" w:color="000000" w:sz="4" w:space="0"/>
              <w:right w:val="single" w:color="000000" w:sz="4" w:space="0"/>
            </w:tcBorders>
            <w:vAlign w:val="center"/>
          </w:tcPr>
          <w:p w14:paraId="0AEAA9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77387BA">
            <w:pPr>
              <w:rPr>
                <w:rFonts w:hint="eastAsia" w:ascii="宋体" w:hAnsi="宋体" w:cs="宋体"/>
                <w:color w:val="auto"/>
                <w:sz w:val="24"/>
                <w:highlight w:val="none"/>
              </w:rPr>
            </w:pPr>
          </w:p>
        </w:tc>
      </w:tr>
      <w:tr w14:paraId="578F486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450ADB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205" w:type="dxa"/>
            <w:tcBorders>
              <w:top w:val="single" w:color="000000" w:sz="4" w:space="0"/>
              <w:left w:val="single" w:color="000000" w:sz="4" w:space="0"/>
              <w:bottom w:val="single" w:color="000000" w:sz="4" w:space="0"/>
              <w:right w:val="single" w:color="000000" w:sz="4" w:space="0"/>
            </w:tcBorders>
            <w:vAlign w:val="center"/>
          </w:tcPr>
          <w:p w14:paraId="4C9EE42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洁净玻璃视窗</w:t>
            </w:r>
          </w:p>
        </w:tc>
        <w:tc>
          <w:tcPr>
            <w:tcW w:w="2145" w:type="dxa"/>
            <w:tcBorders>
              <w:top w:val="single" w:color="000000" w:sz="4" w:space="0"/>
              <w:left w:val="single" w:color="000000" w:sz="4" w:space="0"/>
              <w:bottom w:val="single" w:color="000000" w:sz="4" w:space="0"/>
              <w:right w:val="single" w:color="000000" w:sz="4" w:space="0"/>
            </w:tcBorders>
            <w:vAlign w:val="center"/>
          </w:tcPr>
          <w:p w14:paraId="06A435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845" w:type="dxa"/>
            <w:tcBorders>
              <w:top w:val="single" w:color="000000" w:sz="4" w:space="0"/>
              <w:left w:val="single" w:color="000000" w:sz="4" w:space="0"/>
              <w:bottom w:val="single" w:color="000000" w:sz="4" w:space="0"/>
              <w:right w:val="single" w:color="000000" w:sz="4" w:space="0"/>
            </w:tcBorders>
            <w:vAlign w:val="center"/>
          </w:tcPr>
          <w:p w14:paraId="649C3D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965" w:type="dxa"/>
            <w:tcBorders>
              <w:top w:val="single" w:color="000000" w:sz="4" w:space="0"/>
              <w:left w:val="single" w:color="000000" w:sz="4" w:space="0"/>
              <w:bottom w:val="single" w:color="000000" w:sz="4" w:space="0"/>
              <w:right w:val="single" w:color="000000" w:sz="4" w:space="0"/>
            </w:tcBorders>
            <w:vAlign w:val="center"/>
          </w:tcPr>
          <w:p w14:paraId="58FFBC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5F733E8">
            <w:pPr>
              <w:rPr>
                <w:rFonts w:hint="eastAsia" w:ascii="宋体" w:hAnsi="宋体" w:cs="宋体"/>
                <w:color w:val="auto"/>
                <w:sz w:val="24"/>
                <w:highlight w:val="none"/>
              </w:rPr>
            </w:pPr>
          </w:p>
        </w:tc>
      </w:tr>
      <w:tr w14:paraId="470CB64A">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ED9CB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205" w:type="dxa"/>
            <w:tcBorders>
              <w:top w:val="single" w:color="000000" w:sz="4" w:space="0"/>
              <w:left w:val="single" w:color="000000" w:sz="4" w:space="0"/>
              <w:bottom w:val="single" w:color="000000" w:sz="4" w:space="0"/>
              <w:right w:val="single" w:color="000000" w:sz="4" w:space="0"/>
            </w:tcBorders>
            <w:vAlign w:val="center"/>
          </w:tcPr>
          <w:p w14:paraId="744E67B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钢制气密门、安全门</w:t>
            </w:r>
          </w:p>
        </w:tc>
        <w:tc>
          <w:tcPr>
            <w:tcW w:w="2145" w:type="dxa"/>
            <w:tcBorders>
              <w:top w:val="single" w:color="000000" w:sz="4" w:space="0"/>
              <w:left w:val="single" w:color="000000" w:sz="4" w:space="0"/>
              <w:bottom w:val="single" w:color="000000" w:sz="4" w:space="0"/>
              <w:right w:val="single" w:color="000000" w:sz="4" w:space="0"/>
            </w:tcBorders>
            <w:vAlign w:val="center"/>
          </w:tcPr>
          <w:p w14:paraId="7EEDBC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845" w:type="dxa"/>
            <w:tcBorders>
              <w:top w:val="single" w:color="000000" w:sz="4" w:space="0"/>
              <w:left w:val="single" w:color="000000" w:sz="4" w:space="0"/>
              <w:bottom w:val="single" w:color="000000" w:sz="4" w:space="0"/>
              <w:right w:val="single" w:color="000000" w:sz="4" w:space="0"/>
            </w:tcBorders>
            <w:vAlign w:val="center"/>
          </w:tcPr>
          <w:p w14:paraId="016D54E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965" w:type="dxa"/>
            <w:tcBorders>
              <w:top w:val="single" w:color="000000" w:sz="4" w:space="0"/>
              <w:left w:val="single" w:color="000000" w:sz="4" w:space="0"/>
              <w:bottom w:val="single" w:color="000000" w:sz="4" w:space="0"/>
              <w:right w:val="single" w:color="000000" w:sz="4" w:space="0"/>
            </w:tcBorders>
            <w:vAlign w:val="center"/>
          </w:tcPr>
          <w:p w14:paraId="5A5E0F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588AAC8">
            <w:pPr>
              <w:rPr>
                <w:rFonts w:hint="eastAsia" w:ascii="宋体" w:hAnsi="宋体" w:cs="宋体"/>
                <w:color w:val="auto"/>
                <w:sz w:val="24"/>
                <w:highlight w:val="none"/>
              </w:rPr>
            </w:pPr>
          </w:p>
        </w:tc>
      </w:tr>
      <w:tr w14:paraId="66358158">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4DBA03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205" w:type="dxa"/>
            <w:tcBorders>
              <w:top w:val="single" w:color="000000" w:sz="4" w:space="0"/>
              <w:left w:val="single" w:color="000000" w:sz="4" w:space="0"/>
              <w:bottom w:val="single" w:color="000000" w:sz="4" w:space="0"/>
              <w:right w:val="single" w:color="000000" w:sz="4" w:space="0"/>
            </w:tcBorders>
            <w:vAlign w:val="center"/>
          </w:tcPr>
          <w:p w14:paraId="7424744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防火门</w:t>
            </w:r>
          </w:p>
        </w:tc>
        <w:tc>
          <w:tcPr>
            <w:tcW w:w="2145" w:type="dxa"/>
            <w:tcBorders>
              <w:top w:val="single" w:color="000000" w:sz="4" w:space="0"/>
              <w:left w:val="single" w:color="000000" w:sz="4" w:space="0"/>
              <w:bottom w:val="single" w:color="000000" w:sz="4" w:space="0"/>
              <w:right w:val="single" w:color="000000" w:sz="4" w:space="0"/>
            </w:tcBorders>
            <w:vAlign w:val="center"/>
          </w:tcPr>
          <w:p w14:paraId="358DA5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广州白云南粤</w:t>
            </w:r>
          </w:p>
        </w:tc>
        <w:tc>
          <w:tcPr>
            <w:tcW w:w="1845" w:type="dxa"/>
            <w:tcBorders>
              <w:top w:val="single" w:color="000000" w:sz="4" w:space="0"/>
              <w:left w:val="single" w:color="000000" w:sz="4" w:space="0"/>
              <w:bottom w:val="single" w:color="000000" w:sz="4" w:space="0"/>
              <w:right w:val="single" w:color="000000" w:sz="4" w:space="0"/>
            </w:tcBorders>
            <w:vAlign w:val="center"/>
          </w:tcPr>
          <w:p w14:paraId="16140E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东莞盛豪</w:t>
            </w:r>
          </w:p>
        </w:tc>
        <w:tc>
          <w:tcPr>
            <w:tcW w:w="1965" w:type="dxa"/>
            <w:tcBorders>
              <w:top w:val="single" w:color="000000" w:sz="4" w:space="0"/>
              <w:left w:val="single" w:color="000000" w:sz="4" w:space="0"/>
              <w:bottom w:val="single" w:color="000000" w:sz="4" w:space="0"/>
              <w:right w:val="single" w:color="000000" w:sz="4" w:space="0"/>
            </w:tcBorders>
            <w:vAlign w:val="center"/>
          </w:tcPr>
          <w:p w14:paraId="1A8B71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深圳市森林</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284A832">
            <w:pPr>
              <w:rPr>
                <w:rFonts w:hint="eastAsia" w:ascii="宋体" w:hAnsi="宋体" w:cs="宋体"/>
                <w:color w:val="auto"/>
                <w:sz w:val="24"/>
                <w:highlight w:val="none"/>
              </w:rPr>
            </w:pPr>
          </w:p>
        </w:tc>
      </w:tr>
      <w:tr w14:paraId="58B0F34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DAFFE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205" w:type="dxa"/>
            <w:tcBorders>
              <w:top w:val="single" w:color="000000" w:sz="4" w:space="0"/>
              <w:left w:val="single" w:color="000000" w:sz="4" w:space="0"/>
              <w:bottom w:val="single" w:color="000000" w:sz="4" w:space="0"/>
              <w:right w:val="single" w:color="000000" w:sz="4" w:space="0"/>
            </w:tcBorders>
            <w:vAlign w:val="center"/>
          </w:tcPr>
          <w:p w14:paraId="53C2BC0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乳胶漆</w:t>
            </w:r>
          </w:p>
        </w:tc>
        <w:tc>
          <w:tcPr>
            <w:tcW w:w="2145" w:type="dxa"/>
            <w:tcBorders>
              <w:top w:val="single" w:color="000000" w:sz="4" w:space="0"/>
              <w:left w:val="single" w:color="000000" w:sz="4" w:space="0"/>
              <w:bottom w:val="single" w:color="000000" w:sz="4" w:space="0"/>
              <w:right w:val="single" w:color="000000" w:sz="4" w:space="0"/>
            </w:tcBorders>
            <w:vAlign w:val="center"/>
          </w:tcPr>
          <w:p w14:paraId="70B34D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多乐士</w:t>
            </w:r>
          </w:p>
        </w:tc>
        <w:tc>
          <w:tcPr>
            <w:tcW w:w="1845" w:type="dxa"/>
            <w:tcBorders>
              <w:top w:val="single" w:color="000000" w:sz="4" w:space="0"/>
              <w:left w:val="single" w:color="000000" w:sz="4" w:space="0"/>
              <w:bottom w:val="single" w:color="000000" w:sz="4" w:space="0"/>
              <w:right w:val="single" w:color="000000" w:sz="4" w:space="0"/>
            </w:tcBorders>
            <w:vAlign w:val="center"/>
          </w:tcPr>
          <w:p w14:paraId="29BE75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立邦</w:t>
            </w:r>
          </w:p>
        </w:tc>
        <w:tc>
          <w:tcPr>
            <w:tcW w:w="1965" w:type="dxa"/>
            <w:tcBorders>
              <w:top w:val="single" w:color="000000" w:sz="4" w:space="0"/>
              <w:left w:val="single" w:color="000000" w:sz="4" w:space="0"/>
              <w:bottom w:val="single" w:color="000000" w:sz="4" w:space="0"/>
              <w:right w:val="single" w:color="000000" w:sz="4" w:space="0"/>
            </w:tcBorders>
            <w:vAlign w:val="center"/>
          </w:tcPr>
          <w:p w14:paraId="0AB6DF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三棵树</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4A13D14">
            <w:pPr>
              <w:rPr>
                <w:rFonts w:hint="eastAsia" w:ascii="宋体" w:hAnsi="宋体" w:cs="宋体"/>
                <w:color w:val="auto"/>
                <w:sz w:val="24"/>
                <w:highlight w:val="none"/>
              </w:rPr>
            </w:pPr>
          </w:p>
        </w:tc>
      </w:tr>
      <w:tr w14:paraId="191A4FFF">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1771711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w:t>
            </w:r>
          </w:p>
        </w:tc>
        <w:tc>
          <w:tcPr>
            <w:tcW w:w="2205" w:type="dxa"/>
            <w:tcBorders>
              <w:top w:val="single" w:color="000000" w:sz="4" w:space="0"/>
              <w:left w:val="single" w:color="000000" w:sz="4" w:space="0"/>
              <w:bottom w:val="single" w:color="000000" w:sz="4" w:space="0"/>
              <w:right w:val="single" w:color="000000" w:sz="4" w:space="0"/>
            </w:tcBorders>
            <w:vAlign w:val="center"/>
          </w:tcPr>
          <w:p w14:paraId="760C3CB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给排水、洁具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E8255FB">
            <w:pPr>
              <w:jc w:val="center"/>
              <w:rPr>
                <w:rFonts w:hint="eastAsia" w:ascii="宋体" w:hAnsi="宋体" w:cs="宋体"/>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92950D4">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410EBC44">
            <w:pPr>
              <w:jc w:val="center"/>
              <w:rPr>
                <w:rFonts w:hint="eastAsia" w:ascii="宋体" w:hAnsi="宋体" w:cs="宋体"/>
                <w:color w:val="auto"/>
                <w:sz w:val="24"/>
                <w:highlight w:val="none"/>
              </w:rPr>
            </w:pP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D59623B">
            <w:pPr>
              <w:rPr>
                <w:rFonts w:hint="eastAsia" w:ascii="宋体" w:hAnsi="宋体" w:cs="宋体"/>
                <w:color w:val="auto"/>
                <w:sz w:val="24"/>
                <w:highlight w:val="none"/>
              </w:rPr>
            </w:pPr>
          </w:p>
        </w:tc>
      </w:tr>
      <w:tr w14:paraId="4E5AE27C">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17BA61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1FA023B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PPR给水管</w:t>
            </w:r>
          </w:p>
        </w:tc>
        <w:tc>
          <w:tcPr>
            <w:tcW w:w="2145" w:type="dxa"/>
            <w:tcBorders>
              <w:top w:val="single" w:color="000000" w:sz="4" w:space="0"/>
              <w:left w:val="single" w:color="000000" w:sz="4" w:space="0"/>
              <w:bottom w:val="single" w:color="000000" w:sz="4" w:space="0"/>
              <w:right w:val="single" w:color="000000" w:sz="4" w:space="0"/>
            </w:tcBorders>
            <w:vAlign w:val="center"/>
          </w:tcPr>
          <w:p w14:paraId="5D85F48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845" w:type="dxa"/>
            <w:tcBorders>
              <w:top w:val="single" w:color="000000" w:sz="4" w:space="0"/>
              <w:left w:val="single" w:color="000000" w:sz="4" w:space="0"/>
              <w:bottom w:val="single" w:color="000000" w:sz="4" w:space="0"/>
              <w:right w:val="single" w:color="000000" w:sz="4" w:space="0"/>
            </w:tcBorders>
            <w:vAlign w:val="center"/>
          </w:tcPr>
          <w:p w14:paraId="77028D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965" w:type="dxa"/>
            <w:tcBorders>
              <w:top w:val="single" w:color="000000" w:sz="4" w:space="0"/>
              <w:left w:val="single" w:color="000000" w:sz="4" w:space="0"/>
              <w:bottom w:val="single" w:color="000000" w:sz="4" w:space="0"/>
              <w:right w:val="single" w:color="000000" w:sz="4" w:space="0"/>
            </w:tcBorders>
            <w:vAlign w:val="center"/>
          </w:tcPr>
          <w:p w14:paraId="37FB32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3AD311B3">
            <w:pPr>
              <w:rPr>
                <w:rFonts w:hint="eastAsia" w:ascii="宋体" w:hAnsi="宋体" w:cs="宋体"/>
                <w:color w:val="auto"/>
                <w:sz w:val="24"/>
                <w:highlight w:val="none"/>
              </w:rPr>
            </w:pPr>
          </w:p>
        </w:tc>
      </w:tr>
      <w:tr w14:paraId="05AA3CC7">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FAF7C7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5A46139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UPVC排水管</w:t>
            </w:r>
          </w:p>
        </w:tc>
        <w:tc>
          <w:tcPr>
            <w:tcW w:w="2145" w:type="dxa"/>
            <w:tcBorders>
              <w:top w:val="single" w:color="000000" w:sz="4" w:space="0"/>
              <w:left w:val="single" w:color="000000" w:sz="4" w:space="0"/>
              <w:bottom w:val="single" w:color="000000" w:sz="4" w:space="0"/>
              <w:right w:val="single" w:color="000000" w:sz="4" w:space="0"/>
            </w:tcBorders>
            <w:vAlign w:val="center"/>
          </w:tcPr>
          <w:p w14:paraId="4D6AF4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845" w:type="dxa"/>
            <w:tcBorders>
              <w:top w:val="single" w:color="000000" w:sz="4" w:space="0"/>
              <w:left w:val="single" w:color="000000" w:sz="4" w:space="0"/>
              <w:bottom w:val="single" w:color="000000" w:sz="4" w:space="0"/>
              <w:right w:val="single" w:color="000000" w:sz="4" w:space="0"/>
            </w:tcBorders>
            <w:vAlign w:val="center"/>
          </w:tcPr>
          <w:p w14:paraId="1B293E6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965" w:type="dxa"/>
            <w:tcBorders>
              <w:top w:val="single" w:color="000000" w:sz="4" w:space="0"/>
              <w:left w:val="single" w:color="000000" w:sz="4" w:space="0"/>
              <w:bottom w:val="single" w:color="000000" w:sz="4" w:space="0"/>
              <w:right w:val="single" w:color="000000" w:sz="4" w:space="0"/>
            </w:tcBorders>
            <w:vAlign w:val="center"/>
          </w:tcPr>
          <w:p w14:paraId="184ABD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65F00B1">
            <w:pPr>
              <w:rPr>
                <w:rFonts w:hint="eastAsia" w:ascii="宋体" w:hAnsi="宋体" w:cs="宋体"/>
                <w:color w:val="auto"/>
                <w:sz w:val="24"/>
                <w:highlight w:val="none"/>
              </w:rPr>
            </w:pPr>
          </w:p>
        </w:tc>
      </w:tr>
      <w:tr w14:paraId="5C4F3006">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EEA53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2E9D60B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PE排水管</w:t>
            </w:r>
          </w:p>
        </w:tc>
        <w:tc>
          <w:tcPr>
            <w:tcW w:w="2145" w:type="dxa"/>
            <w:tcBorders>
              <w:top w:val="single" w:color="000000" w:sz="4" w:space="0"/>
              <w:left w:val="single" w:color="000000" w:sz="4" w:space="0"/>
              <w:bottom w:val="single" w:color="000000" w:sz="4" w:space="0"/>
              <w:right w:val="single" w:color="000000" w:sz="4" w:space="0"/>
            </w:tcBorders>
            <w:vAlign w:val="center"/>
          </w:tcPr>
          <w:p w14:paraId="66955C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845" w:type="dxa"/>
            <w:tcBorders>
              <w:top w:val="single" w:color="000000" w:sz="4" w:space="0"/>
              <w:left w:val="single" w:color="000000" w:sz="4" w:space="0"/>
              <w:bottom w:val="single" w:color="000000" w:sz="4" w:space="0"/>
              <w:right w:val="single" w:color="000000" w:sz="4" w:space="0"/>
            </w:tcBorders>
            <w:vAlign w:val="center"/>
          </w:tcPr>
          <w:p w14:paraId="0B1111C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965" w:type="dxa"/>
            <w:tcBorders>
              <w:top w:val="single" w:color="000000" w:sz="4" w:space="0"/>
              <w:left w:val="single" w:color="000000" w:sz="4" w:space="0"/>
              <w:bottom w:val="single" w:color="000000" w:sz="4" w:space="0"/>
              <w:right w:val="single" w:color="000000" w:sz="4" w:space="0"/>
            </w:tcBorders>
            <w:vAlign w:val="center"/>
          </w:tcPr>
          <w:p w14:paraId="28E474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5F51B30F">
            <w:pPr>
              <w:rPr>
                <w:rFonts w:hint="eastAsia" w:ascii="宋体" w:hAnsi="宋体" w:cs="宋体"/>
                <w:color w:val="auto"/>
                <w:sz w:val="24"/>
                <w:highlight w:val="none"/>
              </w:rPr>
            </w:pPr>
          </w:p>
        </w:tc>
      </w:tr>
      <w:tr w14:paraId="69408353">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4F22D6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39C4660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水龙头、冲水器、洁具</w:t>
            </w:r>
          </w:p>
        </w:tc>
        <w:tc>
          <w:tcPr>
            <w:tcW w:w="2145" w:type="dxa"/>
            <w:tcBorders>
              <w:top w:val="single" w:color="000000" w:sz="4" w:space="0"/>
              <w:left w:val="single" w:color="000000" w:sz="4" w:space="0"/>
              <w:bottom w:val="single" w:color="000000" w:sz="4" w:space="0"/>
              <w:right w:val="single" w:color="000000" w:sz="4" w:space="0"/>
            </w:tcBorders>
            <w:vAlign w:val="center"/>
          </w:tcPr>
          <w:p w14:paraId="3E8A77A0">
            <w:pPr>
              <w:widowControl/>
              <w:jc w:val="center"/>
              <w:textAlignment w:val="center"/>
              <w:rPr>
                <w:rFonts w:hint="eastAsia" w:ascii="宋体" w:hAnsi="宋体" w:cs="宋体"/>
                <w:color w:val="auto"/>
                <w:sz w:val="24"/>
                <w:highlight w:val="none"/>
              </w:rPr>
            </w:pPr>
            <w:r>
              <w:rPr>
                <w:rFonts w:hint="eastAsia"/>
                <w:color w:val="auto"/>
                <w:sz w:val="24"/>
                <w:highlight w:val="none"/>
              </w:rPr>
              <w:t>鹰卫浴</w:t>
            </w:r>
          </w:p>
        </w:tc>
        <w:tc>
          <w:tcPr>
            <w:tcW w:w="1845" w:type="dxa"/>
            <w:tcBorders>
              <w:top w:val="single" w:color="000000" w:sz="4" w:space="0"/>
              <w:left w:val="single" w:color="000000" w:sz="4" w:space="0"/>
              <w:bottom w:val="single" w:color="000000" w:sz="4" w:space="0"/>
              <w:right w:val="single" w:color="000000" w:sz="4" w:space="0"/>
            </w:tcBorders>
            <w:vAlign w:val="center"/>
          </w:tcPr>
          <w:p w14:paraId="611C1C9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箭牌</w:t>
            </w:r>
          </w:p>
        </w:tc>
        <w:tc>
          <w:tcPr>
            <w:tcW w:w="1965" w:type="dxa"/>
            <w:tcBorders>
              <w:top w:val="single" w:color="000000" w:sz="4" w:space="0"/>
              <w:left w:val="single" w:color="000000" w:sz="4" w:space="0"/>
              <w:bottom w:val="single" w:color="000000" w:sz="4" w:space="0"/>
              <w:right w:val="single" w:color="000000" w:sz="4" w:space="0"/>
            </w:tcBorders>
            <w:vAlign w:val="center"/>
          </w:tcPr>
          <w:p w14:paraId="0E8213D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九牧</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F40EFE9">
            <w:pPr>
              <w:rPr>
                <w:rFonts w:hint="eastAsia" w:ascii="宋体" w:hAnsi="宋体" w:cs="宋体"/>
                <w:color w:val="auto"/>
                <w:sz w:val="24"/>
                <w:highlight w:val="none"/>
              </w:rPr>
            </w:pPr>
          </w:p>
        </w:tc>
      </w:tr>
      <w:tr w14:paraId="25832A44">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AFB04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w:t>
            </w:r>
          </w:p>
        </w:tc>
        <w:tc>
          <w:tcPr>
            <w:tcW w:w="2205" w:type="dxa"/>
            <w:tcBorders>
              <w:top w:val="single" w:color="000000" w:sz="4" w:space="0"/>
              <w:left w:val="single" w:color="000000" w:sz="4" w:space="0"/>
              <w:bottom w:val="single" w:color="000000" w:sz="4" w:space="0"/>
              <w:right w:val="single" w:color="000000" w:sz="4" w:space="0"/>
            </w:tcBorders>
            <w:vAlign w:val="center"/>
          </w:tcPr>
          <w:p w14:paraId="3AE8C4A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强电部分</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ECCCA7B">
            <w:pPr>
              <w:jc w:val="center"/>
              <w:rPr>
                <w:rFonts w:hint="eastAsia" w:ascii="宋体" w:hAnsi="宋体" w:cs="宋体"/>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618090AC">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C3AF4F9">
            <w:pPr>
              <w:jc w:val="center"/>
              <w:rPr>
                <w:rFonts w:hint="eastAsia" w:ascii="宋体" w:hAnsi="宋体" w:cs="宋体"/>
                <w:color w:val="auto"/>
                <w:sz w:val="24"/>
                <w:highlight w:val="none"/>
              </w:rPr>
            </w:pP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1CD4A9CF">
            <w:pPr>
              <w:rPr>
                <w:rFonts w:hint="eastAsia" w:ascii="宋体" w:hAnsi="宋体" w:cs="宋体"/>
                <w:color w:val="auto"/>
                <w:sz w:val="24"/>
                <w:highlight w:val="none"/>
              </w:rPr>
            </w:pPr>
          </w:p>
        </w:tc>
      </w:tr>
      <w:tr w14:paraId="31A37AC1">
        <w:tblPrEx>
          <w:tblCellMar>
            <w:top w:w="0" w:type="dxa"/>
            <w:left w:w="108" w:type="dxa"/>
            <w:bottom w:w="0" w:type="dxa"/>
            <w:right w:w="108" w:type="dxa"/>
          </w:tblCellMar>
        </w:tblPrEx>
        <w:trPr>
          <w:trHeight w:val="904"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3F931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79F8105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一体式配电箱体（开关元件及接地端子）</w:t>
            </w:r>
          </w:p>
        </w:tc>
        <w:tc>
          <w:tcPr>
            <w:tcW w:w="2145" w:type="dxa"/>
            <w:tcBorders>
              <w:top w:val="single" w:color="000000" w:sz="4" w:space="0"/>
              <w:left w:val="single" w:color="000000" w:sz="4" w:space="0"/>
              <w:bottom w:val="single" w:color="000000" w:sz="8" w:space="0"/>
              <w:right w:val="single" w:color="000000" w:sz="4" w:space="0"/>
            </w:tcBorders>
            <w:vAlign w:val="center"/>
          </w:tcPr>
          <w:p w14:paraId="3C979A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东莞基业</w:t>
            </w:r>
          </w:p>
        </w:tc>
        <w:tc>
          <w:tcPr>
            <w:tcW w:w="1845" w:type="dxa"/>
            <w:tcBorders>
              <w:top w:val="single" w:color="000000" w:sz="4" w:space="0"/>
              <w:left w:val="single" w:color="000000" w:sz="4" w:space="0"/>
              <w:bottom w:val="single" w:color="000000" w:sz="8" w:space="0"/>
              <w:right w:val="single" w:color="000000" w:sz="4" w:space="0"/>
            </w:tcBorders>
            <w:vAlign w:val="center"/>
          </w:tcPr>
          <w:p w14:paraId="1EFD79E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南洋电器厂</w:t>
            </w:r>
          </w:p>
        </w:tc>
        <w:tc>
          <w:tcPr>
            <w:tcW w:w="1965" w:type="dxa"/>
            <w:tcBorders>
              <w:top w:val="single" w:color="000000" w:sz="4" w:space="0"/>
              <w:left w:val="single" w:color="000000" w:sz="4" w:space="0"/>
              <w:bottom w:val="single" w:color="000000" w:sz="8" w:space="0"/>
              <w:right w:val="single" w:color="000000" w:sz="4" w:space="0"/>
            </w:tcBorders>
            <w:vAlign w:val="center"/>
          </w:tcPr>
          <w:p w14:paraId="7D3B62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白云电器</w:t>
            </w:r>
          </w:p>
        </w:tc>
        <w:tc>
          <w:tcPr>
            <w:tcW w:w="1414" w:type="dxa"/>
            <w:tcBorders>
              <w:top w:val="single" w:color="000000" w:sz="4" w:space="0"/>
              <w:left w:val="single" w:color="000000" w:sz="4" w:space="0"/>
              <w:bottom w:val="single" w:color="000000" w:sz="4" w:space="0"/>
              <w:right w:val="single" w:color="000000" w:sz="4" w:space="0"/>
            </w:tcBorders>
            <w:vAlign w:val="center"/>
          </w:tcPr>
          <w:p w14:paraId="6A3C981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元器件为施耐德、ABB、西门子</w:t>
            </w:r>
          </w:p>
        </w:tc>
      </w:tr>
      <w:tr w14:paraId="0B6E5733">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7A9142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5C7623E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开关、插座、断路器，交流接触器、变频器</w:t>
            </w:r>
          </w:p>
        </w:tc>
        <w:tc>
          <w:tcPr>
            <w:tcW w:w="2145" w:type="dxa"/>
            <w:tcBorders>
              <w:top w:val="single" w:color="000000" w:sz="4" w:space="0"/>
              <w:left w:val="single" w:color="000000" w:sz="4" w:space="0"/>
              <w:bottom w:val="single" w:color="000000" w:sz="8" w:space="0"/>
              <w:right w:val="single" w:color="000000" w:sz="4" w:space="0"/>
            </w:tcBorders>
            <w:vAlign w:val="center"/>
          </w:tcPr>
          <w:p w14:paraId="3B4C670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845" w:type="dxa"/>
            <w:tcBorders>
              <w:top w:val="single" w:color="000000" w:sz="4" w:space="0"/>
              <w:left w:val="single" w:color="000000" w:sz="4" w:space="0"/>
              <w:bottom w:val="single" w:color="000000" w:sz="8" w:space="0"/>
              <w:right w:val="single" w:color="000000" w:sz="4" w:space="0"/>
            </w:tcBorders>
            <w:vAlign w:val="center"/>
          </w:tcPr>
          <w:p w14:paraId="7D19590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施耐德</w:t>
            </w:r>
          </w:p>
        </w:tc>
        <w:tc>
          <w:tcPr>
            <w:tcW w:w="1965" w:type="dxa"/>
            <w:tcBorders>
              <w:top w:val="single" w:color="000000" w:sz="4" w:space="0"/>
              <w:left w:val="single" w:color="000000" w:sz="4" w:space="0"/>
              <w:bottom w:val="single" w:color="000000" w:sz="8" w:space="0"/>
              <w:right w:val="single" w:color="000000" w:sz="4" w:space="0"/>
            </w:tcBorders>
            <w:vAlign w:val="center"/>
          </w:tcPr>
          <w:p w14:paraId="507921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414" w:type="dxa"/>
            <w:tcBorders>
              <w:top w:val="single" w:color="000000" w:sz="4" w:space="0"/>
              <w:left w:val="single" w:color="000000" w:sz="4" w:space="0"/>
              <w:bottom w:val="single" w:color="000000" w:sz="4" w:space="0"/>
              <w:right w:val="single" w:color="000000" w:sz="4" w:space="0"/>
            </w:tcBorders>
            <w:vAlign w:val="center"/>
          </w:tcPr>
          <w:p w14:paraId="51F6FDAA">
            <w:pPr>
              <w:jc w:val="left"/>
              <w:rPr>
                <w:rFonts w:hint="eastAsia" w:ascii="宋体" w:hAnsi="宋体" w:cs="宋体"/>
                <w:color w:val="auto"/>
                <w:sz w:val="24"/>
                <w:highlight w:val="none"/>
              </w:rPr>
            </w:pPr>
          </w:p>
        </w:tc>
      </w:tr>
      <w:tr w14:paraId="32EB28A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313FD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50EAED3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电缆、电线</w:t>
            </w:r>
          </w:p>
        </w:tc>
        <w:tc>
          <w:tcPr>
            <w:tcW w:w="2145" w:type="dxa"/>
            <w:tcBorders>
              <w:top w:val="single" w:color="000000" w:sz="4" w:space="0"/>
              <w:left w:val="single" w:color="000000" w:sz="4" w:space="0"/>
              <w:bottom w:val="single" w:color="000000" w:sz="8" w:space="0"/>
              <w:right w:val="single" w:color="000000" w:sz="4" w:space="0"/>
            </w:tcBorders>
            <w:vAlign w:val="center"/>
          </w:tcPr>
          <w:p w14:paraId="5F9A2A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番禺电缆</w:t>
            </w:r>
          </w:p>
        </w:tc>
        <w:tc>
          <w:tcPr>
            <w:tcW w:w="1845" w:type="dxa"/>
            <w:tcBorders>
              <w:top w:val="single" w:color="000000" w:sz="4" w:space="0"/>
              <w:left w:val="single" w:color="000000" w:sz="4" w:space="0"/>
              <w:bottom w:val="single" w:color="000000" w:sz="8" w:space="0"/>
              <w:right w:val="single" w:color="000000" w:sz="4" w:space="0"/>
            </w:tcBorders>
            <w:vAlign w:val="center"/>
          </w:tcPr>
          <w:p w14:paraId="385FFE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广州电缆厂</w:t>
            </w:r>
          </w:p>
        </w:tc>
        <w:tc>
          <w:tcPr>
            <w:tcW w:w="1965" w:type="dxa"/>
            <w:tcBorders>
              <w:top w:val="single" w:color="000000" w:sz="4" w:space="0"/>
              <w:left w:val="single" w:color="000000" w:sz="4" w:space="0"/>
              <w:bottom w:val="single" w:color="000000" w:sz="8" w:space="0"/>
              <w:right w:val="single" w:color="000000" w:sz="4" w:space="0"/>
            </w:tcBorders>
            <w:vAlign w:val="center"/>
          </w:tcPr>
          <w:p w14:paraId="55B7326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广州庆丰电线厂</w:t>
            </w:r>
          </w:p>
        </w:tc>
        <w:tc>
          <w:tcPr>
            <w:tcW w:w="1414" w:type="dxa"/>
            <w:tcBorders>
              <w:top w:val="single" w:color="000000" w:sz="4" w:space="0"/>
              <w:left w:val="single" w:color="000000" w:sz="4" w:space="0"/>
              <w:bottom w:val="single" w:color="000000" w:sz="4" w:space="0"/>
              <w:right w:val="single" w:color="000000" w:sz="4" w:space="0"/>
            </w:tcBorders>
            <w:vAlign w:val="center"/>
          </w:tcPr>
          <w:p w14:paraId="7016BA04">
            <w:pPr>
              <w:jc w:val="left"/>
              <w:rPr>
                <w:rFonts w:hint="eastAsia" w:ascii="宋体" w:hAnsi="宋体" w:cs="宋体"/>
                <w:color w:val="auto"/>
                <w:sz w:val="24"/>
                <w:highlight w:val="none"/>
              </w:rPr>
            </w:pPr>
          </w:p>
        </w:tc>
      </w:tr>
      <w:tr w14:paraId="0AD983AC">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283A2F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0F0F300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LED洁净灯、LED平板</w:t>
            </w:r>
          </w:p>
        </w:tc>
        <w:tc>
          <w:tcPr>
            <w:tcW w:w="2145" w:type="dxa"/>
            <w:tcBorders>
              <w:top w:val="single" w:color="000000" w:sz="4" w:space="0"/>
              <w:left w:val="single" w:color="000000" w:sz="4" w:space="0"/>
              <w:bottom w:val="single" w:color="000000" w:sz="8" w:space="0"/>
              <w:right w:val="single" w:color="000000" w:sz="4" w:space="0"/>
            </w:tcBorders>
            <w:vAlign w:val="center"/>
          </w:tcPr>
          <w:p w14:paraId="54B237A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845" w:type="dxa"/>
            <w:tcBorders>
              <w:top w:val="single" w:color="000000" w:sz="4" w:space="0"/>
              <w:left w:val="single" w:color="000000" w:sz="4" w:space="0"/>
              <w:bottom w:val="single" w:color="000000" w:sz="8" w:space="0"/>
              <w:right w:val="single" w:color="000000" w:sz="4" w:space="0"/>
            </w:tcBorders>
            <w:vAlign w:val="center"/>
          </w:tcPr>
          <w:p w14:paraId="540E4B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中电勒普</w:t>
            </w:r>
          </w:p>
        </w:tc>
        <w:tc>
          <w:tcPr>
            <w:tcW w:w="1965" w:type="dxa"/>
            <w:tcBorders>
              <w:top w:val="single" w:color="000000" w:sz="4" w:space="0"/>
              <w:left w:val="single" w:color="000000" w:sz="4" w:space="0"/>
              <w:bottom w:val="single" w:color="000000" w:sz="8" w:space="0"/>
              <w:right w:val="single" w:color="000000" w:sz="4" w:space="0"/>
            </w:tcBorders>
            <w:vAlign w:val="center"/>
          </w:tcPr>
          <w:p w14:paraId="436B9A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旭普</w:t>
            </w:r>
          </w:p>
        </w:tc>
        <w:tc>
          <w:tcPr>
            <w:tcW w:w="1414" w:type="dxa"/>
            <w:tcBorders>
              <w:top w:val="single" w:color="000000" w:sz="4" w:space="0"/>
              <w:left w:val="single" w:color="000000" w:sz="4" w:space="0"/>
              <w:bottom w:val="single" w:color="000000" w:sz="4" w:space="0"/>
              <w:right w:val="single" w:color="000000" w:sz="4" w:space="0"/>
            </w:tcBorders>
            <w:vAlign w:val="center"/>
          </w:tcPr>
          <w:p w14:paraId="122404D1">
            <w:pPr>
              <w:jc w:val="left"/>
              <w:rPr>
                <w:rFonts w:hint="eastAsia" w:ascii="宋体" w:hAnsi="宋体" w:cs="宋体"/>
                <w:color w:val="auto"/>
                <w:sz w:val="24"/>
                <w:highlight w:val="none"/>
              </w:rPr>
            </w:pPr>
          </w:p>
        </w:tc>
      </w:tr>
      <w:tr w14:paraId="38217652">
        <w:tblPrEx>
          <w:tblCellMar>
            <w:top w:w="0" w:type="dxa"/>
            <w:left w:w="108" w:type="dxa"/>
            <w:bottom w:w="0" w:type="dxa"/>
            <w:right w:w="108" w:type="dxa"/>
          </w:tblCellMar>
        </w:tblPrEx>
        <w:trPr>
          <w:trHeight w:val="615"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559D045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205" w:type="dxa"/>
            <w:tcBorders>
              <w:top w:val="single" w:color="000000" w:sz="4" w:space="0"/>
              <w:left w:val="single" w:color="000000" w:sz="4" w:space="0"/>
              <w:bottom w:val="single" w:color="000000" w:sz="4" w:space="0"/>
              <w:right w:val="single" w:color="000000" w:sz="4" w:space="0"/>
            </w:tcBorders>
            <w:vAlign w:val="center"/>
          </w:tcPr>
          <w:p w14:paraId="03BD94C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LED筒灯\灯盘（含光源）</w:t>
            </w:r>
          </w:p>
        </w:tc>
        <w:tc>
          <w:tcPr>
            <w:tcW w:w="2145" w:type="dxa"/>
            <w:tcBorders>
              <w:top w:val="single" w:color="000000" w:sz="4" w:space="0"/>
              <w:left w:val="single" w:color="000000" w:sz="4" w:space="0"/>
              <w:bottom w:val="single" w:color="000000" w:sz="8" w:space="0"/>
              <w:right w:val="single" w:color="000000" w:sz="4" w:space="0"/>
            </w:tcBorders>
            <w:vAlign w:val="center"/>
          </w:tcPr>
          <w:p w14:paraId="1B00FE6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飞利浦</w:t>
            </w:r>
          </w:p>
        </w:tc>
        <w:tc>
          <w:tcPr>
            <w:tcW w:w="1845" w:type="dxa"/>
            <w:tcBorders>
              <w:top w:val="single" w:color="000000" w:sz="4" w:space="0"/>
              <w:left w:val="single" w:color="000000" w:sz="4" w:space="0"/>
              <w:bottom w:val="single" w:color="000000" w:sz="8" w:space="0"/>
              <w:right w:val="single" w:color="000000" w:sz="4" w:space="0"/>
            </w:tcBorders>
            <w:vAlign w:val="center"/>
          </w:tcPr>
          <w:p w14:paraId="102C1E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三雄极光</w:t>
            </w:r>
          </w:p>
        </w:tc>
        <w:tc>
          <w:tcPr>
            <w:tcW w:w="1965" w:type="dxa"/>
            <w:tcBorders>
              <w:top w:val="single" w:color="000000" w:sz="4" w:space="0"/>
              <w:left w:val="single" w:color="000000" w:sz="4" w:space="0"/>
              <w:bottom w:val="single" w:color="000000" w:sz="8" w:space="0"/>
              <w:right w:val="single" w:color="000000" w:sz="4" w:space="0"/>
            </w:tcBorders>
            <w:vAlign w:val="center"/>
          </w:tcPr>
          <w:p w14:paraId="0794CB8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雷士</w:t>
            </w:r>
          </w:p>
        </w:tc>
        <w:tc>
          <w:tcPr>
            <w:tcW w:w="1414" w:type="dxa"/>
            <w:tcBorders>
              <w:top w:val="single" w:color="000000" w:sz="4" w:space="0"/>
              <w:left w:val="single" w:color="000000" w:sz="4" w:space="0"/>
              <w:bottom w:val="single" w:color="000000" w:sz="4" w:space="0"/>
              <w:right w:val="single" w:color="000000" w:sz="4" w:space="0"/>
            </w:tcBorders>
            <w:vAlign w:val="center"/>
          </w:tcPr>
          <w:p w14:paraId="72516876">
            <w:pPr>
              <w:jc w:val="left"/>
              <w:rPr>
                <w:rFonts w:hint="eastAsia" w:ascii="宋体" w:hAnsi="宋体" w:cs="宋体"/>
                <w:color w:val="auto"/>
                <w:sz w:val="24"/>
                <w:highlight w:val="none"/>
              </w:rPr>
            </w:pPr>
          </w:p>
        </w:tc>
      </w:tr>
      <w:tr w14:paraId="4331CF02">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6C500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205" w:type="dxa"/>
            <w:tcBorders>
              <w:top w:val="single" w:color="000000" w:sz="4" w:space="0"/>
              <w:left w:val="single" w:color="000000" w:sz="4" w:space="0"/>
              <w:bottom w:val="single" w:color="000000" w:sz="4" w:space="0"/>
              <w:right w:val="single" w:color="000000" w:sz="4" w:space="0"/>
            </w:tcBorders>
            <w:vAlign w:val="center"/>
          </w:tcPr>
          <w:p w14:paraId="7EB410F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医用紫外线杀菌灯</w:t>
            </w:r>
          </w:p>
        </w:tc>
        <w:tc>
          <w:tcPr>
            <w:tcW w:w="2145" w:type="dxa"/>
            <w:tcBorders>
              <w:top w:val="single" w:color="000000" w:sz="4" w:space="0"/>
              <w:left w:val="single" w:color="000000" w:sz="4" w:space="0"/>
              <w:bottom w:val="single" w:color="000000" w:sz="8" w:space="0"/>
              <w:right w:val="single" w:color="000000" w:sz="4" w:space="0"/>
            </w:tcBorders>
            <w:vAlign w:val="center"/>
          </w:tcPr>
          <w:p w14:paraId="5CFBE6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845" w:type="dxa"/>
            <w:tcBorders>
              <w:top w:val="single" w:color="000000" w:sz="4" w:space="0"/>
              <w:left w:val="single" w:color="000000" w:sz="4" w:space="0"/>
              <w:bottom w:val="single" w:color="000000" w:sz="8" w:space="0"/>
              <w:right w:val="single" w:color="000000" w:sz="4" w:space="0"/>
            </w:tcBorders>
            <w:vAlign w:val="center"/>
          </w:tcPr>
          <w:p w14:paraId="46D2A8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中电勒普</w:t>
            </w:r>
          </w:p>
        </w:tc>
        <w:tc>
          <w:tcPr>
            <w:tcW w:w="1965" w:type="dxa"/>
            <w:tcBorders>
              <w:top w:val="single" w:color="000000" w:sz="4" w:space="0"/>
              <w:left w:val="single" w:color="000000" w:sz="4" w:space="0"/>
              <w:bottom w:val="single" w:color="000000" w:sz="8" w:space="0"/>
              <w:right w:val="single" w:color="000000" w:sz="4" w:space="0"/>
            </w:tcBorders>
            <w:vAlign w:val="center"/>
          </w:tcPr>
          <w:p w14:paraId="1AA982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旭普</w:t>
            </w:r>
          </w:p>
        </w:tc>
        <w:tc>
          <w:tcPr>
            <w:tcW w:w="1414" w:type="dxa"/>
            <w:tcBorders>
              <w:top w:val="single" w:color="000000" w:sz="4" w:space="0"/>
              <w:left w:val="single" w:color="000000" w:sz="4" w:space="0"/>
              <w:bottom w:val="single" w:color="000000" w:sz="4" w:space="0"/>
              <w:right w:val="single" w:color="000000" w:sz="4" w:space="0"/>
            </w:tcBorders>
            <w:vAlign w:val="center"/>
          </w:tcPr>
          <w:p w14:paraId="740D7441">
            <w:pPr>
              <w:jc w:val="left"/>
              <w:rPr>
                <w:rFonts w:hint="eastAsia" w:ascii="宋体" w:hAnsi="宋体" w:cs="宋体"/>
                <w:color w:val="auto"/>
                <w:sz w:val="24"/>
                <w:highlight w:val="none"/>
              </w:rPr>
            </w:pPr>
          </w:p>
        </w:tc>
      </w:tr>
      <w:tr w14:paraId="0AD8A6DB">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8DF61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205" w:type="dxa"/>
            <w:tcBorders>
              <w:top w:val="single" w:color="000000" w:sz="4" w:space="0"/>
              <w:left w:val="single" w:color="000000" w:sz="4" w:space="0"/>
              <w:bottom w:val="single" w:color="000000" w:sz="4" w:space="0"/>
              <w:right w:val="single" w:color="000000" w:sz="4" w:space="0"/>
            </w:tcBorders>
            <w:vAlign w:val="center"/>
          </w:tcPr>
          <w:p w14:paraId="5C9B546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综合布线(面板模块、六类非屏蔽网络线、配线架模块)</w:t>
            </w:r>
          </w:p>
        </w:tc>
        <w:tc>
          <w:tcPr>
            <w:tcW w:w="2145" w:type="dxa"/>
            <w:tcBorders>
              <w:top w:val="single" w:color="000000" w:sz="4" w:space="0"/>
              <w:left w:val="single" w:color="000000" w:sz="4" w:space="0"/>
              <w:bottom w:val="single" w:color="000000" w:sz="8" w:space="0"/>
              <w:right w:val="single" w:color="000000" w:sz="4" w:space="0"/>
            </w:tcBorders>
            <w:vAlign w:val="center"/>
          </w:tcPr>
          <w:p w14:paraId="4E0249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安普(AMP)</w:t>
            </w:r>
          </w:p>
        </w:tc>
        <w:tc>
          <w:tcPr>
            <w:tcW w:w="1845" w:type="dxa"/>
            <w:tcBorders>
              <w:top w:val="single" w:color="000000" w:sz="4" w:space="0"/>
              <w:left w:val="single" w:color="000000" w:sz="4" w:space="0"/>
              <w:bottom w:val="single" w:color="000000" w:sz="8" w:space="0"/>
              <w:right w:val="single" w:color="000000" w:sz="4" w:space="0"/>
            </w:tcBorders>
            <w:vAlign w:val="center"/>
          </w:tcPr>
          <w:p w14:paraId="48D597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美国西蒙</w:t>
            </w:r>
          </w:p>
        </w:tc>
        <w:tc>
          <w:tcPr>
            <w:tcW w:w="1965" w:type="dxa"/>
            <w:tcBorders>
              <w:top w:val="single" w:color="000000" w:sz="4" w:space="0"/>
              <w:left w:val="single" w:color="000000" w:sz="4" w:space="0"/>
              <w:bottom w:val="single" w:color="000000" w:sz="8" w:space="0"/>
              <w:right w:val="single" w:color="000000" w:sz="4" w:space="0"/>
            </w:tcBorders>
            <w:vAlign w:val="center"/>
          </w:tcPr>
          <w:p w14:paraId="4529E5F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德特威勒</w:t>
            </w:r>
          </w:p>
        </w:tc>
        <w:tc>
          <w:tcPr>
            <w:tcW w:w="1414" w:type="dxa"/>
            <w:tcBorders>
              <w:top w:val="single" w:color="000000" w:sz="4" w:space="0"/>
              <w:left w:val="single" w:color="000000" w:sz="4" w:space="0"/>
              <w:bottom w:val="single" w:color="000000" w:sz="4" w:space="0"/>
              <w:right w:val="single" w:color="000000" w:sz="4" w:space="0"/>
            </w:tcBorders>
            <w:vAlign w:val="center"/>
          </w:tcPr>
          <w:p w14:paraId="73687EE2">
            <w:pPr>
              <w:jc w:val="left"/>
              <w:rPr>
                <w:rFonts w:hint="eastAsia" w:ascii="宋体" w:hAnsi="宋体" w:cs="宋体"/>
                <w:color w:val="auto"/>
                <w:sz w:val="24"/>
                <w:highlight w:val="none"/>
              </w:rPr>
            </w:pPr>
          </w:p>
        </w:tc>
      </w:tr>
      <w:tr w14:paraId="30937158">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485D1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205" w:type="dxa"/>
            <w:tcBorders>
              <w:top w:val="single" w:color="000000" w:sz="4" w:space="0"/>
              <w:left w:val="single" w:color="000000" w:sz="4" w:space="0"/>
              <w:bottom w:val="single" w:color="000000" w:sz="4" w:space="0"/>
              <w:right w:val="single" w:color="000000" w:sz="4" w:space="0"/>
            </w:tcBorders>
            <w:vAlign w:val="center"/>
          </w:tcPr>
          <w:p w14:paraId="0CCA144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金属线槽、线管及桥架</w:t>
            </w:r>
          </w:p>
        </w:tc>
        <w:tc>
          <w:tcPr>
            <w:tcW w:w="2145" w:type="dxa"/>
            <w:tcBorders>
              <w:top w:val="single" w:color="000000" w:sz="4" w:space="0"/>
              <w:left w:val="single" w:color="000000" w:sz="4" w:space="0"/>
              <w:bottom w:val="single" w:color="000000" w:sz="8" w:space="0"/>
              <w:right w:val="single" w:color="000000" w:sz="4" w:space="0"/>
            </w:tcBorders>
            <w:vAlign w:val="center"/>
          </w:tcPr>
          <w:p w14:paraId="3F7871E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华捷</w:t>
            </w:r>
          </w:p>
        </w:tc>
        <w:tc>
          <w:tcPr>
            <w:tcW w:w="1845" w:type="dxa"/>
            <w:tcBorders>
              <w:top w:val="single" w:color="000000" w:sz="4" w:space="0"/>
              <w:left w:val="single" w:color="000000" w:sz="4" w:space="0"/>
              <w:bottom w:val="single" w:color="000000" w:sz="8" w:space="0"/>
              <w:right w:val="single" w:color="000000" w:sz="4" w:space="0"/>
            </w:tcBorders>
            <w:vAlign w:val="center"/>
          </w:tcPr>
          <w:p w14:paraId="0AB6BF2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番禺桥架</w:t>
            </w:r>
          </w:p>
        </w:tc>
        <w:tc>
          <w:tcPr>
            <w:tcW w:w="1965" w:type="dxa"/>
            <w:tcBorders>
              <w:top w:val="single" w:color="000000" w:sz="4" w:space="0"/>
              <w:left w:val="single" w:color="000000" w:sz="4" w:space="0"/>
              <w:bottom w:val="single" w:color="000000" w:sz="8" w:space="0"/>
              <w:right w:val="single" w:color="000000" w:sz="4" w:space="0"/>
            </w:tcBorders>
            <w:vAlign w:val="center"/>
          </w:tcPr>
          <w:p w14:paraId="1FCF13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一通</w:t>
            </w:r>
          </w:p>
        </w:tc>
        <w:tc>
          <w:tcPr>
            <w:tcW w:w="1414" w:type="dxa"/>
            <w:tcBorders>
              <w:top w:val="single" w:color="000000" w:sz="4" w:space="0"/>
              <w:left w:val="single" w:color="000000" w:sz="4" w:space="0"/>
              <w:bottom w:val="single" w:color="000000" w:sz="4" w:space="0"/>
              <w:right w:val="single" w:color="000000" w:sz="4" w:space="0"/>
            </w:tcBorders>
            <w:vAlign w:val="center"/>
          </w:tcPr>
          <w:p w14:paraId="66283C05">
            <w:pPr>
              <w:jc w:val="left"/>
              <w:rPr>
                <w:rFonts w:hint="eastAsia" w:ascii="宋体" w:hAnsi="宋体" w:cs="宋体"/>
                <w:color w:val="auto"/>
                <w:sz w:val="24"/>
                <w:highlight w:val="none"/>
              </w:rPr>
            </w:pPr>
          </w:p>
        </w:tc>
      </w:tr>
      <w:tr w14:paraId="4BF3BC44">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3701B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四</w:t>
            </w:r>
          </w:p>
        </w:tc>
        <w:tc>
          <w:tcPr>
            <w:tcW w:w="2205" w:type="dxa"/>
            <w:tcBorders>
              <w:top w:val="single" w:color="000000" w:sz="4" w:space="0"/>
              <w:left w:val="single" w:color="000000" w:sz="4" w:space="0"/>
              <w:bottom w:val="single" w:color="000000" w:sz="4" w:space="0"/>
              <w:right w:val="single" w:color="000000" w:sz="4" w:space="0"/>
            </w:tcBorders>
            <w:vAlign w:val="center"/>
          </w:tcPr>
          <w:p w14:paraId="1EDCECB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工艺暖通系统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C725784">
            <w:pPr>
              <w:jc w:val="center"/>
              <w:rPr>
                <w:rFonts w:hint="eastAsia" w:ascii="宋体" w:hAnsi="宋体" w:cs="宋体"/>
                <w:color w:val="auto"/>
                <w:sz w:val="24"/>
                <w:highlight w:val="none"/>
              </w:rPr>
            </w:pP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6994226A">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2F936F0">
            <w:pPr>
              <w:jc w:val="center"/>
              <w:rPr>
                <w:rFonts w:hint="eastAsia" w:ascii="宋体" w:hAnsi="宋体" w:cs="宋体"/>
                <w:color w:val="auto"/>
                <w:sz w:val="24"/>
                <w:highlight w:val="none"/>
              </w:rPr>
            </w:pP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5DBD8DBF">
            <w:pPr>
              <w:rPr>
                <w:rFonts w:hint="eastAsia" w:ascii="宋体" w:hAnsi="宋体" w:cs="宋体"/>
                <w:color w:val="auto"/>
                <w:sz w:val="24"/>
                <w:highlight w:val="none"/>
              </w:rPr>
            </w:pPr>
          </w:p>
        </w:tc>
      </w:tr>
      <w:tr w14:paraId="7A2235DB">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08A5B6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36E1BBC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中央空调主机</w:t>
            </w:r>
          </w:p>
        </w:tc>
        <w:tc>
          <w:tcPr>
            <w:tcW w:w="2145" w:type="dxa"/>
            <w:tcBorders>
              <w:top w:val="single" w:color="000000" w:sz="4" w:space="0"/>
              <w:left w:val="single" w:color="000000" w:sz="4" w:space="0"/>
              <w:bottom w:val="single" w:color="000000" w:sz="8" w:space="0"/>
              <w:right w:val="single" w:color="000000" w:sz="4" w:space="0"/>
            </w:tcBorders>
            <w:vAlign w:val="center"/>
          </w:tcPr>
          <w:p w14:paraId="0CED01E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约克</w:t>
            </w:r>
          </w:p>
        </w:tc>
        <w:tc>
          <w:tcPr>
            <w:tcW w:w="1845" w:type="dxa"/>
            <w:tcBorders>
              <w:top w:val="single" w:color="000000" w:sz="4" w:space="0"/>
              <w:left w:val="single" w:color="000000" w:sz="4" w:space="0"/>
              <w:bottom w:val="single" w:color="000000" w:sz="8" w:space="0"/>
              <w:right w:val="single" w:color="000000" w:sz="4" w:space="0"/>
            </w:tcBorders>
            <w:vAlign w:val="center"/>
          </w:tcPr>
          <w:p w14:paraId="7B6EE1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965" w:type="dxa"/>
            <w:tcBorders>
              <w:top w:val="single" w:color="000000" w:sz="4" w:space="0"/>
              <w:left w:val="single" w:color="000000" w:sz="4" w:space="0"/>
              <w:bottom w:val="single" w:color="000000" w:sz="8" w:space="0"/>
              <w:right w:val="single" w:color="000000" w:sz="4" w:space="0"/>
            </w:tcBorders>
            <w:vAlign w:val="center"/>
          </w:tcPr>
          <w:p w14:paraId="67CD922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546D249B">
            <w:pPr>
              <w:rPr>
                <w:rFonts w:hint="eastAsia" w:ascii="宋体" w:hAnsi="宋体" w:cs="宋体"/>
                <w:color w:val="auto"/>
                <w:sz w:val="24"/>
                <w:highlight w:val="none"/>
              </w:rPr>
            </w:pPr>
          </w:p>
        </w:tc>
      </w:tr>
      <w:tr w14:paraId="02BC125D">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D7913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78F9D2C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多联机</w:t>
            </w:r>
          </w:p>
        </w:tc>
        <w:tc>
          <w:tcPr>
            <w:tcW w:w="2145" w:type="dxa"/>
            <w:tcBorders>
              <w:top w:val="single" w:color="000000" w:sz="4" w:space="0"/>
              <w:left w:val="single" w:color="000000" w:sz="4" w:space="0"/>
              <w:bottom w:val="single" w:color="000000" w:sz="8" w:space="0"/>
              <w:right w:val="single" w:color="000000" w:sz="4" w:space="0"/>
            </w:tcBorders>
            <w:vAlign w:val="center"/>
          </w:tcPr>
          <w:p w14:paraId="2317E95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大金</w:t>
            </w:r>
          </w:p>
        </w:tc>
        <w:tc>
          <w:tcPr>
            <w:tcW w:w="1845" w:type="dxa"/>
            <w:tcBorders>
              <w:top w:val="single" w:color="000000" w:sz="4" w:space="0"/>
              <w:left w:val="single" w:color="000000" w:sz="4" w:space="0"/>
              <w:bottom w:val="single" w:color="000000" w:sz="8" w:space="0"/>
              <w:right w:val="single" w:color="000000" w:sz="4" w:space="0"/>
            </w:tcBorders>
            <w:vAlign w:val="center"/>
          </w:tcPr>
          <w:p w14:paraId="675EBE2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三菱电机</w:t>
            </w:r>
          </w:p>
        </w:tc>
        <w:tc>
          <w:tcPr>
            <w:tcW w:w="1965" w:type="dxa"/>
            <w:tcBorders>
              <w:top w:val="single" w:color="000000" w:sz="4" w:space="0"/>
              <w:left w:val="single" w:color="000000" w:sz="4" w:space="0"/>
              <w:bottom w:val="single" w:color="000000" w:sz="8" w:space="0"/>
              <w:right w:val="single" w:color="000000" w:sz="4" w:space="0"/>
            </w:tcBorders>
            <w:vAlign w:val="center"/>
          </w:tcPr>
          <w:p w14:paraId="38B12C4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麦克维尔</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FFC0796">
            <w:pPr>
              <w:rPr>
                <w:rFonts w:hint="eastAsia" w:ascii="宋体" w:hAnsi="宋体" w:cs="宋体"/>
                <w:color w:val="auto"/>
                <w:sz w:val="24"/>
                <w:highlight w:val="none"/>
              </w:rPr>
            </w:pPr>
          </w:p>
        </w:tc>
      </w:tr>
      <w:tr w14:paraId="108FB231">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419197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51F3572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模块化风冷式冷/热水机组</w:t>
            </w:r>
          </w:p>
        </w:tc>
        <w:tc>
          <w:tcPr>
            <w:tcW w:w="2145" w:type="dxa"/>
            <w:tcBorders>
              <w:top w:val="single" w:color="000000" w:sz="4" w:space="0"/>
              <w:left w:val="single" w:color="000000" w:sz="4" w:space="0"/>
              <w:bottom w:val="single" w:color="000000" w:sz="8" w:space="0"/>
              <w:right w:val="single" w:color="000000" w:sz="4" w:space="0"/>
            </w:tcBorders>
            <w:vAlign w:val="center"/>
          </w:tcPr>
          <w:p w14:paraId="7F63715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845" w:type="dxa"/>
            <w:tcBorders>
              <w:top w:val="single" w:color="000000" w:sz="4" w:space="0"/>
              <w:left w:val="single" w:color="000000" w:sz="4" w:space="0"/>
              <w:bottom w:val="single" w:color="000000" w:sz="8" w:space="0"/>
              <w:right w:val="single" w:color="000000" w:sz="4" w:space="0"/>
            </w:tcBorders>
            <w:vAlign w:val="center"/>
          </w:tcPr>
          <w:p w14:paraId="24FFDCA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965" w:type="dxa"/>
            <w:tcBorders>
              <w:top w:val="single" w:color="000000" w:sz="4" w:space="0"/>
              <w:left w:val="single" w:color="000000" w:sz="4" w:space="0"/>
              <w:bottom w:val="single" w:color="000000" w:sz="8" w:space="0"/>
              <w:right w:val="single" w:color="000000" w:sz="4" w:space="0"/>
            </w:tcBorders>
            <w:vAlign w:val="center"/>
          </w:tcPr>
          <w:p w14:paraId="06C139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3DC02D1E">
            <w:pPr>
              <w:rPr>
                <w:rFonts w:hint="eastAsia" w:ascii="宋体" w:hAnsi="宋体" w:cs="宋体"/>
                <w:color w:val="auto"/>
                <w:sz w:val="24"/>
                <w:highlight w:val="none"/>
              </w:rPr>
            </w:pPr>
          </w:p>
        </w:tc>
      </w:tr>
      <w:tr w14:paraId="7A14D9AF">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3B3B08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4F891E9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组合式（净化）空气处理机组</w:t>
            </w:r>
          </w:p>
        </w:tc>
        <w:tc>
          <w:tcPr>
            <w:tcW w:w="2145" w:type="dxa"/>
            <w:tcBorders>
              <w:top w:val="single" w:color="000000" w:sz="4" w:space="0"/>
              <w:left w:val="single" w:color="000000" w:sz="4" w:space="0"/>
              <w:bottom w:val="single" w:color="000000" w:sz="8" w:space="0"/>
              <w:right w:val="single" w:color="000000" w:sz="4" w:space="0"/>
            </w:tcBorders>
            <w:vAlign w:val="center"/>
          </w:tcPr>
          <w:p w14:paraId="5A683D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845" w:type="dxa"/>
            <w:tcBorders>
              <w:top w:val="single" w:color="000000" w:sz="4" w:space="0"/>
              <w:left w:val="single" w:color="000000" w:sz="4" w:space="0"/>
              <w:bottom w:val="single" w:color="000000" w:sz="8" w:space="0"/>
              <w:right w:val="single" w:color="000000" w:sz="4" w:space="0"/>
            </w:tcBorders>
            <w:vAlign w:val="center"/>
          </w:tcPr>
          <w:p w14:paraId="6C0F611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965" w:type="dxa"/>
            <w:tcBorders>
              <w:top w:val="single" w:color="000000" w:sz="4" w:space="0"/>
              <w:left w:val="single" w:color="000000" w:sz="4" w:space="0"/>
              <w:bottom w:val="single" w:color="000000" w:sz="8" w:space="0"/>
              <w:right w:val="single" w:color="000000" w:sz="4" w:space="0"/>
            </w:tcBorders>
            <w:vAlign w:val="center"/>
          </w:tcPr>
          <w:p w14:paraId="250C48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33EC4E8">
            <w:pPr>
              <w:rPr>
                <w:rFonts w:hint="eastAsia" w:ascii="宋体" w:hAnsi="宋体" w:cs="宋体"/>
                <w:color w:val="auto"/>
                <w:sz w:val="24"/>
                <w:highlight w:val="none"/>
              </w:rPr>
            </w:pPr>
          </w:p>
        </w:tc>
      </w:tr>
      <w:tr w14:paraId="2B74615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CF013E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2205" w:type="dxa"/>
            <w:tcBorders>
              <w:top w:val="single" w:color="000000" w:sz="4" w:space="0"/>
              <w:left w:val="single" w:color="000000" w:sz="4" w:space="0"/>
              <w:bottom w:val="single" w:color="000000" w:sz="4" w:space="0"/>
              <w:right w:val="single" w:color="000000" w:sz="4" w:space="0"/>
            </w:tcBorders>
            <w:vAlign w:val="center"/>
          </w:tcPr>
          <w:p w14:paraId="7137313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风机盘管、空调机</w:t>
            </w:r>
          </w:p>
        </w:tc>
        <w:tc>
          <w:tcPr>
            <w:tcW w:w="2145" w:type="dxa"/>
            <w:tcBorders>
              <w:top w:val="single" w:color="000000" w:sz="4" w:space="0"/>
              <w:left w:val="single" w:color="000000" w:sz="4" w:space="0"/>
              <w:bottom w:val="single" w:color="000000" w:sz="8" w:space="0"/>
              <w:right w:val="single" w:color="000000" w:sz="4" w:space="0"/>
            </w:tcBorders>
            <w:vAlign w:val="center"/>
          </w:tcPr>
          <w:p w14:paraId="6D69128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大金</w:t>
            </w:r>
          </w:p>
        </w:tc>
        <w:tc>
          <w:tcPr>
            <w:tcW w:w="1845" w:type="dxa"/>
            <w:tcBorders>
              <w:top w:val="single" w:color="000000" w:sz="4" w:space="0"/>
              <w:left w:val="single" w:color="000000" w:sz="4" w:space="0"/>
              <w:bottom w:val="single" w:color="000000" w:sz="8" w:space="0"/>
              <w:right w:val="single" w:color="000000" w:sz="4" w:space="0"/>
            </w:tcBorders>
            <w:vAlign w:val="center"/>
          </w:tcPr>
          <w:p w14:paraId="72F9B55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965" w:type="dxa"/>
            <w:tcBorders>
              <w:top w:val="single" w:color="000000" w:sz="4" w:space="0"/>
              <w:left w:val="single" w:color="000000" w:sz="4" w:space="0"/>
              <w:bottom w:val="single" w:color="000000" w:sz="8" w:space="0"/>
              <w:right w:val="single" w:color="000000" w:sz="4" w:space="0"/>
            </w:tcBorders>
            <w:vAlign w:val="center"/>
          </w:tcPr>
          <w:p w14:paraId="70ADB5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531017F8">
            <w:pPr>
              <w:rPr>
                <w:rFonts w:hint="eastAsia" w:ascii="宋体" w:hAnsi="宋体" w:cs="宋体"/>
                <w:color w:val="auto"/>
                <w:sz w:val="24"/>
                <w:highlight w:val="none"/>
              </w:rPr>
            </w:pPr>
          </w:p>
        </w:tc>
      </w:tr>
      <w:tr w14:paraId="62869F4F">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AC6C45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2205" w:type="dxa"/>
            <w:tcBorders>
              <w:top w:val="single" w:color="000000" w:sz="4" w:space="0"/>
              <w:left w:val="single" w:color="000000" w:sz="4" w:space="0"/>
              <w:bottom w:val="single" w:color="000000" w:sz="4" w:space="0"/>
              <w:right w:val="single" w:color="000000" w:sz="4" w:space="0"/>
            </w:tcBorders>
            <w:vAlign w:val="center"/>
          </w:tcPr>
          <w:p w14:paraId="2667C60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（空调、污水、生活）水泵</w:t>
            </w:r>
          </w:p>
        </w:tc>
        <w:tc>
          <w:tcPr>
            <w:tcW w:w="2145" w:type="dxa"/>
            <w:tcBorders>
              <w:top w:val="single" w:color="000000" w:sz="4" w:space="0"/>
              <w:left w:val="single" w:color="000000" w:sz="4" w:space="0"/>
              <w:bottom w:val="single" w:color="000000" w:sz="8" w:space="0"/>
              <w:right w:val="single" w:color="000000" w:sz="4" w:space="0"/>
            </w:tcBorders>
            <w:vAlign w:val="center"/>
          </w:tcPr>
          <w:p w14:paraId="7624D4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格兰富</w:t>
            </w:r>
          </w:p>
        </w:tc>
        <w:tc>
          <w:tcPr>
            <w:tcW w:w="1845" w:type="dxa"/>
            <w:tcBorders>
              <w:top w:val="single" w:color="000000" w:sz="4" w:space="0"/>
              <w:left w:val="single" w:color="000000" w:sz="4" w:space="0"/>
              <w:bottom w:val="single" w:color="000000" w:sz="8" w:space="0"/>
              <w:right w:val="single" w:color="000000" w:sz="4" w:space="0"/>
            </w:tcBorders>
            <w:vAlign w:val="center"/>
          </w:tcPr>
          <w:p w14:paraId="7E02E4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凯泉</w:t>
            </w:r>
          </w:p>
        </w:tc>
        <w:tc>
          <w:tcPr>
            <w:tcW w:w="1965" w:type="dxa"/>
            <w:tcBorders>
              <w:top w:val="single" w:color="000000" w:sz="4" w:space="0"/>
              <w:left w:val="single" w:color="000000" w:sz="4" w:space="0"/>
              <w:bottom w:val="single" w:color="000000" w:sz="8" w:space="0"/>
              <w:right w:val="single" w:color="000000" w:sz="4" w:space="0"/>
            </w:tcBorders>
            <w:vAlign w:val="center"/>
          </w:tcPr>
          <w:p w14:paraId="5009B9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ITT</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018627A">
            <w:pPr>
              <w:rPr>
                <w:rFonts w:hint="eastAsia" w:ascii="宋体" w:hAnsi="宋体" w:cs="宋体"/>
                <w:color w:val="auto"/>
                <w:sz w:val="24"/>
                <w:highlight w:val="none"/>
              </w:rPr>
            </w:pPr>
          </w:p>
        </w:tc>
      </w:tr>
      <w:tr w14:paraId="046C30E3">
        <w:tblPrEx>
          <w:tblCellMar>
            <w:top w:w="0" w:type="dxa"/>
            <w:left w:w="108" w:type="dxa"/>
            <w:bottom w:w="0" w:type="dxa"/>
            <w:right w:w="108" w:type="dxa"/>
          </w:tblCellMar>
        </w:tblPrEx>
        <w:trPr>
          <w:trHeight w:val="680"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19A94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2205" w:type="dxa"/>
            <w:tcBorders>
              <w:top w:val="single" w:color="000000" w:sz="4" w:space="0"/>
              <w:left w:val="single" w:color="000000" w:sz="4" w:space="0"/>
              <w:bottom w:val="single" w:color="000000" w:sz="4" w:space="0"/>
              <w:right w:val="single" w:color="000000" w:sz="4" w:space="0"/>
            </w:tcBorders>
            <w:vAlign w:val="center"/>
          </w:tcPr>
          <w:p w14:paraId="023A4E2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镀锌钢管</w:t>
            </w:r>
          </w:p>
        </w:tc>
        <w:tc>
          <w:tcPr>
            <w:tcW w:w="2145" w:type="dxa"/>
            <w:tcBorders>
              <w:top w:val="single" w:color="000000" w:sz="4" w:space="0"/>
              <w:left w:val="single" w:color="000000" w:sz="4" w:space="0"/>
              <w:bottom w:val="single" w:color="000000" w:sz="8" w:space="0"/>
              <w:right w:val="single" w:color="000000" w:sz="4" w:space="0"/>
            </w:tcBorders>
            <w:vAlign w:val="center"/>
          </w:tcPr>
          <w:p w14:paraId="11D5525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珠江</w:t>
            </w:r>
          </w:p>
        </w:tc>
        <w:tc>
          <w:tcPr>
            <w:tcW w:w="1845" w:type="dxa"/>
            <w:tcBorders>
              <w:top w:val="single" w:color="000000" w:sz="4" w:space="0"/>
              <w:left w:val="single" w:color="000000" w:sz="4" w:space="0"/>
              <w:bottom w:val="single" w:color="000000" w:sz="8" w:space="0"/>
              <w:right w:val="single" w:color="000000" w:sz="4" w:space="0"/>
            </w:tcBorders>
            <w:vAlign w:val="center"/>
          </w:tcPr>
          <w:p w14:paraId="3FC4861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中山华捷</w:t>
            </w:r>
          </w:p>
        </w:tc>
        <w:tc>
          <w:tcPr>
            <w:tcW w:w="1965" w:type="dxa"/>
            <w:tcBorders>
              <w:top w:val="single" w:color="000000" w:sz="4" w:space="0"/>
              <w:left w:val="single" w:color="000000" w:sz="4" w:space="0"/>
              <w:bottom w:val="single" w:color="000000" w:sz="8" w:space="0"/>
              <w:right w:val="single" w:color="000000" w:sz="4" w:space="0"/>
            </w:tcBorders>
            <w:vAlign w:val="center"/>
          </w:tcPr>
          <w:p w14:paraId="7159BAF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中山华通</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1A673515">
            <w:pPr>
              <w:rPr>
                <w:rFonts w:hint="eastAsia" w:ascii="宋体" w:hAnsi="宋体" w:cs="宋体"/>
                <w:color w:val="auto"/>
                <w:sz w:val="24"/>
                <w:highlight w:val="none"/>
              </w:rPr>
            </w:pPr>
          </w:p>
        </w:tc>
      </w:tr>
      <w:tr w14:paraId="15FFBF10">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459C282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2205" w:type="dxa"/>
            <w:tcBorders>
              <w:top w:val="single" w:color="000000" w:sz="4" w:space="0"/>
              <w:left w:val="single" w:color="000000" w:sz="4" w:space="0"/>
              <w:bottom w:val="single" w:color="000000" w:sz="4" w:space="0"/>
              <w:right w:val="single" w:color="000000" w:sz="4" w:space="0"/>
            </w:tcBorders>
            <w:vAlign w:val="center"/>
          </w:tcPr>
          <w:p w14:paraId="12BDB9D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补风变风量阀、定风量阀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138F13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845" w:type="dxa"/>
            <w:tcBorders>
              <w:top w:val="single" w:color="000000" w:sz="4" w:space="0"/>
              <w:left w:val="single" w:color="000000" w:sz="4" w:space="0"/>
              <w:bottom w:val="single" w:color="000000" w:sz="8" w:space="0"/>
              <w:right w:val="single" w:color="000000" w:sz="4" w:space="0"/>
            </w:tcBorders>
            <w:vAlign w:val="center"/>
          </w:tcPr>
          <w:p w14:paraId="72F63B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江森</w:t>
            </w:r>
          </w:p>
        </w:tc>
        <w:tc>
          <w:tcPr>
            <w:tcW w:w="1965" w:type="dxa"/>
            <w:tcBorders>
              <w:top w:val="single" w:color="000000" w:sz="4" w:space="0"/>
              <w:left w:val="single" w:color="000000" w:sz="4" w:space="0"/>
              <w:bottom w:val="single" w:color="000000" w:sz="8" w:space="0"/>
              <w:right w:val="single" w:color="000000" w:sz="4" w:space="0"/>
            </w:tcBorders>
            <w:vAlign w:val="center"/>
          </w:tcPr>
          <w:p w14:paraId="6B65678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C42B3FD">
            <w:pPr>
              <w:rPr>
                <w:rFonts w:hint="eastAsia" w:ascii="宋体" w:hAnsi="宋体" w:cs="宋体"/>
                <w:color w:val="auto"/>
                <w:sz w:val="24"/>
                <w:highlight w:val="none"/>
              </w:rPr>
            </w:pPr>
          </w:p>
        </w:tc>
      </w:tr>
      <w:tr w14:paraId="79EFAF26">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F518D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2205" w:type="dxa"/>
            <w:tcBorders>
              <w:top w:val="single" w:color="000000" w:sz="4" w:space="0"/>
              <w:left w:val="single" w:color="000000" w:sz="4" w:space="0"/>
              <w:bottom w:val="single" w:color="000000" w:sz="4" w:space="0"/>
              <w:right w:val="single" w:color="000000" w:sz="4" w:space="0"/>
            </w:tcBorders>
            <w:vAlign w:val="center"/>
          </w:tcPr>
          <w:p w14:paraId="46B1F6A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通风柜变风量阀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345151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845" w:type="dxa"/>
            <w:tcBorders>
              <w:top w:val="single" w:color="000000" w:sz="4" w:space="0"/>
              <w:left w:val="single" w:color="000000" w:sz="4" w:space="0"/>
              <w:bottom w:val="single" w:color="000000" w:sz="8" w:space="0"/>
              <w:right w:val="single" w:color="000000" w:sz="4" w:space="0"/>
            </w:tcBorders>
            <w:vAlign w:val="center"/>
          </w:tcPr>
          <w:p w14:paraId="2EB8D7E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江森</w:t>
            </w:r>
          </w:p>
        </w:tc>
        <w:tc>
          <w:tcPr>
            <w:tcW w:w="1965" w:type="dxa"/>
            <w:tcBorders>
              <w:top w:val="single" w:color="000000" w:sz="4" w:space="0"/>
              <w:left w:val="single" w:color="000000" w:sz="4" w:space="0"/>
              <w:bottom w:val="single" w:color="000000" w:sz="8" w:space="0"/>
              <w:right w:val="single" w:color="000000" w:sz="4" w:space="0"/>
            </w:tcBorders>
            <w:vAlign w:val="center"/>
          </w:tcPr>
          <w:p w14:paraId="043EE3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BA4BCE6">
            <w:pPr>
              <w:rPr>
                <w:rFonts w:hint="eastAsia" w:ascii="宋体" w:hAnsi="宋体" w:cs="宋体"/>
                <w:color w:val="auto"/>
                <w:sz w:val="24"/>
                <w:highlight w:val="none"/>
              </w:rPr>
            </w:pPr>
          </w:p>
        </w:tc>
      </w:tr>
      <w:tr w14:paraId="69CA0CB4">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B1F3EB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205" w:type="dxa"/>
            <w:tcBorders>
              <w:top w:val="single" w:color="000000" w:sz="4" w:space="0"/>
              <w:left w:val="single" w:color="000000" w:sz="4" w:space="0"/>
              <w:bottom w:val="single" w:color="000000" w:sz="4" w:space="0"/>
              <w:right w:val="single" w:color="000000" w:sz="4" w:space="0"/>
            </w:tcBorders>
            <w:vAlign w:val="center"/>
          </w:tcPr>
          <w:p w14:paraId="78B5BA5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玻璃钢离心风机</w:t>
            </w:r>
          </w:p>
        </w:tc>
        <w:tc>
          <w:tcPr>
            <w:tcW w:w="2145" w:type="dxa"/>
            <w:tcBorders>
              <w:top w:val="single" w:color="000000" w:sz="4" w:space="0"/>
              <w:left w:val="single" w:color="000000" w:sz="4" w:space="0"/>
              <w:bottom w:val="single" w:color="000000" w:sz="8" w:space="0"/>
              <w:right w:val="single" w:color="000000" w:sz="4" w:space="0"/>
            </w:tcBorders>
            <w:vAlign w:val="center"/>
          </w:tcPr>
          <w:p w14:paraId="6EBA56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台玉</w:t>
            </w:r>
          </w:p>
        </w:tc>
        <w:tc>
          <w:tcPr>
            <w:tcW w:w="1845" w:type="dxa"/>
            <w:tcBorders>
              <w:top w:val="single" w:color="000000" w:sz="4" w:space="0"/>
              <w:left w:val="single" w:color="000000" w:sz="4" w:space="0"/>
              <w:bottom w:val="single" w:color="000000" w:sz="8" w:space="0"/>
              <w:right w:val="single" w:color="000000" w:sz="4" w:space="0"/>
            </w:tcBorders>
            <w:vAlign w:val="center"/>
          </w:tcPr>
          <w:p w14:paraId="7D981D7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菱丰</w:t>
            </w:r>
          </w:p>
        </w:tc>
        <w:tc>
          <w:tcPr>
            <w:tcW w:w="1965" w:type="dxa"/>
            <w:tcBorders>
              <w:top w:val="single" w:color="000000" w:sz="4" w:space="0"/>
              <w:left w:val="single" w:color="000000" w:sz="4" w:space="0"/>
              <w:bottom w:val="single" w:color="000000" w:sz="8" w:space="0"/>
              <w:right w:val="single" w:color="000000" w:sz="4" w:space="0"/>
            </w:tcBorders>
            <w:vAlign w:val="center"/>
          </w:tcPr>
          <w:p w14:paraId="4FAE62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生泰</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000CD1F">
            <w:pPr>
              <w:rPr>
                <w:rFonts w:hint="eastAsia" w:ascii="宋体" w:hAnsi="宋体" w:cs="宋体"/>
                <w:color w:val="auto"/>
                <w:sz w:val="24"/>
                <w:highlight w:val="none"/>
              </w:rPr>
            </w:pPr>
          </w:p>
        </w:tc>
      </w:tr>
      <w:tr w14:paraId="2A11CFB4">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7564B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2205" w:type="dxa"/>
            <w:tcBorders>
              <w:top w:val="single" w:color="000000" w:sz="4" w:space="0"/>
              <w:left w:val="single" w:color="000000" w:sz="4" w:space="0"/>
              <w:bottom w:val="single" w:color="000000" w:sz="4" w:space="0"/>
              <w:right w:val="single" w:color="000000" w:sz="4" w:space="0"/>
            </w:tcBorders>
            <w:vAlign w:val="center"/>
          </w:tcPr>
          <w:p w14:paraId="14A30AF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排气扇</w:t>
            </w:r>
          </w:p>
        </w:tc>
        <w:tc>
          <w:tcPr>
            <w:tcW w:w="2145" w:type="dxa"/>
            <w:tcBorders>
              <w:top w:val="single" w:color="000000" w:sz="4" w:space="0"/>
              <w:left w:val="single" w:color="000000" w:sz="4" w:space="0"/>
              <w:bottom w:val="single" w:color="000000" w:sz="8" w:space="0"/>
              <w:right w:val="single" w:color="000000" w:sz="4" w:space="0"/>
            </w:tcBorders>
            <w:vAlign w:val="center"/>
          </w:tcPr>
          <w:p w14:paraId="4DE85FA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金羚</w:t>
            </w:r>
          </w:p>
        </w:tc>
        <w:tc>
          <w:tcPr>
            <w:tcW w:w="1845" w:type="dxa"/>
            <w:tcBorders>
              <w:top w:val="single" w:color="000000" w:sz="4" w:space="0"/>
              <w:left w:val="single" w:color="000000" w:sz="4" w:space="0"/>
              <w:bottom w:val="single" w:color="000000" w:sz="8" w:space="0"/>
              <w:right w:val="single" w:color="000000" w:sz="4" w:space="0"/>
            </w:tcBorders>
            <w:vAlign w:val="center"/>
          </w:tcPr>
          <w:p w14:paraId="66AA4C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正野</w:t>
            </w:r>
          </w:p>
        </w:tc>
        <w:tc>
          <w:tcPr>
            <w:tcW w:w="1965" w:type="dxa"/>
            <w:tcBorders>
              <w:top w:val="single" w:color="000000" w:sz="4" w:space="0"/>
              <w:left w:val="single" w:color="000000" w:sz="4" w:space="0"/>
              <w:bottom w:val="single" w:color="000000" w:sz="8" w:space="0"/>
              <w:right w:val="single" w:color="000000" w:sz="4" w:space="0"/>
            </w:tcBorders>
            <w:vAlign w:val="center"/>
          </w:tcPr>
          <w:p w14:paraId="2E514B16">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松下</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FBA5312">
            <w:pPr>
              <w:rPr>
                <w:rFonts w:hint="eastAsia" w:ascii="宋体" w:hAnsi="宋体" w:cs="宋体"/>
                <w:color w:val="auto"/>
                <w:sz w:val="24"/>
                <w:highlight w:val="none"/>
              </w:rPr>
            </w:pPr>
          </w:p>
        </w:tc>
      </w:tr>
      <w:tr w14:paraId="50C538A7">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859F11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2205" w:type="dxa"/>
            <w:tcBorders>
              <w:top w:val="single" w:color="000000" w:sz="4" w:space="0"/>
              <w:left w:val="single" w:color="000000" w:sz="4" w:space="0"/>
              <w:bottom w:val="single" w:color="000000" w:sz="4" w:space="0"/>
              <w:right w:val="single" w:color="000000" w:sz="4" w:space="0"/>
            </w:tcBorders>
            <w:vAlign w:val="center"/>
          </w:tcPr>
          <w:p w14:paraId="7D833B9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防火阀、手动阀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2E915B0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广州耀安</w:t>
            </w:r>
          </w:p>
        </w:tc>
        <w:tc>
          <w:tcPr>
            <w:tcW w:w="1845" w:type="dxa"/>
            <w:tcBorders>
              <w:top w:val="single" w:color="000000" w:sz="4" w:space="0"/>
              <w:left w:val="single" w:color="000000" w:sz="4" w:space="0"/>
              <w:bottom w:val="single" w:color="000000" w:sz="8" w:space="0"/>
              <w:right w:val="single" w:color="000000" w:sz="4" w:space="0"/>
            </w:tcBorders>
            <w:vAlign w:val="center"/>
          </w:tcPr>
          <w:p w14:paraId="195E19A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绿岛风</w:t>
            </w:r>
          </w:p>
        </w:tc>
        <w:tc>
          <w:tcPr>
            <w:tcW w:w="1965" w:type="dxa"/>
            <w:tcBorders>
              <w:top w:val="single" w:color="000000" w:sz="4" w:space="0"/>
              <w:left w:val="single" w:color="000000" w:sz="4" w:space="0"/>
              <w:bottom w:val="single" w:color="000000" w:sz="8" w:space="0"/>
              <w:right w:val="single" w:color="000000" w:sz="4" w:space="0"/>
            </w:tcBorders>
            <w:vAlign w:val="center"/>
          </w:tcPr>
          <w:p w14:paraId="4A0AC3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科创</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1A01C3E7">
            <w:pPr>
              <w:rPr>
                <w:rFonts w:hint="eastAsia" w:ascii="宋体" w:hAnsi="宋体" w:cs="宋体"/>
                <w:color w:val="auto"/>
                <w:sz w:val="24"/>
                <w:highlight w:val="none"/>
              </w:rPr>
            </w:pPr>
          </w:p>
        </w:tc>
      </w:tr>
      <w:tr w14:paraId="515D3D01">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91B40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2205" w:type="dxa"/>
            <w:tcBorders>
              <w:top w:val="single" w:color="000000" w:sz="4" w:space="0"/>
              <w:left w:val="single" w:color="000000" w:sz="4" w:space="0"/>
              <w:bottom w:val="single" w:color="000000" w:sz="4" w:space="0"/>
              <w:right w:val="single" w:color="000000" w:sz="4" w:space="0"/>
            </w:tcBorders>
            <w:vAlign w:val="center"/>
          </w:tcPr>
          <w:p w14:paraId="657E977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电动蝶阀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4484E9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845" w:type="dxa"/>
            <w:tcBorders>
              <w:top w:val="single" w:color="000000" w:sz="4" w:space="0"/>
              <w:left w:val="single" w:color="000000" w:sz="4" w:space="0"/>
              <w:bottom w:val="single" w:color="000000" w:sz="8" w:space="0"/>
              <w:right w:val="single" w:color="000000" w:sz="4" w:space="0"/>
            </w:tcBorders>
            <w:vAlign w:val="center"/>
          </w:tcPr>
          <w:p w14:paraId="3A017B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965" w:type="dxa"/>
            <w:tcBorders>
              <w:top w:val="single" w:color="000000" w:sz="4" w:space="0"/>
              <w:left w:val="single" w:color="000000" w:sz="4" w:space="0"/>
              <w:bottom w:val="single" w:color="000000" w:sz="8" w:space="0"/>
              <w:right w:val="single" w:color="000000" w:sz="4" w:space="0"/>
            </w:tcBorders>
            <w:vAlign w:val="center"/>
          </w:tcPr>
          <w:p w14:paraId="65E13D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CF5EBA1">
            <w:pPr>
              <w:rPr>
                <w:rFonts w:hint="eastAsia" w:ascii="宋体" w:hAnsi="宋体" w:cs="宋体"/>
                <w:color w:val="auto"/>
                <w:sz w:val="24"/>
                <w:highlight w:val="none"/>
              </w:rPr>
            </w:pPr>
          </w:p>
        </w:tc>
      </w:tr>
      <w:tr w14:paraId="58462F86">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0FA2E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2205" w:type="dxa"/>
            <w:tcBorders>
              <w:top w:val="single" w:color="000000" w:sz="4" w:space="0"/>
              <w:left w:val="single" w:color="000000" w:sz="4" w:space="0"/>
              <w:bottom w:val="single" w:color="000000" w:sz="4" w:space="0"/>
              <w:right w:val="single" w:color="000000" w:sz="4" w:space="0"/>
            </w:tcBorders>
            <w:vAlign w:val="center"/>
          </w:tcPr>
          <w:p w14:paraId="18C6592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闸阀、蝶阀、止回阀、减压阀、浮球阀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0C572D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845" w:type="dxa"/>
            <w:tcBorders>
              <w:top w:val="single" w:color="000000" w:sz="4" w:space="0"/>
              <w:left w:val="single" w:color="000000" w:sz="4" w:space="0"/>
              <w:bottom w:val="single" w:color="000000" w:sz="8" w:space="0"/>
              <w:right w:val="single" w:color="000000" w:sz="4" w:space="0"/>
            </w:tcBorders>
            <w:vAlign w:val="center"/>
          </w:tcPr>
          <w:p w14:paraId="077D12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965" w:type="dxa"/>
            <w:tcBorders>
              <w:top w:val="single" w:color="000000" w:sz="4" w:space="0"/>
              <w:left w:val="single" w:color="000000" w:sz="4" w:space="0"/>
              <w:bottom w:val="single" w:color="000000" w:sz="8" w:space="0"/>
              <w:right w:val="single" w:color="000000" w:sz="4" w:space="0"/>
            </w:tcBorders>
            <w:vAlign w:val="center"/>
          </w:tcPr>
          <w:p w14:paraId="6433C94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31BDC548">
            <w:pPr>
              <w:rPr>
                <w:rFonts w:hint="eastAsia" w:ascii="宋体" w:hAnsi="宋体" w:cs="宋体"/>
                <w:color w:val="auto"/>
                <w:sz w:val="24"/>
                <w:highlight w:val="none"/>
              </w:rPr>
            </w:pPr>
          </w:p>
        </w:tc>
      </w:tr>
      <w:tr w14:paraId="3114E7F0">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179A15C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w:t>
            </w:r>
          </w:p>
        </w:tc>
        <w:tc>
          <w:tcPr>
            <w:tcW w:w="2205" w:type="dxa"/>
            <w:tcBorders>
              <w:top w:val="single" w:color="000000" w:sz="4" w:space="0"/>
              <w:left w:val="single" w:color="000000" w:sz="4" w:space="0"/>
              <w:bottom w:val="single" w:color="000000" w:sz="4" w:space="0"/>
              <w:right w:val="single" w:color="000000" w:sz="4" w:space="0"/>
            </w:tcBorders>
            <w:vAlign w:val="center"/>
          </w:tcPr>
          <w:p w14:paraId="0D413A13">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比例积分阀（三通二通冷水电动阀、风阀执行器等各种比例角度开启阀门）</w:t>
            </w:r>
          </w:p>
        </w:tc>
        <w:tc>
          <w:tcPr>
            <w:tcW w:w="2145" w:type="dxa"/>
            <w:tcBorders>
              <w:top w:val="single" w:color="000000" w:sz="4" w:space="0"/>
              <w:left w:val="single" w:color="000000" w:sz="4" w:space="0"/>
              <w:bottom w:val="single" w:color="000000" w:sz="8" w:space="0"/>
              <w:right w:val="single" w:color="000000" w:sz="4" w:space="0"/>
            </w:tcBorders>
            <w:vAlign w:val="center"/>
          </w:tcPr>
          <w:p w14:paraId="1A5D9DC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845" w:type="dxa"/>
            <w:tcBorders>
              <w:top w:val="single" w:color="000000" w:sz="4" w:space="0"/>
              <w:left w:val="single" w:color="000000" w:sz="4" w:space="0"/>
              <w:bottom w:val="single" w:color="000000" w:sz="8" w:space="0"/>
              <w:right w:val="single" w:color="000000" w:sz="4" w:space="0"/>
            </w:tcBorders>
            <w:vAlign w:val="center"/>
          </w:tcPr>
          <w:p w14:paraId="147AC1F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霍尼维尔</w:t>
            </w:r>
          </w:p>
        </w:tc>
        <w:tc>
          <w:tcPr>
            <w:tcW w:w="1965" w:type="dxa"/>
            <w:tcBorders>
              <w:top w:val="single" w:color="000000" w:sz="4" w:space="0"/>
              <w:left w:val="single" w:color="000000" w:sz="4" w:space="0"/>
              <w:bottom w:val="single" w:color="000000" w:sz="8" w:space="0"/>
              <w:right w:val="single" w:color="000000" w:sz="4" w:space="0"/>
            </w:tcBorders>
            <w:vAlign w:val="center"/>
          </w:tcPr>
          <w:p w14:paraId="446F34E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江森</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94D99DF">
            <w:pPr>
              <w:rPr>
                <w:rFonts w:hint="eastAsia" w:ascii="宋体" w:hAnsi="宋体" w:cs="宋体"/>
                <w:color w:val="auto"/>
                <w:sz w:val="24"/>
                <w:highlight w:val="none"/>
              </w:rPr>
            </w:pPr>
          </w:p>
        </w:tc>
      </w:tr>
      <w:tr w14:paraId="41780FFD">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A12B9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16</w:t>
            </w:r>
          </w:p>
        </w:tc>
        <w:tc>
          <w:tcPr>
            <w:tcW w:w="2205" w:type="dxa"/>
            <w:tcBorders>
              <w:top w:val="single" w:color="000000" w:sz="4" w:space="0"/>
              <w:left w:val="single" w:color="000000" w:sz="4" w:space="0"/>
              <w:bottom w:val="single" w:color="000000" w:sz="4" w:space="0"/>
              <w:right w:val="single" w:color="000000" w:sz="4" w:space="0"/>
            </w:tcBorders>
            <w:vAlign w:val="center"/>
          </w:tcPr>
          <w:p w14:paraId="0B682E5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铜类阀</w:t>
            </w:r>
          </w:p>
        </w:tc>
        <w:tc>
          <w:tcPr>
            <w:tcW w:w="2145" w:type="dxa"/>
            <w:tcBorders>
              <w:top w:val="single" w:color="000000" w:sz="4" w:space="0"/>
              <w:left w:val="single" w:color="000000" w:sz="4" w:space="0"/>
              <w:bottom w:val="single" w:color="000000" w:sz="8" w:space="0"/>
              <w:right w:val="single" w:color="000000" w:sz="4" w:space="0"/>
            </w:tcBorders>
            <w:vAlign w:val="center"/>
          </w:tcPr>
          <w:p w14:paraId="36C71CD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845" w:type="dxa"/>
            <w:tcBorders>
              <w:top w:val="single" w:color="000000" w:sz="4" w:space="0"/>
              <w:left w:val="single" w:color="000000" w:sz="4" w:space="0"/>
              <w:bottom w:val="single" w:color="000000" w:sz="8" w:space="0"/>
              <w:right w:val="single" w:color="000000" w:sz="4" w:space="0"/>
            </w:tcBorders>
            <w:vAlign w:val="center"/>
          </w:tcPr>
          <w:p w14:paraId="0FAB59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965" w:type="dxa"/>
            <w:tcBorders>
              <w:top w:val="single" w:color="000000" w:sz="4" w:space="0"/>
              <w:left w:val="single" w:color="000000" w:sz="4" w:space="0"/>
              <w:bottom w:val="single" w:color="000000" w:sz="8" w:space="0"/>
              <w:right w:val="single" w:color="000000" w:sz="4" w:space="0"/>
            </w:tcBorders>
            <w:vAlign w:val="center"/>
          </w:tcPr>
          <w:p w14:paraId="3B8BB5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79C2CE7A">
            <w:pPr>
              <w:rPr>
                <w:rFonts w:hint="eastAsia" w:ascii="宋体" w:hAnsi="宋体" w:cs="宋体"/>
                <w:color w:val="auto"/>
                <w:sz w:val="24"/>
                <w:highlight w:val="none"/>
              </w:rPr>
            </w:pPr>
          </w:p>
        </w:tc>
      </w:tr>
      <w:tr w14:paraId="1C69BD7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60A258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17</w:t>
            </w:r>
          </w:p>
        </w:tc>
        <w:tc>
          <w:tcPr>
            <w:tcW w:w="2205" w:type="dxa"/>
            <w:tcBorders>
              <w:top w:val="single" w:color="000000" w:sz="4" w:space="0"/>
              <w:left w:val="single" w:color="000000" w:sz="4" w:space="0"/>
              <w:bottom w:val="single" w:color="000000" w:sz="4" w:space="0"/>
              <w:right w:val="single" w:color="000000" w:sz="4" w:space="0"/>
            </w:tcBorders>
            <w:vAlign w:val="center"/>
          </w:tcPr>
          <w:p w14:paraId="3E4E132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保温吸音材料</w:t>
            </w:r>
          </w:p>
        </w:tc>
        <w:tc>
          <w:tcPr>
            <w:tcW w:w="2145" w:type="dxa"/>
            <w:tcBorders>
              <w:top w:val="single" w:color="000000" w:sz="4" w:space="0"/>
              <w:left w:val="single" w:color="000000" w:sz="4" w:space="0"/>
              <w:bottom w:val="single" w:color="000000" w:sz="8" w:space="0"/>
              <w:right w:val="single" w:color="000000" w:sz="4" w:space="0"/>
            </w:tcBorders>
            <w:vAlign w:val="center"/>
          </w:tcPr>
          <w:p w14:paraId="544226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福乐斯</w:t>
            </w:r>
          </w:p>
        </w:tc>
        <w:tc>
          <w:tcPr>
            <w:tcW w:w="1845" w:type="dxa"/>
            <w:tcBorders>
              <w:top w:val="single" w:color="000000" w:sz="4" w:space="0"/>
              <w:left w:val="single" w:color="000000" w:sz="4" w:space="0"/>
              <w:bottom w:val="single" w:color="000000" w:sz="8" w:space="0"/>
              <w:right w:val="single" w:color="000000" w:sz="4" w:space="0"/>
            </w:tcBorders>
            <w:vAlign w:val="center"/>
          </w:tcPr>
          <w:p w14:paraId="08D63E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杜肯</w:t>
            </w:r>
          </w:p>
        </w:tc>
        <w:tc>
          <w:tcPr>
            <w:tcW w:w="1965" w:type="dxa"/>
            <w:tcBorders>
              <w:top w:val="single" w:color="000000" w:sz="4" w:space="0"/>
              <w:left w:val="single" w:color="000000" w:sz="4" w:space="0"/>
              <w:bottom w:val="single" w:color="000000" w:sz="8" w:space="0"/>
              <w:right w:val="single" w:color="000000" w:sz="4" w:space="0"/>
            </w:tcBorders>
            <w:vAlign w:val="center"/>
          </w:tcPr>
          <w:p w14:paraId="1E30C2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阿乐斯</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4FA58846">
            <w:pPr>
              <w:rPr>
                <w:rFonts w:hint="eastAsia" w:ascii="宋体" w:hAnsi="宋体" w:cs="宋体"/>
                <w:color w:val="auto"/>
                <w:sz w:val="24"/>
                <w:highlight w:val="none"/>
              </w:rPr>
            </w:pPr>
          </w:p>
        </w:tc>
      </w:tr>
      <w:tr w14:paraId="76AAF2E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1F968ED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18</w:t>
            </w:r>
          </w:p>
        </w:tc>
        <w:tc>
          <w:tcPr>
            <w:tcW w:w="2205" w:type="dxa"/>
            <w:tcBorders>
              <w:top w:val="single" w:color="000000" w:sz="4" w:space="0"/>
              <w:left w:val="single" w:color="000000" w:sz="4" w:space="0"/>
              <w:bottom w:val="single" w:color="000000" w:sz="4" w:space="0"/>
              <w:right w:val="single" w:color="000000" w:sz="4" w:space="0"/>
            </w:tcBorders>
            <w:vAlign w:val="center"/>
          </w:tcPr>
          <w:p w14:paraId="6DF2BDA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橡胶软接</w:t>
            </w:r>
          </w:p>
        </w:tc>
        <w:tc>
          <w:tcPr>
            <w:tcW w:w="2145" w:type="dxa"/>
            <w:tcBorders>
              <w:top w:val="single" w:color="000000" w:sz="4" w:space="0"/>
              <w:left w:val="single" w:color="000000" w:sz="4" w:space="0"/>
              <w:bottom w:val="single" w:color="000000" w:sz="8" w:space="0"/>
              <w:right w:val="single" w:color="000000" w:sz="4" w:space="0"/>
            </w:tcBorders>
            <w:vAlign w:val="center"/>
          </w:tcPr>
          <w:p w14:paraId="14635B1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广州华侨</w:t>
            </w:r>
          </w:p>
        </w:tc>
        <w:tc>
          <w:tcPr>
            <w:tcW w:w="1845" w:type="dxa"/>
            <w:tcBorders>
              <w:top w:val="single" w:color="000000" w:sz="4" w:space="0"/>
              <w:left w:val="single" w:color="000000" w:sz="4" w:space="0"/>
              <w:bottom w:val="single" w:color="000000" w:sz="8" w:space="0"/>
              <w:right w:val="single" w:color="000000" w:sz="4" w:space="0"/>
            </w:tcBorders>
            <w:vAlign w:val="center"/>
          </w:tcPr>
          <w:p w14:paraId="42AA08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965" w:type="dxa"/>
            <w:tcBorders>
              <w:top w:val="single" w:color="000000" w:sz="4" w:space="0"/>
              <w:left w:val="single" w:color="000000" w:sz="4" w:space="0"/>
              <w:bottom w:val="single" w:color="000000" w:sz="8" w:space="0"/>
              <w:right w:val="single" w:color="000000" w:sz="4" w:space="0"/>
            </w:tcBorders>
            <w:vAlign w:val="center"/>
          </w:tcPr>
          <w:p w14:paraId="10086E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上海松江</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E75C247">
            <w:pPr>
              <w:rPr>
                <w:rFonts w:hint="eastAsia" w:ascii="宋体" w:hAnsi="宋体" w:cs="宋体"/>
                <w:color w:val="auto"/>
                <w:sz w:val="24"/>
                <w:highlight w:val="none"/>
              </w:rPr>
            </w:pPr>
          </w:p>
        </w:tc>
      </w:tr>
      <w:tr w14:paraId="6AEC308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1735BBA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19</w:t>
            </w:r>
          </w:p>
        </w:tc>
        <w:tc>
          <w:tcPr>
            <w:tcW w:w="2205" w:type="dxa"/>
            <w:tcBorders>
              <w:top w:val="single" w:color="000000" w:sz="4" w:space="0"/>
              <w:left w:val="single" w:color="000000" w:sz="4" w:space="0"/>
              <w:bottom w:val="single" w:color="000000" w:sz="4" w:space="0"/>
              <w:right w:val="single" w:color="000000" w:sz="4" w:space="0"/>
            </w:tcBorders>
            <w:vAlign w:val="center"/>
          </w:tcPr>
          <w:p w14:paraId="036D8609">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洁净空调过滤器</w:t>
            </w:r>
          </w:p>
        </w:tc>
        <w:tc>
          <w:tcPr>
            <w:tcW w:w="2145" w:type="dxa"/>
            <w:tcBorders>
              <w:top w:val="single" w:color="000000" w:sz="4" w:space="0"/>
              <w:left w:val="single" w:color="000000" w:sz="4" w:space="0"/>
              <w:bottom w:val="single" w:color="000000" w:sz="8" w:space="0"/>
              <w:right w:val="single" w:color="000000" w:sz="4" w:space="0"/>
            </w:tcBorders>
            <w:vAlign w:val="center"/>
          </w:tcPr>
          <w:p w14:paraId="1BBBC4D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AAF</w:t>
            </w:r>
          </w:p>
        </w:tc>
        <w:tc>
          <w:tcPr>
            <w:tcW w:w="1845" w:type="dxa"/>
            <w:tcBorders>
              <w:top w:val="single" w:color="000000" w:sz="4" w:space="0"/>
              <w:left w:val="single" w:color="000000" w:sz="4" w:space="0"/>
              <w:bottom w:val="single" w:color="000000" w:sz="8" w:space="0"/>
              <w:right w:val="single" w:color="000000" w:sz="4" w:space="0"/>
            </w:tcBorders>
            <w:vAlign w:val="center"/>
          </w:tcPr>
          <w:p w14:paraId="0D7C119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康斐尔</w:t>
            </w:r>
          </w:p>
        </w:tc>
        <w:tc>
          <w:tcPr>
            <w:tcW w:w="1965" w:type="dxa"/>
            <w:tcBorders>
              <w:top w:val="single" w:color="000000" w:sz="4" w:space="0"/>
              <w:left w:val="single" w:color="000000" w:sz="4" w:space="0"/>
              <w:bottom w:val="single" w:color="000000" w:sz="8" w:space="0"/>
              <w:right w:val="single" w:color="000000" w:sz="4" w:space="0"/>
            </w:tcBorders>
            <w:vAlign w:val="center"/>
          </w:tcPr>
          <w:p w14:paraId="6BBC071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剑桥</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276864B5">
            <w:pPr>
              <w:rPr>
                <w:rFonts w:hint="eastAsia" w:ascii="宋体" w:hAnsi="宋体" w:cs="宋体"/>
                <w:color w:val="auto"/>
                <w:sz w:val="24"/>
                <w:highlight w:val="none"/>
              </w:rPr>
            </w:pPr>
          </w:p>
        </w:tc>
      </w:tr>
      <w:tr w14:paraId="741F60F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20E44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五</w:t>
            </w:r>
          </w:p>
        </w:tc>
        <w:tc>
          <w:tcPr>
            <w:tcW w:w="2205" w:type="dxa"/>
            <w:tcBorders>
              <w:top w:val="single" w:color="000000" w:sz="4" w:space="0"/>
              <w:left w:val="single" w:color="000000" w:sz="4" w:space="0"/>
              <w:bottom w:val="single" w:color="000000" w:sz="4" w:space="0"/>
              <w:right w:val="single" w:color="000000" w:sz="4" w:space="0"/>
            </w:tcBorders>
            <w:vAlign w:val="center"/>
          </w:tcPr>
          <w:p w14:paraId="785633C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实验操作台柜部分</w:t>
            </w:r>
          </w:p>
        </w:tc>
        <w:tc>
          <w:tcPr>
            <w:tcW w:w="2145" w:type="dxa"/>
            <w:tcBorders>
              <w:top w:val="single" w:color="000000" w:sz="4" w:space="0"/>
              <w:left w:val="single" w:color="000000" w:sz="4" w:space="0"/>
              <w:bottom w:val="single" w:color="000000" w:sz="8" w:space="0"/>
              <w:right w:val="single" w:color="000000" w:sz="4" w:space="0"/>
            </w:tcBorders>
            <w:vAlign w:val="center"/>
          </w:tcPr>
          <w:p w14:paraId="1E0DB0A4">
            <w:pPr>
              <w:jc w:val="center"/>
              <w:rPr>
                <w:rFonts w:hint="eastAsia" w:ascii="宋体" w:hAnsi="宋体" w:cs="宋体"/>
                <w:color w:val="auto"/>
                <w:sz w:val="24"/>
                <w:highlight w:val="none"/>
              </w:rPr>
            </w:pPr>
          </w:p>
        </w:tc>
        <w:tc>
          <w:tcPr>
            <w:tcW w:w="1845" w:type="dxa"/>
            <w:tcBorders>
              <w:top w:val="single" w:color="000000" w:sz="4" w:space="0"/>
              <w:left w:val="single" w:color="000000" w:sz="4" w:space="0"/>
              <w:bottom w:val="single" w:color="000000" w:sz="8" w:space="0"/>
              <w:right w:val="single" w:color="000000" w:sz="4" w:space="0"/>
            </w:tcBorders>
            <w:vAlign w:val="center"/>
          </w:tcPr>
          <w:p w14:paraId="0E3E4F7C">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077BFB9A">
            <w:pPr>
              <w:jc w:val="center"/>
              <w:rPr>
                <w:rFonts w:hint="eastAsia" w:ascii="宋体" w:hAnsi="宋体" w:cs="宋体"/>
                <w:color w:val="auto"/>
                <w:sz w:val="24"/>
                <w:highlight w:val="none"/>
              </w:rPr>
            </w:pP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3A6FF539">
            <w:pPr>
              <w:rPr>
                <w:rFonts w:hint="eastAsia" w:ascii="宋体" w:hAnsi="宋体" w:cs="宋体"/>
                <w:color w:val="auto"/>
                <w:sz w:val="24"/>
                <w:highlight w:val="none"/>
              </w:rPr>
            </w:pPr>
          </w:p>
        </w:tc>
      </w:tr>
      <w:tr w14:paraId="2F24A75C">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2D8256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6920688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紧急冲淋器、洗眼器</w:t>
            </w:r>
          </w:p>
        </w:tc>
        <w:tc>
          <w:tcPr>
            <w:tcW w:w="2145" w:type="dxa"/>
            <w:tcBorders>
              <w:top w:val="single" w:color="000000" w:sz="4" w:space="0"/>
              <w:left w:val="single" w:color="000000" w:sz="4" w:space="0"/>
              <w:bottom w:val="single" w:color="000000" w:sz="8" w:space="0"/>
              <w:right w:val="single" w:color="000000" w:sz="4" w:space="0"/>
            </w:tcBorders>
            <w:vAlign w:val="center"/>
          </w:tcPr>
          <w:p w14:paraId="1B575A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845" w:type="dxa"/>
            <w:tcBorders>
              <w:top w:val="single" w:color="000000" w:sz="4" w:space="0"/>
              <w:left w:val="single" w:color="000000" w:sz="4" w:space="0"/>
              <w:bottom w:val="single" w:color="000000" w:sz="8" w:space="0"/>
              <w:right w:val="single" w:color="000000" w:sz="4" w:space="0"/>
            </w:tcBorders>
            <w:vAlign w:val="center"/>
          </w:tcPr>
          <w:p w14:paraId="014782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965" w:type="dxa"/>
            <w:tcBorders>
              <w:top w:val="single" w:color="000000" w:sz="4" w:space="0"/>
              <w:left w:val="single" w:color="000000" w:sz="4" w:space="0"/>
              <w:bottom w:val="single" w:color="000000" w:sz="8" w:space="0"/>
              <w:right w:val="single" w:color="000000" w:sz="4" w:space="0"/>
            </w:tcBorders>
            <w:vAlign w:val="center"/>
          </w:tcPr>
          <w:p w14:paraId="2F5C906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D1D1112">
            <w:pPr>
              <w:rPr>
                <w:rFonts w:hint="eastAsia" w:ascii="宋体" w:hAnsi="宋体" w:cs="宋体"/>
                <w:color w:val="auto"/>
                <w:sz w:val="24"/>
                <w:highlight w:val="none"/>
              </w:rPr>
            </w:pPr>
          </w:p>
        </w:tc>
      </w:tr>
      <w:tr w14:paraId="27D7FC32">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C353F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11BF3C5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三联水龙头、水槽</w:t>
            </w:r>
          </w:p>
        </w:tc>
        <w:tc>
          <w:tcPr>
            <w:tcW w:w="2145" w:type="dxa"/>
            <w:tcBorders>
              <w:top w:val="single" w:color="000000" w:sz="4" w:space="0"/>
              <w:left w:val="single" w:color="000000" w:sz="4" w:space="0"/>
              <w:bottom w:val="single" w:color="000000" w:sz="8" w:space="0"/>
              <w:right w:val="single" w:color="000000" w:sz="4" w:space="0"/>
            </w:tcBorders>
            <w:vAlign w:val="center"/>
          </w:tcPr>
          <w:p w14:paraId="707A49B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845" w:type="dxa"/>
            <w:tcBorders>
              <w:top w:val="single" w:color="000000" w:sz="4" w:space="0"/>
              <w:left w:val="single" w:color="000000" w:sz="4" w:space="0"/>
              <w:bottom w:val="single" w:color="000000" w:sz="8" w:space="0"/>
              <w:right w:val="single" w:color="000000" w:sz="4" w:space="0"/>
            </w:tcBorders>
            <w:vAlign w:val="center"/>
          </w:tcPr>
          <w:p w14:paraId="1E6B59A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965" w:type="dxa"/>
            <w:tcBorders>
              <w:top w:val="single" w:color="000000" w:sz="4" w:space="0"/>
              <w:left w:val="single" w:color="000000" w:sz="4" w:space="0"/>
              <w:bottom w:val="single" w:color="000000" w:sz="8" w:space="0"/>
              <w:right w:val="single" w:color="000000" w:sz="4" w:space="0"/>
            </w:tcBorders>
            <w:vAlign w:val="center"/>
          </w:tcPr>
          <w:p w14:paraId="175AF4E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1772BD61">
            <w:pPr>
              <w:rPr>
                <w:rFonts w:hint="eastAsia" w:ascii="宋体" w:hAnsi="宋体" w:cs="宋体"/>
                <w:color w:val="auto"/>
                <w:sz w:val="24"/>
                <w:highlight w:val="none"/>
              </w:rPr>
            </w:pPr>
          </w:p>
        </w:tc>
      </w:tr>
      <w:tr w14:paraId="5F682359">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23F2C8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33FD1BC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实验台台面板</w:t>
            </w:r>
          </w:p>
        </w:tc>
        <w:tc>
          <w:tcPr>
            <w:tcW w:w="2145" w:type="dxa"/>
            <w:tcBorders>
              <w:top w:val="single" w:color="000000" w:sz="4" w:space="0"/>
              <w:left w:val="single" w:color="000000" w:sz="4" w:space="0"/>
              <w:bottom w:val="single" w:color="000000" w:sz="4" w:space="0"/>
              <w:right w:val="single" w:color="000000" w:sz="4" w:space="0"/>
            </w:tcBorders>
            <w:vAlign w:val="center"/>
          </w:tcPr>
          <w:p w14:paraId="101EAD0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上海威盛亚</w:t>
            </w:r>
          </w:p>
        </w:tc>
        <w:tc>
          <w:tcPr>
            <w:tcW w:w="1845" w:type="dxa"/>
            <w:tcBorders>
              <w:top w:val="single" w:color="000000" w:sz="4" w:space="0"/>
              <w:left w:val="single" w:color="000000" w:sz="4" w:space="0"/>
              <w:bottom w:val="single" w:color="000000" w:sz="4" w:space="0"/>
              <w:right w:val="single" w:color="000000" w:sz="4" w:space="0"/>
            </w:tcBorders>
            <w:vAlign w:val="center"/>
          </w:tcPr>
          <w:p w14:paraId="03DFDC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优盛美</w:t>
            </w:r>
          </w:p>
        </w:tc>
        <w:tc>
          <w:tcPr>
            <w:tcW w:w="1965" w:type="dxa"/>
            <w:tcBorders>
              <w:top w:val="single" w:color="000000" w:sz="4" w:space="0"/>
              <w:left w:val="single" w:color="000000" w:sz="4" w:space="0"/>
              <w:bottom w:val="single" w:color="000000" w:sz="4" w:space="0"/>
              <w:right w:val="single" w:color="000000" w:sz="4" w:space="0"/>
            </w:tcBorders>
            <w:vAlign w:val="center"/>
          </w:tcPr>
          <w:p w14:paraId="3E266B5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佰抗</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62F15574">
            <w:pPr>
              <w:rPr>
                <w:rFonts w:hint="eastAsia" w:ascii="宋体" w:hAnsi="宋体" w:cs="宋体"/>
                <w:color w:val="auto"/>
                <w:sz w:val="24"/>
                <w:highlight w:val="none"/>
              </w:rPr>
            </w:pPr>
          </w:p>
        </w:tc>
      </w:tr>
      <w:tr w14:paraId="6B206D7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920EFD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五</w:t>
            </w:r>
          </w:p>
        </w:tc>
        <w:tc>
          <w:tcPr>
            <w:tcW w:w="2205" w:type="dxa"/>
            <w:tcBorders>
              <w:top w:val="single" w:color="000000" w:sz="4" w:space="0"/>
              <w:left w:val="single" w:color="000000" w:sz="4" w:space="0"/>
              <w:bottom w:val="single" w:color="000000" w:sz="4" w:space="0"/>
              <w:right w:val="single" w:color="000000" w:sz="4" w:space="0"/>
            </w:tcBorders>
            <w:vAlign w:val="center"/>
          </w:tcPr>
          <w:p w14:paraId="3F9EC5A8">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自控系统</w:t>
            </w:r>
          </w:p>
        </w:tc>
        <w:tc>
          <w:tcPr>
            <w:tcW w:w="2145" w:type="dxa"/>
            <w:tcBorders>
              <w:top w:val="single" w:color="000000" w:sz="4" w:space="0"/>
              <w:left w:val="single" w:color="000000" w:sz="4" w:space="0"/>
              <w:bottom w:val="single" w:color="000000" w:sz="4" w:space="0"/>
              <w:right w:val="single" w:color="000000" w:sz="4" w:space="0"/>
            </w:tcBorders>
            <w:vAlign w:val="center"/>
          </w:tcPr>
          <w:p w14:paraId="491185BD">
            <w:pPr>
              <w:widowControl/>
              <w:jc w:val="center"/>
              <w:textAlignment w:val="center"/>
              <w:rPr>
                <w:rFonts w:hint="eastAsia" w:ascii="宋体" w:hAnsi="宋体" w:cs="宋体"/>
                <w:color w:val="auto"/>
                <w:kern w:val="0"/>
                <w:sz w:val="24"/>
                <w:highlight w:val="none"/>
                <w:lang w:bidi="ar"/>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04476FB">
            <w:pPr>
              <w:widowControl/>
              <w:jc w:val="center"/>
              <w:textAlignment w:val="center"/>
              <w:rPr>
                <w:rFonts w:hint="eastAsia" w:ascii="宋体" w:hAnsi="宋体" w:cs="宋体"/>
                <w:color w:val="auto"/>
                <w:kern w:val="0"/>
                <w:sz w:val="24"/>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1D95546D">
            <w:pPr>
              <w:widowControl/>
              <w:jc w:val="center"/>
              <w:textAlignment w:val="center"/>
              <w:rPr>
                <w:rFonts w:hint="eastAsia" w:ascii="宋体" w:hAnsi="宋体" w:cs="宋体"/>
                <w:color w:val="auto"/>
                <w:kern w:val="0"/>
                <w:sz w:val="24"/>
                <w:highlight w:val="none"/>
                <w:lang w:bidi="ar"/>
              </w:rPr>
            </w:pP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4D499E4">
            <w:pPr>
              <w:rPr>
                <w:rFonts w:hint="eastAsia" w:ascii="宋体" w:hAnsi="宋体" w:cs="宋体"/>
                <w:color w:val="auto"/>
                <w:sz w:val="24"/>
                <w:highlight w:val="none"/>
              </w:rPr>
            </w:pPr>
          </w:p>
        </w:tc>
      </w:tr>
      <w:tr w14:paraId="5BB14EA3">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5614131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205" w:type="dxa"/>
            <w:tcBorders>
              <w:top w:val="single" w:color="000000" w:sz="4" w:space="0"/>
              <w:left w:val="single" w:color="000000" w:sz="4" w:space="0"/>
              <w:bottom w:val="single" w:color="000000" w:sz="4" w:space="0"/>
              <w:right w:val="single" w:color="000000" w:sz="4" w:space="0"/>
            </w:tcBorders>
            <w:vAlign w:val="center"/>
          </w:tcPr>
          <w:p w14:paraId="5B2D67A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PLC</w:t>
            </w:r>
          </w:p>
        </w:tc>
        <w:tc>
          <w:tcPr>
            <w:tcW w:w="2145" w:type="dxa"/>
            <w:tcBorders>
              <w:top w:val="single" w:color="000000" w:sz="4" w:space="0"/>
              <w:left w:val="single" w:color="000000" w:sz="4" w:space="0"/>
              <w:bottom w:val="single" w:color="000000" w:sz="4" w:space="0"/>
              <w:right w:val="single" w:color="000000" w:sz="4" w:space="0"/>
            </w:tcBorders>
            <w:vAlign w:val="center"/>
          </w:tcPr>
          <w:p w14:paraId="77EDFC4E">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color w:val="auto"/>
                <w:sz w:val="24"/>
                <w:highlight w:val="none"/>
              </w:rPr>
              <w:t>西门子</w:t>
            </w:r>
          </w:p>
        </w:tc>
        <w:tc>
          <w:tcPr>
            <w:tcW w:w="1845" w:type="dxa"/>
            <w:tcBorders>
              <w:top w:val="single" w:color="000000" w:sz="4" w:space="0"/>
              <w:left w:val="single" w:color="000000" w:sz="4" w:space="0"/>
              <w:bottom w:val="single" w:color="000000" w:sz="4" w:space="0"/>
              <w:right w:val="single" w:color="000000" w:sz="4" w:space="0"/>
            </w:tcBorders>
            <w:vAlign w:val="center"/>
          </w:tcPr>
          <w:p w14:paraId="7FF5349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965" w:type="dxa"/>
            <w:tcBorders>
              <w:top w:val="single" w:color="000000" w:sz="4" w:space="0"/>
              <w:left w:val="single" w:color="000000" w:sz="4" w:space="0"/>
              <w:bottom w:val="single" w:color="000000" w:sz="4" w:space="0"/>
              <w:right w:val="single" w:color="000000" w:sz="4" w:space="0"/>
            </w:tcBorders>
            <w:vAlign w:val="center"/>
          </w:tcPr>
          <w:p w14:paraId="7CEF999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ABB</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EE3FEC4">
            <w:pPr>
              <w:rPr>
                <w:rFonts w:hint="eastAsia" w:ascii="宋体" w:hAnsi="宋体" w:cs="宋体"/>
                <w:color w:val="auto"/>
                <w:sz w:val="24"/>
                <w:highlight w:val="none"/>
              </w:rPr>
            </w:pPr>
          </w:p>
        </w:tc>
      </w:tr>
      <w:tr w14:paraId="04A5A1FD">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3C22AE37">
            <w:pPr>
              <w:widowControl/>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2205" w:type="dxa"/>
            <w:tcBorders>
              <w:top w:val="single" w:color="000000" w:sz="4" w:space="0"/>
              <w:left w:val="single" w:color="000000" w:sz="4" w:space="0"/>
              <w:bottom w:val="single" w:color="000000" w:sz="4" w:space="0"/>
              <w:right w:val="single" w:color="000000" w:sz="4" w:space="0"/>
            </w:tcBorders>
            <w:vAlign w:val="center"/>
          </w:tcPr>
          <w:p w14:paraId="1982362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触摸屏</w:t>
            </w:r>
          </w:p>
        </w:tc>
        <w:tc>
          <w:tcPr>
            <w:tcW w:w="2145" w:type="dxa"/>
            <w:tcBorders>
              <w:top w:val="single" w:color="000000" w:sz="4" w:space="0"/>
              <w:left w:val="single" w:color="000000" w:sz="4" w:space="0"/>
              <w:bottom w:val="single" w:color="000000" w:sz="4" w:space="0"/>
              <w:right w:val="single" w:color="000000" w:sz="4" w:space="0"/>
            </w:tcBorders>
            <w:vAlign w:val="center"/>
          </w:tcPr>
          <w:p w14:paraId="3363EBD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845" w:type="dxa"/>
            <w:tcBorders>
              <w:top w:val="single" w:color="000000" w:sz="4" w:space="0"/>
              <w:left w:val="single" w:color="000000" w:sz="4" w:space="0"/>
              <w:bottom w:val="single" w:color="000000" w:sz="4" w:space="0"/>
              <w:right w:val="single" w:color="000000" w:sz="4" w:space="0"/>
            </w:tcBorders>
            <w:vAlign w:val="center"/>
          </w:tcPr>
          <w:p w14:paraId="1B5AFB4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965" w:type="dxa"/>
            <w:tcBorders>
              <w:top w:val="single" w:color="000000" w:sz="4" w:space="0"/>
              <w:left w:val="single" w:color="000000" w:sz="4" w:space="0"/>
              <w:bottom w:val="single" w:color="000000" w:sz="4" w:space="0"/>
              <w:right w:val="single" w:color="000000" w:sz="4" w:space="0"/>
            </w:tcBorders>
            <w:vAlign w:val="center"/>
          </w:tcPr>
          <w:p w14:paraId="0C67D0A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05BB7C8B">
            <w:pPr>
              <w:rPr>
                <w:rFonts w:hint="eastAsia" w:ascii="宋体" w:hAnsi="宋体" w:cs="宋体"/>
                <w:color w:val="auto"/>
                <w:sz w:val="24"/>
                <w:highlight w:val="none"/>
              </w:rPr>
            </w:pPr>
          </w:p>
        </w:tc>
      </w:tr>
      <w:tr w14:paraId="06227875">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614410F1">
            <w:pPr>
              <w:widowControl/>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2205" w:type="dxa"/>
            <w:tcBorders>
              <w:top w:val="single" w:color="000000" w:sz="4" w:space="0"/>
              <w:left w:val="single" w:color="000000" w:sz="4" w:space="0"/>
              <w:bottom w:val="single" w:color="000000" w:sz="4" w:space="0"/>
              <w:right w:val="single" w:color="000000" w:sz="4" w:space="0"/>
            </w:tcBorders>
            <w:vAlign w:val="center"/>
          </w:tcPr>
          <w:p w14:paraId="0B4AE9EF">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组态软件</w:t>
            </w:r>
          </w:p>
        </w:tc>
        <w:tc>
          <w:tcPr>
            <w:tcW w:w="2145" w:type="dxa"/>
            <w:tcBorders>
              <w:top w:val="single" w:color="000000" w:sz="4" w:space="0"/>
              <w:left w:val="single" w:color="000000" w:sz="4" w:space="0"/>
              <w:bottom w:val="single" w:color="000000" w:sz="4" w:space="0"/>
              <w:right w:val="single" w:color="000000" w:sz="4" w:space="0"/>
            </w:tcBorders>
            <w:vAlign w:val="center"/>
          </w:tcPr>
          <w:p w14:paraId="53FD3D6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845" w:type="dxa"/>
            <w:tcBorders>
              <w:top w:val="single" w:color="000000" w:sz="4" w:space="0"/>
              <w:left w:val="single" w:color="000000" w:sz="4" w:space="0"/>
              <w:bottom w:val="single" w:color="000000" w:sz="4" w:space="0"/>
              <w:right w:val="single" w:color="000000" w:sz="4" w:space="0"/>
            </w:tcBorders>
            <w:vAlign w:val="center"/>
          </w:tcPr>
          <w:p w14:paraId="35289DF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965" w:type="dxa"/>
            <w:tcBorders>
              <w:top w:val="single" w:color="000000" w:sz="4" w:space="0"/>
              <w:left w:val="single" w:color="000000" w:sz="4" w:space="0"/>
              <w:bottom w:val="single" w:color="000000" w:sz="4" w:space="0"/>
              <w:right w:val="single" w:color="000000" w:sz="4" w:space="0"/>
            </w:tcBorders>
            <w:vAlign w:val="center"/>
          </w:tcPr>
          <w:p w14:paraId="7241AE0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5CBE2872">
            <w:pPr>
              <w:rPr>
                <w:rFonts w:hint="eastAsia" w:ascii="宋体" w:hAnsi="宋体" w:cs="宋体"/>
                <w:color w:val="auto"/>
                <w:sz w:val="24"/>
                <w:highlight w:val="none"/>
              </w:rPr>
            </w:pPr>
          </w:p>
        </w:tc>
      </w:tr>
      <w:tr w14:paraId="3EACAAE0">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7373C837">
            <w:pPr>
              <w:widowControl/>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2205" w:type="dxa"/>
            <w:tcBorders>
              <w:top w:val="single" w:color="000000" w:sz="4" w:space="0"/>
              <w:left w:val="single" w:color="000000" w:sz="4" w:space="0"/>
              <w:bottom w:val="single" w:color="000000" w:sz="4" w:space="0"/>
              <w:right w:val="single" w:color="000000" w:sz="4" w:space="0"/>
            </w:tcBorders>
            <w:vAlign w:val="center"/>
          </w:tcPr>
          <w:p w14:paraId="3BD4CA29">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温湿度传感器</w:t>
            </w:r>
          </w:p>
        </w:tc>
        <w:tc>
          <w:tcPr>
            <w:tcW w:w="2145" w:type="dxa"/>
            <w:tcBorders>
              <w:top w:val="single" w:color="000000" w:sz="4" w:space="0"/>
              <w:left w:val="single" w:color="000000" w:sz="4" w:space="0"/>
              <w:bottom w:val="single" w:color="000000" w:sz="4" w:space="0"/>
              <w:right w:val="single" w:color="000000" w:sz="4" w:space="0"/>
            </w:tcBorders>
            <w:vAlign w:val="center"/>
          </w:tcPr>
          <w:p w14:paraId="6D5C5B3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845" w:type="dxa"/>
            <w:tcBorders>
              <w:top w:val="single" w:color="000000" w:sz="4" w:space="0"/>
              <w:left w:val="single" w:color="000000" w:sz="4" w:space="0"/>
              <w:bottom w:val="single" w:color="000000" w:sz="4" w:space="0"/>
              <w:right w:val="single" w:color="000000" w:sz="4" w:space="0"/>
            </w:tcBorders>
            <w:vAlign w:val="center"/>
          </w:tcPr>
          <w:p w14:paraId="0B23278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E+E</w:t>
            </w:r>
          </w:p>
        </w:tc>
        <w:tc>
          <w:tcPr>
            <w:tcW w:w="1965" w:type="dxa"/>
            <w:tcBorders>
              <w:top w:val="single" w:color="000000" w:sz="4" w:space="0"/>
              <w:left w:val="single" w:color="000000" w:sz="4" w:space="0"/>
              <w:bottom w:val="single" w:color="000000" w:sz="4" w:space="0"/>
              <w:right w:val="single" w:color="000000" w:sz="4" w:space="0"/>
            </w:tcBorders>
            <w:vAlign w:val="center"/>
          </w:tcPr>
          <w:p w14:paraId="5EB0B093">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霍尼维尔</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3B72D045">
            <w:pPr>
              <w:rPr>
                <w:rFonts w:hint="eastAsia" w:ascii="宋体" w:hAnsi="宋体" w:cs="宋体"/>
                <w:color w:val="auto"/>
                <w:sz w:val="24"/>
                <w:highlight w:val="none"/>
              </w:rPr>
            </w:pPr>
          </w:p>
        </w:tc>
      </w:tr>
      <w:tr w14:paraId="2E3EFB92">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01243BFB">
            <w:pPr>
              <w:widowControl/>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2205" w:type="dxa"/>
            <w:tcBorders>
              <w:top w:val="single" w:color="000000" w:sz="4" w:space="0"/>
              <w:left w:val="single" w:color="000000" w:sz="4" w:space="0"/>
              <w:bottom w:val="single" w:color="000000" w:sz="4" w:space="0"/>
              <w:right w:val="single" w:color="000000" w:sz="4" w:space="0"/>
            </w:tcBorders>
            <w:vAlign w:val="center"/>
          </w:tcPr>
          <w:p w14:paraId="661DAF2C">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压差传感器</w:t>
            </w:r>
          </w:p>
        </w:tc>
        <w:tc>
          <w:tcPr>
            <w:tcW w:w="2145" w:type="dxa"/>
            <w:tcBorders>
              <w:top w:val="single" w:color="000000" w:sz="4" w:space="0"/>
              <w:left w:val="single" w:color="000000" w:sz="4" w:space="0"/>
              <w:bottom w:val="single" w:color="000000" w:sz="4" w:space="0"/>
              <w:right w:val="single" w:color="000000" w:sz="4" w:space="0"/>
            </w:tcBorders>
            <w:vAlign w:val="center"/>
          </w:tcPr>
          <w:p w14:paraId="1BD6248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霍尼韦尔</w:t>
            </w:r>
          </w:p>
        </w:tc>
        <w:tc>
          <w:tcPr>
            <w:tcW w:w="1845" w:type="dxa"/>
            <w:tcBorders>
              <w:top w:val="single" w:color="000000" w:sz="4" w:space="0"/>
              <w:left w:val="single" w:color="000000" w:sz="4" w:space="0"/>
              <w:bottom w:val="single" w:color="000000" w:sz="4" w:space="0"/>
              <w:right w:val="single" w:color="000000" w:sz="4" w:space="0"/>
            </w:tcBorders>
            <w:vAlign w:val="center"/>
          </w:tcPr>
          <w:p w14:paraId="0143D91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965" w:type="dxa"/>
            <w:tcBorders>
              <w:top w:val="single" w:color="000000" w:sz="4" w:space="0"/>
              <w:left w:val="single" w:color="000000" w:sz="4" w:space="0"/>
              <w:bottom w:val="single" w:color="000000" w:sz="4" w:space="0"/>
              <w:right w:val="single" w:color="000000" w:sz="4" w:space="0"/>
            </w:tcBorders>
            <w:vAlign w:val="center"/>
          </w:tcPr>
          <w:p w14:paraId="22EBE182">
            <w:pPr>
              <w:widowControl/>
              <w:jc w:val="center"/>
              <w:textAlignment w:val="center"/>
              <w:rPr>
                <w:rFonts w:hint="eastAsia" w:ascii="宋体" w:hAnsi="宋体" w:cs="宋体"/>
                <w:color w:val="auto"/>
                <w:sz w:val="24"/>
                <w:highlight w:val="none"/>
              </w:rPr>
            </w:pPr>
            <w:r>
              <w:rPr>
                <w:rFonts w:ascii="宋体" w:hAnsi="宋体" w:cs="宋体"/>
                <w:color w:val="auto"/>
                <w:kern w:val="0"/>
                <w:sz w:val="24"/>
                <w:highlight w:val="none"/>
                <w:lang w:bidi="ar"/>
              </w:rPr>
              <w:t>WIKA</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4E36FAC3">
            <w:pPr>
              <w:rPr>
                <w:rFonts w:hint="eastAsia" w:ascii="宋体" w:hAnsi="宋体" w:cs="宋体"/>
                <w:color w:val="auto"/>
                <w:sz w:val="24"/>
                <w:highlight w:val="none"/>
              </w:rPr>
            </w:pPr>
          </w:p>
        </w:tc>
      </w:tr>
      <w:tr w14:paraId="5369DDC4">
        <w:tblPrEx>
          <w:tblCellMar>
            <w:top w:w="0" w:type="dxa"/>
            <w:left w:w="108" w:type="dxa"/>
            <w:bottom w:w="0" w:type="dxa"/>
            <w:right w:w="108" w:type="dxa"/>
          </w:tblCellMar>
        </w:tblPrEx>
        <w:trPr>
          <w:trHeight w:val="499" w:hRule="atLeast"/>
        </w:trPr>
        <w:tc>
          <w:tcPr>
            <w:tcW w:w="789" w:type="dxa"/>
            <w:tcBorders>
              <w:top w:val="single" w:color="000000" w:sz="4" w:space="0"/>
              <w:left w:val="single" w:color="000000" w:sz="8" w:space="0"/>
              <w:bottom w:val="single" w:color="000000" w:sz="4" w:space="0"/>
              <w:right w:val="single" w:color="000000" w:sz="4" w:space="0"/>
            </w:tcBorders>
            <w:vAlign w:val="center"/>
          </w:tcPr>
          <w:p w14:paraId="4145E169">
            <w:pPr>
              <w:widowControl/>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2205" w:type="dxa"/>
            <w:tcBorders>
              <w:top w:val="single" w:color="000000" w:sz="4" w:space="0"/>
              <w:left w:val="single" w:color="000000" w:sz="4" w:space="0"/>
              <w:bottom w:val="single" w:color="000000" w:sz="4" w:space="0"/>
              <w:right w:val="single" w:color="000000" w:sz="4" w:space="0"/>
            </w:tcBorders>
            <w:vAlign w:val="center"/>
          </w:tcPr>
          <w:p w14:paraId="30E55D06">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压差开关</w:t>
            </w:r>
          </w:p>
        </w:tc>
        <w:tc>
          <w:tcPr>
            <w:tcW w:w="2145" w:type="dxa"/>
            <w:tcBorders>
              <w:top w:val="single" w:color="000000" w:sz="4" w:space="0"/>
              <w:left w:val="single" w:color="000000" w:sz="4" w:space="0"/>
              <w:bottom w:val="single" w:color="000000" w:sz="4" w:space="0"/>
              <w:right w:val="single" w:color="000000" w:sz="4" w:space="0"/>
            </w:tcBorders>
            <w:vAlign w:val="center"/>
          </w:tcPr>
          <w:p w14:paraId="6A2E8DE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霍尼韦尔</w:t>
            </w:r>
          </w:p>
        </w:tc>
        <w:tc>
          <w:tcPr>
            <w:tcW w:w="1845" w:type="dxa"/>
            <w:tcBorders>
              <w:top w:val="single" w:color="000000" w:sz="4" w:space="0"/>
              <w:left w:val="single" w:color="000000" w:sz="4" w:space="0"/>
              <w:bottom w:val="single" w:color="000000" w:sz="4" w:space="0"/>
              <w:right w:val="single" w:color="000000" w:sz="4" w:space="0"/>
            </w:tcBorders>
            <w:vAlign w:val="center"/>
          </w:tcPr>
          <w:p w14:paraId="17062E1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965" w:type="dxa"/>
            <w:tcBorders>
              <w:top w:val="single" w:color="000000" w:sz="4" w:space="0"/>
              <w:left w:val="single" w:color="000000" w:sz="4" w:space="0"/>
              <w:bottom w:val="single" w:color="000000" w:sz="4" w:space="0"/>
              <w:right w:val="single" w:color="000000" w:sz="4" w:space="0"/>
            </w:tcBorders>
            <w:vAlign w:val="center"/>
          </w:tcPr>
          <w:p w14:paraId="6322B5B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德威尔</w:t>
            </w:r>
          </w:p>
        </w:tc>
        <w:tc>
          <w:tcPr>
            <w:tcW w:w="1414" w:type="dxa"/>
            <w:tcBorders>
              <w:top w:val="single" w:color="000000" w:sz="4" w:space="0"/>
              <w:left w:val="single" w:color="000000" w:sz="4" w:space="0"/>
              <w:bottom w:val="single" w:color="000000" w:sz="4" w:space="0"/>
              <w:right w:val="single" w:color="000000" w:sz="8" w:space="0"/>
            </w:tcBorders>
            <w:noWrap/>
            <w:vAlign w:val="center"/>
          </w:tcPr>
          <w:p w14:paraId="45A12DE1">
            <w:pPr>
              <w:rPr>
                <w:rFonts w:hint="eastAsia" w:ascii="宋体" w:hAnsi="宋体" w:cs="宋体"/>
                <w:color w:val="auto"/>
                <w:sz w:val="24"/>
                <w:highlight w:val="none"/>
              </w:rPr>
            </w:pPr>
          </w:p>
        </w:tc>
      </w:tr>
    </w:tbl>
    <w:p w14:paraId="066F399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备注：选用的品牌达到同等或以上要求。</w:t>
      </w:r>
    </w:p>
    <w:p w14:paraId="17803F2B">
      <w:pPr>
        <w:spacing w:before="62" w:beforeLines="20" w:after="62" w:afterLines="20" w:line="276" w:lineRule="auto"/>
        <w:jc w:val="left"/>
        <w:rPr>
          <w:rFonts w:ascii="Arial" w:hAnsi="Arial" w:cs="Arial"/>
          <w:b/>
          <w:color w:val="auto"/>
          <w:sz w:val="24"/>
          <w:highlight w:val="none"/>
        </w:rPr>
      </w:pPr>
    </w:p>
    <w:p w14:paraId="3BCF48C9">
      <w:pPr>
        <w:spacing w:line="400" w:lineRule="exact"/>
        <w:ind w:firstLine="420"/>
        <w:rPr>
          <w:rFonts w:hint="eastAsia" w:ascii="宋体" w:hAnsi="宋体" w:cs="宋体"/>
          <w:color w:val="auto"/>
          <w:szCs w:val="22"/>
          <w:highlight w:val="none"/>
        </w:rPr>
      </w:pPr>
    </w:p>
    <w:p w14:paraId="12F216B1">
      <w:pPr>
        <w:spacing w:line="360" w:lineRule="auto"/>
        <w:ind w:firstLine="420"/>
        <w:rPr>
          <w:rFonts w:hint="eastAsia" w:ascii="宋体" w:hAnsi="宋体" w:cs="宋体"/>
          <w:color w:val="auto"/>
          <w:highlight w:val="none"/>
        </w:rPr>
      </w:pPr>
    </w:p>
    <w:p w14:paraId="1BA175AD">
      <w:pPr>
        <w:spacing w:line="360" w:lineRule="auto"/>
        <w:ind w:firstLine="420"/>
        <w:rPr>
          <w:rFonts w:hint="eastAsia" w:ascii="宋体" w:hAnsi="宋体" w:cs="宋体"/>
          <w:color w:val="auto"/>
          <w:highlight w:val="none"/>
        </w:rPr>
      </w:pPr>
    </w:p>
    <w:p w14:paraId="4FCDFABA">
      <w:pPr>
        <w:spacing w:line="400" w:lineRule="exact"/>
        <w:ind w:firstLine="420"/>
        <w:rPr>
          <w:rFonts w:hint="eastAsia" w:ascii="宋体" w:hAnsi="宋体" w:cs="宋体"/>
          <w:color w:val="auto"/>
          <w:szCs w:val="22"/>
          <w:highlight w:val="none"/>
        </w:rPr>
      </w:pPr>
      <w:r>
        <w:rPr>
          <w:rFonts w:ascii="宋体" w:hAnsi="宋体" w:cs="宋体"/>
          <w:color w:val="auto"/>
          <w:szCs w:val="22"/>
          <w:highlight w:val="none"/>
        </w:rPr>
        <w:br w:type="page"/>
      </w:r>
    </w:p>
    <w:p w14:paraId="6B1F6630">
      <w:pPr>
        <w:spacing w:line="400" w:lineRule="exact"/>
        <w:ind w:firstLine="420"/>
        <w:rPr>
          <w:rFonts w:hint="eastAsia" w:ascii="宋体" w:hAnsi="宋体" w:cs="宋体"/>
          <w:color w:val="auto"/>
          <w:szCs w:val="22"/>
          <w:highlight w:val="none"/>
        </w:rPr>
      </w:pPr>
    </w:p>
    <w:p w14:paraId="52114CB3">
      <w:pPr>
        <w:spacing w:line="400" w:lineRule="exact"/>
        <w:ind w:firstLine="420"/>
        <w:rPr>
          <w:rFonts w:hint="eastAsia" w:ascii="宋体" w:hAnsi="宋体" w:cs="宋体"/>
          <w:color w:val="auto"/>
          <w:highlight w:val="none"/>
        </w:rPr>
      </w:pPr>
    </w:p>
    <w:p w14:paraId="22DAC0A6">
      <w:pPr>
        <w:spacing w:line="400" w:lineRule="exact"/>
        <w:ind w:firstLine="420"/>
        <w:rPr>
          <w:rFonts w:hint="eastAsia" w:ascii="宋体" w:hAnsi="宋体" w:cs="宋体"/>
          <w:color w:val="auto"/>
          <w:highlight w:val="none"/>
        </w:rPr>
      </w:pPr>
      <w:bookmarkStart w:id="582" w:name="_Toc15557"/>
      <w:bookmarkStart w:id="583" w:name="_Toc247514244"/>
      <w:bookmarkStart w:id="584" w:name="_Toc247527825"/>
      <w:bookmarkStart w:id="585" w:name="_Toc152045786"/>
      <w:bookmarkStart w:id="586" w:name="_Toc144974855"/>
      <w:bookmarkStart w:id="587" w:name="_Toc152042575"/>
    </w:p>
    <w:p w14:paraId="08CDEE49">
      <w:pPr>
        <w:pStyle w:val="3"/>
        <w:rPr>
          <w:color w:val="auto"/>
          <w:highlight w:val="none"/>
        </w:rPr>
      </w:pPr>
      <w:bookmarkStart w:id="588" w:name="_Toc134304594"/>
      <w:r>
        <w:rPr>
          <w:rFonts w:hint="eastAsia"/>
          <w:color w:val="auto"/>
          <w:highlight w:val="none"/>
        </w:rPr>
        <w:t>第三卷</w:t>
      </w:r>
      <w:bookmarkEnd w:id="588"/>
    </w:p>
    <w:p w14:paraId="02A16D11">
      <w:pPr>
        <w:spacing w:line="400" w:lineRule="exact"/>
        <w:ind w:firstLine="420"/>
        <w:rPr>
          <w:rFonts w:hint="eastAsia" w:ascii="宋体" w:hAnsi="宋体" w:cs="宋体"/>
          <w:color w:val="auto"/>
          <w:highlight w:val="none"/>
        </w:rPr>
      </w:pPr>
    </w:p>
    <w:p w14:paraId="5960FDBB">
      <w:pPr>
        <w:spacing w:line="400" w:lineRule="exact"/>
        <w:ind w:firstLine="420"/>
        <w:rPr>
          <w:rFonts w:hint="eastAsia" w:ascii="宋体" w:hAnsi="宋体" w:cs="宋体"/>
          <w:color w:val="auto"/>
          <w:highlight w:val="none"/>
        </w:rPr>
      </w:pPr>
    </w:p>
    <w:bookmarkEnd w:id="582"/>
    <w:bookmarkEnd w:id="583"/>
    <w:bookmarkEnd w:id="584"/>
    <w:p w14:paraId="18956CF2">
      <w:pPr>
        <w:spacing w:line="400" w:lineRule="exact"/>
        <w:ind w:firstLine="420"/>
        <w:rPr>
          <w:rFonts w:hint="eastAsia" w:ascii="宋体" w:hAnsi="宋体" w:cs="宋体"/>
          <w:color w:val="auto"/>
          <w:highlight w:val="none"/>
        </w:rPr>
      </w:pPr>
      <w:r>
        <w:rPr>
          <w:rFonts w:hint="eastAsia" w:ascii="宋体" w:hAnsi="宋体" w:cs="宋体"/>
          <w:b/>
          <w:bCs/>
          <w:color w:val="auto"/>
          <w:sz w:val="32"/>
          <w:highlight w:val="none"/>
        </w:rPr>
        <w:br w:type="page"/>
      </w:r>
      <w:bookmarkStart w:id="589" w:name="_Toc247527826"/>
      <w:bookmarkStart w:id="590" w:name="_Toc247514245"/>
      <w:bookmarkStart w:id="591" w:name="_Toc19881"/>
    </w:p>
    <w:p w14:paraId="08DD2D35">
      <w:pPr>
        <w:spacing w:line="400" w:lineRule="exact"/>
        <w:ind w:firstLine="420"/>
        <w:rPr>
          <w:rFonts w:hint="eastAsia" w:ascii="宋体" w:hAnsi="宋体" w:cs="宋体"/>
          <w:color w:val="auto"/>
          <w:highlight w:val="none"/>
        </w:rPr>
      </w:pPr>
    </w:p>
    <w:p w14:paraId="4AEBA7A7">
      <w:pPr>
        <w:spacing w:line="400" w:lineRule="exact"/>
        <w:ind w:firstLine="420"/>
        <w:rPr>
          <w:rFonts w:hint="eastAsia" w:ascii="宋体" w:hAnsi="宋体" w:cs="宋体"/>
          <w:color w:val="auto"/>
          <w:highlight w:val="none"/>
        </w:rPr>
      </w:pPr>
    </w:p>
    <w:p w14:paraId="55BA595C">
      <w:pPr>
        <w:spacing w:line="400" w:lineRule="exact"/>
        <w:ind w:firstLine="420"/>
        <w:rPr>
          <w:rFonts w:hint="eastAsia" w:ascii="宋体" w:hAnsi="宋体" w:cs="宋体"/>
          <w:color w:val="auto"/>
          <w:highlight w:val="none"/>
        </w:rPr>
      </w:pPr>
    </w:p>
    <w:p w14:paraId="5AF6410B">
      <w:pPr>
        <w:pStyle w:val="3"/>
        <w:rPr>
          <w:color w:val="auto"/>
          <w:highlight w:val="none"/>
        </w:rPr>
      </w:pPr>
      <w:bookmarkStart w:id="592" w:name="_Toc134304595"/>
      <w:r>
        <w:rPr>
          <w:rFonts w:hint="eastAsia"/>
          <w:color w:val="auto"/>
          <w:highlight w:val="none"/>
        </w:rPr>
        <w:t>第七章 投标文件格式</w:t>
      </w:r>
      <w:bookmarkEnd w:id="585"/>
      <w:bookmarkEnd w:id="586"/>
      <w:bookmarkEnd w:id="587"/>
      <w:bookmarkEnd w:id="589"/>
      <w:bookmarkEnd w:id="590"/>
      <w:bookmarkEnd w:id="591"/>
      <w:bookmarkEnd w:id="592"/>
    </w:p>
    <w:p w14:paraId="6C40FB39">
      <w:pPr>
        <w:spacing w:line="400" w:lineRule="exact"/>
        <w:ind w:firstLine="420"/>
        <w:rPr>
          <w:rFonts w:hint="eastAsia" w:ascii="宋体" w:hAnsi="宋体" w:cs="宋体"/>
          <w:color w:val="auto"/>
          <w:highlight w:val="none"/>
        </w:rPr>
      </w:pPr>
    </w:p>
    <w:p w14:paraId="27105380">
      <w:pPr>
        <w:spacing w:line="400" w:lineRule="exact"/>
        <w:ind w:firstLine="420"/>
        <w:rPr>
          <w:rFonts w:hint="eastAsia" w:ascii="宋体" w:hAnsi="宋体" w:cs="宋体"/>
          <w:color w:val="auto"/>
          <w:highlight w:val="none"/>
        </w:rPr>
      </w:pPr>
    </w:p>
    <w:p w14:paraId="6866C983">
      <w:pPr>
        <w:spacing w:line="400" w:lineRule="exact"/>
        <w:ind w:firstLine="420"/>
        <w:rPr>
          <w:rFonts w:hint="eastAsia" w:ascii="宋体" w:hAnsi="宋体" w:cs="宋体"/>
          <w:color w:val="auto"/>
          <w:highlight w:val="none"/>
        </w:rPr>
      </w:pPr>
    </w:p>
    <w:p w14:paraId="5EB07A89">
      <w:pPr>
        <w:spacing w:line="400" w:lineRule="exact"/>
        <w:ind w:firstLine="420"/>
        <w:rPr>
          <w:rFonts w:hint="eastAsia" w:ascii="宋体" w:hAnsi="宋体" w:cs="宋体"/>
          <w:color w:val="auto"/>
          <w:highlight w:val="none"/>
        </w:rPr>
      </w:pPr>
    </w:p>
    <w:p w14:paraId="46FB7A8E">
      <w:pPr>
        <w:spacing w:line="400" w:lineRule="exact"/>
        <w:ind w:firstLine="420"/>
        <w:rPr>
          <w:rFonts w:hint="eastAsia" w:ascii="宋体" w:hAnsi="宋体" w:cs="宋体"/>
          <w:color w:val="auto"/>
          <w:highlight w:val="none"/>
        </w:rPr>
      </w:pPr>
    </w:p>
    <w:p w14:paraId="5BD6397D">
      <w:pPr>
        <w:spacing w:line="400" w:lineRule="exact"/>
        <w:ind w:firstLine="420"/>
        <w:rPr>
          <w:rFonts w:hint="eastAsia" w:ascii="宋体" w:hAnsi="宋体" w:cs="宋体"/>
          <w:color w:val="auto"/>
          <w:highlight w:val="none"/>
        </w:rPr>
      </w:pPr>
    </w:p>
    <w:p w14:paraId="22C5B6CF">
      <w:pPr>
        <w:spacing w:line="360" w:lineRule="auto"/>
        <w:outlineLvl w:val="1"/>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593" w:name="_Toc134304596"/>
      <w:bookmarkStart w:id="594" w:name="_Toc57392563"/>
      <w:r>
        <w:rPr>
          <w:rFonts w:hint="eastAsia" w:ascii="宋体" w:hAnsi="宋体" w:cs="宋体"/>
          <w:bCs/>
          <w:color w:val="auto"/>
          <w:sz w:val="24"/>
          <w:highlight w:val="none"/>
        </w:rPr>
        <w:t>格式1</w:t>
      </w:r>
      <w:bookmarkEnd w:id="593"/>
      <w:bookmarkEnd w:id="594"/>
    </w:p>
    <w:p w14:paraId="7E44EBA2">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 标 书</w:t>
      </w:r>
    </w:p>
    <w:p w14:paraId="617543C4">
      <w:pPr>
        <w:wordWrap w:val="0"/>
        <w:autoSpaceDE w:val="0"/>
        <w:autoSpaceDN w:val="0"/>
        <w:adjustRightInd w:val="0"/>
        <w:spacing w:line="360" w:lineRule="auto"/>
        <w:jc w:val="right"/>
        <w:rPr>
          <w:rFonts w:hint="eastAsia" w:ascii="宋体" w:hAnsi="宋体" w:cs="宋体"/>
          <w:b/>
          <w:bCs/>
          <w:color w:val="auto"/>
          <w:sz w:val="32"/>
          <w:szCs w:val="32"/>
          <w:highlight w:val="none"/>
          <w:lang w:val="zh-CN"/>
        </w:rPr>
      </w:pPr>
      <w:r>
        <w:rPr>
          <w:rFonts w:hint="eastAsia" w:ascii="宋体" w:hAnsi="宋体" w:cs="宋体"/>
          <w:b/>
          <w:color w:val="auto"/>
          <w:sz w:val="24"/>
          <w:highlight w:val="none"/>
          <w:lang w:val="zh-CN"/>
        </w:rPr>
        <w:t xml:space="preserve">投标日期：   年  月  日  </w:t>
      </w:r>
    </w:p>
    <w:tbl>
      <w:tblPr>
        <w:tblStyle w:val="74"/>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2291"/>
        <w:gridCol w:w="2873"/>
      </w:tblGrid>
      <w:tr w14:paraId="0FB4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363E15E5">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工 程 名 称</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4A7C571E">
            <w:pPr>
              <w:autoSpaceDE w:val="0"/>
              <w:autoSpaceDN w:val="0"/>
              <w:adjustRightInd w:val="0"/>
              <w:snapToGrid w:val="0"/>
              <w:rPr>
                <w:rFonts w:hint="eastAsia" w:ascii="宋体" w:hAnsi="宋体" w:cs="宋体"/>
                <w:b/>
                <w:bCs/>
                <w:color w:val="auto"/>
                <w:szCs w:val="21"/>
                <w:highlight w:val="none"/>
                <w:lang w:val="zh-CN"/>
              </w:rPr>
            </w:pPr>
          </w:p>
        </w:tc>
      </w:tr>
      <w:tr w14:paraId="506E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380" w:type="dxa"/>
            <w:vMerge w:val="restart"/>
            <w:tcBorders>
              <w:top w:val="single" w:color="auto" w:sz="4" w:space="0"/>
              <w:left w:val="single" w:color="auto" w:sz="4" w:space="0"/>
              <w:right w:val="single" w:color="auto" w:sz="4" w:space="0"/>
            </w:tcBorders>
            <w:vAlign w:val="center"/>
          </w:tcPr>
          <w:p w14:paraId="2DE59771">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投标总报价</w:t>
            </w:r>
          </w:p>
          <w:p w14:paraId="4B99C631">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（元）</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15A5075B">
            <w:pPr>
              <w:autoSpaceDE w:val="0"/>
              <w:autoSpaceDN w:val="0"/>
              <w:adjustRightInd w:val="0"/>
              <w:snapToGrid w:val="0"/>
              <w:ind w:left="207" w:hanging="207" w:hangingChars="98"/>
              <w:rPr>
                <w:rFonts w:hint="eastAsia" w:ascii="宋体" w:hAnsi="宋体" w:cs="宋体"/>
                <w:b/>
                <w:bCs/>
                <w:color w:val="auto"/>
                <w:szCs w:val="21"/>
                <w:highlight w:val="none"/>
                <w:u w:val="single"/>
                <w:lang w:val="zh-CN"/>
              </w:rPr>
            </w:pPr>
            <w:r>
              <w:rPr>
                <w:rFonts w:ascii="宋体" w:hAnsi="宋体" w:cs="宋体"/>
                <w:b/>
                <w:bCs/>
                <w:color w:val="auto"/>
                <w:szCs w:val="21"/>
                <w:highlight w:val="none"/>
                <w:lang w:val="zh-CN"/>
              </w:rPr>
              <w:t>大写：</w:t>
            </w:r>
          </w:p>
          <w:p w14:paraId="55A6E658">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tc>
      </w:tr>
      <w:tr w14:paraId="0BB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3380" w:type="dxa"/>
            <w:vMerge w:val="continue"/>
            <w:tcBorders>
              <w:left w:val="single" w:color="auto" w:sz="4" w:space="0"/>
              <w:right w:val="single" w:color="auto" w:sz="4" w:space="0"/>
            </w:tcBorders>
            <w:vAlign w:val="center"/>
          </w:tcPr>
          <w:p w14:paraId="694EE360">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6E2F8130">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其中，设计费报价：</w:t>
            </w:r>
          </w:p>
          <w:p w14:paraId="1AE077B4">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大写：</w:t>
            </w:r>
          </w:p>
          <w:p w14:paraId="5D985030">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1291DD6F">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设计费下浮率（%）：    %  </w:t>
            </w:r>
          </w:p>
        </w:tc>
      </w:tr>
      <w:tr w14:paraId="1E7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3380" w:type="dxa"/>
            <w:vMerge w:val="continue"/>
            <w:tcBorders>
              <w:left w:val="single" w:color="auto" w:sz="4" w:space="0"/>
              <w:right w:val="single" w:color="auto" w:sz="4" w:space="0"/>
            </w:tcBorders>
            <w:vAlign w:val="center"/>
          </w:tcPr>
          <w:p w14:paraId="52FCB2F9">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279B41EB">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其中，施工费报价：</w:t>
            </w:r>
          </w:p>
          <w:p w14:paraId="7BAC176C">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大写：</w:t>
            </w:r>
          </w:p>
          <w:p w14:paraId="507557A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44EFD6D4">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施工费下浮率（%）：</w:t>
            </w:r>
            <w:r>
              <w:rPr>
                <w:rFonts w:hint="eastAsia" w:ascii="宋体" w:hAnsi="宋体" w:cs="宋体"/>
                <w:b/>
                <w:bCs/>
                <w:color w:val="auto"/>
                <w:szCs w:val="21"/>
                <w:highlight w:val="none"/>
                <w:u w:val="single"/>
                <w:lang w:val="zh-CN"/>
              </w:rPr>
              <w:t xml:space="preserve">    %  </w:t>
            </w:r>
          </w:p>
        </w:tc>
      </w:tr>
      <w:tr w14:paraId="7322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right w:val="single" w:color="auto" w:sz="4" w:space="0"/>
            </w:tcBorders>
            <w:vAlign w:val="center"/>
          </w:tcPr>
          <w:p w14:paraId="4E50FF90">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投标总工期</w:t>
            </w:r>
            <w:r>
              <w:rPr>
                <w:rFonts w:hint="eastAsia" w:ascii="宋体" w:hAnsi="宋体" w:cs="宋体"/>
                <w:b/>
                <w:bCs/>
                <w:color w:val="auto"/>
                <w:szCs w:val="21"/>
                <w:highlight w:val="none"/>
                <w:lang w:val="zh-CN"/>
              </w:rPr>
              <w:t>（含设计工期）</w:t>
            </w:r>
          </w:p>
          <w:p w14:paraId="26028C47">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（日历天）</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75017DC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36D1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left w:val="single" w:color="auto" w:sz="4" w:space="0"/>
              <w:bottom w:val="single" w:color="auto" w:sz="4" w:space="0"/>
              <w:right w:val="single" w:color="auto" w:sz="4" w:space="0"/>
            </w:tcBorders>
            <w:vAlign w:val="center"/>
          </w:tcPr>
          <w:p w14:paraId="33E142EB">
            <w:pPr>
              <w:snapToGrid w:val="0"/>
              <w:jc w:val="center"/>
              <w:rPr>
                <w:rFonts w:hint="eastAsia" w:ascii="宋体" w:hAnsi="宋体" w:cs="宋体"/>
                <w:b/>
                <w:color w:val="auto"/>
                <w:szCs w:val="21"/>
                <w:highlight w:val="none"/>
                <w:lang w:val="zh-CN"/>
              </w:rPr>
            </w:pPr>
            <w:r>
              <w:rPr>
                <w:rFonts w:hint="eastAsia" w:ascii="宋体" w:hAnsi="宋体" w:cs="宋体"/>
                <w:b/>
                <w:bCs/>
                <w:color w:val="auto"/>
                <w:szCs w:val="21"/>
                <w:highlight w:val="none"/>
                <w:lang w:val="zh-CN"/>
              </w:rPr>
              <w:t>质量标准</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3C55DE97">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01B4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6981784E">
            <w:pPr>
              <w:autoSpaceDE w:val="0"/>
              <w:autoSpaceDN w:val="0"/>
              <w:adjustRightInd w:val="0"/>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1B417069">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4C98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70E1A2AC">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委派的项目负责人</w:t>
            </w:r>
          </w:p>
        </w:tc>
        <w:tc>
          <w:tcPr>
            <w:tcW w:w="2291" w:type="dxa"/>
            <w:tcBorders>
              <w:top w:val="single" w:color="auto" w:sz="4" w:space="0"/>
              <w:left w:val="single" w:color="auto" w:sz="4" w:space="0"/>
              <w:bottom w:val="single" w:color="auto" w:sz="4" w:space="0"/>
              <w:right w:val="single" w:color="auto" w:sz="4" w:space="0"/>
            </w:tcBorders>
            <w:vAlign w:val="center"/>
          </w:tcPr>
          <w:p w14:paraId="6361659B">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171D8E65">
            <w:pPr>
              <w:autoSpaceDE w:val="0"/>
              <w:autoSpaceDN w:val="0"/>
              <w:adjustRightInd w:val="0"/>
              <w:snapToGrid w:val="0"/>
              <w:rPr>
                <w:rFonts w:hint="eastAsia" w:ascii="宋体" w:hAnsi="宋体" w:cs="宋体"/>
                <w:b/>
                <w:bCs/>
                <w:color w:val="auto"/>
                <w:szCs w:val="21"/>
                <w:highlight w:val="none"/>
                <w:lang w:val="zh-CN"/>
              </w:rPr>
            </w:pPr>
          </w:p>
        </w:tc>
      </w:tr>
      <w:tr w14:paraId="7631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2CDC6010">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设计负责人</w:t>
            </w:r>
          </w:p>
        </w:tc>
        <w:tc>
          <w:tcPr>
            <w:tcW w:w="2291" w:type="dxa"/>
            <w:tcBorders>
              <w:top w:val="single" w:color="auto" w:sz="4" w:space="0"/>
              <w:left w:val="single" w:color="auto" w:sz="4" w:space="0"/>
              <w:bottom w:val="single" w:color="auto" w:sz="4" w:space="0"/>
              <w:right w:val="single" w:color="auto" w:sz="4" w:space="0"/>
            </w:tcBorders>
            <w:vAlign w:val="center"/>
          </w:tcPr>
          <w:p w14:paraId="67701391">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55821021">
            <w:pPr>
              <w:autoSpaceDE w:val="0"/>
              <w:autoSpaceDN w:val="0"/>
              <w:adjustRightInd w:val="0"/>
              <w:snapToGrid w:val="0"/>
              <w:rPr>
                <w:rFonts w:hint="eastAsia" w:ascii="宋体" w:hAnsi="宋体" w:cs="宋体"/>
                <w:b/>
                <w:bCs/>
                <w:color w:val="auto"/>
                <w:szCs w:val="21"/>
                <w:highlight w:val="none"/>
                <w:lang w:val="zh-CN"/>
              </w:rPr>
            </w:pPr>
          </w:p>
        </w:tc>
      </w:tr>
      <w:tr w14:paraId="57F1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7D948005">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委派的技术</w:t>
            </w:r>
            <w:r>
              <w:rPr>
                <w:rFonts w:hint="eastAsia" w:ascii="宋体" w:hAnsi="宋体" w:cs="宋体"/>
                <w:b/>
                <w:bCs/>
                <w:color w:val="auto"/>
                <w:szCs w:val="21"/>
                <w:highlight w:val="none"/>
                <w:lang w:val="zh-CN"/>
              </w:rPr>
              <w:t>负责人</w:t>
            </w:r>
          </w:p>
        </w:tc>
        <w:tc>
          <w:tcPr>
            <w:tcW w:w="2291" w:type="dxa"/>
            <w:tcBorders>
              <w:top w:val="single" w:color="auto" w:sz="4" w:space="0"/>
              <w:left w:val="single" w:color="auto" w:sz="4" w:space="0"/>
              <w:bottom w:val="single" w:color="auto" w:sz="4" w:space="0"/>
              <w:right w:val="single" w:color="auto" w:sz="4" w:space="0"/>
            </w:tcBorders>
            <w:vAlign w:val="center"/>
          </w:tcPr>
          <w:p w14:paraId="134DAE9E">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2A990283">
            <w:pPr>
              <w:autoSpaceDE w:val="0"/>
              <w:autoSpaceDN w:val="0"/>
              <w:adjustRightInd w:val="0"/>
              <w:snapToGrid w:val="0"/>
              <w:rPr>
                <w:rFonts w:hint="eastAsia" w:ascii="宋体" w:hAnsi="宋体" w:cs="宋体"/>
                <w:b/>
                <w:bCs/>
                <w:color w:val="auto"/>
                <w:szCs w:val="21"/>
                <w:highlight w:val="none"/>
                <w:lang w:val="zh-CN"/>
              </w:rPr>
            </w:pPr>
          </w:p>
        </w:tc>
      </w:tr>
      <w:tr w14:paraId="4D8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1A68F6B7">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安全员</w:t>
            </w:r>
          </w:p>
        </w:tc>
        <w:tc>
          <w:tcPr>
            <w:tcW w:w="2291" w:type="dxa"/>
            <w:tcBorders>
              <w:top w:val="single" w:color="auto" w:sz="4" w:space="0"/>
              <w:left w:val="single" w:color="auto" w:sz="4" w:space="0"/>
              <w:bottom w:val="single" w:color="auto" w:sz="4" w:space="0"/>
              <w:right w:val="single" w:color="auto" w:sz="4" w:space="0"/>
            </w:tcBorders>
            <w:vAlign w:val="center"/>
          </w:tcPr>
          <w:p w14:paraId="78A2BB4D">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38580CC3">
            <w:pPr>
              <w:autoSpaceDE w:val="0"/>
              <w:autoSpaceDN w:val="0"/>
              <w:adjustRightInd w:val="0"/>
              <w:snapToGrid w:val="0"/>
              <w:rPr>
                <w:rFonts w:hint="eastAsia" w:ascii="宋体" w:hAnsi="宋体" w:cs="宋体"/>
                <w:b/>
                <w:bCs/>
                <w:color w:val="auto"/>
                <w:szCs w:val="21"/>
                <w:highlight w:val="none"/>
                <w:lang w:val="zh-CN"/>
              </w:rPr>
            </w:pPr>
          </w:p>
        </w:tc>
      </w:tr>
      <w:tr w14:paraId="762E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75711E2B">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法定代表人或授权委托人</w:t>
            </w:r>
          </w:p>
          <w:p w14:paraId="32893B83">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（签名或盖章）</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1944344E">
            <w:pPr>
              <w:autoSpaceDE w:val="0"/>
              <w:autoSpaceDN w:val="0"/>
              <w:adjustRightInd w:val="0"/>
              <w:snapToGrid w:val="0"/>
              <w:rPr>
                <w:rFonts w:hint="eastAsia" w:ascii="宋体" w:hAnsi="宋体" w:cs="宋体"/>
                <w:b/>
                <w:bCs/>
                <w:color w:val="auto"/>
                <w:szCs w:val="21"/>
                <w:highlight w:val="none"/>
                <w:lang w:val="zh-CN"/>
              </w:rPr>
            </w:pPr>
          </w:p>
        </w:tc>
      </w:tr>
      <w:tr w14:paraId="60E6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54616F74">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投  标  单  位</w:t>
            </w:r>
          </w:p>
          <w:p w14:paraId="1E267886">
            <w:pPr>
              <w:autoSpaceDE w:val="0"/>
              <w:autoSpaceDN w:val="0"/>
              <w:adjustRightInd w:val="0"/>
              <w:snapToGrid w:val="0"/>
              <w:ind w:firstLine="209" w:firstLineChars="99"/>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（企业公章）</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07919A5D">
            <w:pPr>
              <w:autoSpaceDE w:val="0"/>
              <w:autoSpaceDN w:val="0"/>
              <w:adjustRightInd w:val="0"/>
              <w:snapToGrid w:val="0"/>
              <w:rPr>
                <w:rFonts w:hint="eastAsia" w:ascii="宋体" w:hAnsi="宋体" w:cs="宋体"/>
                <w:b/>
                <w:bCs/>
                <w:color w:val="auto"/>
                <w:szCs w:val="21"/>
                <w:highlight w:val="none"/>
                <w:lang w:val="zh-CN"/>
              </w:rPr>
            </w:pPr>
          </w:p>
        </w:tc>
      </w:tr>
    </w:tbl>
    <w:p w14:paraId="70A0B056">
      <w:pPr>
        <w:widowControl/>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rPr>
        <w:t>注：（1）联合体投标的，“投标单位”一栏需书写所有联合体成员的单位全称，可由主办方签署、盖章。</w:t>
      </w:r>
    </w:p>
    <w:p w14:paraId="263C62AE">
      <w:pPr>
        <w:widowControl/>
        <w:ind w:firstLine="390" w:firstLineChars="216"/>
        <w:jc w:val="left"/>
        <w:rPr>
          <w:color w:val="auto"/>
          <w:highlight w:val="none"/>
        </w:rPr>
      </w:pPr>
      <w:r>
        <w:rPr>
          <w:rFonts w:hint="eastAsia" w:ascii="宋体" w:hAnsi="宋体" w:cs="宋体"/>
          <w:b/>
          <w:color w:val="auto"/>
          <w:sz w:val="18"/>
          <w:szCs w:val="18"/>
          <w:highlight w:val="none"/>
        </w:rPr>
        <w:t>（2）设计费下浮率、施工费下浮率为：（1－相应投标报价÷相应最高投标限价）×100%。</w:t>
      </w:r>
    </w:p>
    <w:p w14:paraId="031A2F07">
      <w:pPr>
        <w:spacing w:line="360" w:lineRule="auto"/>
        <w:outlineLvl w:val="1"/>
        <w:rPr>
          <w:rFonts w:hint="eastAsia" w:ascii="宋体" w:hAnsi="宋体" w:cs="宋体"/>
          <w:bCs/>
          <w:color w:val="auto"/>
          <w:sz w:val="24"/>
          <w:highlight w:val="none"/>
        </w:rPr>
      </w:pPr>
      <w:r>
        <w:rPr>
          <w:rFonts w:ascii="宋体" w:hAnsi="宋体" w:cs="宋体"/>
          <w:color w:val="auto"/>
          <w:highlight w:val="none"/>
        </w:rPr>
        <w:br w:type="page"/>
      </w:r>
      <w:bookmarkStart w:id="595" w:name="_Toc134304597"/>
      <w:r>
        <w:rPr>
          <w:rFonts w:hint="eastAsia" w:ascii="宋体" w:hAnsi="宋体" w:cs="宋体"/>
          <w:bCs/>
          <w:color w:val="auto"/>
          <w:sz w:val="24"/>
          <w:highlight w:val="none"/>
        </w:rPr>
        <w:t>格式2</w:t>
      </w:r>
      <w:bookmarkEnd w:id="595"/>
    </w:p>
    <w:p w14:paraId="08F69186">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14:paraId="72537F66">
      <w:pPr>
        <w:autoSpaceDE w:val="0"/>
        <w:autoSpaceDN w:val="0"/>
        <w:adjustRightInd w:val="0"/>
        <w:spacing w:line="360" w:lineRule="auto"/>
        <w:jc w:val="center"/>
        <w:rPr>
          <w:rFonts w:hint="eastAsia" w:ascii="宋体" w:hAnsi="宋体" w:cs="宋体"/>
          <w:bCs/>
          <w:color w:val="auto"/>
          <w:sz w:val="24"/>
          <w:highlight w:val="none"/>
        </w:rPr>
      </w:pPr>
    </w:p>
    <w:p w14:paraId="7584A7E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1C024A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2FD69A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2．我方已充分阅读了本项目招标文件并充分了解有关报价方式及变更、结算方式，我方完全响应招标文件的规定。</w:t>
      </w:r>
    </w:p>
    <w:p w14:paraId="738ABF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3CEAE03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4C3357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5．随同本投标函提交投标保证金一份，我方对招标文件中不予退还投标保证金的情形无异议。</w:t>
      </w:r>
    </w:p>
    <w:p w14:paraId="132EE9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6．我方如果中标，我方保证：</w:t>
      </w:r>
    </w:p>
    <w:p w14:paraId="571A96A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068025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3F3576D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73C264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075492B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533E7C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60B4E6B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6850170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36575B2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23836E22">
      <w:pPr>
        <w:spacing w:line="440" w:lineRule="exact"/>
        <w:ind w:firstLine="420" w:firstLineChars="200"/>
        <w:rPr>
          <w:rFonts w:hint="eastAsia" w:ascii="宋体" w:hAnsi="宋体" w:cs="宋体"/>
          <w:color w:val="auto"/>
          <w:szCs w:val="21"/>
          <w:highlight w:val="none"/>
        </w:rPr>
      </w:pPr>
    </w:p>
    <w:p w14:paraId="5AE27CA6">
      <w:pPr>
        <w:spacing w:line="440" w:lineRule="exact"/>
        <w:ind w:firstLine="420" w:firstLineChars="200"/>
        <w:rPr>
          <w:rFonts w:hint="eastAsia" w:ascii="宋体" w:hAnsi="宋体" w:cs="宋体"/>
          <w:color w:val="auto"/>
          <w:szCs w:val="21"/>
          <w:highlight w:val="none"/>
        </w:rPr>
      </w:pPr>
    </w:p>
    <w:p w14:paraId="33CE5D01">
      <w:pPr>
        <w:spacing w:line="360" w:lineRule="auto"/>
        <w:ind w:firstLine="3520" w:firstLineChars="1600"/>
        <w:rPr>
          <w:rFonts w:hint="eastAsia" w:ascii="宋体" w:hAnsi="宋体" w:cs="宋体"/>
          <w:color w:val="auto"/>
          <w:sz w:val="22"/>
          <w:highlight w:val="none"/>
        </w:rPr>
      </w:pPr>
    </w:p>
    <w:p w14:paraId="49D35474">
      <w:pPr>
        <w:spacing w:line="360" w:lineRule="auto"/>
        <w:ind w:firstLine="3520" w:firstLineChars="1600"/>
        <w:rPr>
          <w:rFonts w:hint="eastAsia" w:ascii="宋体" w:hAnsi="宋体" w:cs="宋体"/>
          <w:color w:val="auto"/>
          <w:sz w:val="22"/>
          <w:highlight w:val="none"/>
        </w:rPr>
      </w:pPr>
    </w:p>
    <w:p w14:paraId="3A4FC011">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投标人：    （盖章）</w:t>
      </w:r>
    </w:p>
    <w:p w14:paraId="304D4A4B">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法定代表人或其授权代理人（签名或盖章）：</w:t>
      </w:r>
    </w:p>
    <w:p w14:paraId="7767B0F7">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日   期：    年    月    日</w:t>
      </w:r>
    </w:p>
    <w:p w14:paraId="069AE911">
      <w:pPr>
        <w:pStyle w:val="39"/>
        <w:spacing w:line="360" w:lineRule="auto"/>
        <w:ind w:firstLine="240" w:firstLineChars="100"/>
        <w:rPr>
          <w:rFonts w:hint="eastAsia" w:hAnsi="宋体" w:cs="宋体"/>
          <w:b/>
          <w:color w:val="auto"/>
          <w:sz w:val="24"/>
          <w:szCs w:val="24"/>
          <w:highlight w:val="none"/>
        </w:rPr>
      </w:pPr>
    </w:p>
    <w:p w14:paraId="565E9BED">
      <w:pPr>
        <w:pStyle w:val="39"/>
        <w:spacing w:line="360" w:lineRule="auto"/>
        <w:ind w:firstLine="240" w:firstLineChars="100"/>
        <w:rPr>
          <w:rFonts w:hint="eastAsia" w:hAnsi="宋体" w:cs="宋体"/>
          <w:b/>
          <w:color w:val="auto"/>
          <w:sz w:val="24"/>
          <w:szCs w:val="24"/>
          <w:highlight w:val="none"/>
        </w:rPr>
      </w:pPr>
    </w:p>
    <w:p w14:paraId="489E1B5D">
      <w:pPr>
        <w:pStyle w:val="39"/>
        <w:spacing w:line="360" w:lineRule="auto"/>
        <w:ind w:firstLine="240" w:firstLineChars="100"/>
        <w:rPr>
          <w:rFonts w:hint="eastAsia" w:hAnsi="宋体" w:cs="宋体"/>
          <w:b/>
          <w:color w:val="auto"/>
          <w:sz w:val="24"/>
          <w:szCs w:val="24"/>
          <w:highlight w:val="none"/>
        </w:rPr>
      </w:pPr>
    </w:p>
    <w:p w14:paraId="30AC548D">
      <w:pPr>
        <w:spacing w:line="360" w:lineRule="auto"/>
        <w:rPr>
          <w:rFonts w:hint="eastAsia" w:ascii="宋体" w:hAnsi="宋体" w:cs="宋体"/>
          <w:b/>
          <w:color w:val="auto"/>
          <w:sz w:val="18"/>
          <w:szCs w:val="18"/>
          <w:highlight w:val="none"/>
        </w:rPr>
      </w:pPr>
      <w:r>
        <w:rPr>
          <w:rFonts w:hint="eastAsia" w:ascii="宋体" w:hAnsi="宋体" w:cs="宋体"/>
          <w:b/>
          <w:color w:val="auto"/>
          <w:sz w:val="18"/>
          <w:szCs w:val="18"/>
          <w:highlight w:val="none"/>
        </w:rPr>
        <w:t>注：联合体投标的，“投标人”一栏需书写所有联合体成员的单位全称，可由主办方签署、盖章。</w:t>
      </w:r>
    </w:p>
    <w:p w14:paraId="6F5CB407">
      <w:pPr>
        <w:spacing w:line="360" w:lineRule="auto"/>
        <w:ind w:right="-617" w:rightChars="-294"/>
        <w:outlineLvl w:val="1"/>
        <w:rPr>
          <w:rFonts w:hint="eastAsia" w:ascii="宋体" w:hAnsi="宋体" w:cs="宋体"/>
          <w:b/>
          <w:bCs/>
          <w:color w:val="auto"/>
          <w:sz w:val="24"/>
          <w:highlight w:val="none"/>
          <w:lang w:val="zh-CN"/>
        </w:rPr>
      </w:pPr>
      <w:r>
        <w:rPr>
          <w:rFonts w:hint="eastAsia" w:ascii="宋体" w:hAnsi="宋体" w:cs="宋体"/>
          <w:b/>
          <w:color w:val="auto"/>
          <w:sz w:val="24"/>
          <w:highlight w:val="none"/>
        </w:rPr>
        <w:br w:type="page"/>
      </w:r>
      <w:bookmarkStart w:id="596" w:name="_Toc57392566"/>
      <w:bookmarkStart w:id="597" w:name="_Toc134304598"/>
      <w:r>
        <w:rPr>
          <w:rFonts w:hint="eastAsia" w:ascii="宋体" w:hAnsi="宋体" w:cs="宋体"/>
          <w:bCs/>
          <w:color w:val="auto"/>
          <w:sz w:val="24"/>
          <w:highlight w:val="none"/>
        </w:rPr>
        <w:t>格式</w:t>
      </w:r>
      <w:bookmarkEnd w:id="596"/>
      <w:r>
        <w:rPr>
          <w:rFonts w:hint="eastAsia" w:ascii="宋体" w:hAnsi="宋体" w:cs="宋体"/>
          <w:bCs/>
          <w:color w:val="auto"/>
          <w:sz w:val="24"/>
          <w:highlight w:val="none"/>
        </w:rPr>
        <w:t>3</w:t>
      </w:r>
      <w:bookmarkEnd w:id="597"/>
    </w:p>
    <w:p w14:paraId="187FF1E3">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项目团队情况</w:t>
      </w:r>
    </w:p>
    <w:p w14:paraId="592D2D30">
      <w:pPr>
        <w:autoSpaceDE w:val="0"/>
        <w:autoSpaceDN w:val="0"/>
        <w:adjustRightInd w:val="0"/>
        <w:spacing w:line="360" w:lineRule="auto"/>
        <w:jc w:val="center"/>
        <w:rPr>
          <w:rFonts w:hint="eastAsia" w:ascii="宋体" w:hAnsi="宋体" w:cs="宋体"/>
          <w:bCs/>
          <w:color w:val="auto"/>
          <w:sz w:val="24"/>
          <w:highlight w:val="none"/>
        </w:rPr>
      </w:pP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4EC0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Align w:val="center"/>
          </w:tcPr>
          <w:p w14:paraId="0B9CAF66">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64" w:type="dxa"/>
            <w:vAlign w:val="center"/>
          </w:tcPr>
          <w:p w14:paraId="2BE75C7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职务</w:t>
            </w:r>
          </w:p>
        </w:tc>
        <w:tc>
          <w:tcPr>
            <w:tcW w:w="820" w:type="dxa"/>
            <w:vAlign w:val="center"/>
          </w:tcPr>
          <w:p w14:paraId="06A3E3E0">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242" w:type="dxa"/>
            <w:vAlign w:val="center"/>
          </w:tcPr>
          <w:p w14:paraId="3D20CAEF">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职称或执业资格</w:t>
            </w:r>
            <w:r>
              <w:rPr>
                <w:rFonts w:ascii="宋体" w:hAnsi="宋体" w:cs="宋体"/>
                <w:b/>
                <w:bCs/>
                <w:color w:val="auto"/>
                <w:highlight w:val="none"/>
              </w:rPr>
              <w:t>专业</w:t>
            </w:r>
          </w:p>
        </w:tc>
        <w:tc>
          <w:tcPr>
            <w:tcW w:w="2674" w:type="dxa"/>
            <w:vAlign w:val="center"/>
          </w:tcPr>
          <w:p w14:paraId="35D7E14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职称证书或资格证书编号</w:t>
            </w:r>
          </w:p>
        </w:tc>
        <w:tc>
          <w:tcPr>
            <w:tcW w:w="709" w:type="dxa"/>
            <w:vAlign w:val="center"/>
          </w:tcPr>
          <w:p w14:paraId="63FF0435">
            <w:pPr>
              <w:adjustRightInd w:val="0"/>
              <w:snapToGrid w:val="0"/>
              <w:ind w:left="-63" w:leftChars="-30" w:right="-63" w:rightChars="-30"/>
              <w:jc w:val="center"/>
              <w:rPr>
                <w:rFonts w:hint="eastAsia" w:ascii="宋体" w:hAnsi="宋体" w:cs="宋体"/>
                <w:b/>
                <w:bCs/>
                <w:color w:val="auto"/>
                <w:szCs w:val="20"/>
                <w:highlight w:val="none"/>
              </w:rPr>
            </w:pPr>
            <w:r>
              <w:rPr>
                <w:rFonts w:hint="eastAsia" w:ascii="宋体" w:hAnsi="宋体" w:cs="宋体"/>
                <w:b/>
                <w:bCs/>
                <w:color w:val="auto"/>
                <w:szCs w:val="20"/>
                <w:highlight w:val="none"/>
              </w:rPr>
              <w:t>备注</w:t>
            </w:r>
          </w:p>
        </w:tc>
      </w:tr>
      <w:tr w14:paraId="3784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D5FCA89">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32F4FC47">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21DB57D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983ACFA">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32FA866">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1CA1AA8">
            <w:pPr>
              <w:adjustRightInd w:val="0"/>
              <w:snapToGrid w:val="0"/>
              <w:ind w:left="-53" w:leftChars="-25" w:right="-53" w:rightChars="-25"/>
              <w:jc w:val="center"/>
              <w:rPr>
                <w:rFonts w:hint="eastAsia" w:ascii="宋体" w:hAnsi="宋体" w:cs="宋体"/>
                <w:bCs/>
                <w:color w:val="auto"/>
                <w:highlight w:val="none"/>
              </w:rPr>
            </w:pPr>
          </w:p>
        </w:tc>
      </w:tr>
      <w:tr w14:paraId="0BB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84EF17B">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11417348">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AD1B82E">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0754462">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D515270">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5015F439">
            <w:pPr>
              <w:adjustRightInd w:val="0"/>
              <w:snapToGrid w:val="0"/>
              <w:ind w:left="-53" w:leftChars="-25" w:right="-53" w:rightChars="-25"/>
              <w:jc w:val="center"/>
              <w:rPr>
                <w:rFonts w:hint="eastAsia" w:ascii="宋体" w:hAnsi="宋体" w:cs="宋体"/>
                <w:bCs/>
                <w:color w:val="auto"/>
                <w:highlight w:val="none"/>
              </w:rPr>
            </w:pPr>
          </w:p>
        </w:tc>
      </w:tr>
      <w:tr w14:paraId="060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1E7794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0E46E82">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6D7DB29">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6B32202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2BFDBE3">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04BB5356">
            <w:pPr>
              <w:adjustRightInd w:val="0"/>
              <w:snapToGrid w:val="0"/>
              <w:ind w:left="-53" w:leftChars="-25" w:right="-53" w:rightChars="-25"/>
              <w:jc w:val="center"/>
              <w:rPr>
                <w:rFonts w:hint="eastAsia" w:ascii="宋体" w:hAnsi="宋体" w:cs="宋体"/>
                <w:bCs/>
                <w:color w:val="auto"/>
                <w:highlight w:val="none"/>
              </w:rPr>
            </w:pPr>
          </w:p>
        </w:tc>
      </w:tr>
      <w:tr w14:paraId="40C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8ACF4E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2F4AE6AB">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6CB3F9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BDF3C7F">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5DDBD42A">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5F44EC7">
            <w:pPr>
              <w:adjustRightInd w:val="0"/>
              <w:snapToGrid w:val="0"/>
              <w:ind w:left="-53" w:leftChars="-25" w:right="-53" w:rightChars="-25"/>
              <w:jc w:val="center"/>
              <w:rPr>
                <w:rFonts w:hint="eastAsia" w:ascii="宋体" w:hAnsi="宋体" w:cs="宋体"/>
                <w:bCs/>
                <w:color w:val="auto"/>
                <w:highlight w:val="none"/>
              </w:rPr>
            </w:pPr>
          </w:p>
        </w:tc>
      </w:tr>
      <w:tr w14:paraId="3CF7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E48A937">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65CC5D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153A93C9">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6EA6BF51">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F10E2B2">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B64AA36">
            <w:pPr>
              <w:adjustRightInd w:val="0"/>
              <w:snapToGrid w:val="0"/>
              <w:ind w:left="-53" w:leftChars="-25" w:right="-53" w:rightChars="-25"/>
              <w:jc w:val="center"/>
              <w:rPr>
                <w:rFonts w:hint="eastAsia" w:ascii="宋体" w:hAnsi="宋体" w:cs="宋体"/>
                <w:bCs/>
                <w:color w:val="auto"/>
                <w:highlight w:val="none"/>
              </w:rPr>
            </w:pPr>
          </w:p>
        </w:tc>
      </w:tr>
      <w:tr w14:paraId="7802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BCF2E7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7A189A1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31D20D1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5932DDF">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C5DD6FC">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C85F85E">
            <w:pPr>
              <w:adjustRightInd w:val="0"/>
              <w:snapToGrid w:val="0"/>
              <w:ind w:left="-53" w:leftChars="-25" w:right="-53" w:rightChars="-25"/>
              <w:jc w:val="center"/>
              <w:rPr>
                <w:rFonts w:hint="eastAsia" w:ascii="宋体" w:hAnsi="宋体" w:cs="宋体"/>
                <w:bCs/>
                <w:color w:val="auto"/>
                <w:highlight w:val="none"/>
              </w:rPr>
            </w:pPr>
          </w:p>
        </w:tc>
      </w:tr>
      <w:tr w14:paraId="0D4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645A2B6">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743621C5">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CC5524B">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F1E766A">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07E798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4F2B7DA">
            <w:pPr>
              <w:adjustRightInd w:val="0"/>
              <w:snapToGrid w:val="0"/>
              <w:ind w:left="-53" w:leftChars="-25" w:right="-53" w:rightChars="-25"/>
              <w:jc w:val="center"/>
              <w:rPr>
                <w:rFonts w:hint="eastAsia" w:ascii="宋体" w:hAnsi="宋体" w:cs="宋体"/>
                <w:bCs/>
                <w:color w:val="auto"/>
                <w:highlight w:val="none"/>
              </w:rPr>
            </w:pPr>
          </w:p>
        </w:tc>
      </w:tr>
      <w:tr w14:paraId="4E10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054704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1A425F23">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CB8A9A1">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54F3B472">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C0584A4">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F044463">
            <w:pPr>
              <w:adjustRightInd w:val="0"/>
              <w:snapToGrid w:val="0"/>
              <w:ind w:left="-53" w:leftChars="-25" w:right="-53" w:rightChars="-25"/>
              <w:jc w:val="center"/>
              <w:rPr>
                <w:rFonts w:hint="eastAsia" w:ascii="宋体" w:hAnsi="宋体" w:cs="宋体"/>
                <w:bCs/>
                <w:color w:val="auto"/>
                <w:highlight w:val="none"/>
              </w:rPr>
            </w:pPr>
          </w:p>
        </w:tc>
      </w:tr>
      <w:tr w14:paraId="1C3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267FA8D">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3A77A62">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ED54693">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65EA36B">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D213BC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E4DBFBC">
            <w:pPr>
              <w:adjustRightInd w:val="0"/>
              <w:snapToGrid w:val="0"/>
              <w:ind w:left="-53" w:leftChars="-25" w:right="-53" w:rightChars="-25"/>
              <w:jc w:val="center"/>
              <w:rPr>
                <w:rFonts w:hint="eastAsia" w:ascii="宋体" w:hAnsi="宋体" w:cs="宋体"/>
                <w:bCs/>
                <w:color w:val="auto"/>
                <w:highlight w:val="none"/>
              </w:rPr>
            </w:pPr>
          </w:p>
        </w:tc>
      </w:tr>
      <w:tr w14:paraId="10F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9A76C19">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FD0C582">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AD35C9B">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F1D3F23">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E34F1CB">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AE86DED">
            <w:pPr>
              <w:adjustRightInd w:val="0"/>
              <w:snapToGrid w:val="0"/>
              <w:ind w:left="-53" w:leftChars="-25" w:right="-53" w:rightChars="-25"/>
              <w:jc w:val="center"/>
              <w:rPr>
                <w:rFonts w:hint="eastAsia" w:ascii="宋体" w:hAnsi="宋体" w:cs="宋体"/>
                <w:bCs/>
                <w:color w:val="auto"/>
                <w:highlight w:val="none"/>
              </w:rPr>
            </w:pPr>
          </w:p>
        </w:tc>
      </w:tr>
      <w:tr w14:paraId="095A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CD61CA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FB4AE0F">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295DD6E2">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66B2B465">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6EAA7B9">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19BC4956">
            <w:pPr>
              <w:adjustRightInd w:val="0"/>
              <w:snapToGrid w:val="0"/>
              <w:ind w:left="-53" w:leftChars="-25" w:right="-53" w:rightChars="-25"/>
              <w:jc w:val="center"/>
              <w:rPr>
                <w:rFonts w:hint="eastAsia" w:ascii="宋体" w:hAnsi="宋体" w:cs="宋体"/>
                <w:bCs/>
                <w:color w:val="auto"/>
                <w:highlight w:val="none"/>
              </w:rPr>
            </w:pPr>
          </w:p>
        </w:tc>
      </w:tr>
      <w:tr w14:paraId="640C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40D9EA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E03497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7F12FBA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0D7A352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A2D021E">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76B97951">
            <w:pPr>
              <w:adjustRightInd w:val="0"/>
              <w:snapToGrid w:val="0"/>
              <w:ind w:left="-53" w:leftChars="-25" w:right="-53" w:rightChars="-25"/>
              <w:jc w:val="center"/>
              <w:rPr>
                <w:rFonts w:hint="eastAsia" w:ascii="宋体" w:hAnsi="宋体" w:cs="宋体"/>
                <w:bCs/>
                <w:color w:val="auto"/>
                <w:highlight w:val="none"/>
              </w:rPr>
            </w:pPr>
          </w:p>
        </w:tc>
      </w:tr>
      <w:tr w14:paraId="132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5FB8A9B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2E901C2B">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1493785F">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5700E02">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41C6B94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C8FA42E">
            <w:pPr>
              <w:adjustRightInd w:val="0"/>
              <w:snapToGrid w:val="0"/>
              <w:ind w:left="-53" w:leftChars="-25" w:right="-53" w:rightChars="-25"/>
              <w:jc w:val="center"/>
              <w:rPr>
                <w:rFonts w:hint="eastAsia" w:ascii="宋体" w:hAnsi="宋体" w:cs="宋体"/>
                <w:bCs/>
                <w:color w:val="auto"/>
                <w:highlight w:val="none"/>
              </w:rPr>
            </w:pPr>
          </w:p>
        </w:tc>
      </w:tr>
    </w:tbl>
    <w:p w14:paraId="6677C35C">
      <w:pPr>
        <w:rPr>
          <w:rFonts w:hint="eastAsia" w:ascii="宋体" w:hAnsi="宋体" w:cs="宋体"/>
          <w:color w:val="auto"/>
          <w:sz w:val="18"/>
          <w:szCs w:val="18"/>
          <w:highlight w:val="none"/>
        </w:rPr>
      </w:pPr>
      <w:r>
        <w:rPr>
          <w:rFonts w:hint="eastAsia" w:ascii="宋体" w:hAnsi="宋体" w:cs="宋体"/>
          <w:color w:val="auto"/>
          <w:sz w:val="18"/>
          <w:szCs w:val="18"/>
          <w:highlight w:val="none"/>
        </w:rPr>
        <w:t>注：① 投标人应根据招标文件要求结合设计、施工管理的实际需要填写，一旦中标，要求全部到位；</w:t>
      </w:r>
    </w:p>
    <w:p w14:paraId="1C0D399F">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② 提供本表所列人员最近一个月（2025年</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rPr>
        <w:t>月）在本企业的社保证明；</w:t>
      </w:r>
    </w:p>
    <w:p w14:paraId="7DC4F922">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③ 本表后附所列人员相应证明材料的原件扫描件。</w:t>
      </w:r>
    </w:p>
    <w:p w14:paraId="49341C90">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br w:type="page"/>
      </w:r>
      <w:bookmarkStart w:id="598" w:name="_Toc57392567"/>
      <w:bookmarkStart w:id="599" w:name="_Toc134304599"/>
      <w:r>
        <w:rPr>
          <w:rFonts w:hint="eastAsia" w:ascii="宋体" w:hAnsi="宋体" w:cs="宋体"/>
          <w:bCs/>
          <w:color w:val="auto"/>
          <w:sz w:val="24"/>
          <w:highlight w:val="none"/>
        </w:rPr>
        <w:t>格式</w:t>
      </w:r>
      <w:bookmarkEnd w:id="598"/>
      <w:r>
        <w:rPr>
          <w:rFonts w:hint="eastAsia" w:ascii="宋体" w:hAnsi="宋体" w:cs="宋体"/>
          <w:bCs/>
          <w:color w:val="auto"/>
          <w:sz w:val="24"/>
          <w:highlight w:val="none"/>
        </w:rPr>
        <w:t>4</w:t>
      </w:r>
      <w:bookmarkEnd w:id="599"/>
    </w:p>
    <w:p w14:paraId="7EE05B7F">
      <w:pPr>
        <w:autoSpaceDE w:val="0"/>
        <w:autoSpaceDN w:val="0"/>
        <w:adjustRightInd w:val="0"/>
        <w:spacing w:line="360" w:lineRule="auto"/>
        <w:rPr>
          <w:rFonts w:hint="eastAsia" w:ascii="宋体" w:hAnsi="宋体" w:cs="宋体"/>
          <w:bCs/>
          <w:color w:val="auto"/>
          <w:sz w:val="24"/>
          <w:highlight w:val="none"/>
        </w:rPr>
      </w:pPr>
    </w:p>
    <w:p w14:paraId="51CD91D8">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参与编制投标文件人员名单</w:t>
      </w:r>
    </w:p>
    <w:p w14:paraId="39AE3731">
      <w:pPr>
        <w:autoSpaceDE w:val="0"/>
        <w:autoSpaceDN w:val="0"/>
        <w:adjustRightInd w:val="0"/>
        <w:spacing w:line="360" w:lineRule="auto"/>
        <w:jc w:val="center"/>
        <w:rPr>
          <w:rFonts w:hint="eastAsia" w:ascii="宋体" w:hAnsi="宋体" w:cs="宋体"/>
          <w:bCs/>
          <w:color w:val="auto"/>
          <w:sz w:val="24"/>
          <w:highlight w:val="none"/>
        </w:rPr>
      </w:pPr>
    </w:p>
    <w:tbl>
      <w:tblPr>
        <w:tblStyle w:val="7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6629D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vAlign w:val="center"/>
          </w:tcPr>
          <w:p w14:paraId="34237808">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1311" w:type="dxa"/>
            <w:vAlign w:val="center"/>
          </w:tcPr>
          <w:p w14:paraId="07B9F79C">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2320" w:type="dxa"/>
            <w:vAlign w:val="center"/>
          </w:tcPr>
          <w:p w14:paraId="04514B51">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所承担工作</w:t>
            </w:r>
          </w:p>
        </w:tc>
        <w:tc>
          <w:tcPr>
            <w:tcW w:w="2106" w:type="dxa"/>
            <w:vAlign w:val="center"/>
          </w:tcPr>
          <w:p w14:paraId="3ED65D6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身份证号码</w:t>
            </w:r>
          </w:p>
        </w:tc>
        <w:tc>
          <w:tcPr>
            <w:tcW w:w="1468" w:type="dxa"/>
            <w:vAlign w:val="center"/>
          </w:tcPr>
          <w:p w14:paraId="6173A78D">
            <w:pPr>
              <w:tabs>
                <w:tab w:val="left" w:pos="0"/>
                <w:tab w:val="left" w:pos="720"/>
              </w:tabs>
              <w:adjustRightInd w:val="0"/>
              <w:snapToGrid w:val="0"/>
              <w:rPr>
                <w:rFonts w:hint="eastAsia" w:ascii="宋体" w:hAnsi="宋体" w:cs="宋体"/>
                <w:b/>
                <w:color w:val="auto"/>
                <w:szCs w:val="21"/>
                <w:highlight w:val="none"/>
              </w:rPr>
            </w:pPr>
            <w:r>
              <w:rPr>
                <w:rFonts w:hint="eastAsia" w:ascii="宋体" w:hAnsi="宋体" w:cs="宋体"/>
                <w:b/>
                <w:color w:val="auto"/>
                <w:szCs w:val="21"/>
                <w:highlight w:val="none"/>
              </w:rPr>
              <w:t>本人签名栏</w:t>
            </w:r>
          </w:p>
        </w:tc>
      </w:tr>
      <w:tr w14:paraId="72163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vAlign w:val="center"/>
          </w:tcPr>
          <w:p w14:paraId="5CB42BC9">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2B8DA3CE">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38B6DC46">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139AE4D1">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465DE1FB">
            <w:pPr>
              <w:tabs>
                <w:tab w:val="left" w:pos="0"/>
                <w:tab w:val="left" w:pos="720"/>
              </w:tabs>
              <w:adjustRightInd w:val="0"/>
              <w:snapToGrid w:val="0"/>
              <w:jc w:val="center"/>
              <w:rPr>
                <w:rFonts w:hint="eastAsia" w:ascii="宋体" w:hAnsi="宋体" w:cs="宋体"/>
                <w:color w:val="auto"/>
                <w:szCs w:val="21"/>
                <w:highlight w:val="none"/>
              </w:rPr>
            </w:pPr>
          </w:p>
        </w:tc>
      </w:tr>
      <w:tr w14:paraId="52495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C8E6DD6">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70822BC5">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D0A0A2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593FA58E">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3104449">
            <w:pPr>
              <w:tabs>
                <w:tab w:val="left" w:pos="0"/>
                <w:tab w:val="left" w:pos="720"/>
              </w:tabs>
              <w:adjustRightInd w:val="0"/>
              <w:snapToGrid w:val="0"/>
              <w:jc w:val="center"/>
              <w:rPr>
                <w:rFonts w:hint="eastAsia" w:ascii="宋体" w:hAnsi="宋体" w:cs="宋体"/>
                <w:color w:val="auto"/>
                <w:szCs w:val="21"/>
                <w:highlight w:val="none"/>
              </w:rPr>
            </w:pPr>
          </w:p>
        </w:tc>
      </w:tr>
      <w:tr w14:paraId="3AC80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6108D3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9FF417C">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C44ECC2">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0C7ED26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4F65A8CA">
            <w:pPr>
              <w:tabs>
                <w:tab w:val="left" w:pos="0"/>
                <w:tab w:val="left" w:pos="720"/>
              </w:tabs>
              <w:adjustRightInd w:val="0"/>
              <w:snapToGrid w:val="0"/>
              <w:jc w:val="center"/>
              <w:rPr>
                <w:rFonts w:hint="eastAsia" w:ascii="宋体" w:hAnsi="宋体" w:cs="宋体"/>
                <w:color w:val="auto"/>
                <w:szCs w:val="21"/>
                <w:highlight w:val="none"/>
              </w:rPr>
            </w:pPr>
          </w:p>
        </w:tc>
      </w:tr>
      <w:tr w14:paraId="2F868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97931BE">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024B8A0D">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9CD4B90">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FDA5F7A">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DDCD63F">
            <w:pPr>
              <w:tabs>
                <w:tab w:val="left" w:pos="0"/>
                <w:tab w:val="left" w:pos="720"/>
              </w:tabs>
              <w:adjustRightInd w:val="0"/>
              <w:snapToGrid w:val="0"/>
              <w:jc w:val="center"/>
              <w:rPr>
                <w:rFonts w:hint="eastAsia" w:ascii="宋体" w:hAnsi="宋体" w:cs="宋体"/>
                <w:color w:val="auto"/>
                <w:szCs w:val="21"/>
                <w:highlight w:val="none"/>
              </w:rPr>
            </w:pPr>
          </w:p>
        </w:tc>
      </w:tr>
      <w:tr w14:paraId="537D8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BBEBCAD">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229946E">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7A42723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99DC46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CD8DA7B">
            <w:pPr>
              <w:tabs>
                <w:tab w:val="left" w:pos="0"/>
                <w:tab w:val="left" w:pos="720"/>
              </w:tabs>
              <w:adjustRightInd w:val="0"/>
              <w:snapToGrid w:val="0"/>
              <w:jc w:val="center"/>
              <w:rPr>
                <w:rFonts w:hint="eastAsia" w:ascii="宋体" w:hAnsi="宋体" w:cs="宋体"/>
                <w:color w:val="auto"/>
                <w:szCs w:val="21"/>
                <w:highlight w:val="none"/>
              </w:rPr>
            </w:pPr>
          </w:p>
        </w:tc>
      </w:tr>
      <w:tr w14:paraId="12D991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D451E7D">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85793BC">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79DC240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0C31C37D">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566943B">
            <w:pPr>
              <w:tabs>
                <w:tab w:val="left" w:pos="0"/>
                <w:tab w:val="left" w:pos="720"/>
              </w:tabs>
              <w:adjustRightInd w:val="0"/>
              <w:snapToGrid w:val="0"/>
              <w:jc w:val="center"/>
              <w:rPr>
                <w:rFonts w:hint="eastAsia" w:ascii="宋体" w:hAnsi="宋体" w:cs="宋体"/>
                <w:color w:val="auto"/>
                <w:szCs w:val="21"/>
                <w:highlight w:val="none"/>
              </w:rPr>
            </w:pPr>
          </w:p>
        </w:tc>
      </w:tr>
      <w:tr w14:paraId="491667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AB5CBAD">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7446411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64CFFA9C">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19595964">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A26B42A">
            <w:pPr>
              <w:tabs>
                <w:tab w:val="left" w:pos="0"/>
                <w:tab w:val="left" w:pos="720"/>
              </w:tabs>
              <w:adjustRightInd w:val="0"/>
              <w:snapToGrid w:val="0"/>
              <w:jc w:val="center"/>
              <w:rPr>
                <w:rFonts w:hint="eastAsia" w:ascii="宋体" w:hAnsi="宋体" w:cs="宋体"/>
                <w:color w:val="auto"/>
                <w:szCs w:val="21"/>
                <w:highlight w:val="none"/>
              </w:rPr>
            </w:pPr>
          </w:p>
        </w:tc>
      </w:tr>
      <w:tr w14:paraId="2AADBE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7B87588">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A957D65">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DBD5597">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FED390E">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C20015C">
            <w:pPr>
              <w:tabs>
                <w:tab w:val="left" w:pos="0"/>
                <w:tab w:val="left" w:pos="720"/>
              </w:tabs>
              <w:adjustRightInd w:val="0"/>
              <w:snapToGrid w:val="0"/>
              <w:jc w:val="center"/>
              <w:rPr>
                <w:rFonts w:hint="eastAsia" w:ascii="宋体" w:hAnsi="宋体" w:cs="宋体"/>
                <w:color w:val="auto"/>
                <w:szCs w:val="21"/>
                <w:highlight w:val="none"/>
              </w:rPr>
            </w:pPr>
          </w:p>
        </w:tc>
      </w:tr>
      <w:tr w14:paraId="2DADFD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317542F">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249D0316">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7EB2CE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8DD184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39CDA56">
            <w:pPr>
              <w:tabs>
                <w:tab w:val="left" w:pos="0"/>
                <w:tab w:val="left" w:pos="720"/>
              </w:tabs>
              <w:adjustRightInd w:val="0"/>
              <w:snapToGrid w:val="0"/>
              <w:jc w:val="center"/>
              <w:rPr>
                <w:rFonts w:hint="eastAsia" w:ascii="宋体" w:hAnsi="宋体" w:cs="宋体"/>
                <w:color w:val="auto"/>
                <w:szCs w:val="21"/>
                <w:highlight w:val="none"/>
              </w:rPr>
            </w:pPr>
          </w:p>
        </w:tc>
      </w:tr>
      <w:tr w14:paraId="6E891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616A036">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480E94AB">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5E5155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023C308C">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DCCF7DE">
            <w:pPr>
              <w:tabs>
                <w:tab w:val="left" w:pos="0"/>
                <w:tab w:val="left" w:pos="720"/>
              </w:tabs>
              <w:adjustRightInd w:val="0"/>
              <w:snapToGrid w:val="0"/>
              <w:jc w:val="center"/>
              <w:rPr>
                <w:rFonts w:hint="eastAsia" w:ascii="宋体" w:hAnsi="宋体" w:cs="宋体"/>
                <w:color w:val="auto"/>
                <w:szCs w:val="21"/>
                <w:highlight w:val="none"/>
              </w:rPr>
            </w:pPr>
          </w:p>
        </w:tc>
      </w:tr>
      <w:tr w14:paraId="15068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9FDD3D4">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3717DC6">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08F7ECF">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E218DA8">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5CDC694">
            <w:pPr>
              <w:tabs>
                <w:tab w:val="left" w:pos="0"/>
                <w:tab w:val="left" w:pos="720"/>
              </w:tabs>
              <w:adjustRightInd w:val="0"/>
              <w:snapToGrid w:val="0"/>
              <w:jc w:val="center"/>
              <w:rPr>
                <w:rFonts w:hint="eastAsia" w:ascii="宋体" w:hAnsi="宋体" w:cs="宋体"/>
                <w:color w:val="auto"/>
                <w:szCs w:val="21"/>
                <w:highlight w:val="none"/>
              </w:rPr>
            </w:pPr>
          </w:p>
        </w:tc>
      </w:tr>
      <w:tr w14:paraId="44FFD6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8B4D613">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7068A18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FB9A85F">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5993F116">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2F65A30D">
            <w:pPr>
              <w:tabs>
                <w:tab w:val="left" w:pos="0"/>
                <w:tab w:val="left" w:pos="720"/>
              </w:tabs>
              <w:adjustRightInd w:val="0"/>
              <w:snapToGrid w:val="0"/>
              <w:jc w:val="center"/>
              <w:rPr>
                <w:rFonts w:hint="eastAsia" w:ascii="宋体" w:hAnsi="宋体" w:cs="宋体"/>
                <w:color w:val="auto"/>
                <w:szCs w:val="21"/>
                <w:highlight w:val="none"/>
              </w:rPr>
            </w:pPr>
          </w:p>
        </w:tc>
      </w:tr>
      <w:tr w14:paraId="253B7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CB670EA">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0021BD9">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F2D038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CC0C2CE">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979DABE">
            <w:pPr>
              <w:tabs>
                <w:tab w:val="left" w:pos="0"/>
                <w:tab w:val="left" w:pos="720"/>
              </w:tabs>
              <w:adjustRightInd w:val="0"/>
              <w:snapToGrid w:val="0"/>
              <w:jc w:val="center"/>
              <w:rPr>
                <w:rFonts w:hint="eastAsia" w:ascii="宋体" w:hAnsi="宋体" w:cs="宋体"/>
                <w:color w:val="auto"/>
                <w:szCs w:val="21"/>
                <w:highlight w:val="none"/>
              </w:rPr>
            </w:pPr>
          </w:p>
        </w:tc>
      </w:tr>
      <w:tr w14:paraId="3D987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FF1942A">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5EF2EB9">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36500D2">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2228218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82F4D97">
            <w:pPr>
              <w:tabs>
                <w:tab w:val="left" w:pos="0"/>
                <w:tab w:val="left" w:pos="720"/>
              </w:tabs>
              <w:adjustRightInd w:val="0"/>
              <w:snapToGrid w:val="0"/>
              <w:jc w:val="center"/>
              <w:rPr>
                <w:rFonts w:hint="eastAsia" w:ascii="宋体" w:hAnsi="宋体" w:cs="宋体"/>
                <w:color w:val="auto"/>
                <w:szCs w:val="21"/>
                <w:highlight w:val="none"/>
              </w:rPr>
            </w:pPr>
          </w:p>
        </w:tc>
      </w:tr>
      <w:tr w14:paraId="5A3D2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2134A7E">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7181B21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F3D87C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5DC59F62">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32CBC439">
            <w:pPr>
              <w:tabs>
                <w:tab w:val="left" w:pos="0"/>
                <w:tab w:val="left" w:pos="720"/>
              </w:tabs>
              <w:adjustRightInd w:val="0"/>
              <w:snapToGrid w:val="0"/>
              <w:jc w:val="center"/>
              <w:rPr>
                <w:rFonts w:hint="eastAsia" w:ascii="宋体" w:hAnsi="宋体" w:cs="宋体"/>
                <w:color w:val="auto"/>
                <w:szCs w:val="21"/>
                <w:highlight w:val="none"/>
              </w:rPr>
            </w:pPr>
          </w:p>
        </w:tc>
      </w:tr>
      <w:tr w14:paraId="223B5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vAlign w:val="center"/>
          </w:tcPr>
          <w:p w14:paraId="0574A7ED">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080F944">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09E084F">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090E49D2">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5496A02">
            <w:pPr>
              <w:tabs>
                <w:tab w:val="left" w:pos="0"/>
                <w:tab w:val="left" w:pos="720"/>
              </w:tabs>
              <w:adjustRightInd w:val="0"/>
              <w:snapToGrid w:val="0"/>
              <w:jc w:val="center"/>
              <w:rPr>
                <w:rFonts w:hint="eastAsia" w:ascii="宋体" w:hAnsi="宋体" w:cs="宋体"/>
                <w:color w:val="auto"/>
                <w:szCs w:val="21"/>
                <w:highlight w:val="none"/>
              </w:rPr>
            </w:pPr>
          </w:p>
        </w:tc>
      </w:tr>
      <w:tr w14:paraId="3A783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vAlign w:val="center"/>
          </w:tcPr>
          <w:p w14:paraId="22B8929D">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0E58EB02">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A1F8BC2">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16373994">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245954A4">
            <w:pPr>
              <w:tabs>
                <w:tab w:val="left" w:pos="0"/>
                <w:tab w:val="left" w:pos="720"/>
              </w:tabs>
              <w:adjustRightInd w:val="0"/>
              <w:snapToGrid w:val="0"/>
              <w:jc w:val="center"/>
              <w:rPr>
                <w:rFonts w:hint="eastAsia" w:ascii="宋体" w:hAnsi="宋体" w:cs="宋体"/>
                <w:color w:val="auto"/>
                <w:szCs w:val="21"/>
                <w:highlight w:val="none"/>
              </w:rPr>
            </w:pPr>
          </w:p>
        </w:tc>
      </w:tr>
    </w:tbl>
    <w:p w14:paraId="3B27A90E">
      <w:pPr>
        <w:ind w:left="361" w:hanging="361" w:hanging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注：参与编制标书所有人员名单应包括如编制投标文件（含资格审查文件）、负责清样校对、负责打印及复印等所有人员在内的人员名单。</w:t>
      </w:r>
    </w:p>
    <w:p w14:paraId="01593BFB">
      <w:pPr>
        <w:spacing w:line="360" w:lineRule="auto"/>
        <w:ind w:left="-283" w:leftChars="-135" w:right="-191" w:rightChars="-91"/>
        <w:rPr>
          <w:rFonts w:hint="eastAsia" w:ascii="宋体" w:hAnsi="宋体" w:cs="宋体"/>
          <w:color w:val="auto"/>
          <w:sz w:val="24"/>
          <w:highlight w:val="none"/>
        </w:rPr>
      </w:pPr>
    </w:p>
    <w:p w14:paraId="080229F6">
      <w:pPr>
        <w:spacing w:line="360" w:lineRule="auto"/>
        <w:ind w:left="-283" w:leftChars="-135" w:right="-191" w:rightChars="-91"/>
        <w:rPr>
          <w:rFonts w:hint="eastAsia" w:ascii="宋体" w:hAnsi="宋体" w:cs="宋体"/>
          <w:color w:val="auto"/>
          <w:sz w:val="24"/>
          <w:highlight w:val="none"/>
        </w:rPr>
      </w:pPr>
    </w:p>
    <w:p w14:paraId="19D553B7">
      <w:pPr>
        <w:autoSpaceDE w:val="0"/>
        <w:autoSpaceDN w:val="0"/>
        <w:adjustRightInd w:val="0"/>
        <w:spacing w:line="360" w:lineRule="auto"/>
        <w:outlineLvl w:val="1"/>
        <w:rPr>
          <w:rFonts w:ascii="宋体" w:hAnsi="宋体" w:cs="宋体"/>
          <w:color w:val="auto"/>
          <w:sz w:val="24"/>
          <w:highlight w:val="none"/>
        </w:rPr>
        <w:sectPr>
          <w:footerReference r:id="rId5" w:type="default"/>
          <w:pgSz w:w="11906" w:h="16838"/>
          <w:pgMar w:top="1440" w:right="1800" w:bottom="1440" w:left="1800" w:header="851" w:footer="992" w:gutter="0"/>
          <w:cols w:space="720" w:num="1"/>
          <w:docGrid w:type="lines" w:linePitch="312" w:charSpace="0"/>
        </w:sectPr>
      </w:pPr>
      <w:r>
        <w:rPr>
          <w:rFonts w:ascii="宋体" w:hAnsi="宋体" w:cs="宋体"/>
          <w:color w:val="auto"/>
          <w:sz w:val="24"/>
          <w:highlight w:val="none"/>
        </w:rPr>
        <w:br w:type="page"/>
      </w:r>
      <w:bookmarkStart w:id="600" w:name="_Toc57392568"/>
      <w:bookmarkStart w:id="601" w:name="_Toc134304600"/>
    </w:p>
    <w:p w14:paraId="71706514">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t>格式5</w:t>
      </w:r>
    </w:p>
    <w:p w14:paraId="1DD385C7">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577AC45">
      <w:pPr>
        <w:pStyle w:val="6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eastAsiaTheme="minorEastAsia"/>
          <w:b/>
          <w:bCs w:val="0"/>
          <w:i w:val="0"/>
          <w:iCs w:val="0"/>
          <w:caps w:val="0"/>
          <w:color w:val="auto"/>
          <w:spacing w:val="0"/>
          <w:sz w:val="25"/>
          <w:szCs w:val="25"/>
          <w:highlight w:val="none"/>
          <w:shd w:val="clear" w:fill="FFFFFF"/>
          <w:lang w:val="en-US" w:eastAsia="zh-CN"/>
        </w:rPr>
      </w:pPr>
      <w:r>
        <w:rPr>
          <w:rFonts w:hint="eastAsia" w:ascii="宋体" w:hAnsi="宋体" w:cs="宋体"/>
          <w:b/>
          <w:bCs w:val="0"/>
          <w:color w:val="auto"/>
          <w:sz w:val="24"/>
          <w:highlight w:val="none"/>
        </w:rPr>
        <w:t>格式</w:t>
      </w:r>
      <w:r>
        <w:rPr>
          <w:rFonts w:hint="eastAsia" w:ascii="宋体" w:hAnsi="宋体" w:cs="宋体"/>
          <w:b/>
          <w:bCs w:val="0"/>
          <w:color w:val="auto"/>
          <w:sz w:val="24"/>
          <w:highlight w:val="none"/>
          <w:lang w:val="en-US" w:eastAsia="zh-CN"/>
        </w:rPr>
        <w:t>6</w:t>
      </w:r>
    </w:p>
    <w:p w14:paraId="2B562B37">
      <w:pPr>
        <w:autoSpaceDE w:val="0"/>
        <w:autoSpaceDN w:val="0"/>
        <w:adjustRightInd w:val="0"/>
        <w:spacing w:line="360" w:lineRule="auto"/>
        <w:jc w:val="center"/>
        <w:rPr>
          <w:rFonts w:hint="eastAsia" w:ascii="宋体" w:hAnsi="宋体" w:cs="宋体"/>
          <w:b/>
          <w:bCs/>
          <w:color w:val="auto"/>
          <w:sz w:val="28"/>
          <w:szCs w:val="28"/>
          <w:highlight w:val="none"/>
          <w:u w:val="single"/>
          <w:lang w:val="zh-CN"/>
        </w:rPr>
      </w:pPr>
      <w:bookmarkStart w:id="602" w:name="_Toc15115"/>
      <w:r>
        <w:rPr>
          <w:rFonts w:hint="eastAsia" w:ascii="宋体" w:hAnsi="宋体" w:cs="宋体"/>
          <w:b/>
          <w:bCs/>
          <w:color w:val="auto"/>
          <w:sz w:val="28"/>
          <w:szCs w:val="28"/>
          <w:highlight w:val="none"/>
          <w:u w:val="single"/>
          <w:lang w:val="zh-CN"/>
        </w:rPr>
        <w:t>危险性较大的分部分项工程清单及超过一定规模的危险性较大的分部分项工程清单</w:t>
      </w:r>
      <w:bookmarkEnd w:id="602"/>
    </w:p>
    <w:p w14:paraId="248D3845">
      <w:pPr>
        <w:pStyle w:val="111"/>
        <w:numPr>
          <w:ilvl w:val="0"/>
          <w:numId w:val="0"/>
        </w:numPr>
        <w:autoSpaceDE/>
        <w:autoSpaceDN/>
        <w:adjustRightInd w:val="0"/>
        <w:spacing w:line="360" w:lineRule="auto"/>
        <w:ind w:firstLine="420" w:firstLineChars="200"/>
        <w:jc w:val="left"/>
        <w:rPr>
          <w:rFonts w:hint="eastAsia" w:ascii="宋体" w:hAnsi="宋体" w:cs="宋体"/>
          <w:b w:val="0"/>
          <w:bCs w:val="0"/>
          <w:color w:val="auto"/>
          <w:szCs w:val="21"/>
          <w:highlight w:val="none"/>
          <w:u w:val="single"/>
        </w:rPr>
      </w:pPr>
      <w:r>
        <w:rPr>
          <w:rFonts w:hint="eastAsia" w:ascii="宋体" w:hAnsi="宋体" w:cs="宋体" w:eastAsiaTheme="minorEastAsia"/>
          <w:b w:val="0"/>
          <w:bCs w:val="0"/>
          <w:color w:val="auto"/>
          <w:kern w:val="2"/>
          <w:sz w:val="21"/>
          <w:szCs w:val="21"/>
          <w:highlight w:val="none"/>
          <w:lang w:val="en-US" w:eastAsia="zh-CN" w:bidi="ar-SA"/>
        </w:rPr>
        <w:t>1.</w:t>
      </w:r>
      <w:r>
        <w:rPr>
          <w:rFonts w:hint="eastAsia" w:ascii="宋体" w:hAnsi="宋体" w:cs="宋体"/>
          <w:b w:val="0"/>
          <w:bCs w:val="0"/>
          <w:color w:val="auto"/>
          <w:szCs w:val="21"/>
          <w:highlight w:val="none"/>
          <w:u w:val="single"/>
        </w:rPr>
        <w:t>根据中华人民共和国住房和城乡建设部令第37号《危险性较大的分部分项工程安全管理规定》（以下简称“37号文”），投标人在投标时须补充完善危大工程清单并明确相应的安全管理措施。</w:t>
      </w:r>
    </w:p>
    <w:p w14:paraId="5C438DEA">
      <w:pPr>
        <w:pStyle w:val="111"/>
        <w:numPr>
          <w:ilvl w:val="0"/>
          <w:numId w:val="0"/>
        </w:numPr>
        <w:autoSpaceDE/>
        <w:autoSpaceDN/>
        <w:adjustRightInd w:val="0"/>
        <w:spacing w:line="360" w:lineRule="auto"/>
        <w:ind w:left="0" w:leftChars="0" w:firstLine="420" w:firstLineChars="200"/>
        <w:jc w:val="left"/>
        <w:rPr>
          <w:rFonts w:hint="eastAsia" w:ascii="宋体" w:hAnsi="宋体" w:cs="宋体"/>
          <w:b w:val="0"/>
          <w:bCs w:val="0"/>
          <w:color w:val="auto"/>
          <w:szCs w:val="21"/>
          <w:highlight w:val="none"/>
          <w:u w:val="single"/>
        </w:rPr>
      </w:pPr>
      <w:r>
        <w:rPr>
          <w:rFonts w:hint="eastAsia" w:ascii="宋体" w:hAnsi="宋体" w:cs="宋体" w:eastAsiaTheme="minorEastAsia"/>
          <w:b w:val="0"/>
          <w:bCs w:val="0"/>
          <w:color w:val="auto"/>
          <w:kern w:val="2"/>
          <w:sz w:val="21"/>
          <w:szCs w:val="21"/>
          <w:highlight w:val="none"/>
          <w:lang w:val="en-US" w:eastAsia="zh-CN" w:bidi="ar-SA"/>
        </w:rPr>
        <w:t>2.</w:t>
      </w:r>
      <w:r>
        <w:rPr>
          <w:rFonts w:hint="eastAsia" w:ascii="宋体" w:hAnsi="宋体" w:cs="宋体"/>
          <w:b/>
          <w:bCs/>
          <w:color w:val="auto"/>
          <w:szCs w:val="21"/>
          <w:highlight w:val="none"/>
          <w:u w:val="single"/>
        </w:rPr>
        <w:t>招标人根据设计文件的要求及37号文的规定列出“危险性较大的分部分项工程清单及超过一定规模的危险性较大的分部分项工程清单”中与本招标项目相关的清单项，具体详见第5点“打√”标识。</w:t>
      </w:r>
    </w:p>
    <w:p w14:paraId="76EE0DBF">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（1）投标单位同意建设单位在清单中标识的该项请在对应项打“√”标识，并与投标文件中提供相应的安全管理措施。</w:t>
      </w:r>
    </w:p>
    <w:p w14:paraId="1D8C71CD">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（2）投标单位对清单中认为需要补充的该项请在对应项打“√”标识，并与投标文件中提供相应的安全管理措施。</w:t>
      </w:r>
    </w:p>
    <w:p w14:paraId="37072E6E">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（3）投标单位不同意建设单位在清单中标识的该项请在对应项打“×”标识，并在备注栏填上相关说明。</w:t>
      </w:r>
    </w:p>
    <w:p w14:paraId="52A6B79F">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3</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投标单位应当在投标时根据招标人提供的下述第5点清单，在中标后提供的施工组织中编制专项施工方案。</w:t>
      </w:r>
    </w:p>
    <w:p w14:paraId="3A3646EC">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4</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978FFE1">
      <w:pPr>
        <w:pStyle w:val="111"/>
        <w:autoSpaceDE w:val="0"/>
        <w:autoSpaceDN w:val="0"/>
        <w:adjustRightInd w:val="0"/>
        <w:spacing w:line="360" w:lineRule="auto"/>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5</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危险性较大的分部分项工程清单及超过一定规模的危险性较大的分部分项工程清单：</w:t>
      </w:r>
    </w:p>
    <w:tbl>
      <w:tblPr>
        <w:tblStyle w:val="74"/>
        <w:tblpPr w:leftFromText="180" w:rightFromText="180" w:vertAnchor="text" w:horzAnchor="page" w:tblpX="1441" w:tblpY="46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1377"/>
        <w:gridCol w:w="1081"/>
        <w:gridCol w:w="918"/>
        <w:gridCol w:w="1727"/>
      </w:tblGrid>
      <w:tr w14:paraId="2AC2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411D725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一、危险性较大的分部分项工程清单</w:t>
            </w:r>
          </w:p>
        </w:tc>
        <w:tc>
          <w:tcPr>
            <w:tcW w:w="1377" w:type="dxa"/>
            <w:vAlign w:val="center"/>
          </w:tcPr>
          <w:p w14:paraId="0422B2C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建设单位</w:t>
            </w:r>
          </w:p>
        </w:tc>
        <w:tc>
          <w:tcPr>
            <w:tcW w:w="1081" w:type="dxa"/>
            <w:vAlign w:val="center"/>
          </w:tcPr>
          <w:p w14:paraId="46AACD2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投标单位</w:t>
            </w:r>
          </w:p>
        </w:tc>
        <w:tc>
          <w:tcPr>
            <w:tcW w:w="918" w:type="dxa"/>
            <w:vAlign w:val="center"/>
          </w:tcPr>
          <w:p w14:paraId="0A8AF6D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安全管理措施</w:t>
            </w:r>
          </w:p>
        </w:tc>
        <w:tc>
          <w:tcPr>
            <w:tcW w:w="1727" w:type="dxa"/>
            <w:vAlign w:val="center"/>
          </w:tcPr>
          <w:p w14:paraId="0C89B45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备注</w:t>
            </w:r>
          </w:p>
        </w:tc>
      </w:tr>
      <w:tr w14:paraId="368E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22E3BC74">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一、基坑支护</w:t>
            </w:r>
          </w:p>
        </w:tc>
        <w:tc>
          <w:tcPr>
            <w:tcW w:w="1377" w:type="dxa"/>
            <w:vAlign w:val="center"/>
          </w:tcPr>
          <w:p w14:paraId="1B77472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081" w:type="dxa"/>
            <w:vAlign w:val="center"/>
          </w:tcPr>
          <w:p w14:paraId="26A5E1B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918" w:type="dxa"/>
            <w:vAlign w:val="center"/>
          </w:tcPr>
          <w:p w14:paraId="5ECB339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CA9936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1E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11C01E6F">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（一）开挖深度超过3m（含3m）的基坑（槽）的土方开挖、支护、降水工程。</w:t>
            </w:r>
          </w:p>
        </w:tc>
        <w:tc>
          <w:tcPr>
            <w:tcW w:w="1377" w:type="dxa"/>
            <w:vAlign w:val="center"/>
          </w:tcPr>
          <w:p w14:paraId="6090A4E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EE98B1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E750C0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AF0277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8B4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vAlign w:val="center"/>
          </w:tcPr>
          <w:p w14:paraId="4FF60634">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（二）开挖深度虽未超过3m，但地质条件、周围环境和地下管线复杂，或影响毗邻建、构筑物安全的基坑（槽）的土方开挖、支护、降水工程。</w:t>
            </w:r>
          </w:p>
        </w:tc>
        <w:tc>
          <w:tcPr>
            <w:tcW w:w="1377" w:type="dxa"/>
            <w:vAlign w:val="center"/>
          </w:tcPr>
          <w:p w14:paraId="369097B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FD2A09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7A72DB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62A0488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0EB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09CE7855">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二、模板工程及支撑体系</w:t>
            </w:r>
          </w:p>
        </w:tc>
        <w:tc>
          <w:tcPr>
            <w:tcW w:w="1377" w:type="dxa"/>
            <w:vAlign w:val="center"/>
          </w:tcPr>
          <w:p w14:paraId="6EA0C07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081" w:type="dxa"/>
            <w:vAlign w:val="center"/>
          </w:tcPr>
          <w:p w14:paraId="2C91C55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918" w:type="dxa"/>
            <w:vAlign w:val="center"/>
          </w:tcPr>
          <w:p w14:paraId="1FFCE00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E7AC60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4EEA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7D4638C9">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（一）各类工具式模板工程：包括滑模、爬模、飞模、隧道模等工程。</w:t>
            </w:r>
          </w:p>
        </w:tc>
        <w:tc>
          <w:tcPr>
            <w:tcW w:w="1377" w:type="dxa"/>
            <w:vAlign w:val="center"/>
          </w:tcPr>
          <w:p w14:paraId="42E304C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7F507CF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3D9E6E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FA4E08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42FB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474" w:type="dxa"/>
            <w:vAlign w:val="center"/>
          </w:tcPr>
          <w:p w14:paraId="59350C7E">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77" w:type="dxa"/>
            <w:vAlign w:val="center"/>
          </w:tcPr>
          <w:p w14:paraId="7D74912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w:t>
            </w:r>
          </w:p>
        </w:tc>
        <w:tc>
          <w:tcPr>
            <w:tcW w:w="1081" w:type="dxa"/>
            <w:vAlign w:val="center"/>
          </w:tcPr>
          <w:p w14:paraId="250F3FD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D99AC3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DC85B0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0ED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vAlign w:val="center"/>
          </w:tcPr>
          <w:p w14:paraId="6F6FE348">
            <w:pPr>
              <w:keepNext w:val="0"/>
              <w:keepLines w:val="0"/>
              <w:widowControl/>
              <w:suppressLineNumbers w:val="0"/>
              <w:spacing w:before="0" w:beforeAutospacing="0" w:after="0" w:afterAutospacing="0" w:line="360" w:lineRule="atLeast"/>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（三）承重支撑体系：用于钢结构安装等满堂支撑体系。</w:t>
            </w:r>
          </w:p>
        </w:tc>
        <w:tc>
          <w:tcPr>
            <w:tcW w:w="1377" w:type="dxa"/>
            <w:vAlign w:val="center"/>
          </w:tcPr>
          <w:p w14:paraId="12AC9FE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b w:val="0"/>
                <w:bCs w:val="0"/>
                <w:color w:val="auto"/>
                <w:szCs w:val="21"/>
                <w:highlight w:val="none"/>
                <w:u w:val="single"/>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61D5759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D5C13C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44AF595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AE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4" w:type="dxa"/>
            <w:vAlign w:val="center"/>
          </w:tcPr>
          <w:p w14:paraId="041A45E2">
            <w:pPr>
              <w:keepNext w:val="0"/>
              <w:keepLines w:val="0"/>
              <w:widowControl/>
              <w:suppressLineNumbers w:val="0"/>
              <w:spacing w:before="0" w:beforeAutospacing="0" w:after="0" w:afterAutospacing="0" w:line="360" w:lineRule="atLeast"/>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三、起重吊装及起重机械安装拆卸工程</w:t>
            </w:r>
          </w:p>
        </w:tc>
        <w:tc>
          <w:tcPr>
            <w:tcW w:w="1377" w:type="dxa"/>
            <w:vAlign w:val="center"/>
          </w:tcPr>
          <w:p w14:paraId="47EC764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081" w:type="dxa"/>
            <w:vAlign w:val="center"/>
          </w:tcPr>
          <w:p w14:paraId="68CFB8B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918" w:type="dxa"/>
            <w:vAlign w:val="center"/>
          </w:tcPr>
          <w:p w14:paraId="7D0E2F7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152222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DC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474" w:type="dxa"/>
            <w:vAlign w:val="center"/>
          </w:tcPr>
          <w:p w14:paraId="22C64927">
            <w:pPr>
              <w:keepNext w:val="0"/>
              <w:keepLines w:val="0"/>
              <w:widowControl/>
              <w:suppressLineNumbers w:val="0"/>
              <w:spacing w:before="0" w:beforeAutospacing="0" w:after="0" w:afterAutospacing="0" w:line="360" w:lineRule="atLeast"/>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（一）采用非常规起重设备、方法，且单件起吊重量在10kN及以上的起重吊装工程。</w:t>
            </w:r>
          </w:p>
        </w:tc>
        <w:tc>
          <w:tcPr>
            <w:tcW w:w="1377" w:type="dxa"/>
            <w:vAlign w:val="center"/>
          </w:tcPr>
          <w:p w14:paraId="334BD11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36AC138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EC387F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F60D53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highlight w:val="none"/>
                <w:u w:val="single"/>
                <w:lang w:val="en-US" w:eastAsia="zh-CN"/>
              </w:rPr>
            </w:pPr>
          </w:p>
        </w:tc>
      </w:tr>
      <w:tr w14:paraId="12EF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19926883">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（二）采用起重机械进行安装的工程。</w:t>
            </w:r>
          </w:p>
        </w:tc>
        <w:tc>
          <w:tcPr>
            <w:tcW w:w="1377" w:type="dxa"/>
            <w:vAlign w:val="center"/>
          </w:tcPr>
          <w:p w14:paraId="068304A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D40C31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DC1028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A55721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highlight w:val="none"/>
                <w:u w:val="single"/>
                <w:lang w:eastAsia="zh-CN"/>
              </w:rPr>
            </w:pPr>
          </w:p>
        </w:tc>
      </w:tr>
      <w:tr w14:paraId="3C89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815EBC4">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（三）起重机械安装和拆卸工程。</w:t>
            </w:r>
          </w:p>
        </w:tc>
        <w:tc>
          <w:tcPr>
            <w:tcW w:w="1377" w:type="dxa"/>
            <w:vAlign w:val="center"/>
          </w:tcPr>
          <w:p w14:paraId="374A3C0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55FE226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7DFEE37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B53BEE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93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56AC82D9">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四、脚手架工程</w:t>
            </w:r>
          </w:p>
        </w:tc>
        <w:tc>
          <w:tcPr>
            <w:tcW w:w="1377" w:type="dxa"/>
            <w:vAlign w:val="center"/>
          </w:tcPr>
          <w:p w14:paraId="08BE7DE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0C3852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688A37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1A87D2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2E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6E8D4101">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（一）搭设高度24m及以上的落地式钢管脚手架工程（包括采光井、电梯井脚手架）。</w:t>
            </w:r>
          </w:p>
        </w:tc>
        <w:tc>
          <w:tcPr>
            <w:tcW w:w="1377" w:type="dxa"/>
            <w:vAlign w:val="center"/>
          </w:tcPr>
          <w:p w14:paraId="4AA2145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036D38E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284B41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1AB598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A9D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7AE04C6">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（二）附着式升降脚手架工程。</w:t>
            </w:r>
          </w:p>
        </w:tc>
        <w:tc>
          <w:tcPr>
            <w:tcW w:w="1377" w:type="dxa"/>
            <w:vAlign w:val="center"/>
          </w:tcPr>
          <w:p w14:paraId="48D4CC5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A2A42D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210F73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2A30D6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628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0F88794E">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（三）悬挑式脚手架工程。</w:t>
            </w:r>
          </w:p>
        </w:tc>
        <w:tc>
          <w:tcPr>
            <w:tcW w:w="1377" w:type="dxa"/>
            <w:vAlign w:val="center"/>
          </w:tcPr>
          <w:p w14:paraId="673DC15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59D6074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5699DF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74B39B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4E2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5293540">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（四）高处作业吊篮。</w:t>
            </w:r>
          </w:p>
        </w:tc>
        <w:tc>
          <w:tcPr>
            <w:tcW w:w="1377" w:type="dxa"/>
            <w:vAlign w:val="center"/>
          </w:tcPr>
          <w:p w14:paraId="3B56FB1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A57E91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B04167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4504B48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E7A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165A134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（五）卸料平台、操作平台工程。</w:t>
            </w:r>
          </w:p>
        </w:tc>
        <w:tc>
          <w:tcPr>
            <w:tcW w:w="1377" w:type="dxa"/>
            <w:vAlign w:val="center"/>
          </w:tcPr>
          <w:p w14:paraId="32508FD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6B8A4E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18F725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D3328D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114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08DE3B65">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（六）异型脚手架工程。</w:t>
            </w:r>
          </w:p>
        </w:tc>
        <w:tc>
          <w:tcPr>
            <w:tcW w:w="1377" w:type="dxa"/>
            <w:vAlign w:val="center"/>
          </w:tcPr>
          <w:p w14:paraId="7168756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B93267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073AD0B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DA577B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ABE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2C0D4077">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五、拆除工程</w:t>
            </w:r>
          </w:p>
        </w:tc>
        <w:tc>
          <w:tcPr>
            <w:tcW w:w="1377" w:type="dxa"/>
            <w:vAlign w:val="center"/>
          </w:tcPr>
          <w:p w14:paraId="09A879E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5D69D7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07F023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0A9D98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BE8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71502F8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可能影响行人、交通、电力设施、通讯设施或其它建、构筑物安全的拆除工程。</w:t>
            </w:r>
          </w:p>
        </w:tc>
        <w:tc>
          <w:tcPr>
            <w:tcW w:w="1377" w:type="dxa"/>
            <w:vAlign w:val="center"/>
          </w:tcPr>
          <w:p w14:paraId="77972CB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62D21F0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2238C3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E9B46D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06E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520F40F8">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六、暗挖工程</w:t>
            </w:r>
          </w:p>
        </w:tc>
        <w:tc>
          <w:tcPr>
            <w:tcW w:w="1377" w:type="dxa"/>
            <w:vAlign w:val="center"/>
          </w:tcPr>
          <w:p w14:paraId="62B98B5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1EC3DE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F182D4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6279B0A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65F8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42CB3706">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采用矿山法、盾构法、顶管法施工的隧道、洞室工程。</w:t>
            </w:r>
          </w:p>
        </w:tc>
        <w:tc>
          <w:tcPr>
            <w:tcW w:w="1377" w:type="dxa"/>
            <w:vAlign w:val="center"/>
          </w:tcPr>
          <w:p w14:paraId="38E0758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3F48626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0595F9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4052C5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4E21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9D40634">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七、其它</w:t>
            </w:r>
          </w:p>
        </w:tc>
        <w:tc>
          <w:tcPr>
            <w:tcW w:w="1377" w:type="dxa"/>
            <w:vAlign w:val="center"/>
          </w:tcPr>
          <w:p w14:paraId="24288F1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D2ED9E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16ABDE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48C62BA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3C0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468603A9">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（一）建筑幕墙安装工程。</w:t>
            </w:r>
          </w:p>
        </w:tc>
        <w:tc>
          <w:tcPr>
            <w:tcW w:w="1377" w:type="dxa"/>
            <w:vAlign w:val="center"/>
          </w:tcPr>
          <w:p w14:paraId="586B53B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2BC5736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B7193C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225BE6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DA0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E6E6E11">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（二）钢结构、网架和索膜结构安装工程。</w:t>
            </w:r>
          </w:p>
        </w:tc>
        <w:tc>
          <w:tcPr>
            <w:tcW w:w="1377" w:type="dxa"/>
            <w:vAlign w:val="center"/>
          </w:tcPr>
          <w:p w14:paraId="1A45327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E1842F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B32909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E3245A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52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FE513BE">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（三）人工挖孔桩工程。</w:t>
            </w:r>
          </w:p>
        </w:tc>
        <w:tc>
          <w:tcPr>
            <w:tcW w:w="1377" w:type="dxa"/>
            <w:vAlign w:val="center"/>
          </w:tcPr>
          <w:p w14:paraId="6733DAE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742C503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95F39E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269359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F0D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2E08932E">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（四）水下作业工程。</w:t>
            </w:r>
          </w:p>
        </w:tc>
        <w:tc>
          <w:tcPr>
            <w:tcW w:w="1377" w:type="dxa"/>
            <w:vAlign w:val="center"/>
          </w:tcPr>
          <w:p w14:paraId="3E9E609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E31200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FAC236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1D53AC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309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474" w:type="dxa"/>
            <w:vAlign w:val="center"/>
          </w:tcPr>
          <w:p w14:paraId="3E4DC10F">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（五）装配式建筑混凝土预制构件安装工程。</w:t>
            </w:r>
          </w:p>
        </w:tc>
        <w:tc>
          <w:tcPr>
            <w:tcW w:w="1377" w:type="dxa"/>
            <w:vAlign w:val="center"/>
          </w:tcPr>
          <w:p w14:paraId="1B59ACE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9E0744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3BADEB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136B4BC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B9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4" w:type="dxa"/>
            <w:vAlign w:val="center"/>
          </w:tcPr>
          <w:p w14:paraId="324DCADD">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（六）采用新技术、新工艺、新材料、新设备可能影响工程施工安全，尚无国家、行业及地方技术标准的分部分项工程。</w:t>
            </w:r>
          </w:p>
        </w:tc>
        <w:tc>
          <w:tcPr>
            <w:tcW w:w="1377" w:type="dxa"/>
            <w:vAlign w:val="center"/>
          </w:tcPr>
          <w:p w14:paraId="4B1CE1F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33E3B0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C0ECE9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3BACDF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3539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vAlign w:val="center"/>
          </w:tcPr>
          <w:p w14:paraId="50D26CAD">
            <w:pPr>
              <w:keepNext w:val="0"/>
              <w:keepLines w:val="0"/>
              <w:widowControl/>
              <w:suppressLineNumbers w:val="0"/>
              <w:spacing w:before="0" w:beforeAutospacing="0" w:after="0" w:afterAutospacing="0" w:line="360" w:lineRule="atLeast"/>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二、超过一定规模的危险性较大的分部分项工程清单</w:t>
            </w:r>
          </w:p>
        </w:tc>
        <w:tc>
          <w:tcPr>
            <w:tcW w:w="1377" w:type="dxa"/>
            <w:vAlign w:val="center"/>
          </w:tcPr>
          <w:p w14:paraId="6F15584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155C91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FB4861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565517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50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5847C3C4">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一、深基坑工程</w:t>
            </w:r>
          </w:p>
        </w:tc>
        <w:tc>
          <w:tcPr>
            <w:tcW w:w="1377" w:type="dxa"/>
            <w:vAlign w:val="center"/>
          </w:tcPr>
          <w:p w14:paraId="0415D7D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1E6FF3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06C0064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66005E9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A24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4DF94C33">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开挖深度超过5m（含5m）的基坑（槽）的土方开挖、支护、降水工程。</w:t>
            </w:r>
          </w:p>
        </w:tc>
        <w:tc>
          <w:tcPr>
            <w:tcW w:w="1377" w:type="dxa"/>
            <w:vAlign w:val="center"/>
          </w:tcPr>
          <w:p w14:paraId="300BB07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4D0344B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56F7E2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407EC09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5A5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327F36D0">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二、模板工程及支撑体系</w:t>
            </w:r>
          </w:p>
        </w:tc>
        <w:tc>
          <w:tcPr>
            <w:tcW w:w="1377" w:type="dxa"/>
            <w:vAlign w:val="center"/>
          </w:tcPr>
          <w:p w14:paraId="5820DDF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A49F16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0BE209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F0ACC4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F6A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3BAD619E">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（一）各类工具式模板工程：包括滑模、爬模、飞模、隧道模等工程。</w:t>
            </w:r>
          </w:p>
        </w:tc>
        <w:tc>
          <w:tcPr>
            <w:tcW w:w="1377" w:type="dxa"/>
            <w:vAlign w:val="center"/>
          </w:tcPr>
          <w:p w14:paraId="1AE3C9C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5957C5B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2ECC7E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4FD2D5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D2F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vAlign w:val="center"/>
          </w:tcPr>
          <w:p w14:paraId="18AB4318">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（二）混凝土模板支撑工程：搭设高度8m及以上，或搭设跨度18m及以上，或施工总荷载（设计值）15kN/m2及以上，或集中线荷载（设计值）20kN/m及以上。</w:t>
            </w:r>
          </w:p>
        </w:tc>
        <w:tc>
          <w:tcPr>
            <w:tcW w:w="1377" w:type="dxa"/>
            <w:vAlign w:val="center"/>
          </w:tcPr>
          <w:p w14:paraId="284763C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05DA5A5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9EAA1C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100829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437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2964B8CD">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（三）承重支撑体系：用于钢结构安装等满堂支撑体系，承受单点集中荷载7kN及以上。</w:t>
            </w:r>
          </w:p>
        </w:tc>
        <w:tc>
          <w:tcPr>
            <w:tcW w:w="1377" w:type="dxa"/>
            <w:vAlign w:val="center"/>
          </w:tcPr>
          <w:p w14:paraId="3834B8D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14AB94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C027DB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E80CB6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D4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3FE7301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三、起重吊装及起重机械安装拆卸工程</w:t>
            </w:r>
          </w:p>
        </w:tc>
        <w:tc>
          <w:tcPr>
            <w:tcW w:w="1377" w:type="dxa"/>
            <w:vAlign w:val="center"/>
          </w:tcPr>
          <w:p w14:paraId="6A54C00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E4AEF7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902578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1D04C57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F33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7B42E92B">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（一）采用非常规起重设备、方法，且单件起吊重量在100kN及以上的起重吊装工程。</w:t>
            </w:r>
          </w:p>
        </w:tc>
        <w:tc>
          <w:tcPr>
            <w:tcW w:w="1377" w:type="dxa"/>
            <w:vAlign w:val="center"/>
          </w:tcPr>
          <w:p w14:paraId="4E6D221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988B1A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31D24EF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46DAD2A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6D2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vAlign w:val="center"/>
          </w:tcPr>
          <w:p w14:paraId="0E958B30">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（二）起重量300kN及以上，或搭设总高度200m及以上，或搭设基础标高在200m及以上的起重机械安装和拆卸工程。</w:t>
            </w:r>
          </w:p>
        </w:tc>
        <w:tc>
          <w:tcPr>
            <w:tcW w:w="1377" w:type="dxa"/>
            <w:vAlign w:val="center"/>
          </w:tcPr>
          <w:p w14:paraId="448E71F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394EB99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339C79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43A2F9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13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67660440">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四、脚手架工程</w:t>
            </w:r>
          </w:p>
        </w:tc>
        <w:tc>
          <w:tcPr>
            <w:tcW w:w="1377" w:type="dxa"/>
            <w:vAlign w:val="center"/>
          </w:tcPr>
          <w:p w14:paraId="0D610AD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2A4D88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736FDB9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F70F37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0C5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082D6A51">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（一）搭设高度50m及以上的落地式钢管脚手架工程。</w:t>
            </w:r>
          </w:p>
        </w:tc>
        <w:tc>
          <w:tcPr>
            <w:tcW w:w="1377" w:type="dxa"/>
            <w:vAlign w:val="center"/>
          </w:tcPr>
          <w:p w14:paraId="16F2D23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w:t>
            </w:r>
          </w:p>
        </w:tc>
        <w:tc>
          <w:tcPr>
            <w:tcW w:w="1081" w:type="dxa"/>
            <w:vAlign w:val="center"/>
          </w:tcPr>
          <w:p w14:paraId="64F6DA1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E680C6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E20F5F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63E2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28C19B43">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（二）提升高度在150m及以上的附着式升降脚手架工程或附着式升降操作平台工程。</w:t>
            </w:r>
          </w:p>
        </w:tc>
        <w:tc>
          <w:tcPr>
            <w:tcW w:w="1377" w:type="dxa"/>
            <w:vAlign w:val="center"/>
          </w:tcPr>
          <w:p w14:paraId="6C285DF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2B8DDE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8AD680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1E966BA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074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1A7B840C">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（三）分段架体搭设高度20m及以上的悬挑式脚手架工程。</w:t>
            </w:r>
          </w:p>
        </w:tc>
        <w:tc>
          <w:tcPr>
            <w:tcW w:w="1377" w:type="dxa"/>
            <w:vAlign w:val="center"/>
          </w:tcPr>
          <w:p w14:paraId="56AB3BB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6CD7ECC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E0B73A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0B79DA9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5E2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5AA20616">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五、拆除工程</w:t>
            </w:r>
          </w:p>
        </w:tc>
        <w:tc>
          <w:tcPr>
            <w:tcW w:w="1377" w:type="dxa"/>
            <w:vAlign w:val="center"/>
          </w:tcPr>
          <w:p w14:paraId="4FE4BA3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50656A0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7C5E3603">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54A788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82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vAlign w:val="center"/>
          </w:tcPr>
          <w:p w14:paraId="74A77A8B">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（一）码头、桥梁、高架、烟囱、水塔或拆除中容易引起有毒有害气（液）体或粉尘扩散、易燃易爆事故发生的特殊建、构筑物的拆除工程。</w:t>
            </w:r>
          </w:p>
        </w:tc>
        <w:tc>
          <w:tcPr>
            <w:tcW w:w="1377" w:type="dxa"/>
            <w:vAlign w:val="center"/>
          </w:tcPr>
          <w:p w14:paraId="35F9EC0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114518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008014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639B958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30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7BDCFE0B">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（二）文物保护建筑、优秀历史建筑或历史文化风貌区影响范围内的拆除工程。</w:t>
            </w:r>
          </w:p>
        </w:tc>
        <w:tc>
          <w:tcPr>
            <w:tcW w:w="1377" w:type="dxa"/>
            <w:vAlign w:val="center"/>
          </w:tcPr>
          <w:p w14:paraId="6C3B21D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040975FE">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1625FA0">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12DE80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2C0E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7F1EBBD0">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六、暗挖工程</w:t>
            </w:r>
          </w:p>
        </w:tc>
        <w:tc>
          <w:tcPr>
            <w:tcW w:w="1377" w:type="dxa"/>
            <w:vAlign w:val="center"/>
          </w:tcPr>
          <w:p w14:paraId="4E6AA39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1B0F8C25">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EE562A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E4DAAE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39FD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1235C60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采用矿山法、盾构法、顶管法施工的隧道、洞室工程。</w:t>
            </w:r>
          </w:p>
        </w:tc>
        <w:tc>
          <w:tcPr>
            <w:tcW w:w="1377" w:type="dxa"/>
            <w:vAlign w:val="center"/>
          </w:tcPr>
          <w:p w14:paraId="494449D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6B80E63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138FB0D">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73AF94E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4A19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0C338411">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七、其它</w:t>
            </w:r>
          </w:p>
        </w:tc>
        <w:tc>
          <w:tcPr>
            <w:tcW w:w="1377" w:type="dxa"/>
            <w:vAlign w:val="center"/>
          </w:tcPr>
          <w:p w14:paraId="245B9DE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41A3190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09FF836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FEBD13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7981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59EAF26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（一）施工高度50m及以上的建筑幕墙安装工程。</w:t>
            </w:r>
          </w:p>
        </w:tc>
        <w:tc>
          <w:tcPr>
            <w:tcW w:w="1377" w:type="dxa"/>
            <w:vAlign w:val="center"/>
          </w:tcPr>
          <w:p w14:paraId="56C7B2E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 xml:space="preserve"> )</w:t>
            </w:r>
          </w:p>
        </w:tc>
        <w:tc>
          <w:tcPr>
            <w:tcW w:w="1081" w:type="dxa"/>
            <w:vAlign w:val="center"/>
          </w:tcPr>
          <w:p w14:paraId="4B33151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158B826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563F338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644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208CEA6F">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（二）跨度36m及以上的钢结构安装工程，或跨度60m及以上的网架和索膜结构安装工程。</w:t>
            </w:r>
          </w:p>
        </w:tc>
        <w:tc>
          <w:tcPr>
            <w:tcW w:w="1377" w:type="dxa"/>
            <w:vAlign w:val="center"/>
          </w:tcPr>
          <w:p w14:paraId="377C715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6747324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216554B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1B193E11">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1578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74" w:type="dxa"/>
            <w:vAlign w:val="center"/>
          </w:tcPr>
          <w:p w14:paraId="4493807D">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（三）开挖深度16m及以上的人工挖孔桩工程。</w:t>
            </w:r>
          </w:p>
        </w:tc>
        <w:tc>
          <w:tcPr>
            <w:tcW w:w="1377" w:type="dxa"/>
            <w:vAlign w:val="center"/>
          </w:tcPr>
          <w:p w14:paraId="6561D04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2F9206E8">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56D711D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4DD68CC">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534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vAlign w:val="center"/>
          </w:tcPr>
          <w:p w14:paraId="7BB70CBC">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（四）水下作业工程。</w:t>
            </w:r>
          </w:p>
        </w:tc>
        <w:tc>
          <w:tcPr>
            <w:tcW w:w="1377" w:type="dxa"/>
            <w:vAlign w:val="center"/>
          </w:tcPr>
          <w:p w14:paraId="1826CEE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70DC358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4ED01499">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D1D897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69E0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vAlign w:val="center"/>
          </w:tcPr>
          <w:p w14:paraId="6F7E6871">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（五）重量1000kN及以上的大型结构整体顶升、平移、转体等施工工艺。</w:t>
            </w:r>
          </w:p>
        </w:tc>
        <w:tc>
          <w:tcPr>
            <w:tcW w:w="1377" w:type="dxa"/>
            <w:vAlign w:val="center"/>
          </w:tcPr>
          <w:p w14:paraId="55559E52">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53EEBF44">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1921577">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277A5AA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r w14:paraId="3C1C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4" w:type="dxa"/>
            <w:vAlign w:val="center"/>
          </w:tcPr>
          <w:p w14:paraId="014EBAFA">
            <w:pPr>
              <w:keepNext w:val="0"/>
              <w:keepLines w:val="0"/>
              <w:suppressLineNumbers w:val="0"/>
              <w:spacing w:before="0" w:beforeAutospacing="0" w:after="0" w:afterAutospacing="0"/>
              <w:ind w:left="0" w:right="0"/>
              <w:jc w:val="left"/>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（六）采用新技术、新工艺、新材料、新设备可能影响工程施工安全，尚无国家、行业及地方技术标准的分部分项工程。</w:t>
            </w:r>
          </w:p>
        </w:tc>
        <w:tc>
          <w:tcPr>
            <w:tcW w:w="1377" w:type="dxa"/>
            <w:vAlign w:val="center"/>
          </w:tcPr>
          <w:p w14:paraId="72FA2556">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1081" w:type="dxa"/>
            <w:vAlign w:val="center"/>
          </w:tcPr>
          <w:p w14:paraId="3C07C7BF">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    )</w:t>
            </w:r>
          </w:p>
        </w:tc>
        <w:tc>
          <w:tcPr>
            <w:tcW w:w="918" w:type="dxa"/>
            <w:vAlign w:val="center"/>
          </w:tcPr>
          <w:p w14:paraId="6F38145B">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c>
          <w:tcPr>
            <w:tcW w:w="1727" w:type="dxa"/>
            <w:vAlign w:val="center"/>
          </w:tcPr>
          <w:p w14:paraId="3DE46E7A">
            <w:pPr>
              <w:keepNext w:val="0"/>
              <w:keepLines w:val="0"/>
              <w:suppressLineNumbers w:val="0"/>
              <w:spacing w:before="0" w:beforeAutospacing="0" w:after="0" w:afterAutospacing="0"/>
              <w:ind w:left="0" w:right="0"/>
              <w:jc w:val="center"/>
              <w:rPr>
                <w:rFonts w:hint="eastAsia" w:ascii="宋体" w:hAnsi="宋体" w:cs="宋体"/>
                <w:b w:val="0"/>
                <w:bCs w:val="0"/>
                <w:color w:val="auto"/>
                <w:szCs w:val="21"/>
                <w:highlight w:val="none"/>
                <w:u w:val="single"/>
              </w:rPr>
            </w:pPr>
          </w:p>
        </w:tc>
      </w:tr>
    </w:tbl>
    <w:p w14:paraId="33E3DAC1">
      <w:pPr>
        <w:spacing w:line="440" w:lineRule="exact"/>
        <w:ind w:firstLine="5880" w:firstLineChars="28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lang w:val="en-US" w:eastAsia="zh-CN"/>
        </w:rPr>
        <w:t>投</w:t>
      </w:r>
      <w:r>
        <w:rPr>
          <w:rFonts w:hint="eastAsia" w:ascii="宋体" w:hAnsi="宋体" w:cs="宋体"/>
          <w:b w:val="0"/>
          <w:bCs w:val="0"/>
          <w:color w:val="auto"/>
          <w:szCs w:val="21"/>
          <w:highlight w:val="none"/>
          <w:u w:val="single"/>
        </w:rPr>
        <w:t>标人名称：</w:t>
      </w:r>
    </w:p>
    <w:p w14:paraId="1A9D25D3">
      <w:pPr>
        <w:spacing w:line="440" w:lineRule="exact"/>
        <w:ind w:firstLine="5880" w:firstLineChars="2800"/>
        <w:rPr>
          <w:rFonts w:hint="eastAsia"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日  期：   年  月  日</w:t>
      </w:r>
    </w:p>
    <w:p w14:paraId="26AC929D">
      <w:pPr>
        <w:autoSpaceDE/>
        <w:autoSpaceDN/>
        <w:adjustRightInd/>
        <w:spacing w:line="240" w:lineRule="auto"/>
        <w:outlineLvl w:val="9"/>
        <w:rPr>
          <w:rFonts w:hint="eastAsia" w:ascii="宋体" w:hAnsi="宋体" w:cs="宋体"/>
          <w:bCs/>
          <w:color w:val="auto"/>
          <w:sz w:val="24"/>
          <w:highlight w:val="none"/>
        </w:rPr>
      </w:pPr>
    </w:p>
    <w:p w14:paraId="689642A5">
      <w:pPr>
        <w:autoSpaceDE/>
        <w:autoSpaceDN/>
        <w:adjustRightInd/>
        <w:spacing w:line="240" w:lineRule="auto"/>
        <w:outlineLvl w:val="9"/>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CEB41AE">
      <w:pPr>
        <w:autoSpaceDE w:val="0"/>
        <w:autoSpaceDN w:val="0"/>
        <w:adjustRightInd w:val="0"/>
        <w:spacing w:line="360" w:lineRule="auto"/>
        <w:outlineLvl w:val="1"/>
        <w:rPr>
          <w:rFonts w:hint="eastAsia" w:ascii="宋体" w:hAnsi="宋体" w:eastAsia="宋体" w:cs="宋体"/>
          <w:bCs/>
          <w:color w:val="auto"/>
          <w:sz w:val="30"/>
          <w:szCs w:val="30"/>
          <w:highlight w:val="none"/>
          <w:lang w:val="zh-CN" w:eastAsia="zh-CN"/>
        </w:rPr>
      </w:pPr>
      <w:r>
        <w:rPr>
          <w:rFonts w:hint="eastAsia" w:ascii="宋体" w:hAnsi="宋体" w:cs="宋体"/>
          <w:bCs/>
          <w:color w:val="auto"/>
          <w:sz w:val="24"/>
          <w:highlight w:val="none"/>
        </w:rPr>
        <w:t>格式</w:t>
      </w:r>
      <w:bookmarkEnd w:id="600"/>
      <w:bookmarkEnd w:id="601"/>
      <w:r>
        <w:rPr>
          <w:rFonts w:hint="eastAsia" w:ascii="宋体" w:hAnsi="宋体" w:cs="宋体"/>
          <w:bCs/>
          <w:color w:val="auto"/>
          <w:sz w:val="24"/>
          <w:highlight w:val="none"/>
          <w:lang w:val="en-US" w:eastAsia="zh-CN"/>
        </w:rPr>
        <w:t>6</w:t>
      </w:r>
    </w:p>
    <w:p w14:paraId="0E5C0DF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7E6F165">
      <w:pPr>
        <w:tabs>
          <w:tab w:val="center" w:pos="4832"/>
          <w:tab w:val="left" w:pos="8161"/>
        </w:tabs>
        <w:autoSpaceDE w:val="0"/>
        <w:autoSpaceDN w:val="0"/>
        <w:adjustRightIn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投标人认为应该提供的其他资料</w:t>
      </w:r>
    </w:p>
    <w:p w14:paraId="37D4181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64487DD6">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A0378CF">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AE5CF21">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E3889E6">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21E24774">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aco">
    <w:panose1 w:val="020B0509030404040204"/>
    <w:charset w:val="00"/>
    <w:family w:val="auto"/>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Univers LT Std 45 Light">
    <w:altName w:val="新宋体"/>
    <w:panose1 w:val="00000000000000000000"/>
    <w:charset w:val="86"/>
    <w:family w:val="swiss"/>
    <w:pitch w:val="default"/>
    <w:sig w:usb0="00000000" w:usb1="00000000" w:usb2="00000010" w:usb3="00000000" w:csb0="00040001" w:csb1="00000000"/>
  </w:font>
  <w:font w:name="新宋体">
    <w:panose1 w:val="02010609030101010101"/>
    <w:charset w:val="86"/>
    <w:family w:val="modern"/>
    <w:pitch w:val="default"/>
    <w:sig w:usb0="00000203" w:usb1="288F0000" w:usb2="00000006" w:usb3="00000000" w:csb0="00040001" w:csb1="00000000"/>
  </w:font>
  <w:font w:name="..ì.">
    <w:altName w:val="宋体"/>
    <w:panose1 w:val="00000000000000000000"/>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G Times">
    <w:panose1 w:val="020206030504050203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00001" w:csb1="00000000"/>
  </w:font>
  <w:font w:name="System">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1B5A">
    <w:pPr>
      <w:pStyle w:val="47"/>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14:paraId="3E2D228A">
    <w:pPr>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6407">
    <w:pPr>
      <w:pStyle w:val="4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BFA8B97">
                          <w:pPr>
                            <w:pStyle w:val="47"/>
                            <w:ind w:firstLine="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MVI/c/QAQAAmQMAAA4AAAAAAAAAAQAgAAAAHwEAAGRy&#10;cy9lMm9Eb2MueG1sUEsFBgAAAAAGAAYAWQEAAGEFAAAAAA==&#10;">
              <v:fill on="f" focussize="0,0"/>
              <v:stroke on="f"/>
              <v:imagedata o:title=""/>
              <o:lock v:ext="edit" aspectratio="f"/>
              <v:textbox inset="0mm,0mm,0mm,0mm" style="mso-fit-shape-to-text:t;">
                <w:txbxContent>
                  <w:p w14:paraId="3BFA8B97">
                    <w:pPr>
                      <w:pStyle w:val="47"/>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245E">
    <w:pPr>
      <w:pStyle w:val="47"/>
      <w:tabs>
        <w:tab w:val="clear" w:pos="4153"/>
        <w:tab w:val="clear" w:pos="8306"/>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6684E9C9">
                          <w:pPr>
                            <w:pStyle w:val="47"/>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NYs0brQAQAAmQMAAA4AAAAAAAAAAQAgAAAAHwEAAGRy&#10;cy9lMm9Eb2MueG1sUEsFBgAAAAAGAAYAWQEAAGEFAAAAAA==&#10;">
              <v:fill on="f" focussize="0,0"/>
              <v:stroke on="f"/>
              <v:imagedata o:title=""/>
              <o:lock v:ext="edit" aspectratio="f"/>
              <v:textbox inset="0mm,0mm,0mm,0mm" style="mso-fit-shape-to-text:t;">
                <w:txbxContent>
                  <w:p w14:paraId="6684E9C9">
                    <w:pPr>
                      <w:pStyle w:val="4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23445"/>
    <w:multiLevelType w:val="singleLevel"/>
    <w:tmpl w:val="B7B23445"/>
    <w:lvl w:ilvl="0" w:tentative="0">
      <w:start w:val="1"/>
      <w:numFmt w:val="decimal"/>
      <w:suff w:val="nothing"/>
      <w:lvlText w:val="%1、"/>
      <w:lvlJc w:val="left"/>
    </w:lvl>
  </w:abstractNum>
  <w:abstractNum w:abstractNumId="1">
    <w:nsid w:val="FFFFFF89"/>
    <w:multiLevelType w:val="singleLevel"/>
    <w:tmpl w:val="FFFFFF89"/>
    <w:lvl w:ilvl="0" w:tentative="0">
      <w:start w:val="1"/>
      <w:numFmt w:val="bullet"/>
      <w:pStyle w:val="20"/>
      <w:lvlText w:val=""/>
      <w:lvlJc w:val="left"/>
      <w:pPr>
        <w:tabs>
          <w:tab w:val="left" w:pos="360"/>
        </w:tabs>
        <w:ind w:left="360" w:hanging="360" w:hangingChars="200"/>
      </w:pPr>
      <w:rPr>
        <w:rFonts w:hint="default" w:ascii="Wingdings" w:hAnsi="Wingdings"/>
      </w:rPr>
    </w:lvl>
  </w:abstractNum>
  <w:abstractNum w:abstractNumId="2">
    <w:nsid w:val="0000000A"/>
    <w:multiLevelType w:val="singleLevel"/>
    <w:tmpl w:val="0000000A"/>
    <w:lvl w:ilvl="0" w:tentative="0">
      <w:start w:val="1"/>
      <w:numFmt w:val="decimal"/>
      <w:pStyle w:val="40"/>
      <w:suff w:val="nothing"/>
      <w:lvlText w:val="（%1）"/>
      <w:lvlJc w:val="left"/>
    </w:lvl>
  </w:abstractNum>
  <w:abstractNum w:abstractNumId="3">
    <w:nsid w:val="0000000C"/>
    <w:multiLevelType w:val="singleLevel"/>
    <w:tmpl w:val="0000000C"/>
    <w:lvl w:ilvl="0" w:tentative="0">
      <w:start w:val="1"/>
      <w:numFmt w:val="decimal"/>
      <w:pStyle w:val="31"/>
      <w:suff w:val="nothing"/>
      <w:lvlText w:val="（%1）"/>
      <w:lvlJc w:val="left"/>
      <w:rPr>
        <w:rFonts w:cs="Times New Roman"/>
      </w:rPr>
    </w:lvl>
  </w:abstractNum>
  <w:abstractNum w:abstractNumId="4">
    <w:nsid w:val="0000000D"/>
    <w:multiLevelType w:val="multilevel"/>
    <w:tmpl w:val="0000000D"/>
    <w:lvl w:ilvl="0" w:tentative="0">
      <w:start w:val="1"/>
      <w:numFmt w:val="decimal"/>
      <w:pStyle w:val="48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0F"/>
    <w:multiLevelType w:val="singleLevel"/>
    <w:tmpl w:val="0000000F"/>
    <w:lvl w:ilvl="0" w:tentative="0">
      <w:start w:val="1"/>
      <w:numFmt w:val="decimal"/>
      <w:pStyle w:val="35"/>
      <w:suff w:val="nothing"/>
      <w:lvlText w:val="（%1）"/>
      <w:lvlJc w:val="left"/>
    </w:lvl>
  </w:abstractNum>
  <w:abstractNum w:abstractNumId="6">
    <w:nsid w:val="00000011"/>
    <w:multiLevelType w:val="multilevel"/>
    <w:tmpl w:val="00000011"/>
    <w:lvl w:ilvl="0" w:tentative="0">
      <w:start w:val="1"/>
      <w:numFmt w:val="lowerLetter"/>
      <w:pStyle w:val="438"/>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00000012"/>
    <w:multiLevelType w:val="singleLevel"/>
    <w:tmpl w:val="00000012"/>
    <w:lvl w:ilvl="0" w:tentative="0">
      <w:start w:val="1"/>
      <w:numFmt w:val="decimal"/>
      <w:pStyle w:val="448"/>
      <w:lvlText w:val="%1)"/>
      <w:lvlJc w:val="left"/>
      <w:pPr>
        <w:tabs>
          <w:tab w:val="left" w:pos="1260"/>
        </w:tabs>
        <w:ind w:left="1260" w:hanging="420"/>
      </w:pPr>
      <w:rPr>
        <w:rFonts w:hint="eastAsia"/>
      </w:rPr>
    </w:lvl>
  </w:abstractNum>
  <w:abstractNum w:abstractNumId="8">
    <w:nsid w:val="00000013"/>
    <w:multiLevelType w:val="singleLevel"/>
    <w:tmpl w:val="00000013"/>
    <w:lvl w:ilvl="0" w:tentative="0">
      <w:start w:val="1"/>
      <w:numFmt w:val="decimal"/>
      <w:pStyle w:val="41"/>
      <w:lvlText w:val="%1."/>
      <w:lvlJc w:val="left"/>
      <w:pPr>
        <w:tabs>
          <w:tab w:val="left" w:pos="425"/>
        </w:tabs>
        <w:ind w:left="425" w:hanging="425"/>
      </w:pPr>
    </w:lvl>
  </w:abstractNum>
  <w:abstractNum w:abstractNumId="9">
    <w:nsid w:val="00000015"/>
    <w:multiLevelType w:val="singleLevel"/>
    <w:tmpl w:val="00000015"/>
    <w:lvl w:ilvl="0" w:tentative="0">
      <w:start w:val="1"/>
      <w:numFmt w:val="lowerLetter"/>
      <w:pStyle w:val="492"/>
      <w:lvlText w:val="(%1)"/>
      <w:lvlJc w:val="left"/>
      <w:pPr>
        <w:tabs>
          <w:tab w:val="left" w:pos="1095"/>
        </w:tabs>
        <w:ind w:left="1095" w:hanging="255"/>
      </w:pPr>
      <w:rPr>
        <w:rFonts w:hint="default"/>
      </w:rPr>
    </w:lvl>
  </w:abstractNum>
  <w:abstractNum w:abstractNumId="10">
    <w:nsid w:val="00000018"/>
    <w:multiLevelType w:val="singleLevel"/>
    <w:tmpl w:val="00000018"/>
    <w:lvl w:ilvl="0" w:tentative="0">
      <w:start w:val="1"/>
      <w:numFmt w:val="decimal"/>
      <w:pStyle w:val="483"/>
      <w:lvlText w:val="%1）"/>
      <w:lvlJc w:val="left"/>
      <w:pPr>
        <w:tabs>
          <w:tab w:val="left" w:pos="1680"/>
        </w:tabs>
        <w:ind w:left="1680" w:hanging="840"/>
      </w:pPr>
      <w:rPr>
        <w:rFonts w:hint="eastAsia"/>
      </w:rPr>
    </w:lvl>
  </w:abstractNum>
  <w:abstractNum w:abstractNumId="11">
    <w:nsid w:val="00000019"/>
    <w:multiLevelType w:val="multilevel"/>
    <w:tmpl w:val="00000019"/>
    <w:lvl w:ilvl="0" w:tentative="0">
      <w:start w:val="1"/>
      <w:numFmt w:val="decimal"/>
      <w:pStyle w:val="446"/>
      <w:lvlText w:val="%1、"/>
      <w:lvlJc w:val="left"/>
      <w:pPr>
        <w:tabs>
          <w:tab w:val="left" w:pos="780"/>
        </w:tabs>
        <w:ind w:left="7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A"/>
    <w:multiLevelType w:val="multilevel"/>
    <w:tmpl w:val="0000001A"/>
    <w:lvl w:ilvl="0" w:tentative="0">
      <w:start w:val="1"/>
      <w:numFmt w:val="chineseCountingThousand"/>
      <w:pStyle w:val="442"/>
      <w:lvlText w:val="%1 、"/>
      <w:lvlJc w:val="left"/>
      <w:pPr>
        <w:tabs>
          <w:tab w:val="left" w:pos="540"/>
        </w:tabs>
        <w:ind w:left="540" w:hanging="360"/>
      </w:pPr>
    </w:lvl>
    <w:lvl w:ilvl="1" w:tentative="0">
      <w:start w:val="1"/>
      <w:numFmt w:val="decimal"/>
      <w:lvlText w:val="%2、"/>
      <w:lvlJc w:val="left"/>
      <w:pPr>
        <w:tabs>
          <w:tab w:val="left" w:pos="960"/>
        </w:tabs>
        <w:ind w:left="960" w:hanging="360"/>
      </w:pPr>
    </w:lvl>
    <w:lvl w:ilvl="2" w:tentative="0">
      <w:start w:val="1"/>
      <w:numFmt w:val="decimal"/>
      <w:lvlText w:val="（%3）"/>
      <w:lvlJc w:val="left"/>
      <w:pPr>
        <w:tabs>
          <w:tab w:val="left" w:pos="1690"/>
        </w:tabs>
        <w:ind w:left="1814" w:hanging="794"/>
      </w:pPr>
    </w:lvl>
    <w:lvl w:ilvl="3" w:tentative="0">
      <w:start w:val="1"/>
      <w:numFmt w:val="decimal"/>
      <w:lvlText w:val="%4)"/>
      <w:lvlJc w:val="left"/>
      <w:pPr>
        <w:tabs>
          <w:tab w:val="left" w:pos="1860"/>
        </w:tabs>
        <w:ind w:left="1860" w:hanging="420"/>
      </w:pPr>
    </w:lvl>
    <w:lvl w:ilvl="4" w:tentative="0">
      <w:start w:val="1"/>
      <w:numFmt w:val="decimal"/>
      <w:lvlText w:val="%5."/>
      <w:lvlJc w:val="left"/>
      <w:pPr>
        <w:tabs>
          <w:tab w:val="left" w:pos="3780"/>
        </w:tabs>
        <w:ind w:left="3780" w:hanging="360"/>
      </w:pPr>
    </w:lvl>
    <w:lvl w:ilvl="5" w:tentative="0">
      <w:start w:val="1"/>
      <w:numFmt w:val="decimal"/>
      <w:lvlText w:val="%6."/>
      <w:lvlJc w:val="left"/>
      <w:pPr>
        <w:tabs>
          <w:tab w:val="left" w:pos="4500"/>
        </w:tabs>
        <w:ind w:left="4500" w:hanging="360"/>
      </w:pPr>
    </w:lvl>
    <w:lvl w:ilvl="6" w:tentative="0">
      <w:start w:val="1"/>
      <w:numFmt w:val="decimal"/>
      <w:lvlText w:val="%7."/>
      <w:lvlJc w:val="left"/>
      <w:pPr>
        <w:tabs>
          <w:tab w:val="left" w:pos="5220"/>
        </w:tabs>
        <w:ind w:left="5220" w:hanging="360"/>
      </w:pPr>
    </w:lvl>
    <w:lvl w:ilvl="7" w:tentative="0">
      <w:start w:val="1"/>
      <w:numFmt w:val="decimal"/>
      <w:lvlText w:val="%8."/>
      <w:lvlJc w:val="left"/>
      <w:pPr>
        <w:tabs>
          <w:tab w:val="left" w:pos="5940"/>
        </w:tabs>
        <w:ind w:left="5940" w:hanging="360"/>
      </w:pPr>
    </w:lvl>
    <w:lvl w:ilvl="8" w:tentative="0">
      <w:start w:val="1"/>
      <w:numFmt w:val="decimal"/>
      <w:lvlText w:val="%9."/>
      <w:lvlJc w:val="left"/>
      <w:pPr>
        <w:tabs>
          <w:tab w:val="left" w:pos="6660"/>
        </w:tabs>
        <w:ind w:left="6660" w:hanging="360"/>
      </w:pPr>
    </w:lvl>
  </w:abstractNum>
  <w:abstractNum w:abstractNumId="13">
    <w:nsid w:val="0000001D"/>
    <w:multiLevelType w:val="multilevel"/>
    <w:tmpl w:val="0000001D"/>
    <w:lvl w:ilvl="0" w:tentative="0">
      <w:start w:val="1"/>
      <w:numFmt w:val="chineseCountingThousand"/>
      <w:pStyle w:val="519"/>
      <w:lvlText w:val="%1 、"/>
      <w:lvlJc w:val="left"/>
      <w:pPr>
        <w:tabs>
          <w:tab w:val="left" w:pos="540"/>
        </w:tabs>
        <w:ind w:left="540" w:hanging="360"/>
      </w:pPr>
    </w:lvl>
    <w:lvl w:ilvl="1" w:tentative="0">
      <w:start w:val="1"/>
      <w:numFmt w:val="decimal"/>
      <w:lvlText w:val="%2、"/>
      <w:lvlJc w:val="left"/>
      <w:pPr>
        <w:tabs>
          <w:tab w:val="left" w:pos="960"/>
        </w:tabs>
        <w:ind w:left="960" w:hanging="360"/>
      </w:pPr>
    </w:lvl>
    <w:lvl w:ilvl="2" w:tentative="0">
      <w:start w:val="1"/>
      <w:numFmt w:val="decimal"/>
      <w:lvlText w:val="（%3）"/>
      <w:lvlJc w:val="left"/>
      <w:pPr>
        <w:tabs>
          <w:tab w:val="left" w:pos="1690"/>
        </w:tabs>
        <w:ind w:left="1814" w:hanging="794"/>
      </w:pPr>
    </w:lvl>
    <w:lvl w:ilvl="3" w:tentative="0">
      <w:start w:val="1"/>
      <w:numFmt w:val="decimal"/>
      <w:lvlText w:val="%4)"/>
      <w:lvlJc w:val="left"/>
      <w:pPr>
        <w:tabs>
          <w:tab w:val="left" w:pos="1860"/>
        </w:tabs>
        <w:ind w:left="1860" w:hanging="420"/>
      </w:pPr>
    </w:lvl>
    <w:lvl w:ilvl="4" w:tentative="0">
      <w:start w:val="1"/>
      <w:numFmt w:val="decimal"/>
      <w:lvlText w:val="%5."/>
      <w:lvlJc w:val="left"/>
      <w:pPr>
        <w:tabs>
          <w:tab w:val="left" w:pos="3780"/>
        </w:tabs>
        <w:ind w:left="3780" w:hanging="360"/>
      </w:pPr>
    </w:lvl>
    <w:lvl w:ilvl="5" w:tentative="0">
      <w:start w:val="1"/>
      <w:numFmt w:val="decimal"/>
      <w:lvlText w:val="%6."/>
      <w:lvlJc w:val="left"/>
      <w:pPr>
        <w:tabs>
          <w:tab w:val="left" w:pos="4500"/>
        </w:tabs>
        <w:ind w:left="4500" w:hanging="360"/>
      </w:pPr>
    </w:lvl>
    <w:lvl w:ilvl="6" w:tentative="0">
      <w:start w:val="1"/>
      <w:numFmt w:val="decimal"/>
      <w:lvlText w:val="%7."/>
      <w:lvlJc w:val="left"/>
      <w:pPr>
        <w:tabs>
          <w:tab w:val="left" w:pos="5220"/>
        </w:tabs>
        <w:ind w:left="5220" w:hanging="360"/>
      </w:pPr>
    </w:lvl>
    <w:lvl w:ilvl="7" w:tentative="0">
      <w:start w:val="1"/>
      <w:numFmt w:val="decimal"/>
      <w:lvlText w:val="%8."/>
      <w:lvlJc w:val="left"/>
      <w:pPr>
        <w:tabs>
          <w:tab w:val="left" w:pos="5940"/>
        </w:tabs>
        <w:ind w:left="5940" w:hanging="360"/>
      </w:pPr>
    </w:lvl>
    <w:lvl w:ilvl="8" w:tentative="0">
      <w:start w:val="1"/>
      <w:numFmt w:val="decimal"/>
      <w:lvlText w:val="%9."/>
      <w:lvlJc w:val="left"/>
      <w:pPr>
        <w:tabs>
          <w:tab w:val="left" w:pos="6660"/>
        </w:tabs>
        <w:ind w:left="6660" w:hanging="360"/>
      </w:pPr>
    </w:lvl>
  </w:abstractNum>
  <w:abstractNum w:abstractNumId="14">
    <w:nsid w:val="0000001E"/>
    <w:multiLevelType w:val="singleLevel"/>
    <w:tmpl w:val="0000001E"/>
    <w:lvl w:ilvl="0" w:tentative="0">
      <w:start w:val="1"/>
      <w:numFmt w:val="upperLetter"/>
      <w:pStyle w:val="56"/>
      <w:lvlText w:val="%1."/>
      <w:lvlJc w:val="left"/>
      <w:pPr>
        <w:tabs>
          <w:tab w:val="left" w:pos="425"/>
        </w:tabs>
        <w:ind w:left="425" w:hanging="425"/>
      </w:pPr>
    </w:lvl>
  </w:abstractNum>
  <w:abstractNum w:abstractNumId="15">
    <w:nsid w:val="0000001F"/>
    <w:multiLevelType w:val="multilevel"/>
    <w:tmpl w:val="0000001F"/>
    <w:lvl w:ilvl="0" w:tentative="0">
      <w:start w:val="3"/>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50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multilevel"/>
    <w:tmpl w:val="00000022"/>
    <w:lvl w:ilvl="0" w:tentative="0">
      <w:start w:val="1"/>
      <w:numFmt w:val="decimal"/>
      <w:pStyle w:val="480"/>
      <w:lvlText w:val="%1、"/>
      <w:lvlJc w:val="left"/>
      <w:pPr>
        <w:tabs>
          <w:tab w:val="left" w:pos="360"/>
        </w:tabs>
        <w:ind w:left="360" w:hanging="360"/>
      </w:pPr>
    </w:lvl>
    <w:lvl w:ilvl="1" w:tentative="0">
      <w:start w:val="1"/>
      <w:numFmt w:val="decimal"/>
      <w:lvlText w:val="%2、"/>
      <w:lvlJc w:val="left"/>
      <w:pPr>
        <w:tabs>
          <w:tab w:val="left" w:pos="720"/>
        </w:tabs>
        <w:ind w:left="72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24"/>
    <w:multiLevelType w:val="multilevel"/>
    <w:tmpl w:val="00000024"/>
    <w:lvl w:ilvl="0" w:tentative="0">
      <w:start w:val="3"/>
      <w:numFmt w:val="japaneseCounting"/>
      <w:pStyle w:val="476"/>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6"/>
    <w:multiLevelType w:val="multilevel"/>
    <w:tmpl w:val="00000026"/>
    <w:lvl w:ilvl="0" w:tentative="0">
      <w:start w:val="1"/>
      <w:numFmt w:val="chineseCountingThousand"/>
      <w:pStyle w:val="534"/>
      <w:lvlText w:val="%1 、"/>
      <w:lvlJc w:val="left"/>
      <w:pPr>
        <w:tabs>
          <w:tab w:val="left" w:pos="540"/>
        </w:tabs>
        <w:ind w:left="540" w:hanging="360"/>
      </w:pPr>
    </w:lvl>
    <w:lvl w:ilvl="1" w:tentative="0">
      <w:start w:val="1"/>
      <w:numFmt w:val="decimal"/>
      <w:lvlText w:val="%2、"/>
      <w:lvlJc w:val="left"/>
      <w:pPr>
        <w:tabs>
          <w:tab w:val="left" w:pos="960"/>
        </w:tabs>
        <w:ind w:left="960" w:hanging="360"/>
      </w:pPr>
    </w:lvl>
    <w:lvl w:ilvl="2" w:tentative="0">
      <w:start w:val="1"/>
      <w:numFmt w:val="decimal"/>
      <w:lvlText w:val="（%3）"/>
      <w:lvlJc w:val="left"/>
      <w:pPr>
        <w:tabs>
          <w:tab w:val="left" w:pos="1690"/>
        </w:tabs>
        <w:ind w:left="1814" w:hanging="794"/>
      </w:pPr>
    </w:lvl>
    <w:lvl w:ilvl="3" w:tentative="0">
      <w:start w:val="1"/>
      <w:numFmt w:val="decimal"/>
      <w:lvlText w:val="%4)"/>
      <w:lvlJc w:val="left"/>
      <w:pPr>
        <w:tabs>
          <w:tab w:val="left" w:pos="1860"/>
        </w:tabs>
        <w:ind w:left="1860" w:hanging="420"/>
      </w:pPr>
    </w:lvl>
    <w:lvl w:ilvl="4" w:tentative="0">
      <w:start w:val="1"/>
      <w:numFmt w:val="decimal"/>
      <w:lvlText w:val="%5."/>
      <w:lvlJc w:val="left"/>
      <w:pPr>
        <w:tabs>
          <w:tab w:val="left" w:pos="3780"/>
        </w:tabs>
        <w:ind w:left="3780" w:hanging="360"/>
      </w:pPr>
    </w:lvl>
    <w:lvl w:ilvl="5" w:tentative="0">
      <w:start w:val="1"/>
      <w:numFmt w:val="decimal"/>
      <w:lvlText w:val="%6."/>
      <w:lvlJc w:val="left"/>
      <w:pPr>
        <w:tabs>
          <w:tab w:val="left" w:pos="4500"/>
        </w:tabs>
        <w:ind w:left="4500" w:hanging="360"/>
      </w:pPr>
    </w:lvl>
    <w:lvl w:ilvl="6" w:tentative="0">
      <w:start w:val="1"/>
      <w:numFmt w:val="decimal"/>
      <w:lvlText w:val="%7."/>
      <w:lvlJc w:val="left"/>
      <w:pPr>
        <w:tabs>
          <w:tab w:val="left" w:pos="5220"/>
        </w:tabs>
        <w:ind w:left="5220" w:hanging="360"/>
      </w:pPr>
    </w:lvl>
    <w:lvl w:ilvl="7" w:tentative="0">
      <w:start w:val="1"/>
      <w:numFmt w:val="decimal"/>
      <w:lvlText w:val="%8."/>
      <w:lvlJc w:val="left"/>
      <w:pPr>
        <w:tabs>
          <w:tab w:val="left" w:pos="5940"/>
        </w:tabs>
        <w:ind w:left="5940" w:hanging="360"/>
      </w:pPr>
    </w:lvl>
    <w:lvl w:ilvl="8" w:tentative="0">
      <w:start w:val="1"/>
      <w:numFmt w:val="decimal"/>
      <w:lvlText w:val="%9."/>
      <w:lvlJc w:val="left"/>
      <w:pPr>
        <w:tabs>
          <w:tab w:val="left" w:pos="6660"/>
        </w:tabs>
        <w:ind w:left="6660" w:hanging="360"/>
      </w:pPr>
    </w:lvl>
  </w:abstractNum>
  <w:abstractNum w:abstractNumId="19">
    <w:nsid w:val="00000027"/>
    <w:multiLevelType w:val="multilevel"/>
    <w:tmpl w:val="00000027"/>
    <w:lvl w:ilvl="0" w:tentative="0">
      <w:start w:val="4"/>
      <w:numFmt w:val="japaneseCounting"/>
      <w:pStyle w:val="512"/>
      <w:lvlText w:val="%1、"/>
      <w:lvlJc w:val="left"/>
      <w:pPr>
        <w:tabs>
          <w:tab w:val="left" w:pos="420"/>
        </w:tabs>
        <w:ind w:left="420" w:hanging="42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21438D1"/>
    <w:multiLevelType w:val="singleLevel"/>
    <w:tmpl w:val="121438D1"/>
    <w:lvl w:ilvl="0" w:tentative="0">
      <w:start w:val="1"/>
      <w:numFmt w:val="decimal"/>
      <w:suff w:val="nothing"/>
      <w:lvlText w:val="%1、"/>
      <w:lvlJc w:val="left"/>
    </w:lvl>
  </w:abstractNum>
  <w:abstractNum w:abstractNumId="21">
    <w:nsid w:val="3C39142F"/>
    <w:multiLevelType w:val="multilevel"/>
    <w:tmpl w:val="3C39142F"/>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22">
    <w:nsid w:val="47524268"/>
    <w:multiLevelType w:val="singleLevel"/>
    <w:tmpl w:val="47524268"/>
    <w:lvl w:ilvl="0" w:tentative="0">
      <w:start w:val="1"/>
      <w:numFmt w:val="chineseCounting"/>
      <w:pStyle w:val="140"/>
      <w:suff w:val="nothing"/>
      <w:lvlText w:val="%1、"/>
      <w:lvlJc w:val="left"/>
      <w:pPr>
        <w:ind w:firstLine="420"/>
      </w:pPr>
      <w:rPr>
        <w:rFonts w:hint="eastAsia" w:cs="Times New Roman"/>
      </w:rPr>
    </w:lvl>
  </w:abstractNum>
  <w:abstractNum w:abstractNumId="23">
    <w:nsid w:val="571801B0"/>
    <w:multiLevelType w:val="multilevel"/>
    <w:tmpl w:val="571801B0"/>
    <w:lvl w:ilvl="0" w:tentative="0">
      <w:start w:val="1"/>
      <w:numFmt w:val="decimal"/>
      <w:pStyle w:val="325"/>
      <w:lvlText w:val="%1、"/>
      <w:lvlJc w:val="left"/>
      <w:pPr>
        <w:ind w:left="846"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590A16AE"/>
    <w:multiLevelType w:val="singleLevel"/>
    <w:tmpl w:val="590A16AE"/>
    <w:lvl w:ilvl="0" w:tentative="0">
      <w:start w:val="1"/>
      <w:numFmt w:val="decimal"/>
      <w:suff w:val="nothing"/>
      <w:lvlText w:val="%1、"/>
      <w:lvlJc w:val="left"/>
    </w:lvl>
  </w:abstractNum>
  <w:abstractNum w:abstractNumId="25">
    <w:nsid w:val="5A05312E"/>
    <w:multiLevelType w:val="singleLevel"/>
    <w:tmpl w:val="5A05312E"/>
    <w:lvl w:ilvl="0" w:tentative="0">
      <w:start w:val="1"/>
      <w:numFmt w:val="decimal"/>
      <w:suff w:val="nothing"/>
      <w:lvlText w:val="%1、"/>
      <w:lvlJc w:val="left"/>
    </w:lvl>
  </w:abstractNum>
  <w:abstractNum w:abstractNumId="26">
    <w:nsid w:val="6111040C"/>
    <w:multiLevelType w:val="multilevel"/>
    <w:tmpl w:val="6111040C"/>
    <w:lvl w:ilvl="0" w:tentative="0">
      <w:start w:val="1"/>
      <w:numFmt w:val="lowerLetter"/>
      <w:lvlText w:val="%1."/>
      <w:lvlJc w:val="left"/>
      <w:pPr>
        <w:ind w:left="840" w:hanging="420"/>
      </w:pPr>
      <w:rPr>
        <w:rFonts w:hint="eastAsia"/>
      </w:rPr>
    </w:lvl>
    <w:lvl w:ilvl="1" w:tentative="0">
      <w:start w:val="1"/>
      <w:numFmt w:val="lowerLetter"/>
      <w:pStyle w:val="336"/>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65716766"/>
    <w:multiLevelType w:val="multilevel"/>
    <w:tmpl w:val="65716766"/>
    <w:lvl w:ilvl="0" w:tentative="0">
      <w:start w:val="1"/>
      <w:numFmt w:val="lowerLetter"/>
      <w:pStyle w:val="38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718B4499"/>
    <w:multiLevelType w:val="multilevel"/>
    <w:tmpl w:val="718B4499"/>
    <w:lvl w:ilvl="0" w:tentative="0">
      <w:start w:val="1"/>
      <w:numFmt w:val="decimal"/>
      <w:pStyle w:val="15"/>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73B66153"/>
    <w:multiLevelType w:val="multilevel"/>
    <w:tmpl w:val="73B6615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5A22094"/>
    <w:multiLevelType w:val="multilevel"/>
    <w:tmpl w:val="75A22094"/>
    <w:lvl w:ilvl="0" w:tentative="0">
      <w:start w:val="1"/>
      <w:numFmt w:val="bullet"/>
      <w:lvlText w:val=""/>
      <w:lvlJc w:val="left"/>
      <w:pPr>
        <w:tabs>
          <w:tab w:val="left" w:pos="987"/>
        </w:tabs>
        <w:ind w:left="987" w:hanging="420"/>
      </w:pPr>
      <w:rPr>
        <w:rFonts w:hint="default" w:ascii="Symbol" w:hAnsi="Symbol"/>
        <w:color w:val="auto"/>
      </w:rPr>
    </w:lvl>
    <w:lvl w:ilvl="1" w:tentative="0">
      <w:start w:val="1"/>
      <w:numFmt w:val="bullet"/>
      <w:lvlText w:val=""/>
      <w:lvlJc w:val="left"/>
      <w:pPr>
        <w:tabs>
          <w:tab w:val="left" w:pos="1260"/>
        </w:tabs>
        <w:ind w:left="1260" w:hanging="420"/>
      </w:pPr>
      <w:rPr>
        <w:rFonts w:hint="default" w:ascii="Wingdings" w:hAnsi="Wingdings"/>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8"/>
  </w:num>
  <w:num w:numId="2">
    <w:abstractNumId w:val="1"/>
  </w:num>
  <w:num w:numId="3">
    <w:abstractNumId w:val="3"/>
  </w:num>
  <w:num w:numId="4">
    <w:abstractNumId w:val="5"/>
  </w:num>
  <w:num w:numId="5">
    <w:abstractNumId w:val="2"/>
  </w:num>
  <w:num w:numId="6">
    <w:abstractNumId w:val="8"/>
  </w:num>
  <w:num w:numId="7">
    <w:abstractNumId w:val="14"/>
  </w:num>
  <w:num w:numId="8">
    <w:abstractNumId w:val="22"/>
  </w:num>
  <w:num w:numId="9">
    <w:abstractNumId w:val="23"/>
  </w:num>
  <w:num w:numId="10">
    <w:abstractNumId w:val="26"/>
  </w:num>
  <w:num w:numId="11">
    <w:abstractNumId w:val="27"/>
  </w:num>
  <w:num w:numId="12">
    <w:abstractNumId w:val="6"/>
  </w:num>
  <w:num w:numId="13">
    <w:abstractNumId w:val="12"/>
  </w:num>
  <w:num w:numId="14">
    <w:abstractNumId w:val="11"/>
  </w:num>
  <w:num w:numId="15">
    <w:abstractNumId w:val="7"/>
  </w:num>
  <w:num w:numId="16">
    <w:abstractNumId w:val="17"/>
  </w:num>
  <w:num w:numId="17">
    <w:abstractNumId w:val="16"/>
  </w:num>
  <w:num w:numId="18">
    <w:abstractNumId w:val="10"/>
  </w:num>
  <w:num w:numId="19">
    <w:abstractNumId w:val="4"/>
  </w:num>
  <w:num w:numId="20">
    <w:abstractNumId w:val="9"/>
  </w:num>
  <w:num w:numId="21">
    <w:abstractNumId w:val="15"/>
  </w:num>
  <w:num w:numId="22">
    <w:abstractNumId w:val="19"/>
  </w:num>
  <w:num w:numId="23">
    <w:abstractNumId w:val="13"/>
  </w:num>
  <w:num w:numId="24">
    <w:abstractNumId w:val="18"/>
  </w:num>
  <w:num w:numId="25">
    <w:abstractNumId w:val="20"/>
  </w:num>
  <w:num w:numId="26">
    <w:abstractNumId w:val="0"/>
  </w:num>
  <w:num w:numId="27">
    <w:abstractNumId w:val="24"/>
  </w:num>
  <w:num w:numId="28">
    <w:abstractNumId w:val="25"/>
  </w:num>
  <w:num w:numId="29">
    <w:abstractNumId w:val="29"/>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xMDG1tDS3NDe2NLZU0lEKTi0uzszPAykwqgUAzXxCMywAAAA="/>
    <w:docVar w:name="commondata" w:val="eyJoZGlkIjoiZGFlYWEyZDY4MTM1YWQ0MDg2ZTc4NDRlZTJkMjUwZDIifQ=="/>
    <w:docVar w:name="KSO_WPS_MARK_KEY" w:val="9e45f477-3c32-4163-9313-b462da4c66c3"/>
  </w:docVars>
  <w:rsids>
    <w:rsidRoot w:val="00172A27"/>
    <w:rsid w:val="00000393"/>
    <w:rsid w:val="00000DE9"/>
    <w:rsid w:val="0000133A"/>
    <w:rsid w:val="00001518"/>
    <w:rsid w:val="000019C7"/>
    <w:rsid w:val="00001B17"/>
    <w:rsid w:val="0000378D"/>
    <w:rsid w:val="00003C7B"/>
    <w:rsid w:val="0000562D"/>
    <w:rsid w:val="0000771B"/>
    <w:rsid w:val="00012E70"/>
    <w:rsid w:val="0001314A"/>
    <w:rsid w:val="00013409"/>
    <w:rsid w:val="000153A9"/>
    <w:rsid w:val="0001673E"/>
    <w:rsid w:val="0001686B"/>
    <w:rsid w:val="00017C1F"/>
    <w:rsid w:val="000234A2"/>
    <w:rsid w:val="00030637"/>
    <w:rsid w:val="00030BFA"/>
    <w:rsid w:val="00033FD3"/>
    <w:rsid w:val="000348DD"/>
    <w:rsid w:val="00036079"/>
    <w:rsid w:val="00037489"/>
    <w:rsid w:val="0003765B"/>
    <w:rsid w:val="00040E20"/>
    <w:rsid w:val="00043F7E"/>
    <w:rsid w:val="0004572A"/>
    <w:rsid w:val="000473B5"/>
    <w:rsid w:val="0004768B"/>
    <w:rsid w:val="0005291F"/>
    <w:rsid w:val="00052D5F"/>
    <w:rsid w:val="000538FB"/>
    <w:rsid w:val="000540B8"/>
    <w:rsid w:val="000547A0"/>
    <w:rsid w:val="000568C9"/>
    <w:rsid w:val="00060554"/>
    <w:rsid w:val="000609DC"/>
    <w:rsid w:val="00061B45"/>
    <w:rsid w:val="00061E2D"/>
    <w:rsid w:val="00061F55"/>
    <w:rsid w:val="00062B5A"/>
    <w:rsid w:val="00066C21"/>
    <w:rsid w:val="00066E93"/>
    <w:rsid w:val="00070AA4"/>
    <w:rsid w:val="00071E5D"/>
    <w:rsid w:val="000728B4"/>
    <w:rsid w:val="00072FF9"/>
    <w:rsid w:val="00073A5A"/>
    <w:rsid w:val="00073ACE"/>
    <w:rsid w:val="00074F16"/>
    <w:rsid w:val="0007578B"/>
    <w:rsid w:val="00075B15"/>
    <w:rsid w:val="00076D54"/>
    <w:rsid w:val="000773D6"/>
    <w:rsid w:val="000823A6"/>
    <w:rsid w:val="00082FEA"/>
    <w:rsid w:val="00083312"/>
    <w:rsid w:val="000842DE"/>
    <w:rsid w:val="00085A97"/>
    <w:rsid w:val="000902A4"/>
    <w:rsid w:val="000915AC"/>
    <w:rsid w:val="00091AE4"/>
    <w:rsid w:val="00093539"/>
    <w:rsid w:val="00094665"/>
    <w:rsid w:val="00096DB1"/>
    <w:rsid w:val="000974B7"/>
    <w:rsid w:val="00097D5C"/>
    <w:rsid w:val="00097E04"/>
    <w:rsid w:val="000A0AB8"/>
    <w:rsid w:val="000A10D2"/>
    <w:rsid w:val="000A401E"/>
    <w:rsid w:val="000A5AC8"/>
    <w:rsid w:val="000A68CC"/>
    <w:rsid w:val="000A6DC9"/>
    <w:rsid w:val="000B22A1"/>
    <w:rsid w:val="000B2B70"/>
    <w:rsid w:val="000B36AD"/>
    <w:rsid w:val="000B40E6"/>
    <w:rsid w:val="000B5901"/>
    <w:rsid w:val="000B5A36"/>
    <w:rsid w:val="000B615E"/>
    <w:rsid w:val="000B7682"/>
    <w:rsid w:val="000B7757"/>
    <w:rsid w:val="000C1C5E"/>
    <w:rsid w:val="000C4A60"/>
    <w:rsid w:val="000C50C0"/>
    <w:rsid w:val="000C548B"/>
    <w:rsid w:val="000C5CD6"/>
    <w:rsid w:val="000C7396"/>
    <w:rsid w:val="000C77AE"/>
    <w:rsid w:val="000C7F1C"/>
    <w:rsid w:val="000D1854"/>
    <w:rsid w:val="000D2806"/>
    <w:rsid w:val="000D4709"/>
    <w:rsid w:val="000D6EC1"/>
    <w:rsid w:val="000E0542"/>
    <w:rsid w:val="000E3F41"/>
    <w:rsid w:val="000E64BF"/>
    <w:rsid w:val="000F05A6"/>
    <w:rsid w:val="000F0E16"/>
    <w:rsid w:val="000F4262"/>
    <w:rsid w:val="000F4FE9"/>
    <w:rsid w:val="00100E67"/>
    <w:rsid w:val="001014C7"/>
    <w:rsid w:val="00101757"/>
    <w:rsid w:val="0010359E"/>
    <w:rsid w:val="00104A71"/>
    <w:rsid w:val="00104E38"/>
    <w:rsid w:val="00105273"/>
    <w:rsid w:val="0011035C"/>
    <w:rsid w:val="00111D53"/>
    <w:rsid w:val="00111F5F"/>
    <w:rsid w:val="0011205D"/>
    <w:rsid w:val="00112E51"/>
    <w:rsid w:val="001132D2"/>
    <w:rsid w:val="00114E7E"/>
    <w:rsid w:val="00116540"/>
    <w:rsid w:val="001211A7"/>
    <w:rsid w:val="00121C2E"/>
    <w:rsid w:val="00122496"/>
    <w:rsid w:val="0012269E"/>
    <w:rsid w:val="00124134"/>
    <w:rsid w:val="001243AE"/>
    <w:rsid w:val="001245D3"/>
    <w:rsid w:val="0012543F"/>
    <w:rsid w:val="001259F4"/>
    <w:rsid w:val="00126DDC"/>
    <w:rsid w:val="0013253A"/>
    <w:rsid w:val="00134893"/>
    <w:rsid w:val="001358F9"/>
    <w:rsid w:val="00136226"/>
    <w:rsid w:val="0013775A"/>
    <w:rsid w:val="001379A6"/>
    <w:rsid w:val="00140592"/>
    <w:rsid w:val="00140DC6"/>
    <w:rsid w:val="001415F6"/>
    <w:rsid w:val="001439D7"/>
    <w:rsid w:val="00144067"/>
    <w:rsid w:val="00144387"/>
    <w:rsid w:val="00145D37"/>
    <w:rsid w:val="00146694"/>
    <w:rsid w:val="0015105C"/>
    <w:rsid w:val="00152925"/>
    <w:rsid w:val="0015336D"/>
    <w:rsid w:val="001548C8"/>
    <w:rsid w:val="00155219"/>
    <w:rsid w:val="0015588E"/>
    <w:rsid w:val="00160F72"/>
    <w:rsid w:val="0016128D"/>
    <w:rsid w:val="00161F46"/>
    <w:rsid w:val="0016373A"/>
    <w:rsid w:val="00163CC8"/>
    <w:rsid w:val="00165C2C"/>
    <w:rsid w:val="001667F7"/>
    <w:rsid w:val="00167C11"/>
    <w:rsid w:val="00167EEA"/>
    <w:rsid w:val="00170E33"/>
    <w:rsid w:val="00170F9F"/>
    <w:rsid w:val="001710EC"/>
    <w:rsid w:val="00171738"/>
    <w:rsid w:val="001719D2"/>
    <w:rsid w:val="001724F4"/>
    <w:rsid w:val="00172A27"/>
    <w:rsid w:val="00176254"/>
    <w:rsid w:val="00177D2C"/>
    <w:rsid w:val="00181D3A"/>
    <w:rsid w:val="00183451"/>
    <w:rsid w:val="0018357F"/>
    <w:rsid w:val="0018385E"/>
    <w:rsid w:val="001853CD"/>
    <w:rsid w:val="001853EB"/>
    <w:rsid w:val="00186718"/>
    <w:rsid w:val="00186982"/>
    <w:rsid w:val="00187754"/>
    <w:rsid w:val="00187A83"/>
    <w:rsid w:val="0019028F"/>
    <w:rsid w:val="001913B5"/>
    <w:rsid w:val="0019565B"/>
    <w:rsid w:val="001973D4"/>
    <w:rsid w:val="001A1BF6"/>
    <w:rsid w:val="001A346A"/>
    <w:rsid w:val="001A4901"/>
    <w:rsid w:val="001A4C48"/>
    <w:rsid w:val="001A5612"/>
    <w:rsid w:val="001A6FD3"/>
    <w:rsid w:val="001A7180"/>
    <w:rsid w:val="001A730F"/>
    <w:rsid w:val="001A7880"/>
    <w:rsid w:val="001B283F"/>
    <w:rsid w:val="001B32A6"/>
    <w:rsid w:val="001B39AC"/>
    <w:rsid w:val="001B3EB1"/>
    <w:rsid w:val="001B428A"/>
    <w:rsid w:val="001B4A13"/>
    <w:rsid w:val="001B56FC"/>
    <w:rsid w:val="001B5BF8"/>
    <w:rsid w:val="001B5DEE"/>
    <w:rsid w:val="001B62F8"/>
    <w:rsid w:val="001C1526"/>
    <w:rsid w:val="001C45BD"/>
    <w:rsid w:val="001C5B16"/>
    <w:rsid w:val="001C5C4F"/>
    <w:rsid w:val="001C614B"/>
    <w:rsid w:val="001C70DC"/>
    <w:rsid w:val="001C7347"/>
    <w:rsid w:val="001C7EB3"/>
    <w:rsid w:val="001D13D5"/>
    <w:rsid w:val="001D2AC0"/>
    <w:rsid w:val="001D4370"/>
    <w:rsid w:val="001D4B15"/>
    <w:rsid w:val="001D4C1F"/>
    <w:rsid w:val="001D7DCB"/>
    <w:rsid w:val="001D7DD2"/>
    <w:rsid w:val="001D7E98"/>
    <w:rsid w:val="001E16C8"/>
    <w:rsid w:val="001E17FC"/>
    <w:rsid w:val="001E2917"/>
    <w:rsid w:val="001E3DE6"/>
    <w:rsid w:val="001F0447"/>
    <w:rsid w:val="001F0B11"/>
    <w:rsid w:val="001F1441"/>
    <w:rsid w:val="001F4808"/>
    <w:rsid w:val="001F4EA1"/>
    <w:rsid w:val="001F6F0A"/>
    <w:rsid w:val="0020041E"/>
    <w:rsid w:val="00201111"/>
    <w:rsid w:val="00201ABD"/>
    <w:rsid w:val="002046B5"/>
    <w:rsid w:val="00204791"/>
    <w:rsid w:val="0020496C"/>
    <w:rsid w:val="00204E1A"/>
    <w:rsid w:val="002074D8"/>
    <w:rsid w:val="00207A2B"/>
    <w:rsid w:val="00207E72"/>
    <w:rsid w:val="0021237C"/>
    <w:rsid w:val="00213DB0"/>
    <w:rsid w:val="00216226"/>
    <w:rsid w:val="00216350"/>
    <w:rsid w:val="00216982"/>
    <w:rsid w:val="002175C8"/>
    <w:rsid w:val="00220CAC"/>
    <w:rsid w:val="00221377"/>
    <w:rsid w:val="00222071"/>
    <w:rsid w:val="00222AE0"/>
    <w:rsid w:val="00223225"/>
    <w:rsid w:val="00224318"/>
    <w:rsid w:val="00225C66"/>
    <w:rsid w:val="00230F5A"/>
    <w:rsid w:val="00232D5A"/>
    <w:rsid w:val="00235507"/>
    <w:rsid w:val="00235E54"/>
    <w:rsid w:val="002363F8"/>
    <w:rsid w:val="0023665A"/>
    <w:rsid w:val="00237454"/>
    <w:rsid w:val="002378C5"/>
    <w:rsid w:val="00241224"/>
    <w:rsid w:val="00242673"/>
    <w:rsid w:val="00246CFF"/>
    <w:rsid w:val="002504BA"/>
    <w:rsid w:val="00251321"/>
    <w:rsid w:val="002528C7"/>
    <w:rsid w:val="00253068"/>
    <w:rsid w:val="00254AF3"/>
    <w:rsid w:val="00261799"/>
    <w:rsid w:val="00261A88"/>
    <w:rsid w:val="00261CA9"/>
    <w:rsid w:val="00262EC5"/>
    <w:rsid w:val="00263F40"/>
    <w:rsid w:val="00264E6E"/>
    <w:rsid w:val="00264EDB"/>
    <w:rsid w:val="00266162"/>
    <w:rsid w:val="00266B6C"/>
    <w:rsid w:val="00266D48"/>
    <w:rsid w:val="00267458"/>
    <w:rsid w:val="00267988"/>
    <w:rsid w:val="00267E84"/>
    <w:rsid w:val="00270D15"/>
    <w:rsid w:val="0027131E"/>
    <w:rsid w:val="0027400A"/>
    <w:rsid w:val="00274EC6"/>
    <w:rsid w:val="00275C8B"/>
    <w:rsid w:val="00275CAC"/>
    <w:rsid w:val="00276664"/>
    <w:rsid w:val="0027705D"/>
    <w:rsid w:val="00277F2C"/>
    <w:rsid w:val="00280DAE"/>
    <w:rsid w:val="00282818"/>
    <w:rsid w:val="00282C09"/>
    <w:rsid w:val="0028343D"/>
    <w:rsid w:val="00284D63"/>
    <w:rsid w:val="0028505C"/>
    <w:rsid w:val="00285466"/>
    <w:rsid w:val="00286036"/>
    <w:rsid w:val="00287F11"/>
    <w:rsid w:val="00290EEE"/>
    <w:rsid w:val="002915CD"/>
    <w:rsid w:val="00291ABE"/>
    <w:rsid w:val="00291E5D"/>
    <w:rsid w:val="0029269C"/>
    <w:rsid w:val="00293037"/>
    <w:rsid w:val="002933AF"/>
    <w:rsid w:val="00293BEC"/>
    <w:rsid w:val="00293C36"/>
    <w:rsid w:val="00294674"/>
    <w:rsid w:val="0029568C"/>
    <w:rsid w:val="00295708"/>
    <w:rsid w:val="002A0000"/>
    <w:rsid w:val="002A026C"/>
    <w:rsid w:val="002A0514"/>
    <w:rsid w:val="002A10D9"/>
    <w:rsid w:val="002A19C3"/>
    <w:rsid w:val="002A26AE"/>
    <w:rsid w:val="002A2DBA"/>
    <w:rsid w:val="002A30C4"/>
    <w:rsid w:val="002A317C"/>
    <w:rsid w:val="002A33E4"/>
    <w:rsid w:val="002A4006"/>
    <w:rsid w:val="002A43A5"/>
    <w:rsid w:val="002A5913"/>
    <w:rsid w:val="002A62BD"/>
    <w:rsid w:val="002A7062"/>
    <w:rsid w:val="002B2185"/>
    <w:rsid w:val="002B24AE"/>
    <w:rsid w:val="002B2CA4"/>
    <w:rsid w:val="002B3A5E"/>
    <w:rsid w:val="002B3D06"/>
    <w:rsid w:val="002B4717"/>
    <w:rsid w:val="002B616C"/>
    <w:rsid w:val="002C0033"/>
    <w:rsid w:val="002C103D"/>
    <w:rsid w:val="002C2072"/>
    <w:rsid w:val="002C2F79"/>
    <w:rsid w:val="002C3875"/>
    <w:rsid w:val="002C428C"/>
    <w:rsid w:val="002C4BE8"/>
    <w:rsid w:val="002C5815"/>
    <w:rsid w:val="002C58FE"/>
    <w:rsid w:val="002C6063"/>
    <w:rsid w:val="002D1839"/>
    <w:rsid w:val="002D2274"/>
    <w:rsid w:val="002D2D65"/>
    <w:rsid w:val="002D35C5"/>
    <w:rsid w:val="002D68C0"/>
    <w:rsid w:val="002D70EB"/>
    <w:rsid w:val="002E0557"/>
    <w:rsid w:val="002E1FDF"/>
    <w:rsid w:val="002E202C"/>
    <w:rsid w:val="002E24F2"/>
    <w:rsid w:val="002E414B"/>
    <w:rsid w:val="002E43C5"/>
    <w:rsid w:val="002E6A6B"/>
    <w:rsid w:val="002E7F95"/>
    <w:rsid w:val="002F09BD"/>
    <w:rsid w:val="002F1C27"/>
    <w:rsid w:val="002F3C62"/>
    <w:rsid w:val="002F3EA3"/>
    <w:rsid w:val="002F4079"/>
    <w:rsid w:val="002F5030"/>
    <w:rsid w:val="002F6332"/>
    <w:rsid w:val="002F7270"/>
    <w:rsid w:val="002F7B55"/>
    <w:rsid w:val="0030093A"/>
    <w:rsid w:val="00300B06"/>
    <w:rsid w:val="003016BB"/>
    <w:rsid w:val="00304035"/>
    <w:rsid w:val="003050FC"/>
    <w:rsid w:val="00305258"/>
    <w:rsid w:val="0030662D"/>
    <w:rsid w:val="003074D3"/>
    <w:rsid w:val="003075E7"/>
    <w:rsid w:val="0031010C"/>
    <w:rsid w:val="00312AA7"/>
    <w:rsid w:val="00313580"/>
    <w:rsid w:val="00314D9D"/>
    <w:rsid w:val="0031563E"/>
    <w:rsid w:val="0031593B"/>
    <w:rsid w:val="0031695B"/>
    <w:rsid w:val="003206FC"/>
    <w:rsid w:val="003217C5"/>
    <w:rsid w:val="00322579"/>
    <w:rsid w:val="00324276"/>
    <w:rsid w:val="00325081"/>
    <w:rsid w:val="00327B20"/>
    <w:rsid w:val="00327F3E"/>
    <w:rsid w:val="00330509"/>
    <w:rsid w:val="0033058E"/>
    <w:rsid w:val="00332076"/>
    <w:rsid w:val="00333175"/>
    <w:rsid w:val="003333BE"/>
    <w:rsid w:val="00334C0D"/>
    <w:rsid w:val="00335DBE"/>
    <w:rsid w:val="00336351"/>
    <w:rsid w:val="00336CBE"/>
    <w:rsid w:val="00337386"/>
    <w:rsid w:val="003376E5"/>
    <w:rsid w:val="0034043A"/>
    <w:rsid w:val="003416C4"/>
    <w:rsid w:val="00341D0C"/>
    <w:rsid w:val="00341DF6"/>
    <w:rsid w:val="00343335"/>
    <w:rsid w:val="00343460"/>
    <w:rsid w:val="00344431"/>
    <w:rsid w:val="00345039"/>
    <w:rsid w:val="0034515A"/>
    <w:rsid w:val="00350009"/>
    <w:rsid w:val="00351A45"/>
    <w:rsid w:val="00351A93"/>
    <w:rsid w:val="00352BB1"/>
    <w:rsid w:val="00353155"/>
    <w:rsid w:val="00354E74"/>
    <w:rsid w:val="0035666E"/>
    <w:rsid w:val="003574C1"/>
    <w:rsid w:val="003608E3"/>
    <w:rsid w:val="00361DB2"/>
    <w:rsid w:val="00363F57"/>
    <w:rsid w:val="00364051"/>
    <w:rsid w:val="00364812"/>
    <w:rsid w:val="0036481E"/>
    <w:rsid w:val="00364B3F"/>
    <w:rsid w:val="003654D3"/>
    <w:rsid w:val="00367C89"/>
    <w:rsid w:val="00367E75"/>
    <w:rsid w:val="0037065F"/>
    <w:rsid w:val="00370AA2"/>
    <w:rsid w:val="00372A67"/>
    <w:rsid w:val="00372B70"/>
    <w:rsid w:val="00373550"/>
    <w:rsid w:val="00373E82"/>
    <w:rsid w:val="00374C0D"/>
    <w:rsid w:val="003750F8"/>
    <w:rsid w:val="00376230"/>
    <w:rsid w:val="00377245"/>
    <w:rsid w:val="0037757B"/>
    <w:rsid w:val="003802FD"/>
    <w:rsid w:val="00380BDE"/>
    <w:rsid w:val="00382034"/>
    <w:rsid w:val="00382813"/>
    <w:rsid w:val="00382984"/>
    <w:rsid w:val="00383688"/>
    <w:rsid w:val="003907F8"/>
    <w:rsid w:val="00390955"/>
    <w:rsid w:val="00391B4A"/>
    <w:rsid w:val="0039202F"/>
    <w:rsid w:val="0039216B"/>
    <w:rsid w:val="00392B45"/>
    <w:rsid w:val="00393A78"/>
    <w:rsid w:val="003943EC"/>
    <w:rsid w:val="00395588"/>
    <w:rsid w:val="00395D6F"/>
    <w:rsid w:val="003A01A8"/>
    <w:rsid w:val="003A2152"/>
    <w:rsid w:val="003A2934"/>
    <w:rsid w:val="003A307E"/>
    <w:rsid w:val="003A49AD"/>
    <w:rsid w:val="003A50B6"/>
    <w:rsid w:val="003A5178"/>
    <w:rsid w:val="003A532D"/>
    <w:rsid w:val="003B1493"/>
    <w:rsid w:val="003B2155"/>
    <w:rsid w:val="003B217C"/>
    <w:rsid w:val="003B2ED9"/>
    <w:rsid w:val="003B46DF"/>
    <w:rsid w:val="003B6EDD"/>
    <w:rsid w:val="003C4211"/>
    <w:rsid w:val="003C6E0A"/>
    <w:rsid w:val="003C7BEF"/>
    <w:rsid w:val="003D016E"/>
    <w:rsid w:val="003D0C46"/>
    <w:rsid w:val="003D12B1"/>
    <w:rsid w:val="003D228E"/>
    <w:rsid w:val="003D2D40"/>
    <w:rsid w:val="003D2DA1"/>
    <w:rsid w:val="003D3657"/>
    <w:rsid w:val="003D49B3"/>
    <w:rsid w:val="003D4DCB"/>
    <w:rsid w:val="003D6028"/>
    <w:rsid w:val="003D7279"/>
    <w:rsid w:val="003D763E"/>
    <w:rsid w:val="003D7908"/>
    <w:rsid w:val="003E0B8A"/>
    <w:rsid w:val="003E212B"/>
    <w:rsid w:val="003E4EC4"/>
    <w:rsid w:val="003E5720"/>
    <w:rsid w:val="003E755A"/>
    <w:rsid w:val="003F0606"/>
    <w:rsid w:val="003F3181"/>
    <w:rsid w:val="003F3708"/>
    <w:rsid w:val="003F3BE3"/>
    <w:rsid w:val="003F58D2"/>
    <w:rsid w:val="003F68B1"/>
    <w:rsid w:val="004011B5"/>
    <w:rsid w:val="00402290"/>
    <w:rsid w:val="00402748"/>
    <w:rsid w:val="00402A04"/>
    <w:rsid w:val="00403310"/>
    <w:rsid w:val="00403D3F"/>
    <w:rsid w:val="00404C86"/>
    <w:rsid w:val="00404FBA"/>
    <w:rsid w:val="00405EE9"/>
    <w:rsid w:val="004062B8"/>
    <w:rsid w:val="00407798"/>
    <w:rsid w:val="00407BB4"/>
    <w:rsid w:val="00410C3F"/>
    <w:rsid w:val="00410FD3"/>
    <w:rsid w:val="00411E2F"/>
    <w:rsid w:val="00413A76"/>
    <w:rsid w:val="00413ADB"/>
    <w:rsid w:val="004145DD"/>
    <w:rsid w:val="00415CCB"/>
    <w:rsid w:val="0041637C"/>
    <w:rsid w:val="00416E62"/>
    <w:rsid w:val="00416F60"/>
    <w:rsid w:val="004225F2"/>
    <w:rsid w:val="0042475D"/>
    <w:rsid w:val="00424801"/>
    <w:rsid w:val="00426552"/>
    <w:rsid w:val="0042732D"/>
    <w:rsid w:val="0043077C"/>
    <w:rsid w:val="004311D6"/>
    <w:rsid w:val="004314F9"/>
    <w:rsid w:val="004318A8"/>
    <w:rsid w:val="00432EC2"/>
    <w:rsid w:val="004332AB"/>
    <w:rsid w:val="0043367A"/>
    <w:rsid w:val="004345AA"/>
    <w:rsid w:val="00435039"/>
    <w:rsid w:val="00435E3E"/>
    <w:rsid w:val="00436222"/>
    <w:rsid w:val="00436E8A"/>
    <w:rsid w:val="00440FCB"/>
    <w:rsid w:val="0044282A"/>
    <w:rsid w:val="0044332C"/>
    <w:rsid w:val="00444B58"/>
    <w:rsid w:val="00445197"/>
    <w:rsid w:val="00447E46"/>
    <w:rsid w:val="004511DC"/>
    <w:rsid w:val="004517CA"/>
    <w:rsid w:val="00451E12"/>
    <w:rsid w:val="00452710"/>
    <w:rsid w:val="004532CE"/>
    <w:rsid w:val="004554AE"/>
    <w:rsid w:val="00456AC9"/>
    <w:rsid w:val="00457B69"/>
    <w:rsid w:val="0046028D"/>
    <w:rsid w:val="0046132E"/>
    <w:rsid w:val="00463196"/>
    <w:rsid w:val="00466B95"/>
    <w:rsid w:val="00467288"/>
    <w:rsid w:val="00467786"/>
    <w:rsid w:val="004708AE"/>
    <w:rsid w:val="00470C4D"/>
    <w:rsid w:val="00471142"/>
    <w:rsid w:val="00472135"/>
    <w:rsid w:val="00473409"/>
    <w:rsid w:val="00474B4B"/>
    <w:rsid w:val="00475F43"/>
    <w:rsid w:val="0047619C"/>
    <w:rsid w:val="004761F4"/>
    <w:rsid w:val="00476944"/>
    <w:rsid w:val="00476E80"/>
    <w:rsid w:val="0047733F"/>
    <w:rsid w:val="004776F2"/>
    <w:rsid w:val="004810C7"/>
    <w:rsid w:val="0048165B"/>
    <w:rsid w:val="004822E7"/>
    <w:rsid w:val="00482F55"/>
    <w:rsid w:val="00485A1F"/>
    <w:rsid w:val="00486726"/>
    <w:rsid w:val="00486BCD"/>
    <w:rsid w:val="00487072"/>
    <w:rsid w:val="0048708A"/>
    <w:rsid w:val="00490990"/>
    <w:rsid w:val="00491555"/>
    <w:rsid w:val="004915EB"/>
    <w:rsid w:val="00494E90"/>
    <w:rsid w:val="00495415"/>
    <w:rsid w:val="004964B5"/>
    <w:rsid w:val="00496735"/>
    <w:rsid w:val="00496C76"/>
    <w:rsid w:val="00497291"/>
    <w:rsid w:val="004A0A0E"/>
    <w:rsid w:val="004A140F"/>
    <w:rsid w:val="004A196E"/>
    <w:rsid w:val="004A216C"/>
    <w:rsid w:val="004A3A93"/>
    <w:rsid w:val="004A4887"/>
    <w:rsid w:val="004A6AC5"/>
    <w:rsid w:val="004A764F"/>
    <w:rsid w:val="004B0BAC"/>
    <w:rsid w:val="004B1D11"/>
    <w:rsid w:val="004B1F08"/>
    <w:rsid w:val="004B2417"/>
    <w:rsid w:val="004B28B8"/>
    <w:rsid w:val="004B2904"/>
    <w:rsid w:val="004B30A2"/>
    <w:rsid w:val="004B3953"/>
    <w:rsid w:val="004B44F0"/>
    <w:rsid w:val="004B45C8"/>
    <w:rsid w:val="004B53B9"/>
    <w:rsid w:val="004B6A56"/>
    <w:rsid w:val="004C1025"/>
    <w:rsid w:val="004C164C"/>
    <w:rsid w:val="004C2804"/>
    <w:rsid w:val="004C4907"/>
    <w:rsid w:val="004C6064"/>
    <w:rsid w:val="004C7092"/>
    <w:rsid w:val="004D20D4"/>
    <w:rsid w:val="004D2DDD"/>
    <w:rsid w:val="004D3241"/>
    <w:rsid w:val="004D35D1"/>
    <w:rsid w:val="004D3677"/>
    <w:rsid w:val="004D3947"/>
    <w:rsid w:val="004D4FE6"/>
    <w:rsid w:val="004D67A0"/>
    <w:rsid w:val="004D76FC"/>
    <w:rsid w:val="004D7F6F"/>
    <w:rsid w:val="004E0253"/>
    <w:rsid w:val="004E1452"/>
    <w:rsid w:val="004E16E5"/>
    <w:rsid w:val="004E21E4"/>
    <w:rsid w:val="004E23FF"/>
    <w:rsid w:val="004E3270"/>
    <w:rsid w:val="004E5415"/>
    <w:rsid w:val="004E6D71"/>
    <w:rsid w:val="004E7DB3"/>
    <w:rsid w:val="004F2D16"/>
    <w:rsid w:val="004F581C"/>
    <w:rsid w:val="004F593C"/>
    <w:rsid w:val="00501C0C"/>
    <w:rsid w:val="00502DBE"/>
    <w:rsid w:val="00505472"/>
    <w:rsid w:val="00505774"/>
    <w:rsid w:val="00506327"/>
    <w:rsid w:val="0050639C"/>
    <w:rsid w:val="00506AF2"/>
    <w:rsid w:val="00507D99"/>
    <w:rsid w:val="00510DB1"/>
    <w:rsid w:val="00512CC1"/>
    <w:rsid w:val="0051414D"/>
    <w:rsid w:val="00514F38"/>
    <w:rsid w:val="00515676"/>
    <w:rsid w:val="00515834"/>
    <w:rsid w:val="0051675B"/>
    <w:rsid w:val="00517889"/>
    <w:rsid w:val="00520C76"/>
    <w:rsid w:val="005215B7"/>
    <w:rsid w:val="005216C4"/>
    <w:rsid w:val="00524210"/>
    <w:rsid w:val="00524A00"/>
    <w:rsid w:val="00524B01"/>
    <w:rsid w:val="005258D9"/>
    <w:rsid w:val="00527C61"/>
    <w:rsid w:val="00530D73"/>
    <w:rsid w:val="00530D76"/>
    <w:rsid w:val="005315D7"/>
    <w:rsid w:val="005317D3"/>
    <w:rsid w:val="00533B0A"/>
    <w:rsid w:val="00534307"/>
    <w:rsid w:val="00536185"/>
    <w:rsid w:val="0053694F"/>
    <w:rsid w:val="00537D7A"/>
    <w:rsid w:val="00537FC0"/>
    <w:rsid w:val="00540206"/>
    <w:rsid w:val="00540D29"/>
    <w:rsid w:val="005438E1"/>
    <w:rsid w:val="005441CA"/>
    <w:rsid w:val="00544D54"/>
    <w:rsid w:val="00545BA3"/>
    <w:rsid w:val="005502F2"/>
    <w:rsid w:val="005515A6"/>
    <w:rsid w:val="00551D70"/>
    <w:rsid w:val="00553610"/>
    <w:rsid w:val="005600E9"/>
    <w:rsid w:val="00560665"/>
    <w:rsid w:val="00561A4C"/>
    <w:rsid w:val="0056221A"/>
    <w:rsid w:val="00563394"/>
    <w:rsid w:val="00563C21"/>
    <w:rsid w:val="0056449B"/>
    <w:rsid w:val="005647D4"/>
    <w:rsid w:val="0056497C"/>
    <w:rsid w:val="00564D03"/>
    <w:rsid w:val="005655E4"/>
    <w:rsid w:val="00566A2E"/>
    <w:rsid w:val="0056719F"/>
    <w:rsid w:val="0057155B"/>
    <w:rsid w:val="0057182E"/>
    <w:rsid w:val="0057330F"/>
    <w:rsid w:val="005741A6"/>
    <w:rsid w:val="0057440E"/>
    <w:rsid w:val="005753CA"/>
    <w:rsid w:val="005758AD"/>
    <w:rsid w:val="00576E16"/>
    <w:rsid w:val="0057711F"/>
    <w:rsid w:val="005773B8"/>
    <w:rsid w:val="00580BE1"/>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309C"/>
    <w:rsid w:val="005946A1"/>
    <w:rsid w:val="0059573E"/>
    <w:rsid w:val="00595818"/>
    <w:rsid w:val="005962F1"/>
    <w:rsid w:val="00596853"/>
    <w:rsid w:val="005A0B45"/>
    <w:rsid w:val="005A30B8"/>
    <w:rsid w:val="005A35F5"/>
    <w:rsid w:val="005A7588"/>
    <w:rsid w:val="005A7594"/>
    <w:rsid w:val="005A76D7"/>
    <w:rsid w:val="005B1653"/>
    <w:rsid w:val="005B37F1"/>
    <w:rsid w:val="005B4939"/>
    <w:rsid w:val="005B4DFB"/>
    <w:rsid w:val="005B534B"/>
    <w:rsid w:val="005B7B86"/>
    <w:rsid w:val="005B7F0A"/>
    <w:rsid w:val="005C0484"/>
    <w:rsid w:val="005C0A93"/>
    <w:rsid w:val="005C0E9D"/>
    <w:rsid w:val="005C2A4E"/>
    <w:rsid w:val="005C390D"/>
    <w:rsid w:val="005C4C61"/>
    <w:rsid w:val="005C59D5"/>
    <w:rsid w:val="005C687E"/>
    <w:rsid w:val="005D1BD0"/>
    <w:rsid w:val="005D3F8B"/>
    <w:rsid w:val="005D5940"/>
    <w:rsid w:val="005E0519"/>
    <w:rsid w:val="005E09EC"/>
    <w:rsid w:val="005E1567"/>
    <w:rsid w:val="005E1B95"/>
    <w:rsid w:val="005E3A10"/>
    <w:rsid w:val="005E5059"/>
    <w:rsid w:val="005E5E94"/>
    <w:rsid w:val="005E6061"/>
    <w:rsid w:val="005E7D98"/>
    <w:rsid w:val="005F0993"/>
    <w:rsid w:val="005F14A4"/>
    <w:rsid w:val="005F1753"/>
    <w:rsid w:val="005F294A"/>
    <w:rsid w:val="005F2FEF"/>
    <w:rsid w:val="005F3199"/>
    <w:rsid w:val="005F32A1"/>
    <w:rsid w:val="005F3B68"/>
    <w:rsid w:val="005F3D90"/>
    <w:rsid w:val="005F3E78"/>
    <w:rsid w:val="005F3F07"/>
    <w:rsid w:val="005F50C6"/>
    <w:rsid w:val="005F5BF9"/>
    <w:rsid w:val="005F5E65"/>
    <w:rsid w:val="005F649A"/>
    <w:rsid w:val="005F6833"/>
    <w:rsid w:val="00601C00"/>
    <w:rsid w:val="00601D4B"/>
    <w:rsid w:val="0060298C"/>
    <w:rsid w:val="00602D22"/>
    <w:rsid w:val="006066FA"/>
    <w:rsid w:val="006070DF"/>
    <w:rsid w:val="006071D9"/>
    <w:rsid w:val="0060763B"/>
    <w:rsid w:val="00611513"/>
    <w:rsid w:val="00611994"/>
    <w:rsid w:val="00612EC4"/>
    <w:rsid w:val="0061399D"/>
    <w:rsid w:val="00613A07"/>
    <w:rsid w:val="00613C47"/>
    <w:rsid w:val="00614EE2"/>
    <w:rsid w:val="0061503D"/>
    <w:rsid w:val="00616B4D"/>
    <w:rsid w:val="00616CA7"/>
    <w:rsid w:val="0061725E"/>
    <w:rsid w:val="00617E0D"/>
    <w:rsid w:val="00621291"/>
    <w:rsid w:val="00621361"/>
    <w:rsid w:val="00621D07"/>
    <w:rsid w:val="00623651"/>
    <w:rsid w:val="00623756"/>
    <w:rsid w:val="006239C7"/>
    <w:rsid w:val="00623F04"/>
    <w:rsid w:val="006251C5"/>
    <w:rsid w:val="00626C90"/>
    <w:rsid w:val="006310A6"/>
    <w:rsid w:val="00631401"/>
    <w:rsid w:val="00631820"/>
    <w:rsid w:val="0063182E"/>
    <w:rsid w:val="00631A49"/>
    <w:rsid w:val="00633932"/>
    <w:rsid w:val="00634785"/>
    <w:rsid w:val="00634A1C"/>
    <w:rsid w:val="006352D5"/>
    <w:rsid w:val="00635B42"/>
    <w:rsid w:val="0063614B"/>
    <w:rsid w:val="0063705D"/>
    <w:rsid w:val="00637EE9"/>
    <w:rsid w:val="00641825"/>
    <w:rsid w:val="00642860"/>
    <w:rsid w:val="00645A74"/>
    <w:rsid w:val="00645E6D"/>
    <w:rsid w:val="006475C6"/>
    <w:rsid w:val="00647C4D"/>
    <w:rsid w:val="006520B8"/>
    <w:rsid w:val="006522BD"/>
    <w:rsid w:val="0065254A"/>
    <w:rsid w:val="00654461"/>
    <w:rsid w:val="00655556"/>
    <w:rsid w:val="0065707C"/>
    <w:rsid w:val="006577F9"/>
    <w:rsid w:val="00657990"/>
    <w:rsid w:val="00657B07"/>
    <w:rsid w:val="00660056"/>
    <w:rsid w:val="006610F5"/>
    <w:rsid w:val="00661104"/>
    <w:rsid w:val="006634C8"/>
    <w:rsid w:val="0066428E"/>
    <w:rsid w:val="0066587F"/>
    <w:rsid w:val="00665F79"/>
    <w:rsid w:val="0066630B"/>
    <w:rsid w:val="00666BE8"/>
    <w:rsid w:val="006671D1"/>
    <w:rsid w:val="00667B10"/>
    <w:rsid w:val="00667E02"/>
    <w:rsid w:val="00667FD8"/>
    <w:rsid w:val="00671213"/>
    <w:rsid w:val="0067233E"/>
    <w:rsid w:val="00672CBD"/>
    <w:rsid w:val="00673B0F"/>
    <w:rsid w:val="006749E4"/>
    <w:rsid w:val="00676EDB"/>
    <w:rsid w:val="006776A2"/>
    <w:rsid w:val="00677FB1"/>
    <w:rsid w:val="00680D9C"/>
    <w:rsid w:val="006825C5"/>
    <w:rsid w:val="00683071"/>
    <w:rsid w:val="006834AC"/>
    <w:rsid w:val="006869CE"/>
    <w:rsid w:val="00686E9C"/>
    <w:rsid w:val="00690537"/>
    <w:rsid w:val="00693288"/>
    <w:rsid w:val="0069507A"/>
    <w:rsid w:val="006958DB"/>
    <w:rsid w:val="00695FD6"/>
    <w:rsid w:val="00696295"/>
    <w:rsid w:val="00697849"/>
    <w:rsid w:val="00697AA5"/>
    <w:rsid w:val="006A00C5"/>
    <w:rsid w:val="006A0FFC"/>
    <w:rsid w:val="006A1B71"/>
    <w:rsid w:val="006A1C0F"/>
    <w:rsid w:val="006A1F8D"/>
    <w:rsid w:val="006A4838"/>
    <w:rsid w:val="006A6434"/>
    <w:rsid w:val="006A64E7"/>
    <w:rsid w:val="006A76F5"/>
    <w:rsid w:val="006B000C"/>
    <w:rsid w:val="006B04B3"/>
    <w:rsid w:val="006B0587"/>
    <w:rsid w:val="006B0D1A"/>
    <w:rsid w:val="006B0F09"/>
    <w:rsid w:val="006B1734"/>
    <w:rsid w:val="006B21A6"/>
    <w:rsid w:val="006B2A7A"/>
    <w:rsid w:val="006B417F"/>
    <w:rsid w:val="006B6E5A"/>
    <w:rsid w:val="006B78AA"/>
    <w:rsid w:val="006B7FA1"/>
    <w:rsid w:val="006C0A05"/>
    <w:rsid w:val="006C1446"/>
    <w:rsid w:val="006C1FB8"/>
    <w:rsid w:val="006C2D26"/>
    <w:rsid w:val="006C2F49"/>
    <w:rsid w:val="006C34DE"/>
    <w:rsid w:val="006C394D"/>
    <w:rsid w:val="006C5637"/>
    <w:rsid w:val="006C5C8F"/>
    <w:rsid w:val="006C68DB"/>
    <w:rsid w:val="006C7175"/>
    <w:rsid w:val="006C71E6"/>
    <w:rsid w:val="006C7B70"/>
    <w:rsid w:val="006D0101"/>
    <w:rsid w:val="006D0AE8"/>
    <w:rsid w:val="006D0CC2"/>
    <w:rsid w:val="006D2271"/>
    <w:rsid w:val="006D4E53"/>
    <w:rsid w:val="006D640B"/>
    <w:rsid w:val="006E0902"/>
    <w:rsid w:val="006E23AE"/>
    <w:rsid w:val="006E4F2E"/>
    <w:rsid w:val="006E56EF"/>
    <w:rsid w:val="006E7F22"/>
    <w:rsid w:val="006F0A9D"/>
    <w:rsid w:val="006F1BD1"/>
    <w:rsid w:val="006F252D"/>
    <w:rsid w:val="006F419F"/>
    <w:rsid w:val="006F4C77"/>
    <w:rsid w:val="006F56AF"/>
    <w:rsid w:val="006F5B87"/>
    <w:rsid w:val="006F65B4"/>
    <w:rsid w:val="006F6D59"/>
    <w:rsid w:val="0070062F"/>
    <w:rsid w:val="007006CB"/>
    <w:rsid w:val="00701776"/>
    <w:rsid w:val="00702314"/>
    <w:rsid w:val="007023F0"/>
    <w:rsid w:val="00702D82"/>
    <w:rsid w:val="00703C34"/>
    <w:rsid w:val="00704ADB"/>
    <w:rsid w:val="007064A7"/>
    <w:rsid w:val="00706584"/>
    <w:rsid w:val="00707C5E"/>
    <w:rsid w:val="00707C72"/>
    <w:rsid w:val="00707F7B"/>
    <w:rsid w:val="007115F4"/>
    <w:rsid w:val="007131D2"/>
    <w:rsid w:val="007145FB"/>
    <w:rsid w:val="00714769"/>
    <w:rsid w:val="00716A53"/>
    <w:rsid w:val="00716BBB"/>
    <w:rsid w:val="00720F6B"/>
    <w:rsid w:val="00721B8A"/>
    <w:rsid w:val="00721C17"/>
    <w:rsid w:val="00721EA9"/>
    <w:rsid w:val="00721F31"/>
    <w:rsid w:val="007233B0"/>
    <w:rsid w:val="00723D1E"/>
    <w:rsid w:val="00724248"/>
    <w:rsid w:val="00725709"/>
    <w:rsid w:val="00726136"/>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A10"/>
    <w:rsid w:val="00751F11"/>
    <w:rsid w:val="007529BB"/>
    <w:rsid w:val="00752E68"/>
    <w:rsid w:val="00753536"/>
    <w:rsid w:val="007541ED"/>
    <w:rsid w:val="00755A48"/>
    <w:rsid w:val="00756044"/>
    <w:rsid w:val="00756B36"/>
    <w:rsid w:val="00756EBD"/>
    <w:rsid w:val="00761A28"/>
    <w:rsid w:val="00761E6F"/>
    <w:rsid w:val="007621CB"/>
    <w:rsid w:val="007635D8"/>
    <w:rsid w:val="007647B7"/>
    <w:rsid w:val="00764EFF"/>
    <w:rsid w:val="00766B32"/>
    <w:rsid w:val="00766F31"/>
    <w:rsid w:val="00771758"/>
    <w:rsid w:val="00772351"/>
    <w:rsid w:val="00772551"/>
    <w:rsid w:val="00773A85"/>
    <w:rsid w:val="007741CA"/>
    <w:rsid w:val="007750CC"/>
    <w:rsid w:val="00775B37"/>
    <w:rsid w:val="00775F7F"/>
    <w:rsid w:val="007762BD"/>
    <w:rsid w:val="00782404"/>
    <w:rsid w:val="00783F4E"/>
    <w:rsid w:val="007847BD"/>
    <w:rsid w:val="00791DEB"/>
    <w:rsid w:val="00795B75"/>
    <w:rsid w:val="0079629D"/>
    <w:rsid w:val="00796D6A"/>
    <w:rsid w:val="00797EAB"/>
    <w:rsid w:val="007A151D"/>
    <w:rsid w:val="007A1CBD"/>
    <w:rsid w:val="007A1EC6"/>
    <w:rsid w:val="007A1FD5"/>
    <w:rsid w:val="007A26CB"/>
    <w:rsid w:val="007A2A89"/>
    <w:rsid w:val="007A31D6"/>
    <w:rsid w:val="007A3BCD"/>
    <w:rsid w:val="007A46A1"/>
    <w:rsid w:val="007A6F37"/>
    <w:rsid w:val="007A7023"/>
    <w:rsid w:val="007B0ADC"/>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5BB"/>
    <w:rsid w:val="007D3D58"/>
    <w:rsid w:val="007D41FF"/>
    <w:rsid w:val="007D5ABE"/>
    <w:rsid w:val="007E01D0"/>
    <w:rsid w:val="007E0759"/>
    <w:rsid w:val="007E0819"/>
    <w:rsid w:val="007E0A4E"/>
    <w:rsid w:val="007E0F4C"/>
    <w:rsid w:val="007E38D4"/>
    <w:rsid w:val="007E4F46"/>
    <w:rsid w:val="007E5705"/>
    <w:rsid w:val="007E7FF1"/>
    <w:rsid w:val="007F0B17"/>
    <w:rsid w:val="007F1DD4"/>
    <w:rsid w:val="007F2A5F"/>
    <w:rsid w:val="007F3CA4"/>
    <w:rsid w:val="007F3F75"/>
    <w:rsid w:val="007F54F1"/>
    <w:rsid w:val="007F63A3"/>
    <w:rsid w:val="007F6837"/>
    <w:rsid w:val="007F744C"/>
    <w:rsid w:val="008037AD"/>
    <w:rsid w:val="0080555F"/>
    <w:rsid w:val="00813085"/>
    <w:rsid w:val="00813760"/>
    <w:rsid w:val="00814224"/>
    <w:rsid w:val="008142EA"/>
    <w:rsid w:val="00815E9D"/>
    <w:rsid w:val="008169EF"/>
    <w:rsid w:val="0081736E"/>
    <w:rsid w:val="00820B12"/>
    <w:rsid w:val="00820B3C"/>
    <w:rsid w:val="00823B96"/>
    <w:rsid w:val="00826834"/>
    <w:rsid w:val="00826EB6"/>
    <w:rsid w:val="00827609"/>
    <w:rsid w:val="00827ED8"/>
    <w:rsid w:val="00830B52"/>
    <w:rsid w:val="008313F3"/>
    <w:rsid w:val="00831424"/>
    <w:rsid w:val="0083249F"/>
    <w:rsid w:val="00832629"/>
    <w:rsid w:val="00832F70"/>
    <w:rsid w:val="00834B33"/>
    <w:rsid w:val="00834C6B"/>
    <w:rsid w:val="00835FAA"/>
    <w:rsid w:val="00836A3D"/>
    <w:rsid w:val="00837377"/>
    <w:rsid w:val="008400C6"/>
    <w:rsid w:val="00841741"/>
    <w:rsid w:val="00841B45"/>
    <w:rsid w:val="00842C3C"/>
    <w:rsid w:val="008439D4"/>
    <w:rsid w:val="00844435"/>
    <w:rsid w:val="00844CC6"/>
    <w:rsid w:val="00845B02"/>
    <w:rsid w:val="00845FF1"/>
    <w:rsid w:val="00847BB2"/>
    <w:rsid w:val="0085059A"/>
    <w:rsid w:val="00850A24"/>
    <w:rsid w:val="00850F37"/>
    <w:rsid w:val="00851DCE"/>
    <w:rsid w:val="0085384E"/>
    <w:rsid w:val="0085483E"/>
    <w:rsid w:val="00854B67"/>
    <w:rsid w:val="00856025"/>
    <w:rsid w:val="00856493"/>
    <w:rsid w:val="0085738E"/>
    <w:rsid w:val="0086111E"/>
    <w:rsid w:val="008616BD"/>
    <w:rsid w:val="00861B7D"/>
    <w:rsid w:val="00862CC8"/>
    <w:rsid w:val="00863581"/>
    <w:rsid w:val="00863898"/>
    <w:rsid w:val="00863E13"/>
    <w:rsid w:val="00863F33"/>
    <w:rsid w:val="00864466"/>
    <w:rsid w:val="00865061"/>
    <w:rsid w:val="00865140"/>
    <w:rsid w:val="008655F3"/>
    <w:rsid w:val="00865908"/>
    <w:rsid w:val="00866623"/>
    <w:rsid w:val="00867B22"/>
    <w:rsid w:val="00872E05"/>
    <w:rsid w:val="00873BEE"/>
    <w:rsid w:val="008748C0"/>
    <w:rsid w:val="00874E79"/>
    <w:rsid w:val="0087532F"/>
    <w:rsid w:val="0087545A"/>
    <w:rsid w:val="008818F0"/>
    <w:rsid w:val="00883408"/>
    <w:rsid w:val="00883BBF"/>
    <w:rsid w:val="00884CFF"/>
    <w:rsid w:val="008858CA"/>
    <w:rsid w:val="008862CC"/>
    <w:rsid w:val="008862E3"/>
    <w:rsid w:val="00886816"/>
    <w:rsid w:val="0089100C"/>
    <w:rsid w:val="008928E5"/>
    <w:rsid w:val="00893A89"/>
    <w:rsid w:val="00894A47"/>
    <w:rsid w:val="008962C6"/>
    <w:rsid w:val="008A1B52"/>
    <w:rsid w:val="008A208E"/>
    <w:rsid w:val="008A3A59"/>
    <w:rsid w:val="008A3B8B"/>
    <w:rsid w:val="008A50EE"/>
    <w:rsid w:val="008A5442"/>
    <w:rsid w:val="008A641B"/>
    <w:rsid w:val="008B0143"/>
    <w:rsid w:val="008B254B"/>
    <w:rsid w:val="008B3768"/>
    <w:rsid w:val="008B50A8"/>
    <w:rsid w:val="008B50F8"/>
    <w:rsid w:val="008B5E01"/>
    <w:rsid w:val="008B5F1A"/>
    <w:rsid w:val="008B61CF"/>
    <w:rsid w:val="008B6D17"/>
    <w:rsid w:val="008B7410"/>
    <w:rsid w:val="008C0D26"/>
    <w:rsid w:val="008C2698"/>
    <w:rsid w:val="008C4F23"/>
    <w:rsid w:val="008C542B"/>
    <w:rsid w:val="008C74AB"/>
    <w:rsid w:val="008C7F75"/>
    <w:rsid w:val="008C7FA7"/>
    <w:rsid w:val="008D0735"/>
    <w:rsid w:val="008D0FE4"/>
    <w:rsid w:val="008D109F"/>
    <w:rsid w:val="008D2C98"/>
    <w:rsid w:val="008D6BF0"/>
    <w:rsid w:val="008D7617"/>
    <w:rsid w:val="008D79EA"/>
    <w:rsid w:val="008E09E0"/>
    <w:rsid w:val="008E2002"/>
    <w:rsid w:val="008E50B0"/>
    <w:rsid w:val="008E5861"/>
    <w:rsid w:val="008E67DA"/>
    <w:rsid w:val="008F15B1"/>
    <w:rsid w:val="008F18F1"/>
    <w:rsid w:val="008F2ED5"/>
    <w:rsid w:val="008F312F"/>
    <w:rsid w:val="008F37BD"/>
    <w:rsid w:val="008F3EDC"/>
    <w:rsid w:val="008F46C7"/>
    <w:rsid w:val="008F4895"/>
    <w:rsid w:val="008F4EDE"/>
    <w:rsid w:val="008F5BF8"/>
    <w:rsid w:val="008F5C40"/>
    <w:rsid w:val="008F6D64"/>
    <w:rsid w:val="008F7EBD"/>
    <w:rsid w:val="00900C4B"/>
    <w:rsid w:val="00900E97"/>
    <w:rsid w:val="00903F29"/>
    <w:rsid w:val="00904296"/>
    <w:rsid w:val="009063F7"/>
    <w:rsid w:val="009065A1"/>
    <w:rsid w:val="00907DC0"/>
    <w:rsid w:val="009118B6"/>
    <w:rsid w:val="00912421"/>
    <w:rsid w:val="0091378B"/>
    <w:rsid w:val="0091756D"/>
    <w:rsid w:val="0092180F"/>
    <w:rsid w:val="00922FD6"/>
    <w:rsid w:val="009230E9"/>
    <w:rsid w:val="009238B5"/>
    <w:rsid w:val="00924A12"/>
    <w:rsid w:val="00925DBA"/>
    <w:rsid w:val="009267E4"/>
    <w:rsid w:val="00926828"/>
    <w:rsid w:val="00930137"/>
    <w:rsid w:val="009302E8"/>
    <w:rsid w:val="00930EA6"/>
    <w:rsid w:val="009318EF"/>
    <w:rsid w:val="00932970"/>
    <w:rsid w:val="00932F6D"/>
    <w:rsid w:val="009332BD"/>
    <w:rsid w:val="00934EA6"/>
    <w:rsid w:val="00935977"/>
    <w:rsid w:val="00935D6B"/>
    <w:rsid w:val="009368F6"/>
    <w:rsid w:val="009369BB"/>
    <w:rsid w:val="0093783D"/>
    <w:rsid w:val="00940493"/>
    <w:rsid w:val="00941067"/>
    <w:rsid w:val="009415FC"/>
    <w:rsid w:val="009416A2"/>
    <w:rsid w:val="00944ECD"/>
    <w:rsid w:val="00945087"/>
    <w:rsid w:val="00945C9B"/>
    <w:rsid w:val="00946513"/>
    <w:rsid w:val="009470B6"/>
    <w:rsid w:val="00950F66"/>
    <w:rsid w:val="00951921"/>
    <w:rsid w:val="00951E61"/>
    <w:rsid w:val="00955E2E"/>
    <w:rsid w:val="00956477"/>
    <w:rsid w:val="00957B69"/>
    <w:rsid w:val="00961A4A"/>
    <w:rsid w:val="00962A13"/>
    <w:rsid w:val="00963E5E"/>
    <w:rsid w:val="009644D4"/>
    <w:rsid w:val="009649C6"/>
    <w:rsid w:val="00964B00"/>
    <w:rsid w:val="00966485"/>
    <w:rsid w:val="0097102D"/>
    <w:rsid w:val="009739DC"/>
    <w:rsid w:val="009743FB"/>
    <w:rsid w:val="009750CA"/>
    <w:rsid w:val="00975BFE"/>
    <w:rsid w:val="00977DA9"/>
    <w:rsid w:val="009806E9"/>
    <w:rsid w:val="00981AB0"/>
    <w:rsid w:val="0098256F"/>
    <w:rsid w:val="00982816"/>
    <w:rsid w:val="00982936"/>
    <w:rsid w:val="00983844"/>
    <w:rsid w:val="00984DC3"/>
    <w:rsid w:val="009859E2"/>
    <w:rsid w:val="00985B91"/>
    <w:rsid w:val="00987D11"/>
    <w:rsid w:val="00992237"/>
    <w:rsid w:val="00993C08"/>
    <w:rsid w:val="0099447D"/>
    <w:rsid w:val="00995788"/>
    <w:rsid w:val="00995D75"/>
    <w:rsid w:val="00996298"/>
    <w:rsid w:val="00996FF5"/>
    <w:rsid w:val="00997177"/>
    <w:rsid w:val="009A01EE"/>
    <w:rsid w:val="009A1007"/>
    <w:rsid w:val="009A2D0A"/>
    <w:rsid w:val="009A2F21"/>
    <w:rsid w:val="009A3313"/>
    <w:rsid w:val="009A393E"/>
    <w:rsid w:val="009A42FC"/>
    <w:rsid w:val="009A44FE"/>
    <w:rsid w:val="009A5396"/>
    <w:rsid w:val="009A59F5"/>
    <w:rsid w:val="009A681C"/>
    <w:rsid w:val="009B1089"/>
    <w:rsid w:val="009B13C0"/>
    <w:rsid w:val="009B1A22"/>
    <w:rsid w:val="009B1F2D"/>
    <w:rsid w:val="009B365C"/>
    <w:rsid w:val="009B678E"/>
    <w:rsid w:val="009B6F9E"/>
    <w:rsid w:val="009C0137"/>
    <w:rsid w:val="009C0983"/>
    <w:rsid w:val="009C17AF"/>
    <w:rsid w:val="009C28B5"/>
    <w:rsid w:val="009C3F53"/>
    <w:rsid w:val="009C571B"/>
    <w:rsid w:val="009C630F"/>
    <w:rsid w:val="009D0FD1"/>
    <w:rsid w:val="009D1828"/>
    <w:rsid w:val="009D2049"/>
    <w:rsid w:val="009D2AEB"/>
    <w:rsid w:val="009D2C25"/>
    <w:rsid w:val="009D3F00"/>
    <w:rsid w:val="009D66C2"/>
    <w:rsid w:val="009D792D"/>
    <w:rsid w:val="009E0DDE"/>
    <w:rsid w:val="009E2601"/>
    <w:rsid w:val="009E2677"/>
    <w:rsid w:val="009E2F1F"/>
    <w:rsid w:val="009E3064"/>
    <w:rsid w:val="009E4070"/>
    <w:rsid w:val="009E5525"/>
    <w:rsid w:val="009E60EC"/>
    <w:rsid w:val="009F0DBB"/>
    <w:rsid w:val="009F1397"/>
    <w:rsid w:val="009F420A"/>
    <w:rsid w:val="009F54BA"/>
    <w:rsid w:val="009F5D21"/>
    <w:rsid w:val="009F66BC"/>
    <w:rsid w:val="009F7596"/>
    <w:rsid w:val="009F77F6"/>
    <w:rsid w:val="00A014FC"/>
    <w:rsid w:val="00A01A8F"/>
    <w:rsid w:val="00A01EC3"/>
    <w:rsid w:val="00A01F84"/>
    <w:rsid w:val="00A0350B"/>
    <w:rsid w:val="00A03C0A"/>
    <w:rsid w:val="00A04E4A"/>
    <w:rsid w:val="00A062FE"/>
    <w:rsid w:val="00A064BD"/>
    <w:rsid w:val="00A06B8F"/>
    <w:rsid w:val="00A07681"/>
    <w:rsid w:val="00A109FA"/>
    <w:rsid w:val="00A10B34"/>
    <w:rsid w:val="00A13CEE"/>
    <w:rsid w:val="00A14102"/>
    <w:rsid w:val="00A142C3"/>
    <w:rsid w:val="00A14BFD"/>
    <w:rsid w:val="00A15646"/>
    <w:rsid w:val="00A17372"/>
    <w:rsid w:val="00A1791E"/>
    <w:rsid w:val="00A20D25"/>
    <w:rsid w:val="00A211D8"/>
    <w:rsid w:val="00A21C2D"/>
    <w:rsid w:val="00A22CC0"/>
    <w:rsid w:val="00A24704"/>
    <w:rsid w:val="00A26D25"/>
    <w:rsid w:val="00A30B0E"/>
    <w:rsid w:val="00A33250"/>
    <w:rsid w:val="00A34A17"/>
    <w:rsid w:val="00A3543B"/>
    <w:rsid w:val="00A3657C"/>
    <w:rsid w:val="00A41B54"/>
    <w:rsid w:val="00A42397"/>
    <w:rsid w:val="00A42686"/>
    <w:rsid w:val="00A4295C"/>
    <w:rsid w:val="00A4346C"/>
    <w:rsid w:val="00A43863"/>
    <w:rsid w:val="00A43A38"/>
    <w:rsid w:val="00A4409C"/>
    <w:rsid w:val="00A4541B"/>
    <w:rsid w:val="00A479D3"/>
    <w:rsid w:val="00A50BE5"/>
    <w:rsid w:val="00A51C76"/>
    <w:rsid w:val="00A53E8F"/>
    <w:rsid w:val="00A54C91"/>
    <w:rsid w:val="00A54DFE"/>
    <w:rsid w:val="00A5520A"/>
    <w:rsid w:val="00A56818"/>
    <w:rsid w:val="00A57BB5"/>
    <w:rsid w:val="00A61503"/>
    <w:rsid w:val="00A6275E"/>
    <w:rsid w:val="00A62DFC"/>
    <w:rsid w:val="00A654B3"/>
    <w:rsid w:val="00A65730"/>
    <w:rsid w:val="00A67766"/>
    <w:rsid w:val="00A67A90"/>
    <w:rsid w:val="00A70218"/>
    <w:rsid w:val="00A70441"/>
    <w:rsid w:val="00A710A1"/>
    <w:rsid w:val="00A71E86"/>
    <w:rsid w:val="00A7390E"/>
    <w:rsid w:val="00A7430F"/>
    <w:rsid w:val="00A74755"/>
    <w:rsid w:val="00A74F96"/>
    <w:rsid w:val="00A74FDD"/>
    <w:rsid w:val="00A76040"/>
    <w:rsid w:val="00A76F9E"/>
    <w:rsid w:val="00A77427"/>
    <w:rsid w:val="00A77705"/>
    <w:rsid w:val="00A806EE"/>
    <w:rsid w:val="00A80BCF"/>
    <w:rsid w:val="00A81338"/>
    <w:rsid w:val="00A82CE3"/>
    <w:rsid w:val="00A84EDA"/>
    <w:rsid w:val="00A852E8"/>
    <w:rsid w:val="00A853E3"/>
    <w:rsid w:val="00A860B2"/>
    <w:rsid w:val="00A91DE4"/>
    <w:rsid w:val="00A92C11"/>
    <w:rsid w:val="00A946D5"/>
    <w:rsid w:val="00A94960"/>
    <w:rsid w:val="00A9729B"/>
    <w:rsid w:val="00A97672"/>
    <w:rsid w:val="00A97760"/>
    <w:rsid w:val="00A97A87"/>
    <w:rsid w:val="00AA1351"/>
    <w:rsid w:val="00AA304E"/>
    <w:rsid w:val="00AA3630"/>
    <w:rsid w:val="00AA47E3"/>
    <w:rsid w:val="00AA55BD"/>
    <w:rsid w:val="00AA6244"/>
    <w:rsid w:val="00AA69AF"/>
    <w:rsid w:val="00AA6AA8"/>
    <w:rsid w:val="00AB0B5F"/>
    <w:rsid w:val="00AB1ECF"/>
    <w:rsid w:val="00AB2327"/>
    <w:rsid w:val="00AB276F"/>
    <w:rsid w:val="00AB27EB"/>
    <w:rsid w:val="00AB2A69"/>
    <w:rsid w:val="00AB2E7E"/>
    <w:rsid w:val="00AB3D99"/>
    <w:rsid w:val="00AB4482"/>
    <w:rsid w:val="00AB4C8C"/>
    <w:rsid w:val="00AB569E"/>
    <w:rsid w:val="00AB755E"/>
    <w:rsid w:val="00AB7DBF"/>
    <w:rsid w:val="00AC0C73"/>
    <w:rsid w:val="00AC0E1B"/>
    <w:rsid w:val="00AC1603"/>
    <w:rsid w:val="00AC47C7"/>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A40"/>
    <w:rsid w:val="00AE3E85"/>
    <w:rsid w:val="00AE59CA"/>
    <w:rsid w:val="00AE6D32"/>
    <w:rsid w:val="00AE7F2E"/>
    <w:rsid w:val="00AF046E"/>
    <w:rsid w:val="00AF04C0"/>
    <w:rsid w:val="00AF10EB"/>
    <w:rsid w:val="00AF4E0F"/>
    <w:rsid w:val="00AF5311"/>
    <w:rsid w:val="00AF5EC1"/>
    <w:rsid w:val="00AF6B9A"/>
    <w:rsid w:val="00B004A2"/>
    <w:rsid w:val="00B00B6B"/>
    <w:rsid w:val="00B02FB4"/>
    <w:rsid w:val="00B0321E"/>
    <w:rsid w:val="00B03FC2"/>
    <w:rsid w:val="00B0418A"/>
    <w:rsid w:val="00B06839"/>
    <w:rsid w:val="00B06FF8"/>
    <w:rsid w:val="00B07E50"/>
    <w:rsid w:val="00B07FC9"/>
    <w:rsid w:val="00B10115"/>
    <w:rsid w:val="00B10808"/>
    <w:rsid w:val="00B115E3"/>
    <w:rsid w:val="00B126C6"/>
    <w:rsid w:val="00B14486"/>
    <w:rsid w:val="00B14F6B"/>
    <w:rsid w:val="00B167E4"/>
    <w:rsid w:val="00B16985"/>
    <w:rsid w:val="00B17273"/>
    <w:rsid w:val="00B20889"/>
    <w:rsid w:val="00B2104C"/>
    <w:rsid w:val="00B21743"/>
    <w:rsid w:val="00B21AE8"/>
    <w:rsid w:val="00B23892"/>
    <w:rsid w:val="00B23D7F"/>
    <w:rsid w:val="00B273A2"/>
    <w:rsid w:val="00B305B7"/>
    <w:rsid w:val="00B30D6B"/>
    <w:rsid w:val="00B33AEC"/>
    <w:rsid w:val="00B35F69"/>
    <w:rsid w:val="00B36AFF"/>
    <w:rsid w:val="00B43DE9"/>
    <w:rsid w:val="00B43EA0"/>
    <w:rsid w:val="00B43F35"/>
    <w:rsid w:val="00B44415"/>
    <w:rsid w:val="00B44B0D"/>
    <w:rsid w:val="00B455B3"/>
    <w:rsid w:val="00B45604"/>
    <w:rsid w:val="00B45854"/>
    <w:rsid w:val="00B45B7C"/>
    <w:rsid w:val="00B503E7"/>
    <w:rsid w:val="00B5175E"/>
    <w:rsid w:val="00B51BDC"/>
    <w:rsid w:val="00B52428"/>
    <w:rsid w:val="00B53BB9"/>
    <w:rsid w:val="00B53FE9"/>
    <w:rsid w:val="00B54011"/>
    <w:rsid w:val="00B54A45"/>
    <w:rsid w:val="00B553B8"/>
    <w:rsid w:val="00B57488"/>
    <w:rsid w:val="00B6237E"/>
    <w:rsid w:val="00B6265B"/>
    <w:rsid w:val="00B631CA"/>
    <w:rsid w:val="00B63268"/>
    <w:rsid w:val="00B6367B"/>
    <w:rsid w:val="00B64910"/>
    <w:rsid w:val="00B65221"/>
    <w:rsid w:val="00B65603"/>
    <w:rsid w:val="00B656A1"/>
    <w:rsid w:val="00B66203"/>
    <w:rsid w:val="00B66912"/>
    <w:rsid w:val="00B66A2D"/>
    <w:rsid w:val="00B7244A"/>
    <w:rsid w:val="00B75189"/>
    <w:rsid w:val="00B75BD3"/>
    <w:rsid w:val="00B7646C"/>
    <w:rsid w:val="00B76491"/>
    <w:rsid w:val="00B766B8"/>
    <w:rsid w:val="00B7722C"/>
    <w:rsid w:val="00B77267"/>
    <w:rsid w:val="00B77AE0"/>
    <w:rsid w:val="00B81346"/>
    <w:rsid w:val="00B81424"/>
    <w:rsid w:val="00B82BF5"/>
    <w:rsid w:val="00B83327"/>
    <w:rsid w:val="00B852B1"/>
    <w:rsid w:val="00B85C70"/>
    <w:rsid w:val="00B86838"/>
    <w:rsid w:val="00B872AF"/>
    <w:rsid w:val="00B91B72"/>
    <w:rsid w:val="00B93D95"/>
    <w:rsid w:val="00B962BC"/>
    <w:rsid w:val="00B96D3D"/>
    <w:rsid w:val="00B970A7"/>
    <w:rsid w:val="00B974D4"/>
    <w:rsid w:val="00BA0FB1"/>
    <w:rsid w:val="00BA1B3E"/>
    <w:rsid w:val="00BA1EF7"/>
    <w:rsid w:val="00BA3623"/>
    <w:rsid w:val="00BA3941"/>
    <w:rsid w:val="00BA4457"/>
    <w:rsid w:val="00BB00E3"/>
    <w:rsid w:val="00BB0102"/>
    <w:rsid w:val="00BB02BA"/>
    <w:rsid w:val="00BB0EE5"/>
    <w:rsid w:val="00BB281B"/>
    <w:rsid w:val="00BB3483"/>
    <w:rsid w:val="00BB35AF"/>
    <w:rsid w:val="00BB38ED"/>
    <w:rsid w:val="00BB3C79"/>
    <w:rsid w:val="00BB4E02"/>
    <w:rsid w:val="00BB4E2D"/>
    <w:rsid w:val="00BB6E9D"/>
    <w:rsid w:val="00BC03BA"/>
    <w:rsid w:val="00BC0E16"/>
    <w:rsid w:val="00BC0EAB"/>
    <w:rsid w:val="00BC16EF"/>
    <w:rsid w:val="00BC5059"/>
    <w:rsid w:val="00BC6956"/>
    <w:rsid w:val="00BC7540"/>
    <w:rsid w:val="00BD0EFF"/>
    <w:rsid w:val="00BD1E3F"/>
    <w:rsid w:val="00BD2A02"/>
    <w:rsid w:val="00BD341F"/>
    <w:rsid w:val="00BD4C7C"/>
    <w:rsid w:val="00BD52E1"/>
    <w:rsid w:val="00BD7805"/>
    <w:rsid w:val="00BD7D3D"/>
    <w:rsid w:val="00BE00EF"/>
    <w:rsid w:val="00BE2D59"/>
    <w:rsid w:val="00BE2E5F"/>
    <w:rsid w:val="00BE546D"/>
    <w:rsid w:val="00BE554F"/>
    <w:rsid w:val="00BE5DC9"/>
    <w:rsid w:val="00BE6FBF"/>
    <w:rsid w:val="00BE7055"/>
    <w:rsid w:val="00BE764A"/>
    <w:rsid w:val="00BE7A9C"/>
    <w:rsid w:val="00BF051D"/>
    <w:rsid w:val="00BF1561"/>
    <w:rsid w:val="00BF19D7"/>
    <w:rsid w:val="00BF1C96"/>
    <w:rsid w:val="00BF2163"/>
    <w:rsid w:val="00BF29DB"/>
    <w:rsid w:val="00BF2B9C"/>
    <w:rsid w:val="00BF2F11"/>
    <w:rsid w:val="00BF4A48"/>
    <w:rsid w:val="00BF5061"/>
    <w:rsid w:val="00BF5DD5"/>
    <w:rsid w:val="00C01085"/>
    <w:rsid w:val="00C01768"/>
    <w:rsid w:val="00C0458C"/>
    <w:rsid w:val="00C04638"/>
    <w:rsid w:val="00C053CB"/>
    <w:rsid w:val="00C0786D"/>
    <w:rsid w:val="00C10A48"/>
    <w:rsid w:val="00C11B36"/>
    <w:rsid w:val="00C11D76"/>
    <w:rsid w:val="00C120DA"/>
    <w:rsid w:val="00C1287E"/>
    <w:rsid w:val="00C13CE3"/>
    <w:rsid w:val="00C14760"/>
    <w:rsid w:val="00C14874"/>
    <w:rsid w:val="00C15BBC"/>
    <w:rsid w:val="00C1634B"/>
    <w:rsid w:val="00C16AB1"/>
    <w:rsid w:val="00C17B41"/>
    <w:rsid w:val="00C20448"/>
    <w:rsid w:val="00C2196F"/>
    <w:rsid w:val="00C22DCA"/>
    <w:rsid w:val="00C231AA"/>
    <w:rsid w:val="00C23948"/>
    <w:rsid w:val="00C24D7E"/>
    <w:rsid w:val="00C271FC"/>
    <w:rsid w:val="00C276A6"/>
    <w:rsid w:val="00C276C9"/>
    <w:rsid w:val="00C27A78"/>
    <w:rsid w:val="00C30127"/>
    <w:rsid w:val="00C31031"/>
    <w:rsid w:val="00C312BA"/>
    <w:rsid w:val="00C32749"/>
    <w:rsid w:val="00C33169"/>
    <w:rsid w:val="00C33197"/>
    <w:rsid w:val="00C331CD"/>
    <w:rsid w:val="00C35A4D"/>
    <w:rsid w:val="00C35E4D"/>
    <w:rsid w:val="00C368F3"/>
    <w:rsid w:val="00C37ADA"/>
    <w:rsid w:val="00C37FE7"/>
    <w:rsid w:val="00C40556"/>
    <w:rsid w:val="00C40DEB"/>
    <w:rsid w:val="00C42A7B"/>
    <w:rsid w:val="00C42B61"/>
    <w:rsid w:val="00C46733"/>
    <w:rsid w:val="00C4685E"/>
    <w:rsid w:val="00C51E21"/>
    <w:rsid w:val="00C53467"/>
    <w:rsid w:val="00C565C6"/>
    <w:rsid w:val="00C60C81"/>
    <w:rsid w:val="00C60E01"/>
    <w:rsid w:val="00C61329"/>
    <w:rsid w:val="00C61976"/>
    <w:rsid w:val="00C62B49"/>
    <w:rsid w:val="00C63FA0"/>
    <w:rsid w:val="00C646B0"/>
    <w:rsid w:val="00C64821"/>
    <w:rsid w:val="00C64F5D"/>
    <w:rsid w:val="00C651F7"/>
    <w:rsid w:val="00C67A5D"/>
    <w:rsid w:val="00C70958"/>
    <w:rsid w:val="00C71D13"/>
    <w:rsid w:val="00C73F2B"/>
    <w:rsid w:val="00C746A8"/>
    <w:rsid w:val="00C750A8"/>
    <w:rsid w:val="00C76C9A"/>
    <w:rsid w:val="00C77881"/>
    <w:rsid w:val="00C80B31"/>
    <w:rsid w:val="00C83261"/>
    <w:rsid w:val="00C84552"/>
    <w:rsid w:val="00C84EDA"/>
    <w:rsid w:val="00C851D0"/>
    <w:rsid w:val="00C8539D"/>
    <w:rsid w:val="00C8610E"/>
    <w:rsid w:val="00C862C0"/>
    <w:rsid w:val="00C86E9D"/>
    <w:rsid w:val="00C872AD"/>
    <w:rsid w:val="00C87CCD"/>
    <w:rsid w:val="00C91022"/>
    <w:rsid w:val="00C919DB"/>
    <w:rsid w:val="00C92C73"/>
    <w:rsid w:val="00C93488"/>
    <w:rsid w:val="00C955AF"/>
    <w:rsid w:val="00C9573D"/>
    <w:rsid w:val="00C97326"/>
    <w:rsid w:val="00C97499"/>
    <w:rsid w:val="00C977FD"/>
    <w:rsid w:val="00C97A93"/>
    <w:rsid w:val="00C97CCE"/>
    <w:rsid w:val="00CA18AA"/>
    <w:rsid w:val="00CA2156"/>
    <w:rsid w:val="00CA41B7"/>
    <w:rsid w:val="00CA603E"/>
    <w:rsid w:val="00CA6672"/>
    <w:rsid w:val="00CA7322"/>
    <w:rsid w:val="00CA7BE1"/>
    <w:rsid w:val="00CA7BFC"/>
    <w:rsid w:val="00CB198E"/>
    <w:rsid w:val="00CB294D"/>
    <w:rsid w:val="00CB57A3"/>
    <w:rsid w:val="00CC0404"/>
    <w:rsid w:val="00CC0C3B"/>
    <w:rsid w:val="00CC131E"/>
    <w:rsid w:val="00CC1996"/>
    <w:rsid w:val="00CC1E0B"/>
    <w:rsid w:val="00CC26AB"/>
    <w:rsid w:val="00CC2832"/>
    <w:rsid w:val="00CC2B90"/>
    <w:rsid w:val="00CC3CF6"/>
    <w:rsid w:val="00CD05E3"/>
    <w:rsid w:val="00CD0D93"/>
    <w:rsid w:val="00CD1B1A"/>
    <w:rsid w:val="00CD44E8"/>
    <w:rsid w:val="00CD46E2"/>
    <w:rsid w:val="00CD53C1"/>
    <w:rsid w:val="00CE043E"/>
    <w:rsid w:val="00CE1125"/>
    <w:rsid w:val="00CE29F0"/>
    <w:rsid w:val="00CE40CE"/>
    <w:rsid w:val="00CE42FA"/>
    <w:rsid w:val="00CE4CE9"/>
    <w:rsid w:val="00CE5369"/>
    <w:rsid w:val="00CE5DE4"/>
    <w:rsid w:val="00CE6809"/>
    <w:rsid w:val="00CE7788"/>
    <w:rsid w:val="00CF02E2"/>
    <w:rsid w:val="00CF09BC"/>
    <w:rsid w:val="00CF1C0B"/>
    <w:rsid w:val="00CF6E6C"/>
    <w:rsid w:val="00CF7142"/>
    <w:rsid w:val="00D005CF"/>
    <w:rsid w:val="00D00EC4"/>
    <w:rsid w:val="00D020B8"/>
    <w:rsid w:val="00D0227E"/>
    <w:rsid w:val="00D027CE"/>
    <w:rsid w:val="00D0290C"/>
    <w:rsid w:val="00D029F8"/>
    <w:rsid w:val="00D03224"/>
    <w:rsid w:val="00D03740"/>
    <w:rsid w:val="00D0503A"/>
    <w:rsid w:val="00D05C7B"/>
    <w:rsid w:val="00D05F79"/>
    <w:rsid w:val="00D07D83"/>
    <w:rsid w:val="00D1104A"/>
    <w:rsid w:val="00D125B0"/>
    <w:rsid w:val="00D12993"/>
    <w:rsid w:val="00D13400"/>
    <w:rsid w:val="00D13694"/>
    <w:rsid w:val="00D14790"/>
    <w:rsid w:val="00D152CA"/>
    <w:rsid w:val="00D15A6E"/>
    <w:rsid w:val="00D15FC2"/>
    <w:rsid w:val="00D1757B"/>
    <w:rsid w:val="00D17987"/>
    <w:rsid w:val="00D2390C"/>
    <w:rsid w:val="00D240EB"/>
    <w:rsid w:val="00D25EAA"/>
    <w:rsid w:val="00D25EE9"/>
    <w:rsid w:val="00D2626E"/>
    <w:rsid w:val="00D26F03"/>
    <w:rsid w:val="00D27820"/>
    <w:rsid w:val="00D30A5C"/>
    <w:rsid w:val="00D318F3"/>
    <w:rsid w:val="00D31FAB"/>
    <w:rsid w:val="00D3394C"/>
    <w:rsid w:val="00D34578"/>
    <w:rsid w:val="00D34B2F"/>
    <w:rsid w:val="00D40664"/>
    <w:rsid w:val="00D41428"/>
    <w:rsid w:val="00D41AE7"/>
    <w:rsid w:val="00D432FD"/>
    <w:rsid w:val="00D43690"/>
    <w:rsid w:val="00D45639"/>
    <w:rsid w:val="00D458D5"/>
    <w:rsid w:val="00D46CE5"/>
    <w:rsid w:val="00D47C03"/>
    <w:rsid w:val="00D50B28"/>
    <w:rsid w:val="00D51640"/>
    <w:rsid w:val="00D52DE3"/>
    <w:rsid w:val="00D530A3"/>
    <w:rsid w:val="00D54290"/>
    <w:rsid w:val="00D559F4"/>
    <w:rsid w:val="00D55BB8"/>
    <w:rsid w:val="00D57DEE"/>
    <w:rsid w:val="00D60633"/>
    <w:rsid w:val="00D628F5"/>
    <w:rsid w:val="00D637FB"/>
    <w:rsid w:val="00D63BDA"/>
    <w:rsid w:val="00D64660"/>
    <w:rsid w:val="00D64E60"/>
    <w:rsid w:val="00D6511B"/>
    <w:rsid w:val="00D668AF"/>
    <w:rsid w:val="00D66925"/>
    <w:rsid w:val="00D67D64"/>
    <w:rsid w:val="00D70919"/>
    <w:rsid w:val="00D7254F"/>
    <w:rsid w:val="00D736CD"/>
    <w:rsid w:val="00D737E1"/>
    <w:rsid w:val="00D73D75"/>
    <w:rsid w:val="00D74E43"/>
    <w:rsid w:val="00D76206"/>
    <w:rsid w:val="00D76409"/>
    <w:rsid w:val="00D8051B"/>
    <w:rsid w:val="00D80805"/>
    <w:rsid w:val="00D81E7D"/>
    <w:rsid w:val="00D86671"/>
    <w:rsid w:val="00D86E42"/>
    <w:rsid w:val="00D920B4"/>
    <w:rsid w:val="00D92795"/>
    <w:rsid w:val="00D953AC"/>
    <w:rsid w:val="00D96B76"/>
    <w:rsid w:val="00D96D07"/>
    <w:rsid w:val="00D96DC0"/>
    <w:rsid w:val="00D9718A"/>
    <w:rsid w:val="00D975F7"/>
    <w:rsid w:val="00DA2A78"/>
    <w:rsid w:val="00DA3435"/>
    <w:rsid w:val="00DA37F2"/>
    <w:rsid w:val="00DA3A12"/>
    <w:rsid w:val="00DA4CA8"/>
    <w:rsid w:val="00DA7846"/>
    <w:rsid w:val="00DA7C59"/>
    <w:rsid w:val="00DA7C5B"/>
    <w:rsid w:val="00DB0BA1"/>
    <w:rsid w:val="00DB0F85"/>
    <w:rsid w:val="00DB1948"/>
    <w:rsid w:val="00DB1DF4"/>
    <w:rsid w:val="00DB239F"/>
    <w:rsid w:val="00DB30F0"/>
    <w:rsid w:val="00DB3423"/>
    <w:rsid w:val="00DB34AE"/>
    <w:rsid w:val="00DB54CD"/>
    <w:rsid w:val="00DB587F"/>
    <w:rsid w:val="00DB5D9A"/>
    <w:rsid w:val="00DB664F"/>
    <w:rsid w:val="00DB6F97"/>
    <w:rsid w:val="00DB725E"/>
    <w:rsid w:val="00DC1AED"/>
    <w:rsid w:val="00DC2FC4"/>
    <w:rsid w:val="00DC4E3A"/>
    <w:rsid w:val="00DC6242"/>
    <w:rsid w:val="00DC6641"/>
    <w:rsid w:val="00DC7206"/>
    <w:rsid w:val="00DD08D5"/>
    <w:rsid w:val="00DD12A8"/>
    <w:rsid w:val="00DD2912"/>
    <w:rsid w:val="00DD4AD9"/>
    <w:rsid w:val="00DD6207"/>
    <w:rsid w:val="00DD720D"/>
    <w:rsid w:val="00DE0BE1"/>
    <w:rsid w:val="00DE0C61"/>
    <w:rsid w:val="00DE0FC3"/>
    <w:rsid w:val="00DE3092"/>
    <w:rsid w:val="00DE3719"/>
    <w:rsid w:val="00DE418A"/>
    <w:rsid w:val="00DE42D4"/>
    <w:rsid w:val="00DE4F70"/>
    <w:rsid w:val="00DE7026"/>
    <w:rsid w:val="00DE774D"/>
    <w:rsid w:val="00DE7C0E"/>
    <w:rsid w:val="00DF0A2F"/>
    <w:rsid w:val="00DF0FEB"/>
    <w:rsid w:val="00DF21B6"/>
    <w:rsid w:val="00DF482F"/>
    <w:rsid w:val="00DF4C88"/>
    <w:rsid w:val="00DF4DE4"/>
    <w:rsid w:val="00DF6207"/>
    <w:rsid w:val="00E008C8"/>
    <w:rsid w:val="00E01DE9"/>
    <w:rsid w:val="00E026BF"/>
    <w:rsid w:val="00E04250"/>
    <w:rsid w:val="00E043C7"/>
    <w:rsid w:val="00E04B49"/>
    <w:rsid w:val="00E0655B"/>
    <w:rsid w:val="00E0728C"/>
    <w:rsid w:val="00E10DD9"/>
    <w:rsid w:val="00E1108A"/>
    <w:rsid w:val="00E11139"/>
    <w:rsid w:val="00E121AC"/>
    <w:rsid w:val="00E12D53"/>
    <w:rsid w:val="00E139AA"/>
    <w:rsid w:val="00E17930"/>
    <w:rsid w:val="00E214FC"/>
    <w:rsid w:val="00E21B38"/>
    <w:rsid w:val="00E21BE6"/>
    <w:rsid w:val="00E24402"/>
    <w:rsid w:val="00E26F74"/>
    <w:rsid w:val="00E27B6A"/>
    <w:rsid w:val="00E32A92"/>
    <w:rsid w:val="00E32EDE"/>
    <w:rsid w:val="00E3365E"/>
    <w:rsid w:val="00E33D88"/>
    <w:rsid w:val="00E34E36"/>
    <w:rsid w:val="00E351C2"/>
    <w:rsid w:val="00E35579"/>
    <w:rsid w:val="00E3793B"/>
    <w:rsid w:val="00E37C19"/>
    <w:rsid w:val="00E37CED"/>
    <w:rsid w:val="00E37E2C"/>
    <w:rsid w:val="00E4009F"/>
    <w:rsid w:val="00E41414"/>
    <w:rsid w:val="00E4329C"/>
    <w:rsid w:val="00E436D8"/>
    <w:rsid w:val="00E4560D"/>
    <w:rsid w:val="00E45E3C"/>
    <w:rsid w:val="00E460DA"/>
    <w:rsid w:val="00E46442"/>
    <w:rsid w:val="00E46F71"/>
    <w:rsid w:val="00E47371"/>
    <w:rsid w:val="00E476E2"/>
    <w:rsid w:val="00E47F06"/>
    <w:rsid w:val="00E51A41"/>
    <w:rsid w:val="00E53137"/>
    <w:rsid w:val="00E57051"/>
    <w:rsid w:val="00E574DD"/>
    <w:rsid w:val="00E618E4"/>
    <w:rsid w:val="00E61AE3"/>
    <w:rsid w:val="00E620D1"/>
    <w:rsid w:val="00E62D56"/>
    <w:rsid w:val="00E6486E"/>
    <w:rsid w:val="00E64BFC"/>
    <w:rsid w:val="00E64D22"/>
    <w:rsid w:val="00E64F43"/>
    <w:rsid w:val="00E65D76"/>
    <w:rsid w:val="00E71D3E"/>
    <w:rsid w:val="00E7207F"/>
    <w:rsid w:val="00E72798"/>
    <w:rsid w:val="00E74F53"/>
    <w:rsid w:val="00E75278"/>
    <w:rsid w:val="00E75DF8"/>
    <w:rsid w:val="00E774A0"/>
    <w:rsid w:val="00E809C2"/>
    <w:rsid w:val="00E80E88"/>
    <w:rsid w:val="00E8141E"/>
    <w:rsid w:val="00E84990"/>
    <w:rsid w:val="00E85061"/>
    <w:rsid w:val="00E85581"/>
    <w:rsid w:val="00E86B30"/>
    <w:rsid w:val="00E87500"/>
    <w:rsid w:val="00E92039"/>
    <w:rsid w:val="00E92BF3"/>
    <w:rsid w:val="00E934A1"/>
    <w:rsid w:val="00E937EA"/>
    <w:rsid w:val="00E94790"/>
    <w:rsid w:val="00E9522E"/>
    <w:rsid w:val="00EA14EC"/>
    <w:rsid w:val="00EA1689"/>
    <w:rsid w:val="00EA1A84"/>
    <w:rsid w:val="00EA246D"/>
    <w:rsid w:val="00EA41A7"/>
    <w:rsid w:val="00EA494B"/>
    <w:rsid w:val="00EA6683"/>
    <w:rsid w:val="00EB11D7"/>
    <w:rsid w:val="00EB12C0"/>
    <w:rsid w:val="00EB16A1"/>
    <w:rsid w:val="00EB2401"/>
    <w:rsid w:val="00EB2CAB"/>
    <w:rsid w:val="00EB2CB0"/>
    <w:rsid w:val="00EB3362"/>
    <w:rsid w:val="00EB473C"/>
    <w:rsid w:val="00EB4B9D"/>
    <w:rsid w:val="00EB4E43"/>
    <w:rsid w:val="00EB65D7"/>
    <w:rsid w:val="00EB66F9"/>
    <w:rsid w:val="00EC046B"/>
    <w:rsid w:val="00EC1F17"/>
    <w:rsid w:val="00EC283E"/>
    <w:rsid w:val="00EC2DD1"/>
    <w:rsid w:val="00EC35BD"/>
    <w:rsid w:val="00EC3EA0"/>
    <w:rsid w:val="00EC4122"/>
    <w:rsid w:val="00EC5D55"/>
    <w:rsid w:val="00ED0925"/>
    <w:rsid w:val="00ED1279"/>
    <w:rsid w:val="00ED1728"/>
    <w:rsid w:val="00ED1C2E"/>
    <w:rsid w:val="00ED1DF2"/>
    <w:rsid w:val="00ED265A"/>
    <w:rsid w:val="00ED438B"/>
    <w:rsid w:val="00ED448D"/>
    <w:rsid w:val="00ED4AFE"/>
    <w:rsid w:val="00ED6502"/>
    <w:rsid w:val="00EE060F"/>
    <w:rsid w:val="00EE068C"/>
    <w:rsid w:val="00EE08C8"/>
    <w:rsid w:val="00EE0DD7"/>
    <w:rsid w:val="00EE1507"/>
    <w:rsid w:val="00EE1EEC"/>
    <w:rsid w:val="00EE2025"/>
    <w:rsid w:val="00EE2BAE"/>
    <w:rsid w:val="00EE2F28"/>
    <w:rsid w:val="00EE4FEE"/>
    <w:rsid w:val="00EE70DB"/>
    <w:rsid w:val="00EE782F"/>
    <w:rsid w:val="00EF3F04"/>
    <w:rsid w:val="00EF45C3"/>
    <w:rsid w:val="00EF4BED"/>
    <w:rsid w:val="00EF52B1"/>
    <w:rsid w:val="00EF5DD9"/>
    <w:rsid w:val="00EF5F19"/>
    <w:rsid w:val="00F0158F"/>
    <w:rsid w:val="00F03813"/>
    <w:rsid w:val="00F04F2F"/>
    <w:rsid w:val="00F06C67"/>
    <w:rsid w:val="00F07A7A"/>
    <w:rsid w:val="00F10111"/>
    <w:rsid w:val="00F10115"/>
    <w:rsid w:val="00F101A3"/>
    <w:rsid w:val="00F10BB0"/>
    <w:rsid w:val="00F11A57"/>
    <w:rsid w:val="00F136E0"/>
    <w:rsid w:val="00F16359"/>
    <w:rsid w:val="00F165C1"/>
    <w:rsid w:val="00F16953"/>
    <w:rsid w:val="00F16B59"/>
    <w:rsid w:val="00F17168"/>
    <w:rsid w:val="00F22920"/>
    <w:rsid w:val="00F22CAD"/>
    <w:rsid w:val="00F233C1"/>
    <w:rsid w:val="00F24C34"/>
    <w:rsid w:val="00F254AD"/>
    <w:rsid w:val="00F3192F"/>
    <w:rsid w:val="00F32BE6"/>
    <w:rsid w:val="00F35A30"/>
    <w:rsid w:val="00F369F7"/>
    <w:rsid w:val="00F40176"/>
    <w:rsid w:val="00F40C61"/>
    <w:rsid w:val="00F411E2"/>
    <w:rsid w:val="00F427CC"/>
    <w:rsid w:val="00F442EF"/>
    <w:rsid w:val="00F449F9"/>
    <w:rsid w:val="00F44B91"/>
    <w:rsid w:val="00F47E9D"/>
    <w:rsid w:val="00F47FC7"/>
    <w:rsid w:val="00F519E4"/>
    <w:rsid w:val="00F53257"/>
    <w:rsid w:val="00F533D5"/>
    <w:rsid w:val="00F5515A"/>
    <w:rsid w:val="00F5625A"/>
    <w:rsid w:val="00F5731E"/>
    <w:rsid w:val="00F604D4"/>
    <w:rsid w:val="00F63889"/>
    <w:rsid w:val="00F65DC3"/>
    <w:rsid w:val="00F71390"/>
    <w:rsid w:val="00F71DCE"/>
    <w:rsid w:val="00F76F95"/>
    <w:rsid w:val="00F80FAB"/>
    <w:rsid w:val="00F82BC2"/>
    <w:rsid w:val="00F84186"/>
    <w:rsid w:val="00F859DA"/>
    <w:rsid w:val="00F905FA"/>
    <w:rsid w:val="00F92475"/>
    <w:rsid w:val="00F9288D"/>
    <w:rsid w:val="00F92CB3"/>
    <w:rsid w:val="00F93224"/>
    <w:rsid w:val="00F933A3"/>
    <w:rsid w:val="00F93895"/>
    <w:rsid w:val="00F9434D"/>
    <w:rsid w:val="00F94FE7"/>
    <w:rsid w:val="00F959E9"/>
    <w:rsid w:val="00F96A0F"/>
    <w:rsid w:val="00FA21A0"/>
    <w:rsid w:val="00FA2758"/>
    <w:rsid w:val="00FA4491"/>
    <w:rsid w:val="00FA49B8"/>
    <w:rsid w:val="00FA4A49"/>
    <w:rsid w:val="00FA6D70"/>
    <w:rsid w:val="00FB007A"/>
    <w:rsid w:val="00FB14A6"/>
    <w:rsid w:val="00FB16B5"/>
    <w:rsid w:val="00FB1844"/>
    <w:rsid w:val="00FB20BE"/>
    <w:rsid w:val="00FB259F"/>
    <w:rsid w:val="00FB272A"/>
    <w:rsid w:val="00FB28C4"/>
    <w:rsid w:val="00FB28E9"/>
    <w:rsid w:val="00FB2D31"/>
    <w:rsid w:val="00FB2FE6"/>
    <w:rsid w:val="00FB34FE"/>
    <w:rsid w:val="00FB4D2B"/>
    <w:rsid w:val="00FB5FC1"/>
    <w:rsid w:val="00FB6A8E"/>
    <w:rsid w:val="00FB6F34"/>
    <w:rsid w:val="00FB752E"/>
    <w:rsid w:val="00FC10C6"/>
    <w:rsid w:val="00FC2291"/>
    <w:rsid w:val="00FC22E4"/>
    <w:rsid w:val="00FC3E0F"/>
    <w:rsid w:val="00FC3FF6"/>
    <w:rsid w:val="00FC5B59"/>
    <w:rsid w:val="00FC5C18"/>
    <w:rsid w:val="00FC60DB"/>
    <w:rsid w:val="00FC6DDE"/>
    <w:rsid w:val="00FD14EA"/>
    <w:rsid w:val="00FD231A"/>
    <w:rsid w:val="00FD2B05"/>
    <w:rsid w:val="00FD3369"/>
    <w:rsid w:val="00FD394A"/>
    <w:rsid w:val="00FD3B22"/>
    <w:rsid w:val="00FD3EEF"/>
    <w:rsid w:val="00FD4A40"/>
    <w:rsid w:val="00FD4EF4"/>
    <w:rsid w:val="00FD5B7A"/>
    <w:rsid w:val="00FD5C7A"/>
    <w:rsid w:val="00FD60DD"/>
    <w:rsid w:val="00FE0116"/>
    <w:rsid w:val="00FE33B1"/>
    <w:rsid w:val="00FE368E"/>
    <w:rsid w:val="00FE374E"/>
    <w:rsid w:val="00FE40BE"/>
    <w:rsid w:val="00FE78F0"/>
    <w:rsid w:val="00FF30D4"/>
    <w:rsid w:val="00FF3A58"/>
    <w:rsid w:val="00FF5494"/>
    <w:rsid w:val="00FF7685"/>
    <w:rsid w:val="010F524E"/>
    <w:rsid w:val="01202DD5"/>
    <w:rsid w:val="012114FA"/>
    <w:rsid w:val="014C40D5"/>
    <w:rsid w:val="01795F41"/>
    <w:rsid w:val="017B2090"/>
    <w:rsid w:val="017B2B4B"/>
    <w:rsid w:val="01882DE9"/>
    <w:rsid w:val="019D74BC"/>
    <w:rsid w:val="01D94483"/>
    <w:rsid w:val="02011682"/>
    <w:rsid w:val="02683509"/>
    <w:rsid w:val="02706638"/>
    <w:rsid w:val="02837017"/>
    <w:rsid w:val="02B853D7"/>
    <w:rsid w:val="03276771"/>
    <w:rsid w:val="034C7AFF"/>
    <w:rsid w:val="03510B84"/>
    <w:rsid w:val="039321C0"/>
    <w:rsid w:val="03DA1A34"/>
    <w:rsid w:val="03DF34E4"/>
    <w:rsid w:val="03E04A35"/>
    <w:rsid w:val="044C2313"/>
    <w:rsid w:val="04B30C95"/>
    <w:rsid w:val="04F248E5"/>
    <w:rsid w:val="055A1B02"/>
    <w:rsid w:val="05995E54"/>
    <w:rsid w:val="05C04CA3"/>
    <w:rsid w:val="05DD1395"/>
    <w:rsid w:val="061B6D6D"/>
    <w:rsid w:val="06621996"/>
    <w:rsid w:val="069E1F4A"/>
    <w:rsid w:val="069E5DF6"/>
    <w:rsid w:val="06C632EC"/>
    <w:rsid w:val="06D3303D"/>
    <w:rsid w:val="07313D00"/>
    <w:rsid w:val="07391B32"/>
    <w:rsid w:val="07623F84"/>
    <w:rsid w:val="07626C2E"/>
    <w:rsid w:val="07C26CA5"/>
    <w:rsid w:val="07E51774"/>
    <w:rsid w:val="07FF3B44"/>
    <w:rsid w:val="08115849"/>
    <w:rsid w:val="0816055F"/>
    <w:rsid w:val="089221ED"/>
    <w:rsid w:val="08AA40C0"/>
    <w:rsid w:val="08B5787C"/>
    <w:rsid w:val="08E90215"/>
    <w:rsid w:val="08EC4C92"/>
    <w:rsid w:val="08F479AA"/>
    <w:rsid w:val="091E614B"/>
    <w:rsid w:val="092D54BA"/>
    <w:rsid w:val="09355DDA"/>
    <w:rsid w:val="094606C1"/>
    <w:rsid w:val="09575226"/>
    <w:rsid w:val="098B3706"/>
    <w:rsid w:val="09990053"/>
    <w:rsid w:val="09F94205"/>
    <w:rsid w:val="09FD0E9F"/>
    <w:rsid w:val="0A2A4608"/>
    <w:rsid w:val="0A425DAB"/>
    <w:rsid w:val="0A457090"/>
    <w:rsid w:val="0AAE2F34"/>
    <w:rsid w:val="0AAF218C"/>
    <w:rsid w:val="0AE00C72"/>
    <w:rsid w:val="0B353EC5"/>
    <w:rsid w:val="0B372F94"/>
    <w:rsid w:val="0B666A61"/>
    <w:rsid w:val="0BC11374"/>
    <w:rsid w:val="0BE707C3"/>
    <w:rsid w:val="0C3254DC"/>
    <w:rsid w:val="0C531573"/>
    <w:rsid w:val="0C7D65BC"/>
    <w:rsid w:val="0CA92912"/>
    <w:rsid w:val="0CAD38AC"/>
    <w:rsid w:val="0CD52391"/>
    <w:rsid w:val="0CD90881"/>
    <w:rsid w:val="0CED7D8C"/>
    <w:rsid w:val="0D05510F"/>
    <w:rsid w:val="0D5D3FAA"/>
    <w:rsid w:val="0D6A4AD7"/>
    <w:rsid w:val="0D850839"/>
    <w:rsid w:val="0DA729C5"/>
    <w:rsid w:val="0DD06281"/>
    <w:rsid w:val="0DD53DD4"/>
    <w:rsid w:val="0E1C0C4C"/>
    <w:rsid w:val="0E320F44"/>
    <w:rsid w:val="0E59706C"/>
    <w:rsid w:val="0E75260D"/>
    <w:rsid w:val="0E8C7F2B"/>
    <w:rsid w:val="0ECA6F80"/>
    <w:rsid w:val="0F9D6B5D"/>
    <w:rsid w:val="0FB51311"/>
    <w:rsid w:val="0FD706E3"/>
    <w:rsid w:val="1009014F"/>
    <w:rsid w:val="10913E5D"/>
    <w:rsid w:val="11214B6D"/>
    <w:rsid w:val="11D00633"/>
    <w:rsid w:val="11E97D60"/>
    <w:rsid w:val="126705C8"/>
    <w:rsid w:val="12817D16"/>
    <w:rsid w:val="128F16CE"/>
    <w:rsid w:val="12A60D64"/>
    <w:rsid w:val="13387FAE"/>
    <w:rsid w:val="133B3B5D"/>
    <w:rsid w:val="133F5C40"/>
    <w:rsid w:val="13983E78"/>
    <w:rsid w:val="13B91FDD"/>
    <w:rsid w:val="14340E2C"/>
    <w:rsid w:val="14CC4197"/>
    <w:rsid w:val="15086132"/>
    <w:rsid w:val="15087709"/>
    <w:rsid w:val="151072FF"/>
    <w:rsid w:val="15C745A0"/>
    <w:rsid w:val="15C76D29"/>
    <w:rsid w:val="15D90646"/>
    <w:rsid w:val="15F95707"/>
    <w:rsid w:val="1648040C"/>
    <w:rsid w:val="16BC586A"/>
    <w:rsid w:val="16C62AAA"/>
    <w:rsid w:val="16E51F32"/>
    <w:rsid w:val="16E849EB"/>
    <w:rsid w:val="17134CD7"/>
    <w:rsid w:val="17153C0C"/>
    <w:rsid w:val="173F7C7B"/>
    <w:rsid w:val="17976DCF"/>
    <w:rsid w:val="17CC150E"/>
    <w:rsid w:val="17F078CC"/>
    <w:rsid w:val="18014BF4"/>
    <w:rsid w:val="180718CF"/>
    <w:rsid w:val="18120519"/>
    <w:rsid w:val="18244E26"/>
    <w:rsid w:val="183506F4"/>
    <w:rsid w:val="184F676E"/>
    <w:rsid w:val="18C04373"/>
    <w:rsid w:val="18C3178B"/>
    <w:rsid w:val="190301FC"/>
    <w:rsid w:val="19130DDF"/>
    <w:rsid w:val="19770EA0"/>
    <w:rsid w:val="19BA5D94"/>
    <w:rsid w:val="1A6768A8"/>
    <w:rsid w:val="1B3A2A27"/>
    <w:rsid w:val="1B3F26C4"/>
    <w:rsid w:val="1B627C0A"/>
    <w:rsid w:val="1B64629D"/>
    <w:rsid w:val="1B695A45"/>
    <w:rsid w:val="1B7603DB"/>
    <w:rsid w:val="1B7A01CA"/>
    <w:rsid w:val="1B972C67"/>
    <w:rsid w:val="1BC87E51"/>
    <w:rsid w:val="1C133A6A"/>
    <w:rsid w:val="1C1D5C5A"/>
    <w:rsid w:val="1C824E9E"/>
    <w:rsid w:val="1C8B2DC8"/>
    <w:rsid w:val="1C8E26A5"/>
    <w:rsid w:val="1CA90EA4"/>
    <w:rsid w:val="1CBD009F"/>
    <w:rsid w:val="1CD8377F"/>
    <w:rsid w:val="1D433820"/>
    <w:rsid w:val="1D5A77BF"/>
    <w:rsid w:val="1D667FFB"/>
    <w:rsid w:val="1DB218CD"/>
    <w:rsid w:val="1DC5334C"/>
    <w:rsid w:val="1DD20ADB"/>
    <w:rsid w:val="1E7563B9"/>
    <w:rsid w:val="1E764E95"/>
    <w:rsid w:val="1EB13227"/>
    <w:rsid w:val="1EC55C47"/>
    <w:rsid w:val="1EF21687"/>
    <w:rsid w:val="1F2C68C3"/>
    <w:rsid w:val="1F843D72"/>
    <w:rsid w:val="1FF634FB"/>
    <w:rsid w:val="1FF94A12"/>
    <w:rsid w:val="20AD0BF1"/>
    <w:rsid w:val="20F24498"/>
    <w:rsid w:val="212818A2"/>
    <w:rsid w:val="21401C1D"/>
    <w:rsid w:val="22052962"/>
    <w:rsid w:val="222E39E5"/>
    <w:rsid w:val="224F54AB"/>
    <w:rsid w:val="225E0B69"/>
    <w:rsid w:val="228F38A0"/>
    <w:rsid w:val="22D00F8D"/>
    <w:rsid w:val="230D7270"/>
    <w:rsid w:val="2329499C"/>
    <w:rsid w:val="23383F7E"/>
    <w:rsid w:val="234F3F82"/>
    <w:rsid w:val="23CA0FA7"/>
    <w:rsid w:val="23FE7472"/>
    <w:rsid w:val="246642D5"/>
    <w:rsid w:val="248B381C"/>
    <w:rsid w:val="24B6742C"/>
    <w:rsid w:val="24D23B81"/>
    <w:rsid w:val="24D61B28"/>
    <w:rsid w:val="2546260F"/>
    <w:rsid w:val="260643AC"/>
    <w:rsid w:val="262558FD"/>
    <w:rsid w:val="26A915A7"/>
    <w:rsid w:val="26AC1B2A"/>
    <w:rsid w:val="26BE0D88"/>
    <w:rsid w:val="26CF1B23"/>
    <w:rsid w:val="26FC2A88"/>
    <w:rsid w:val="272378A0"/>
    <w:rsid w:val="27265A63"/>
    <w:rsid w:val="276F394A"/>
    <w:rsid w:val="27850DB9"/>
    <w:rsid w:val="27A72947"/>
    <w:rsid w:val="27E47E54"/>
    <w:rsid w:val="28426463"/>
    <w:rsid w:val="291C455A"/>
    <w:rsid w:val="29845D0F"/>
    <w:rsid w:val="29F738D5"/>
    <w:rsid w:val="2A240F21"/>
    <w:rsid w:val="2A3E16D4"/>
    <w:rsid w:val="2AED0F37"/>
    <w:rsid w:val="2AEF2177"/>
    <w:rsid w:val="2AFA220A"/>
    <w:rsid w:val="2AFB78CB"/>
    <w:rsid w:val="2B146FA7"/>
    <w:rsid w:val="2BBF30C3"/>
    <w:rsid w:val="2BC9660D"/>
    <w:rsid w:val="2BD87826"/>
    <w:rsid w:val="2C2038D9"/>
    <w:rsid w:val="2C7A429F"/>
    <w:rsid w:val="2C9835CA"/>
    <w:rsid w:val="2CA11F33"/>
    <w:rsid w:val="2CBB0CDE"/>
    <w:rsid w:val="2D063840"/>
    <w:rsid w:val="2D6F34E2"/>
    <w:rsid w:val="2DAA7713"/>
    <w:rsid w:val="2DE36914"/>
    <w:rsid w:val="2DFE5996"/>
    <w:rsid w:val="2E0C1D6B"/>
    <w:rsid w:val="2E2850C4"/>
    <w:rsid w:val="2E304BA3"/>
    <w:rsid w:val="2E375F69"/>
    <w:rsid w:val="2E501652"/>
    <w:rsid w:val="2EAE1057"/>
    <w:rsid w:val="2ECE666B"/>
    <w:rsid w:val="2F192FE1"/>
    <w:rsid w:val="2F3335A9"/>
    <w:rsid w:val="2F450157"/>
    <w:rsid w:val="2F620F1B"/>
    <w:rsid w:val="2F871A63"/>
    <w:rsid w:val="2F953221"/>
    <w:rsid w:val="2FBF3F34"/>
    <w:rsid w:val="2FC52C51"/>
    <w:rsid w:val="2FE23D62"/>
    <w:rsid w:val="30073B78"/>
    <w:rsid w:val="305B084D"/>
    <w:rsid w:val="30A9322D"/>
    <w:rsid w:val="30B45F5A"/>
    <w:rsid w:val="30FF10A7"/>
    <w:rsid w:val="310A4DD9"/>
    <w:rsid w:val="31296963"/>
    <w:rsid w:val="312C2234"/>
    <w:rsid w:val="31510EB3"/>
    <w:rsid w:val="317957AA"/>
    <w:rsid w:val="317E36F8"/>
    <w:rsid w:val="318F577F"/>
    <w:rsid w:val="31DA54F1"/>
    <w:rsid w:val="3247367B"/>
    <w:rsid w:val="3248726D"/>
    <w:rsid w:val="32A65098"/>
    <w:rsid w:val="330D4AFD"/>
    <w:rsid w:val="33D726ED"/>
    <w:rsid w:val="3405048A"/>
    <w:rsid w:val="34347434"/>
    <w:rsid w:val="3441319B"/>
    <w:rsid w:val="34682775"/>
    <w:rsid w:val="34B4528F"/>
    <w:rsid w:val="35007B1B"/>
    <w:rsid w:val="350D5220"/>
    <w:rsid w:val="35674031"/>
    <w:rsid w:val="35A250E3"/>
    <w:rsid w:val="35B676B2"/>
    <w:rsid w:val="35DC2B6F"/>
    <w:rsid w:val="35FB7A22"/>
    <w:rsid w:val="3647026F"/>
    <w:rsid w:val="36ED0492"/>
    <w:rsid w:val="37154308"/>
    <w:rsid w:val="375B4F46"/>
    <w:rsid w:val="37A92E71"/>
    <w:rsid w:val="37AF2D48"/>
    <w:rsid w:val="37F60D8B"/>
    <w:rsid w:val="37F80D27"/>
    <w:rsid w:val="385E6884"/>
    <w:rsid w:val="38A072F0"/>
    <w:rsid w:val="38CD5D8A"/>
    <w:rsid w:val="39680975"/>
    <w:rsid w:val="39B10819"/>
    <w:rsid w:val="39D32FD8"/>
    <w:rsid w:val="3A745884"/>
    <w:rsid w:val="3A8413F7"/>
    <w:rsid w:val="3ACE574C"/>
    <w:rsid w:val="3B0B0AD5"/>
    <w:rsid w:val="3B237114"/>
    <w:rsid w:val="3B6B19B8"/>
    <w:rsid w:val="3B6D5039"/>
    <w:rsid w:val="3B98762F"/>
    <w:rsid w:val="3C4E234C"/>
    <w:rsid w:val="3C694040"/>
    <w:rsid w:val="3D0E2CAB"/>
    <w:rsid w:val="3D1D378A"/>
    <w:rsid w:val="3D24777C"/>
    <w:rsid w:val="3D303804"/>
    <w:rsid w:val="3D5939E0"/>
    <w:rsid w:val="3D947A19"/>
    <w:rsid w:val="3DF43376"/>
    <w:rsid w:val="3E030956"/>
    <w:rsid w:val="3E3C2B86"/>
    <w:rsid w:val="3EA84E5D"/>
    <w:rsid w:val="3F0E09A9"/>
    <w:rsid w:val="3F2216AD"/>
    <w:rsid w:val="3F4F3591"/>
    <w:rsid w:val="3F5465F5"/>
    <w:rsid w:val="3FAE745D"/>
    <w:rsid w:val="3FCD1DFE"/>
    <w:rsid w:val="401D7FC2"/>
    <w:rsid w:val="402076B5"/>
    <w:rsid w:val="4044724E"/>
    <w:rsid w:val="4081090C"/>
    <w:rsid w:val="408C16E3"/>
    <w:rsid w:val="409B1695"/>
    <w:rsid w:val="40B9143D"/>
    <w:rsid w:val="411205E2"/>
    <w:rsid w:val="411E6935"/>
    <w:rsid w:val="41805DAA"/>
    <w:rsid w:val="41A62A24"/>
    <w:rsid w:val="41BE651B"/>
    <w:rsid w:val="41CD0E98"/>
    <w:rsid w:val="42263950"/>
    <w:rsid w:val="429172CC"/>
    <w:rsid w:val="429A6609"/>
    <w:rsid w:val="42BB6E80"/>
    <w:rsid w:val="42CE0484"/>
    <w:rsid w:val="43054933"/>
    <w:rsid w:val="431F54B9"/>
    <w:rsid w:val="43AB4B93"/>
    <w:rsid w:val="43ED0110"/>
    <w:rsid w:val="43FA7D96"/>
    <w:rsid w:val="447764CA"/>
    <w:rsid w:val="44885499"/>
    <w:rsid w:val="44A80EBB"/>
    <w:rsid w:val="451F670F"/>
    <w:rsid w:val="455F36F2"/>
    <w:rsid w:val="45D56B27"/>
    <w:rsid w:val="45DB7850"/>
    <w:rsid w:val="460F75B1"/>
    <w:rsid w:val="4672373B"/>
    <w:rsid w:val="468731C3"/>
    <w:rsid w:val="46CA7B5A"/>
    <w:rsid w:val="46D16626"/>
    <w:rsid w:val="46F8000E"/>
    <w:rsid w:val="4704295F"/>
    <w:rsid w:val="472A3854"/>
    <w:rsid w:val="47924729"/>
    <w:rsid w:val="47AD5B80"/>
    <w:rsid w:val="47B023EB"/>
    <w:rsid w:val="481C13BF"/>
    <w:rsid w:val="482C41F4"/>
    <w:rsid w:val="48D35B86"/>
    <w:rsid w:val="494E1C53"/>
    <w:rsid w:val="498F2A6E"/>
    <w:rsid w:val="49E905DC"/>
    <w:rsid w:val="4A01097D"/>
    <w:rsid w:val="4A074778"/>
    <w:rsid w:val="4A5E4A68"/>
    <w:rsid w:val="4B202062"/>
    <w:rsid w:val="4B4E43A6"/>
    <w:rsid w:val="4B6917D7"/>
    <w:rsid w:val="4B7F2792"/>
    <w:rsid w:val="4BB156FA"/>
    <w:rsid w:val="4BB64397"/>
    <w:rsid w:val="4C290DCF"/>
    <w:rsid w:val="4C672C81"/>
    <w:rsid w:val="4CB952A0"/>
    <w:rsid w:val="4CD363DE"/>
    <w:rsid w:val="4CE30117"/>
    <w:rsid w:val="4D077263"/>
    <w:rsid w:val="4D360144"/>
    <w:rsid w:val="4D440B3B"/>
    <w:rsid w:val="4D951F54"/>
    <w:rsid w:val="4E3E7921"/>
    <w:rsid w:val="4E83505D"/>
    <w:rsid w:val="4E9E3E16"/>
    <w:rsid w:val="4EB47032"/>
    <w:rsid w:val="4EC951F5"/>
    <w:rsid w:val="4EDB0166"/>
    <w:rsid w:val="4EDB570D"/>
    <w:rsid w:val="4EE53D72"/>
    <w:rsid w:val="4F5015D2"/>
    <w:rsid w:val="50226E3F"/>
    <w:rsid w:val="50504BB7"/>
    <w:rsid w:val="505062AF"/>
    <w:rsid w:val="50B70092"/>
    <w:rsid w:val="50DF58C1"/>
    <w:rsid w:val="512300E0"/>
    <w:rsid w:val="5128120B"/>
    <w:rsid w:val="5178776B"/>
    <w:rsid w:val="5196418D"/>
    <w:rsid w:val="51980D4A"/>
    <w:rsid w:val="51A81F9C"/>
    <w:rsid w:val="51C237F4"/>
    <w:rsid w:val="51DD3CF4"/>
    <w:rsid w:val="51F91887"/>
    <w:rsid w:val="520E39C4"/>
    <w:rsid w:val="52A526FE"/>
    <w:rsid w:val="52E636C6"/>
    <w:rsid w:val="52F90421"/>
    <w:rsid w:val="53062059"/>
    <w:rsid w:val="533651BC"/>
    <w:rsid w:val="537B0041"/>
    <w:rsid w:val="53C0624A"/>
    <w:rsid w:val="53D40987"/>
    <w:rsid w:val="541E545B"/>
    <w:rsid w:val="542A243C"/>
    <w:rsid w:val="542C153F"/>
    <w:rsid w:val="5451789C"/>
    <w:rsid w:val="548B0DE9"/>
    <w:rsid w:val="549778E5"/>
    <w:rsid w:val="54B92D8D"/>
    <w:rsid w:val="54CE0F89"/>
    <w:rsid w:val="54F63ADC"/>
    <w:rsid w:val="55134FF8"/>
    <w:rsid w:val="55160248"/>
    <w:rsid w:val="554566F2"/>
    <w:rsid w:val="5597295B"/>
    <w:rsid w:val="55D63080"/>
    <w:rsid w:val="562653FF"/>
    <w:rsid w:val="56383EDB"/>
    <w:rsid w:val="565E25F9"/>
    <w:rsid w:val="56A87662"/>
    <w:rsid w:val="56B566A0"/>
    <w:rsid w:val="56DD22AA"/>
    <w:rsid w:val="56DF7CA4"/>
    <w:rsid w:val="572E1597"/>
    <w:rsid w:val="57764369"/>
    <w:rsid w:val="57A83A08"/>
    <w:rsid w:val="57CF2DE7"/>
    <w:rsid w:val="584E4D4B"/>
    <w:rsid w:val="5899060A"/>
    <w:rsid w:val="589A168E"/>
    <w:rsid w:val="58BA191A"/>
    <w:rsid w:val="58D775F8"/>
    <w:rsid w:val="59050542"/>
    <w:rsid w:val="590D5F29"/>
    <w:rsid w:val="593471AC"/>
    <w:rsid w:val="59D75B33"/>
    <w:rsid w:val="5A4C30A3"/>
    <w:rsid w:val="5A4D15D2"/>
    <w:rsid w:val="5A4F2444"/>
    <w:rsid w:val="5A574D33"/>
    <w:rsid w:val="5A5B719E"/>
    <w:rsid w:val="5A701FCD"/>
    <w:rsid w:val="5A73307A"/>
    <w:rsid w:val="5B1D417B"/>
    <w:rsid w:val="5B2B6E12"/>
    <w:rsid w:val="5B845F39"/>
    <w:rsid w:val="5BE26547"/>
    <w:rsid w:val="5BF73773"/>
    <w:rsid w:val="5C272945"/>
    <w:rsid w:val="5CAA15AB"/>
    <w:rsid w:val="5CC159B2"/>
    <w:rsid w:val="5CDF4FC1"/>
    <w:rsid w:val="5CFD06E3"/>
    <w:rsid w:val="5D29401A"/>
    <w:rsid w:val="5D506A1D"/>
    <w:rsid w:val="5D5750F2"/>
    <w:rsid w:val="5D8E6B86"/>
    <w:rsid w:val="5DAE5329"/>
    <w:rsid w:val="5DBD092A"/>
    <w:rsid w:val="5E435949"/>
    <w:rsid w:val="5E756687"/>
    <w:rsid w:val="5E764A8B"/>
    <w:rsid w:val="5E850A7C"/>
    <w:rsid w:val="5E8F0379"/>
    <w:rsid w:val="5EA46418"/>
    <w:rsid w:val="5EC402AE"/>
    <w:rsid w:val="5EDF13B1"/>
    <w:rsid w:val="5EED5BDD"/>
    <w:rsid w:val="5F011023"/>
    <w:rsid w:val="5F201E20"/>
    <w:rsid w:val="5F4E4612"/>
    <w:rsid w:val="5F8D3CAC"/>
    <w:rsid w:val="5FC37153"/>
    <w:rsid w:val="5FC87DFC"/>
    <w:rsid w:val="6006282C"/>
    <w:rsid w:val="602C43D4"/>
    <w:rsid w:val="608A76DC"/>
    <w:rsid w:val="60EA0C7D"/>
    <w:rsid w:val="61142ABC"/>
    <w:rsid w:val="611B2C3C"/>
    <w:rsid w:val="614548B7"/>
    <w:rsid w:val="61D75F3A"/>
    <w:rsid w:val="62974848"/>
    <w:rsid w:val="629C0A75"/>
    <w:rsid w:val="62ED5AA7"/>
    <w:rsid w:val="6332004A"/>
    <w:rsid w:val="63D72461"/>
    <w:rsid w:val="64013113"/>
    <w:rsid w:val="64181EC5"/>
    <w:rsid w:val="648139C1"/>
    <w:rsid w:val="64C44984"/>
    <w:rsid w:val="64CA52CE"/>
    <w:rsid w:val="6540070B"/>
    <w:rsid w:val="655B5CD9"/>
    <w:rsid w:val="657659F9"/>
    <w:rsid w:val="65842F89"/>
    <w:rsid w:val="65FE3B12"/>
    <w:rsid w:val="663522DE"/>
    <w:rsid w:val="663C6AE4"/>
    <w:rsid w:val="668E0232"/>
    <w:rsid w:val="672E6309"/>
    <w:rsid w:val="67467314"/>
    <w:rsid w:val="67D02912"/>
    <w:rsid w:val="67D455EB"/>
    <w:rsid w:val="680046A1"/>
    <w:rsid w:val="68042E14"/>
    <w:rsid w:val="684E06C2"/>
    <w:rsid w:val="684F7A28"/>
    <w:rsid w:val="6871363F"/>
    <w:rsid w:val="689F0032"/>
    <w:rsid w:val="68B23596"/>
    <w:rsid w:val="68DE11C1"/>
    <w:rsid w:val="68EE6D01"/>
    <w:rsid w:val="691C5D7F"/>
    <w:rsid w:val="69331FB4"/>
    <w:rsid w:val="69644B5A"/>
    <w:rsid w:val="69666837"/>
    <w:rsid w:val="69935DE8"/>
    <w:rsid w:val="69962226"/>
    <w:rsid w:val="69C1619F"/>
    <w:rsid w:val="69E64974"/>
    <w:rsid w:val="6A09587C"/>
    <w:rsid w:val="6A1422BF"/>
    <w:rsid w:val="6A2904FB"/>
    <w:rsid w:val="6A3E75FA"/>
    <w:rsid w:val="6AEC049B"/>
    <w:rsid w:val="6B085216"/>
    <w:rsid w:val="6C4232C6"/>
    <w:rsid w:val="6C7146F7"/>
    <w:rsid w:val="6C965C75"/>
    <w:rsid w:val="6CA12577"/>
    <w:rsid w:val="6CA753C3"/>
    <w:rsid w:val="6DE7010F"/>
    <w:rsid w:val="6E650114"/>
    <w:rsid w:val="6EB611E9"/>
    <w:rsid w:val="6EDF7CC3"/>
    <w:rsid w:val="6F2533C2"/>
    <w:rsid w:val="6F681D0C"/>
    <w:rsid w:val="6F8F4467"/>
    <w:rsid w:val="6FA702DC"/>
    <w:rsid w:val="6FC84254"/>
    <w:rsid w:val="70467045"/>
    <w:rsid w:val="708422B7"/>
    <w:rsid w:val="70B54732"/>
    <w:rsid w:val="70BF2889"/>
    <w:rsid w:val="70E471AF"/>
    <w:rsid w:val="70FC649E"/>
    <w:rsid w:val="71185536"/>
    <w:rsid w:val="71662C52"/>
    <w:rsid w:val="721A1BDB"/>
    <w:rsid w:val="724A0232"/>
    <w:rsid w:val="729E2462"/>
    <w:rsid w:val="72A85DB4"/>
    <w:rsid w:val="73536CF4"/>
    <w:rsid w:val="739D2CBD"/>
    <w:rsid w:val="73BA794D"/>
    <w:rsid w:val="741F515C"/>
    <w:rsid w:val="745131DF"/>
    <w:rsid w:val="749016E6"/>
    <w:rsid w:val="75BF44B0"/>
    <w:rsid w:val="75F71DD3"/>
    <w:rsid w:val="76226699"/>
    <w:rsid w:val="76521256"/>
    <w:rsid w:val="766E2873"/>
    <w:rsid w:val="77555644"/>
    <w:rsid w:val="7776441B"/>
    <w:rsid w:val="77C07A21"/>
    <w:rsid w:val="77F064F7"/>
    <w:rsid w:val="78342545"/>
    <w:rsid w:val="78356521"/>
    <w:rsid w:val="78743EEF"/>
    <w:rsid w:val="78C82E8E"/>
    <w:rsid w:val="78DC45ED"/>
    <w:rsid w:val="79095D4D"/>
    <w:rsid w:val="791E2739"/>
    <w:rsid w:val="79573DD3"/>
    <w:rsid w:val="7A256A27"/>
    <w:rsid w:val="7A374D14"/>
    <w:rsid w:val="7A7F5669"/>
    <w:rsid w:val="7B182646"/>
    <w:rsid w:val="7B475FAB"/>
    <w:rsid w:val="7B7E331B"/>
    <w:rsid w:val="7BB574B2"/>
    <w:rsid w:val="7BBE2AF8"/>
    <w:rsid w:val="7BCD00F5"/>
    <w:rsid w:val="7BCF7888"/>
    <w:rsid w:val="7C6D395C"/>
    <w:rsid w:val="7CAB3662"/>
    <w:rsid w:val="7CBF61CA"/>
    <w:rsid w:val="7CCF19CB"/>
    <w:rsid w:val="7D314E9F"/>
    <w:rsid w:val="7D9D2C6B"/>
    <w:rsid w:val="7D9F604E"/>
    <w:rsid w:val="7DF67004"/>
    <w:rsid w:val="7E6D2268"/>
    <w:rsid w:val="7E8C2F2D"/>
    <w:rsid w:val="7F0A7FAA"/>
    <w:rsid w:val="7F1555BA"/>
    <w:rsid w:val="7F2B6F1C"/>
    <w:rsid w:val="7F580E55"/>
    <w:rsid w:val="7FCC030E"/>
    <w:rsid w:val="7FCC3D2A"/>
    <w:rsid w:val="7FCD1534"/>
    <w:rsid w:val="7FF80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qFormat="1" w:uiPriority="99" w:semiHidden="0"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8"/>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link w:val="8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0"/>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22"/>
    <w:qFormat/>
    <w:uiPriority w:val="0"/>
    <w:pPr>
      <w:keepNext/>
      <w:keepLines/>
      <w:spacing w:before="280" w:after="290" w:line="376" w:lineRule="auto"/>
      <w:outlineLvl w:val="4"/>
    </w:pPr>
    <w:rPr>
      <w:rFonts w:ascii="Calibri" w:hAnsi="Calibri"/>
      <w:b/>
      <w:bCs/>
      <w:sz w:val="28"/>
      <w:szCs w:val="28"/>
      <w:lang w:val="zh-CN"/>
    </w:rPr>
  </w:style>
  <w:style w:type="paragraph" w:styleId="7">
    <w:name w:val="heading 6"/>
    <w:basedOn w:val="1"/>
    <w:next w:val="1"/>
    <w:link w:val="12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2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2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3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849" w:hanging="283"/>
      <w:jc w:val="left"/>
    </w:pPr>
    <w:rPr>
      <w:kern w:val="0"/>
      <w:sz w:val="20"/>
      <w:szCs w:val="20"/>
      <w:lang w:val="en-CA" w:eastAsia="en-US"/>
    </w:rPr>
  </w:style>
  <w:style w:type="paragraph" w:styleId="12">
    <w:name w:val="toc 7"/>
    <w:basedOn w:val="1"/>
    <w:next w:val="1"/>
    <w:qFormat/>
    <w:uiPriority w:val="0"/>
    <w:pPr>
      <w:ind w:left="1260"/>
      <w:jc w:val="left"/>
    </w:pPr>
    <w:rPr>
      <w:sz w:val="18"/>
      <w:szCs w:val="18"/>
    </w:rPr>
  </w:style>
  <w:style w:type="paragraph" w:styleId="13">
    <w:name w:val="List Number 2"/>
    <w:basedOn w:val="1"/>
    <w:qFormat/>
    <w:uiPriority w:val="0"/>
    <w:pPr>
      <w:widowControl/>
      <w:tabs>
        <w:tab w:val="left" w:pos="720"/>
      </w:tabs>
      <w:ind w:firstLine="420"/>
      <w:jc w:val="left"/>
    </w:pPr>
    <w:rPr>
      <w:kern w:val="0"/>
      <w:sz w:val="24"/>
      <w:szCs w:val="20"/>
      <w:lang w:eastAsia="en-US"/>
    </w:rPr>
  </w:style>
  <w:style w:type="paragraph" w:styleId="14">
    <w:name w:val="Note Heading"/>
    <w:basedOn w:val="1"/>
    <w:next w:val="1"/>
    <w:link w:val="396"/>
    <w:qFormat/>
    <w:uiPriority w:val="0"/>
    <w:pPr>
      <w:jc w:val="left"/>
    </w:pPr>
    <w:rPr>
      <w:kern w:val="0"/>
      <w:sz w:val="20"/>
      <w:szCs w:val="20"/>
      <w:lang w:val="en-CA" w:eastAsia="en-US"/>
    </w:rPr>
  </w:style>
  <w:style w:type="paragraph" w:styleId="15">
    <w:name w:val="List Bullet 4"/>
    <w:basedOn w:val="1"/>
    <w:qFormat/>
    <w:uiPriority w:val="0"/>
    <w:pPr>
      <w:numPr>
        <w:ilvl w:val="0"/>
        <w:numId w:val="1"/>
      </w:numPr>
      <w:tabs>
        <w:tab w:val="left" w:pos="1209"/>
      </w:tabs>
      <w:jc w:val="left"/>
    </w:pPr>
    <w:rPr>
      <w:kern w:val="0"/>
      <w:sz w:val="20"/>
      <w:szCs w:val="20"/>
      <w:lang w:val="en-CA" w:eastAsia="en-US"/>
    </w:rPr>
  </w:style>
  <w:style w:type="paragraph" w:styleId="16">
    <w:name w:val="E-mail Signature"/>
    <w:basedOn w:val="1"/>
    <w:link w:val="397"/>
    <w:qFormat/>
    <w:uiPriority w:val="0"/>
    <w:pPr>
      <w:jc w:val="left"/>
    </w:pPr>
    <w:rPr>
      <w:kern w:val="0"/>
      <w:sz w:val="20"/>
      <w:szCs w:val="20"/>
      <w:lang w:val="en-CA" w:eastAsia="en-US"/>
    </w:rPr>
  </w:style>
  <w:style w:type="paragraph" w:styleId="17">
    <w:name w:val="List Number"/>
    <w:basedOn w:val="1"/>
    <w:qFormat/>
    <w:uiPriority w:val="0"/>
    <w:pPr>
      <w:tabs>
        <w:tab w:val="left" w:pos="360"/>
      </w:tabs>
      <w:ind w:left="846" w:hanging="420"/>
      <w:jc w:val="left"/>
    </w:pPr>
    <w:rPr>
      <w:kern w:val="0"/>
      <w:sz w:val="20"/>
      <w:szCs w:val="20"/>
      <w:lang w:val="en-CA" w:eastAsia="en-US"/>
    </w:rPr>
  </w:style>
  <w:style w:type="paragraph" w:styleId="18">
    <w:name w:val="Normal Indent"/>
    <w:basedOn w:val="1"/>
    <w:link w:val="131"/>
    <w:qFormat/>
    <w:uiPriority w:val="0"/>
    <w:pPr>
      <w:ind w:firstLine="420" w:firstLineChars="200"/>
    </w:p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link w:val="132"/>
    <w:qFormat/>
    <w:uiPriority w:val="0"/>
    <w:pPr>
      <w:numPr>
        <w:ilvl w:val="0"/>
        <w:numId w:val="2"/>
      </w:numPr>
      <w:ind w:firstLine="0" w:firstLineChars="0"/>
    </w:pPr>
    <w:rPr>
      <w:szCs w:val="22"/>
      <w:lang w:val="zh-CN"/>
    </w:rPr>
  </w:style>
  <w:style w:type="paragraph" w:styleId="21">
    <w:name w:val="envelope address"/>
    <w:basedOn w:val="1"/>
    <w:qFormat/>
    <w:uiPriority w:val="0"/>
    <w:pPr>
      <w:ind w:left="2880"/>
      <w:jc w:val="left"/>
    </w:pPr>
    <w:rPr>
      <w:rFonts w:ascii="Arial" w:hAnsi="Arial"/>
      <w:kern w:val="0"/>
      <w:sz w:val="24"/>
      <w:szCs w:val="20"/>
      <w:lang w:val="en-CA" w:eastAsia="en-US"/>
    </w:rPr>
  </w:style>
  <w:style w:type="paragraph" w:styleId="22">
    <w:name w:val="Document Map"/>
    <w:basedOn w:val="1"/>
    <w:link w:val="92"/>
    <w:qFormat/>
    <w:uiPriority w:val="0"/>
    <w:pPr>
      <w:shd w:val="clear" w:color="auto" w:fill="000080"/>
    </w:pPr>
  </w:style>
  <w:style w:type="paragraph" w:styleId="23">
    <w:name w:val="annotation text"/>
    <w:basedOn w:val="1"/>
    <w:link w:val="93"/>
    <w:qFormat/>
    <w:uiPriority w:val="0"/>
    <w:pPr>
      <w:jc w:val="left"/>
    </w:pPr>
  </w:style>
  <w:style w:type="paragraph" w:styleId="24">
    <w:name w:val="Salutation"/>
    <w:basedOn w:val="1"/>
    <w:next w:val="1"/>
    <w:link w:val="398"/>
    <w:qFormat/>
    <w:uiPriority w:val="0"/>
    <w:pPr>
      <w:jc w:val="left"/>
    </w:pPr>
    <w:rPr>
      <w:kern w:val="0"/>
      <w:sz w:val="20"/>
      <w:szCs w:val="20"/>
      <w:lang w:val="en-CA" w:eastAsia="en-US"/>
    </w:rPr>
  </w:style>
  <w:style w:type="paragraph" w:styleId="25">
    <w:name w:val="Body Text 3"/>
    <w:basedOn w:val="1"/>
    <w:link w:val="94"/>
    <w:qFormat/>
    <w:uiPriority w:val="0"/>
    <w:rPr>
      <w:rFonts w:ascii="宋体"/>
      <w:sz w:val="24"/>
      <w:szCs w:val="20"/>
    </w:rPr>
  </w:style>
  <w:style w:type="paragraph" w:styleId="26">
    <w:name w:val="Closing"/>
    <w:basedOn w:val="1"/>
    <w:link w:val="399"/>
    <w:qFormat/>
    <w:uiPriority w:val="0"/>
    <w:pPr>
      <w:ind w:left="4252"/>
      <w:jc w:val="left"/>
    </w:pPr>
    <w:rPr>
      <w:kern w:val="0"/>
      <w:sz w:val="20"/>
      <w:szCs w:val="20"/>
      <w:lang w:val="en-CA" w:eastAsia="en-US"/>
    </w:rPr>
  </w:style>
  <w:style w:type="paragraph" w:styleId="27">
    <w:name w:val="List Bullet 3"/>
    <w:basedOn w:val="1"/>
    <w:qFormat/>
    <w:uiPriority w:val="0"/>
    <w:pPr>
      <w:tabs>
        <w:tab w:val="left" w:pos="926"/>
      </w:tabs>
      <w:ind w:left="840" w:hanging="420"/>
      <w:jc w:val="left"/>
    </w:pPr>
    <w:rPr>
      <w:kern w:val="0"/>
      <w:sz w:val="20"/>
      <w:szCs w:val="20"/>
      <w:lang w:val="en-CA" w:eastAsia="en-US"/>
    </w:rPr>
  </w:style>
  <w:style w:type="paragraph" w:styleId="28">
    <w:name w:val="Body Text"/>
    <w:basedOn w:val="1"/>
    <w:next w:val="1"/>
    <w:link w:val="95"/>
    <w:qFormat/>
    <w:uiPriority w:val="0"/>
    <w:pPr>
      <w:spacing w:after="120"/>
    </w:pPr>
  </w:style>
  <w:style w:type="paragraph" w:styleId="29">
    <w:name w:val="Body Text Indent"/>
    <w:basedOn w:val="1"/>
    <w:next w:val="30"/>
    <w:link w:val="133"/>
    <w:qFormat/>
    <w:uiPriority w:val="0"/>
    <w:pPr>
      <w:spacing w:after="120"/>
      <w:ind w:left="420" w:leftChars="200"/>
    </w:pPr>
  </w:style>
  <w:style w:type="paragraph" w:styleId="30">
    <w:name w:val="envelope return"/>
    <w:basedOn w:val="1"/>
    <w:qFormat/>
    <w:uiPriority w:val="0"/>
    <w:pPr>
      <w:jc w:val="left"/>
    </w:pPr>
    <w:rPr>
      <w:rFonts w:ascii="Arial" w:hAnsi="Arial"/>
      <w:kern w:val="0"/>
      <w:sz w:val="20"/>
      <w:szCs w:val="20"/>
      <w:lang w:val="en-CA" w:eastAsia="en-US"/>
    </w:rPr>
  </w:style>
  <w:style w:type="paragraph" w:styleId="31">
    <w:name w:val="List Number 3"/>
    <w:basedOn w:val="1"/>
    <w:qFormat/>
    <w:uiPriority w:val="0"/>
    <w:pPr>
      <w:numPr>
        <w:ilvl w:val="0"/>
        <w:numId w:val="3"/>
      </w:numPr>
      <w:tabs>
        <w:tab w:val="left" w:pos="926"/>
      </w:tabs>
      <w:jc w:val="left"/>
    </w:pPr>
    <w:rPr>
      <w:kern w:val="0"/>
      <w:sz w:val="20"/>
      <w:szCs w:val="20"/>
      <w:lang w:val="en-CA" w:eastAsia="en-US"/>
    </w:rPr>
  </w:style>
  <w:style w:type="paragraph" w:styleId="32">
    <w:name w:val="List 2"/>
    <w:basedOn w:val="1"/>
    <w:qFormat/>
    <w:uiPriority w:val="0"/>
    <w:pPr>
      <w:ind w:left="566" w:hanging="283"/>
      <w:jc w:val="left"/>
    </w:pPr>
    <w:rPr>
      <w:kern w:val="0"/>
      <w:sz w:val="20"/>
      <w:szCs w:val="20"/>
      <w:lang w:val="en-CA" w:eastAsia="en-US"/>
    </w:rPr>
  </w:style>
  <w:style w:type="paragraph" w:styleId="33">
    <w:name w:val="List Continue"/>
    <w:basedOn w:val="1"/>
    <w:qFormat/>
    <w:uiPriority w:val="0"/>
    <w:pPr>
      <w:spacing w:after="120"/>
      <w:ind w:left="283"/>
      <w:jc w:val="left"/>
    </w:pPr>
    <w:rPr>
      <w:kern w:val="0"/>
      <w:sz w:val="20"/>
      <w:szCs w:val="20"/>
      <w:lang w:val="en-CA" w:eastAsia="en-US"/>
    </w:rPr>
  </w:style>
  <w:style w:type="paragraph" w:styleId="34">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35">
    <w:name w:val="List Bullet 2"/>
    <w:basedOn w:val="1"/>
    <w:qFormat/>
    <w:uiPriority w:val="0"/>
    <w:pPr>
      <w:numPr>
        <w:ilvl w:val="0"/>
        <w:numId w:val="4"/>
      </w:numPr>
      <w:tabs>
        <w:tab w:val="left" w:pos="643"/>
      </w:tabs>
      <w:jc w:val="left"/>
    </w:pPr>
    <w:rPr>
      <w:kern w:val="0"/>
      <w:sz w:val="20"/>
      <w:szCs w:val="20"/>
      <w:lang w:val="en-CA" w:eastAsia="en-US"/>
    </w:rPr>
  </w:style>
  <w:style w:type="paragraph" w:styleId="36">
    <w:name w:val="HTML Address"/>
    <w:basedOn w:val="1"/>
    <w:link w:val="400"/>
    <w:qFormat/>
    <w:uiPriority w:val="0"/>
    <w:pPr>
      <w:jc w:val="left"/>
    </w:pPr>
    <w:rPr>
      <w:i/>
      <w:kern w:val="0"/>
      <w:sz w:val="20"/>
      <w:szCs w:val="20"/>
      <w:lang w:val="en-CA" w:eastAsia="en-US"/>
    </w:rPr>
  </w:style>
  <w:style w:type="paragraph" w:styleId="37">
    <w:name w:val="toc 5"/>
    <w:basedOn w:val="1"/>
    <w:next w:val="1"/>
    <w:qFormat/>
    <w:uiPriority w:val="0"/>
    <w:pPr>
      <w:ind w:left="840"/>
      <w:jc w:val="left"/>
    </w:pPr>
    <w:rPr>
      <w:sz w:val="18"/>
      <w:szCs w:val="18"/>
    </w:rPr>
  </w:style>
  <w:style w:type="paragraph" w:styleId="38">
    <w:name w:val="toc 3"/>
    <w:basedOn w:val="1"/>
    <w:next w:val="1"/>
    <w:qFormat/>
    <w:uiPriority w:val="0"/>
    <w:pPr>
      <w:ind w:left="420"/>
      <w:jc w:val="left"/>
    </w:pPr>
    <w:rPr>
      <w:iCs/>
      <w:sz w:val="20"/>
      <w:szCs w:val="20"/>
    </w:rPr>
  </w:style>
  <w:style w:type="paragraph" w:styleId="39">
    <w:name w:val="Plain Text"/>
    <w:basedOn w:val="1"/>
    <w:next w:val="1"/>
    <w:link w:val="96"/>
    <w:qFormat/>
    <w:uiPriority w:val="0"/>
    <w:rPr>
      <w:rFonts w:ascii="等线" w:hAnsi="Courier New" w:eastAsia="等线"/>
      <w:szCs w:val="22"/>
    </w:rPr>
  </w:style>
  <w:style w:type="paragraph" w:styleId="40">
    <w:name w:val="List Bullet 5"/>
    <w:basedOn w:val="1"/>
    <w:qFormat/>
    <w:uiPriority w:val="0"/>
    <w:pPr>
      <w:widowControl/>
      <w:numPr>
        <w:ilvl w:val="0"/>
        <w:numId w:val="5"/>
      </w:numPr>
      <w:tabs>
        <w:tab w:val="left" w:pos="1800"/>
      </w:tabs>
      <w:spacing w:before="60" w:after="60"/>
      <w:jc w:val="left"/>
    </w:pPr>
    <w:rPr>
      <w:kern w:val="0"/>
      <w:sz w:val="24"/>
      <w:szCs w:val="20"/>
      <w:lang w:val="en-CA" w:eastAsia="en-US"/>
    </w:rPr>
  </w:style>
  <w:style w:type="paragraph" w:styleId="41">
    <w:name w:val="List Number 4"/>
    <w:basedOn w:val="1"/>
    <w:qFormat/>
    <w:uiPriority w:val="0"/>
    <w:pPr>
      <w:numPr>
        <w:ilvl w:val="0"/>
        <w:numId w:val="6"/>
      </w:numPr>
      <w:tabs>
        <w:tab w:val="left" w:pos="1209"/>
      </w:tabs>
      <w:jc w:val="left"/>
    </w:pPr>
    <w:rPr>
      <w:kern w:val="0"/>
      <w:sz w:val="20"/>
      <w:szCs w:val="20"/>
      <w:lang w:val="en-CA" w:eastAsia="en-US"/>
    </w:rPr>
  </w:style>
  <w:style w:type="paragraph" w:styleId="42">
    <w:name w:val="toc 8"/>
    <w:basedOn w:val="1"/>
    <w:next w:val="1"/>
    <w:qFormat/>
    <w:uiPriority w:val="0"/>
    <w:pPr>
      <w:ind w:left="1470"/>
      <w:jc w:val="left"/>
    </w:pPr>
    <w:rPr>
      <w:sz w:val="18"/>
      <w:szCs w:val="18"/>
    </w:rPr>
  </w:style>
  <w:style w:type="paragraph" w:styleId="43">
    <w:name w:val="Date"/>
    <w:basedOn w:val="1"/>
    <w:next w:val="1"/>
    <w:link w:val="97"/>
    <w:qFormat/>
    <w:uiPriority w:val="0"/>
    <w:rPr>
      <w:sz w:val="24"/>
      <w:szCs w:val="20"/>
    </w:rPr>
  </w:style>
  <w:style w:type="paragraph" w:styleId="44">
    <w:name w:val="Body Text Indent 2"/>
    <w:basedOn w:val="1"/>
    <w:link w:val="123"/>
    <w:qFormat/>
    <w:uiPriority w:val="0"/>
    <w:pPr>
      <w:spacing w:after="120" w:line="480" w:lineRule="auto"/>
      <w:ind w:left="420" w:leftChars="200"/>
    </w:pPr>
  </w:style>
  <w:style w:type="paragraph" w:styleId="45">
    <w:name w:val="List Continue 5"/>
    <w:basedOn w:val="1"/>
    <w:qFormat/>
    <w:uiPriority w:val="0"/>
    <w:pPr>
      <w:spacing w:after="120"/>
      <w:ind w:left="1415"/>
      <w:jc w:val="left"/>
    </w:pPr>
    <w:rPr>
      <w:kern w:val="0"/>
      <w:sz w:val="20"/>
      <w:szCs w:val="20"/>
      <w:lang w:val="en-CA" w:eastAsia="en-US"/>
    </w:rPr>
  </w:style>
  <w:style w:type="paragraph" w:styleId="46">
    <w:name w:val="Balloon Text"/>
    <w:basedOn w:val="1"/>
    <w:link w:val="134"/>
    <w:qFormat/>
    <w:uiPriority w:val="0"/>
    <w:rPr>
      <w:sz w:val="18"/>
      <w:szCs w:val="18"/>
    </w:rPr>
  </w:style>
  <w:style w:type="paragraph" w:styleId="47">
    <w:name w:val="footer"/>
    <w:basedOn w:val="1"/>
    <w:link w:val="98"/>
    <w:qFormat/>
    <w:uiPriority w:val="99"/>
    <w:pPr>
      <w:tabs>
        <w:tab w:val="center" w:pos="4153"/>
        <w:tab w:val="right" w:pos="8306"/>
      </w:tabs>
      <w:snapToGrid w:val="0"/>
      <w:jc w:val="left"/>
    </w:pPr>
    <w:rPr>
      <w:sz w:val="18"/>
      <w:szCs w:val="18"/>
    </w:rPr>
  </w:style>
  <w:style w:type="paragraph" w:styleId="48">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link w:val="401"/>
    <w:qFormat/>
    <w:uiPriority w:val="0"/>
    <w:pPr>
      <w:ind w:left="4252"/>
      <w:jc w:val="left"/>
    </w:pPr>
    <w:rPr>
      <w:kern w:val="0"/>
      <w:sz w:val="20"/>
      <w:szCs w:val="20"/>
      <w:lang w:val="en-CA" w:eastAsia="en-US"/>
    </w:rPr>
  </w:style>
  <w:style w:type="paragraph" w:styleId="50">
    <w:name w:val="toc 1"/>
    <w:basedOn w:val="1"/>
    <w:next w:val="1"/>
    <w:qFormat/>
    <w:uiPriority w:val="0"/>
    <w:pPr>
      <w:spacing w:before="120" w:after="120"/>
      <w:jc w:val="left"/>
    </w:pPr>
    <w:rPr>
      <w:b/>
      <w:bCs/>
      <w:caps/>
      <w:sz w:val="20"/>
      <w:szCs w:val="20"/>
    </w:rPr>
  </w:style>
  <w:style w:type="paragraph" w:styleId="51">
    <w:name w:val="List Continue 4"/>
    <w:basedOn w:val="1"/>
    <w:qFormat/>
    <w:uiPriority w:val="0"/>
    <w:pPr>
      <w:spacing w:after="120"/>
      <w:ind w:left="1132"/>
      <w:jc w:val="left"/>
    </w:pPr>
    <w:rPr>
      <w:kern w:val="0"/>
      <w:sz w:val="20"/>
      <w:szCs w:val="20"/>
      <w:lang w:val="en-CA" w:eastAsia="en-US"/>
    </w:rPr>
  </w:style>
  <w:style w:type="paragraph" w:styleId="52">
    <w:name w:val="toc 4"/>
    <w:basedOn w:val="1"/>
    <w:next w:val="1"/>
    <w:qFormat/>
    <w:uiPriority w:val="0"/>
    <w:pPr>
      <w:ind w:left="630"/>
      <w:jc w:val="left"/>
    </w:pPr>
    <w:rPr>
      <w:sz w:val="18"/>
      <w:szCs w:val="18"/>
    </w:rPr>
  </w:style>
  <w:style w:type="paragraph" w:styleId="53">
    <w:name w:val="index heading"/>
    <w:basedOn w:val="1"/>
    <w:next w:val="54"/>
    <w:qFormat/>
    <w:uiPriority w:val="0"/>
    <w:rPr>
      <w:szCs w:val="20"/>
    </w:rPr>
  </w:style>
  <w:style w:type="paragraph" w:styleId="54">
    <w:name w:val="index 1"/>
    <w:basedOn w:val="1"/>
    <w:next w:val="1"/>
    <w:qFormat/>
    <w:uiPriority w:val="0"/>
    <w:pPr>
      <w:spacing w:line="220" w:lineRule="exact"/>
      <w:jc w:val="center"/>
    </w:pPr>
    <w:rPr>
      <w:rFonts w:ascii="仿宋_GB2312" w:eastAsia="仿宋_GB2312"/>
      <w:szCs w:val="21"/>
    </w:rPr>
  </w:style>
  <w:style w:type="paragraph" w:styleId="55">
    <w:name w:val="Subtitle"/>
    <w:basedOn w:val="1"/>
    <w:next w:val="1"/>
    <w:link w:val="124"/>
    <w:qFormat/>
    <w:uiPriority w:val="0"/>
    <w:pPr>
      <w:spacing w:line="312" w:lineRule="auto"/>
      <w:jc w:val="left"/>
      <w:outlineLvl w:val="1"/>
    </w:pPr>
    <w:rPr>
      <w:rFonts w:ascii="Cambria" w:hAnsi="Cambria"/>
      <w:b/>
      <w:bCs/>
      <w:kern w:val="28"/>
      <w:sz w:val="28"/>
      <w:szCs w:val="32"/>
      <w:lang w:val="zh-CN"/>
    </w:rPr>
  </w:style>
  <w:style w:type="paragraph" w:styleId="56">
    <w:name w:val="List Number 5"/>
    <w:basedOn w:val="1"/>
    <w:qFormat/>
    <w:uiPriority w:val="0"/>
    <w:pPr>
      <w:numPr>
        <w:ilvl w:val="0"/>
        <w:numId w:val="7"/>
      </w:numPr>
      <w:tabs>
        <w:tab w:val="left" w:pos="1492"/>
        <w:tab w:val="clear" w:pos="425"/>
      </w:tabs>
      <w:jc w:val="left"/>
    </w:pPr>
    <w:rPr>
      <w:kern w:val="0"/>
      <w:sz w:val="20"/>
      <w:szCs w:val="20"/>
      <w:lang w:val="en-CA" w:eastAsia="en-US"/>
    </w:rPr>
  </w:style>
  <w:style w:type="paragraph" w:styleId="57">
    <w:name w:val="List"/>
    <w:basedOn w:val="1"/>
    <w:qFormat/>
    <w:uiPriority w:val="0"/>
    <w:pPr>
      <w:ind w:left="283" w:hanging="283"/>
      <w:jc w:val="left"/>
    </w:pPr>
    <w:rPr>
      <w:kern w:val="0"/>
      <w:sz w:val="20"/>
      <w:szCs w:val="20"/>
      <w:lang w:val="en-CA" w:eastAsia="en-US"/>
    </w:rPr>
  </w:style>
  <w:style w:type="paragraph" w:styleId="58">
    <w:name w:val="toc 6"/>
    <w:basedOn w:val="1"/>
    <w:next w:val="1"/>
    <w:qFormat/>
    <w:uiPriority w:val="0"/>
    <w:pPr>
      <w:ind w:left="1050"/>
      <w:jc w:val="left"/>
    </w:pPr>
    <w:rPr>
      <w:sz w:val="18"/>
      <w:szCs w:val="18"/>
    </w:rPr>
  </w:style>
  <w:style w:type="paragraph" w:styleId="59">
    <w:name w:val="List 5"/>
    <w:basedOn w:val="1"/>
    <w:qFormat/>
    <w:uiPriority w:val="0"/>
    <w:pPr>
      <w:ind w:left="1415" w:hanging="283"/>
      <w:jc w:val="left"/>
    </w:pPr>
    <w:rPr>
      <w:kern w:val="0"/>
      <w:sz w:val="20"/>
      <w:szCs w:val="20"/>
      <w:lang w:val="en-CA" w:eastAsia="en-US"/>
    </w:rPr>
  </w:style>
  <w:style w:type="paragraph" w:styleId="60">
    <w:name w:val="Body Text Indent 3"/>
    <w:basedOn w:val="1"/>
    <w:link w:val="135"/>
    <w:qFormat/>
    <w:uiPriority w:val="0"/>
    <w:pPr>
      <w:spacing w:after="120"/>
      <w:ind w:left="420" w:leftChars="200"/>
    </w:pPr>
    <w:rPr>
      <w:sz w:val="16"/>
      <w:szCs w:val="16"/>
    </w:rPr>
  </w:style>
  <w:style w:type="paragraph" w:styleId="61">
    <w:name w:val="toc 2"/>
    <w:basedOn w:val="1"/>
    <w:next w:val="1"/>
    <w:qFormat/>
    <w:uiPriority w:val="0"/>
    <w:pPr>
      <w:ind w:left="210"/>
      <w:jc w:val="left"/>
    </w:pPr>
    <w:rPr>
      <w:smallCaps/>
      <w:sz w:val="20"/>
      <w:szCs w:val="20"/>
    </w:rPr>
  </w:style>
  <w:style w:type="paragraph" w:styleId="62">
    <w:name w:val="toc 9"/>
    <w:basedOn w:val="1"/>
    <w:next w:val="1"/>
    <w:qFormat/>
    <w:uiPriority w:val="0"/>
    <w:pPr>
      <w:ind w:left="1680"/>
      <w:jc w:val="left"/>
    </w:pPr>
    <w:rPr>
      <w:sz w:val="18"/>
      <w:szCs w:val="18"/>
    </w:rPr>
  </w:style>
  <w:style w:type="paragraph" w:styleId="63">
    <w:name w:val="Body Text 2"/>
    <w:basedOn w:val="1"/>
    <w:link w:val="125"/>
    <w:qFormat/>
    <w:uiPriority w:val="0"/>
    <w:pPr>
      <w:spacing w:line="480" w:lineRule="auto"/>
    </w:pPr>
    <w:rPr>
      <w:kern w:val="0"/>
      <w:sz w:val="20"/>
    </w:rPr>
  </w:style>
  <w:style w:type="paragraph" w:styleId="64">
    <w:name w:val="List 4"/>
    <w:basedOn w:val="1"/>
    <w:qFormat/>
    <w:uiPriority w:val="0"/>
    <w:pPr>
      <w:ind w:left="1132" w:hanging="283"/>
      <w:jc w:val="left"/>
    </w:pPr>
    <w:rPr>
      <w:kern w:val="0"/>
      <w:sz w:val="20"/>
      <w:szCs w:val="20"/>
      <w:lang w:val="en-CA" w:eastAsia="en-US"/>
    </w:rPr>
  </w:style>
  <w:style w:type="paragraph" w:styleId="65">
    <w:name w:val="List Continue 2"/>
    <w:basedOn w:val="1"/>
    <w:qFormat/>
    <w:uiPriority w:val="0"/>
    <w:pPr>
      <w:spacing w:after="120"/>
      <w:ind w:left="566"/>
      <w:jc w:val="left"/>
    </w:pPr>
    <w:rPr>
      <w:kern w:val="0"/>
      <w:sz w:val="20"/>
      <w:szCs w:val="20"/>
      <w:lang w:val="en-CA" w:eastAsia="en-US"/>
    </w:rPr>
  </w:style>
  <w:style w:type="paragraph" w:styleId="66">
    <w:name w:val="Message Header"/>
    <w:basedOn w:val="1"/>
    <w:link w:val="402"/>
    <w:qFormat/>
    <w:uiPriority w:val="0"/>
    <w:pPr>
      <w:pBdr>
        <w:top w:val="single" w:color="auto" w:sz="6" w:space="1"/>
        <w:left w:val="single" w:color="auto" w:sz="6" w:space="1"/>
        <w:bottom w:val="single" w:color="auto" w:sz="6" w:space="1"/>
        <w:right w:val="single" w:color="auto" w:sz="6" w:space="1"/>
      </w:pBdr>
      <w:shd w:val="pct20" w:color="auto" w:fill="auto"/>
      <w:ind w:left="1134" w:hanging="1134"/>
      <w:jc w:val="left"/>
    </w:pPr>
    <w:rPr>
      <w:rFonts w:ascii="Arial" w:hAnsi="Arial"/>
      <w:kern w:val="0"/>
      <w:sz w:val="24"/>
      <w:szCs w:val="20"/>
      <w:shd w:val="pct20" w:color="auto" w:fill="auto"/>
      <w:lang w:val="en-CA" w:eastAsia="en-US"/>
    </w:rPr>
  </w:style>
  <w:style w:type="paragraph" w:styleId="6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8">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69">
    <w:name w:val="List Continue 3"/>
    <w:basedOn w:val="1"/>
    <w:qFormat/>
    <w:uiPriority w:val="0"/>
    <w:pPr>
      <w:spacing w:after="120"/>
      <w:ind w:left="849"/>
      <w:jc w:val="left"/>
    </w:pPr>
    <w:rPr>
      <w:kern w:val="0"/>
      <w:sz w:val="20"/>
      <w:szCs w:val="20"/>
      <w:lang w:val="en-CA" w:eastAsia="en-US"/>
    </w:rPr>
  </w:style>
  <w:style w:type="paragraph" w:styleId="70">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1">
    <w:name w:val="annotation subject"/>
    <w:basedOn w:val="23"/>
    <w:next w:val="23"/>
    <w:link w:val="100"/>
    <w:qFormat/>
    <w:uiPriority w:val="99"/>
    <w:rPr>
      <w:b/>
      <w:bCs/>
      <w:kern w:val="0"/>
      <w:sz w:val="20"/>
      <w:szCs w:val="20"/>
    </w:rPr>
  </w:style>
  <w:style w:type="paragraph" w:styleId="72">
    <w:name w:val="Body Text First Indent"/>
    <w:basedOn w:val="28"/>
    <w:next w:val="73"/>
    <w:link w:val="101"/>
    <w:qFormat/>
    <w:uiPriority w:val="0"/>
    <w:pPr>
      <w:spacing w:line="312" w:lineRule="auto"/>
      <w:ind w:firstLine="420"/>
    </w:pPr>
    <w:rPr>
      <w:kern w:val="0"/>
      <w:sz w:val="20"/>
      <w:szCs w:val="20"/>
    </w:rPr>
  </w:style>
  <w:style w:type="paragraph" w:styleId="73">
    <w:name w:val="Body Text First Indent 2"/>
    <w:basedOn w:val="29"/>
    <w:link w:val="102"/>
    <w:unhideWhenUsed/>
    <w:qFormat/>
    <w:uiPriority w:val="0"/>
    <w:pPr>
      <w:ind w:firstLine="200" w:firstLineChars="200"/>
    </w:p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basedOn w:val="76"/>
    <w:qFormat/>
    <w:uiPriority w:val="0"/>
    <w:rPr>
      <w:b/>
      <w:bCs/>
    </w:rPr>
  </w:style>
  <w:style w:type="character" w:styleId="78">
    <w:name w:val="page number"/>
    <w:basedOn w:val="76"/>
    <w:qFormat/>
    <w:uiPriority w:val="0"/>
    <w:rPr>
      <w:rFonts w:cs="Times New Roman"/>
    </w:rPr>
  </w:style>
  <w:style w:type="character" w:styleId="79">
    <w:name w:val="FollowedHyperlink"/>
    <w:basedOn w:val="76"/>
    <w:unhideWhenUsed/>
    <w:qFormat/>
    <w:uiPriority w:val="0"/>
    <w:rPr>
      <w:color w:val="333333"/>
      <w:u w:val="none"/>
    </w:rPr>
  </w:style>
  <w:style w:type="character" w:styleId="80">
    <w:name w:val="Emphasis"/>
    <w:qFormat/>
    <w:uiPriority w:val="0"/>
    <w:rPr>
      <w:i/>
      <w:iCs/>
    </w:rPr>
  </w:style>
  <w:style w:type="character" w:styleId="81">
    <w:name w:val="HTML Definition"/>
    <w:basedOn w:val="76"/>
    <w:semiHidden/>
    <w:unhideWhenUsed/>
    <w:qFormat/>
    <w:uiPriority w:val="99"/>
    <w:rPr>
      <w:i/>
      <w:iCs/>
    </w:rPr>
  </w:style>
  <w:style w:type="character" w:styleId="82">
    <w:name w:val="Hyperlink"/>
    <w:basedOn w:val="76"/>
    <w:unhideWhenUsed/>
    <w:qFormat/>
    <w:uiPriority w:val="0"/>
    <w:rPr>
      <w:color w:val="0000FF"/>
      <w:u w:val="single"/>
    </w:rPr>
  </w:style>
  <w:style w:type="character" w:styleId="83">
    <w:name w:val="HTML Code"/>
    <w:basedOn w:val="76"/>
    <w:semiHidden/>
    <w:unhideWhenUsed/>
    <w:qFormat/>
    <w:uiPriority w:val="99"/>
    <w:rPr>
      <w:rFonts w:hint="default" w:ascii="Monaco" w:hAnsi="Monaco" w:eastAsia="Monaco" w:cs="Monaco"/>
      <w:color w:val="C7254E"/>
      <w:sz w:val="21"/>
      <w:szCs w:val="21"/>
      <w:shd w:val="clear" w:fill="F9F2F4"/>
    </w:rPr>
  </w:style>
  <w:style w:type="character" w:styleId="84">
    <w:name w:val="annotation reference"/>
    <w:qFormat/>
    <w:uiPriority w:val="99"/>
    <w:rPr>
      <w:sz w:val="21"/>
      <w:szCs w:val="21"/>
    </w:rPr>
  </w:style>
  <w:style w:type="character" w:styleId="85">
    <w:name w:val="HTML Cite"/>
    <w:unhideWhenUsed/>
    <w:qFormat/>
    <w:uiPriority w:val="99"/>
    <w:rPr>
      <w:color w:val="008000"/>
    </w:rPr>
  </w:style>
  <w:style w:type="character" w:styleId="86">
    <w:name w:val="HTML Keyboard"/>
    <w:basedOn w:val="76"/>
    <w:semiHidden/>
    <w:unhideWhenUsed/>
    <w:qFormat/>
    <w:uiPriority w:val="99"/>
    <w:rPr>
      <w:rFonts w:ascii="Monaco" w:hAnsi="Monaco" w:eastAsia="Monaco" w:cs="Monaco"/>
      <w:color w:val="FFFFFF"/>
      <w:sz w:val="21"/>
      <w:szCs w:val="21"/>
      <w:shd w:val="clear" w:fill="333333"/>
    </w:rPr>
  </w:style>
  <w:style w:type="character" w:styleId="87">
    <w:name w:val="HTML Sample"/>
    <w:basedOn w:val="76"/>
    <w:semiHidden/>
    <w:unhideWhenUsed/>
    <w:qFormat/>
    <w:uiPriority w:val="99"/>
    <w:rPr>
      <w:rFonts w:hint="default" w:ascii="Monaco" w:hAnsi="Monaco" w:eastAsia="Monaco" w:cs="Monaco"/>
      <w:sz w:val="21"/>
      <w:szCs w:val="21"/>
    </w:rPr>
  </w:style>
  <w:style w:type="character" w:customStyle="1" w:styleId="88">
    <w:name w:val="标题 1 字符"/>
    <w:link w:val="3"/>
    <w:qFormat/>
    <w:uiPriority w:val="0"/>
    <w:rPr>
      <w:b/>
      <w:bCs/>
      <w:kern w:val="44"/>
      <w:sz w:val="44"/>
      <w:szCs w:val="44"/>
    </w:rPr>
  </w:style>
  <w:style w:type="character" w:customStyle="1" w:styleId="89">
    <w:name w:val="标题 2 字符"/>
    <w:link w:val="2"/>
    <w:qFormat/>
    <w:uiPriority w:val="0"/>
    <w:rPr>
      <w:rFonts w:ascii="Arial" w:hAnsi="Arial" w:eastAsia="黑体"/>
      <w:b/>
      <w:bCs/>
      <w:kern w:val="2"/>
      <w:sz w:val="32"/>
      <w:szCs w:val="32"/>
      <w:lang w:val="en-US" w:eastAsia="zh-CN" w:bidi="ar-SA"/>
    </w:rPr>
  </w:style>
  <w:style w:type="character" w:customStyle="1" w:styleId="90">
    <w:name w:val="标题 3 字符"/>
    <w:link w:val="4"/>
    <w:qFormat/>
    <w:uiPriority w:val="0"/>
    <w:rPr>
      <w:rFonts w:ascii="黑体" w:hAnsi="宋体" w:eastAsia="黑体"/>
      <w:bCs/>
      <w:kern w:val="2"/>
      <w:sz w:val="28"/>
      <w:szCs w:val="28"/>
      <w:lang w:val="en-US" w:eastAsia="zh-CN" w:bidi="ar-SA"/>
    </w:rPr>
  </w:style>
  <w:style w:type="character" w:customStyle="1" w:styleId="91">
    <w:name w:val="标题 4 字符"/>
    <w:link w:val="5"/>
    <w:qFormat/>
    <w:uiPriority w:val="0"/>
    <w:rPr>
      <w:rFonts w:ascii="Arial" w:hAnsi="Arial" w:eastAsia="黑体"/>
      <w:b/>
      <w:bCs/>
      <w:kern w:val="2"/>
      <w:sz w:val="28"/>
      <w:szCs w:val="28"/>
      <w:lang w:val="en-US" w:eastAsia="zh-CN" w:bidi="ar-SA"/>
    </w:rPr>
  </w:style>
  <w:style w:type="character" w:customStyle="1" w:styleId="92">
    <w:name w:val="文档结构图 字符"/>
    <w:link w:val="22"/>
    <w:qFormat/>
    <w:uiPriority w:val="0"/>
    <w:rPr>
      <w:rFonts w:eastAsia="宋体"/>
      <w:kern w:val="2"/>
      <w:sz w:val="21"/>
      <w:szCs w:val="24"/>
      <w:lang w:val="en-US" w:eastAsia="zh-CN" w:bidi="ar-SA"/>
    </w:rPr>
  </w:style>
  <w:style w:type="character" w:customStyle="1" w:styleId="93">
    <w:name w:val="批注文字 字符"/>
    <w:link w:val="23"/>
    <w:qFormat/>
    <w:uiPriority w:val="0"/>
    <w:rPr>
      <w:rFonts w:eastAsia="宋体"/>
      <w:kern w:val="2"/>
      <w:sz w:val="21"/>
      <w:szCs w:val="24"/>
      <w:lang w:val="en-US" w:eastAsia="zh-CN" w:bidi="ar-SA"/>
    </w:rPr>
  </w:style>
  <w:style w:type="character" w:customStyle="1" w:styleId="94">
    <w:name w:val="正文文本 3 字符"/>
    <w:link w:val="25"/>
    <w:qFormat/>
    <w:uiPriority w:val="0"/>
    <w:rPr>
      <w:rFonts w:ascii="宋体"/>
      <w:kern w:val="2"/>
      <w:sz w:val="24"/>
    </w:rPr>
  </w:style>
  <w:style w:type="character" w:customStyle="1" w:styleId="95">
    <w:name w:val="正文文本 字符"/>
    <w:link w:val="28"/>
    <w:qFormat/>
    <w:uiPriority w:val="99"/>
    <w:rPr>
      <w:rFonts w:eastAsia="宋体"/>
      <w:kern w:val="2"/>
      <w:sz w:val="21"/>
      <w:szCs w:val="24"/>
      <w:lang w:val="en-US" w:eastAsia="zh-CN" w:bidi="ar-SA"/>
    </w:rPr>
  </w:style>
  <w:style w:type="character" w:customStyle="1" w:styleId="96">
    <w:name w:val="纯文本 字符"/>
    <w:link w:val="39"/>
    <w:qFormat/>
    <w:uiPriority w:val="0"/>
    <w:rPr>
      <w:rFonts w:ascii="等线" w:hAnsi="Courier New" w:eastAsia="等线" w:cs="Courier New"/>
      <w:kern w:val="2"/>
      <w:sz w:val="21"/>
      <w:szCs w:val="22"/>
    </w:rPr>
  </w:style>
  <w:style w:type="character" w:customStyle="1" w:styleId="97">
    <w:name w:val="日期 字符"/>
    <w:link w:val="43"/>
    <w:qFormat/>
    <w:uiPriority w:val="0"/>
    <w:rPr>
      <w:kern w:val="2"/>
      <w:sz w:val="24"/>
    </w:rPr>
  </w:style>
  <w:style w:type="character" w:customStyle="1" w:styleId="98">
    <w:name w:val="页脚 字符"/>
    <w:link w:val="47"/>
    <w:qFormat/>
    <w:uiPriority w:val="99"/>
    <w:rPr>
      <w:rFonts w:eastAsia="宋体"/>
      <w:kern w:val="2"/>
      <w:sz w:val="18"/>
      <w:szCs w:val="18"/>
      <w:lang w:val="en-US" w:eastAsia="zh-CN" w:bidi="ar-SA"/>
    </w:rPr>
  </w:style>
  <w:style w:type="character" w:customStyle="1" w:styleId="99">
    <w:name w:val="页眉 字符"/>
    <w:link w:val="48"/>
    <w:qFormat/>
    <w:uiPriority w:val="99"/>
    <w:rPr>
      <w:rFonts w:eastAsia="宋体"/>
      <w:kern w:val="2"/>
      <w:sz w:val="18"/>
      <w:szCs w:val="18"/>
      <w:lang w:val="en-US" w:eastAsia="zh-CN" w:bidi="ar-SA"/>
    </w:rPr>
  </w:style>
  <w:style w:type="character" w:customStyle="1" w:styleId="100">
    <w:name w:val="批注主题 字符"/>
    <w:link w:val="71"/>
    <w:qFormat/>
    <w:uiPriority w:val="99"/>
    <w:rPr>
      <w:b/>
      <w:bCs/>
      <w:lang w:val="en-US" w:eastAsia="zh-CN" w:bidi="ar-SA"/>
    </w:rPr>
  </w:style>
  <w:style w:type="character" w:customStyle="1" w:styleId="101">
    <w:name w:val="正文文本首行缩进 字符"/>
    <w:link w:val="72"/>
    <w:qFormat/>
    <w:uiPriority w:val="0"/>
    <w:rPr>
      <w:lang w:val="en-US" w:eastAsia="zh-CN" w:bidi="ar-SA"/>
    </w:rPr>
  </w:style>
  <w:style w:type="character" w:customStyle="1" w:styleId="102">
    <w:name w:val="正文文本首行缩进 2 字符"/>
    <w:link w:val="73"/>
    <w:qFormat/>
    <w:uiPriority w:val="0"/>
    <w:rPr>
      <w:kern w:val="2"/>
      <w:sz w:val="21"/>
      <w:szCs w:val="24"/>
    </w:rPr>
  </w:style>
  <w:style w:type="character" w:customStyle="1" w:styleId="103">
    <w:name w:val="批注文字 Char1"/>
    <w:qFormat/>
    <w:locked/>
    <w:uiPriority w:val="99"/>
    <w:rPr>
      <w:kern w:val="2"/>
      <w:sz w:val="21"/>
      <w:szCs w:val="22"/>
    </w:rPr>
  </w:style>
  <w:style w:type="character" w:customStyle="1" w:styleId="104">
    <w:name w:val="文一 Char Char"/>
    <w:link w:val="105"/>
    <w:qFormat/>
    <w:uiPriority w:val="0"/>
    <w:rPr>
      <w:rFonts w:ascii="等线" w:hAnsi="等线" w:eastAsia="等线"/>
      <w:spacing w:val="4"/>
      <w:sz w:val="24"/>
      <w:szCs w:val="24"/>
    </w:rPr>
  </w:style>
  <w:style w:type="paragraph" w:customStyle="1" w:styleId="105">
    <w:name w:val="文一"/>
    <w:basedOn w:val="1"/>
    <w:link w:val="104"/>
    <w:qFormat/>
    <w:uiPriority w:val="0"/>
    <w:pPr>
      <w:topLinePunct/>
      <w:adjustRightInd w:val="0"/>
      <w:snapToGrid w:val="0"/>
      <w:spacing w:line="360" w:lineRule="auto"/>
      <w:ind w:firstLine="200" w:firstLineChars="200"/>
    </w:pPr>
    <w:rPr>
      <w:rFonts w:ascii="等线" w:hAnsi="等线" w:eastAsia="等线"/>
      <w:spacing w:val="4"/>
      <w:kern w:val="0"/>
      <w:sz w:val="24"/>
    </w:rPr>
  </w:style>
  <w:style w:type="paragraph" w:customStyle="1" w:styleId="106">
    <w:name w:val="列出段落1"/>
    <w:basedOn w:val="1"/>
    <w:qFormat/>
    <w:uiPriority w:val="0"/>
    <w:pPr>
      <w:ind w:firstLine="420" w:firstLineChars="200"/>
    </w:pPr>
    <w:rPr>
      <w:sz w:val="22"/>
      <w:szCs w:val="20"/>
    </w:rPr>
  </w:style>
  <w:style w:type="paragraph" w:customStyle="1" w:styleId="107">
    <w:name w:val="样式 正文首行缩进 2 + 首行缩进:  2 字符1"/>
    <w:basedOn w:val="1"/>
    <w:next w:val="1"/>
    <w:qFormat/>
    <w:uiPriority w:val="0"/>
    <w:pPr>
      <w:ind w:firstLine="420"/>
    </w:pPr>
    <w:rPr>
      <w:rFonts w:cs="宋体"/>
      <w:szCs w:val="20"/>
    </w:rPr>
  </w:style>
  <w:style w:type="paragraph" w:customStyle="1" w:styleId="108">
    <w:name w:val="表格文字"/>
    <w:basedOn w:val="1"/>
    <w:link w:val="261"/>
    <w:qFormat/>
    <w:uiPriority w:val="0"/>
    <w:pPr>
      <w:adjustRightInd w:val="0"/>
      <w:spacing w:line="420" w:lineRule="atLeast"/>
      <w:jc w:val="left"/>
      <w:textAlignment w:val="baseline"/>
    </w:pPr>
    <w:rPr>
      <w:kern w:val="0"/>
      <w:szCs w:val="20"/>
    </w:rPr>
  </w:style>
  <w:style w:type="paragraph" w:customStyle="1" w:styleId="109">
    <w:name w:val="发文落款"/>
    <w:basedOn w:val="110"/>
    <w:qFormat/>
    <w:uiPriority w:val="0"/>
    <w:pPr>
      <w:ind w:left="4094" w:right="607" w:firstLine="0"/>
      <w:jc w:val="center"/>
    </w:pPr>
  </w:style>
  <w:style w:type="paragraph" w:customStyle="1" w:styleId="1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111">
    <w:name w:val="List Paragraph"/>
    <w:basedOn w:val="1"/>
    <w:qFormat/>
    <w:uiPriority w:val="34"/>
    <w:pPr>
      <w:ind w:firstLine="420" w:firstLineChars="200"/>
    </w:pPr>
    <w:rPr>
      <w:szCs w:val="20"/>
    </w:rPr>
  </w:style>
  <w:style w:type="paragraph" w:customStyle="1" w:styleId="112">
    <w:name w:val="样式 正文首行缩进 2 + 首行缩进:  2 字符"/>
    <w:basedOn w:val="1"/>
    <w:next w:val="1"/>
    <w:qFormat/>
    <w:uiPriority w:val="0"/>
    <w:pPr>
      <w:ind w:firstLine="420"/>
    </w:pPr>
    <w:rPr>
      <w:rFonts w:cs="宋体"/>
      <w:szCs w:val="20"/>
    </w:rPr>
  </w:style>
  <w:style w:type="paragraph" w:customStyle="1" w:styleId="113">
    <w:name w:val="正题"/>
    <w:basedOn w:val="105"/>
    <w:next w:val="105"/>
    <w:qFormat/>
    <w:uiPriority w:val="0"/>
    <w:pPr>
      <w:ind w:firstLine="0" w:firstLineChars="0"/>
      <w:jc w:val="center"/>
    </w:pPr>
    <w:rPr>
      <w:rFonts w:eastAsia="黑体"/>
      <w:b/>
      <w:sz w:val="36"/>
      <w:szCs w:val="36"/>
    </w:rPr>
  </w:style>
  <w:style w:type="paragraph" w:customStyle="1" w:styleId="114">
    <w:name w:val="表头"/>
    <w:basedOn w:val="1"/>
    <w:qFormat/>
    <w:uiPriority w:val="99"/>
    <w:pPr>
      <w:spacing w:line="360" w:lineRule="auto"/>
      <w:jc w:val="center"/>
    </w:pPr>
    <w:rPr>
      <w:rFonts w:ascii="黑体" w:eastAsia="黑体"/>
      <w:kern w:val="0"/>
      <w:sz w:val="24"/>
      <w:szCs w:val="20"/>
    </w:rPr>
  </w:style>
  <w:style w:type="paragraph" w:customStyle="1" w:styleId="115">
    <w:name w:val="修订1"/>
    <w:qFormat/>
    <w:uiPriority w:val="99"/>
    <w:rPr>
      <w:rFonts w:ascii="Times New Roman" w:hAnsi="Times New Roman" w:eastAsia="宋体" w:cs="Times New Roman"/>
      <w:kern w:val="2"/>
      <w:sz w:val="21"/>
      <w:szCs w:val="24"/>
      <w:lang w:val="en-US" w:eastAsia="zh-CN" w:bidi="ar-SA"/>
    </w:rPr>
  </w:style>
  <w:style w:type="paragraph" w:customStyle="1" w:styleId="116">
    <w:name w:val="表格"/>
    <w:basedOn w:val="1"/>
    <w:qFormat/>
    <w:uiPriority w:val="0"/>
    <w:pPr>
      <w:jc w:val="center"/>
      <w:textAlignment w:val="center"/>
    </w:pPr>
    <w:rPr>
      <w:rFonts w:ascii="华文细黑" w:hAnsi="华文细黑"/>
      <w:kern w:val="0"/>
      <w:szCs w:val="20"/>
    </w:rPr>
  </w:style>
  <w:style w:type="paragraph" w:customStyle="1" w:styleId="117">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118">
    <w:name w:val="NormalCharacter"/>
    <w:qFormat/>
    <w:uiPriority w:val="99"/>
  </w:style>
  <w:style w:type="paragraph" w:customStyle="1" w:styleId="119">
    <w:name w:val="正文 New"/>
    <w:qFormat/>
    <w:uiPriority w:val="0"/>
    <w:pPr>
      <w:widowControl w:val="0"/>
      <w:jc w:val="both"/>
    </w:pPr>
    <w:rPr>
      <w:rFonts w:ascii="宋体" w:hAnsi="宋体" w:eastAsia="宋体" w:cs="宋体"/>
      <w:kern w:val="2"/>
      <w:sz w:val="21"/>
      <w:szCs w:val="24"/>
      <w:lang w:val="en-US" w:eastAsia="zh-CN" w:bidi="ar-SA"/>
    </w:rPr>
  </w:style>
  <w:style w:type="paragraph" w:customStyle="1" w:styleId="1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标题 5 字符"/>
    <w:basedOn w:val="76"/>
    <w:link w:val="6"/>
    <w:qFormat/>
    <w:uiPriority w:val="0"/>
    <w:rPr>
      <w:rFonts w:ascii="Calibri" w:hAnsi="Calibri"/>
      <w:b/>
      <w:bCs/>
      <w:kern w:val="2"/>
      <w:sz w:val="28"/>
      <w:szCs w:val="28"/>
      <w:lang w:val="zh-CN"/>
    </w:rPr>
  </w:style>
  <w:style w:type="character" w:customStyle="1" w:styleId="123">
    <w:name w:val="正文文本缩进 2 字符"/>
    <w:basedOn w:val="76"/>
    <w:link w:val="44"/>
    <w:qFormat/>
    <w:uiPriority w:val="0"/>
    <w:rPr>
      <w:kern w:val="2"/>
      <w:sz w:val="21"/>
      <w:szCs w:val="24"/>
    </w:rPr>
  </w:style>
  <w:style w:type="character" w:customStyle="1" w:styleId="124">
    <w:name w:val="副标题 字符"/>
    <w:basedOn w:val="76"/>
    <w:link w:val="55"/>
    <w:qFormat/>
    <w:uiPriority w:val="0"/>
    <w:rPr>
      <w:rFonts w:ascii="Cambria" w:hAnsi="Cambria"/>
      <w:b/>
      <w:bCs/>
      <w:kern w:val="28"/>
      <w:sz w:val="28"/>
      <w:szCs w:val="32"/>
      <w:lang w:val="zh-CN"/>
    </w:rPr>
  </w:style>
  <w:style w:type="character" w:customStyle="1" w:styleId="125">
    <w:name w:val="正文文本 2 字符"/>
    <w:basedOn w:val="76"/>
    <w:link w:val="63"/>
    <w:qFormat/>
    <w:uiPriority w:val="0"/>
    <w:rPr>
      <w:szCs w:val="24"/>
    </w:rPr>
  </w:style>
  <w:style w:type="character" w:customStyle="1" w:styleId="126">
    <w:name w:val="HTML 预设格式 字符"/>
    <w:basedOn w:val="76"/>
    <w:link w:val="67"/>
    <w:qFormat/>
    <w:uiPriority w:val="0"/>
    <w:rPr>
      <w:rFonts w:ascii="宋体" w:hAnsi="宋体"/>
      <w:sz w:val="24"/>
      <w:szCs w:val="24"/>
    </w:rPr>
  </w:style>
  <w:style w:type="character" w:customStyle="1" w:styleId="127">
    <w:name w:val="标题 6 字符"/>
    <w:basedOn w:val="76"/>
    <w:link w:val="7"/>
    <w:qFormat/>
    <w:uiPriority w:val="0"/>
    <w:rPr>
      <w:rFonts w:ascii="Arial" w:hAnsi="Arial" w:eastAsia="黑体"/>
      <w:b/>
      <w:bCs/>
      <w:sz w:val="24"/>
      <w:szCs w:val="24"/>
    </w:rPr>
  </w:style>
  <w:style w:type="character" w:customStyle="1" w:styleId="128">
    <w:name w:val="标题 7 字符"/>
    <w:basedOn w:val="76"/>
    <w:link w:val="8"/>
    <w:qFormat/>
    <w:uiPriority w:val="0"/>
    <w:rPr>
      <w:b/>
      <w:bCs/>
      <w:sz w:val="24"/>
      <w:szCs w:val="24"/>
    </w:rPr>
  </w:style>
  <w:style w:type="character" w:customStyle="1" w:styleId="129">
    <w:name w:val="标题 8 字符"/>
    <w:basedOn w:val="76"/>
    <w:link w:val="9"/>
    <w:qFormat/>
    <w:uiPriority w:val="0"/>
    <w:rPr>
      <w:rFonts w:ascii="Arial" w:hAnsi="Arial" w:eastAsia="黑体"/>
      <w:sz w:val="24"/>
      <w:szCs w:val="24"/>
    </w:rPr>
  </w:style>
  <w:style w:type="character" w:customStyle="1" w:styleId="130">
    <w:name w:val="标题 9 字符"/>
    <w:basedOn w:val="76"/>
    <w:link w:val="10"/>
    <w:qFormat/>
    <w:uiPriority w:val="0"/>
    <w:rPr>
      <w:rFonts w:ascii="Arial" w:hAnsi="Arial" w:eastAsia="黑体"/>
      <w:sz w:val="21"/>
      <w:szCs w:val="21"/>
    </w:rPr>
  </w:style>
  <w:style w:type="character" w:customStyle="1" w:styleId="131">
    <w:name w:val="正文缩进 字符"/>
    <w:link w:val="18"/>
    <w:qFormat/>
    <w:uiPriority w:val="0"/>
    <w:rPr>
      <w:kern w:val="2"/>
      <w:sz w:val="21"/>
      <w:szCs w:val="24"/>
    </w:rPr>
  </w:style>
  <w:style w:type="character" w:customStyle="1" w:styleId="132">
    <w:name w:val="列表项目符号 字符"/>
    <w:link w:val="20"/>
    <w:qFormat/>
    <w:uiPriority w:val="0"/>
    <w:rPr>
      <w:kern w:val="2"/>
      <w:sz w:val="21"/>
      <w:szCs w:val="22"/>
      <w:lang w:val="zh-CN"/>
    </w:rPr>
  </w:style>
  <w:style w:type="character" w:customStyle="1" w:styleId="133">
    <w:name w:val="正文文本缩进 字符"/>
    <w:basedOn w:val="76"/>
    <w:link w:val="29"/>
    <w:qFormat/>
    <w:uiPriority w:val="99"/>
    <w:rPr>
      <w:kern w:val="2"/>
      <w:sz w:val="21"/>
      <w:szCs w:val="24"/>
    </w:rPr>
  </w:style>
  <w:style w:type="character" w:customStyle="1" w:styleId="134">
    <w:name w:val="批注框文本 字符"/>
    <w:basedOn w:val="76"/>
    <w:link w:val="46"/>
    <w:qFormat/>
    <w:uiPriority w:val="0"/>
    <w:rPr>
      <w:kern w:val="2"/>
      <w:sz w:val="18"/>
      <w:szCs w:val="18"/>
    </w:rPr>
  </w:style>
  <w:style w:type="character" w:customStyle="1" w:styleId="135">
    <w:name w:val="正文文本缩进 3 字符"/>
    <w:basedOn w:val="76"/>
    <w:link w:val="60"/>
    <w:qFormat/>
    <w:uiPriority w:val="0"/>
    <w:rPr>
      <w:kern w:val="2"/>
      <w:sz w:val="16"/>
      <w:szCs w:val="16"/>
    </w:rPr>
  </w:style>
  <w:style w:type="character" w:customStyle="1" w:styleId="136">
    <w:name w:val="标题 字符"/>
    <w:basedOn w:val="76"/>
    <w:link w:val="70"/>
    <w:qFormat/>
    <w:uiPriority w:val="0"/>
    <w:rPr>
      <w:rFonts w:ascii="Arial" w:hAnsi="Arial"/>
      <w:b/>
      <w:sz w:val="32"/>
    </w:rPr>
  </w:style>
  <w:style w:type="paragraph" w:customStyle="1" w:styleId="137">
    <w:name w:val="永安标题1"/>
    <w:basedOn w:val="3"/>
    <w:next w:val="138"/>
    <w:qFormat/>
    <w:uiPriority w:val="99"/>
    <w:pPr>
      <w:spacing w:line="360" w:lineRule="auto"/>
      <w:jc w:val="left"/>
    </w:pPr>
    <w:rPr>
      <w:rFonts w:ascii="黑体" w:hAnsi="黑体" w:eastAsia="黑体" w:cs="黑体"/>
      <w:sz w:val="36"/>
      <w:szCs w:val="36"/>
    </w:rPr>
  </w:style>
  <w:style w:type="paragraph" w:customStyle="1" w:styleId="138">
    <w:name w:val="永安标题2"/>
    <w:basedOn w:val="137"/>
    <w:next w:val="139"/>
    <w:qFormat/>
    <w:uiPriority w:val="99"/>
    <w:pPr>
      <w:outlineLvl w:val="1"/>
    </w:pPr>
    <w:rPr>
      <w:sz w:val="32"/>
    </w:rPr>
  </w:style>
  <w:style w:type="paragraph" w:customStyle="1" w:styleId="139">
    <w:name w:val="永安标题3"/>
    <w:basedOn w:val="3"/>
    <w:next w:val="1"/>
    <w:qFormat/>
    <w:uiPriority w:val="99"/>
    <w:pPr>
      <w:spacing w:before="300" w:after="300" w:line="360" w:lineRule="auto"/>
      <w:jc w:val="left"/>
      <w:outlineLvl w:val="2"/>
    </w:pPr>
    <w:rPr>
      <w:rFonts w:ascii="黑体" w:hAnsi="黑体" w:cs="黑体"/>
      <w:sz w:val="30"/>
      <w:szCs w:val="30"/>
    </w:rPr>
  </w:style>
  <w:style w:type="paragraph" w:customStyle="1" w:styleId="140">
    <w:name w:val="永安"/>
    <w:basedOn w:val="3"/>
    <w:next w:val="1"/>
    <w:qFormat/>
    <w:uiPriority w:val="99"/>
    <w:pPr>
      <w:numPr>
        <w:ilvl w:val="0"/>
        <w:numId w:val="8"/>
      </w:numPr>
      <w:spacing w:before="300" w:after="300" w:line="360" w:lineRule="auto"/>
      <w:ind w:firstLine="0"/>
    </w:pPr>
    <w:rPr>
      <w:rFonts w:eastAsia="黑体"/>
      <w:sz w:val="36"/>
    </w:rPr>
  </w:style>
  <w:style w:type="paragraph" w:customStyle="1" w:styleId="141">
    <w:name w:val="永安页眉"/>
    <w:basedOn w:val="48"/>
    <w:qFormat/>
    <w:uiPriority w:val="99"/>
    <w:pPr>
      <w:pBdr>
        <w:top w:val="none" w:color="auto" w:sz="0" w:space="1"/>
        <w:left w:val="none" w:color="auto" w:sz="0" w:space="4"/>
        <w:bottom w:val="thinThickSmallGap" w:color="auto" w:sz="18" w:space="1"/>
        <w:right w:val="none" w:color="auto" w:sz="0" w:space="4"/>
      </w:pBdr>
    </w:pPr>
    <w:rPr>
      <w:b/>
      <w:sz w:val="21"/>
      <w:szCs w:val="22"/>
    </w:rPr>
  </w:style>
  <w:style w:type="paragraph" w:customStyle="1" w:styleId="142">
    <w:name w:val="_Style 8"/>
    <w:basedOn w:val="3"/>
    <w:next w:val="1"/>
    <w:qFormat/>
    <w:uiPriority w:val="0"/>
    <w:pPr>
      <w:widowControl/>
      <w:spacing w:before="480" w:line="276" w:lineRule="auto"/>
      <w:jc w:val="left"/>
      <w:outlineLvl w:val="9"/>
    </w:pPr>
    <w:rPr>
      <w:rFonts w:ascii="Cambria" w:hAnsi="Cambria"/>
      <w:bCs w:val="0"/>
      <w:color w:val="365F91"/>
      <w:kern w:val="0"/>
      <w:sz w:val="28"/>
      <w:szCs w:val="28"/>
    </w:rPr>
  </w:style>
  <w:style w:type="paragraph" w:customStyle="1" w:styleId="143">
    <w:name w:val="样式 宋体 行距: 1.5 倍行距"/>
    <w:basedOn w:val="1"/>
    <w:qFormat/>
    <w:uiPriority w:val="0"/>
    <w:pPr>
      <w:jc w:val="center"/>
    </w:pPr>
    <w:rPr>
      <w:b/>
      <w:szCs w:val="22"/>
    </w:rPr>
  </w:style>
  <w:style w:type="character" w:customStyle="1" w:styleId="144">
    <w:name w:val="标题 3 Char Char"/>
    <w:qFormat/>
    <w:uiPriority w:val="99"/>
    <w:rPr>
      <w:rFonts w:ascii="宋体" w:hAnsi="宋体" w:eastAsia="宋体"/>
      <w:b/>
      <w:color w:val="FF0000"/>
      <w:kern w:val="2"/>
      <w:sz w:val="24"/>
      <w:lang w:val="zh-CN" w:eastAsia="zh-CN"/>
    </w:rPr>
  </w:style>
  <w:style w:type="paragraph" w:customStyle="1" w:styleId="145">
    <w:name w:val="正文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6">
    <w:name w:val="current"/>
    <w:basedOn w:val="76"/>
    <w:qFormat/>
    <w:uiPriority w:val="0"/>
    <w:rPr>
      <w:color w:val="FFFFFF"/>
      <w:bdr w:val="single" w:color="0A7AE0" w:sz="6" w:space="0"/>
      <w:shd w:val="clear" w:color="auto" w:fill="0A7AE0"/>
    </w:rPr>
  </w:style>
  <w:style w:type="character" w:customStyle="1" w:styleId="147">
    <w:name w:val="disabled"/>
    <w:basedOn w:val="76"/>
    <w:qFormat/>
    <w:uiPriority w:val="0"/>
    <w:rPr>
      <w:color w:val="FFFFFF"/>
      <w:bdr w:val="single" w:color="0A7AE0" w:sz="6" w:space="0"/>
      <w:shd w:val="clear" w:color="auto" w:fill="0A7AE0"/>
    </w:rPr>
  </w:style>
  <w:style w:type="character" w:customStyle="1" w:styleId="148">
    <w:name w:val="adv_name"/>
    <w:basedOn w:val="76"/>
    <w:qFormat/>
    <w:uiPriority w:val="0"/>
    <w:rPr>
      <w:rFonts w:ascii="微软雅黑" w:hAnsi="微软雅黑" w:eastAsia="微软雅黑" w:cs="微软雅黑"/>
      <w:sz w:val="21"/>
      <w:szCs w:val="21"/>
    </w:rPr>
  </w:style>
  <w:style w:type="character" w:customStyle="1" w:styleId="149">
    <w:name w:val="slh"/>
    <w:basedOn w:val="76"/>
    <w:qFormat/>
    <w:uiPriority w:val="0"/>
  </w:style>
  <w:style w:type="paragraph" w:customStyle="1" w:styleId="150">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1">
    <w:name w:val="P标3"/>
    <w:basedOn w:val="4"/>
    <w:qFormat/>
    <w:uiPriority w:val="0"/>
    <w:pPr>
      <w:keepNext w:val="0"/>
      <w:keepLines w:val="0"/>
      <w:tabs>
        <w:tab w:val="left" w:pos="432"/>
      </w:tabs>
      <w:autoSpaceDE w:val="0"/>
      <w:autoSpaceDN w:val="0"/>
      <w:adjustRightInd w:val="0"/>
      <w:spacing w:before="120" w:after="120" w:line="480" w:lineRule="atLeast"/>
      <w:ind w:left="840" w:hanging="420"/>
    </w:pPr>
    <w:rPr>
      <w:rFonts w:ascii="宋体" w:hAnsi="Times New Roman"/>
      <w:bCs w:val="0"/>
      <w:kern w:val="0"/>
      <w:sz w:val="24"/>
      <w:szCs w:val="20"/>
    </w:rPr>
  </w:style>
  <w:style w:type="paragraph" w:customStyle="1" w:styleId="152">
    <w:name w:val="_Style 2"/>
    <w:basedOn w:val="1"/>
    <w:qFormat/>
    <w:uiPriority w:val="34"/>
    <w:pPr>
      <w:ind w:firstLine="420" w:firstLineChars="200"/>
    </w:pPr>
    <w:rPr>
      <w:szCs w:val="22"/>
    </w:rPr>
  </w:style>
  <w:style w:type="paragraph" w:customStyle="1" w:styleId="153">
    <w:name w:val="最终正文格式"/>
    <w:qFormat/>
    <w:uiPriority w:val="0"/>
    <w:pPr>
      <w:spacing w:after="120"/>
      <w:ind w:left="315" w:leftChars="315"/>
      <w:jc w:val="both"/>
    </w:pPr>
    <w:rPr>
      <w:rFonts w:ascii="Arial" w:hAnsi="Arial" w:eastAsia="仿宋_GB2312" w:cs="Arial"/>
      <w:lang w:val="en-US" w:eastAsia="zh-CN" w:bidi="ar-SA"/>
    </w:rPr>
  </w:style>
  <w:style w:type="paragraph" w:customStyle="1" w:styleId="154">
    <w:name w:val="Frame Contents"/>
    <w:basedOn w:val="1"/>
    <w:qFormat/>
    <w:uiPriority w:val="0"/>
    <w:pPr>
      <w:suppressAutoHyphens/>
    </w:pPr>
    <w:rPr>
      <w:kern w:val="1"/>
      <w:szCs w:val="20"/>
    </w:rPr>
  </w:style>
  <w:style w:type="paragraph" w:customStyle="1" w:styleId="15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正文文本缩进1"/>
    <w:basedOn w:val="1"/>
    <w:qFormat/>
    <w:uiPriority w:val="0"/>
    <w:pPr>
      <w:ind w:firstLine="480"/>
    </w:pPr>
    <w:rPr>
      <w:sz w:val="24"/>
      <w:szCs w:val="20"/>
    </w:rPr>
  </w:style>
  <w:style w:type="paragraph" w:customStyle="1" w:styleId="159">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60">
    <w:name w:val="标题 2 New"/>
    <w:basedOn w:val="159"/>
    <w:next w:val="159"/>
    <w:qFormat/>
    <w:uiPriority w:val="0"/>
    <w:pPr>
      <w:keepNext/>
      <w:keepLines/>
      <w:spacing w:before="260" w:after="260" w:line="416" w:lineRule="auto"/>
      <w:outlineLvl w:val="1"/>
    </w:pPr>
    <w:rPr>
      <w:rFonts w:ascii="Arial" w:hAnsi="Arial" w:eastAsia="仿宋_GB2312"/>
      <w:b/>
      <w:bCs/>
      <w:sz w:val="32"/>
    </w:rPr>
  </w:style>
  <w:style w:type="character" w:customStyle="1" w:styleId="161">
    <w:name w:val="标题 Char1"/>
    <w:qFormat/>
    <w:uiPriority w:val="10"/>
    <w:rPr>
      <w:rFonts w:ascii="Arial" w:hAnsi="Arial"/>
      <w:b/>
      <w:bCs/>
      <w:sz w:val="32"/>
      <w:szCs w:val="32"/>
      <w:lang w:val="zh-CN"/>
    </w:rPr>
  </w:style>
  <w:style w:type="character" w:customStyle="1" w:styleId="162">
    <w:name w:val="已访问的超链接11"/>
    <w:unhideWhenUsed/>
    <w:qFormat/>
    <w:uiPriority w:val="99"/>
    <w:rPr>
      <w:color w:val="800080"/>
      <w:u w:val="single"/>
    </w:rPr>
  </w:style>
  <w:style w:type="character" w:customStyle="1" w:styleId="163">
    <w:name w:val="p105"/>
    <w:basedOn w:val="76"/>
    <w:qFormat/>
    <w:uiPriority w:val="0"/>
  </w:style>
  <w:style w:type="character" w:customStyle="1" w:styleId="164">
    <w:name w:val="纯文本 Char2"/>
    <w:qFormat/>
    <w:uiPriority w:val="0"/>
    <w:rPr>
      <w:rFonts w:ascii="宋体" w:hAnsi="Courier New"/>
    </w:rPr>
  </w:style>
  <w:style w:type="character" w:customStyle="1" w:styleId="165">
    <w:name w:val="正文首行缩进 Char1"/>
    <w:basedOn w:val="95"/>
    <w:link w:val="166"/>
    <w:qFormat/>
    <w:uiPriority w:val="99"/>
    <w:rPr>
      <w:rFonts w:eastAsia="宋体"/>
      <w:kern w:val="2"/>
      <w:sz w:val="21"/>
      <w:szCs w:val="24"/>
      <w:lang w:val="en-US" w:eastAsia="zh-CN" w:bidi="ar-SA"/>
    </w:rPr>
  </w:style>
  <w:style w:type="paragraph" w:customStyle="1" w:styleId="166">
    <w:name w:val="正文首行缩进1"/>
    <w:basedOn w:val="28"/>
    <w:link w:val="165"/>
    <w:qFormat/>
    <w:uiPriority w:val="99"/>
    <w:pPr>
      <w:widowControl/>
      <w:ind w:firstLine="420" w:firstLineChars="100"/>
      <w:jc w:val="left"/>
    </w:pPr>
    <w:rPr>
      <w:kern w:val="0"/>
      <w:sz w:val="20"/>
      <w:szCs w:val="20"/>
    </w:rPr>
  </w:style>
  <w:style w:type="character" w:customStyle="1" w:styleId="167">
    <w:name w:val="副标题 Char1"/>
    <w:qFormat/>
    <w:uiPriority w:val="11"/>
    <w:rPr>
      <w:rFonts w:ascii="Cambria" w:hAnsi="Cambria" w:eastAsia="宋体" w:cs="Times New Roman"/>
      <w:b/>
      <w:bCs/>
      <w:kern w:val="28"/>
      <w:sz w:val="32"/>
      <w:szCs w:val="32"/>
    </w:rPr>
  </w:style>
  <w:style w:type="paragraph" w:customStyle="1" w:styleId="168">
    <w:name w:val="_Style 3"/>
    <w:basedOn w:val="1"/>
    <w:qFormat/>
    <w:uiPriority w:val="34"/>
    <w:pPr>
      <w:ind w:firstLine="420" w:firstLineChars="200"/>
    </w:pPr>
    <w:rPr>
      <w:rFonts w:ascii="Calibri" w:hAnsi="Calibri"/>
    </w:rPr>
  </w:style>
  <w:style w:type="paragraph" w:customStyle="1" w:styleId="169">
    <w:name w:val="列出段落111"/>
    <w:basedOn w:val="1"/>
    <w:qFormat/>
    <w:uiPriority w:val="34"/>
    <w:pPr>
      <w:ind w:firstLine="420" w:firstLineChars="200"/>
    </w:pPr>
    <w:rPr>
      <w:rFonts w:ascii="Calibri" w:hAnsi="Calibri"/>
      <w:szCs w:val="22"/>
    </w:rPr>
  </w:style>
  <w:style w:type="paragraph" w:customStyle="1" w:styleId="170">
    <w:name w:val="_Style 4"/>
    <w:basedOn w:val="1"/>
    <w:qFormat/>
    <w:uiPriority w:val="34"/>
    <w:pPr>
      <w:ind w:firstLine="420" w:firstLineChars="200"/>
    </w:pPr>
    <w:rPr>
      <w:rFonts w:ascii="Calibri" w:hAnsi="Calibri"/>
      <w:szCs w:val="22"/>
    </w:rPr>
  </w:style>
  <w:style w:type="paragraph" w:customStyle="1" w:styleId="171">
    <w:name w:val="中小标题"/>
    <w:basedOn w:val="1"/>
    <w:qFormat/>
    <w:uiPriority w:val="0"/>
    <w:pPr>
      <w:spacing w:line="360" w:lineRule="auto"/>
      <w:ind w:firstLine="472" w:firstLineChars="196"/>
    </w:pPr>
    <w:rPr>
      <w:rFonts w:ascii="宋体" w:hAnsi="宋体"/>
      <w:b/>
      <w:bCs/>
      <w:sz w:val="24"/>
    </w:rPr>
  </w:style>
  <w:style w:type="paragraph" w:customStyle="1" w:styleId="172">
    <w:name w:val="中标题"/>
    <w:basedOn w:val="2"/>
    <w:link w:val="173"/>
    <w:qFormat/>
    <w:uiPriority w:val="0"/>
    <w:pPr>
      <w:keepLines w:val="0"/>
      <w:tabs>
        <w:tab w:val="left" w:pos="960"/>
      </w:tabs>
      <w:adjustRightInd w:val="0"/>
      <w:snapToGrid w:val="0"/>
      <w:spacing w:before="0" w:after="0" w:line="600" w:lineRule="exact"/>
    </w:pPr>
    <w:rPr>
      <w:rFonts w:ascii="黑体" w:hAnsi="宋体"/>
      <w:b w:val="0"/>
      <w:bCs w:val="0"/>
      <w:sz w:val="30"/>
      <w:szCs w:val="24"/>
    </w:rPr>
  </w:style>
  <w:style w:type="character" w:customStyle="1" w:styleId="173">
    <w:name w:val="中标题 Char Char"/>
    <w:link w:val="172"/>
    <w:qFormat/>
    <w:uiPriority w:val="0"/>
    <w:rPr>
      <w:rFonts w:ascii="黑体" w:hAnsi="宋体" w:eastAsia="黑体"/>
      <w:kern w:val="2"/>
      <w:sz w:val="30"/>
      <w:szCs w:val="24"/>
    </w:rPr>
  </w:style>
  <w:style w:type="character" w:customStyle="1" w:styleId="174">
    <w:name w:val="unnamed1"/>
    <w:qFormat/>
    <w:uiPriority w:val="0"/>
  </w:style>
  <w:style w:type="paragraph" w:customStyle="1" w:styleId="175">
    <w:name w:val="正文 1"/>
    <w:basedOn w:val="1"/>
    <w:qFormat/>
    <w:uiPriority w:val="0"/>
    <w:pPr>
      <w:widowControl/>
      <w:adjustRightInd w:val="0"/>
      <w:snapToGrid w:val="0"/>
      <w:spacing w:before="30" w:after="30" w:line="300" w:lineRule="auto"/>
      <w:ind w:left="680"/>
    </w:pPr>
    <w:rPr>
      <w:sz w:val="18"/>
      <w:szCs w:val="20"/>
    </w:rPr>
  </w:style>
  <w:style w:type="character" w:customStyle="1" w:styleId="176">
    <w:name w:val="标题 4 Char_0"/>
    <w:link w:val="177"/>
    <w:qFormat/>
    <w:uiPriority w:val="0"/>
    <w:rPr>
      <w:rFonts w:ascii="宋体" w:hAnsi="宋体"/>
      <w:b/>
      <w:sz w:val="28"/>
      <w:szCs w:val="28"/>
    </w:rPr>
  </w:style>
  <w:style w:type="paragraph" w:customStyle="1" w:styleId="177">
    <w:name w:val="标题 4_0"/>
    <w:basedOn w:val="178"/>
    <w:next w:val="179"/>
    <w:link w:val="176"/>
    <w:qFormat/>
    <w:uiPriority w:val="0"/>
    <w:pPr>
      <w:outlineLvl w:val="3"/>
    </w:pPr>
    <w:rPr>
      <w:kern w:val="0"/>
      <w:lang w:val="en-US"/>
    </w:rPr>
  </w:style>
  <w:style w:type="paragraph" w:customStyle="1" w:styleId="178">
    <w:name w:val="标题 3_0"/>
    <w:basedOn w:val="179"/>
    <w:next w:val="179"/>
    <w:link w:val="180"/>
    <w:qFormat/>
    <w:uiPriority w:val="0"/>
    <w:pPr>
      <w:autoSpaceDE w:val="0"/>
      <w:autoSpaceDN w:val="0"/>
      <w:adjustRightInd w:val="0"/>
      <w:spacing w:line="500" w:lineRule="exact"/>
      <w:jc w:val="center"/>
      <w:outlineLvl w:val="2"/>
    </w:pPr>
    <w:rPr>
      <w:rFonts w:ascii="宋体" w:hAnsi="宋体"/>
      <w:b/>
      <w:szCs w:val="28"/>
      <w:lang w:val="zh-CN"/>
    </w:rPr>
  </w:style>
  <w:style w:type="paragraph" w:customStyle="1" w:styleId="179">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80">
    <w:name w:val="标题 3 Char_0"/>
    <w:link w:val="178"/>
    <w:qFormat/>
    <w:uiPriority w:val="0"/>
    <w:rPr>
      <w:rFonts w:ascii="宋体" w:hAnsi="宋体"/>
      <w:b/>
      <w:kern w:val="2"/>
      <w:sz w:val="28"/>
      <w:szCs w:val="28"/>
      <w:lang w:val="zh-CN"/>
    </w:rPr>
  </w:style>
  <w:style w:type="character" w:customStyle="1" w:styleId="181">
    <w:name w:val="font31"/>
    <w:qFormat/>
    <w:uiPriority w:val="0"/>
    <w:rPr>
      <w:rFonts w:hint="eastAsia" w:ascii="宋体" w:hAnsi="宋体" w:eastAsia="宋体" w:cs="宋体"/>
      <w:color w:val="000000"/>
      <w:sz w:val="20"/>
      <w:szCs w:val="20"/>
      <w:u w:val="none"/>
    </w:rPr>
  </w:style>
  <w:style w:type="character" w:customStyle="1" w:styleId="182">
    <w:name w:val="需求样式 Char"/>
    <w:link w:val="183"/>
    <w:qFormat/>
    <w:uiPriority w:val="0"/>
    <w:rPr>
      <w:b/>
      <w:bCs/>
      <w:kern w:val="44"/>
      <w:sz w:val="32"/>
      <w:szCs w:val="28"/>
      <w:lang w:val="zh-CN"/>
    </w:rPr>
  </w:style>
  <w:style w:type="paragraph" w:customStyle="1" w:styleId="183">
    <w:name w:val="需求样式"/>
    <w:basedOn w:val="3"/>
    <w:link w:val="182"/>
    <w:qFormat/>
    <w:uiPriority w:val="0"/>
    <w:pPr>
      <w:pageBreakBefore/>
      <w:spacing w:before="120" w:after="120" w:line="360" w:lineRule="auto"/>
      <w:ind w:left="425" w:hanging="425"/>
    </w:pPr>
    <w:rPr>
      <w:sz w:val="32"/>
      <w:szCs w:val="28"/>
      <w:lang w:val="zh-CN"/>
    </w:rPr>
  </w:style>
  <w:style w:type="character" w:customStyle="1" w:styleId="184">
    <w:name w:val="正文缩进 Char_0"/>
    <w:link w:val="185"/>
    <w:qFormat/>
    <w:uiPriority w:val="0"/>
    <w:rPr>
      <w:rFonts w:ascii="Calibri" w:hAnsi="Calibri"/>
    </w:rPr>
  </w:style>
  <w:style w:type="paragraph" w:customStyle="1" w:styleId="185">
    <w:name w:val="正文缩进_1"/>
    <w:basedOn w:val="186"/>
    <w:link w:val="184"/>
    <w:unhideWhenUsed/>
    <w:qFormat/>
    <w:uiPriority w:val="0"/>
    <w:pPr>
      <w:ind w:firstLine="420" w:firstLineChars="200"/>
    </w:pPr>
    <w:rPr>
      <w:kern w:val="0"/>
      <w:sz w:val="20"/>
      <w:szCs w:val="20"/>
    </w:rPr>
  </w:style>
  <w:style w:type="paragraph" w:customStyle="1" w:styleId="186">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87">
    <w:name w:val="case31"/>
    <w:qFormat/>
    <w:uiPriority w:val="0"/>
    <w:rPr>
      <w:rFonts w:hint="default"/>
      <w:spacing w:val="390"/>
      <w:sz w:val="21"/>
      <w:szCs w:val="21"/>
    </w:rPr>
  </w:style>
  <w:style w:type="character" w:customStyle="1" w:styleId="188">
    <w:name w:val="标题 2 Char_0"/>
    <w:link w:val="189"/>
    <w:qFormat/>
    <w:uiPriority w:val="1"/>
    <w:rPr>
      <w:rFonts w:ascii="仿宋_GB2312" w:hAnsi="宋体"/>
      <w:sz w:val="28"/>
      <w:szCs w:val="32"/>
    </w:rPr>
  </w:style>
  <w:style w:type="paragraph" w:customStyle="1" w:styleId="189">
    <w:name w:val="标题 2_0"/>
    <w:basedOn w:val="190"/>
    <w:next w:val="191"/>
    <w:link w:val="188"/>
    <w:qFormat/>
    <w:locked/>
    <w:uiPriority w:val="1"/>
    <w:pPr>
      <w:keepNext/>
      <w:keepLines/>
      <w:spacing w:before="260" w:after="260" w:line="500" w:lineRule="exact"/>
      <w:ind w:firstLine="0" w:firstLineChars="0"/>
      <w:contextualSpacing/>
      <w:jc w:val="left"/>
      <w:outlineLvl w:val="1"/>
    </w:pPr>
    <w:rPr>
      <w:rFonts w:ascii="仿宋_GB2312" w:hAnsi="宋体"/>
      <w:kern w:val="0"/>
      <w:szCs w:val="32"/>
    </w:rPr>
  </w:style>
  <w:style w:type="paragraph" w:customStyle="1" w:styleId="190">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191">
    <w:name w:val="正文缩进_0"/>
    <w:basedOn w:val="190"/>
    <w:unhideWhenUsed/>
    <w:qFormat/>
    <w:uiPriority w:val="99"/>
    <w:pPr>
      <w:ind w:firstLine="420"/>
    </w:pPr>
  </w:style>
  <w:style w:type="character" w:customStyle="1" w:styleId="192">
    <w:name w:val="批注主题 Char1"/>
    <w:qFormat/>
    <w:uiPriority w:val="0"/>
    <w:rPr>
      <w:rFonts w:ascii="Calibri" w:hAnsi="Calibri"/>
      <w:b/>
      <w:bCs/>
      <w:kern w:val="2"/>
      <w:sz w:val="21"/>
      <w:szCs w:val="22"/>
    </w:rPr>
  </w:style>
  <w:style w:type="character" w:customStyle="1" w:styleId="193">
    <w:name w:val="标题 4 Char_0_0"/>
    <w:link w:val="194"/>
    <w:qFormat/>
    <w:uiPriority w:val="0"/>
    <w:rPr>
      <w:rFonts w:ascii="宋体" w:hAnsi="宋体"/>
      <w:b/>
      <w:sz w:val="28"/>
      <w:szCs w:val="28"/>
    </w:rPr>
  </w:style>
  <w:style w:type="paragraph" w:customStyle="1" w:styleId="194">
    <w:name w:val="标题 4_0_0"/>
    <w:basedOn w:val="195"/>
    <w:next w:val="196"/>
    <w:link w:val="193"/>
    <w:qFormat/>
    <w:uiPriority w:val="0"/>
    <w:pPr>
      <w:spacing w:after="240"/>
      <w:outlineLvl w:val="3"/>
    </w:pPr>
    <w:rPr>
      <w:kern w:val="0"/>
      <w:lang w:val="en-US"/>
    </w:rPr>
  </w:style>
  <w:style w:type="paragraph" w:customStyle="1" w:styleId="195">
    <w:name w:val="标题 3_1"/>
    <w:basedOn w:val="196"/>
    <w:next w:val="196"/>
    <w:link w:val="197"/>
    <w:qFormat/>
    <w:uiPriority w:val="0"/>
    <w:pPr>
      <w:autoSpaceDE w:val="0"/>
      <w:autoSpaceDN w:val="0"/>
      <w:adjustRightInd w:val="0"/>
      <w:spacing w:line="500" w:lineRule="exact"/>
      <w:jc w:val="center"/>
      <w:outlineLvl w:val="2"/>
    </w:pPr>
    <w:rPr>
      <w:rFonts w:ascii="宋体" w:hAnsi="宋体"/>
      <w:b/>
      <w:szCs w:val="28"/>
      <w:lang w:val="zh-CN"/>
    </w:rPr>
  </w:style>
  <w:style w:type="paragraph" w:customStyle="1" w:styleId="196">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97">
    <w:name w:val="标题 3 Char_1"/>
    <w:link w:val="195"/>
    <w:qFormat/>
    <w:uiPriority w:val="0"/>
    <w:rPr>
      <w:rFonts w:ascii="宋体" w:hAnsi="宋体"/>
      <w:b/>
      <w:kern w:val="2"/>
      <w:sz w:val="28"/>
      <w:szCs w:val="28"/>
      <w:lang w:val="zh-CN"/>
    </w:rPr>
  </w:style>
  <w:style w:type="character" w:customStyle="1" w:styleId="198">
    <w:name w:val="标题 2 Char_0_0"/>
    <w:link w:val="199"/>
    <w:qFormat/>
    <w:uiPriority w:val="0"/>
    <w:rPr>
      <w:rFonts w:ascii="宋体" w:hAnsi="宋体"/>
      <w:b/>
      <w:sz w:val="28"/>
      <w:szCs w:val="28"/>
    </w:rPr>
  </w:style>
  <w:style w:type="paragraph" w:customStyle="1" w:styleId="199">
    <w:name w:val="标题 2_0_0"/>
    <w:basedOn w:val="194"/>
    <w:next w:val="200"/>
    <w:link w:val="198"/>
    <w:qFormat/>
    <w:uiPriority w:val="0"/>
    <w:pPr>
      <w:outlineLvl w:val="1"/>
    </w:pPr>
  </w:style>
  <w:style w:type="paragraph" w:customStyle="1" w:styleId="200">
    <w:name w:val="正文缩进_0_0"/>
    <w:basedOn w:val="196"/>
    <w:link w:val="201"/>
    <w:unhideWhenUsed/>
    <w:qFormat/>
    <w:uiPriority w:val="0"/>
    <w:pPr>
      <w:ind w:firstLine="420" w:firstLineChars="200"/>
    </w:pPr>
    <w:rPr>
      <w:kern w:val="0"/>
      <w:sz w:val="20"/>
      <w:szCs w:val="20"/>
    </w:rPr>
  </w:style>
  <w:style w:type="character" w:customStyle="1" w:styleId="201">
    <w:name w:val="正文缩进 Char_0_0"/>
    <w:link w:val="200"/>
    <w:qFormat/>
    <w:uiPriority w:val="0"/>
    <w:rPr>
      <w:rFonts w:ascii="Calibri" w:hAnsi="Calibri"/>
    </w:rPr>
  </w:style>
  <w:style w:type="character" w:customStyle="1" w:styleId="202">
    <w:name w:val="font51"/>
    <w:qFormat/>
    <w:uiPriority w:val="0"/>
    <w:rPr>
      <w:rFonts w:hint="default" w:ascii="Times New Roman" w:hAnsi="Times New Roman" w:cs="Times New Roman"/>
      <w:color w:val="000000"/>
      <w:sz w:val="20"/>
      <w:szCs w:val="20"/>
      <w:u w:val="none"/>
    </w:rPr>
  </w:style>
  <w:style w:type="character" w:customStyle="1" w:styleId="203">
    <w:name w:val="标题 2 Char_1"/>
    <w:link w:val="204"/>
    <w:qFormat/>
    <w:uiPriority w:val="0"/>
    <w:rPr>
      <w:rFonts w:ascii="宋体" w:hAnsi="宋体"/>
      <w:b/>
      <w:sz w:val="28"/>
      <w:szCs w:val="28"/>
    </w:rPr>
  </w:style>
  <w:style w:type="paragraph" w:customStyle="1" w:styleId="204">
    <w:name w:val="标题 2_1"/>
    <w:basedOn w:val="177"/>
    <w:next w:val="205"/>
    <w:link w:val="203"/>
    <w:qFormat/>
    <w:uiPriority w:val="0"/>
    <w:pPr>
      <w:outlineLvl w:val="1"/>
    </w:pPr>
  </w:style>
  <w:style w:type="paragraph" w:customStyle="1" w:styleId="205">
    <w:name w:val="正文缩进_2"/>
    <w:basedOn w:val="179"/>
    <w:link w:val="206"/>
    <w:unhideWhenUsed/>
    <w:qFormat/>
    <w:uiPriority w:val="0"/>
    <w:pPr>
      <w:ind w:firstLine="420" w:firstLineChars="200"/>
    </w:pPr>
    <w:rPr>
      <w:kern w:val="0"/>
      <w:sz w:val="20"/>
      <w:szCs w:val="20"/>
    </w:rPr>
  </w:style>
  <w:style w:type="character" w:customStyle="1" w:styleId="206">
    <w:name w:val="正文缩进 Char_1"/>
    <w:link w:val="205"/>
    <w:qFormat/>
    <w:uiPriority w:val="0"/>
    <w:rPr>
      <w:rFonts w:ascii="Calibri" w:hAnsi="Calibri"/>
    </w:rPr>
  </w:style>
  <w:style w:type="character" w:customStyle="1" w:styleId="207">
    <w:name w:val="正文文本缩进 Char2"/>
    <w:qFormat/>
    <w:uiPriority w:val="99"/>
    <w:rPr>
      <w:rFonts w:ascii="仿宋_GB2312" w:eastAsia="仿宋_GB2312"/>
      <w:kern w:val="2"/>
      <w:sz w:val="32"/>
    </w:rPr>
  </w:style>
  <w:style w:type="character" w:customStyle="1" w:styleId="208">
    <w:name w:val="标题 3 Char_0_0"/>
    <w:link w:val="209"/>
    <w:qFormat/>
    <w:uiPriority w:val="0"/>
    <w:rPr>
      <w:rFonts w:ascii="宋体" w:hAnsi="宋体"/>
      <w:b/>
      <w:sz w:val="28"/>
      <w:szCs w:val="28"/>
    </w:rPr>
  </w:style>
  <w:style w:type="paragraph" w:customStyle="1" w:styleId="209">
    <w:name w:val="标题 3_0_0"/>
    <w:basedOn w:val="210"/>
    <w:next w:val="210"/>
    <w:link w:val="20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210">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211">
    <w:name w:val="标题 1 Char1"/>
    <w:qFormat/>
    <w:uiPriority w:val="9"/>
    <w:rPr>
      <w:rFonts w:ascii="Calibri" w:hAnsi="Calibri"/>
      <w:b/>
      <w:bCs/>
      <w:kern w:val="44"/>
      <w:sz w:val="44"/>
      <w:szCs w:val="44"/>
    </w:rPr>
  </w:style>
  <w:style w:type="character" w:customStyle="1" w:styleId="212">
    <w:name w:val="普通文字 Char Char2"/>
    <w:qFormat/>
    <w:uiPriority w:val="99"/>
    <w:rPr>
      <w:rFonts w:ascii="宋体" w:hAnsi="Courier New" w:cs="Courier New"/>
      <w:kern w:val="2"/>
      <w:sz w:val="21"/>
      <w:szCs w:val="21"/>
    </w:rPr>
  </w:style>
  <w:style w:type="character" w:customStyle="1" w:styleId="213">
    <w:name w:val="apple-converted-space"/>
    <w:qFormat/>
    <w:uiPriority w:val="0"/>
  </w:style>
  <w:style w:type="character" w:customStyle="1" w:styleId="214">
    <w:name w:val="纯文本 Char1_0"/>
    <w:link w:val="215"/>
    <w:qFormat/>
    <w:locked/>
    <w:uiPriority w:val="0"/>
    <w:rPr>
      <w:rFonts w:ascii="宋体" w:hAnsi="Courier New"/>
      <w:szCs w:val="21"/>
    </w:rPr>
  </w:style>
  <w:style w:type="paragraph" w:customStyle="1" w:styleId="215">
    <w:name w:val="纯文本_0"/>
    <w:basedOn w:val="216"/>
    <w:link w:val="214"/>
    <w:qFormat/>
    <w:uiPriority w:val="0"/>
    <w:rPr>
      <w:rFonts w:ascii="宋体" w:hAnsi="Courier New"/>
      <w:kern w:val="0"/>
      <w:sz w:val="20"/>
      <w:szCs w:val="21"/>
    </w:rPr>
  </w:style>
  <w:style w:type="paragraph" w:customStyle="1" w:styleId="2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目录 11"/>
    <w:basedOn w:val="1"/>
    <w:next w:val="1"/>
    <w:qFormat/>
    <w:uiPriority w:val="39"/>
    <w:pPr>
      <w:adjustRightInd w:val="0"/>
      <w:snapToGrid w:val="0"/>
      <w:ind w:left="1" w:leftChars="1"/>
      <w:textAlignment w:val="top"/>
    </w:pPr>
    <w:rPr>
      <w:rFonts w:ascii="Calibri" w:hAnsi="Calibri" w:eastAsia="Times New Roman"/>
      <w:b/>
      <w:snapToGrid w:val="0"/>
      <w:kern w:val="0"/>
      <w:sz w:val="28"/>
    </w:rPr>
  </w:style>
  <w:style w:type="paragraph" w:customStyle="1" w:styleId="218">
    <w:name w:val="目录 21"/>
    <w:basedOn w:val="1"/>
    <w:next w:val="1"/>
    <w:qFormat/>
    <w:uiPriority w:val="39"/>
    <w:pPr>
      <w:ind w:left="200" w:leftChars="200"/>
    </w:pPr>
    <w:rPr>
      <w:rFonts w:ascii="Calibri" w:hAnsi="Calibri" w:eastAsia="Times New Roman"/>
      <w:kern w:val="0"/>
      <w:sz w:val="28"/>
    </w:rPr>
  </w:style>
  <w:style w:type="paragraph" w:customStyle="1" w:styleId="219">
    <w:name w:val="目录 31"/>
    <w:basedOn w:val="1"/>
    <w:next w:val="1"/>
    <w:unhideWhenUsed/>
    <w:qFormat/>
    <w:uiPriority w:val="39"/>
    <w:pPr>
      <w:snapToGrid w:val="0"/>
      <w:ind w:left="200" w:leftChars="200"/>
      <w:jc w:val="left"/>
    </w:pPr>
    <w:rPr>
      <w:rFonts w:ascii="Calibri" w:hAnsi="Calibri" w:eastAsia="Times New Roman"/>
      <w:kern w:val="0"/>
      <w:sz w:val="28"/>
    </w:rPr>
  </w:style>
  <w:style w:type="paragraph" w:customStyle="1" w:styleId="220">
    <w:name w:val="列表段落1"/>
    <w:basedOn w:val="1"/>
    <w:qFormat/>
    <w:uiPriority w:val="0"/>
    <w:pPr>
      <w:ind w:firstLine="420" w:firstLineChars="200"/>
    </w:pPr>
    <w:rPr>
      <w:rFonts w:ascii="Calibri" w:hAnsi="Calibri" w:eastAsia="Times New Roman"/>
      <w:kern w:val="0"/>
      <w:sz w:val="24"/>
    </w:rPr>
  </w:style>
  <w:style w:type="paragraph" w:customStyle="1" w:styleId="221">
    <w:name w:val="TOC 标题1"/>
    <w:basedOn w:val="3"/>
    <w:next w:val="1"/>
    <w:qFormat/>
    <w:uiPriority w:val="39"/>
    <w:pPr>
      <w:pageBreakBefore/>
      <w:widowControl/>
      <w:spacing w:before="480" w:after="0" w:line="276" w:lineRule="auto"/>
      <w:ind w:left="420" w:hanging="420"/>
      <w:jc w:val="left"/>
      <w:outlineLvl w:val="9"/>
    </w:pPr>
    <w:rPr>
      <w:rFonts w:ascii="Cambria" w:hAnsi="Cambria"/>
      <w:bCs w:val="0"/>
      <w:color w:val="365F91"/>
      <w:kern w:val="0"/>
      <w:sz w:val="28"/>
    </w:rPr>
  </w:style>
  <w:style w:type="paragraph" w:customStyle="1" w:styleId="222">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23">
    <w:name w:val="正文1"/>
    <w:link w:val="224"/>
    <w:qFormat/>
    <w:uiPriority w:val="0"/>
    <w:rPr>
      <w:rFonts w:ascii="Calibri" w:hAnsi="Calibri" w:eastAsia="Times New Roman" w:cs="Times New Roman"/>
      <w:sz w:val="24"/>
      <w:szCs w:val="24"/>
      <w:lang w:val="en-US" w:eastAsia="zh-CN" w:bidi="ar-SA"/>
    </w:rPr>
  </w:style>
  <w:style w:type="character" w:customStyle="1" w:styleId="224">
    <w:name w:val="正文1[858D7CFB-ED40-4347-BF05-701D383B685F]"/>
    <w:link w:val="223"/>
    <w:qFormat/>
    <w:uiPriority w:val="0"/>
    <w:rPr>
      <w:rFonts w:ascii="Calibri" w:hAnsi="Calibri" w:eastAsia="Times New Roman"/>
      <w:sz w:val="24"/>
      <w:szCs w:val="24"/>
    </w:rPr>
  </w:style>
  <w:style w:type="paragraph" w:customStyle="1" w:styleId="225">
    <w:name w:val="样式1"/>
    <w:basedOn w:val="1"/>
    <w:qFormat/>
    <w:uiPriority w:val="0"/>
    <w:pPr>
      <w:tabs>
        <w:tab w:val="left" w:pos="709"/>
      </w:tabs>
      <w:adjustRightInd w:val="0"/>
      <w:ind w:left="709" w:hanging="709"/>
      <w:textAlignment w:val="baseline"/>
    </w:pPr>
    <w:rPr>
      <w:rFonts w:ascii="宋体" w:hAnsi="宋体" w:eastAsia="Times New Roman"/>
      <w:kern w:val="0"/>
      <w:sz w:val="24"/>
      <w:szCs w:val="21"/>
    </w:rPr>
  </w:style>
  <w:style w:type="character" w:customStyle="1" w:styleId="226">
    <w:name w:val="标题 字符1"/>
    <w:qFormat/>
    <w:uiPriority w:val="0"/>
    <w:rPr>
      <w:rFonts w:ascii="Arial" w:hAnsi="Arial" w:cs="Arial"/>
      <w:b/>
      <w:bCs/>
      <w:kern w:val="2"/>
      <w:sz w:val="32"/>
      <w:szCs w:val="32"/>
    </w:rPr>
  </w:style>
  <w:style w:type="character" w:customStyle="1" w:styleId="227">
    <w:name w:val="正文首行缩进 Char2"/>
    <w:basedOn w:val="95"/>
    <w:qFormat/>
    <w:uiPriority w:val="0"/>
    <w:rPr>
      <w:rFonts w:ascii="Times New Roman" w:hAnsi="Times New Roman" w:eastAsia="宋体" w:cs="Times New Roman"/>
      <w:kern w:val="2"/>
      <w:sz w:val="21"/>
      <w:szCs w:val="24"/>
      <w:lang w:val="en-US" w:eastAsia="zh-CN" w:bidi="ar-SA"/>
    </w:rPr>
  </w:style>
  <w:style w:type="character" w:customStyle="1" w:styleId="228">
    <w:name w:val="Char Char4"/>
    <w:qFormat/>
    <w:uiPriority w:val="0"/>
    <w:rPr>
      <w:rFonts w:eastAsia="宋体"/>
      <w:b/>
      <w:bCs/>
      <w:kern w:val="2"/>
      <w:sz w:val="32"/>
      <w:szCs w:val="32"/>
      <w:lang w:val="en-US" w:eastAsia="zh-CN" w:bidi="ar-SA"/>
    </w:rPr>
  </w:style>
  <w:style w:type="character" w:customStyle="1" w:styleId="229">
    <w:name w:val="font21"/>
    <w:qFormat/>
    <w:uiPriority w:val="0"/>
    <w:rPr>
      <w:rFonts w:hint="eastAsia" w:ascii="宋体" w:hAnsi="宋体" w:eastAsia="宋体"/>
      <w:b/>
      <w:bCs/>
      <w:color w:val="000000"/>
      <w:sz w:val="22"/>
      <w:szCs w:val="22"/>
      <w:u w:val="none"/>
    </w:rPr>
  </w:style>
  <w:style w:type="character" w:customStyle="1" w:styleId="230">
    <w:name w:val="font14"/>
    <w:qFormat/>
    <w:uiPriority w:val="0"/>
  </w:style>
  <w:style w:type="character" w:customStyle="1" w:styleId="231">
    <w:name w:val="unnamed31"/>
    <w:qFormat/>
    <w:uiPriority w:val="0"/>
    <w:rPr>
      <w:rFonts w:hint="eastAsia" w:ascii="宋体" w:hAnsi="宋体" w:eastAsia="宋体"/>
      <w:sz w:val="18"/>
      <w:szCs w:val="18"/>
    </w:rPr>
  </w:style>
  <w:style w:type="character" w:customStyle="1" w:styleId="232">
    <w:name w:val="Font Style17"/>
    <w:qFormat/>
    <w:uiPriority w:val="0"/>
    <w:rPr>
      <w:rFonts w:ascii="黑体" w:eastAsia="黑体" w:cs="黑体"/>
      <w:sz w:val="28"/>
      <w:szCs w:val="28"/>
    </w:rPr>
  </w:style>
  <w:style w:type="character" w:customStyle="1" w:styleId="233">
    <w:name w:val="font01"/>
    <w:qFormat/>
    <w:uiPriority w:val="0"/>
    <w:rPr>
      <w:rFonts w:hint="eastAsia" w:ascii="宋体" w:hAnsi="宋体" w:eastAsia="宋体" w:cs="宋体"/>
      <w:color w:val="000000"/>
      <w:sz w:val="20"/>
      <w:szCs w:val="20"/>
      <w:u w:val="none"/>
    </w:rPr>
  </w:style>
  <w:style w:type="character" w:customStyle="1" w:styleId="234">
    <w:name w:val="副标题 Char2"/>
    <w:qFormat/>
    <w:uiPriority w:val="11"/>
    <w:rPr>
      <w:rFonts w:ascii="Calibri Light" w:hAnsi="Calibri Light" w:cs="Times New Roman"/>
      <w:b/>
      <w:bCs/>
      <w:kern w:val="28"/>
      <w:sz w:val="32"/>
      <w:szCs w:val="32"/>
    </w:rPr>
  </w:style>
  <w:style w:type="character" w:customStyle="1" w:styleId="235">
    <w:name w:val="表格样式居左 Char Char"/>
    <w:link w:val="236"/>
    <w:qFormat/>
    <w:uiPriority w:val="0"/>
    <w:rPr>
      <w:rFonts w:eastAsia="仿宋_GB2312"/>
      <w:bCs/>
      <w:szCs w:val="44"/>
    </w:rPr>
  </w:style>
  <w:style w:type="paragraph" w:customStyle="1" w:styleId="236">
    <w:name w:val="表格样式居左"/>
    <w:link w:val="235"/>
    <w:qFormat/>
    <w:uiPriority w:val="0"/>
    <w:pPr>
      <w:adjustRightInd w:val="0"/>
      <w:snapToGrid w:val="0"/>
    </w:pPr>
    <w:rPr>
      <w:rFonts w:ascii="Times New Roman" w:hAnsi="Times New Roman" w:eastAsia="仿宋_GB2312" w:cs="Times New Roman"/>
      <w:bCs/>
      <w:szCs w:val="44"/>
      <w:lang w:val="en-US" w:eastAsia="zh-CN" w:bidi="ar-SA"/>
    </w:rPr>
  </w:style>
  <w:style w:type="character" w:customStyle="1" w:styleId="237">
    <w:name w:val="H1 Char"/>
    <w:qFormat/>
    <w:uiPriority w:val="0"/>
    <w:rPr>
      <w:rFonts w:eastAsia="宋体"/>
      <w:b/>
      <w:iCs/>
      <w:kern w:val="28"/>
      <w:sz w:val="28"/>
      <w:lang w:val="en-US" w:eastAsia="zh-CN" w:bidi="ar-SA"/>
    </w:rPr>
  </w:style>
  <w:style w:type="character" w:customStyle="1" w:styleId="238">
    <w:name w:val="z正文 Char Char"/>
    <w:link w:val="239"/>
    <w:qFormat/>
    <w:uiPriority w:val="0"/>
    <w:rPr>
      <w:rFonts w:eastAsia="仿宋_GB2312" w:cs="宋体"/>
      <w:sz w:val="28"/>
    </w:rPr>
  </w:style>
  <w:style w:type="paragraph" w:customStyle="1" w:styleId="239">
    <w:name w:val="z正文"/>
    <w:basedOn w:val="1"/>
    <w:link w:val="238"/>
    <w:qFormat/>
    <w:uiPriority w:val="0"/>
    <w:pPr>
      <w:ind w:firstLine="560" w:firstLineChars="200"/>
    </w:pPr>
    <w:rPr>
      <w:rFonts w:eastAsia="仿宋_GB2312" w:cs="宋体"/>
      <w:kern w:val="0"/>
      <w:sz w:val="28"/>
      <w:szCs w:val="20"/>
    </w:rPr>
  </w:style>
  <w:style w:type="character" w:customStyle="1" w:styleId="240">
    <w:name w:val="页脚 Char Char"/>
    <w:qFormat/>
    <w:uiPriority w:val="0"/>
    <w:rPr>
      <w:rFonts w:eastAsia="宋体"/>
      <w:kern w:val="2"/>
      <w:sz w:val="18"/>
      <w:szCs w:val="18"/>
      <w:lang w:val="en-US" w:eastAsia="zh-CN" w:bidi="ar-SA"/>
    </w:rPr>
  </w:style>
  <w:style w:type="character" w:customStyle="1" w:styleId="241">
    <w:name w:val="纯文本 Char Char"/>
    <w:qFormat/>
    <w:uiPriority w:val="99"/>
    <w:rPr>
      <w:rFonts w:ascii="宋体" w:hAnsi="Courier New" w:eastAsia="宋体" w:cs="Courier New"/>
      <w:kern w:val="2"/>
      <w:sz w:val="21"/>
      <w:szCs w:val="21"/>
      <w:lang w:val="en-US" w:eastAsia="zh-CN" w:bidi="ar-SA"/>
    </w:rPr>
  </w:style>
  <w:style w:type="character" w:customStyle="1" w:styleId="242">
    <w:name w:val="正文首行缩进 2 Char1"/>
    <w:qFormat/>
    <w:uiPriority w:val="99"/>
  </w:style>
  <w:style w:type="character" w:customStyle="1" w:styleId="243">
    <w:name w:val="apple-style-span"/>
    <w:qFormat/>
    <w:uiPriority w:val="0"/>
  </w:style>
  <w:style w:type="character" w:customStyle="1" w:styleId="244">
    <w:name w:val="A13"/>
    <w:qFormat/>
    <w:uiPriority w:val="0"/>
    <w:rPr>
      <w:rFonts w:ascii="Univers LT Std 45 Light" w:eastAsia="Univers LT Std 45 Light" w:cs="Univers LT Std 45 Light"/>
      <w:color w:val="221E1F"/>
      <w:sz w:val="10"/>
      <w:szCs w:val="10"/>
    </w:rPr>
  </w:style>
  <w:style w:type="character" w:customStyle="1" w:styleId="245">
    <w:name w:val="正文文本 Char1"/>
    <w:qFormat/>
    <w:uiPriority w:val="0"/>
    <w:rPr>
      <w:kern w:val="2"/>
      <w:sz w:val="21"/>
    </w:rPr>
  </w:style>
  <w:style w:type="character" w:customStyle="1" w:styleId="246">
    <w:name w:val="段落 Char1"/>
    <w:link w:val="247"/>
    <w:qFormat/>
    <w:uiPriority w:val="0"/>
    <w:rPr>
      <w:rFonts w:eastAsia="仿宋_GB2312"/>
      <w:sz w:val="24"/>
      <w:szCs w:val="24"/>
    </w:rPr>
  </w:style>
  <w:style w:type="paragraph" w:customStyle="1" w:styleId="247">
    <w:name w:val="段落"/>
    <w:link w:val="24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248">
    <w:name w:val="style31"/>
    <w:qFormat/>
    <w:uiPriority w:val="0"/>
    <w:rPr>
      <w:sz w:val="18"/>
      <w:szCs w:val="18"/>
    </w:rPr>
  </w:style>
  <w:style w:type="character" w:customStyle="1" w:styleId="249">
    <w:name w:val="small"/>
    <w:qFormat/>
    <w:uiPriority w:val="0"/>
  </w:style>
  <w:style w:type="character" w:customStyle="1" w:styleId="250">
    <w:name w:val="jk1"/>
    <w:qFormat/>
    <w:uiPriority w:val="0"/>
  </w:style>
  <w:style w:type="character" w:customStyle="1" w:styleId="251">
    <w:name w:val="样式 宋体 五号"/>
    <w:qFormat/>
    <w:uiPriority w:val="0"/>
    <w:rPr>
      <w:rFonts w:ascii="宋体" w:hAnsi="宋体"/>
      <w:sz w:val="24"/>
    </w:rPr>
  </w:style>
  <w:style w:type="character" w:customStyle="1" w:styleId="252">
    <w:name w:val="Char Char6"/>
    <w:qFormat/>
    <w:uiPriority w:val="0"/>
    <w:rPr>
      <w:rFonts w:eastAsia="宋体"/>
      <w:b/>
      <w:bCs/>
      <w:kern w:val="44"/>
      <w:sz w:val="44"/>
      <w:szCs w:val="44"/>
      <w:lang w:val="en-US" w:eastAsia="zh-CN" w:bidi="ar-SA"/>
    </w:rPr>
  </w:style>
  <w:style w:type="character" w:customStyle="1" w:styleId="253">
    <w:name w:val="Char Char5"/>
    <w:qFormat/>
    <w:uiPriority w:val="0"/>
    <w:rPr>
      <w:rFonts w:ascii="Arial" w:hAnsi="Arial" w:eastAsia="黑体"/>
      <w:b/>
      <w:bCs/>
      <w:kern w:val="2"/>
      <w:sz w:val="32"/>
      <w:szCs w:val="32"/>
      <w:lang w:val="en-US" w:eastAsia="zh-CN" w:bidi="ar-SA"/>
    </w:rPr>
  </w:style>
  <w:style w:type="character" w:customStyle="1" w:styleId="254">
    <w:name w:val="s25"/>
    <w:qFormat/>
    <w:uiPriority w:val="0"/>
    <w:rPr>
      <w:sz w:val="18"/>
      <w:szCs w:val="18"/>
    </w:rPr>
  </w:style>
  <w:style w:type="character" w:customStyle="1" w:styleId="255">
    <w:name w:val="reg"/>
    <w:qFormat/>
    <w:uiPriority w:val="0"/>
  </w:style>
  <w:style w:type="character" w:customStyle="1" w:styleId="256">
    <w:name w:val="正文样式 Char"/>
    <w:link w:val="257"/>
    <w:qFormat/>
    <w:uiPriority w:val="0"/>
    <w:rPr>
      <w:sz w:val="24"/>
      <w:szCs w:val="24"/>
    </w:rPr>
  </w:style>
  <w:style w:type="paragraph" w:customStyle="1" w:styleId="257">
    <w:name w:val="正文样式"/>
    <w:basedOn w:val="1"/>
    <w:link w:val="256"/>
    <w:qFormat/>
    <w:uiPriority w:val="0"/>
    <w:pPr>
      <w:spacing w:line="480" w:lineRule="exact"/>
      <w:ind w:firstLine="480" w:firstLineChars="200"/>
    </w:pPr>
    <w:rPr>
      <w:kern w:val="0"/>
      <w:sz w:val="24"/>
    </w:rPr>
  </w:style>
  <w:style w:type="character" w:customStyle="1" w:styleId="258">
    <w:name w:val="纯文本 Char3"/>
    <w:qFormat/>
    <w:uiPriority w:val="0"/>
    <w:rPr>
      <w:rFonts w:ascii="宋体" w:hAnsi="Courier New"/>
      <w:kern w:val="2"/>
      <w:sz w:val="21"/>
      <w:szCs w:val="24"/>
    </w:rPr>
  </w:style>
  <w:style w:type="character" w:customStyle="1" w:styleId="259">
    <w:name w:val="Character Style 1"/>
    <w:qFormat/>
    <w:uiPriority w:val="99"/>
    <w:rPr>
      <w:rFonts w:ascii="Arial" w:hAnsi="Arial" w:cs="Arial"/>
      <w:b/>
      <w:bCs/>
      <w:sz w:val="22"/>
      <w:szCs w:val="22"/>
    </w:rPr>
  </w:style>
  <w:style w:type="character" w:customStyle="1" w:styleId="260">
    <w:name w:val="表正文 Char1"/>
    <w:qFormat/>
    <w:uiPriority w:val="0"/>
    <w:rPr>
      <w:rFonts w:eastAsia="宋体"/>
      <w:kern w:val="2"/>
      <w:sz w:val="21"/>
      <w:szCs w:val="24"/>
      <w:lang w:val="en-US" w:eastAsia="zh-CN" w:bidi="ar-SA"/>
    </w:rPr>
  </w:style>
  <w:style w:type="character" w:customStyle="1" w:styleId="261">
    <w:name w:val="表格文字 Char Char"/>
    <w:link w:val="108"/>
    <w:qFormat/>
    <w:uiPriority w:val="0"/>
    <w:rPr>
      <w:sz w:val="21"/>
    </w:rPr>
  </w:style>
  <w:style w:type="character" w:customStyle="1" w:styleId="262">
    <w:name w:val="font11"/>
    <w:qFormat/>
    <w:uiPriority w:val="0"/>
    <w:rPr>
      <w:rFonts w:hint="eastAsia" w:ascii="宋体" w:hAnsi="宋体" w:eastAsia="宋体" w:cs="宋体"/>
      <w:color w:val="000000"/>
      <w:sz w:val="24"/>
      <w:szCs w:val="24"/>
      <w:u w:val="none"/>
    </w:rPr>
  </w:style>
  <w:style w:type="character" w:customStyle="1" w:styleId="263">
    <w:name w:val="正文缩进 Char"/>
    <w:qFormat/>
    <w:uiPriority w:val="0"/>
    <w:rPr>
      <w:rFonts w:eastAsia="宋体"/>
      <w:kern w:val="2"/>
      <w:sz w:val="21"/>
      <w:lang w:val="en-US" w:eastAsia="zh-CN" w:bidi="ar-SA"/>
    </w:rPr>
  </w:style>
  <w:style w:type="character" w:customStyle="1" w:styleId="264">
    <w:name w:val="正文缩进 Char Char"/>
    <w:qFormat/>
    <w:uiPriority w:val="0"/>
    <w:rPr>
      <w:rFonts w:eastAsia="宋体"/>
      <w:kern w:val="2"/>
      <w:sz w:val="21"/>
      <w:lang w:val="en-US" w:eastAsia="zh-CN" w:bidi="ar-SA"/>
    </w:rPr>
  </w:style>
  <w:style w:type="character" w:customStyle="1" w:styleId="265">
    <w:name w:val="Character Style 2"/>
    <w:qFormat/>
    <w:uiPriority w:val="99"/>
    <w:rPr>
      <w:sz w:val="20"/>
      <w:szCs w:val="20"/>
    </w:rPr>
  </w:style>
  <w:style w:type="character" w:customStyle="1" w:styleId="266">
    <w:name w:val="Char Char9"/>
    <w:qFormat/>
    <w:uiPriority w:val="0"/>
    <w:rPr>
      <w:rFonts w:ascii="Arial" w:hAnsi="Arial" w:eastAsia="黑体"/>
      <w:kern w:val="2"/>
      <w:sz w:val="32"/>
      <w:szCs w:val="32"/>
      <w:lang w:val="en-US" w:eastAsia="zh-CN" w:bidi="ar-SA"/>
    </w:rPr>
  </w:style>
  <w:style w:type="character" w:customStyle="1" w:styleId="267">
    <w:name w:val="HTML 预设格式 Char1"/>
    <w:qFormat/>
    <w:uiPriority w:val="99"/>
    <w:rPr>
      <w:rFonts w:ascii="Courier New" w:hAnsi="Courier New" w:cs="Courier New"/>
      <w:kern w:val="2"/>
    </w:rPr>
  </w:style>
  <w:style w:type="character" w:customStyle="1" w:styleId="268">
    <w:name w:val="font41"/>
    <w:qFormat/>
    <w:uiPriority w:val="0"/>
    <w:rPr>
      <w:rFonts w:hint="default" w:ascii="Arial" w:hAnsi="Arial" w:cs="Arial"/>
      <w:color w:val="000000"/>
      <w:sz w:val="22"/>
      <w:szCs w:val="22"/>
      <w:u w:val="none"/>
    </w:rPr>
  </w:style>
  <w:style w:type="character" w:customStyle="1" w:styleId="269">
    <w:name w:val="cjn1"/>
    <w:qFormat/>
    <w:uiPriority w:val="0"/>
    <w:rPr>
      <w:rFonts w:hint="eastAsia" w:ascii="宋体" w:hAnsi="宋体" w:eastAsia="宋体"/>
      <w:sz w:val="22"/>
      <w:szCs w:val="22"/>
      <w:u w:val="none"/>
    </w:rPr>
  </w:style>
  <w:style w:type="character" w:customStyle="1" w:styleId="270">
    <w:name w:val="norm10pt1"/>
    <w:qFormat/>
    <w:uiPriority w:val="0"/>
    <w:rPr>
      <w:sz w:val="20"/>
    </w:rPr>
  </w:style>
  <w:style w:type="character" w:customStyle="1" w:styleId="271">
    <w:name w:val="Char Char10"/>
    <w:qFormat/>
    <w:uiPriority w:val="0"/>
    <w:rPr>
      <w:rFonts w:eastAsia="宋体"/>
      <w:b/>
      <w:bCs/>
      <w:kern w:val="44"/>
      <w:sz w:val="44"/>
      <w:szCs w:val="44"/>
      <w:lang w:val="en-US" w:eastAsia="zh-CN" w:bidi="ar-SA"/>
    </w:rPr>
  </w:style>
  <w:style w:type="character" w:customStyle="1" w:styleId="272">
    <w:name w:val="p141"/>
    <w:qFormat/>
    <w:uiPriority w:val="0"/>
    <w:rPr>
      <w:sz w:val="21"/>
      <w:szCs w:val="21"/>
    </w:rPr>
  </w:style>
  <w:style w:type="character" w:customStyle="1" w:styleId="273">
    <w:name w:val="Char Char Char Char Char Char Char Char Char"/>
    <w:qFormat/>
    <w:uiPriority w:val="0"/>
    <w:rPr>
      <w:rFonts w:ascii="宋体" w:hAnsi="Courier New" w:eastAsia="宋体"/>
      <w:kern w:val="2"/>
      <w:sz w:val="21"/>
      <w:lang w:val="en-US" w:eastAsia="zh-CN" w:bidi="ar-SA"/>
    </w:rPr>
  </w:style>
  <w:style w:type="paragraph" w:customStyle="1" w:styleId="274">
    <w:name w:val="样式 标题 2H2h2Underrubrik1prop2标题 1.1Heading 2 HiddenHeading..."/>
    <w:basedOn w:val="2"/>
    <w:qFormat/>
    <w:uiPriority w:val="0"/>
    <w:pPr>
      <w:spacing w:line="300" w:lineRule="auto"/>
    </w:pPr>
    <w:rPr>
      <w:rFonts w:eastAsia="宋体"/>
      <w:kern w:val="0"/>
      <w:szCs w:val="20"/>
    </w:rPr>
  </w:style>
  <w:style w:type="paragraph" w:customStyle="1" w:styleId="275">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6">
    <w:name w:val="p0"/>
    <w:basedOn w:val="1"/>
    <w:qFormat/>
    <w:uiPriority w:val="0"/>
    <w:pPr>
      <w:widowControl/>
      <w:spacing w:line="360" w:lineRule="auto"/>
      <w:ind w:firstLine="425"/>
    </w:pPr>
    <w:rPr>
      <w:kern w:val="0"/>
      <w:szCs w:val="21"/>
    </w:rPr>
  </w:style>
  <w:style w:type="paragraph" w:customStyle="1" w:styleId="277">
    <w:name w:val="Pa10"/>
    <w:basedOn w:val="278"/>
    <w:next w:val="278"/>
    <w:qFormat/>
    <w:uiPriority w:val="0"/>
    <w:pPr>
      <w:spacing w:line="161" w:lineRule="atLeast"/>
    </w:pPr>
    <w:rPr>
      <w:rFonts w:cs="Times New Roman"/>
      <w:color w:val="auto"/>
    </w:rPr>
  </w:style>
  <w:style w:type="paragraph" w:customStyle="1" w:styleId="27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79">
    <w:name w:val="默认段落字体 Para Char"/>
    <w:basedOn w:val="1"/>
    <w:qFormat/>
    <w:uiPriority w:val="0"/>
    <w:rPr>
      <w:rFonts w:ascii="宋体" w:hAnsi="宋体"/>
      <w:b/>
      <w:sz w:val="28"/>
      <w:szCs w:val="28"/>
    </w:rPr>
  </w:style>
  <w:style w:type="paragraph" w:customStyle="1" w:styleId="280">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81">
    <w:name w:val="Figure Description"/>
    <w:basedOn w:val="1"/>
    <w:qFormat/>
    <w:uiPriority w:val="0"/>
    <w:pPr>
      <w:ind w:left="1701"/>
    </w:pPr>
    <w:rPr>
      <w:szCs w:val="20"/>
    </w:rPr>
  </w:style>
  <w:style w:type="paragraph" w:customStyle="1" w:styleId="282">
    <w:name w:val="Char Char Char Char Char Char Char Char Char Char"/>
    <w:basedOn w:val="1"/>
    <w:qFormat/>
    <w:uiPriority w:val="0"/>
  </w:style>
  <w:style w:type="paragraph" w:customStyle="1" w:styleId="2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4">
    <w:name w:val="文档正文"/>
    <w:basedOn w:val="1"/>
    <w:qFormat/>
    <w:uiPriority w:val="0"/>
    <w:pPr>
      <w:spacing w:line="360" w:lineRule="auto"/>
    </w:pPr>
    <w:rPr>
      <w:rFonts w:ascii="Arial" w:hAnsi="Arial" w:cs="Arial"/>
      <w:sz w:val="24"/>
    </w:rPr>
  </w:style>
  <w:style w:type="paragraph" w:customStyle="1" w:styleId="285">
    <w:name w:val="样式2"/>
    <w:basedOn w:val="48"/>
    <w:qFormat/>
    <w:uiPriority w:val="0"/>
    <w:pPr>
      <w:pBdr>
        <w:bottom w:val="none" w:color="auto" w:sz="0" w:space="0"/>
      </w:pBdr>
      <w:jc w:val="both"/>
    </w:pPr>
    <w:rPr>
      <w:rFonts w:ascii="Tahoma" w:hAnsi="Tahoma"/>
    </w:rPr>
  </w:style>
  <w:style w:type="paragraph" w:customStyle="1" w:styleId="2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7">
    <w:name w:val="列出段落11"/>
    <w:basedOn w:val="1"/>
    <w:qFormat/>
    <w:uiPriority w:val="34"/>
    <w:pPr>
      <w:ind w:firstLine="420" w:firstLineChars="200"/>
    </w:pPr>
    <w:rPr>
      <w:szCs w:val="22"/>
    </w:rPr>
  </w:style>
  <w:style w:type="paragraph" w:customStyle="1" w:styleId="2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289">
    <w:name w:val="纯文本1"/>
    <w:basedOn w:val="1"/>
    <w:qFormat/>
    <w:uiPriority w:val="0"/>
    <w:rPr>
      <w:rFonts w:hint="eastAsia" w:ascii="宋体" w:hAnsi="Courier New"/>
      <w:szCs w:val="20"/>
    </w:rPr>
  </w:style>
  <w:style w:type="paragraph" w:customStyle="1" w:styleId="290">
    <w:name w:val="Char Char Char Char Char Char Char Char1 Char Char Char Char"/>
    <w:basedOn w:val="1"/>
    <w:qFormat/>
    <w:uiPriority w:val="0"/>
    <w:pPr>
      <w:widowControl/>
      <w:spacing w:after="160" w:line="240" w:lineRule="exact"/>
      <w:jc w:val="left"/>
    </w:pPr>
    <w:rPr>
      <w:szCs w:val="20"/>
    </w:rPr>
  </w:style>
  <w:style w:type="paragraph" w:customStyle="1" w:styleId="291">
    <w:name w:val="D标4"/>
    <w:basedOn w:val="1"/>
    <w:next w:val="292"/>
    <w:qFormat/>
    <w:uiPriority w:val="0"/>
    <w:pPr>
      <w:tabs>
        <w:tab w:val="left" w:pos="390"/>
      </w:tabs>
      <w:autoSpaceDE w:val="0"/>
      <w:autoSpaceDN w:val="0"/>
      <w:adjustRightInd w:val="0"/>
      <w:spacing w:before="120" w:line="480" w:lineRule="atLeast"/>
      <w:ind w:left="562" w:hanging="420"/>
    </w:pPr>
    <w:rPr>
      <w:rFonts w:ascii="宋体"/>
      <w:kern w:val="0"/>
      <w:sz w:val="24"/>
      <w:szCs w:val="20"/>
    </w:rPr>
  </w:style>
  <w:style w:type="paragraph" w:customStyle="1" w:styleId="292">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293">
    <w:name w:val="文二"/>
    <w:basedOn w:val="1"/>
    <w:qFormat/>
    <w:uiPriority w:val="0"/>
    <w:pPr>
      <w:jc w:val="left"/>
    </w:pPr>
    <w:rPr>
      <w:rFonts w:ascii="宋体" w:hAnsi="宋体"/>
      <w:szCs w:val="21"/>
    </w:rPr>
  </w:style>
  <w:style w:type="paragraph" w:customStyle="1" w:styleId="294">
    <w:name w:val="CM9"/>
    <w:qFormat/>
    <w:uiPriority w:val="0"/>
    <w:pPr>
      <w:spacing w:line="408" w:lineRule="atLeast"/>
    </w:pPr>
    <w:rPr>
      <w:rFonts w:ascii="Times New Roman" w:hAnsi="Times New Roman" w:eastAsia="宋体" w:cs="Times New Roman"/>
      <w:sz w:val="21"/>
      <w:szCs w:val="22"/>
      <w:lang w:val="en-US" w:eastAsia="zh-CN" w:bidi="ar-SA"/>
    </w:rPr>
  </w:style>
  <w:style w:type="paragraph" w:customStyle="1" w:styleId="295">
    <w:name w:val="样式3"/>
    <w:basedOn w:val="47"/>
    <w:qFormat/>
    <w:uiPriority w:val="0"/>
    <w:rPr>
      <w:rFonts w:ascii="Tahoma" w:hAnsi="Tahoma"/>
      <w:szCs w:val="21"/>
    </w:rPr>
  </w:style>
  <w:style w:type="paragraph" w:customStyle="1" w:styleId="296">
    <w:name w:val="“目录”"/>
    <w:basedOn w:val="257"/>
    <w:qFormat/>
    <w:uiPriority w:val="0"/>
    <w:pPr>
      <w:ind w:firstLine="0" w:firstLineChars="0"/>
      <w:jc w:val="center"/>
    </w:pPr>
    <w:rPr>
      <w:b/>
      <w:sz w:val="44"/>
    </w:rPr>
  </w:style>
  <w:style w:type="paragraph" w:customStyle="1" w:styleId="297">
    <w:name w:val="1"/>
    <w:basedOn w:val="1"/>
    <w:qFormat/>
    <w:uiPriority w:val="0"/>
    <w:pPr>
      <w:widowControl/>
      <w:suppressAutoHyphens/>
      <w:spacing w:line="400" w:lineRule="exact"/>
      <w:ind w:firstLine="482"/>
    </w:pPr>
    <w:rPr>
      <w:kern w:val="24"/>
      <w:sz w:val="24"/>
      <w:szCs w:val="28"/>
    </w:rPr>
  </w:style>
  <w:style w:type="paragraph" w:customStyle="1" w:styleId="29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99">
    <w:name w:val="表格内容"/>
    <w:basedOn w:val="28"/>
    <w:qFormat/>
    <w:uiPriority w:val="0"/>
    <w:pPr>
      <w:suppressLineNumbers/>
      <w:suppressAutoHyphens/>
      <w:jc w:val="left"/>
    </w:pPr>
    <w:rPr>
      <w:kern w:val="0"/>
      <w:sz w:val="24"/>
    </w:rPr>
  </w:style>
  <w:style w:type="paragraph" w:customStyle="1" w:styleId="300">
    <w:name w:val="xl65"/>
    <w:basedOn w:val="1"/>
    <w:qFormat/>
    <w:uiPriority w:val="0"/>
    <w:pPr>
      <w:widowControl/>
      <w:spacing w:before="100" w:beforeAutospacing="1" w:after="100" w:afterAutospacing="1"/>
      <w:jc w:val="center"/>
      <w:textAlignment w:val="center"/>
    </w:pPr>
    <w:rPr>
      <w:rFonts w:hint="eastAsia" w:ascii="Arial Unicode MS" w:hAnsi="Arial Unicode MS" w:eastAsia="Arial Unicode MS"/>
      <w:b/>
      <w:bCs/>
      <w:kern w:val="0"/>
      <w:sz w:val="32"/>
      <w:szCs w:val="32"/>
    </w:rPr>
  </w:style>
  <w:style w:type="paragraph" w:customStyle="1" w:styleId="301">
    <w:name w:val="标准段落"/>
    <w:basedOn w:val="1"/>
    <w:qFormat/>
    <w:uiPriority w:val="0"/>
    <w:pPr>
      <w:topLinePunct/>
      <w:autoSpaceDE w:val="0"/>
      <w:autoSpaceDN w:val="0"/>
      <w:spacing w:line="0" w:lineRule="atLeast"/>
      <w:ind w:firstLine="562" w:firstLineChars="200"/>
    </w:pPr>
    <w:rPr>
      <w:rFonts w:eastAsia="仿宋_GB2312"/>
      <w:b/>
      <w:sz w:val="28"/>
      <w:lang w:bidi="th-TH"/>
    </w:rPr>
  </w:style>
  <w:style w:type="paragraph" w:customStyle="1" w:styleId="302">
    <w:name w:val="Table Description"/>
    <w:basedOn w:val="1"/>
    <w:qFormat/>
    <w:uiPriority w:val="0"/>
    <w:pPr>
      <w:ind w:left="1701"/>
    </w:pPr>
    <w:rPr>
      <w:szCs w:val="20"/>
    </w:rPr>
  </w:style>
  <w:style w:type="paragraph" w:customStyle="1" w:styleId="303">
    <w:name w:val="msoacetate"/>
    <w:basedOn w:val="1"/>
    <w:qFormat/>
    <w:uiPriority w:val="0"/>
    <w:rPr>
      <w:rFonts w:ascii="Tahoma" w:hAnsi="Tahoma"/>
      <w:sz w:val="18"/>
      <w:szCs w:val="18"/>
    </w:rPr>
  </w:style>
  <w:style w:type="paragraph" w:customStyle="1" w:styleId="304">
    <w:name w:val="Char Char Char Char Char Char Char Char Char Char11"/>
    <w:basedOn w:val="1"/>
    <w:qFormat/>
    <w:uiPriority w:val="0"/>
    <w:rPr>
      <w:rFonts w:ascii="Tahoma" w:hAnsi="Tahoma"/>
      <w:sz w:val="24"/>
      <w:szCs w:val="20"/>
    </w:rPr>
  </w:style>
  <w:style w:type="paragraph" w:customStyle="1" w:styleId="30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6">
    <w:name w:val="Char Char Char Char Char Char"/>
    <w:basedOn w:val="1"/>
    <w:qFormat/>
    <w:uiPriority w:val="0"/>
    <w:pPr>
      <w:widowControl/>
      <w:spacing w:line="400" w:lineRule="exact"/>
      <w:jc w:val="center"/>
    </w:pPr>
  </w:style>
  <w:style w:type="paragraph" w:customStyle="1" w:styleId="307">
    <w:name w:val="Pa9"/>
    <w:basedOn w:val="278"/>
    <w:next w:val="278"/>
    <w:qFormat/>
    <w:uiPriority w:val="0"/>
    <w:pPr>
      <w:spacing w:before="120" w:line="161" w:lineRule="atLeast"/>
    </w:pPr>
    <w:rPr>
      <w:rFonts w:cs="Times New Roman"/>
      <w:color w:val="auto"/>
    </w:rPr>
  </w:style>
  <w:style w:type="paragraph" w:customStyle="1" w:styleId="30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09">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310">
    <w:name w:val="font6"/>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311">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12">
    <w:name w:val="Char Char2 Char"/>
    <w:basedOn w:val="1"/>
    <w:qFormat/>
    <w:uiPriority w:val="0"/>
    <w:rPr>
      <w:rFonts w:ascii="宋体" w:hAnsi="宋体"/>
      <w:b/>
      <w:sz w:val="28"/>
      <w:szCs w:val="28"/>
    </w:rPr>
  </w:style>
  <w:style w:type="paragraph" w:customStyle="1" w:styleId="31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14">
    <w:name w:val="题注5"/>
    <w:basedOn w:val="1"/>
    <w:next w:val="19"/>
    <w:qFormat/>
    <w:uiPriority w:val="0"/>
    <w:pPr>
      <w:jc w:val="center"/>
    </w:pPr>
    <w:rPr>
      <w:b/>
      <w:color w:val="000000"/>
      <w:sz w:val="24"/>
      <w:szCs w:val="21"/>
    </w:rPr>
  </w:style>
  <w:style w:type="paragraph" w:customStyle="1" w:styleId="315">
    <w:name w:val="样式 正文首行缩进"/>
    <w:basedOn w:val="1"/>
    <w:qFormat/>
    <w:uiPriority w:val="0"/>
    <w:pPr>
      <w:widowControl/>
      <w:spacing w:line="400" w:lineRule="exact"/>
      <w:jc w:val="left"/>
    </w:pPr>
    <w:rPr>
      <w:rFonts w:ascii="Calibri" w:hAnsi="宋体"/>
      <w:kern w:val="24"/>
      <w:szCs w:val="20"/>
      <w:lang w:eastAsia="en-US"/>
    </w:rPr>
  </w:style>
  <w:style w:type="paragraph" w:customStyle="1" w:styleId="316">
    <w:name w:val="Char Char Char Char Char Char Char11"/>
    <w:basedOn w:val="1"/>
    <w:qFormat/>
    <w:uiPriority w:val="0"/>
    <w:pPr>
      <w:tabs>
        <w:tab w:val="left" w:pos="425"/>
      </w:tabs>
      <w:ind w:left="425" w:hanging="425"/>
    </w:pPr>
    <w:rPr>
      <w:rFonts w:eastAsia="仿宋_GB2312"/>
      <w:kern w:val="24"/>
      <w:sz w:val="24"/>
    </w:rPr>
  </w:style>
  <w:style w:type="paragraph" w:customStyle="1" w:styleId="317">
    <w:name w:val="_Style 1"/>
    <w:basedOn w:val="1"/>
    <w:qFormat/>
    <w:uiPriority w:val="0"/>
    <w:pPr>
      <w:widowControl/>
      <w:snapToGrid w:val="0"/>
      <w:spacing w:after="160" w:line="360" w:lineRule="auto"/>
      <w:jc w:val="left"/>
    </w:pPr>
    <w:rPr>
      <w:rFonts w:ascii="仿宋_GB2312" w:eastAsia="仿宋_GB2312"/>
      <w:b/>
      <w:sz w:val="32"/>
      <w:szCs w:val="32"/>
    </w:rPr>
  </w:style>
  <w:style w:type="paragraph" w:customStyle="1" w:styleId="3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20">
    <w:name w:val="Char Char3 Char Char"/>
    <w:basedOn w:val="1"/>
    <w:qFormat/>
    <w:uiPriority w:val="0"/>
    <w:rPr>
      <w:rFonts w:ascii="宋体" w:hAnsi="宋体"/>
      <w:b/>
      <w:sz w:val="28"/>
      <w:szCs w:val="28"/>
    </w:rPr>
  </w:style>
  <w:style w:type="paragraph" w:customStyle="1" w:styleId="321">
    <w:name w:val="Char3"/>
    <w:basedOn w:val="1"/>
    <w:qFormat/>
    <w:uiPriority w:val="0"/>
    <w:pPr>
      <w:widowControl/>
      <w:spacing w:after="160" w:line="240" w:lineRule="exact"/>
      <w:jc w:val="left"/>
    </w:pPr>
  </w:style>
  <w:style w:type="paragraph" w:customStyle="1" w:styleId="322">
    <w:name w:val="题注4"/>
    <w:basedOn w:val="1"/>
    <w:next w:val="19"/>
    <w:qFormat/>
    <w:uiPriority w:val="0"/>
    <w:pPr>
      <w:ind w:left="-132" w:leftChars="-64" w:right="-105" w:rightChars="-50" w:hanging="2"/>
      <w:jc w:val="center"/>
    </w:pPr>
    <w:rPr>
      <w:b/>
      <w:color w:val="FF0000"/>
      <w:szCs w:val="21"/>
      <w:lang w:val="en-GB"/>
    </w:rPr>
  </w:style>
  <w:style w:type="paragraph" w:customStyle="1" w:styleId="323">
    <w:name w:val="格式2"/>
    <w:basedOn w:val="2"/>
    <w:qFormat/>
    <w:uiPriority w:val="0"/>
    <w:pPr>
      <w:autoSpaceDE w:val="0"/>
      <w:autoSpaceDN w:val="0"/>
      <w:adjustRightInd w:val="0"/>
      <w:spacing w:line="416" w:lineRule="atLeast"/>
      <w:textAlignment w:val="baseline"/>
    </w:pPr>
    <w:rPr>
      <w:rFonts w:ascii="黑体" w:hAnsi="Times New Roman"/>
      <w:b w:val="0"/>
      <w:kern w:val="0"/>
      <w:sz w:val="30"/>
      <w:szCs w:val="20"/>
    </w:rPr>
  </w:style>
  <w:style w:type="paragraph" w:customStyle="1" w:styleId="324">
    <w:name w:val="正文缩进1"/>
    <w:basedOn w:val="1"/>
    <w:qFormat/>
    <w:uiPriority w:val="0"/>
    <w:pPr>
      <w:ind w:firstLine="420"/>
    </w:pPr>
    <w:rPr>
      <w:rFonts w:ascii="Tahoma" w:hAnsi="Tahoma"/>
      <w:sz w:val="24"/>
    </w:rPr>
  </w:style>
  <w:style w:type="paragraph" w:customStyle="1" w:styleId="325">
    <w:name w:val="xl42"/>
    <w:basedOn w:val="1"/>
    <w:qFormat/>
    <w:uiPriority w:val="0"/>
    <w:pPr>
      <w:widowControl/>
      <w:numPr>
        <w:ilvl w:val="0"/>
        <w:numId w:val="9"/>
      </w:numPr>
      <w:pBdr>
        <w:top w:val="single" w:color="auto" w:sz="4" w:space="0"/>
        <w:left w:val="single" w:color="auto" w:sz="4" w:space="0"/>
        <w:bottom w:val="single" w:color="auto" w:sz="4" w:space="0"/>
      </w:pBdr>
      <w:tabs>
        <w:tab w:val="left" w:pos="900"/>
      </w:tabs>
      <w:spacing w:before="100" w:beforeAutospacing="1" w:after="100" w:afterAutospacing="1"/>
      <w:ind w:left="0" w:firstLine="0"/>
      <w:jc w:val="left"/>
    </w:pPr>
    <w:rPr>
      <w:rFonts w:ascii="Arial Unicode MS" w:hAnsi="Arial Unicode MS" w:eastAsia="Arial Unicode MS"/>
      <w:kern w:val="0"/>
      <w:sz w:val="18"/>
      <w:szCs w:val="18"/>
    </w:rPr>
  </w:style>
  <w:style w:type="paragraph" w:customStyle="1" w:styleId="3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2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328">
    <w:name w:val="D标3"/>
    <w:basedOn w:val="4"/>
    <w:qFormat/>
    <w:uiPriority w:val="0"/>
    <w:pPr>
      <w:keepNext w:val="0"/>
      <w:keepLines w:val="0"/>
      <w:tabs>
        <w:tab w:val="left" w:pos="720"/>
      </w:tabs>
      <w:autoSpaceDE w:val="0"/>
      <w:autoSpaceDN w:val="0"/>
      <w:adjustRightInd w:val="0"/>
      <w:spacing w:before="120" w:after="0" w:line="480" w:lineRule="atLeast"/>
      <w:ind w:left="562" w:hanging="420" w:firstLineChars="0"/>
    </w:pPr>
    <w:rPr>
      <w:rFonts w:ascii="宋体" w:hAnsi="Times New Roman" w:eastAsia="宋体"/>
      <w:bCs w:val="0"/>
      <w:kern w:val="0"/>
      <w:sz w:val="24"/>
      <w:szCs w:val="20"/>
    </w:rPr>
  </w:style>
  <w:style w:type="paragraph" w:customStyle="1" w:styleId="329">
    <w:name w:val="12"/>
    <w:basedOn w:val="1"/>
    <w:qFormat/>
    <w:uiPriority w:val="0"/>
    <w:pPr>
      <w:spacing w:line="360" w:lineRule="auto"/>
      <w:ind w:firstLine="275" w:firstLineChars="98"/>
      <w:jc w:val="center"/>
    </w:pPr>
    <w:rPr>
      <w:rFonts w:ascii="宋体" w:hAnsi="宋体"/>
      <w:b/>
      <w:color w:val="000000"/>
      <w:sz w:val="28"/>
    </w:rPr>
  </w:style>
  <w:style w:type="paragraph" w:customStyle="1" w:styleId="330">
    <w:name w:val="列表段落2"/>
    <w:basedOn w:val="1"/>
    <w:qFormat/>
    <w:uiPriority w:val="0"/>
    <w:pPr>
      <w:ind w:firstLine="420" w:firstLineChars="200"/>
    </w:pPr>
    <w:rPr>
      <w:rFonts w:ascii="Calibri" w:hAnsi="Calibri" w:cs="Calibri"/>
      <w:szCs w:val="21"/>
    </w:rPr>
  </w:style>
  <w:style w:type="paragraph" w:customStyle="1" w:styleId="331">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样式 首行缩进:  2 字符"/>
    <w:basedOn w:val="1"/>
    <w:qFormat/>
    <w:uiPriority w:val="0"/>
    <w:pPr>
      <w:spacing w:line="400" w:lineRule="exact"/>
      <w:ind w:firstLine="200" w:firstLineChars="200"/>
    </w:pPr>
    <w:rPr>
      <w:rFonts w:cs="宋体"/>
      <w:sz w:val="24"/>
    </w:rPr>
  </w:style>
  <w:style w:type="paragraph" w:customStyle="1" w:styleId="333">
    <w:name w:val="D标1"/>
    <w:basedOn w:val="3"/>
    <w:next w:val="1"/>
    <w:qFormat/>
    <w:uiPriority w:val="0"/>
    <w:pPr>
      <w:keepLines w:val="0"/>
      <w:pageBreakBefore/>
      <w:widowControl/>
      <w:tabs>
        <w:tab w:val="left" w:pos="432"/>
      </w:tabs>
      <w:autoSpaceDE w:val="0"/>
      <w:autoSpaceDN w:val="0"/>
      <w:adjustRightInd w:val="0"/>
      <w:spacing w:before="360" w:after="240" w:line="315" w:lineRule="atLeast"/>
      <w:ind w:left="420" w:hanging="420"/>
    </w:pPr>
    <w:rPr>
      <w:rFonts w:ascii="黑体" w:eastAsia="黑体"/>
      <w:b w:val="0"/>
      <w:spacing w:val="-2"/>
      <w:kern w:val="0"/>
      <w:sz w:val="36"/>
      <w:szCs w:val="20"/>
    </w:rPr>
  </w:style>
  <w:style w:type="paragraph" w:customStyle="1" w:styleId="334">
    <w:name w:val="Char Char Char Char Char Char1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5">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336">
    <w:name w:val="标题 四 ＋ 宋体"/>
    <w:basedOn w:val="1"/>
    <w:qFormat/>
    <w:uiPriority w:val="0"/>
    <w:pPr>
      <w:numPr>
        <w:ilvl w:val="1"/>
        <w:numId w:val="10"/>
      </w:numPr>
      <w:tabs>
        <w:tab w:val="left" w:pos="360"/>
      </w:tabs>
      <w:spacing w:line="360" w:lineRule="auto"/>
    </w:pPr>
    <w:rPr>
      <w:i/>
      <w:sz w:val="24"/>
    </w:rPr>
  </w:style>
  <w:style w:type="paragraph" w:customStyle="1" w:styleId="33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339">
    <w:name w:val="样式5"/>
    <w:basedOn w:val="295"/>
    <w:qFormat/>
    <w:uiPriority w:val="0"/>
    <w:pPr>
      <w:pBdr>
        <w:top w:val="single" w:color="auto" w:sz="4" w:space="1"/>
      </w:pBdr>
      <w:tabs>
        <w:tab w:val="clear" w:pos="4153"/>
        <w:tab w:val="clear" w:pos="8306"/>
      </w:tabs>
    </w:pPr>
    <w:rPr>
      <w:rFonts w:ascii="仿宋" w:hAnsi="仿宋" w:eastAsia="仿宋"/>
      <w:sz w:val="21"/>
    </w:rPr>
  </w:style>
  <w:style w:type="paragraph" w:customStyle="1" w:styleId="340">
    <w:name w:val="xl39"/>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341">
    <w:name w:val="封面一级标题文字"/>
    <w:basedOn w:val="257"/>
    <w:qFormat/>
    <w:uiPriority w:val="0"/>
    <w:pPr>
      <w:spacing w:line="640" w:lineRule="exact"/>
      <w:ind w:firstLine="0" w:firstLineChars="0"/>
      <w:jc w:val="center"/>
    </w:pPr>
    <w:rPr>
      <w:rFonts w:ascii="黑体" w:hAnsi="黑体" w:eastAsia="黑体"/>
      <w:b/>
      <w:bCs/>
      <w:sz w:val="52"/>
    </w:rPr>
  </w:style>
  <w:style w:type="paragraph" w:customStyle="1" w:styleId="34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43">
    <w:name w:val="Char Char2"/>
    <w:basedOn w:val="1"/>
    <w:qFormat/>
    <w:uiPriority w:val="0"/>
    <w:rPr>
      <w:rFonts w:ascii="宋体" w:hAnsi="宋体"/>
      <w:b/>
      <w:sz w:val="28"/>
      <w:szCs w:val="28"/>
    </w:rPr>
  </w:style>
  <w:style w:type="paragraph" w:customStyle="1" w:styleId="344">
    <w:name w:val="样式6"/>
    <w:basedOn w:val="47"/>
    <w:qFormat/>
    <w:uiPriority w:val="0"/>
    <w:rPr>
      <w:rFonts w:ascii="Tahoma" w:hAnsi="Tahoma"/>
      <w:szCs w:val="21"/>
    </w:rPr>
  </w:style>
  <w:style w:type="paragraph" w:customStyle="1" w:styleId="345">
    <w:name w:val="样式4"/>
    <w:basedOn w:val="1"/>
    <w:qFormat/>
    <w:uiPriority w:val="0"/>
    <w:pPr>
      <w:tabs>
        <w:tab w:val="left" w:pos="1984"/>
      </w:tabs>
      <w:ind w:left="1984" w:hanging="708"/>
    </w:pPr>
  </w:style>
  <w:style w:type="paragraph" w:customStyle="1" w:styleId="34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7">
    <w:name w:val="正文2"/>
    <w:qFormat/>
    <w:uiPriority w:val="0"/>
    <w:rPr>
      <w:rFonts w:ascii="Times New Roman" w:hAnsi="Times New Roman" w:eastAsia="Times New Roman" w:cs="Times New Roman"/>
      <w:sz w:val="24"/>
      <w:szCs w:val="24"/>
      <w:lang w:val="en-US" w:eastAsia="zh-CN" w:bidi="ar-SA"/>
    </w:rPr>
  </w:style>
  <w:style w:type="paragraph" w:customStyle="1" w:styleId="34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默认段落字体 Para Char Char Char Char"/>
    <w:basedOn w:val="1"/>
    <w:qFormat/>
    <w:uiPriority w:val="0"/>
  </w:style>
  <w:style w:type="paragraph" w:customStyle="1" w:styleId="350">
    <w:name w:val="Char Char Char Char Char Char1 Char Char Char Char Char Char Char Char Char Char Char Char Char Char11"/>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3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352">
    <w:name w:val="正文首行缩进2"/>
    <w:qFormat/>
    <w:uiPriority w:val="0"/>
    <w:pPr>
      <w:spacing w:beforeLines="20" w:afterLines="20"/>
      <w:ind w:firstLine="420"/>
    </w:pPr>
    <w:rPr>
      <w:rFonts w:ascii="Times New Roman" w:hAnsi="Times New Roman" w:eastAsia="宋体" w:cs="宋体"/>
      <w:sz w:val="21"/>
      <w:szCs w:val="21"/>
      <w:lang w:val="en-US" w:eastAsia="zh-CN" w:bidi="ar-SA"/>
    </w:rPr>
  </w:style>
  <w:style w:type="paragraph" w:customStyle="1" w:styleId="35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54">
    <w:name w:val="Char Char Char1 Char Char Char Char Char Char Char Char Char Char"/>
    <w:basedOn w:val="1"/>
    <w:qFormat/>
    <w:uiPriority w:val="0"/>
    <w:rPr>
      <w:rFonts w:ascii="Tahoma" w:hAnsi="Tahoma"/>
      <w:sz w:val="24"/>
      <w:szCs w:val="20"/>
    </w:rPr>
  </w:style>
  <w:style w:type="paragraph" w:customStyle="1" w:styleId="3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56">
    <w:name w:val="正文段"/>
    <w:basedOn w:val="1"/>
    <w:qFormat/>
    <w:uiPriority w:val="0"/>
    <w:pPr>
      <w:widowControl/>
      <w:adjustRightInd w:val="0"/>
      <w:spacing w:after="240" w:line="240" w:lineRule="atLeast"/>
      <w:ind w:firstLine="454"/>
      <w:textAlignment w:val="bottom"/>
    </w:pPr>
    <w:rPr>
      <w:rFonts w:ascii="宋体"/>
      <w:kern w:val="0"/>
      <w:sz w:val="24"/>
      <w:szCs w:val="20"/>
    </w:rPr>
  </w:style>
  <w:style w:type="paragraph" w:customStyle="1" w:styleId="357">
    <w:name w:val="标题四"/>
    <w:basedOn w:val="5"/>
    <w:qFormat/>
    <w:uiPriority w:val="0"/>
    <w:pPr>
      <w:tabs>
        <w:tab w:val="left" w:pos="1680"/>
      </w:tabs>
      <w:spacing w:line="360" w:lineRule="auto"/>
    </w:pPr>
    <w:rPr>
      <w:b w:val="0"/>
      <w:bCs w:val="0"/>
      <w:sz w:val="24"/>
      <w:szCs w:val="20"/>
    </w:rPr>
  </w:style>
  <w:style w:type="paragraph" w:customStyle="1" w:styleId="358">
    <w:name w:val="864311119EDA4C3CB552E5C8CD7B48CA"/>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35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60">
    <w:name w:val="Pa6"/>
    <w:basedOn w:val="1"/>
    <w:next w:val="1"/>
    <w:qFormat/>
    <w:uiPriority w:val="0"/>
    <w:pPr>
      <w:autoSpaceDE w:val="0"/>
      <w:autoSpaceDN w:val="0"/>
      <w:adjustRightInd w:val="0"/>
      <w:spacing w:line="201" w:lineRule="atLeast"/>
      <w:jc w:val="left"/>
    </w:pPr>
    <w:rPr>
      <w:rFonts w:ascii="微软雅黑" w:eastAsia="微软雅黑"/>
      <w:kern w:val="0"/>
      <w:sz w:val="24"/>
    </w:rPr>
  </w:style>
  <w:style w:type="paragraph" w:customStyle="1" w:styleId="361">
    <w:name w:val="样式7"/>
    <w:basedOn w:val="48"/>
    <w:qFormat/>
    <w:uiPriority w:val="0"/>
    <w:pPr>
      <w:pBdr>
        <w:bottom w:val="none" w:color="auto" w:sz="0" w:space="0"/>
      </w:pBdr>
    </w:pPr>
    <w:rPr>
      <w:rFonts w:ascii="Tahoma" w:hAnsi="Tahoma"/>
    </w:rPr>
  </w:style>
  <w:style w:type="paragraph" w:customStyle="1" w:styleId="362">
    <w:name w:val="Zchn Zchn"/>
    <w:basedOn w:val="1"/>
    <w:qFormat/>
    <w:uiPriority w:val="0"/>
    <w:rPr>
      <w:rFonts w:ascii="Tahoma" w:hAnsi="Tahoma"/>
      <w:sz w:val="24"/>
      <w:szCs w:val="20"/>
    </w:rPr>
  </w:style>
  <w:style w:type="paragraph" w:customStyle="1" w:styleId="363">
    <w:name w:val="5"/>
    <w:basedOn w:val="1"/>
    <w:next w:val="39"/>
    <w:qFormat/>
    <w:uiPriority w:val="0"/>
    <w:pPr>
      <w:spacing w:line="360" w:lineRule="auto"/>
    </w:pPr>
    <w:rPr>
      <w:rFonts w:ascii="宋体" w:hAnsi="Courier New"/>
      <w:spacing w:val="-8"/>
      <w:sz w:val="24"/>
      <w:szCs w:val="20"/>
    </w:rPr>
  </w:style>
  <w:style w:type="paragraph" w:customStyle="1" w:styleId="3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65">
    <w:name w:val="Char2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6">
    <w:name w:val="办公自动化专用标题"/>
    <w:basedOn w:val="70"/>
    <w:qFormat/>
    <w:uiPriority w:val="0"/>
    <w:pPr>
      <w:adjustRightInd/>
      <w:spacing w:line="560" w:lineRule="atLeast"/>
      <w:textAlignment w:val="auto"/>
    </w:pPr>
    <w:rPr>
      <w:rFonts w:ascii="宋体"/>
      <w:kern w:val="2"/>
      <w:sz w:val="44"/>
    </w:rPr>
  </w:style>
  <w:style w:type="paragraph" w:customStyle="1" w:styleId="36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styleId="368">
    <w:name w:val="No Spacing"/>
    <w:link w:val="437"/>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6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70">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7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3">
    <w:name w:val="Char1"/>
    <w:basedOn w:val="22"/>
    <w:qFormat/>
    <w:uiPriority w:val="0"/>
    <w:rPr>
      <w:shd w:val="clear" w:color="auto" w:fill="000080"/>
    </w:rPr>
  </w:style>
  <w:style w:type="paragraph" w:customStyle="1" w:styleId="3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rPr>
  </w:style>
  <w:style w:type="paragraph" w:customStyle="1" w:styleId="375">
    <w:name w:val="Char Char2 Char11"/>
    <w:basedOn w:val="1"/>
    <w:qFormat/>
    <w:uiPriority w:val="0"/>
    <w:rPr>
      <w:rFonts w:ascii="宋体" w:hAnsi="宋体"/>
      <w:b/>
      <w:sz w:val="28"/>
      <w:szCs w:val="28"/>
    </w:rPr>
  </w:style>
  <w:style w:type="paragraph" w:customStyle="1" w:styleId="376">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7">
    <w:name w:val="Paragraph"/>
    <w:basedOn w:val="1"/>
    <w:qFormat/>
    <w:uiPriority w:val="0"/>
    <w:pPr>
      <w:keepNext/>
      <w:keepLines/>
      <w:tabs>
        <w:tab w:val="left" w:pos="0"/>
      </w:tabs>
      <w:spacing w:after="200"/>
      <w:jc w:val="left"/>
    </w:pPr>
    <w:rPr>
      <w:rFonts w:ascii="Book Antiqua" w:hAnsi="Book Antiqua"/>
      <w:snapToGrid w:val="0"/>
      <w:kern w:val="0"/>
      <w:sz w:val="20"/>
      <w:szCs w:val="20"/>
      <w:lang w:eastAsia="en-US"/>
    </w:rPr>
  </w:style>
  <w:style w:type="paragraph" w:customStyle="1" w:styleId="37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379">
    <w:name w:val="Char Char Char1 Char Char Char2 Char Char Char Char Char Char"/>
    <w:basedOn w:val="22"/>
    <w:qFormat/>
    <w:uiPriority w:val="0"/>
    <w:rPr>
      <w:rFonts w:ascii="Tahoma" w:hAnsi="Tahoma" w:cs="Tahoma"/>
      <w:kern w:val="0"/>
      <w:sz w:val="18"/>
      <w:shd w:val="clear" w:color="auto" w:fill="000080"/>
    </w:rPr>
  </w:style>
  <w:style w:type="paragraph" w:customStyle="1" w:styleId="380">
    <w:name w:val="D标2"/>
    <w:basedOn w:val="2"/>
    <w:qFormat/>
    <w:uiPriority w:val="0"/>
    <w:pPr>
      <w:keepLines w:val="0"/>
      <w:widowControl/>
      <w:numPr>
        <w:ilvl w:val="0"/>
        <w:numId w:val="11"/>
      </w:numPr>
      <w:tabs>
        <w:tab w:val="left" w:pos="720"/>
      </w:tabs>
      <w:autoSpaceDE w:val="0"/>
      <w:autoSpaceDN w:val="0"/>
      <w:adjustRightInd w:val="0"/>
      <w:spacing w:before="360" w:after="0" w:line="480" w:lineRule="exact"/>
      <w:jc w:val="left"/>
    </w:pPr>
    <w:rPr>
      <w:rFonts w:ascii="黑体" w:hAnsi="宋体"/>
      <w:bCs w:val="0"/>
      <w:kern w:val="0"/>
      <w:sz w:val="24"/>
      <w:szCs w:val="20"/>
    </w:rPr>
  </w:style>
  <w:style w:type="paragraph" w:customStyle="1" w:styleId="381">
    <w:name w:val="字元 字元 字元 字元 字元"/>
    <w:basedOn w:val="1"/>
    <w:qFormat/>
    <w:uiPriority w:val="0"/>
  </w:style>
  <w:style w:type="paragraph" w:customStyle="1" w:styleId="382">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383">
    <w:name w:val="Char1 Char Char Char"/>
    <w:basedOn w:val="1"/>
    <w:qFormat/>
    <w:uiPriority w:val="0"/>
    <w:rPr>
      <w:rFonts w:ascii="Tahoma" w:hAnsi="Tahoma"/>
      <w:sz w:val="24"/>
      <w:szCs w:val="20"/>
    </w:rPr>
  </w:style>
  <w:style w:type="paragraph" w:customStyle="1" w:styleId="384">
    <w:name w:val="ecxmsonormal"/>
    <w:basedOn w:val="1"/>
    <w:qFormat/>
    <w:uiPriority w:val="0"/>
    <w:pPr>
      <w:widowControl/>
      <w:spacing w:after="324"/>
      <w:jc w:val="left"/>
    </w:pPr>
    <w:rPr>
      <w:rFonts w:ascii="宋体" w:hAnsi="宋体" w:cs="宋体"/>
      <w:kern w:val="0"/>
      <w:sz w:val="24"/>
    </w:rPr>
  </w:style>
  <w:style w:type="paragraph" w:customStyle="1" w:styleId="38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大标题"/>
    <w:basedOn w:val="3"/>
    <w:qFormat/>
    <w:uiPriority w:val="0"/>
    <w:pPr>
      <w:keepLines w:val="0"/>
      <w:tabs>
        <w:tab w:val="left" w:pos="1260"/>
      </w:tabs>
      <w:adjustRightInd w:val="0"/>
      <w:snapToGrid w:val="0"/>
      <w:spacing w:before="0" w:after="0" w:line="600" w:lineRule="exact"/>
      <w:ind w:left="420" w:hanging="420"/>
      <w:jc w:val="both"/>
    </w:pPr>
    <w:rPr>
      <w:rFonts w:ascii="宋体" w:hAnsi="宋体" w:eastAsia="黑体"/>
      <w:bCs w:val="0"/>
      <w:spacing w:val="-2"/>
      <w:kern w:val="2"/>
      <w:sz w:val="36"/>
      <w:szCs w:val="24"/>
      <w:lang w:eastAsia="en-US"/>
    </w:rPr>
  </w:style>
  <w:style w:type="character" w:customStyle="1" w:styleId="387">
    <w:name w:val="已访问的超链接1"/>
    <w:unhideWhenUsed/>
    <w:qFormat/>
    <w:uiPriority w:val="99"/>
    <w:rPr>
      <w:color w:val="800080"/>
      <w:u w:val="single"/>
    </w:rPr>
  </w:style>
  <w:style w:type="paragraph" w:customStyle="1" w:styleId="388">
    <w:name w:val="TOC 标题11"/>
    <w:basedOn w:val="3"/>
    <w:next w:val="1"/>
    <w:qFormat/>
    <w:uiPriority w:val="39"/>
    <w:pPr>
      <w:pageBreakBefore/>
      <w:widowControl/>
      <w:spacing w:before="480" w:after="0" w:line="276" w:lineRule="auto"/>
      <w:ind w:left="420" w:hanging="420"/>
      <w:jc w:val="left"/>
      <w:outlineLvl w:val="9"/>
    </w:pPr>
    <w:rPr>
      <w:rFonts w:ascii="Cambria" w:hAnsi="Cambria"/>
      <w:bCs w:val="0"/>
      <w:color w:val="365F91"/>
      <w:kern w:val="0"/>
      <w:sz w:val="28"/>
    </w:rPr>
  </w:style>
  <w:style w:type="paragraph" w:customStyle="1" w:styleId="389">
    <w:name w:val="修订11"/>
    <w:qFormat/>
    <w:uiPriority w:val="99"/>
    <w:rPr>
      <w:rFonts w:ascii="Calibri" w:hAnsi="Calibri" w:eastAsia="宋体" w:cs="Times New Roman"/>
      <w:kern w:val="2"/>
      <w:sz w:val="21"/>
      <w:szCs w:val="22"/>
      <w:lang w:val="en-US" w:eastAsia="zh-CN" w:bidi="ar-SA"/>
    </w:rPr>
  </w:style>
  <w:style w:type="paragraph" w:customStyle="1" w:styleId="390">
    <w:name w:val="Char Char Char Char Char Char Char Char Char Char1"/>
    <w:basedOn w:val="1"/>
    <w:qFormat/>
    <w:uiPriority w:val="0"/>
    <w:rPr>
      <w:rFonts w:ascii="Tahoma" w:hAnsi="Tahoma"/>
      <w:sz w:val="24"/>
      <w:szCs w:val="20"/>
    </w:rPr>
  </w:style>
  <w:style w:type="paragraph" w:customStyle="1" w:styleId="391">
    <w:name w:val="Char Char Char Char Char Char Char1"/>
    <w:basedOn w:val="1"/>
    <w:qFormat/>
    <w:uiPriority w:val="0"/>
    <w:pPr>
      <w:tabs>
        <w:tab w:val="left" w:pos="425"/>
      </w:tabs>
      <w:ind w:left="425" w:hanging="425"/>
    </w:pPr>
    <w:rPr>
      <w:rFonts w:eastAsia="仿宋_GB2312"/>
      <w:kern w:val="24"/>
      <w:sz w:val="24"/>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3">
    <w:name w:val="Char Char Char Char Char Char1 Char Char Char Char Char Char Char Char Char Char Char Char Char Char1"/>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3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Char Char2 Char1"/>
    <w:basedOn w:val="1"/>
    <w:qFormat/>
    <w:uiPriority w:val="0"/>
    <w:rPr>
      <w:rFonts w:ascii="宋体" w:hAnsi="宋体"/>
      <w:b/>
      <w:sz w:val="28"/>
      <w:szCs w:val="28"/>
    </w:rPr>
  </w:style>
  <w:style w:type="character" w:customStyle="1" w:styleId="396">
    <w:name w:val="注释标题 字符"/>
    <w:basedOn w:val="76"/>
    <w:link w:val="14"/>
    <w:qFormat/>
    <w:uiPriority w:val="0"/>
    <w:rPr>
      <w:lang w:val="en-CA" w:eastAsia="en-US"/>
    </w:rPr>
  </w:style>
  <w:style w:type="character" w:customStyle="1" w:styleId="397">
    <w:name w:val="电子邮件签名 字符"/>
    <w:basedOn w:val="76"/>
    <w:link w:val="16"/>
    <w:qFormat/>
    <w:uiPriority w:val="0"/>
    <w:rPr>
      <w:lang w:val="en-CA" w:eastAsia="en-US"/>
    </w:rPr>
  </w:style>
  <w:style w:type="character" w:customStyle="1" w:styleId="398">
    <w:name w:val="称呼 字符"/>
    <w:basedOn w:val="76"/>
    <w:link w:val="24"/>
    <w:qFormat/>
    <w:uiPriority w:val="0"/>
    <w:rPr>
      <w:lang w:val="en-CA" w:eastAsia="en-US"/>
    </w:rPr>
  </w:style>
  <w:style w:type="character" w:customStyle="1" w:styleId="399">
    <w:name w:val="结束语 字符"/>
    <w:basedOn w:val="76"/>
    <w:link w:val="26"/>
    <w:qFormat/>
    <w:uiPriority w:val="0"/>
    <w:rPr>
      <w:lang w:val="en-CA" w:eastAsia="en-US"/>
    </w:rPr>
  </w:style>
  <w:style w:type="character" w:customStyle="1" w:styleId="400">
    <w:name w:val="HTML 地址 字符"/>
    <w:basedOn w:val="76"/>
    <w:link w:val="36"/>
    <w:qFormat/>
    <w:uiPriority w:val="0"/>
    <w:rPr>
      <w:i/>
      <w:lang w:val="en-CA" w:eastAsia="en-US"/>
    </w:rPr>
  </w:style>
  <w:style w:type="character" w:customStyle="1" w:styleId="401">
    <w:name w:val="签名 字符"/>
    <w:basedOn w:val="76"/>
    <w:link w:val="49"/>
    <w:qFormat/>
    <w:uiPriority w:val="0"/>
    <w:rPr>
      <w:lang w:val="en-CA" w:eastAsia="en-US"/>
    </w:rPr>
  </w:style>
  <w:style w:type="character" w:customStyle="1" w:styleId="402">
    <w:name w:val="信息标题 字符"/>
    <w:basedOn w:val="76"/>
    <w:link w:val="66"/>
    <w:qFormat/>
    <w:uiPriority w:val="0"/>
    <w:rPr>
      <w:rFonts w:ascii="Arial" w:hAnsi="Arial"/>
      <w:sz w:val="24"/>
      <w:shd w:val="pct20" w:color="auto" w:fill="auto"/>
      <w:lang w:val="en-CA" w:eastAsia="en-US"/>
    </w:rPr>
  </w:style>
  <w:style w:type="character" w:customStyle="1" w:styleId="403">
    <w:name w:val="信息标题 Char1"/>
    <w:semiHidden/>
    <w:qFormat/>
    <w:uiPriority w:val="99"/>
    <w:rPr>
      <w:rFonts w:ascii="Cambria" w:hAnsi="Cambria" w:eastAsia="宋体" w:cs="Times New Roman"/>
      <w:kern w:val="2"/>
      <w:sz w:val="24"/>
      <w:szCs w:val="24"/>
      <w:shd w:val="pct20" w:color="auto" w:fill="auto"/>
    </w:rPr>
  </w:style>
  <w:style w:type="character" w:customStyle="1" w:styleId="404">
    <w:name w:val="文档结构图 Char1"/>
    <w:semiHidden/>
    <w:qFormat/>
    <w:uiPriority w:val="99"/>
    <w:rPr>
      <w:rFonts w:ascii="宋体"/>
      <w:kern w:val="2"/>
      <w:sz w:val="18"/>
      <w:szCs w:val="18"/>
    </w:rPr>
  </w:style>
  <w:style w:type="character" w:customStyle="1" w:styleId="405">
    <w:name w:val="bold1"/>
    <w:qFormat/>
    <w:uiPriority w:val="0"/>
    <w:rPr>
      <w:sz w:val="32"/>
      <w:szCs w:val="18"/>
    </w:rPr>
  </w:style>
  <w:style w:type="character" w:customStyle="1" w:styleId="406">
    <w:name w:val="页脚 Char1"/>
    <w:semiHidden/>
    <w:qFormat/>
    <w:uiPriority w:val="99"/>
    <w:rPr>
      <w:kern w:val="2"/>
      <w:sz w:val="18"/>
      <w:szCs w:val="18"/>
    </w:rPr>
  </w:style>
  <w:style w:type="character" w:customStyle="1" w:styleId="407">
    <w:name w:val="表正文 Char"/>
    <w:qFormat/>
    <w:uiPriority w:val="0"/>
    <w:rPr>
      <w:lang w:eastAsia="en-US"/>
    </w:rPr>
  </w:style>
  <w:style w:type="character" w:customStyle="1" w:styleId="408">
    <w:name w:val="正文文本缩进 2 Char1"/>
    <w:semiHidden/>
    <w:qFormat/>
    <w:uiPriority w:val="99"/>
    <w:rPr>
      <w:kern w:val="2"/>
      <w:sz w:val="21"/>
      <w:szCs w:val="22"/>
    </w:rPr>
  </w:style>
  <w:style w:type="character" w:customStyle="1" w:styleId="409">
    <w:name w:val="电子邮件签名 Char1"/>
    <w:semiHidden/>
    <w:qFormat/>
    <w:uiPriority w:val="99"/>
    <w:rPr>
      <w:kern w:val="2"/>
      <w:sz w:val="21"/>
      <w:szCs w:val="22"/>
    </w:rPr>
  </w:style>
  <w:style w:type="character" w:customStyle="1" w:styleId="410">
    <w:name w:val="正文文本缩进 3 Char1"/>
    <w:semiHidden/>
    <w:qFormat/>
    <w:uiPriority w:val="99"/>
    <w:rPr>
      <w:kern w:val="2"/>
      <w:sz w:val="16"/>
      <w:szCs w:val="16"/>
    </w:rPr>
  </w:style>
  <w:style w:type="character" w:customStyle="1" w:styleId="411">
    <w:name w:val="Text 4 Char Char"/>
    <w:link w:val="412"/>
    <w:qFormat/>
    <w:uiPriority w:val="0"/>
    <w:rPr>
      <w:rFonts w:ascii="Arial" w:hAnsi="Arial"/>
      <w:sz w:val="22"/>
      <w:lang w:eastAsia="en-US"/>
    </w:rPr>
  </w:style>
  <w:style w:type="paragraph" w:customStyle="1" w:styleId="412">
    <w:name w:val="Text 4"/>
    <w:basedOn w:val="1"/>
    <w:link w:val="411"/>
    <w:qFormat/>
    <w:uiPriority w:val="0"/>
    <w:pPr>
      <w:widowControl/>
      <w:autoSpaceDE w:val="0"/>
      <w:autoSpaceDN w:val="0"/>
      <w:adjustRightInd w:val="0"/>
      <w:ind w:left="1872"/>
      <w:jc w:val="left"/>
    </w:pPr>
    <w:rPr>
      <w:rFonts w:ascii="Arial" w:hAnsi="Arial"/>
      <w:kern w:val="0"/>
      <w:sz w:val="22"/>
      <w:szCs w:val="20"/>
      <w:lang w:eastAsia="en-US"/>
    </w:rPr>
  </w:style>
  <w:style w:type="character" w:customStyle="1" w:styleId="413">
    <w:name w:val="wctjfont1"/>
    <w:qFormat/>
    <w:uiPriority w:val="0"/>
    <w:rPr>
      <w:sz w:val="18"/>
      <w:szCs w:val="18"/>
    </w:rPr>
  </w:style>
  <w:style w:type="character" w:customStyle="1" w:styleId="414">
    <w:name w:val="meuncn1"/>
    <w:qFormat/>
    <w:uiPriority w:val="0"/>
    <w:rPr>
      <w:rFonts w:hint="eastAsia" w:ascii="宋体" w:hAnsi="宋体" w:eastAsia="宋体"/>
      <w:color w:val="666666"/>
      <w:sz w:val="18"/>
      <w:szCs w:val="18"/>
      <w:u w:val="none"/>
    </w:rPr>
  </w:style>
  <w:style w:type="character" w:customStyle="1" w:styleId="415">
    <w:name w:val="正文文本 Char"/>
    <w:qFormat/>
    <w:uiPriority w:val="0"/>
    <w:rPr>
      <w:rFonts w:ascii="Arial" w:hAnsi="Arial"/>
      <w:color w:val="000000"/>
      <w:kern w:val="2"/>
      <w:sz w:val="21"/>
      <w:szCs w:val="24"/>
    </w:rPr>
  </w:style>
  <w:style w:type="character" w:customStyle="1" w:styleId="416">
    <w:name w:val="正文文本缩进 Char"/>
    <w:qFormat/>
    <w:uiPriority w:val="0"/>
    <w:rPr>
      <w:kern w:val="2"/>
      <w:sz w:val="21"/>
    </w:rPr>
  </w:style>
  <w:style w:type="character" w:customStyle="1" w:styleId="417">
    <w:name w:val="纯文本 Char1"/>
    <w:semiHidden/>
    <w:qFormat/>
    <w:uiPriority w:val="99"/>
    <w:rPr>
      <w:rFonts w:ascii="宋体" w:hAnsi="Courier New" w:cs="Courier New"/>
      <w:kern w:val="2"/>
      <w:sz w:val="21"/>
      <w:szCs w:val="21"/>
    </w:rPr>
  </w:style>
  <w:style w:type="character" w:customStyle="1" w:styleId="418">
    <w:name w:val="结束语 Char1"/>
    <w:semiHidden/>
    <w:qFormat/>
    <w:uiPriority w:val="99"/>
    <w:rPr>
      <w:kern w:val="2"/>
      <w:sz w:val="21"/>
      <w:szCs w:val="22"/>
    </w:rPr>
  </w:style>
  <w:style w:type="character" w:customStyle="1" w:styleId="419">
    <w:name w:val="Highlighted Variable"/>
    <w:qFormat/>
    <w:uiPriority w:val="0"/>
    <w:rPr>
      <w:color w:val="000000"/>
    </w:rPr>
  </w:style>
  <w:style w:type="character" w:customStyle="1" w:styleId="420">
    <w:name w:val="Para 1 Char Char Char Char Char"/>
    <w:qFormat/>
    <w:uiPriority w:val="0"/>
    <w:rPr>
      <w:rFonts w:ascii="Arial" w:hAnsi="Arial" w:eastAsia="MS Mincho"/>
      <w:sz w:val="24"/>
      <w:lang w:val="en-US" w:eastAsia="en-US" w:bidi="ar-SA"/>
    </w:rPr>
  </w:style>
  <w:style w:type="character" w:customStyle="1" w:styleId="421">
    <w:name w:val="批注框文本 Char1"/>
    <w:semiHidden/>
    <w:qFormat/>
    <w:uiPriority w:val="99"/>
    <w:rPr>
      <w:kern w:val="2"/>
      <w:sz w:val="18"/>
      <w:szCs w:val="18"/>
    </w:rPr>
  </w:style>
  <w:style w:type="character" w:customStyle="1" w:styleId="422">
    <w:name w:val="正文文本 3 Char1"/>
    <w:semiHidden/>
    <w:qFormat/>
    <w:uiPriority w:val="99"/>
    <w:rPr>
      <w:kern w:val="2"/>
      <w:sz w:val="16"/>
      <w:szCs w:val="16"/>
    </w:rPr>
  </w:style>
  <w:style w:type="character" w:customStyle="1" w:styleId="423">
    <w:name w:val="页眉 Char1"/>
    <w:semiHidden/>
    <w:qFormat/>
    <w:uiPriority w:val="99"/>
    <w:rPr>
      <w:kern w:val="2"/>
      <w:sz w:val="18"/>
      <w:szCs w:val="18"/>
    </w:rPr>
  </w:style>
  <w:style w:type="character" w:customStyle="1" w:styleId="424">
    <w:name w:val="Point 2C Char Char"/>
    <w:link w:val="425"/>
    <w:qFormat/>
    <w:uiPriority w:val="0"/>
    <w:rPr>
      <w:rFonts w:ascii="Arial" w:hAnsi="Arial"/>
      <w:sz w:val="22"/>
      <w:lang w:eastAsia="en-US"/>
    </w:rPr>
  </w:style>
  <w:style w:type="paragraph" w:customStyle="1" w:styleId="425">
    <w:name w:val="Point 2C"/>
    <w:basedOn w:val="1"/>
    <w:link w:val="424"/>
    <w:qFormat/>
    <w:uiPriority w:val="0"/>
    <w:pPr>
      <w:widowControl/>
      <w:ind w:left="1972"/>
      <w:jc w:val="left"/>
    </w:pPr>
    <w:rPr>
      <w:rFonts w:ascii="Arial" w:hAnsi="Arial"/>
      <w:kern w:val="0"/>
      <w:sz w:val="22"/>
      <w:szCs w:val="20"/>
      <w:lang w:eastAsia="en-US"/>
    </w:rPr>
  </w:style>
  <w:style w:type="character" w:customStyle="1" w:styleId="426">
    <w:name w:val="签名 Char1"/>
    <w:semiHidden/>
    <w:qFormat/>
    <w:uiPriority w:val="99"/>
    <w:rPr>
      <w:kern w:val="2"/>
      <w:sz w:val="21"/>
      <w:szCs w:val="22"/>
    </w:rPr>
  </w:style>
  <w:style w:type="character" w:customStyle="1" w:styleId="427">
    <w:name w:val="Para 1 Char Char Char Char Char Char"/>
    <w:link w:val="428"/>
    <w:qFormat/>
    <w:uiPriority w:val="0"/>
    <w:rPr>
      <w:rFonts w:ascii="Arial" w:hAnsi="Arial" w:eastAsia="MS Mincho"/>
      <w:sz w:val="24"/>
      <w:lang w:eastAsia="en-US"/>
    </w:rPr>
  </w:style>
  <w:style w:type="paragraph" w:customStyle="1" w:styleId="428">
    <w:name w:val="Para 1 Char Char Char"/>
    <w:basedOn w:val="1"/>
    <w:link w:val="427"/>
    <w:qFormat/>
    <w:uiPriority w:val="0"/>
    <w:pPr>
      <w:widowControl/>
      <w:overflowPunct w:val="0"/>
      <w:autoSpaceDE w:val="0"/>
      <w:autoSpaceDN w:val="0"/>
      <w:adjustRightInd w:val="0"/>
      <w:spacing w:before="120" w:after="120"/>
      <w:ind w:left="360"/>
      <w:textAlignment w:val="baseline"/>
    </w:pPr>
    <w:rPr>
      <w:rFonts w:ascii="Arial" w:hAnsi="Arial" w:eastAsia="MS Mincho"/>
      <w:kern w:val="0"/>
      <w:sz w:val="24"/>
      <w:szCs w:val="20"/>
      <w:lang w:eastAsia="en-US"/>
    </w:rPr>
  </w:style>
  <w:style w:type="character" w:customStyle="1" w:styleId="429">
    <w:name w:val="日期 Char1"/>
    <w:semiHidden/>
    <w:qFormat/>
    <w:uiPriority w:val="99"/>
    <w:rPr>
      <w:kern w:val="2"/>
      <w:sz w:val="21"/>
      <w:szCs w:val="22"/>
    </w:rPr>
  </w:style>
  <w:style w:type="character" w:customStyle="1" w:styleId="430">
    <w:name w:val="Text Char Char"/>
    <w:link w:val="431"/>
    <w:qFormat/>
    <w:uiPriority w:val="0"/>
    <w:rPr>
      <w:kern w:val="2"/>
      <w:sz w:val="24"/>
      <w:lang w:val="en-GB" w:eastAsia="ja-JP"/>
    </w:rPr>
  </w:style>
  <w:style w:type="paragraph" w:customStyle="1" w:styleId="431">
    <w:name w:val="Text"/>
    <w:basedOn w:val="1"/>
    <w:link w:val="430"/>
    <w:qFormat/>
    <w:uiPriority w:val="0"/>
    <w:pPr>
      <w:widowControl/>
      <w:spacing w:after="240" w:line="312" w:lineRule="atLeast"/>
      <w:jc w:val="left"/>
    </w:pPr>
    <w:rPr>
      <w:sz w:val="24"/>
      <w:szCs w:val="20"/>
      <w:lang w:val="en-GB" w:eastAsia="ja-JP"/>
    </w:rPr>
  </w:style>
  <w:style w:type="character" w:customStyle="1" w:styleId="432">
    <w:name w:val="注释标题 Char1"/>
    <w:semiHidden/>
    <w:qFormat/>
    <w:uiPriority w:val="99"/>
    <w:rPr>
      <w:kern w:val="2"/>
      <w:sz w:val="21"/>
      <w:szCs w:val="22"/>
    </w:rPr>
  </w:style>
  <w:style w:type="character" w:customStyle="1" w:styleId="433">
    <w:name w:val="HTML 地址 Char1"/>
    <w:semiHidden/>
    <w:qFormat/>
    <w:uiPriority w:val="99"/>
    <w:rPr>
      <w:i/>
      <w:iCs/>
      <w:kern w:val="2"/>
      <w:sz w:val="21"/>
      <w:szCs w:val="22"/>
    </w:rPr>
  </w:style>
  <w:style w:type="character" w:customStyle="1" w:styleId="434">
    <w:name w:val="正文文本 2 Char1"/>
    <w:semiHidden/>
    <w:qFormat/>
    <w:uiPriority w:val="99"/>
    <w:rPr>
      <w:kern w:val="2"/>
      <w:sz w:val="21"/>
      <w:szCs w:val="22"/>
    </w:rPr>
  </w:style>
  <w:style w:type="character" w:customStyle="1" w:styleId="435">
    <w:name w:val="称呼 Char1"/>
    <w:semiHidden/>
    <w:qFormat/>
    <w:uiPriority w:val="99"/>
    <w:rPr>
      <w:kern w:val="2"/>
      <w:sz w:val="21"/>
      <w:szCs w:val="22"/>
    </w:rPr>
  </w:style>
  <w:style w:type="character" w:customStyle="1" w:styleId="436">
    <w:name w:val="Text Char"/>
    <w:qFormat/>
    <w:uiPriority w:val="0"/>
    <w:rPr>
      <w:rFonts w:eastAsia="宋体"/>
      <w:kern w:val="2"/>
      <w:sz w:val="24"/>
      <w:lang w:val="en-GB" w:eastAsia="ja-JP" w:bidi="ar-SA"/>
    </w:rPr>
  </w:style>
  <w:style w:type="character" w:customStyle="1" w:styleId="437">
    <w:name w:val="无间隔 字符"/>
    <w:link w:val="368"/>
    <w:qFormat/>
    <w:uiPriority w:val="1"/>
    <w:rPr>
      <w:kern w:val="2"/>
      <w:sz w:val="21"/>
      <w:szCs w:val="22"/>
    </w:rPr>
  </w:style>
  <w:style w:type="paragraph" w:customStyle="1" w:styleId="438">
    <w:name w:val="Bullet_3"/>
    <w:basedOn w:val="1"/>
    <w:qFormat/>
    <w:uiPriority w:val="0"/>
    <w:pPr>
      <w:widowControl/>
      <w:numPr>
        <w:ilvl w:val="0"/>
        <w:numId w:val="12"/>
      </w:numPr>
      <w:tabs>
        <w:tab w:val="left" w:pos="2160"/>
      </w:tabs>
      <w:spacing w:before="120" w:after="120"/>
    </w:pPr>
    <w:rPr>
      <w:rFonts w:ascii="Arial" w:hAnsi="Arial"/>
      <w:kern w:val="0"/>
      <w:sz w:val="22"/>
      <w:szCs w:val="20"/>
      <w:lang w:eastAsia="en-US"/>
    </w:rPr>
  </w:style>
  <w:style w:type="paragraph" w:customStyle="1" w:styleId="439">
    <w:name w:val="Table Heading Left"/>
    <w:basedOn w:val="440"/>
    <w:qFormat/>
    <w:uiPriority w:val="0"/>
    <w:pPr>
      <w:overflowPunct w:val="0"/>
      <w:autoSpaceDE w:val="0"/>
      <w:autoSpaceDN w:val="0"/>
      <w:adjustRightInd w:val="0"/>
      <w:spacing w:before="120" w:after="120"/>
      <w:jc w:val="left"/>
      <w:textAlignment w:val="baseline"/>
    </w:pPr>
    <w:rPr>
      <w:rFonts w:ascii="Times New Roman" w:hAnsi="Times New Roman"/>
      <w:sz w:val="24"/>
    </w:rPr>
  </w:style>
  <w:style w:type="paragraph" w:customStyle="1" w:styleId="440">
    <w:name w:val="Table heading"/>
    <w:basedOn w:val="1"/>
    <w:qFormat/>
    <w:uiPriority w:val="0"/>
    <w:pPr>
      <w:widowControl/>
      <w:jc w:val="center"/>
    </w:pPr>
    <w:rPr>
      <w:rFonts w:ascii="Arial" w:hAnsi="Arial"/>
      <w:b/>
      <w:kern w:val="0"/>
      <w:sz w:val="20"/>
      <w:szCs w:val="20"/>
      <w:lang w:eastAsia="en-US"/>
    </w:rPr>
  </w:style>
  <w:style w:type="paragraph" w:customStyle="1" w:styleId="441">
    <w:name w:val="Left column topics"/>
    <w:basedOn w:val="1"/>
    <w:qFormat/>
    <w:uiPriority w:val="0"/>
    <w:pPr>
      <w:widowControl/>
      <w:spacing w:before="120" w:after="120"/>
      <w:ind w:left="270" w:right="180"/>
      <w:jc w:val="left"/>
    </w:pPr>
    <w:rPr>
      <w:kern w:val="0"/>
      <w:sz w:val="24"/>
      <w:szCs w:val="20"/>
      <w:lang w:eastAsia="en-US"/>
    </w:rPr>
  </w:style>
  <w:style w:type="paragraph" w:customStyle="1" w:styleId="442">
    <w:name w:val="Normal_1"/>
    <w:basedOn w:val="1"/>
    <w:qFormat/>
    <w:uiPriority w:val="0"/>
    <w:pPr>
      <w:widowControl/>
      <w:numPr>
        <w:ilvl w:val="0"/>
        <w:numId w:val="13"/>
      </w:numPr>
      <w:tabs>
        <w:tab w:val="left" w:pos="360"/>
        <w:tab w:val="clear" w:pos="540"/>
      </w:tabs>
      <w:spacing w:after="120"/>
    </w:pPr>
    <w:rPr>
      <w:rFonts w:ascii="Arial" w:hAnsi="Arial"/>
      <w:kern w:val="0"/>
      <w:sz w:val="22"/>
      <w:szCs w:val="20"/>
      <w:lang w:eastAsia="en-US"/>
    </w:rPr>
  </w:style>
  <w:style w:type="paragraph" w:customStyle="1" w:styleId="443">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4">
    <w:name w:val="Procedure"/>
    <w:basedOn w:val="445"/>
    <w:qFormat/>
    <w:uiPriority w:val="0"/>
    <w:pPr>
      <w:widowControl w:val="0"/>
      <w:tabs>
        <w:tab w:val="left" w:pos="360"/>
      </w:tabs>
      <w:ind w:left="1080" w:hanging="360"/>
    </w:pPr>
    <w:rPr>
      <w:lang w:val="en-CA"/>
    </w:rPr>
  </w:style>
  <w:style w:type="paragraph" w:customStyle="1" w:styleId="445">
    <w:name w:val="Style1"/>
    <w:basedOn w:val="1"/>
    <w:qFormat/>
    <w:uiPriority w:val="0"/>
    <w:pPr>
      <w:widowControl/>
      <w:spacing w:before="120" w:after="120"/>
    </w:pPr>
    <w:rPr>
      <w:kern w:val="0"/>
      <w:sz w:val="24"/>
      <w:szCs w:val="20"/>
      <w:lang w:eastAsia="en-US"/>
    </w:rPr>
  </w:style>
  <w:style w:type="paragraph" w:customStyle="1" w:styleId="446">
    <w:name w:val="Bullet_2"/>
    <w:basedOn w:val="1"/>
    <w:qFormat/>
    <w:uiPriority w:val="0"/>
    <w:pPr>
      <w:widowControl/>
      <w:numPr>
        <w:ilvl w:val="0"/>
        <w:numId w:val="14"/>
      </w:numPr>
      <w:tabs>
        <w:tab w:val="left" w:pos="1440"/>
      </w:tabs>
      <w:spacing w:before="120" w:after="120"/>
    </w:pPr>
    <w:rPr>
      <w:rFonts w:ascii="Arial" w:hAnsi="Arial"/>
      <w:kern w:val="0"/>
      <w:sz w:val="22"/>
      <w:szCs w:val="20"/>
      <w:lang w:eastAsia="en-US"/>
    </w:rPr>
  </w:style>
  <w:style w:type="paragraph" w:customStyle="1" w:styleId="447">
    <w:name w:val="table Title"/>
    <w:basedOn w:val="1"/>
    <w:qFormat/>
    <w:uiPriority w:val="0"/>
    <w:pPr>
      <w:widowControl/>
      <w:spacing w:before="120" w:after="120"/>
      <w:jc w:val="center"/>
    </w:pPr>
    <w:rPr>
      <w:b/>
      <w:kern w:val="0"/>
      <w:sz w:val="24"/>
      <w:szCs w:val="20"/>
      <w:lang w:val="en-GB" w:eastAsia="en-US"/>
    </w:rPr>
  </w:style>
  <w:style w:type="paragraph" w:customStyle="1" w:styleId="448">
    <w:name w:val="p1subbullet"/>
    <w:basedOn w:val="1"/>
    <w:qFormat/>
    <w:uiPriority w:val="0"/>
    <w:pPr>
      <w:widowControl/>
      <w:numPr>
        <w:ilvl w:val="0"/>
        <w:numId w:val="15"/>
      </w:numPr>
      <w:tabs>
        <w:tab w:val="left" w:pos="1800"/>
      </w:tabs>
      <w:spacing w:before="60" w:after="60"/>
      <w:ind w:hanging="540"/>
      <w:jc w:val="left"/>
    </w:pPr>
    <w:rPr>
      <w:kern w:val="0"/>
      <w:sz w:val="24"/>
      <w:szCs w:val="20"/>
      <w:lang w:val="en-CA" w:eastAsia="en-US"/>
    </w:rPr>
  </w:style>
  <w:style w:type="paragraph" w:customStyle="1" w:styleId="449">
    <w:name w:val="Normal Indented 4"/>
    <w:basedOn w:val="1"/>
    <w:qFormat/>
    <w:uiPriority w:val="0"/>
    <w:pPr>
      <w:widowControl/>
      <w:spacing w:after="120"/>
      <w:ind w:left="2880"/>
      <w:jc w:val="left"/>
    </w:pPr>
    <w:rPr>
      <w:rFonts w:eastAsia="Times New Roman"/>
      <w:kern w:val="0"/>
      <w:sz w:val="24"/>
      <w:szCs w:val="20"/>
      <w:lang w:eastAsia="en-US"/>
    </w:rPr>
  </w:style>
  <w:style w:type="paragraph" w:customStyle="1" w:styleId="450">
    <w:name w:val="批注框文本1"/>
    <w:basedOn w:val="1"/>
    <w:qFormat/>
    <w:uiPriority w:val="0"/>
    <w:pPr>
      <w:widowControl/>
      <w:jc w:val="left"/>
    </w:pPr>
    <w:rPr>
      <w:rFonts w:ascii="Arial" w:hAnsi="Arial"/>
      <w:kern w:val="0"/>
      <w:sz w:val="18"/>
      <w:szCs w:val="20"/>
      <w:lang w:eastAsia="en-US"/>
    </w:rPr>
  </w:style>
  <w:style w:type="paragraph" w:customStyle="1" w:styleId="451">
    <w:name w:val="Number List 1."/>
    <w:basedOn w:val="17"/>
    <w:qFormat/>
    <w:uiPriority w:val="0"/>
    <w:pPr>
      <w:widowControl/>
      <w:tabs>
        <w:tab w:val="left" w:pos="780"/>
        <w:tab w:val="clear" w:pos="360"/>
      </w:tabs>
      <w:spacing w:before="60" w:after="60"/>
      <w:ind w:left="1440" w:firstLine="0"/>
    </w:pPr>
    <w:rPr>
      <w:sz w:val="24"/>
      <w:lang w:val="en-US"/>
    </w:rPr>
  </w:style>
  <w:style w:type="paragraph" w:customStyle="1" w:styleId="452">
    <w:name w:val="2 level para"/>
    <w:basedOn w:val="1"/>
    <w:qFormat/>
    <w:uiPriority w:val="0"/>
    <w:pPr>
      <w:widowControl/>
      <w:tabs>
        <w:tab w:val="left" w:pos="-720"/>
        <w:tab w:val="left" w:pos="9540"/>
      </w:tabs>
      <w:suppressAutoHyphens/>
      <w:spacing w:before="120" w:after="120"/>
      <w:ind w:left="720" w:right="187"/>
    </w:pPr>
    <w:rPr>
      <w:spacing w:val="-3"/>
      <w:kern w:val="0"/>
      <w:sz w:val="24"/>
      <w:szCs w:val="20"/>
      <w:lang w:eastAsia="en-US"/>
    </w:rPr>
  </w:style>
  <w:style w:type="paragraph" w:customStyle="1" w:styleId="453">
    <w:name w:val="Point 4.1"/>
    <w:basedOn w:val="454"/>
    <w:qFormat/>
    <w:uiPriority w:val="0"/>
    <w:pPr>
      <w:tabs>
        <w:tab w:val="left" w:pos="1681"/>
        <w:tab w:val="left" w:pos="3080"/>
        <w:tab w:val="left" w:pos="3600"/>
      </w:tabs>
      <w:ind w:left="3080"/>
    </w:pPr>
  </w:style>
  <w:style w:type="paragraph" w:customStyle="1" w:styleId="454">
    <w:name w:val="Point 3.1"/>
    <w:basedOn w:val="455"/>
    <w:qFormat/>
    <w:uiPriority w:val="0"/>
    <w:pPr>
      <w:tabs>
        <w:tab w:val="left" w:pos="1681"/>
        <w:tab w:val="left" w:pos="3600"/>
      </w:tabs>
      <w:ind w:left="3600"/>
    </w:pPr>
  </w:style>
  <w:style w:type="paragraph" w:customStyle="1" w:styleId="455">
    <w:name w:val="Style3"/>
    <w:basedOn w:val="1"/>
    <w:qFormat/>
    <w:uiPriority w:val="0"/>
    <w:pPr>
      <w:widowControl/>
      <w:tabs>
        <w:tab w:val="left" w:pos="3600"/>
      </w:tabs>
      <w:ind w:left="1681" w:hanging="360"/>
      <w:jc w:val="left"/>
    </w:pPr>
    <w:rPr>
      <w:rFonts w:ascii="Arial" w:hAnsi="Arial"/>
      <w:kern w:val="0"/>
      <w:sz w:val="22"/>
      <w:szCs w:val="20"/>
      <w:lang w:eastAsia="en-US"/>
    </w:rPr>
  </w:style>
  <w:style w:type="paragraph" w:customStyle="1" w:styleId="456">
    <w:name w:val="Table12"/>
    <w:basedOn w:val="452"/>
    <w:qFormat/>
    <w:uiPriority w:val="0"/>
    <w:pPr>
      <w:widowControl w:val="0"/>
      <w:tabs>
        <w:tab w:val="clear" w:pos="-720"/>
        <w:tab w:val="clear" w:pos="9540"/>
      </w:tabs>
      <w:spacing w:before="40" w:after="40"/>
      <w:ind w:left="0"/>
      <w:jc w:val="left"/>
    </w:pPr>
  </w:style>
  <w:style w:type="paragraph" w:customStyle="1" w:styleId="457">
    <w:name w:val="duluocopy"/>
    <w:basedOn w:val="1"/>
    <w:qFormat/>
    <w:uiPriority w:val="0"/>
    <w:pPr>
      <w:widowControl/>
      <w:spacing w:before="100" w:beforeAutospacing="1" w:after="100" w:afterAutospacing="1" w:line="345" w:lineRule="atLeast"/>
      <w:jc w:val="left"/>
    </w:pPr>
    <w:rPr>
      <w:rFonts w:ascii="宋体" w:hAnsi="宋体"/>
      <w:kern w:val="0"/>
      <w:sz w:val="18"/>
      <w:szCs w:val="18"/>
    </w:rPr>
  </w:style>
  <w:style w:type="paragraph" w:customStyle="1" w:styleId="458">
    <w:name w:val="ChampBold"/>
    <w:basedOn w:val="459"/>
    <w:qFormat/>
    <w:uiPriority w:val="0"/>
    <w:pPr>
      <w:tabs>
        <w:tab w:val="left" w:pos="-720"/>
        <w:tab w:val="right" w:pos="1531"/>
      </w:tabs>
      <w:overflowPunct w:val="0"/>
      <w:autoSpaceDE w:val="0"/>
      <w:autoSpaceDN w:val="0"/>
      <w:adjustRightInd w:val="0"/>
      <w:textAlignment w:val="baseline"/>
    </w:pPr>
    <w:rPr>
      <w:b/>
      <w:sz w:val="20"/>
      <w:lang w:val="fr-CA"/>
    </w:rPr>
  </w:style>
  <w:style w:type="paragraph" w:customStyle="1" w:styleId="459">
    <w:name w:val="Champ"/>
    <w:basedOn w:val="1"/>
    <w:qFormat/>
    <w:uiPriority w:val="0"/>
    <w:pPr>
      <w:widowControl/>
      <w:tabs>
        <w:tab w:val="left" w:pos="-720"/>
      </w:tabs>
      <w:suppressAutoHyphens/>
      <w:spacing w:before="90" w:after="90"/>
      <w:jc w:val="left"/>
    </w:pPr>
    <w:rPr>
      <w:rFonts w:eastAsia="Times New Roman"/>
      <w:spacing w:val="-2"/>
      <w:kern w:val="0"/>
      <w:sz w:val="19"/>
      <w:szCs w:val="20"/>
      <w:lang w:eastAsia="en-US"/>
    </w:rPr>
  </w:style>
  <w:style w:type="paragraph" w:customStyle="1" w:styleId="460">
    <w:name w:val="Titre"/>
    <w:basedOn w:val="1"/>
    <w:qFormat/>
    <w:uiPriority w:val="0"/>
    <w:pPr>
      <w:widowControl/>
      <w:tabs>
        <w:tab w:val="left" w:pos="-720"/>
        <w:tab w:val="left" w:pos="450"/>
        <w:tab w:val="left" w:pos="720"/>
        <w:tab w:val="center" w:pos="5232"/>
      </w:tabs>
      <w:suppressAutoHyphens/>
      <w:spacing w:after="240"/>
      <w:ind w:left="720" w:right="302" w:hanging="720"/>
      <w:jc w:val="center"/>
    </w:pPr>
    <w:rPr>
      <w:rFonts w:ascii="CG Times" w:hAnsi="CG Times"/>
      <w:b/>
      <w:spacing w:val="-3"/>
      <w:kern w:val="0"/>
      <w:sz w:val="29"/>
      <w:szCs w:val="20"/>
      <w:lang w:val="fr-CA" w:eastAsia="en-US"/>
    </w:rPr>
  </w:style>
  <w:style w:type="paragraph" w:customStyle="1" w:styleId="461">
    <w:name w:val="Technical 4"/>
    <w:qFormat/>
    <w:uiPriority w:val="0"/>
    <w:pPr>
      <w:tabs>
        <w:tab w:val="left" w:pos="-720"/>
      </w:tabs>
      <w:suppressAutoHyphens/>
    </w:pPr>
    <w:rPr>
      <w:rFonts w:ascii="CG Times" w:hAnsi="CG Times" w:eastAsia="Times New Roman" w:cs="Times New Roman"/>
      <w:b/>
      <w:sz w:val="22"/>
      <w:lang w:val="en-US" w:eastAsia="en-GB" w:bidi="ar-SA"/>
    </w:rPr>
  </w:style>
  <w:style w:type="paragraph" w:customStyle="1" w:styleId="462">
    <w:name w:val="Appendix 2"/>
    <w:basedOn w:val="2"/>
    <w:qFormat/>
    <w:uiPriority w:val="0"/>
    <w:pPr>
      <w:keepNext w:val="0"/>
      <w:keepLines w:val="0"/>
      <w:widowControl/>
      <w:tabs>
        <w:tab w:val="left" w:pos="425"/>
        <w:tab w:val="left" w:pos="1126"/>
      </w:tabs>
      <w:spacing w:before="0" w:after="0" w:line="240" w:lineRule="auto"/>
      <w:jc w:val="left"/>
    </w:pPr>
    <w:rPr>
      <w:rFonts w:eastAsia="Arial Unicode MS"/>
      <w:b w:val="0"/>
      <w:bCs w:val="0"/>
      <w:kern w:val="0"/>
      <w:sz w:val="22"/>
      <w:szCs w:val="20"/>
    </w:rPr>
  </w:style>
  <w:style w:type="paragraph" w:customStyle="1" w:styleId="463">
    <w:name w:val="Style 3 level para + Arial Left:  1&quot;"/>
    <w:basedOn w:val="464"/>
    <w:qFormat/>
    <w:uiPriority w:val="0"/>
    <w:pPr>
      <w:ind w:left="1440"/>
    </w:pPr>
    <w:rPr>
      <w:rFonts w:ascii="Arial" w:hAnsi="Arial"/>
      <w:sz w:val="22"/>
    </w:rPr>
  </w:style>
  <w:style w:type="paragraph" w:customStyle="1" w:styleId="464">
    <w:name w:val="3 level para"/>
    <w:basedOn w:val="452"/>
    <w:qFormat/>
    <w:uiPriority w:val="0"/>
    <w:pPr>
      <w:widowControl w:val="0"/>
      <w:tabs>
        <w:tab w:val="clear" w:pos="-720"/>
        <w:tab w:val="clear" w:pos="9540"/>
      </w:tabs>
      <w:autoSpaceDE w:val="0"/>
      <w:autoSpaceDN w:val="0"/>
      <w:spacing w:before="80" w:after="80"/>
      <w:ind w:left="2160" w:right="0"/>
    </w:pPr>
  </w:style>
  <w:style w:type="paragraph" w:customStyle="1" w:styleId="465">
    <w:name w:val="Signature block"/>
    <w:basedOn w:val="1"/>
    <w:qFormat/>
    <w:uiPriority w:val="0"/>
    <w:pPr>
      <w:widowControl/>
      <w:tabs>
        <w:tab w:val="left" w:pos="3680"/>
        <w:tab w:val="left" w:pos="3960"/>
        <w:tab w:val="left" w:pos="6920"/>
        <w:tab w:val="left" w:pos="7200"/>
        <w:tab w:val="left" w:pos="8460"/>
      </w:tabs>
      <w:jc w:val="left"/>
    </w:pPr>
    <w:rPr>
      <w:rFonts w:eastAsia="Times New Roman"/>
      <w:kern w:val="0"/>
      <w:sz w:val="24"/>
      <w:szCs w:val="20"/>
      <w:lang w:eastAsia="en-US"/>
    </w:rPr>
  </w:style>
  <w:style w:type="paragraph" w:customStyle="1" w:styleId="4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7">
    <w:name w:val="Style2"/>
    <w:basedOn w:val="445"/>
    <w:qFormat/>
    <w:uiPriority w:val="0"/>
    <w:pPr>
      <w:widowControl w:val="0"/>
      <w:spacing w:before="60" w:after="60"/>
    </w:pPr>
    <w:rPr>
      <w:lang w:val="en-CA"/>
    </w:rPr>
  </w:style>
  <w:style w:type="paragraph" w:customStyle="1" w:styleId="468">
    <w:name w:val="Bullet_1"/>
    <w:basedOn w:val="1"/>
    <w:qFormat/>
    <w:uiPriority w:val="0"/>
    <w:pPr>
      <w:widowControl/>
      <w:tabs>
        <w:tab w:val="left" w:pos="864"/>
      </w:tabs>
      <w:spacing w:before="120" w:after="120"/>
      <w:ind w:left="425" w:hanging="425"/>
    </w:pPr>
    <w:rPr>
      <w:rFonts w:ascii="Arial" w:hAnsi="Arial"/>
      <w:kern w:val="0"/>
      <w:sz w:val="22"/>
      <w:szCs w:val="20"/>
      <w:lang w:eastAsia="en-US"/>
    </w:rPr>
  </w:style>
  <w:style w:type="paragraph" w:customStyle="1" w:styleId="469">
    <w:name w:val="Char Char12"/>
    <w:basedOn w:val="1"/>
    <w:qFormat/>
    <w:uiPriority w:val="0"/>
    <w:rPr>
      <w:rFonts w:ascii="Tahoma" w:hAnsi="Tahoma" w:cs="Tahoma"/>
      <w:sz w:val="24"/>
    </w:rPr>
  </w:style>
  <w:style w:type="paragraph" w:customStyle="1" w:styleId="470">
    <w:name w:val="Zchn Zchn1"/>
    <w:basedOn w:val="1"/>
    <w:qFormat/>
    <w:uiPriority w:val="0"/>
    <w:rPr>
      <w:rFonts w:ascii="Tahoma" w:hAnsi="Tahoma"/>
      <w:sz w:val="24"/>
      <w:szCs w:val="20"/>
    </w:rPr>
  </w:style>
  <w:style w:type="paragraph" w:customStyle="1" w:styleId="471">
    <w:name w:val="4 level para"/>
    <w:basedOn w:val="464"/>
    <w:qFormat/>
    <w:uiPriority w:val="0"/>
    <w:pPr>
      <w:autoSpaceDE/>
      <w:autoSpaceDN/>
      <w:ind w:left="1440" w:right="187"/>
    </w:pPr>
    <w:rPr>
      <w:lang w:val="en-CA"/>
    </w:rPr>
  </w:style>
  <w:style w:type="paragraph" w:customStyle="1" w:styleId="472">
    <w:name w:val="vti table"/>
    <w:basedOn w:val="452"/>
    <w:qFormat/>
    <w:uiPriority w:val="0"/>
    <w:pPr>
      <w:tabs>
        <w:tab w:val="clear" w:pos="-720"/>
        <w:tab w:val="clear" w:pos="9540"/>
      </w:tabs>
      <w:ind w:left="0" w:right="0"/>
      <w:jc w:val="center"/>
    </w:pPr>
    <w:rPr>
      <w:b/>
      <w:sz w:val="20"/>
    </w:rPr>
  </w:style>
  <w:style w:type="paragraph" w:customStyle="1" w:styleId="473">
    <w:name w:val="table10"/>
    <w:basedOn w:val="445"/>
    <w:qFormat/>
    <w:uiPriority w:val="0"/>
    <w:pPr>
      <w:widowControl w:val="0"/>
      <w:spacing w:before="60" w:after="60"/>
      <w:ind w:firstLine="14"/>
      <w:jc w:val="left"/>
    </w:pPr>
    <w:rPr>
      <w:sz w:val="20"/>
      <w:lang w:val="en-CA"/>
    </w:rPr>
  </w:style>
  <w:style w:type="paragraph" w:customStyle="1" w:styleId="474">
    <w:name w:val="PAR3"/>
    <w:basedOn w:val="445"/>
    <w:qFormat/>
    <w:uiPriority w:val="0"/>
    <w:pPr>
      <w:widowControl w:val="0"/>
      <w:ind w:left="2160"/>
    </w:pPr>
    <w:rPr>
      <w:lang w:val="en-CA"/>
    </w:rPr>
  </w:style>
  <w:style w:type="paragraph" w:customStyle="1" w:styleId="475">
    <w:name w:val="Normal Indented 2"/>
    <w:basedOn w:val="48"/>
    <w:qFormat/>
    <w:uiPriority w:val="0"/>
    <w:pPr>
      <w:widowControl/>
      <w:pBdr>
        <w:bottom w:val="none" w:color="auto" w:sz="0" w:space="0"/>
      </w:pBdr>
      <w:tabs>
        <w:tab w:val="clear" w:pos="4153"/>
        <w:tab w:val="clear" w:pos="8306"/>
      </w:tabs>
      <w:snapToGrid/>
      <w:spacing w:before="60" w:after="120"/>
      <w:ind w:left="1267"/>
      <w:jc w:val="left"/>
    </w:pPr>
    <w:rPr>
      <w:rFonts w:eastAsia="Times New Roman"/>
      <w:kern w:val="0"/>
      <w:sz w:val="24"/>
      <w:szCs w:val="20"/>
      <w:lang w:eastAsia="en-US"/>
    </w:rPr>
  </w:style>
  <w:style w:type="paragraph" w:customStyle="1" w:styleId="476">
    <w:name w:val="Point 3"/>
    <w:basedOn w:val="1"/>
    <w:qFormat/>
    <w:uiPriority w:val="0"/>
    <w:pPr>
      <w:widowControl/>
      <w:numPr>
        <w:ilvl w:val="0"/>
        <w:numId w:val="16"/>
      </w:numPr>
      <w:tabs>
        <w:tab w:val="left" w:pos="2160"/>
      </w:tabs>
      <w:spacing w:before="60" w:after="60"/>
      <w:ind w:left="2160"/>
    </w:pPr>
    <w:rPr>
      <w:rFonts w:ascii="Arial" w:hAnsi="Arial"/>
      <w:kern w:val="0"/>
      <w:sz w:val="22"/>
      <w:szCs w:val="20"/>
      <w:lang w:val="en-CA" w:eastAsia="en-US"/>
    </w:rPr>
  </w:style>
  <w:style w:type="paragraph" w:customStyle="1" w:styleId="477">
    <w:name w:val="Point 4"/>
    <w:basedOn w:val="1"/>
    <w:qFormat/>
    <w:uiPriority w:val="0"/>
    <w:pPr>
      <w:widowControl/>
      <w:tabs>
        <w:tab w:val="left" w:pos="2520"/>
      </w:tabs>
      <w:spacing w:before="60" w:after="60"/>
      <w:ind w:left="2520" w:hanging="1140"/>
    </w:pPr>
    <w:rPr>
      <w:rFonts w:ascii="Arial" w:hAnsi="Arial"/>
      <w:kern w:val="0"/>
      <w:sz w:val="22"/>
      <w:szCs w:val="20"/>
      <w:lang w:val="en-CA" w:eastAsia="en-US"/>
    </w:rPr>
  </w:style>
  <w:style w:type="paragraph" w:customStyle="1" w:styleId="478">
    <w:name w:val="Test Title"/>
    <w:basedOn w:val="1"/>
    <w:qFormat/>
    <w:uiPriority w:val="0"/>
    <w:pPr>
      <w:widowControl/>
      <w:spacing w:before="120"/>
      <w:jc w:val="center"/>
    </w:pPr>
    <w:rPr>
      <w:b/>
      <w:caps/>
      <w:kern w:val="0"/>
      <w:sz w:val="24"/>
      <w:szCs w:val="20"/>
      <w:lang w:val="en-CA" w:eastAsia="en-US"/>
    </w:rPr>
  </w:style>
  <w:style w:type="paragraph" w:customStyle="1" w:styleId="479">
    <w:name w:val="Standard"/>
    <w:qFormat/>
    <w:uiPriority w:val="0"/>
    <w:pPr>
      <w:widowControl w:val="0"/>
      <w:overflowPunct w:val="0"/>
      <w:autoSpaceDE w:val="0"/>
      <w:autoSpaceDN w:val="0"/>
      <w:adjustRightInd w:val="0"/>
      <w:textAlignment w:val="baseline"/>
    </w:pPr>
    <w:rPr>
      <w:rFonts w:ascii="Times New Roman" w:hAnsi="Times New Roman" w:eastAsia="宋体" w:cs="Times New Roman"/>
      <w:lang w:val="de-DE" w:eastAsia="en-US" w:bidi="ar-SA"/>
    </w:rPr>
  </w:style>
  <w:style w:type="paragraph" w:customStyle="1" w:styleId="480">
    <w:name w:val="Point 2"/>
    <w:basedOn w:val="1"/>
    <w:qFormat/>
    <w:uiPriority w:val="0"/>
    <w:pPr>
      <w:widowControl/>
      <w:numPr>
        <w:ilvl w:val="0"/>
        <w:numId w:val="17"/>
      </w:numPr>
      <w:tabs>
        <w:tab w:val="left" w:pos="1972"/>
      </w:tabs>
      <w:spacing w:before="60" w:after="60"/>
      <w:jc w:val="left"/>
    </w:pPr>
    <w:rPr>
      <w:rFonts w:ascii="Arial" w:hAnsi="Arial"/>
      <w:kern w:val="0"/>
      <w:sz w:val="22"/>
      <w:szCs w:val="20"/>
    </w:rPr>
  </w:style>
  <w:style w:type="paragraph" w:customStyle="1" w:styleId="481">
    <w:name w:val="Right column bullits"/>
    <w:basedOn w:val="1"/>
    <w:qFormat/>
    <w:uiPriority w:val="0"/>
    <w:pPr>
      <w:widowControl/>
      <w:tabs>
        <w:tab w:val="left" w:pos="-720"/>
        <w:tab w:val="left" w:pos="360"/>
        <w:tab w:val="left" w:pos="9540"/>
      </w:tabs>
      <w:suppressAutoHyphens/>
      <w:spacing w:before="120" w:after="120"/>
      <w:ind w:left="180" w:right="187" w:hanging="180"/>
    </w:pPr>
    <w:rPr>
      <w:spacing w:val="-3"/>
      <w:kern w:val="0"/>
      <w:sz w:val="24"/>
      <w:szCs w:val="20"/>
      <w:lang w:eastAsia="en-US"/>
    </w:rPr>
  </w:style>
  <w:style w:type="paragraph" w:customStyle="1" w:styleId="482">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483">
    <w:name w:val="List Bullet 1"/>
    <w:basedOn w:val="1"/>
    <w:qFormat/>
    <w:uiPriority w:val="0"/>
    <w:pPr>
      <w:widowControl/>
      <w:numPr>
        <w:ilvl w:val="0"/>
        <w:numId w:val="18"/>
      </w:numPr>
      <w:tabs>
        <w:tab w:val="left" w:pos="1440"/>
      </w:tabs>
      <w:ind w:left="1440"/>
      <w:jc w:val="left"/>
    </w:pPr>
    <w:rPr>
      <w:rFonts w:eastAsia="Times New Roman"/>
      <w:kern w:val="0"/>
      <w:sz w:val="24"/>
      <w:szCs w:val="20"/>
      <w:lang w:eastAsia="en-US"/>
    </w:rPr>
  </w:style>
  <w:style w:type="paragraph" w:customStyle="1" w:styleId="484">
    <w:name w:val="Char Char Char"/>
    <w:basedOn w:val="1"/>
    <w:qFormat/>
    <w:uiPriority w:val="0"/>
  </w:style>
  <w:style w:type="paragraph" w:customStyle="1" w:styleId="485">
    <w:name w:val="Table Center"/>
    <w:basedOn w:val="1"/>
    <w:qFormat/>
    <w:uiPriority w:val="0"/>
    <w:pPr>
      <w:widowControl/>
      <w:tabs>
        <w:tab w:val="left" w:pos="2034"/>
        <w:tab w:val="right" w:pos="2160"/>
      </w:tabs>
      <w:spacing w:before="60" w:after="60"/>
      <w:ind w:right="72"/>
      <w:jc w:val="center"/>
    </w:pPr>
    <w:rPr>
      <w:b/>
      <w:kern w:val="0"/>
      <w:sz w:val="24"/>
      <w:szCs w:val="20"/>
      <w:lang w:val="en-GB" w:eastAsia="en-US"/>
    </w:rPr>
  </w:style>
  <w:style w:type="paragraph" w:customStyle="1" w:styleId="486">
    <w:name w:val="p1bullet"/>
    <w:basedOn w:val="1"/>
    <w:qFormat/>
    <w:uiPriority w:val="0"/>
    <w:pPr>
      <w:widowControl/>
      <w:numPr>
        <w:ilvl w:val="0"/>
        <w:numId w:val="19"/>
      </w:numPr>
      <w:tabs>
        <w:tab w:val="left" w:pos="994"/>
        <w:tab w:val="right" w:pos="2160"/>
        <w:tab w:val="clear" w:pos="425"/>
      </w:tabs>
      <w:spacing w:before="120" w:after="120"/>
      <w:ind w:left="994"/>
    </w:pPr>
    <w:rPr>
      <w:kern w:val="0"/>
      <w:sz w:val="24"/>
      <w:szCs w:val="20"/>
      <w:lang w:val="en-CA" w:eastAsia="en-US"/>
    </w:rPr>
  </w:style>
  <w:style w:type="paragraph" w:customStyle="1" w:styleId="487">
    <w:name w:val="Section X.Y"/>
    <w:basedOn w:val="1"/>
    <w:qFormat/>
    <w:uiPriority w:val="0"/>
    <w:pPr>
      <w:widowControl/>
      <w:jc w:val="left"/>
    </w:pPr>
    <w:rPr>
      <w:rFonts w:ascii="Times" w:hAnsi="Times"/>
      <w:b/>
      <w:kern w:val="0"/>
      <w:sz w:val="24"/>
      <w:szCs w:val="20"/>
      <w:lang w:val="en-GB" w:eastAsia="en-US"/>
    </w:rPr>
  </w:style>
  <w:style w:type="paragraph" w:customStyle="1" w:styleId="488">
    <w:name w:val="Text 1"/>
    <w:basedOn w:val="1"/>
    <w:qFormat/>
    <w:uiPriority w:val="0"/>
    <w:pPr>
      <w:widowControl/>
      <w:overflowPunct w:val="0"/>
      <w:autoSpaceDE w:val="0"/>
      <w:autoSpaceDN w:val="0"/>
      <w:adjustRightInd w:val="0"/>
      <w:spacing w:after="120"/>
      <w:jc w:val="left"/>
      <w:textAlignment w:val="baseline"/>
    </w:pPr>
    <w:rPr>
      <w:rFonts w:ascii="Arial" w:hAnsi="Arial" w:eastAsia="Times New Roman"/>
      <w:kern w:val="0"/>
      <w:sz w:val="22"/>
      <w:szCs w:val="20"/>
      <w:lang w:eastAsia="en-US"/>
    </w:rPr>
  </w:style>
  <w:style w:type="paragraph" w:customStyle="1" w:styleId="489">
    <w:name w:val="table12bc"/>
    <w:basedOn w:val="1"/>
    <w:qFormat/>
    <w:uiPriority w:val="0"/>
    <w:pPr>
      <w:suppressAutoHyphens/>
      <w:spacing w:before="60" w:after="60"/>
      <w:ind w:firstLine="14"/>
      <w:jc w:val="center"/>
    </w:pPr>
    <w:rPr>
      <w:b/>
      <w:kern w:val="0"/>
      <w:sz w:val="24"/>
      <w:szCs w:val="20"/>
      <w:lang w:val="fr-CA" w:eastAsia="en-US"/>
    </w:rPr>
  </w:style>
  <w:style w:type="paragraph" w:customStyle="1" w:styleId="490">
    <w:name w:val="Point 4C"/>
    <w:basedOn w:val="477"/>
    <w:qFormat/>
    <w:uiPriority w:val="0"/>
    <w:pPr>
      <w:tabs>
        <w:tab w:val="left" w:pos="1140"/>
        <w:tab w:val="clear" w:pos="2520"/>
      </w:tabs>
      <w:ind w:firstLine="0"/>
    </w:pPr>
    <w:rPr>
      <w:lang w:eastAsia="zh-CN"/>
    </w:rPr>
  </w:style>
  <w:style w:type="paragraph" w:customStyle="1" w:styleId="491">
    <w:name w:val="Table"/>
    <w:basedOn w:val="1"/>
    <w:qFormat/>
    <w:uiPriority w:val="0"/>
    <w:pPr>
      <w:widowControl/>
      <w:overflowPunct w:val="0"/>
      <w:autoSpaceDE w:val="0"/>
      <w:autoSpaceDN w:val="0"/>
      <w:adjustRightInd w:val="0"/>
      <w:spacing w:before="60" w:after="60"/>
      <w:jc w:val="center"/>
      <w:textAlignment w:val="baseline"/>
    </w:pPr>
    <w:rPr>
      <w:kern w:val="0"/>
      <w:sz w:val="24"/>
      <w:szCs w:val="20"/>
      <w:lang w:eastAsia="en-US"/>
    </w:rPr>
  </w:style>
  <w:style w:type="paragraph" w:customStyle="1" w:styleId="492">
    <w:name w:val="Number_4"/>
    <w:basedOn w:val="1"/>
    <w:qFormat/>
    <w:uiPriority w:val="0"/>
    <w:pPr>
      <w:widowControl/>
      <w:numPr>
        <w:ilvl w:val="0"/>
        <w:numId w:val="20"/>
      </w:numPr>
      <w:tabs>
        <w:tab w:val="left" w:pos="3024"/>
      </w:tabs>
      <w:spacing w:before="120" w:after="120"/>
    </w:pPr>
    <w:rPr>
      <w:rFonts w:ascii="Arial" w:hAnsi="Arial"/>
      <w:kern w:val="0"/>
      <w:sz w:val="22"/>
      <w:szCs w:val="20"/>
      <w:lang w:eastAsia="en-US"/>
    </w:rPr>
  </w:style>
  <w:style w:type="paragraph" w:customStyle="1" w:styleId="493">
    <w:name w:val="Char2"/>
    <w:basedOn w:val="1"/>
    <w:qFormat/>
    <w:uiPriority w:val="0"/>
    <w:pPr>
      <w:adjustRightInd w:val="0"/>
      <w:spacing w:line="360" w:lineRule="auto"/>
    </w:pPr>
    <w:rPr>
      <w:kern w:val="0"/>
      <w:sz w:val="24"/>
      <w:szCs w:val="20"/>
    </w:rPr>
  </w:style>
  <w:style w:type="paragraph" w:customStyle="1" w:styleId="494">
    <w:name w:val="PAR1"/>
    <w:basedOn w:val="1"/>
    <w:qFormat/>
    <w:uiPriority w:val="0"/>
    <w:pPr>
      <w:widowControl/>
      <w:tabs>
        <w:tab w:val="left" w:pos="-2340"/>
      </w:tabs>
      <w:ind w:left="540"/>
    </w:pPr>
    <w:rPr>
      <w:rFonts w:ascii="Arial" w:hAnsi="Arial"/>
      <w:kern w:val="0"/>
      <w:sz w:val="22"/>
      <w:szCs w:val="20"/>
      <w:lang w:val="fr-CA" w:eastAsia="en-US"/>
    </w:rPr>
  </w:style>
  <w:style w:type="paragraph" w:customStyle="1" w:styleId="495">
    <w:name w:val="comment"/>
    <w:basedOn w:val="1"/>
    <w:qFormat/>
    <w:uiPriority w:val="0"/>
    <w:pPr>
      <w:widowControl/>
      <w:spacing w:before="60" w:after="60"/>
      <w:jc w:val="left"/>
    </w:pPr>
    <w:rPr>
      <w:b/>
      <w:kern w:val="0"/>
      <w:sz w:val="22"/>
      <w:szCs w:val="20"/>
      <w:lang w:val="en-CA" w:eastAsia="en-US"/>
    </w:rPr>
  </w:style>
  <w:style w:type="paragraph" w:customStyle="1" w:styleId="496">
    <w:name w:val="Normal Indented 3"/>
    <w:basedOn w:val="1"/>
    <w:qFormat/>
    <w:uiPriority w:val="0"/>
    <w:pPr>
      <w:widowControl/>
      <w:spacing w:before="60" w:after="120"/>
      <w:ind w:left="2880"/>
      <w:jc w:val="left"/>
    </w:pPr>
    <w:rPr>
      <w:rFonts w:eastAsia="Times New Roman"/>
      <w:kern w:val="0"/>
      <w:sz w:val="24"/>
      <w:szCs w:val="20"/>
      <w:lang w:eastAsia="en-US"/>
    </w:rPr>
  </w:style>
  <w:style w:type="paragraph" w:customStyle="1" w:styleId="497">
    <w:name w:val="Q/19LGT01—2001"/>
    <w:basedOn w:val="1"/>
    <w:qFormat/>
    <w:uiPriority w:val="0"/>
    <w:pPr>
      <w:tabs>
        <w:tab w:val="left" w:pos="555"/>
      </w:tabs>
      <w:spacing w:line="360" w:lineRule="auto"/>
      <w:ind w:firstLine="420" w:firstLineChars="200"/>
    </w:pPr>
    <w:rPr>
      <w:rFonts w:hint="eastAsia" w:ascii="宋体" w:hAnsi="宋体"/>
      <w:bCs/>
      <w:szCs w:val="20"/>
    </w:rPr>
  </w:style>
  <w:style w:type="paragraph" w:customStyle="1" w:styleId="498">
    <w:name w:val="Point 3C"/>
    <w:basedOn w:val="476"/>
    <w:qFormat/>
    <w:uiPriority w:val="0"/>
    <w:pPr>
      <w:numPr>
        <w:numId w:val="0"/>
      </w:numPr>
      <w:tabs>
        <w:tab w:val="left" w:pos="1140"/>
        <w:tab w:val="clear" w:pos="2160"/>
      </w:tabs>
      <w:ind w:left="2160"/>
    </w:pPr>
    <w:rPr>
      <w:lang w:val="en-US" w:eastAsia="zh-CN"/>
    </w:rPr>
  </w:style>
  <w:style w:type="paragraph" w:customStyle="1" w:styleId="499">
    <w:name w:val="Char Char Char1"/>
    <w:basedOn w:val="1"/>
    <w:qFormat/>
    <w:uiPriority w:val="0"/>
    <w:rPr>
      <w:rFonts w:ascii="Tahoma" w:hAnsi="Tahoma"/>
      <w:sz w:val="24"/>
      <w:szCs w:val="20"/>
    </w:rPr>
  </w:style>
  <w:style w:type="paragraph" w:customStyle="1" w:styleId="500">
    <w:name w:val="Number 2"/>
    <w:basedOn w:val="1"/>
    <w:qFormat/>
    <w:uiPriority w:val="0"/>
    <w:pPr>
      <w:widowControl/>
      <w:tabs>
        <w:tab w:val="left" w:pos="1440"/>
      </w:tabs>
      <w:spacing w:before="120" w:after="120"/>
      <w:ind w:left="425" w:hanging="425"/>
      <w:jc w:val="left"/>
    </w:pPr>
    <w:rPr>
      <w:rFonts w:ascii="Arial" w:hAnsi="Arial"/>
      <w:kern w:val="0"/>
      <w:sz w:val="22"/>
      <w:szCs w:val="20"/>
      <w:lang w:eastAsia="en-US"/>
    </w:rPr>
  </w:style>
  <w:style w:type="paragraph" w:customStyle="1" w:styleId="501">
    <w:name w:val="•"/>
    <w:basedOn w:val="1"/>
    <w:qFormat/>
    <w:uiPriority w:val="0"/>
    <w:pPr>
      <w:widowControl/>
      <w:tabs>
        <w:tab w:val="left" w:pos="1260"/>
      </w:tabs>
      <w:ind w:left="360" w:hanging="360"/>
      <w:jc w:val="left"/>
    </w:pPr>
    <w:rPr>
      <w:kern w:val="0"/>
      <w:sz w:val="24"/>
      <w:szCs w:val="20"/>
      <w:lang w:eastAsia="en-US"/>
    </w:rPr>
  </w:style>
  <w:style w:type="paragraph" w:customStyle="1" w:styleId="502">
    <w:name w:val="批注框文本11"/>
    <w:basedOn w:val="1"/>
    <w:qFormat/>
    <w:uiPriority w:val="0"/>
    <w:pPr>
      <w:widowControl/>
      <w:jc w:val="left"/>
    </w:pPr>
    <w:rPr>
      <w:rFonts w:ascii="Arial" w:hAnsi="Arial"/>
      <w:kern w:val="0"/>
      <w:sz w:val="18"/>
      <w:szCs w:val="20"/>
      <w:lang w:eastAsia="en-US"/>
    </w:rPr>
  </w:style>
  <w:style w:type="paragraph" w:customStyle="1" w:styleId="503">
    <w:name w:val="Table of Contents"/>
    <w:basedOn w:val="1"/>
    <w:qFormat/>
    <w:uiPriority w:val="0"/>
    <w:pPr>
      <w:widowControl/>
      <w:tabs>
        <w:tab w:val="left" w:pos="440"/>
        <w:tab w:val="left" w:pos="1260"/>
        <w:tab w:val="left" w:pos="2160"/>
        <w:tab w:val="left" w:leader="dot" w:pos="7380"/>
        <w:tab w:val="right" w:pos="8280"/>
      </w:tabs>
      <w:ind w:left="630"/>
      <w:jc w:val="center"/>
    </w:pPr>
    <w:rPr>
      <w:rFonts w:ascii="CG Times" w:hAnsi="CG Times"/>
      <w:b/>
      <w:i/>
      <w:kern w:val="0"/>
      <w:sz w:val="32"/>
      <w:szCs w:val="20"/>
      <w:lang w:val="en-CA" w:eastAsia="en-US"/>
    </w:rPr>
  </w:style>
  <w:style w:type="paragraph" w:customStyle="1" w:styleId="504">
    <w:name w:val="3 bullets"/>
    <w:basedOn w:val="464"/>
    <w:next w:val="464"/>
    <w:qFormat/>
    <w:uiPriority w:val="0"/>
    <w:pPr>
      <w:spacing w:before="60" w:after="60"/>
      <w:ind w:left="342"/>
      <w:jc w:val="center"/>
    </w:pPr>
    <w:rPr>
      <w:rFonts w:ascii="Arial" w:hAnsi="Arial"/>
      <w:b/>
      <w:sz w:val="20"/>
      <w:lang w:val="en-CA"/>
    </w:rPr>
  </w:style>
  <w:style w:type="paragraph" w:customStyle="1" w:styleId="505">
    <w:name w:val="New Bullets"/>
    <w:basedOn w:val="1"/>
    <w:qFormat/>
    <w:uiPriority w:val="0"/>
    <w:pPr>
      <w:widowControl/>
      <w:tabs>
        <w:tab w:val="center" w:pos="4320"/>
        <w:tab w:val="right" w:pos="8640"/>
      </w:tabs>
      <w:ind w:left="800" w:hanging="180"/>
      <w:jc w:val="left"/>
    </w:pPr>
    <w:rPr>
      <w:rFonts w:ascii="Times" w:hAnsi="Times"/>
      <w:kern w:val="0"/>
      <w:sz w:val="24"/>
      <w:szCs w:val="20"/>
      <w:lang w:eastAsia="en-US"/>
    </w:rPr>
  </w:style>
  <w:style w:type="paragraph" w:customStyle="1" w:styleId="506">
    <w:name w:val="表格栏头"/>
    <w:basedOn w:val="482"/>
    <w:next w:val="482"/>
    <w:qFormat/>
    <w:uiPriority w:val="0"/>
    <w:rPr>
      <w:b/>
    </w:rPr>
  </w:style>
  <w:style w:type="paragraph" w:customStyle="1" w:styleId="507">
    <w:name w:val="Style Heading 3 + Left:  0&quot; First line:  0&quot;"/>
    <w:basedOn w:val="4"/>
    <w:qFormat/>
    <w:uiPriority w:val="0"/>
    <w:pPr>
      <w:keepLines w:val="0"/>
      <w:widowControl/>
      <w:numPr>
        <w:ilvl w:val="2"/>
        <w:numId w:val="21"/>
      </w:numPr>
      <w:tabs>
        <w:tab w:val="left" w:pos="1155"/>
        <w:tab w:val="left" w:pos="1440"/>
      </w:tabs>
      <w:spacing w:before="240" w:after="60" w:line="240" w:lineRule="auto"/>
      <w:ind w:firstLine="0" w:firstLineChars="0"/>
      <w:jc w:val="left"/>
    </w:pPr>
    <w:rPr>
      <w:rFonts w:ascii="Arial" w:hAnsi="Arial" w:eastAsia="Arial Unicode MS"/>
      <w:b/>
      <w:bCs w:val="0"/>
      <w:kern w:val="0"/>
      <w:sz w:val="22"/>
      <w:szCs w:val="20"/>
    </w:rPr>
  </w:style>
  <w:style w:type="paragraph" w:customStyle="1" w:styleId="508">
    <w:name w:val="null3"/>
    <w:qFormat/>
    <w:uiPriority w:val="0"/>
    <w:rPr>
      <w:rFonts w:hint="eastAsia" w:ascii="Calibri" w:hAnsi="Calibri" w:eastAsia="宋体" w:cs="Times New Roman"/>
      <w:lang w:val="en-US" w:eastAsia="zh-Hans" w:bidi="ar-SA"/>
    </w:rPr>
  </w:style>
  <w:style w:type="paragraph" w:customStyle="1" w:styleId="509">
    <w:name w:val="tablesmall"/>
    <w:basedOn w:val="1"/>
    <w:qFormat/>
    <w:uiPriority w:val="0"/>
    <w:pPr>
      <w:widowControl/>
      <w:spacing w:before="60" w:after="60"/>
      <w:jc w:val="left"/>
    </w:pPr>
    <w:rPr>
      <w:kern w:val="0"/>
      <w:sz w:val="24"/>
      <w:szCs w:val="20"/>
      <w:lang w:val="en-CA" w:eastAsia="en-US"/>
    </w:rPr>
  </w:style>
  <w:style w:type="paragraph" w:customStyle="1" w:styleId="510">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511">
    <w:name w:val="N1 parag ret"/>
    <w:basedOn w:val="1"/>
    <w:qFormat/>
    <w:uiPriority w:val="0"/>
    <w:pPr>
      <w:widowControl/>
      <w:overflowPunct w:val="0"/>
      <w:autoSpaceDE w:val="0"/>
      <w:autoSpaceDN w:val="0"/>
      <w:adjustRightInd w:val="0"/>
      <w:spacing w:after="240"/>
      <w:ind w:left="360"/>
      <w:textAlignment w:val="baseline"/>
    </w:pPr>
    <w:rPr>
      <w:rFonts w:eastAsia="Times New Roman"/>
      <w:kern w:val="0"/>
      <w:sz w:val="22"/>
      <w:szCs w:val="20"/>
      <w:lang w:val="fr-CA" w:eastAsia="en-US"/>
    </w:rPr>
  </w:style>
  <w:style w:type="paragraph" w:customStyle="1" w:styleId="512">
    <w:name w:val="Para 3 numbering"/>
    <w:basedOn w:val="1"/>
    <w:qFormat/>
    <w:uiPriority w:val="0"/>
    <w:pPr>
      <w:numPr>
        <w:ilvl w:val="0"/>
        <w:numId w:val="22"/>
      </w:numPr>
      <w:tabs>
        <w:tab w:val="left" w:pos="360"/>
      </w:tabs>
      <w:spacing w:before="60" w:after="60" w:line="240" w:lineRule="atLeast"/>
    </w:pPr>
    <w:rPr>
      <w:rFonts w:ascii="Arial" w:hAnsi="Arial" w:eastAsia="MS Mincho"/>
      <w:kern w:val="0"/>
      <w:sz w:val="24"/>
      <w:szCs w:val="20"/>
      <w:lang w:eastAsia="en-US"/>
    </w:rPr>
  </w:style>
  <w:style w:type="paragraph" w:customStyle="1" w:styleId="513">
    <w:name w:val="Bullet_4"/>
    <w:basedOn w:val="1"/>
    <w:qFormat/>
    <w:uiPriority w:val="0"/>
    <w:pPr>
      <w:widowControl/>
      <w:tabs>
        <w:tab w:val="left" w:pos="3024"/>
      </w:tabs>
      <w:spacing w:before="120" w:after="120"/>
      <w:ind w:left="425" w:hanging="425"/>
    </w:pPr>
    <w:rPr>
      <w:rFonts w:ascii="Arial" w:hAnsi="Arial"/>
      <w:kern w:val="0"/>
      <w:sz w:val="22"/>
      <w:szCs w:val="20"/>
      <w:lang w:eastAsia="en-US"/>
    </w:rPr>
  </w:style>
  <w:style w:type="paragraph" w:customStyle="1" w:styleId="514">
    <w:name w:val="版权"/>
    <w:basedOn w:val="1"/>
    <w:qFormat/>
    <w:uiPriority w:val="0"/>
    <w:pPr>
      <w:spacing w:before="312" w:after="312"/>
      <w:ind w:firstLine="480"/>
      <w:jc w:val="center"/>
      <w:outlineLvl w:val="0"/>
    </w:pPr>
    <w:rPr>
      <w:rFonts w:ascii="华文中宋" w:hAnsi="华文中宋"/>
      <w:b/>
      <w:sz w:val="24"/>
      <w:szCs w:val="20"/>
    </w:rPr>
  </w:style>
  <w:style w:type="paragraph" w:customStyle="1" w:styleId="515">
    <w:name w:val="WORKSHEET"/>
    <w:basedOn w:val="1"/>
    <w:qFormat/>
    <w:uiPriority w:val="0"/>
    <w:pPr>
      <w:pageBreakBefore/>
      <w:spacing w:after="120"/>
      <w:jc w:val="center"/>
    </w:pPr>
    <w:rPr>
      <w:rFonts w:ascii="Arial" w:hAnsi="Arial"/>
      <w:b/>
      <w:kern w:val="0"/>
      <w:sz w:val="28"/>
      <w:szCs w:val="20"/>
      <w:lang w:val="fr-FR" w:eastAsia="en-US"/>
    </w:rPr>
  </w:style>
  <w:style w:type="paragraph" w:customStyle="1" w:styleId="516">
    <w:name w:val="p33"/>
    <w:basedOn w:val="1"/>
    <w:qFormat/>
    <w:uiPriority w:val="0"/>
    <w:pPr>
      <w:widowControl/>
      <w:tabs>
        <w:tab w:val="right" w:pos="2160"/>
      </w:tabs>
      <w:spacing w:before="120" w:after="120"/>
      <w:ind w:left="720" w:right="288"/>
    </w:pPr>
    <w:rPr>
      <w:kern w:val="0"/>
      <w:sz w:val="24"/>
      <w:szCs w:val="20"/>
      <w:lang w:eastAsia="en-US"/>
    </w:rPr>
  </w:style>
  <w:style w:type="paragraph" w:customStyle="1" w:styleId="517">
    <w:name w:val="Normal_2"/>
    <w:basedOn w:val="1"/>
    <w:qFormat/>
    <w:uiPriority w:val="0"/>
    <w:pPr>
      <w:widowControl/>
      <w:spacing w:after="120"/>
      <w:ind w:left="432"/>
    </w:pPr>
    <w:rPr>
      <w:rFonts w:ascii="Arial" w:hAnsi="Arial" w:eastAsia="Times New Roman"/>
      <w:kern w:val="0"/>
      <w:sz w:val="22"/>
      <w:szCs w:val="20"/>
      <w:lang w:eastAsia="en-US"/>
    </w:rPr>
  </w:style>
  <w:style w:type="paragraph" w:customStyle="1" w:styleId="518">
    <w:name w:val="table0"/>
    <w:basedOn w:val="48"/>
    <w:qFormat/>
    <w:uiPriority w:val="0"/>
    <w:pPr>
      <w:widowControl/>
      <w:pBdr>
        <w:bottom w:val="none" w:color="auto" w:sz="0" w:space="0"/>
      </w:pBdr>
      <w:tabs>
        <w:tab w:val="clear" w:pos="4153"/>
        <w:tab w:val="clear" w:pos="8306"/>
      </w:tabs>
      <w:snapToGrid/>
      <w:spacing w:before="40" w:after="40"/>
      <w:jc w:val="left"/>
    </w:pPr>
    <w:rPr>
      <w:kern w:val="0"/>
      <w:sz w:val="20"/>
      <w:szCs w:val="20"/>
      <w:lang w:val="en-CA" w:eastAsia="en-US"/>
    </w:rPr>
  </w:style>
  <w:style w:type="paragraph" w:customStyle="1" w:styleId="519">
    <w:name w:val="Bullet_5"/>
    <w:basedOn w:val="1"/>
    <w:qFormat/>
    <w:uiPriority w:val="0"/>
    <w:pPr>
      <w:widowControl/>
      <w:numPr>
        <w:ilvl w:val="0"/>
        <w:numId w:val="23"/>
      </w:numPr>
      <w:tabs>
        <w:tab w:val="left" w:pos="5220"/>
      </w:tabs>
      <w:spacing w:before="120" w:after="120"/>
    </w:pPr>
    <w:rPr>
      <w:rFonts w:ascii="Arial" w:hAnsi="Arial"/>
      <w:kern w:val="0"/>
      <w:sz w:val="22"/>
      <w:szCs w:val="20"/>
      <w:lang w:eastAsia="en-US"/>
    </w:rPr>
  </w:style>
  <w:style w:type="paragraph" w:customStyle="1" w:styleId="520">
    <w:name w:val="List Paragraph1"/>
    <w:basedOn w:val="1"/>
    <w:qFormat/>
    <w:uiPriority w:val="0"/>
    <w:pPr>
      <w:ind w:left="720"/>
    </w:pPr>
    <w:rPr>
      <w:sz w:val="18"/>
      <w:szCs w:val="20"/>
    </w:rPr>
  </w:style>
  <w:style w:type="paragraph" w:customStyle="1" w:styleId="521">
    <w:name w:val="普通(Web)"/>
    <w:basedOn w:val="1"/>
    <w:qFormat/>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52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523">
    <w:name w:val="Balloon Text1"/>
    <w:basedOn w:val="1"/>
    <w:qFormat/>
    <w:uiPriority w:val="0"/>
    <w:pPr>
      <w:widowControl/>
      <w:jc w:val="left"/>
    </w:pPr>
    <w:rPr>
      <w:rFonts w:ascii="Tahoma" w:hAnsi="Tahoma"/>
      <w:kern w:val="0"/>
      <w:sz w:val="16"/>
      <w:szCs w:val="20"/>
      <w:lang w:eastAsia="en-US"/>
    </w:rPr>
  </w:style>
  <w:style w:type="paragraph" w:customStyle="1" w:styleId="524">
    <w:name w:val="信息标题2"/>
    <w:basedOn w:val="19"/>
    <w:next w:val="19"/>
    <w:qFormat/>
    <w:uiPriority w:val="0"/>
    <w:pPr>
      <w:spacing w:before="156" w:beforeLines="50" w:after="156" w:afterLines="50"/>
      <w:ind w:left="422" w:hanging="422" w:hangingChars="200"/>
      <w:jc w:val="left"/>
    </w:pPr>
    <w:rPr>
      <w:rFonts w:ascii="Arial Black" w:hAnsi="Arial Black" w:eastAsia="宋体" w:cs="Times New Roman"/>
      <w:b/>
      <w:bCs/>
      <w:sz w:val="30"/>
    </w:rPr>
  </w:style>
  <w:style w:type="paragraph" w:customStyle="1" w:styleId="525">
    <w:name w:val="xxx"/>
    <w:basedOn w:val="468"/>
    <w:qFormat/>
    <w:uiPriority w:val="0"/>
    <w:pPr>
      <w:tabs>
        <w:tab w:val="left" w:pos="425"/>
        <w:tab w:val="clear" w:pos="864"/>
      </w:tabs>
      <w:ind w:left="0" w:firstLine="0"/>
      <w:jc w:val="left"/>
    </w:pPr>
  </w:style>
  <w:style w:type="paragraph" w:customStyle="1" w:styleId="526">
    <w:name w:val="P1"/>
    <w:qFormat/>
    <w:uiPriority w:val="0"/>
    <w:pPr>
      <w:tabs>
        <w:tab w:val="right" w:pos="2160"/>
      </w:tabs>
      <w:spacing w:before="120" w:after="120"/>
      <w:ind w:left="634" w:right="288"/>
      <w:jc w:val="both"/>
    </w:pPr>
    <w:rPr>
      <w:rFonts w:ascii="Times New Roman" w:hAnsi="Times New Roman" w:eastAsia="宋体" w:cs="Times New Roman"/>
      <w:sz w:val="24"/>
      <w:lang w:val="en-US" w:eastAsia="en-US" w:bidi="ar-SA"/>
    </w:rPr>
  </w:style>
  <w:style w:type="paragraph" w:customStyle="1" w:styleId="527">
    <w:name w:val="Text 3"/>
    <w:basedOn w:val="1"/>
    <w:qFormat/>
    <w:uiPriority w:val="0"/>
    <w:pPr>
      <w:widowControl/>
      <w:autoSpaceDE w:val="0"/>
      <w:autoSpaceDN w:val="0"/>
      <w:adjustRightInd w:val="0"/>
      <w:ind w:left="1440"/>
      <w:jc w:val="left"/>
    </w:pPr>
    <w:rPr>
      <w:rFonts w:ascii="Arial" w:hAnsi="Arial"/>
      <w:kern w:val="0"/>
      <w:sz w:val="22"/>
      <w:szCs w:val="20"/>
      <w:lang w:eastAsia="en-US"/>
    </w:rPr>
  </w:style>
  <w:style w:type="paragraph" w:customStyle="1" w:styleId="528">
    <w:name w:val="Table bullets 2"/>
    <w:basedOn w:val="1"/>
    <w:qFormat/>
    <w:uiPriority w:val="0"/>
    <w:pPr>
      <w:widowControl/>
      <w:spacing w:before="40" w:after="40"/>
      <w:ind w:left="360" w:hanging="180"/>
      <w:jc w:val="left"/>
    </w:pPr>
    <w:rPr>
      <w:rFonts w:ascii="Times" w:hAnsi="Times"/>
      <w:kern w:val="0"/>
      <w:sz w:val="24"/>
      <w:szCs w:val="20"/>
      <w:lang w:eastAsia="en-US"/>
    </w:rPr>
  </w:style>
  <w:style w:type="paragraph" w:customStyle="1" w:styleId="529">
    <w:name w:val="無間距"/>
    <w:qFormat/>
    <w:uiPriority w:val="0"/>
    <w:pPr>
      <w:widowControl w:val="0"/>
    </w:pPr>
    <w:rPr>
      <w:rFonts w:ascii="Times New Roman" w:hAnsi="Times New Roman" w:eastAsia="PMingLiU" w:cs="Times New Roman"/>
      <w:kern w:val="2"/>
      <w:sz w:val="24"/>
      <w:szCs w:val="22"/>
      <w:lang w:val="en-US" w:eastAsia="zh-TW" w:bidi="ar-SA"/>
    </w:rPr>
  </w:style>
  <w:style w:type="paragraph" w:customStyle="1" w:styleId="530">
    <w:name w:val="Text 2"/>
    <w:basedOn w:val="1"/>
    <w:qFormat/>
    <w:uiPriority w:val="0"/>
    <w:pPr>
      <w:widowControl/>
      <w:ind w:left="720"/>
      <w:jc w:val="left"/>
    </w:pPr>
    <w:rPr>
      <w:rFonts w:ascii="Arial" w:hAnsi="Arial"/>
      <w:kern w:val="0"/>
      <w:sz w:val="22"/>
      <w:szCs w:val="20"/>
      <w:lang w:eastAsia="en-US"/>
    </w:rPr>
  </w:style>
  <w:style w:type="paragraph" w:customStyle="1" w:styleId="531">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532">
    <w:name w:val="C1"/>
    <w:basedOn w:val="1"/>
    <w:qFormat/>
    <w:uiPriority w:val="0"/>
    <w:pPr>
      <w:widowControl/>
      <w:spacing w:before="60" w:after="60"/>
      <w:ind w:left="360"/>
      <w:jc w:val="left"/>
    </w:pPr>
    <w:rPr>
      <w:b/>
      <w:kern w:val="0"/>
      <w:sz w:val="20"/>
      <w:szCs w:val="20"/>
      <w:lang w:val="en-CA" w:eastAsia="en-US"/>
    </w:rPr>
  </w:style>
  <w:style w:type="paragraph" w:customStyle="1" w:styleId="533">
    <w:name w:val="1 level para"/>
    <w:basedOn w:val="452"/>
    <w:qFormat/>
    <w:uiPriority w:val="0"/>
    <w:pPr>
      <w:ind w:left="634"/>
    </w:pPr>
  </w:style>
  <w:style w:type="paragraph" w:customStyle="1" w:styleId="534">
    <w:name w:val="Para 1 bullets"/>
    <w:basedOn w:val="1"/>
    <w:qFormat/>
    <w:uiPriority w:val="0"/>
    <w:pPr>
      <w:widowControl/>
      <w:numPr>
        <w:ilvl w:val="0"/>
        <w:numId w:val="24"/>
      </w:numPr>
      <w:tabs>
        <w:tab w:val="left" w:pos="1680"/>
      </w:tabs>
      <w:overflowPunct w:val="0"/>
      <w:autoSpaceDE w:val="0"/>
      <w:autoSpaceDN w:val="0"/>
      <w:adjustRightInd w:val="0"/>
      <w:spacing w:after="120"/>
      <w:textAlignment w:val="baseline"/>
    </w:pPr>
    <w:rPr>
      <w:rFonts w:ascii="Arial" w:hAnsi="Arial" w:eastAsia="MS Mincho"/>
      <w:kern w:val="0"/>
      <w:sz w:val="24"/>
      <w:szCs w:val="20"/>
      <w:lang w:eastAsia="en-US"/>
    </w:rPr>
  </w:style>
  <w:style w:type="paragraph" w:customStyle="1" w:styleId="535">
    <w:name w:val="Point 3.1C"/>
    <w:basedOn w:val="454"/>
    <w:qFormat/>
    <w:uiPriority w:val="0"/>
    <w:pPr>
      <w:tabs>
        <w:tab w:val="clear" w:pos="1681"/>
      </w:tabs>
      <w:ind w:firstLine="0"/>
    </w:pPr>
    <w:rPr>
      <w:lang w:eastAsia="zh-CN"/>
    </w:rPr>
  </w:style>
  <w:style w:type="paragraph" w:customStyle="1" w:styleId="536">
    <w:name w:val="vti  number"/>
    <w:basedOn w:val="1"/>
    <w:qFormat/>
    <w:uiPriority w:val="0"/>
    <w:pPr>
      <w:widowControl/>
      <w:spacing w:before="120" w:after="240"/>
      <w:ind w:left="1080" w:hanging="360"/>
      <w:jc w:val="left"/>
    </w:pPr>
    <w:rPr>
      <w:rFonts w:ascii="CG Times" w:hAnsi="CG Times"/>
      <w:kern w:val="0"/>
      <w:sz w:val="24"/>
      <w:szCs w:val="20"/>
      <w:lang w:val="en-GB" w:eastAsia="en-US"/>
    </w:rPr>
  </w:style>
  <w:style w:type="paragraph" w:customStyle="1" w:styleId="537">
    <w:name w:val="AD"/>
    <w:qFormat/>
    <w:uiPriority w:val="0"/>
    <w:pPr>
      <w:spacing w:line="240" w:lineRule="atLeast"/>
    </w:pPr>
    <w:rPr>
      <w:rFonts w:ascii="Symbol" w:hAnsi="Symbol" w:eastAsia="宋体" w:cs="Times New Roman"/>
      <w:sz w:val="24"/>
      <w:lang w:val="en-US" w:eastAsia="en-US" w:bidi="ar-SA"/>
    </w:rPr>
  </w:style>
  <w:style w:type="paragraph" w:customStyle="1" w:styleId="538">
    <w:name w:val="Text 3 Underline"/>
    <w:basedOn w:val="527"/>
    <w:qFormat/>
    <w:uiPriority w:val="0"/>
    <w:rPr>
      <w:u w:val="single"/>
    </w:rPr>
  </w:style>
  <w:style w:type="paragraph" w:customStyle="1" w:styleId="539">
    <w:name w:val="Test Number"/>
    <w:basedOn w:val="445"/>
    <w:qFormat/>
    <w:uiPriority w:val="0"/>
    <w:pPr>
      <w:widowControl w:val="0"/>
      <w:ind w:left="360" w:hanging="360"/>
      <w:jc w:val="center"/>
    </w:pPr>
    <w:rPr>
      <w:b/>
      <w:lang w:val="en-CA"/>
    </w:rPr>
  </w:style>
  <w:style w:type="paragraph" w:customStyle="1" w:styleId="540">
    <w:name w:val="table left"/>
    <w:basedOn w:val="1"/>
    <w:qFormat/>
    <w:uiPriority w:val="0"/>
    <w:pPr>
      <w:widowControl/>
      <w:spacing w:before="60" w:after="60"/>
      <w:jc w:val="left"/>
    </w:pPr>
    <w:rPr>
      <w:kern w:val="0"/>
      <w:sz w:val="24"/>
      <w:szCs w:val="20"/>
      <w:lang w:val="en-CA" w:eastAsia="en-US"/>
    </w:rPr>
  </w:style>
  <w:style w:type="paragraph" w:customStyle="1" w:styleId="541">
    <w:name w:val="Appendix"/>
    <w:basedOn w:val="2"/>
    <w:qFormat/>
    <w:uiPriority w:val="0"/>
    <w:pPr>
      <w:keepNext w:val="0"/>
      <w:keepLines w:val="0"/>
      <w:widowControl/>
      <w:tabs>
        <w:tab w:val="left" w:pos="425"/>
        <w:tab w:val="left" w:pos="1126"/>
      </w:tabs>
      <w:spacing w:before="0" w:after="0" w:line="240" w:lineRule="auto"/>
      <w:jc w:val="left"/>
    </w:pPr>
    <w:rPr>
      <w:rFonts w:eastAsia="Arial Unicode MS"/>
      <w:b w:val="0"/>
      <w:bCs w:val="0"/>
      <w:kern w:val="0"/>
      <w:sz w:val="22"/>
      <w:szCs w:val="20"/>
      <w:u w:val="single"/>
    </w:rPr>
  </w:style>
  <w:style w:type="paragraph" w:customStyle="1" w:styleId="542">
    <w:name w:val="Document 1"/>
    <w:qFormat/>
    <w:uiPriority w:val="0"/>
    <w:pPr>
      <w:keepNext/>
      <w:keepLines/>
      <w:tabs>
        <w:tab w:val="left" w:pos="-720"/>
      </w:tabs>
      <w:suppressAutoHyphens/>
      <w:spacing w:after="120"/>
    </w:pPr>
    <w:rPr>
      <w:rFonts w:ascii="Arial" w:hAnsi="Arial" w:eastAsia="Times New Roman" w:cs="Times New Roman"/>
      <w:sz w:val="22"/>
      <w:lang w:val="en-US" w:eastAsia="en-US" w:bidi="ar-SA"/>
    </w:rPr>
  </w:style>
  <w:style w:type="paragraph" w:customStyle="1" w:styleId="543">
    <w:name w:val="table small title"/>
    <w:basedOn w:val="1"/>
    <w:qFormat/>
    <w:uiPriority w:val="0"/>
    <w:pPr>
      <w:widowControl/>
      <w:spacing w:before="120" w:after="120" w:line="360" w:lineRule="auto"/>
      <w:jc w:val="center"/>
    </w:pPr>
    <w:rPr>
      <w:b/>
      <w:kern w:val="0"/>
      <w:sz w:val="24"/>
      <w:szCs w:val="20"/>
      <w:lang w:eastAsia="en-US"/>
    </w:rPr>
  </w:style>
  <w:style w:type="paragraph" w:customStyle="1" w:styleId="544">
    <w:name w:val="Normal Indented 1"/>
    <w:basedOn w:val="48"/>
    <w:qFormat/>
    <w:uiPriority w:val="0"/>
    <w:pPr>
      <w:widowControl/>
      <w:pBdr>
        <w:bottom w:val="none" w:color="auto" w:sz="0" w:space="0"/>
      </w:pBdr>
      <w:tabs>
        <w:tab w:val="clear" w:pos="4153"/>
        <w:tab w:val="clear" w:pos="8306"/>
      </w:tabs>
      <w:snapToGrid/>
      <w:spacing w:after="120"/>
      <w:ind w:left="720"/>
      <w:jc w:val="left"/>
    </w:pPr>
    <w:rPr>
      <w:rFonts w:eastAsia="Times New Roman"/>
      <w:kern w:val="0"/>
      <w:sz w:val="24"/>
      <w:szCs w:val="20"/>
      <w:lang w:eastAsia="en-US"/>
    </w:rPr>
  </w:style>
  <w:style w:type="paragraph" w:customStyle="1" w:styleId="545">
    <w:name w:val="Table Text 1"/>
    <w:basedOn w:val="1"/>
    <w:qFormat/>
    <w:uiPriority w:val="0"/>
    <w:pPr>
      <w:widowControl/>
      <w:spacing w:before="60" w:after="60"/>
      <w:jc w:val="left"/>
    </w:pPr>
    <w:rPr>
      <w:kern w:val="0"/>
      <w:sz w:val="22"/>
      <w:szCs w:val="20"/>
      <w:lang w:eastAsia="en-US"/>
    </w:rPr>
  </w:style>
  <w:style w:type="paragraph" w:customStyle="1" w:styleId="546">
    <w:name w:val="题目副题"/>
    <w:basedOn w:val="55"/>
    <w:qFormat/>
    <w:uiPriority w:val="0"/>
    <w:pPr>
      <w:spacing w:after="312"/>
      <w:ind w:left="240" w:firstLine="600"/>
      <w:outlineLvl w:val="9"/>
    </w:pPr>
    <w:rPr>
      <w:rFonts w:ascii="宋体" w:hAnsi="宋体"/>
      <w:bCs w:val="0"/>
      <w:sz w:val="30"/>
      <w:szCs w:val="20"/>
      <w:lang w:val="en-US"/>
    </w:rPr>
  </w:style>
  <w:style w:type="paragraph" w:customStyle="1" w:styleId="54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4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4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5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26BCB-9430-4DF4-8F77-1607931FFB31}">
  <ds:schemaRefs/>
</ds:datastoreItem>
</file>

<file path=docProps/app.xml><?xml version="1.0" encoding="utf-8"?>
<Properties xmlns="http://schemas.openxmlformats.org/officeDocument/2006/extended-properties" xmlns:vt="http://schemas.openxmlformats.org/officeDocument/2006/docPropsVTypes">
  <Template>Normal</Template>
  <Pages>99</Pages>
  <Words>817</Words>
  <Characters>1015</Characters>
  <Lines>4242</Lines>
  <Paragraphs>4247</Paragraphs>
  <TotalTime>36</TotalTime>
  <ScaleCrop>false</ScaleCrop>
  <LinksUpToDate>false</LinksUpToDate>
  <CharactersWithSpaces>1172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2025-08-05T00:20:00Z</dcterms:created>
  <dc:creator>zj</dc:creator>
  <cp:lastModifiedBy>中经</cp:lastModifiedBy>
  <cp:lastPrinted>2025-07-31T01:30:00Z</cp:lastPrinted>
  <dcterms:modified xsi:type="dcterms:W3CDTF">2025-11-10T09:38:58Z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5DFB0244442E4A98BF0F457685CC0273_13</vt:lpwstr>
  </property>
  <property fmtid="{D5CDD505-2E9C-101B-9397-08002B2CF9AE}" pid="4" name="KSOTemplateDocerSaveRecord">
    <vt:lpwstr>eyJoZGlkIjoiOWUzYzkyYjk2ZDUxNWFlN2FlMTk1ZjUzNjkzZTRlNzYiLCJ1c2VySWQiOiIyNTU3MjY3MDEifQ==</vt:lpwstr>
  </property>
</Properties>
</file>