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b/>
          <w:bCs/>
          <w:color w:val="000000" w:themeColor="text1"/>
          <w:spacing w:val="40"/>
          <w:sz w:val="44"/>
          <w:szCs w:val="44"/>
          <w14:textFill>
            <w14:solidFill>
              <w14:schemeClr w14:val="tx1"/>
            </w14:solidFill>
          </w14:textFill>
        </w:rPr>
      </w:pPr>
    </w:p>
    <w:p>
      <w:pPr>
        <w:jc w:val="center"/>
        <w:rPr>
          <w:rFonts w:hint="eastAsia" w:eastAsia="楷体_GB2312"/>
          <w:b/>
          <w:bCs/>
          <w:spacing w:val="26"/>
          <w:sz w:val="56"/>
          <w:szCs w:val="56"/>
          <w:highlight w:val="none"/>
          <w:lang w:eastAsia="zh-CN"/>
        </w:rPr>
      </w:pPr>
      <w:r>
        <w:rPr>
          <w:rFonts w:hint="eastAsia" w:eastAsia="楷体_GB2312"/>
          <w:b/>
          <w:bCs/>
          <w:spacing w:val="26"/>
          <w:sz w:val="56"/>
          <w:szCs w:val="56"/>
          <w:highlight w:val="none"/>
          <w:lang w:eastAsia="zh-CN"/>
        </w:rPr>
        <w:t>广州市增城区荔城街荔城新桥路6号原办公楼及原修理厂</w:t>
      </w:r>
    </w:p>
    <w:p>
      <w:pPr>
        <w:jc w:val="center"/>
        <w:rPr>
          <w:rFonts w:hint="eastAsia" w:eastAsia="宋体"/>
          <w:highlight w:val="none"/>
          <w:lang w:eastAsia="zh-CN"/>
        </w:rPr>
      </w:pPr>
      <w:r>
        <w:rPr>
          <w:rFonts w:hint="eastAsia" w:eastAsia="楷体_GB2312"/>
          <w:b/>
          <w:bCs/>
          <w:spacing w:val="26"/>
          <w:sz w:val="56"/>
          <w:szCs w:val="56"/>
          <w:highlight w:val="none"/>
          <w:lang w:eastAsia="zh-CN"/>
        </w:rPr>
        <w:t>装修改造工程</w:t>
      </w:r>
    </w:p>
    <w:p>
      <w:pPr>
        <w:spacing w:line="360" w:lineRule="auto"/>
        <w:jc w:val="center"/>
        <w:rPr>
          <w:rFonts w:eastAsia="楷体_GB2312"/>
          <w:b/>
          <w:bCs/>
          <w:color w:val="000000" w:themeColor="text1"/>
          <w:spacing w:val="26"/>
          <w:sz w:val="110"/>
          <w:szCs w:val="110"/>
          <w14:textFill>
            <w14:solidFill>
              <w14:schemeClr w14:val="tx1"/>
            </w14:solidFill>
          </w14:textFill>
        </w:rPr>
      </w:pPr>
    </w:p>
    <w:p>
      <w:pPr>
        <w:spacing w:line="360" w:lineRule="auto"/>
        <w:jc w:val="center"/>
        <w:rPr>
          <w:rFonts w:eastAsia="楷体_GB2312"/>
          <w:b/>
          <w:bCs/>
          <w:color w:val="000000" w:themeColor="text1"/>
          <w:spacing w:val="26"/>
          <w:sz w:val="110"/>
          <w:szCs w:val="110"/>
          <w14:textFill>
            <w14:solidFill>
              <w14:schemeClr w14:val="tx1"/>
            </w14:solidFill>
          </w14:textFill>
        </w:rPr>
      </w:pPr>
    </w:p>
    <w:p>
      <w:pPr>
        <w:spacing w:line="360" w:lineRule="auto"/>
        <w:jc w:val="center"/>
        <w:rPr>
          <w:rFonts w:hint="eastAsia" w:eastAsia="楷体_GB2312" w:cs="Times New Roman"/>
          <w:b/>
          <w:bCs/>
          <w:spacing w:val="26"/>
          <w:sz w:val="80"/>
          <w:szCs w:val="80"/>
          <w:highlight w:val="none"/>
        </w:rPr>
      </w:pPr>
      <w:r>
        <w:rPr>
          <w:rFonts w:hint="eastAsia" w:eastAsia="楷体_GB2312" w:cs="Times New Roman"/>
          <w:b/>
          <w:bCs/>
          <w:spacing w:val="26"/>
          <w:sz w:val="80"/>
          <w:szCs w:val="80"/>
          <w:highlight w:val="none"/>
        </w:rPr>
        <w:t>招标文件</w:t>
      </w:r>
    </w:p>
    <w:p>
      <w:pPr>
        <w:spacing w:line="360" w:lineRule="auto"/>
        <w:jc w:val="center"/>
        <w:rPr>
          <w:color w:val="000000" w:themeColor="text1"/>
          <w:sz w:val="32"/>
          <w14:textFill>
            <w14:solidFill>
              <w14:schemeClr w14:val="tx1"/>
            </w14:solidFill>
          </w14:textFill>
        </w:rPr>
      </w:pPr>
    </w:p>
    <w:p>
      <w:pPr>
        <w:spacing w:line="360" w:lineRule="auto"/>
        <w:ind w:firstLine="2560" w:firstLineChars="800"/>
        <w:rPr>
          <w:color w:val="000000" w:themeColor="text1"/>
          <w:sz w:val="32"/>
          <w14:textFill>
            <w14:solidFill>
              <w14:schemeClr w14:val="tx1"/>
            </w14:solidFill>
          </w14:textFill>
        </w:rPr>
      </w:pPr>
    </w:p>
    <w:p>
      <w:pPr>
        <w:pStyle w:val="2"/>
      </w:pPr>
    </w:p>
    <w:p/>
    <w:p>
      <w:pPr>
        <w:pStyle w:val="7"/>
      </w:pPr>
    </w:p>
    <w:p>
      <w:pPr>
        <w:spacing w:line="360" w:lineRule="auto"/>
        <w:rPr>
          <w:color w:val="000000" w:themeColor="text1"/>
          <w:sz w:val="52"/>
          <w14:textFill>
            <w14:solidFill>
              <w14:schemeClr w14:val="tx1"/>
            </w14:solidFill>
          </w14:textFill>
        </w:rPr>
      </w:pPr>
    </w:p>
    <w:p>
      <w:pPr>
        <w:spacing w:line="360" w:lineRule="auto"/>
        <w:jc w:val="center"/>
        <w:rPr>
          <w:rFonts w:hint="eastAsia" w:ascii="宋体" w:hAnsi="宋体" w:cs="宋体"/>
          <w:b/>
          <w:bCs/>
          <w:sz w:val="32"/>
          <w:szCs w:val="30"/>
          <w:lang w:val="zh-CN"/>
        </w:rPr>
      </w:pPr>
      <w:r>
        <w:rPr>
          <w:rFonts w:hint="eastAsia" w:ascii="宋体" w:hAnsi="宋体" w:cs="宋体"/>
          <w:b/>
          <w:bCs/>
          <w:sz w:val="32"/>
          <w:szCs w:val="30"/>
          <w:lang w:val="zh-CN"/>
        </w:rPr>
        <w:t>招标人：广州市荔通公共汽车有限公司</w:t>
      </w:r>
    </w:p>
    <w:p>
      <w:pPr>
        <w:spacing w:line="360" w:lineRule="auto"/>
        <w:jc w:val="center"/>
        <w:rPr>
          <w:rFonts w:hint="eastAsia" w:ascii="宋体" w:hAnsi="宋体" w:cs="宋体"/>
          <w:b/>
          <w:bCs/>
          <w:sz w:val="32"/>
          <w:szCs w:val="30"/>
        </w:rPr>
      </w:pPr>
      <w:r>
        <w:rPr>
          <w:rFonts w:hint="eastAsia" w:ascii="宋体" w:hAnsi="宋体" w:cs="宋体"/>
          <w:b/>
          <w:bCs/>
          <w:sz w:val="32"/>
          <w:szCs w:val="30"/>
          <w:lang w:val="zh-CN"/>
        </w:rPr>
        <w:t>招标代理机构：广州公交集团创新服务有限公司</w:t>
      </w:r>
    </w:p>
    <w:p>
      <w:pPr>
        <w:spacing w:line="360" w:lineRule="auto"/>
        <w:jc w:val="center"/>
        <w:rPr>
          <w:color w:val="000000" w:themeColor="text1"/>
          <w:sz w:val="32"/>
          <w14:textFill>
            <w14:solidFill>
              <w14:schemeClr w14:val="tx1"/>
            </w14:solidFill>
          </w14:textFill>
        </w:rPr>
      </w:pPr>
      <w:r>
        <w:rPr>
          <w:rFonts w:hint="eastAsia" w:ascii="宋体" w:hAnsi="宋体" w:cs="宋体"/>
          <w:b/>
          <w:bCs/>
          <w:sz w:val="32"/>
          <w:szCs w:val="30"/>
          <w:lang w:val="zh-CN"/>
        </w:rPr>
        <w:t>日期：</w:t>
      </w:r>
      <w:r>
        <w:rPr>
          <w:rFonts w:hint="eastAsia" w:ascii="宋体" w:hAnsi="宋体" w:cs="宋体"/>
          <w:b/>
          <w:bCs/>
          <w:sz w:val="32"/>
          <w:szCs w:val="30"/>
          <w:u w:val="single"/>
          <w:lang w:val="zh-CN"/>
        </w:rPr>
        <w:t>20</w:t>
      </w:r>
      <w:r>
        <w:rPr>
          <w:rFonts w:hint="eastAsia" w:ascii="宋体" w:hAnsi="宋体" w:cs="宋体"/>
          <w:b/>
          <w:bCs/>
          <w:sz w:val="32"/>
          <w:szCs w:val="30"/>
          <w:u w:val="single"/>
        </w:rPr>
        <w:t>25</w:t>
      </w:r>
      <w:r>
        <w:rPr>
          <w:rFonts w:hint="eastAsia" w:ascii="宋体" w:hAnsi="宋体" w:cs="宋体"/>
          <w:b/>
          <w:bCs/>
          <w:sz w:val="32"/>
          <w:szCs w:val="30"/>
          <w:u w:val="single"/>
          <w:lang w:val="zh-CN"/>
        </w:rPr>
        <w:t>年</w:t>
      </w:r>
      <w:r>
        <w:rPr>
          <w:rFonts w:hint="eastAsia" w:ascii="宋体" w:hAnsi="宋体" w:cs="宋体"/>
          <w:b/>
          <w:bCs/>
          <w:sz w:val="32"/>
          <w:szCs w:val="30"/>
          <w:u w:val="single"/>
          <w:lang w:val="en-US" w:eastAsia="zh-CN"/>
        </w:rPr>
        <w:t>11</w:t>
      </w:r>
      <w:r>
        <w:rPr>
          <w:rFonts w:hint="eastAsia" w:ascii="宋体" w:hAnsi="宋体" w:cs="宋体"/>
          <w:b/>
          <w:bCs/>
          <w:sz w:val="32"/>
          <w:szCs w:val="30"/>
          <w:u w:val="single"/>
          <w:lang w:val="zh-CN"/>
        </w:rPr>
        <w:t>月</w:t>
      </w:r>
      <w:r>
        <w:rPr>
          <w:rFonts w:hint="eastAsia" w:ascii="宋体" w:hAnsi="宋体" w:cs="宋体"/>
          <w:b/>
          <w:bCs/>
          <w:sz w:val="32"/>
          <w:szCs w:val="30"/>
          <w:u w:val="single"/>
          <w:lang w:val="en-US" w:eastAsia="zh-CN"/>
        </w:rPr>
        <w:t>10</w:t>
      </w:r>
      <w:r>
        <w:rPr>
          <w:rFonts w:hint="eastAsia" w:ascii="宋体" w:hAnsi="宋体" w:cs="宋体"/>
          <w:b/>
          <w:bCs/>
          <w:sz w:val="32"/>
          <w:szCs w:val="30"/>
          <w:u w:val="single"/>
        </w:rPr>
        <w:t>日</w:t>
      </w:r>
    </w:p>
    <w:p>
      <w:pPr>
        <w:spacing w:line="360" w:lineRule="auto"/>
        <w:ind w:left="359" w:leftChars="171"/>
        <w:jc w:val="both"/>
        <w:rPr>
          <w:sz w:val="36"/>
          <w:highlight w:val="none"/>
          <w:u w:val="single"/>
        </w:rPr>
      </w:pPr>
      <w:r>
        <w:rPr>
          <w:rStyle w:val="43"/>
          <w:b/>
          <w:bCs/>
          <w:color w:val="000000" w:themeColor="text1"/>
          <w14:textFill>
            <w14:solidFill>
              <w14:schemeClr w14:val="tx1"/>
            </w14:solidFill>
          </w14:textFill>
        </w:rPr>
        <w:br w:type="page"/>
      </w:r>
    </w:p>
    <w:p>
      <w:pPr>
        <w:spacing w:line="360" w:lineRule="auto"/>
        <w:ind w:left="359" w:leftChars="171"/>
        <w:jc w:val="center"/>
        <w:rPr>
          <w:rFonts w:hint="eastAsia" w:eastAsia="楷体_GB2312"/>
          <w:b/>
          <w:bCs/>
          <w:color w:val="000000"/>
          <w:spacing w:val="26"/>
          <w:sz w:val="52"/>
          <w:szCs w:val="52"/>
          <w:highlight w:val="none"/>
        </w:rPr>
      </w:pPr>
    </w:p>
    <w:p>
      <w:pPr>
        <w:spacing w:line="360" w:lineRule="auto"/>
        <w:ind w:left="359" w:leftChars="171"/>
        <w:jc w:val="center"/>
        <w:rPr>
          <w:rFonts w:eastAsia="楷体_GB2312"/>
          <w:b/>
          <w:bCs/>
          <w:color w:val="000000"/>
          <w:spacing w:val="26"/>
          <w:sz w:val="52"/>
          <w:szCs w:val="52"/>
          <w:highlight w:val="none"/>
        </w:rPr>
      </w:pPr>
      <w:r>
        <w:rPr>
          <w:rFonts w:hint="eastAsia" w:eastAsia="楷体_GB2312"/>
          <w:b/>
          <w:bCs/>
          <w:color w:val="000000"/>
          <w:spacing w:val="26"/>
          <w:sz w:val="52"/>
          <w:szCs w:val="52"/>
          <w:highlight w:val="none"/>
        </w:rPr>
        <w:t>使用说明</w:t>
      </w:r>
    </w:p>
    <w:p>
      <w:pPr>
        <w:spacing w:line="360" w:lineRule="auto"/>
        <w:ind w:left="359" w:leftChars="171"/>
        <w:jc w:val="left"/>
        <w:rPr>
          <w:rFonts w:ascii="宋体" w:hAnsi="宋体"/>
          <w:b/>
          <w:bCs/>
          <w:color w:val="000000"/>
          <w:spacing w:val="26"/>
          <w:sz w:val="24"/>
          <w:szCs w:val="24"/>
          <w:highlight w:val="none"/>
        </w:rPr>
      </w:pPr>
    </w:p>
    <w:p>
      <w:pPr>
        <w:ind w:firstLine="600" w:firstLineChars="200"/>
        <w:rPr>
          <w:color w:val="000000"/>
          <w:sz w:val="30"/>
          <w:szCs w:val="30"/>
          <w:highlight w:val="none"/>
        </w:rPr>
      </w:pPr>
      <w:r>
        <w:rPr>
          <w:rFonts w:hint="eastAsia"/>
          <w:color w:val="000000"/>
          <w:sz w:val="30"/>
          <w:szCs w:val="30"/>
          <w:highlight w:val="none"/>
        </w:rPr>
        <w:t>一、本范本适用于采用资格后审综合评分法、经评审的最低投标价法并运用全过程电子招标投标的广州市房屋建筑和市政基础设施工程建设项目施工招标。</w:t>
      </w:r>
    </w:p>
    <w:p>
      <w:pPr>
        <w:ind w:firstLine="600" w:firstLineChars="200"/>
        <w:rPr>
          <w:color w:val="000000"/>
          <w:sz w:val="30"/>
          <w:szCs w:val="30"/>
          <w:highlight w:val="none"/>
        </w:rPr>
      </w:pPr>
      <w:r>
        <w:rPr>
          <w:rFonts w:hint="eastAsia"/>
          <w:color w:val="000000"/>
          <w:sz w:val="30"/>
          <w:szCs w:val="30"/>
          <w:highlight w:val="none"/>
        </w:rPr>
        <w:t>二、依法必须进行招标的上述项目应当参照本范本编制招标公告、资格审查文件及招标文件。</w:t>
      </w:r>
    </w:p>
    <w:p>
      <w:pPr>
        <w:ind w:firstLine="600" w:firstLineChars="200"/>
        <w:rPr>
          <w:color w:val="000000"/>
          <w:sz w:val="30"/>
          <w:szCs w:val="30"/>
          <w:highlight w:val="none"/>
        </w:rPr>
      </w:pPr>
      <w:r>
        <w:rPr>
          <w:rFonts w:hint="eastAsia"/>
          <w:color w:val="000000"/>
          <w:sz w:val="30"/>
          <w:szCs w:val="30"/>
          <w:highlight w:val="none"/>
        </w:rPr>
        <w:t>三、本范本中以空格标示的由招标人填写的内容，招标人应根据招标项目具体特点和实际需要具体化，确实没有需要填写的，在空格中以“/”标示。</w:t>
      </w:r>
    </w:p>
    <w:p>
      <w:pPr>
        <w:ind w:firstLine="450" w:firstLineChars="150"/>
        <w:rPr>
          <w:color w:val="000000"/>
          <w:sz w:val="30"/>
          <w:szCs w:val="30"/>
          <w:highlight w:val="none"/>
        </w:rPr>
      </w:pPr>
      <w:r>
        <w:rPr>
          <w:rFonts w:hint="eastAsia"/>
          <w:color w:val="000000"/>
          <w:sz w:val="30"/>
          <w:szCs w:val="30"/>
          <w:highlight w:val="none"/>
        </w:rPr>
        <w:t>四、依据现行国家、省市法规政策和有关要求，结合招标工程特点和实际需要，招标人可以对本范本中相应条款内容进行修改，招标人提出与范本不一致条款的，应当在各章节前的修改表中反映。</w:t>
      </w:r>
    </w:p>
    <w:p>
      <w:pPr>
        <w:ind w:firstLine="450" w:firstLineChars="150"/>
        <w:rPr>
          <w:rFonts w:hint="eastAsia"/>
          <w:color w:val="000000"/>
          <w:sz w:val="30"/>
          <w:szCs w:val="30"/>
          <w:highlight w:val="none"/>
        </w:rPr>
      </w:pPr>
      <w:r>
        <w:rPr>
          <w:rFonts w:hint="eastAsia"/>
          <w:color w:val="000000"/>
          <w:sz w:val="30"/>
          <w:szCs w:val="30"/>
          <w:highlight w:val="none"/>
        </w:rPr>
        <w:t>五、对于使用财政资金投资建设的依法必须招标的房屋建筑工程，招标人应贯彻落实《财政部 工业和信息化部关于印发〈政府采购促进中小企业发展管理办法〉的通知》（财库〔2020〕46号）、《广东省政府采购促进中小企业发展实施细则（试行）》、《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广州市工程建设项目招标投标管理办法》（穗建规字〔2023〕12号）等有关规定，落实政府采购促进中小企业发展相关政策。</w:t>
      </w:r>
    </w:p>
    <w:p>
      <w:pPr>
        <w:ind w:firstLine="450" w:firstLineChars="150"/>
        <w:rPr>
          <w:color w:val="000000"/>
          <w:sz w:val="30"/>
          <w:szCs w:val="30"/>
          <w:highlight w:val="none"/>
        </w:rPr>
      </w:pPr>
      <w:r>
        <w:rPr>
          <w:rFonts w:hint="eastAsia"/>
          <w:color w:val="000000"/>
          <w:sz w:val="30"/>
          <w:szCs w:val="30"/>
          <w:highlight w:val="none"/>
        </w:rPr>
        <w:t>六、招标人不得以不合理的条件限制、排斥潜在投标人或投标人。</w:t>
      </w:r>
    </w:p>
    <w:p>
      <w:pPr>
        <w:ind w:firstLine="450" w:firstLineChars="150"/>
        <w:rPr>
          <w:color w:val="000000"/>
          <w:sz w:val="30"/>
          <w:szCs w:val="30"/>
          <w:highlight w:val="none"/>
        </w:rPr>
      </w:pPr>
      <w:r>
        <w:rPr>
          <w:rFonts w:hint="eastAsia"/>
          <w:color w:val="000000"/>
          <w:sz w:val="30"/>
          <w:szCs w:val="30"/>
          <w:highlight w:val="none"/>
        </w:rPr>
        <w:t>七、使用中遇到问题，请向广州市建设工程招标管理办公室反映。</w:t>
      </w:r>
    </w:p>
    <w:p>
      <w:pPr>
        <w:rPr>
          <w:rStyle w:val="43"/>
          <w:b/>
          <w:bCs/>
          <w:color w:val="000000" w:themeColor="text1"/>
          <w14:textFill>
            <w14:solidFill>
              <w14:schemeClr w14:val="tx1"/>
            </w14:solidFill>
          </w14:textFill>
        </w:rPr>
      </w:pPr>
    </w:p>
    <w:p>
      <w:pPr>
        <w:rPr>
          <w:rStyle w:val="43"/>
          <w:rFonts w:hint="eastAsia"/>
          <w:b/>
          <w:bCs/>
          <w:color w:val="000000" w:themeColor="text1"/>
          <w:sz w:val="28"/>
          <w:szCs w:val="28"/>
          <w:u w:val="none"/>
          <w14:textFill>
            <w14:solidFill>
              <w14:schemeClr w14:val="tx1"/>
            </w14:solidFill>
          </w14:textFill>
        </w:rPr>
      </w:pPr>
      <w:r>
        <w:rPr>
          <w:rStyle w:val="43"/>
          <w:rFonts w:hint="eastAsia"/>
          <w:b/>
          <w:bCs/>
          <w:color w:val="000000" w:themeColor="text1"/>
          <w:sz w:val="28"/>
          <w:szCs w:val="28"/>
          <w:u w:val="none"/>
          <w14:textFill>
            <w14:solidFill>
              <w14:schemeClr w14:val="tx1"/>
            </w14:solidFill>
          </w14:textFill>
        </w:rPr>
        <w:br w:type="page"/>
      </w:r>
    </w:p>
    <w:p>
      <w:pPr>
        <w:jc w:val="center"/>
        <w:rPr>
          <w:rStyle w:val="43"/>
          <w:rFonts w:hint="eastAsia"/>
          <w:b/>
          <w:bCs/>
          <w:color w:val="000000" w:themeColor="text1"/>
          <w:sz w:val="28"/>
          <w:szCs w:val="28"/>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b/>
          <w:caps/>
          <w:color w:val="000000" w:themeColor="text1"/>
          <w:kern w:val="0"/>
          <w:sz w:val="28"/>
          <w:szCs w:val="32"/>
          <w14:textFill>
            <w14:solidFill>
              <w14:schemeClr w14:val="tx1"/>
            </w14:solidFill>
          </w14:textFill>
        </w:rPr>
      </w:pPr>
      <w:r>
        <w:rPr>
          <w:rStyle w:val="43"/>
          <w:rFonts w:hint="eastAsia"/>
          <w:b/>
          <w:bCs/>
          <w:color w:val="000000" w:themeColor="text1"/>
          <w:sz w:val="40"/>
          <w:szCs w:val="40"/>
          <w:u w:val="none"/>
          <w14:textFill>
            <w14:solidFill>
              <w14:schemeClr w14:val="tx1"/>
            </w14:solidFill>
          </w14:textFill>
        </w:rPr>
        <w:t>目  录</w:t>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"_Toc1622"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"_Toc22966"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_Toc22966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"_Toc6428" </w:instrText>
      </w:r>
      <w:r>
        <w:rPr>
          <w:rFonts w:hint="eastAsia" w:ascii="宋体" w:hAnsi="宋体" w:eastAsia="宋体" w:cs="宋体"/>
          <w:sz w:val="24"/>
          <w:szCs w:val="24"/>
        </w:rPr>
        <w:fldChar w:fldCharType="separate"/>
      </w:r>
      <w:r>
        <w:rPr>
          <w:rFonts w:hint="eastAsia" w:ascii="宋体" w:hAnsi="宋体" w:eastAsia="宋体" w:cs="宋体"/>
          <w:sz w:val="24"/>
          <w:szCs w:val="24"/>
        </w:rPr>
        <w:t>二、投标须知修改表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_Toc6428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"_Toc25354"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三、投标须知通用条款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_Toc25354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"_Toc3791" </w:instrText>
      </w:r>
      <w:r>
        <w:rPr>
          <w:rFonts w:hint="eastAsia" w:ascii="宋体" w:hAnsi="宋体" w:eastAsia="宋体" w:cs="宋体"/>
          <w:sz w:val="24"/>
          <w:szCs w:val="24"/>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_Toc3791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"_Toc18687"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_Toc18687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"_Toc4967"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_Toc4967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"_Toc29945"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_Toc29945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"_Toc19157"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（五）开标、评标、定标及合同签定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_Toc19157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"_Toc25278"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开标、评标及定标办法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_Toc25278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"_Toc29430" </w:instrText>
      </w:r>
      <w:r>
        <w:rPr>
          <w:rFonts w:hint="eastAsia" w:ascii="宋体" w:hAnsi="宋体" w:eastAsia="宋体" w:cs="宋体"/>
          <w:sz w:val="24"/>
          <w:szCs w:val="24"/>
        </w:rPr>
        <w:fldChar w:fldCharType="separate"/>
      </w:r>
      <w:r>
        <w:rPr>
          <w:rFonts w:hint="eastAsia" w:ascii="宋体" w:hAnsi="宋体" w:eastAsia="宋体" w:cs="宋体"/>
          <w:sz w:val="24"/>
          <w:szCs w:val="24"/>
        </w:rPr>
        <w:t>一、开标、评标及定标办法修改表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_Toc29430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"_Toc3360" </w:instrText>
      </w:r>
      <w:r>
        <w:rPr>
          <w:rFonts w:hint="eastAsia" w:ascii="宋体" w:hAnsi="宋体" w:eastAsia="宋体" w:cs="宋体"/>
          <w:sz w:val="24"/>
          <w:szCs w:val="24"/>
        </w:rPr>
        <w:fldChar w:fldCharType="separate"/>
      </w:r>
      <w:r>
        <w:rPr>
          <w:rFonts w:hint="eastAsia" w:ascii="宋体" w:hAnsi="宋体" w:eastAsia="宋体" w:cs="宋体"/>
          <w:sz w:val="24"/>
          <w:szCs w:val="24"/>
        </w:rPr>
        <w:t>二、开标、评标及定标办法通用条款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_Toc3360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"_Toc9758" </w:instrText>
      </w:r>
      <w:r>
        <w:rPr>
          <w:rFonts w:hint="eastAsia" w:ascii="宋体" w:hAnsi="宋体" w:eastAsia="宋体" w:cs="宋体"/>
          <w:sz w:val="24"/>
          <w:szCs w:val="24"/>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_Toc9758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"_Toc3296" </w:instrText>
      </w:r>
      <w:r>
        <w:rPr>
          <w:rFonts w:hint="eastAsia" w:ascii="宋体" w:hAnsi="宋体" w:eastAsia="宋体" w:cs="宋体"/>
          <w:sz w:val="24"/>
          <w:szCs w:val="24"/>
        </w:rPr>
        <w:fldChar w:fldCharType="separate"/>
      </w:r>
      <w:r>
        <w:rPr>
          <w:rFonts w:hint="eastAsia" w:ascii="宋体" w:hAnsi="宋体" w:eastAsia="宋体" w:cs="宋体"/>
          <w:sz w:val="24"/>
          <w:szCs w:val="24"/>
        </w:rPr>
        <w:t>（二）开标评标办法程序和细则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_Toc3296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pageBreakBefore w:val="0"/>
        <w:widowControl w:val="0"/>
        <w:tabs>
          <w:tab w:val="right" w:leader="dot" w:pos="9070"/>
        </w:tabs>
        <w:kinsoku/>
        <w:wordWrap/>
        <w:overflowPunct/>
        <w:topLinePunct w:val="0"/>
        <w:autoSpaceDE/>
        <w:autoSpaceDN/>
        <w:bidi w:val="0"/>
        <w:adjustRightInd/>
        <w:snapToGrid/>
        <w:spacing w:line="440" w:lineRule="exact"/>
        <w:ind w:left="840"/>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"_Toc19160" </w:instrText>
      </w:r>
      <w:r>
        <w:rPr>
          <w:rFonts w:hint="eastAsia" w:ascii="宋体" w:hAnsi="宋体" w:eastAsia="宋体" w:cs="宋体"/>
          <w:sz w:val="24"/>
          <w:szCs w:val="24"/>
        </w:rPr>
        <w:fldChar w:fldCharType="separate"/>
      </w:r>
      <w:r>
        <w:rPr>
          <w:rFonts w:hint="eastAsia" w:ascii="宋体" w:hAnsi="宋体" w:eastAsia="宋体" w:cs="宋体"/>
          <w:sz w:val="24"/>
          <w:szCs w:val="24"/>
        </w:rPr>
        <w:t>可选办法六（适合综合评分法三，技术标与经济标同时开启）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_Toc19160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"_Toc25573"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_Toc25573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"_Toc25299"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_Toc25299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"_Toc16626"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技术条件（工程建设标准）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_Toc16626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"_Toc29832"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图纸及勘察资料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_Toc29832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"_Toc13553" </w:instrText>
      </w:r>
      <w:r>
        <w:rPr>
          <w:rFonts w:hint="eastAsia" w:ascii="宋体" w:hAnsi="宋体" w:eastAsia="宋体" w:cs="宋体"/>
          <w:sz w:val="24"/>
          <w:szCs w:val="24"/>
        </w:rPr>
        <w:fldChar w:fldCharType="separate"/>
      </w:r>
      <w:r>
        <w:rPr>
          <w:rFonts w:hint="eastAsia" w:ascii="宋体" w:hAnsi="宋体" w:eastAsia="宋体" w:cs="宋体"/>
          <w:sz w:val="24"/>
          <w:szCs w:val="24"/>
        </w:rPr>
        <w:t>第七章  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_Toc13553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8"/>
        <w:pageBreakBefore w:val="0"/>
        <w:widowControl w:val="0"/>
        <w:tabs>
          <w:tab w:val="right" w:leader="dot" w:pos="9070"/>
          <w:tab w:val="clear" w:pos="9060"/>
        </w:tabs>
        <w:kinsoku/>
        <w:wordWrap/>
        <w:overflowPunct/>
        <w:topLinePunct w:val="0"/>
        <w:autoSpaceDE/>
        <w:autoSpaceDN/>
        <w:bidi w:val="0"/>
        <w:adjustRightInd/>
        <w:snapToGrid/>
        <w:spacing w:line="440" w:lineRule="exact"/>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"_Toc7951" </w:instrText>
      </w:r>
      <w:r>
        <w:rPr>
          <w:rFonts w:hint="eastAsia" w:ascii="宋体" w:hAnsi="宋体" w:eastAsia="宋体" w:cs="宋体"/>
          <w:sz w:val="24"/>
          <w:szCs w:val="24"/>
        </w:rPr>
        <w:fldChar w:fldCharType="separate"/>
      </w:r>
      <w:r>
        <w:rPr>
          <w:rFonts w:hint="eastAsia" w:ascii="宋体" w:hAnsi="宋体" w:eastAsia="宋体" w:cs="宋体"/>
          <w:sz w:val="24"/>
          <w:szCs w:val="24"/>
        </w:rPr>
        <w:t>第八章  最高投标限价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_Toc7951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
        <w:pageBreakBefore w:val="0"/>
        <w:widowControl w:val="0"/>
        <w:kinsoku/>
        <w:wordWrap/>
        <w:overflowPunct/>
        <w:topLinePunct w:val="0"/>
        <w:autoSpaceDE/>
        <w:autoSpaceDN/>
        <w:bidi w:val="0"/>
        <w:adjustRightInd/>
        <w:snapToGrid/>
        <w:spacing w:before="0" w:after="0" w:line="440" w:lineRule="exact"/>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bookmarkStart w:id="0" w:name="_Toc2272545"/>
      <w:bookmarkStart w:id="1" w:name="_Toc21525489"/>
      <w:bookmarkStart w:id="2" w:name="_Toc1622"/>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color w:val="000000" w:themeColor="text1"/>
          <w14:textFill>
            <w14:solidFill>
              <w14:schemeClr w14:val="tx1"/>
            </w14:solidFill>
          </w14:textFill>
        </w:rPr>
        <w:sectPr>
          <w:footerReference r:id="rId7" w:type="first"/>
          <w:headerReference r:id="rId3" w:type="default"/>
          <w:footerReference r:id="rId5" w:type="default"/>
          <w:headerReference r:id="rId4" w:type="even"/>
          <w:footerReference r:id="rId6" w:type="even"/>
          <w:endnotePr>
            <w:numFmt w:val="decimal"/>
          </w:endnotePr>
          <w:pgSz w:w="11906" w:h="16838"/>
          <w:pgMar w:top="1440" w:right="1080" w:bottom="1440" w:left="1080" w:header="851" w:footer="907" w:gutter="0"/>
          <w:cols w:space="425" w:num="1"/>
          <w:titlePg/>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第一章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投标须知</w:t>
      </w:r>
      <w:bookmarkEnd w:id="0"/>
      <w:bookmarkEnd w:id="1"/>
      <w:bookmarkEnd w:id="2"/>
    </w:p>
    <w:p>
      <w:pPr>
        <w:pStyle w:val="7"/>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textAlignment w:val="auto"/>
        <w:rPr>
          <w:color w:val="000000" w:themeColor="text1"/>
          <w14:textFill>
            <w14:solidFill>
              <w14:schemeClr w14:val="tx1"/>
            </w14:solidFill>
          </w14:textFill>
        </w:rPr>
      </w:pPr>
      <w:bookmarkStart w:id="3" w:name="_Toc22966"/>
      <w:bookmarkStart w:id="4" w:name="_Toc21525490"/>
      <w:bookmarkStart w:id="5" w:name="_Toc2272546"/>
      <w:r>
        <w:rPr>
          <w:rFonts w:hint="eastAsia"/>
          <w:color w:val="000000" w:themeColor="text1"/>
          <w14:textFill>
            <w14:solidFill>
              <w14:schemeClr w14:val="tx1"/>
            </w14:solidFill>
          </w14:textFill>
        </w:rPr>
        <w:t>一、投标须知前附表</w:t>
      </w:r>
      <w:bookmarkEnd w:id="3"/>
      <w:bookmarkEnd w:id="4"/>
      <w:bookmarkEnd w:id="5"/>
    </w:p>
    <w:p>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100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59"/>
        <w:gridCol w:w="1955"/>
        <w:gridCol w:w="63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blHeader/>
          <w:jc w:val="center"/>
        </w:trPr>
        <w:tc>
          <w:tcPr>
            <w:tcW w:w="758" w:type="dxa"/>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项目</w:t>
            </w:r>
          </w:p>
        </w:tc>
        <w:tc>
          <w:tcPr>
            <w:tcW w:w="1059" w:type="dxa"/>
            <w:tcBorders>
              <w:top w:val="doub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条款号</w:t>
            </w:r>
          </w:p>
        </w:tc>
        <w:tc>
          <w:tcPr>
            <w:tcW w:w="1955" w:type="dxa"/>
            <w:tcBorders>
              <w:top w:val="doub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内容</w:t>
            </w:r>
          </w:p>
        </w:tc>
        <w:tc>
          <w:tcPr>
            <w:tcW w:w="6326" w:type="dxa"/>
            <w:tcBorders>
              <w:top w:val="double" w:color="auto" w:sz="4" w:space="0"/>
              <w:left w:val="single" w:color="auto" w:sz="4" w:space="0"/>
              <w:bottom w:val="single" w:color="auto" w:sz="4" w:space="0"/>
              <w:right w:val="double" w:color="auto" w:sz="4" w:space="0"/>
            </w:tcBorders>
            <w:vAlign w:val="center"/>
          </w:tcPr>
          <w:p>
            <w:pPr>
              <w:pStyle w:val="22"/>
              <w:jc w:val="center"/>
              <w:rPr>
                <w:rFonts w:hint="eastAsia"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定义</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招标人（即发包人）：</w:t>
            </w:r>
            <w:r>
              <w:rPr>
                <w:rFonts w:hint="eastAsia" w:ascii="宋体" w:hAnsi="宋体" w:eastAsia="宋体" w:cs="宋体"/>
                <w:sz w:val="21"/>
                <w:szCs w:val="21"/>
                <w:u w:val="single"/>
                <w:lang w:eastAsia="zh-CN"/>
              </w:rPr>
              <w:t>广州市荔通公共汽车有限公司</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招标代理：</w:t>
            </w:r>
            <w:r>
              <w:rPr>
                <w:rFonts w:hint="eastAsia" w:ascii="宋体" w:hAnsi="宋体" w:eastAsia="宋体" w:cs="宋体"/>
                <w:sz w:val="21"/>
                <w:szCs w:val="21"/>
                <w:u w:val="single"/>
                <w:lang w:eastAsia="zh-CN"/>
              </w:rPr>
              <w:t>广州公交集团创新服务有限公司</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rPr>
              <w:t>设</w:t>
            </w:r>
            <w:r>
              <w:rPr>
                <w:rFonts w:hint="eastAsia" w:ascii="宋体" w:hAnsi="宋体" w:eastAsia="宋体" w:cs="宋体"/>
                <w:sz w:val="21"/>
                <w:szCs w:val="21"/>
                <w:highlight w:val="none"/>
              </w:rPr>
              <w:t>计单位：</w:t>
            </w:r>
            <w:r>
              <w:rPr>
                <w:rFonts w:hint="eastAsia" w:ascii="宋体" w:hAnsi="宋体" w:eastAsia="宋体" w:cs="宋体"/>
                <w:sz w:val="21"/>
                <w:szCs w:val="21"/>
                <w:highlight w:val="none"/>
                <w:u w:val="single"/>
                <w:lang w:eastAsia="zh-CN"/>
              </w:rPr>
              <w:t>广州地铁设计研究院股份有限公司</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监理单位：</w:t>
            </w:r>
            <w:r>
              <w:rPr>
                <w:rFonts w:hint="eastAsia" w:ascii="宋体" w:hAnsi="宋体" w:eastAsia="宋体" w:cs="宋体"/>
                <w:sz w:val="21"/>
                <w:szCs w:val="21"/>
                <w:highlight w:val="none"/>
                <w:u w:val="single"/>
              </w:rPr>
              <w:t>广州珠江监理咨询集团有限公司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工程名称</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广州市增城区荔城街荔城新桥路6号原办公楼及原修理厂装修改造工程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建设地点</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广州市增城区荔城街新桥路6号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4</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建设规模</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4"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5</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承包方式</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本工程实行以工程量清单综合单价包干，绿色施工安全防护措施费总价包干，未提及的其他任何费用均不计取。（专用条款另有约定的除外），工程量按实结算。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人根据</w:t>
            </w:r>
            <w:r>
              <w:rPr>
                <w:rFonts w:hint="eastAsia" w:ascii="宋体" w:hAnsi="宋体" w:eastAsia="宋体" w:cs="宋体"/>
                <w:sz w:val="21"/>
                <w:szCs w:val="21"/>
                <w:lang w:eastAsia="zh-CN"/>
              </w:rPr>
              <w:t>招标</w:t>
            </w:r>
            <w:r>
              <w:rPr>
                <w:rFonts w:hint="eastAsia" w:ascii="宋体" w:hAnsi="宋体" w:eastAsia="宋体" w:cs="宋体"/>
                <w:sz w:val="21"/>
                <w:szCs w:val="21"/>
              </w:rPr>
              <w:t>人提供的工程量清单、图纸等有关资料，结合工程现场实际情况、工程性质、工程特点等要求，包人工、包材料、包机械、包深化设计、包工期、包质量、包安全生产、包文明施工（确保工程无重大安全事故，确保现场安全文明施工）、包对本工程相关的协调及配合服务、包验收移交、包保修，同时包括成品保护、垃圾外运（按广州市的相关规定进行清运）、清洗施工现场等全部内容，达到规范验收要求。完成后，负责编制竣工文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具体详见本项目施工合同。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6</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质量标准</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7</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招标范围</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8</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工期要求</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bookmarkStart w:id="89" w:name="_GoBack"/>
            <w:r>
              <w:rPr>
                <w:rFonts w:hint="eastAsia" w:ascii="宋体" w:hAnsi="宋体" w:eastAsia="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月计划开工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施工总工期：</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120</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日历天。</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具体</w:t>
            </w:r>
            <w:r>
              <w:rPr>
                <w:rFonts w:hint="eastAsia" w:ascii="宋体" w:hAnsi="宋体" w:eastAsia="宋体" w:cs="宋体"/>
                <w:sz w:val="21"/>
                <w:szCs w:val="21"/>
                <w:lang w:val="en-US" w:eastAsia="zh-CN"/>
              </w:rPr>
              <w:t>开工日期</w:t>
            </w:r>
            <w:r>
              <w:rPr>
                <w:rFonts w:hint="eastAsia" w:ascii="宋体" w:hAnsi="宋体" w:eastAsia="宋体" w:cs="宋体"/>
                <w:sz w:val="21"/>
                <w:szCs w:val="21"/>
              </w:rPr>
              <w:t>以监理开工令或开工报告为准，至工程施工总承包任务完成且完成竣工验收。</w:t>
            </w:r>
            <w:bookmarkEnd w:id="89"/>
            <w:r>
              <w:rPr>
                <w:rFonts w:hint="eastAsia" w:ascii="宋体" w:hAnsi="宋体" w:eastAsia="宋体" w:cs="宋体"/>
                <w:sz w:val="21"/>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9</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资金来源</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10</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4.1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投标人资质等级及项目负责人等级要求</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11</w:t>
            </w:r>
          </w:p>
        </w:tc>
        <w:tc>
          <w:tcPr>
            <w:tcW w:w="1059"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资格审查方式</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详见本工程招标公告。具体内容以工程量清单、施工招标图纸及有关资料为准。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12</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报价以及单价和总价计算方式</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15.1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投标有效期</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120</w:t>
            </w:r>
            <w:r>
              <w:rPr>
                <w:rFonts w:hint="eastAsia" w:ascii="宋体" w:hAnsi="宋体" w:eastAsia="宋体" w:cs="宋体"/>
                <w:sz w:val="21"/>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14</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16.1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投标保证金</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方式二：</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万元</w:t>
            </w:r>
            <w:r>
              <w:rPr>
                <w:rFonts w:hint="eastAsia" w:ascii="宋体" w:hAnsi="宋体" w:eastAsia="宋体" w:cs="宋体"/>
                <w:sz w:val="21"/>
                <w:szCs w:val="21"/>
              </w:rPr>
              <w:t>人民币，缴纳时间在投标截止时间之前。</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投标保证金可采用现金、支票、投标保函、投标保证保险、专业工程担保公司担保等方式缴纳投标保证金，须在递交投标文件截止时间前完成缴纳。</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如采用投标保函、投标保证保险、专业工程担保公司担保等形式提交投标保证金的，在开标前不强制要求提交纸质原件，由中标候选人在中标候选人公示前提交并在网上公示，但投标人应在投标文件中提交投标保函或投标保证保险等的扫描件并加盖投标人电子印章。如投标人选择在开标前提交纸质原件的，可在投标截止时间前单独密封递交至开标室（时间及地点同递交投标文件备用光盘的时间及地点）。</w:t>
            </w:r>
          </w:p>
          <w:p>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3、如采用电子保函方式提交投标保证金，具体操作详见《广州公共资源交易中心关于开通电子保函服务功能的通知》（http://www.gzggzy.cn/jtgg/822128.jhtml）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15</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5</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踏勘现场</w:t>
            </w:r>
          </w:p>
        </w:tc>
        <w:tc>
          <w:tcPr>
            <w:tcW w:w="6326" w:type="dxa"/>
            <w:tcBorders>
              <w:top w:val="single" w:color="auto" w:sz="4" w:space="0"/>
              <w:left w:val="single" w:color="auto" w:sz="4" w:space="0"/>
              <w:bottom w:val="single" w:color="auto" w:sz="4" w:space="0"/>
              <w:right w:val="double" w:color="auto" w:sz="4" w:space="0"/>
            </w:tcBorders>
            <w:vAlign w:val="center"/>
          </w:tcPr>
          <w:p>
            <w:pPr>
              <w:pStyle w:val="2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招标人不集中组织，由投标人自行踏勘。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2"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16</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8</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投标答疑</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疑问提交时间：在递</w:t>
            </w:r>
            <w:r>
              <w:rPr>
                <w:rFonts w:hint="eastAsia" w:ascii="宋体" w:hAnsi="宋体" w:eastAsia="宋体" w:cs="宋体"/>
                <w:sz w:val="21"/>
                <w:szCs w:val="21"/>
                <w:u w:val="single"/>
              </w:rPr>
              <w:t>交投标文件截止日期前18日</w:t>
            </w:r>
            <w:r>
              <w:rPr>
                <w:rFonts w:hint="eastAsia" w:ascii="宋体" w:hAnsi="宋体" w:eastAsia="宋体" w:cs="宋体"/>
                <w:sz w:val="21"/>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形式：投标人的疑问通过</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交易平台提交。</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具体要求：按照交易平台关于全流程电子化项目的相关指南进行操作，详见：</w:t>
            </w:r>
            <w:r>
              <w:rPr>
                <w:rFonts w:hint="eastAsia" w:ascii="宋体" w:hAnsi="宋体" w:eastAsia="宋体" w:cs="宋体"/>
                <w:sz w:val="21"/>
                <w:szCs w:val="21"/>
                <w:u w:val="single"/>
              </w:rPr>
              <w:t>广州交易集团有限公司（广州公共资源交易中心）交易平台指引</w:t>
            </w:r>
            <w:r>
              <w:rPr>
                <w:rFonts w:hint="eastAsia" w:ascii="宋体" w:hAnsi="宋体" w:eastAsia="宋体" w:cs="宋体"/>
                <w:sz w:val="21"/>
                <w:szCs w:val="21"/>
              </w:rPr>
              <w:t>。提问一律不得署名。</w:t>
            </w:r>
          </w:p>
          <w:p>
            <w:pPr>
              <w:pStyle w:val="2"/>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highlight w:val="none"/>
                <w:u w:val="single"/>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highlight w:val="none"/>
                <w:u w:val="single"/>
                <w:lang w:val="en-US" w:eastAsia="zh-CN"/>
              </w:rPr>
              <w:t>招标答疑纪要一经在广州公共资源交易中心网站发布，视作已发放给所有投标人。</w:t>
            </w:r>
          </w:p>
          <w:p>
            <w:pPr>
              <w:pStyle w:val="2"/>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highlight w:val="none"/>
                <w:u w:val="single"/>
                <w:lang w:val="en-US" w:eastAsia="zh-CN"/>
              </w:rPr>
              <w:t>招标答疑纪要为招标文件的一部分。投标人可在广州公资源交易中心网站浏览、下载招标答疑纪要。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r>
              <w:rPr>
                <w:rFonts w:hint="eastAsia" w:ascii="宋体" w:hAnsi="宋体"/>
                <w:szCs w:val="21"/>
              </w:rPr>
              <w:t>7</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20</w:t>
            </w:r>
            <w:r>
              <w:rPr>
                <w:rFonts w:ascii="宋体" w:hAnsi="宋体"/>
                <w:szCs w:val="21"/>
              </w:rPr>
              <w:t>.1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投标截止时间</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trike/>
                <w:sz w:val="21"/>
                <w:szCs w:val="21"/>
                <w:highlight w:val="none"/>
              </w:rPr>
            </w:pPr>
            <w:r>
              <w:rPr>
                <w:rFonts w:hint="eastAsia" w:ascii="宋体" w:hAnsi="宋体" w:eastAsia="宋体" w:cs="宋体"/>
                <w:sz w:val="21"/>
                <w:szCs w:val="21"/>
                <w:highlight w:val="none"/>
                <w:u w:val="singl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18</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20.1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开标开始时间和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地点</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（技术标和经济标同时开标）</w:t>
            </w:r>
          </w:p>
          <w:p>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1、开标开始时间：</w:t>
            </w:r>
            <w:r>
              <w:rPr>
                <w:rFonts w:hint="eastAsia" w:ascii="宋体" w:hAnsi="宋体" w:eastAsia="宋体" w:cs="宋体"/>
                <w:sz w:val="21"/>
                <w:szCs w:val="21"/>
                <w:highlight w:val="none"/>
                <w:u w:val="singl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en-US" w:eastAsia="zh-CN"/>
              </w:rPr>
              <w:t>分</w:t>
            </w:r>
            <w:r>
              <w:rPr>
                <w:rFonts w:hint="eastAsia" w:ascii="宋体" w:hAnsi="宋体" w:eastAsia="宋体" w:cs="宋体"/>
                <w:bCs/>
                <w:kern w:val="0"/>
                <w:sz w:val="21"/>
                <w:szCs w:val="21"/>
                <w:highlight w:val="none"/>
              </w:rPr>
              <w:t>（与投标截止时间为同一时间），地点：</w:t>
            </w:r>
            <w:r>
              <w:rPr>
                <w:rFonts w:hint="eastAsia" w:ascii="宋体" w:hAnsi="宋体" w:eastAsia="宋体" w:cs="宋体"/>
                <w:bCs/>
                <w:kern w:val="0"/>
                <w:sz w:val="21"/>
                <w:szCs w:val="21"/>
                <w:highlight w:val="none"/>
                <w:u w:val="single"/>
              </w:rPr>
              <w:t>广州交易集团有限公司（广州公共资源交易中心）开标室,具体安排请投标人自行登陆“http://www.gzggzy.cn/xmcxjsgc/index.jhtml”进行查询</w:t>
            </w:r>
            <w:r>
              <w:rPr>
                <w:rFonts w:hint="eastAsia" w:ascii="宋体" w:hAnsi="宋体" w:eastAsia="宋体" w:cs="宋体"/>
                <w:bCs/>
                <w:kern w:val="0"/>
                <w:sz w:val="21"/>
                <w:szCs w:val="21"/>
                <w:highlight w:val="none"/>
              </w:rPr>
              <w:t>。投标人也可选择参加在线开标，具体按照交易平台相关指南进行操作。</w:t>
            </w:r>
            <w:r>
              <w:rPr>
                <w:rFonts w:hint="eastAsia" w:ascii="宋体" w:hAnsi="宋体" w:eastAsia="宋体" w:cs="宋体"/>
                <w:b/>
                <w:bCs w:val="0"/>
                <w:kern w:val="0"/>
                <w:sz w:val="21"/>
                <w:szCs w:val="21"/>
                <w:highlight w:val="none"/>
                <w:lang w:val="en-US" w:eastAsia="zh-CN"/>
              </w:rPr>
              <w:t>详见</w:t>
            </w:r>
            <w:r>
              <w:rPr>
                <w:rFonts w:hint="eastAsia" w:ascii="宋体" w:hAnsi="宋体" w:eastAsia="宋体" w:cs="宋体"/>
                <w:b/>
                <w:bCs w:val="0"/>
                <w:sz w:val="21"/>
                <w:szCs w:val="21"/>
                <w:highlight w:val="none"/>
                <w:u w:val="single"/>
              </w:rPr>
              <w:t>广州公共资源交易中心网站(http:/ www.gzggzy.cn)服务指南栏目发布的最新版操作指引</w:t>
            </w:r>
            <w:r>
              <w:rPr>
                <w:rFonts w:hint="eastAsia" w:ascii="宋体" w:hAnsi="宋体" w:eastAsia="宋体" w:cs="宋体"/>
                <w:b/>
                <w:bCs w:val="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2、递交投标文件备用光盘时间：</w:t>
            </w:r>
            <w:r>
              <w:rPr>
                <w:rFonts w:hint="eastAsia" w:ascii="宋体" w:hAnsi="宋体" w:eastAsia="宋体" w:cs="宋体"/>
                <w:sz w:val="21"/>
                <w:szCs w:val="21"/>
                <w:highlight w:val="none"/>
                <w:u w:val="singl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en-US" w:eastAsia="zh-CN"/>
              </w:rPr>
              <w:t>分</w:t>
            </w:r>
            <w:r>
              <w:rPr>
                <w:rFonts w:hint="eastAsia" w:ascii="宋体" w:hAnsi="宋体" w:eastAsia="宋体" w:cs="宋体"/>
                <w:bCs/>
                <w:kern w:val="0"/>
                <w:sz w:val="21"/>
                <w:szCs w:val="21"/>
                <w:highlight w:val="none"/>
              </w:rPr>
              <w:t>至</w:t>
            </w:r>
            <w:r>
              <w:rPr>
                <w:rFonts w:hint="eastAsia" w:ascii="宋体" w:hAnsi="宋体" w:eastAsia="宋体" w:cs="宋体"/>
                <w:sz w:val="21"/>
                <w:szCs w:val="21"/>
                <w:highlight w:val="none"/>
                <w:u w:val="single"/>
                <w:lang w:val="en-US" w:eastAsia="zh-CN"/>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en-US" w:eastAsia="zh-CN"/>
              </w:rPr>
              <w:t>分</w:t>
            </w:r>
            <w:r>
              <w:rPr>
                <w:rFonts w:hint="eastAsia" w:ascii="宋体" w:hAnsi="宋体" w:eastAsia="宋体" w:cs="宋体"/>
                <w:bCs/>
                <w:kern w:val="0"/>
                <w:sz w:val="21"/>
                <w:szCs w:val="21"/>
                <w:highlight w:val="none"/>
              </w:rPr>
              <w:t>；递交地点：</w:t>
            </w:r>
            <w:r>
              <w:rPr>
                <w:rFonts w:hint="eastAsia" w:ascii="宋体" w:hAnsi="宋体" w:eastAsia="宋体" w:cs="宋体"/>
                <w:bCs/>
                <w:kern w:val="0"/>
                <w:sz w:val="21"/>
                <w:szCs w:val="21"/>
                <w:highlight w:val="none"/>
                <w:u w:val="single"/>
              </w:rPr>
              <w:t>广州交易集团有限公司（广州公共资源交易中心）开标室,具体安排请投标人自行登陆“http://www.gzggzy.cn/xmcxjsgc/index.jhtml”进行查询</w:t>
            </w:r>
            <w:r>
              <w:rPr>
                <w:rFonts w:hint="eastAsia" w:ascii="宋体" w:hAnsi="宋体" w:eastAsia="宋体" w:cs="宋体"/>
                <w:bCs/>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上述时间及地点是否有改变，请密切留意</w:t>
            </w:r>
            <w:r>
              <w:rPr>
                <w:rFonts w:hint="eastAsia" w:ascii="宋体" w:hAnsi="宋体" w:eastAsia="宋体" w:cs="宋体"/>
                <w:kern w:val="0"/>
                <w:sz w:val="21"/>
                <w:szCs w:val="21"/>
                <w:highlight w:val="none"/>
              </w:rPr>
              <w:t>补充公告和</w:t>
            </w:r>
            <w:r>
              <w:rPr>
                <w:rFonts w:hint="eastAsia" w:ascii="宋体" w:hAnsi="宋体" w:eastAsia="宋体" w:cs="宋体"/>
                <w:bCs/>
                <w:kern w:val="0"/>
                <w:sz w:val="21"/>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97"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19</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26</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开标评标办法</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rPr>
              <w:t>方式一：</w:t>
            </w:r>
            <w:r>
              <w:rPr>
                <w:rFonts w:hint="eastAsia" w:ascii="宋体" w:hAnsi="宋体" w:eastAsia="宋体" w:cs="宋体"/>
                <w:sz w:val="21"/>
                <w:szCs w:val="21"/>
                <w:u w:val="single"/>
              </w:rPr>
              <w:t>选取办法六（</w:t>
            </w:r>
            <w:r>
              <w:rPr>
                <w:rFonts w:hint="eastAsia" w:ascii="宋体" w:hAnsi="宋体" w:eastAsia="宋体" w:cs="宋体"/>
                <w:sz w:val="21"/>
                <w:szCs w:val="21"/>
                <w:u w:val="single"/>
                <w:lang w:bidi="ar"/>
              </w:rPr>
              <w:t>适合综合评分法三，技术标与经济标同时开</w:t>
            </w:r>
            <w:r>
              <w:rPr>
                <w:rFonts w:hint="eastAsia" w:ascii="宋体" w:hAnsi="宋体" w:eastAsia="宋体" w:cs="宋体"/>
                <w:sz w:val="21"/>
                <w:szCs w:val="21"/>
                <w:highlight w:val="none"/>
                <w:u w:val="single"/>
                <w:lang w:bidi="ar"/>
              </w:rPr>
              <w:t>启</w:t>
            </w:r>
            <w:r>
              <w:rPr>
                <w:rFonts w:hint="eastAsia" w:ascii="宋体" w:hAnsi="宋体" w:eastAsia="宋体" w:cs="宋体"/>
                <w:sz w:val="21"/>
                <w:szCs w:val="21"/>
                <w:highlight w:val="none"/>
                <w:u w:val="single"/>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1"/>
                <w:szCs w:val="21"/>
                <w:highlight w:val="none"/>
                <w:u w:val="single"/>
                <w:lang w:bidi="ar"/>
              </w:rPr>
            </w:pPr>
            <w:r>
              <w:rPr>
                <w:rFonts w:hint="eastAsia" w:ascii="宋体" w:hAnsi="宋体" w:eastAsia="宋体" w:cs="宋体"/>
                <w:b/>
                <w:kern w:val="0"/>
                <w:sz w:val="21"/>
                <w:szCs w:val="21"/>
                <w:highlight w:val="none"/>
                <w:u w:val="single"/>
                <w:lang w:bidi="ar"/>
              </w:rPr>
              <w:t>第一阶段得分（满分100分）=团队答辩得分20分+项目管理机构得分80分。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kern w:val="0"/>
                <w:sz w:val="21"/>
                <w:szCs w:val="21"/>
                <w:highlight w:val="none"/>
                <w:u w:val="single"/>
                <w:lang w:bidi="ar"/>
              </w:rPr>
              <w:t>第二阶段得分（满分100分）=第一阶段的团队答辩得分</w:t>
            </w:r>
            <w:r>
              <w:rPr>
                <w:rFonts w:hint="eastAsia" w:ascii="宋体" w:hAnsi="宋体" w:eastAsia="宋体" w:cs="宋体"/>
                <w:b/>
                <w:kern w:val="0"/>
                <w:sz w:val="21"/>
                <w:szCs w:val="21"/>
                <w:highlight w:val="none"/>
                <w:u w:val="single"/>
                <w:lang w:eastAsia="zh-CN" w:bidi="ar"/>
              </w:rPr>
              <w:t>（</w:t>
            </w:r>
            <w:r>
              <w:rPr>
                <w:rFonts w:hint="eastAsia" w:ascii="宋体" w:hAnsi="宋体" w:eastAsia="宋体" w:cs="宋体"/>
                <w:b/>
                <w:kern w:val="0"/>
                <w:sz w:val="21"/>
                <w:szCs w:val="21"/>
                <w:highlight w:val="none"/>
                <w:u w:val="single"/>
                <w:lang w:bidi="ar"/>
              </w:rPr>
              <w:t>20分</w:t>
            </w:r>
            <w:r>
              <w:rPr>
                <w:rFonts w:hint="eastAsia" w:ascii="宋体" w:hAnsi="宋体" w:eastAsia="宋体" w:cs="宋体"/>
                <w:b/>
                <w:kern w:val="0"/>
                <w:sz w:val="21"/>
                <w:szCs w:val="21"/>
                <w:highlight w:val="none"/>
                <w:u w:val="single"/>
                <w:lang w:eastAsia="zh-CN" w:bidi="ar"/>
              </w:rPr>
              <w:t>）</w:t>
            </w:r>
            <w:r>
              <w:rPr>
                <w:rFonts w:hint="eastAsia" w:ascii="宋体" w:hAnsi="宋体" w:eastAsia="宋体" w:cs="宋体"/>
                <w:b/>
                <w:kern w:val="0"/>
                <w:sz w:val="21"/>
                <w:szCs w:val="21"/>
                <w:highlight w:val="none"/>
                <w:u w:val="single"/>
                <w:lang w:bidi="ar"/>
              </w:rPr>
              <w:t>+经济得分（100分）×权重(80%)。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0</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29.1</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履约担保</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1</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最高投标限价</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本项目最高投标限价为人民币5083068.02元。</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u w:val="single"/>
              </w:rPr>
              <w:t>注：投标总报价超过最高投标限价的均为无效标。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2</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非竞争费用</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本项目绿色施工安全防护措施费为205865.26元，暂列金额为209731.88元，暂估价为</w:t>
            </w:r>
            <w:r>
              <w:rPr>
                <w:rFonts w:hint="eastAsia" w:ascii="宋体" w:hAnsi="宋体" w:cs="宋体"/>
                <w:sz w:val="21"/>
                <w:szCs w:val="21"/>
                <w:lang w:val="en-US" w:eastAsia="zh-CN"/>
              </w:rPr>
              <w:t>0.00</w:t>
            </w:r>
            <w:r>
              <w:rPr>
                <w:rFonts w:hint="eastAsia" w:ascii="宋体" w:hAnsi="宋体" w:eastAsia="宋体" w:cs="宋体"/>
                <w:sz w:val="21"/>
                <w:szCs w:val="21"/>
              </w:rPr>
              <w:t>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未按招标文件规定的金额填写的，由评标委员会按照招标文件规定的金额进行修正</w:t>
            </w:r>
            <w:r>
              <w:rPr>
                <w:rFonts w:hint="eastAsia" w:ascii="宋体" w:hAnsi="宋体" w:eastAsia="宋体" w:cs="宋体"/>
                <w:sz w:val="21"/>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28"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23</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sz w:val="21"/>
                <w:szCs w:val="21"/>
              </w:rPr>
            </w:pPr>
            <w:r>
              <w:rPr>
                <w:rFonts w:hint="eastAsia" w:ascii="宋体" w:hAnsi="宋体" w:eastAsia="宋体" w:cs="宋体"/>
                <w:sz w:val="21"/>
                <w:szCs w:val="21"/>
              </w:rPr>
              <w:t>保修期</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①重建的修理车间钢结构工程的最低保修期限为设计文件规定的该工程合理使用年限；②屋面防水工程、有防水要求的卫生间、房间和外墙面的防渗漏，为5年；③电气管线、给排水管道、设备安装和装修工程，为2年。</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自本工程依约通过验收之日起计算；如果《建设工程质量管理条例》对本工程的保修期限另有规定的，则按照《建设工程质量管理条例》规定执行。其余见合同约定。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4</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计算评标参考价的等分点值</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计算评标参考价的等分点值X在开标前从[0,100]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25</w:t>
            </w:r>
          </w:p>
        </w:tc>
        <w:tc>
          <w:tcPr>
            <w:tcW w:w="1059"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进入第二阶段评审的家数</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1 \* GB3</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①</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通过技术有效性审查的投标人均进入第二阶段（适用于通过技术有效性审查家数在</w:t>
            </w: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lang w:val="en-US" w:eastAsia="zh-CN"/>
              </w:rPr>
              <w:t>9</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中的）。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2 \* GB3</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②</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将第一阶段得分由高至低排序，前</w:t>
            </w:r>
            <w:r>
              <w:rPr>
                <w:rFonts w:hint="eastAsia" w:ascii="宋体" w:hAnsi="宋体" w:eastAsia="宋体" w:cs="宋体"/>
                <w:b/>
                <w:bCs/>
                <w:sz w:val="21"/>
                <w:szCs w:val="21"/>
                <w:highlight w:val="none"/>
                <w:u w:val="none"/>
                <w:lang w:val="en-US" w:eastAsia="zh-CN"/>
              </w:rPr>
              <w:t>9</w:t>
            </w:r>
            <w:r>
              <w:rPr>
                <w:rFonts w:hint="eastAsia" w:ascii="宋体" w:hAnsi="宋体" w:eastAsia="宋体" w:cs="宋体"/>
                <w:b/>
                <w:bCs/>
                <w:sz w:val="21"/>
                <w:szCs w:val="21"/>
                <w:highlight w:val="none"/>
                <w:u w:val="none"/>
              </w:rPr>
              <w:t>名</w:t>
            </w:r>
            <w:r>
              <w:rPr>
                <w:rFonts w:hint="eastAsia" w:ascii="宋体" w:hAnsi="宋体" w:eastAsia="宋体" w:cs="宋体"/>
                <w:sz w:val="21"/>
                <w:szCs w:val="21"/>
                <w:highlight w:val="none"/>
              </w:rPr>
              <w:t>投标人进入第二阶段评审（适用于通过技术有效性审查家数大于</w:t>
            </w:r>
            <w:r>
              <w:rPr>
                <w:rFonts w:hint="eastAsia" w:ascii="宋体" w:hAnsi="宋体" w:eastAsia="宋体" w:cs="宋体"/>
                <w:b/>
                <w:bCs/>
                <w:sz w:val="21"/>
                <w:szCs w:val="21"/>
                <w:highlight w:val="none"/>
                <w:u w:val="none"/>
                <w:lang w:val="en-US" w:eastAsia="zh-CN"/>
              </w:rPr>
              <w:t>9</w:t>
            </w:r>
            <w:r>
              <w:rPr>
                <w:rFonts w:hint="eastAsia" w:ascii="宋体" w:hAnsi="宋体" w:eastAsia="宋体" w:cs="宋体"/>
                <w:b/>
                <w:bCs/>
                <w:sz w:val="21"/>
                <w:szCs w:val="21"/>
                <w:highlight w:val="none"/>
                <w:u w:val="none"/>
              </w:rPr>
              <w:t>家</w:t>
            </w:r>
            <w:r>
              <w:rPr>
                <w:rFonts w:hint="eastAsia" w:ascii="宋体" w:hAnsi="宋体" w:eastAsia="宋体" w:cs="宋体"/>
                <w:sz w:val="21"/>
                <w:szCs w:val="21"/>
                <w:highlight w:val="none"/>
              </w:rPr>
              <w:t>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67"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26</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工程成本警戒价</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工程成本警戒价</w:t>
            </w:r>
            <w:r>
              <w:rPr>
                <w:rFonts w:hint="eastAsia" w:ascii="宋体" w:hAnsi="宋体" w:eastAsia="宋体" w:cs="宋体"/>
                <w:sz w:val="21"/>
                <w:szCs w:val="21"/>
                <w:highlight w:val="none"/>
              </w:rPr>
              <w:t>为</w:t>
            </w:r>
            <w:r>
              <w:rPr>
                <w:rFonts w:hint="eastAsia" w:ascii="宋体" w:hAnsi="宋体" w:eastAsia="宋体" w:cs="宋体"/>
                <w:sz w:val="21"/>
                <w:szCs w:val="21"/>
                <w:highlight w:val="none"/>
                <w:u w:val="single"/>
                <w:lang w:val="en-US" w:eastAsia="zh-CN"/>
              </w:rPr>
              <w:t>4574761.2</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rPr>
              <w:t>元（最高投标限价的90%）。对低于该警戒价的投标报价，投标人必须提</w:t>
            </w:r>
            <w:r>
              <w:rPr>
                <w:rFonts w:hint="eastAsia" w:ascii="宋体" w:hAnsi="宋体" w:eastAsia="宋体" w:cs="宋体"/>
                <w:sz w:val="21"/>
                <w:szCs w:val="21"/>
              </w:rPr>
              <w:t>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27</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第一阶段各分值的权重</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sz w:val="21"/>
                <w:szCs w:val="21"/>
                <w:highlight w:val="none"/>
                <w:u w:val="single"/>
                <w:lang w:bidi="ar"/>
              </w:rPr>
              <w:t>第一阶段得分（满分100分）=</w:t>
            </w:r>
            <w:r>
              <w:rPr>
                <w:rFonts w:hint="eastAsia" w:ascii="宋体" w:hAnsi="宋体" w:eastAsia="宋体" w:cs="宋体"/>
                <w:bCs/>
                <w:sz w:val="21"/>
                <w:szCs w:val="21"/>
                <w:highlight w:val="none"/>
                <w:u w:val="single"/>
                <w:lang w:bidi="ar"/>
              </w:rPr>
              <w:t>团队答辩得分20分+项目管理机构得分80分</w:t>
            </w:r>
            <w:r>
              <w:rPr>
                <w:rFonts w:hint="eastAsia" w:ascii="宋体" w:hAnsi="宋体" w:eastAsia="宋体" w:cs="宋体"/>
                <w:sz w:val="21"/>
                <w:szCs w:val="21"/>
                <w:highlight w:val="none"/>
                <w:u w:val="single"/>
                <w:lang w:bidi="ar"/>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28</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评标委员会人数</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29</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企业综合诚信评价分数</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30</w:t>
            </w:r>
          </w:p>
        </w:tc>
        <w:tc>
          <w:tcPr>
            <w:tcW w:w="1059"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第二阶段投标人名次的排序方法（适用于办法一、办法二）</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31</w:t>
            </w:r>
          </w:p>
        </w:tc>
        <w:tc>
          <w:tcPr>
            <w:tcW w:w="1059"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经济分相同情况下的排序方法（适用于办法三、办法四）</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32</w:t>
            </w:r>
          </w:p>
        </w:tc>
        <w:tc>
          <w:tcPr>
            <w:tcW w:w="1059"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第二阶段投标人名次的排序方法（适用于办法五、办法六）</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bidi="ar"/>
              </w:rPr>
              <w:t>选取方法</w:t>
            </w:r>
            <w:r>
              <w:rPr>
                <w:rFonts w:hint="eastAsia" w:ascii="宋体" w:hAnsi="宋体" w:eastAsia="宋体" w:cs="宋体"/>
                <w:sz w:val="21"/>
                <w:szCs w:val="21"/>
                <w:u w:val="single"/>
                <w:lang w:bidi="ar"/>
              </w:rPr>
              <w:t xml:space="preserve"> 二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bidi="ar"/>
              </w:rPr>
              <w:t>评标委员会按照</w:t>
            </w:r>
            <w:r>
              <w:rPr>
                <w:rFonts w:hint="eastAsia" w:ascii="宋体" w:hAnsi="宋体" w:eastAsia="宋体" w:cs="宋体"/>
                <w:sz w:val="21"/>
                <w:szCs w:val="21"/>
                <w:u w:val="single"/>
                <w:lang w:bidi="ar"/>
              </w:rPr>
              <w:t>“</w:t>
            </w:r>
            <w:r>
              <w:rPr>
                <w:rFonts w:hint="eastAsia" w:ascii="宋体" w:hAnsi="宋体" w:eastAsia="宋体" w:cs="宋体"/>
                <w:b/>
                <w:sz w:val="21"/>
                <w:szCs w:val="21"/>
                <w:u w:val="single"/>
                <w:lang w:bidi="ar"/>
              </w:rPr>
              <w:t>总得分（满分为100分）=第一阶段的团队答辩得分</w:t>
            </w:r>
            <w:r>
              <w:rPr>
                <w:rFonts w:hint="eastAsia" w:ascii="宋体" w:hAnsi="宋体" w:eastAsia="宋体" w:cs="宋体"/>
                <w:b/>
                <w:sz w:val="21"/>
                <w:szCs w:val="21"/>
                <w:u w:val="single"/>
                <w:lang w:eastAsia="zh-CN" w:bidi="ar"/>
              </w:rPr>
              <w:t>（</w:t>
            </w:r>
            <w:r>
              <w:rPr>
                <w:rFonts w:hint="eastAsia" w:ascii="宋体" w:hAnsi="宋体" w:eastAsia="宋体" w:cs="宋体"/>
                <w:b/>
                <w:sz w:val="21"/>
                <w:szCs w:val="21"/>
                <w:u w:val="single"/>
                <w:lang w:bidi="ar"/>
              </w:rPr>
              <w:t>20分</w:t>
            </w:r>
            <w:r>
              <w:rPr>
                <w:rFonts w:hint="eastAsia" w:ascii="宋体" w:hAnsi="宋体" w:eastAsia="宋体" w:cs="宋体"/>
                <w:b/>
                <w:sz w:val="21"/>
                <w:szCs w:val="21"/>
                <w:u w:val="single"/>
                <w:lang w:eastAsia="zh-CN" w:bidi="ar"/>
              </w:rPr>
              <w:t>）</w:t>
            </w:r>
            <w:r>
              <w:rPr>
                <w:rFonts w:hint="eastAsia" w:ascii="宋体" w:hAnsi="宋体" w:eastAsia="宋体" w:cs="宋体"/>
                <w:b/>
                <w:sz w:val="21"/>
                <w:szCs w:val="21"/>
                <w:u w:val="single"/>
                <w:lang w:bidi="ar"/>
              </w:rPr>
              <w:t>+经济得分（100分）×权重(80%)。</w:t>
            </w:r>
            <w:r>
              <w:rPr>
                <w:rFonts w:hint="eastAsia" w:ascii="宋体" w:hAnsi="宋体" w:eastAsia="宋体" w:cs="宋体"/>
                <w:sz w:val="21"/>
                <w:szCs w:val="21"/>
                <w:u w:val="single"/>
                <w:lang w:bidi="ar"/>
              </w:rPr>
              <w:t>”</w:t>
            </w:r>
            <w:r>
              <w:rPr>
                <w:rFonts w:hint="eastAsia" w:ascii="宋体" w:hAnsi="宋体" w:eastAsia="宋体" w:cs="宋体"/>
                <w:sz w:val="21"/>
                <w:szCs w:val="21"/>
                <w:lang w:bidi="ar"/>
              </w:rPr>
              <w:t>的公式，计算各有效投标文件的总分，并按照总分从高到低排序。</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lang w:bidi="ar"/>
              </w:rPr>
              <w:t>总得分相同的，以技术分较高的排前；总得分与技术分均相同的，以报价较低的排前；如仍存在相同情况，则对具有相同情况的投标人，由评标委员会采用记名投票方式，以得票多的优先。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33</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合同价款的调整办法</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u w:val="single"/>
              </w:rPr>
            </w:pPr>
            <w:r>
              <w:rPr>
                <w:rFonts w:hint="eastAsia" w:ascii="宋体" w:hAnsi="宋体" w:eastAsia="宋体" w:cs="宋体"/>
                <w:sz w:val="21"/>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w:t>
            </w:r>
            <w:r>
              <w:rPr>
                <w:rFonts w:hint="eastAsia" w:ascii="宋体" w:hAnsi="宋体"/>
                <w:szCs w:val="21"/>
              </w:rPr>
              <w:t>4</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建设工程质量检测单位</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6"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35</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分包</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□不允许；</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u w:val="single"/>
                <w:lang w:val="zh-CN"/>
              </w:rPr>
            </w:pPr>
            <w:r>
              <w:rPr>
                <w:rFonts w:hint="eastAsia" w:ascii="宋体" w:hAnsi="宋体" w:eastAsia="宋体" w:cs="宋体"/>
                <w:kern w:val="0"/>
                <w:sz w:val="21"/>
                <w:szCs w:val="21"/>
                <w:lang w:val="zh-CN"/>
              </w:rPr>
              <w:t>☑允许：分包内容要求：</w:t>
            </w:r>
            <w:r>
              <w:rPr>
                <w:rFonts w:hint="eastAsia" w:ascii="宋体" w:hAnsi="宋体" w:eastAsia="宋体" w:cs="宋体"/>
                <w:kern w:val="0"/>
                <w:sz w:val="21"/>
                <w:szCs w:val="21"/>
                <w:u w:val="single"/>
                <w:lang w:val="zh-CN"/>
              </w:rPr>
              <w:t>非主体的工程、非关键性的工作。</w:t>
            </w:r>
          </w:p>
          <w:p>
            <w:pPr>
              <w:keepNext w:val="0"/>
              <w:keepLines w:val="0"/>
              <w:pageBreakBefore w:val="0"/>
              <w:kinsoku/>
              <w:wordWrap/>
              <w:overflowPunct/>
              <w:topLinePunct w:val="0"/>
              <w:autoSpaceDE/>
              <w:autoSpaceDN/>
              <w:bidi w:val="0"/>
              <w:adjustRightInd/>
              <w:snapToGrid/>
              <w:spacing w:line="440" w:lineRule="exact"/>
              <w:ind w:firstLine="840" w:firstLineChars="4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zh-CN"/>
              </w:rPr>
              <w:t>分包金额要求：</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zh-CN"/>
              </w:rPr>
              <w:t xml:space="preserve">        对分包人的资质要求：</w:t>
            </w:r>
            <w:r>
              <w:rPr>
                <w:rFonts w:hint="eastAsia" w:ascii="宋体" w:hAnsi="宋体" w:eastAsia="宋体" w:cs="宋体"/>
                <w:kern w:val="0"/>
                <w:sz w:val="21"/>
                <w:szCs w:val="21"/>
                <w:u w:val="single"/>
              </w:rPr>
              <w:t>相对应的资质</w:t>
            </w:r>
            <w:r>
              <w:rPr>
                <w:rFonts w:hint="eastAsia" w:ascii="宋体" w:hAnsi="宋体" w:eastAsia="宋体" w:cs="宋体"/>
                <w:kern w:val="0"/>
                <w:sz w:val="21"/>
                <w:szCs w:val="21"/>
              </w:rPr>
              <w:t>。</w:t>
            </w:r>
          </w:p>
          <w:p>
            <w:pPr>
              <w:keepNext w:val="0"/>
              <w:keepLines w:val="0"/>
              <w:pageBreakBefore w:val="0"/>
              <w:kinsoku/>
              <w:wordWrap/>
              <w:overflowPunct/>
              <w:topLinePunct w:val="0"/>
              <w:autoSpaceDE/>
              <w:autoSpaceDN/>
              <w:bidi w:val="0"/>
              <w:adjustRightInd/>
              <w:snapToGrid/>
              <w:spacing w:line="440" w:lineRule="exact"/>
              <w:ind w:firstLine="840" w:firstLineChars="40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对分包人的其他要求：</w:t>
            </w:r>
            <w:r>
              <w:rPr>
                <w:rFonts w:hint="eastAsia" w:ascii="宋体" w:hAnsi="宋体" w:eastAsia="宋体" w:cs="宋体"/>
                <w:kern w:val="0"/>
                <w:sz w:val="21"/>
                <w:szCs w:val="21"/>
                <w:u w:val="single"/>
                <w:lang w:val="zh-CN"/>
              </w:rPr>
              <w:t>未在以往工程中因不诚信行为或不充分履约行为被本项目招标人书面拒绝投标的，或未被纳入联合惩戒范围的。</w:t>
            </w:r>
            <w:r>
              <w:rPr>
                <w:rFonts w:hint="eastAsia" w:ascii="宋体" w:hAnsi="宋体" w:eastAsia="宋体" w:cs="宋体"/>
                <w:kern w:val="0"/>
                <w:sz w:val="21"/>
                <w:szCs w:val="21"/>
                <w:u w:val="single"/>
              </w:rPr>
              <w:t>须经发包人和总监理工程师书面同意。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36</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电子招标投标解密失败及突发情况的补救</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1、按照交易平台关于全流程电子化项目的相关指南进行操作。详见：</w:t>
            </w:r>
            <w:r>
              <w:rPr>
                <w:rFonts w:hint="eastAsia" w:ascii="宋体" w:hAnsi="宋体" w:eastAsia="宋体" w:cs="宋体"/>
                <w:sz w:val="21"/>
                <w:szCs w:val="21"/>
                <w:u w:val="single"/>
              </w:rPr>
              <w:t>https://ywtb.gzggzy.cn/</w:t>
            </w: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2、提交投标文件光盘备用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3、补救方案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（1）投标文件解密失败的补救方案：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（2）评标时突发情况的补救方案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若遇不可抗力发生（指网络瘫痪、服务器损坏、交易系统故障短期无法恢复等因素），由评标委员会开启投标人递交的全部投标文件光盘，并按光盘内容进行评审。</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cs="宋体"/>
                <w:szCs w:val="21"/>
              </w:rPr>
              <w:t>37</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tc>
        <w:tc>
          <w:tcPr>
            <w:tcW w:w="6326" w:type="dxa"/>
            <w:tcBorders>
              <w:top w:val="single" w:color="auto" w:sz="4" w:space="0"/>
              <w:left w:val="single" w:color="auto" w:sz="4" w:space="0"/>
              <w:bottom w:val="single" w:color="auto" w:sz="4" w:space="0"/>
              <w:right w:val="double" w:color="auto" w:sz="4" w:space="0"/>
            </w:tcBorders>
            <w:vAlign w:val="center"/>
          </w:tcPr>
          <w:p>
            <w:pPr>
              <w:pStyle w:val="5"/>
              <w:keepNext w:val="0"/>
              <w:keepLines w:val="0"/>
              <w:pageBreakBefore w:val="0"/>
              <w:tabs>
                <w:tab w:val="left" w:pos="7380"/>
              </w:tabs>
              <w:kinsoku/>
              <w:wordWrap/>
              <w:overflowPunct/>
              <w:topLinePunct w:val="0"/>
              <w:autoSpaceDE/>
              <w:autoSpaceDN/>
              <w:bidi w:val="0"/>
              <w:adjustRightInd/>
              <w:snapToGrid/>
              <w:spacing w:after="0" w:line="440" w:lineRule="exact"/>
              <w:ind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rPr>
              <w:t>内容：招标人对中标人参与“百千万工程”的具体要求</w:t>
            </w:r>
          </w:p>
          <w:p>
            <w:pPr>
              <w:pStyle w:val="5"/>
              <w:keepNext w:val="0"/>
              <w:keepLines w:val="0"/>
              <w:pageBreakBefore w:val="0"/>
              <w:tabs>
                <w:tab w:val="left" w:pos="7380"/>
              </w:tabs>
              <w:kinsoku/>
              <w:wordWrap/>
              <w:overflowPunct/>
              <w:topLinePunct w:val="0"/>
              <w:autoSpaceDE/>
              <w:autoSpaceDN/>
              <w:bidi w:val="0"/>
              <w:adjustRightInd/>
              <w:snapToGrid/>
              <w:spacing w:after="0" w:line="440" w:lineRule="exact"/>
              <w:ind w:firstLine="0"/>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说明与要求：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☑具体要求在中标后按照投标承诺和招标人的要求执行。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□具体要求：（由招标人填写）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8" w:hRule="atLeast"/>
          <w:jc w:val="center"/>
        </w:trPr>
        <w:tc>
          <w:tcPr>
            <w:tcW w:w="758" w:type="dxa"/>
            <w:tcBorders>
              <w:top w:val="single" w:color="auto" w:sz="4" w:space="0"/>
              <w:left w:val="doub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38</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其它费用</w:t>
            </w:r>
          </w:p>
        </w:tc>
        <w:tc>
          <w:tcPr>
            <w:tcW w:w="63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rPr>
              <w:t>招标代理服务费：中标人在领取中标通知书前，一次性向招标代理机构支付招标代理服务费。招标代理服务费参照国家计委【2002】1980号《招标代理服务收费管理暂行办法》，最终结算以招标人确定的中标金额为计算基数，费率下浮20%。招标代理服务费由投标人在投标时综合考虑，招标人不再另行支付。</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rPr>
              <w:t>交易服务费：</w:t>
            </w:r>
            <w:r>
              <w:rPr>
                <w:rFonts w:hint="eastAsia" w:ascii="宋体" w:hAnsi="宋体" w:eastAsia="宋体" w:cs="宋体"/>
                <w:sz w:val="21"/>
                <w:szCs w:val="21"/>
              </w:rPr>
              <w:t>本项目交易服务费由中标人向广州公共资源交易中心缴纳，投标人在投标时综合考虑，招标人不另行支付。具体收费标准投标人可以在广州公共资源交易中心网站查阅，如有变更以广州公共资源交易中心最新发布的标准为准。中标人必须在中标通知书发出前支付该笔费用，且前往交易中心办妥出具发票的手续，否则无法出具中标通知书，由于中标人原因导致的延误，由此带来的后果将由中标人自行承担。</w:t>
            </w:r>
          </w:p>
        </w:tc>
      </w:tr>
    </w:tbl>
    <w:p>
      <w:pPr>
        <w:spacing w:line="480" w:lineRule="auto"/>
        <w:rPr>
          <w:rFonts w:asci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注：企业</w:t>
      </w:r>
      <w:r>
        <w:rPr>
          <w:rFonts w:hint="eastAsia" w:ascii="宋体" w:hAnsi="宋体" w:cs="宋体"/>
          <w:strike/>
          <w:color w:val="000000" w:themeColor="text1"/>
          <w:kern w:val="0"/>
          <w:sz w:val="24"/>
          <w14:textFill>
            <w14:solidFill>
              <w14:schemeClr w14:val="tx1"/>
            </w14:solidFill>
          </w14:textFill>
        </w:rPr>
        <w:t>综合诚信评价得分即</w:t>
      </w:r>
      <w:r>
        <w:rPr>
          <w:rFonts w:hint="eastAsia" w:ascii="宋体" w:hAnsi="宋体"/>
          <w:strike/>
          <w:color w:val="000000" w:themeColor="text1"/>
          <w:sz w:val="24"/>
          <w14:textFill>
            <w14:solidFill>
              <w14:schemeClr w14:val="tx1"/>
            </w14:solidFill>
          </w14:textFill>
        </w:rPr>
        <w:t>企业</w:t>
      </w:r>
      <w:r>
        <w:rPr>
          <w:rFonts w:hint="eastAsia" w:ascii="宋体" w:hAnsi="宋体" w:cs="宋体"/>
          <w:strike/>
          <w:color w:val="000000" w:themeColor="text1"/>
          <w:kern w:val="0"/>
          <w:sz w:val="24"/>
          <w14:textFill>
            <w14:solidFill>
              <w14:schemeClr w14:val="tx1"/>
            </w14:solidFill>
          </w14:textFill>
        </w:rPr>
        <w:t>综合诚信评价</w:t>
      </w:r>
      <w:r>
        <w:rPr>
          <w:rFonts w:ascii="宋体" w:hAnsi="宋体" w:cs="宋体"/>
          <w:strike/>
          <w:color w:val="000000" w:themeColor="text1"/>
          <w:kern w:val="0"/>
          <w:sz w:val="24"/>
          <w14:textFill>
            <w14:solidFill>
              <w14:schemeClr w14:val="tx1"/>
            </w14:solidFill>
          </w14:textFill>
        </w:rPr>
        <w:t>60</w:t>
      </w:r>
      <w:r>
        <w:rPr>
          <w:rFonts w:hint="eastAsia" w:ascii="宋体" w:hAnsi="宋体" w:cs="宋体"/>
          <w:strike/>
          <w:color w:val="000000" w:themeColor="text1"/>
          <w:kern w:val="0"/>
          <w:sz w:val="24"/>
          <w14:textFill>
            <w14:solidFill>
              <w14:schemeClr w14:val="tx1"/>
            </w14:solidFill>
          </w14:textFill>
        </w:rPr>
        <w:t>日诚信分，以下同。</w:t>
      </w:r>
    </w:p>
    <w:p>
      <w:pPr>
        <w:pStyle w:val="7"/>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 w:name="_Toc21525491"/>
      <w:bookmarkStart w:id="7" w:name="_Toc2272547"/>
      <w:bookmarkStart w:id="8" w:name="_Toc6428"/>
      <w:r>
        <w:rPr>
          <w:rFonts w:hint="eastAsia"/>
          <w:color w:val="000000" w:themeColor="text1"/>
          <w14:textFill>
            <w14:solidFill>
              <w14:schemeClr w14:val="tx1"/>
            </w14:solidFill>
          </w14:textFill>
        </w:rPr>
        <w:t>二、投标须知修改表</w:t>
      </w:r>
      <w:bookmarkEnd w:id="6"/>
      <w:bookmarkEnd w:id="7"/>
      <w:bookmarkEnd w:id="8"/>
    </w:p>
    <w:p>
      <w:pPr>
        <w:pStyle w:val="5"/>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条款号：5.1                    修改类型：修改</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招标人不受理因投标人缺乏对现场条件的了解或掌握而提出的任何索赔。</w:t>
      </w:r>
      <w:r>
        <w:rPr>
          <w:rFonts w:hint="eastAsia" w:ascii="宋体" w:hAnsi="宋体" w:cs="宋体"/>
          <w:szCs w:val="21"/>
          <w:highlight w:val="none"/>
        </w:rPr>
        <w:t>考察现场的费用由投标人自己承担。</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ascii="宋体" w:hAnsi="宋体" w:cs="宋体"/>
          <w:b/>
          <w:szCs w:val="21"/>
          <w:highlight w:val="none"/>
        </w:rPr>
      </w:pPr>
      <w:r>
        <w:rPr>
          <w:rFonts w:hint="eastAsia" w:ascii="宋体" w:hAnsi="宋体" w:cs="宋体"/>
          <w:b/>
          <w:szCs w:val="21"/>
          <w:highlight w:val="none"/>
        </w:rPr>
        <w:t>条款号： 7.1                    修改类型：修改</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7.1本招标文件包括下列文件，以及所有按本须知第8条发出的招标答疑会会议纪要和按本须知第9条发出的澄清或修改：</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第一章  投标须知</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第二章  开标、评标及定标办法</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第三章  合同条款</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第四章  投标文件格式</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第五章  技术条件（工程建设标准）（另册）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第六章  图纸及勘察资料（另册）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第七章  招标工程量清单（另册）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第八章  最高投标限价</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bCs/>
          <w:szCs w:val="21"/>
          <w:highlight w:val="none"/>
        </w:rPr>
      </w:pPr>
      <w:r>
        <w:rPr>
          <w:rFonts w:hint="eastAsia" w:ascii="宋体" w:hAnsi="宋体" w:cs="宋体"/>
          <w:bCs/>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b/>
          <w:bCs/>
          <w:szCs w:val="21"/>
          <w:highlight w:val="none"/>
        </w:rPr>
        <w:t>7.1</w:t>
      </w:r>
      <w:r>
        <w:rPr>
          <w:rFonts w:hint="eastAsia" w:ascii="宋体" w:hAnsi="宋体" w:cs="宋体"/>
          <w:szCs w:val="21"/>
          <w:highlight w:val="none"/>
        </w:rPr>
        <w:t>本招标文件包括下列文件，以及所有按本须知第8条发出的招标答疑会会议纪要和按本须知第9条发出的澄清或修改：</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rPr>
      </w:pPr>
      <w:r>
        <w:rPr>
          <w:rFonts w:hint="eastAsia" w:ascii="宋体" w:hAnsi="宋体" w:cs="宋体"/>
          <w:bCs/>
          <w:szCs w:val="21"/>
          <w:highlight w:val="none"/>
        </w:rPr>
        <w:t xml:space="preserve">第一章  </w:t>
      </w:r>
      <w:r>
        <w:rPr>
          <w:rFonts w:hint="eastAsia" w:ascii="宋体" w:hAnsi="宋体" w:cs="宋体"/>
          <w:szCs w:val="21"/>
          <w:highlight w:val="none"/>
        </w:rPr>
        <w:t>投标须知</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rPr>
      </w:pPr>
      <w:r>
        <w:rPr>
          <w:rFonts w:hint="eastAsia" w:ascii="宋体" w:hAnsi="宋体" w:cs="宋体"/>
          <w:bCs/>
          <w:szCs w:val="21"/>
          <w:highlight w:val="none"/>
        </w:rPr>
        <w:t xml:space="preserve">第二章  </w:t>
      </w:r>
      <w:r>
        <w:rPr>
          <w:rFonts w:hint="eastAsia" w:ascii="宋体" w:hAnsi="宋体" w:cs="宋体"/>
          <w:szCs w:val="21"/>
          <w:highlight w:val="none"/>
        </w:rPr>
        <w:t>开标、评标及定标办法</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u w:val="single"/>
        </w:rPr>
      </w:pPr>
      <w:r>
        <w:rPr>
          <w:rFonts w:hint="eastAsia" w:ascii="宋体" w:hAnsi="宋体" w:cs="宋体"/>
          <w:szCs w:val="21"/>
          <w:highlight w:val="none"/>
          <w:u w:val="single"/>
        </w:rPr>
        <w:t>第三章  合同条款（另册）</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rPr>
      </w:pPr>
      <w:r>
        <w:rPr>
          <w:rFonts w:hint="eastAsia" w:ascii="宋体" w:hAnsi="宋体" w:cs="宋体"/>
          <w:bCs/>
          <w:szCs w:val="21"/>
          <w:highlight w:val="none"/>
        </w:rPr>
        <w:t xml:space="preserve">第四章  </w:t>
      </w:r>
      <w:r>
        <w:rPr>
          <w:rFonts w:hint="eastAsia" w:ascii="宋体" w:hAnsi="宋体" w:cs="宋体"/>
          <w:szCs w:val="21"/>
          <w:highlight w:val="none"/>
        </w:rPr>
        <w:t>投标文件格式</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u w:val="single"/>
        </w:rPr>
      </w:pPr>
      <w:r>
        <w:rPr>
          <w:rFonts w:hint="eastAsia" w:ascii="宋体" w:hAnsi="宋体" w:cs="宋体"/>
          <w:bCs/>
          <w:szCs w:val="21"/>
          <w:highlight w:val="none"/>
          <w:u w:val="single"/>
        </w:rPr>
        <w:t xml:space="preserve">第五章  </w:t>
      </w:r>
      <w:r>
        <w:rPr>
          <w:rFonts w:hint="eastAsia" w:ascii="宋体" w:hAnsi="宋体" w:cs="宋体"/>
          <w:szCs w:val="21"/>
          <w:highlight w:val="none"/>
          <w:u w:val="single"/>
        </w:rPr>
        <w:t>技术条件（工程建设标准）</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rPr>
      </w:pPr>
      <w:r>
        <w:rPr>
          <w:rFonts w:hint="eastAsia" w:ascii="宋体" w:hAnsi="宋体" w:cs="宋体"/>
          <w:bCs/>
          <w:szCs w:val="21"/>
          <w:highlight w:val="none"/>
        </w:rPr>
        <w:t xml:space="preserve">第六章  </w:t>
      </w:r>
      <w:r>
        <w:rPr>
          <w:rFonts w:hint="eastAsia" w:ascii="宋体" w:hAnsi="宋体" w:cs="宋体"/>
          <w:szCs w:val="21"/>
          <w:highlight w:val="none"/>
        </w:rPr>
        <w:t>图纸及勘察资料（另册）</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szCs w:val="21"/>
          <w:highlight w:val="none"/>
        </w:rPr>
      </w:pPr>
      <w:r>
        <w:rPr>
          <w:rFonts w:hint="eastAsia" w:ascii="宋体" w:hAnsi="宋体" w:cs="宋体"/>
          <w:bCs/>
          <w:szCs w:val="21"/>
          <w:highlight w:val="none"/>
        </w:rPr>
        <w:t xml:space="preserve">第七章  </w:t>
      </w:r>
      <w:r>
        <w:rPr>
          <w:rFonts w:hint="eastAsia" w:ascii="宋体" w:hAnsi="宋体" w:cs="宋体"/>
          <w:szCs w:val="21"/>
          <w:highlight w:val="none"/>
        </w:rPr>
        <w:t xml:space="preserve">招标工程量清单（另册）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firstLine="420" w:firstLineChars="200"/>
        <w:textAlignment w:val="auto"/>
        <w:rPr>
          <w:rFonts w:ascii="宋体" w:hAnsi="宋体" w:cs="宋体"/>
          <w:szCs w:val="21"/>
          <w:highlight w:val="none"/>
        </w:rPr>
      </w:pPr>
      <w:r>
        <w:rPr>
          <w:rFonts w:hint="eastAsia" w:ascii="宋体" w:hAnsi="宋体" w:cs="宋体"/>
          <w:szCs w:val="21"/>
          <w:highlight w:val="none"/>
        </w:rPr>
        <w:t>第八章  最高投标限价</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firstLine="420" w:firstLineChars="200"/>
        <w:textAlignment w:val="auto"/>
        <w:rPr>
          <w:rFonts w:ascii="宋体" w:hAnsi="宋体" w:cs="宋体"/>
          <w:b/>
          <w:szCs w:val="21"/>
          <w:highlight w:val="none"/>
        </w:rPr>
      </w:pPr>
      <w:r>
        <w:rPr>
          <w:rFonts w:hint="eastAsia" w:ascii="宋体" w:hAnsi="宋体" w:cs="宋体"/>
          <w:szCs w:val="21"/>
          <w:highlight w:val="none"/>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条款号：8.1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8.1投标人若对招标文件（包括招标图纸）中有疑问，可以书面形式通过</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交易平台提交给招标人或招标代理人，提交形式见本须知前附表第16项。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8.1投标人若对招标文件（包括招标图纸）中有疑问，可以书面形式通过</w:t>
      </w:r>
      <w:r>
        <w:rPr>
          <w:rFonts w:hint="eastAsia" w:ascii="宋体" w:hAnsi="宋体" w:eastAsia="宋体" w:cs="宋体"/>
          <w:sz w:val="21"/>
          <w:szCs w:val="21"/>
          <w:u w:val="single"/>
        </w:rPr>
        <w:t xml:space="preserve"> 广州交易集团有限公司（广州公共资源交易中心）</w:t>
      </w:r>
      <w:r>
        <w:rPr>
          <w:rFonts w:hint="eastAsia" w:ascii="宋体" w:hAnsi="宋体" w:eastAsia="宋体" w:cs="宋体"/>
          <w:sz w:val="21"/>
          <w:szCs w:val="21"/>
        </w:rPr>
        <w:t>交易平台提交给招标人或招标代理人，提交形式见本须知前附表第16项。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条款号：8.2</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8.2招标答疑会会议纪要将在提交投标文件截止时间15日前在</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 “项目答疑纪要”专区公开发布。答疑纪要一经在</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交易平台发布，视作已发放给所有投标人。</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8.2招标答疑会会议纪要将在提交投标文件截止时间15日前在</w:t>
      </w:r>
      <w:r>
        <w:rPr>
          <w:rFonts w:hint="eastAsia" w:ascii="宋体" w:hAnsi="宋体" w:eastAsia="宋体" w:cs="宋体"/>
          <w:sz w:val="21"/>
          <w:szCs w:val="21"/>
          <w:u w:val="single"/>
        </w:rPr>
        <w:t xml:space="preserve"> 广州交易集团有限公司（广州公共资源交易中心）</w:t>
      </w:r>
      <w:r>
        <w:rPr>
          <w:rFonts w:hint="eastAsia" w:ascii="宋体" w:hAnsi="宋体" w:eastAsia="宋体" w:cs="宋体"/>
          <w:sz w:val="21"/>
          <w:szCs w:val="21"/>
        </w:rPr>
        <w:t>交易平台 “项目答疑纪要”专区公开发布。答疑纪要一经在</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交易平台发布，视作已发放给所有投标人。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条款号：9.2</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9.2招标文件的澄清或修改将在</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交易平台“项目答疑纪要”专区公开发布。答疑纪要一经在</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交易平台发布，视作已发放给所有投标人，以</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交易平台上网发布时间作为送达时间。</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9.2招标文件的澄清或修改将在</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交易平台“项目答疑纪要”专区公开发布。答疑纪要一经在</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交易平台发布，视作已发放给所有投标人，以</w:t>
      </w:r>
      <w:r>
        <w:rPr>
          <w:rFonts w:hint="eastAsia" w:ascii="宋体" w:hAnsi="宋体" w:eastAsia="宋体" w:cs="宋体"/>
          <w:sz w:val="21"/>
          <w:szCs w:val="21"/>
          <w:u w:val="single"/>
        </w:rPr>
        <w:t xml:space="preserve"> 广州交易集团有限公司（广州公共资源交易中心）</w:t>
      </w:r>
      <w:r>
        <w:rPr>
          <w:rFonts w:hint="eastAsia" w:ascii="宋体" w:hAnsi="宋体" w:eastAsia="宋体" w:cs="宋体"/>
          <w:sz w:val="21"/>
          <w:szCs w:val="21"/>
        </w:rPr>
        <w:t>交易平台上网发布时间作为送达时间。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条款号：11.2</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原文：</w:t>
      </w:r>
      <w:r>
        <w:rPr>
          <w:rFonts w:hint="eastAsia" w:ascii="宋体" w:hAnsi="宋体" w:eastAsia="宋体" w:cs="宋体"/>
          <w:sz w:val="21"/>
          <w:szCs w:val="21"/>
        </w:rPr>
        <w:t>11.2投标文件技术标部分主要包括下列内容: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11.2.1 技术投标文件(按招标文件的要求填写)；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11.2.2 资格审查文件：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（1）投标人声明；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（2）法定代表人证明书、法定代表人签字或盖章的本投标文件授权委托证明书；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（3）企业营业执照扫描件或电子证照；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（4）企业资质证书扫描件或电子证照；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（5）建筑施工企业安全生产许可证扫描件或电子证照；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（6）项目负责人（按网上投标登记时选择拟投入本项目的项目负责人）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（7）专职安全员（按网上投标登记时选择拟投入本项目的专职安全员）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（8）拟委托技术负责人的相关证书、资料（具体要求由招标人明确）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（9）拟委派项目负责人的有效期内的建造师注册证书扫描件或电子证书；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（10）项目负责人在有效期内的安全生产考核合格证书（B类）或建筑施工企业项目负责人安全生产考核合格证书扫描件或电子证书；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（11）专职安全员须具有在有效期内的安全生产考核合格证书（C类）或建筑施工企业专职安全生产管理人员安全生产考核合格证书扫描件或电子证书；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（12）用于资格审查的业绩（设置业绩要求时选择此项，投标人须提供类似工程业绩的项目名称及项目编号，具体格式由招标人自定）；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（13）资格审查前，投标人须在广州市住房和城乡建设局建立企业信用档案，拟担任本工程项目负责人、专职安全员须是本企业信用档案中的在册人员；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（14）列明主办单位的联合体工作协议（采用联合体投标时需递交，投标人拟任本工程项目负责人应为联合体主办方信用档案中的在册人员，联合体工作协议应明确约定各方拟承担的工作和责任）；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注：1.相关电子证书按规定需打印后手写本人签名的，应按照规定手写本人签名后再扫描提交。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（1）投标人应列出该项目工程的施工组织机构构成和画出机构框架图及其负责人；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（2）投标人应详细列出该施工组织机构中主要成员的名单、简历资料、职务职称和在本项目中拟担任的职务等资料，并附上有关证明材料扫描件；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（3）其他辅助说明资料。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11.2.4投标人在广州市可使用适合本工程的机械设备（附：机械设备为自有或租赁的说明；及承诺机械设备如属于租赁的，其租赁是不属于重复租赁）。</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11.2.5施工组织设计或施工方案。</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11.2.6按照招标文件要求填写的《参与编制技术标投标文件人员名单》。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11.2投标文件技术标（含资格审查文件）部分主要包括下列内容: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11.2.1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11.2.2 资格审查文件：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（1）投标人声明</w:t>
      </w:r>
      <w:r>
        <w:rPr>
          <w:rFonts w:hint="eastAsia" w:ascii="宋体" w:hAnsi="宋体" w:eastAsia="宋体" w:cs="宋体"/>
          <w:sz w:val="21"/>
          <w:szCs w:val="21"/>
          <w:u w:val="single"/>
        </w:rPr>
        <w:t>（按招标公告附件一的格式及内容提交）</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（2）法定代表人证明书、法定代表人签字或盖章的本投标文件授权委托证明书</w:t>
      </w:r>
      <w:r>
        <w:rPr>
          <w:rFonts w:hint="eastAsia" w:ascii="宋体" w:hAnsi="宋体" w:eastAsia="宋体" w:cs="宋体"/>
          <w:sz w:val="21"/>
          <w:szCs w:val="21"/>
          <w:u w:val="single"/>
        </w:rPr>
        <w:t>（见本招标文件第四章“投标文件格式”格式四）</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（3）企业营业执照扫描件或电子证照；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（4）企业资质证书扫描件或电子证照；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（5）建筑施工企业安全生产许可证扫描件或电子证照；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（6）项目负责人（按网上投标登记时选择拟投标的项目负责人）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（7）专职安全员（按网上投标登记时选择拟投标的专职安全员）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u w:val="single"/>
        </w:rPr>
        <w:t>拟委派技术负责人的职称证书扫描件；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（9）拟委派项目负责人的有效期内的建造师注册证书扫描件或电子证书；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（10）项目负责人在有效期内的安全生产考核合格证书（B类）或建筑施工企业项目负责人安全生产考核合格证书扫描件或电子证书；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（11）专职安全员须具有在有效期内的安全生产考核合格证书（C类），或能够提供建筑施工企业专职安全生产管理人员安全生产考核合格证书</w:t>
      </w:r>
      <w:r>
        <w:rPr>
          <w:rFonts w:hint="eastAsia" w:ascii="宋体" w:hAnsi="宋体" w:eastAsia="宋体" w:cs="宋体"/>
          <w:sz w:val="21"/>
          <w:szCs w:val="21"/>
          <w:u w:val="single"/>
        </w:rPr>
        <w:t>（C3）</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（12）资格审查前，投标人须在广州市住房和城乡建设局建立企业信用档案，拟担任本工程项目负责人、专职安全员须是本企业信用档案中的在册人员；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（13）关于联合体投标：</w:t>
      </w:r>
      <w:r>
        <w:rPr>
          <w:rFonts w:hint="eastAsia" w:ascii="宋体" w:hAnsi="宋体" w:eastAsia="宋体" w:cs="宋体"/>
          <w:b/>
          <w:kern w:val="0"/>
          <w:sz w:val="21"/>
          <w:szCs w:val="21"/>
          <w:u w:val="singl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u w:val="single"/>
        </w:rPr>
        <w:t>未被列入拖欠农民工工资失信联合惩戒对象名单。</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注：1.相关电子证书按规定需打印后手写本人签名的，应按照规定手写本人签名后再扫描提交。</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11.2.3项目管理机构配备：</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（1）投标人应列出该项目工程的施工组织机构构成和画出机构框架图及其负责人；</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（2）投标人应详细列出该施工组织机构中主要成员的名单、简历资料、职务职称和在本项目中拟担任的职务等资料，并附上有关证明材料扫描件</w:t>
      </w:r>
      <w:r>
        <w:rPr>
          <w:rFonts w:hint="eastAsia" w:ascii="宋体" w:hAnsi="宋体" w:eastAsia="宋体" w:cs="宋体"/>
          <w:sz w:val="21"/>
          <w:szCs w:val="21"/>
          <w:u w:val="single"/>
        </w:rPr>
        <w:t>（见本招标文件第四章“投标文件格式”格式五《拟委任的项目管理机构人员汇总表》和格式六《项目负责人（或其他项目管理机构人员）基本情况及业绩表》填写）。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（3）其他辅助说明资料。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11.2.4按照招标文件要求填写的《参与编制技术标投标文件人员名单》</w:t>
      </w:r>
      <w:r>
        <w:rPr>
          <w:rFonts w:hint="eastAsia" w:ascii="宋体" w:hAnsi="宋体" w:eastAsia="宋体" w:cs="宋体"/>
          <w:sz w:val="21"/>
          <w:szCs w:val="21"/>
          <w:u w:val="single"/>
        </w:rPr>
        <w:t>（见本招标文件第四章“投标文件格式”格式二）</w:t>
      </w:r>
      <w:r>
        <w:rPr>
          <w:rFonts w:hint="eastAsia" w:ascii="宋体" w:hAnsi="宋体" w:eastAsia="宋体" w:cs="宋体"/>
          <w:sz w:val="21"/>
          <w:szCs w:val="21"/>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11.2.5</w:t>
      </w:r>
      <w:r>
        <w:rPr>
          <w:rFonts w:hint="eastAsia" w:ascii="宋体" w:hAnsi="宋体" w:eastAsia="宋体" w:cs="宋体"/>
          <w:sz w:val="21"/>
          <w:szCs w:val="21"/>
          <w:u w:val="single"/>
        </w:rPr>
        <w:t>企业资信业绩其他证明材料：</w:t>
      </w:r>
      <w:r>
        <w:rPr>
          <w:rFonts w:hint="eastAsia" w:ascii="宋体" w:hAnsi="宋体" w:eastAsia="宋体" w:cs="宋体"/>
          <w:sz w:val="21"/>
          <w:szCs w:val="21"/>
          <w:u w:val="single"/>
          <w:lang w:val="en-US" w:eastAsia="zh-CN"/>
        </w:rPr>
        <w:t>投标人根据公司情况自行</w:t>
      </w:r>
      <w:r>
        <w:rPr>
          <w:rFonts w:hint="eastAsia" w:ascii="宋体" w:hAnsi="宋体" w:eastAsia="宋体" w:cs="宋体"/>
          <w:sz w:val="21"/>
          <w:szCs w:val="21"/>
          <w:u w:val="single"/>
        </w:rPr>
        <w:t>提供资料</w:t>
      </w:r>
      <w:r>
        <w:rPr>
          <w:rFonts w:hint="eastAsia" w:ascii="宋体" w:hAnsi="宋体" w:eastAsia="宋体" w:cs="宋体"/>
          <w:sz w:val="21"/>
          <w:szCs w:val="21"/>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11.2.6《响应招标文件所附施工组织设计要点的承诺书》</w:t>
      </w:r>
      <w:r>
        <w:rPr>
          <w:rFonts w:hint="eastAsia" w:ascii="宋体" w:hAnsi="宋体" w:eastAsia="宋体" w:cs="宋体"/>
          <w:sz w:val="21"/>
          <w:szCs w:val="21"/>
          <w:u w:val="single"/>
        </w:rPr>
        <w:t>（详见招标文件第四章“投标文件格式”格式八）</w:t>
      </w:r>
      <w:r>
        <w:rPr>
          <w:rFonts w:hint="eastAsia" w:ascii="宋体" w:hAnsi="宋体" w:eastAsia="宋体" w:cs="宋体"/>
          <w:sz w:val="21"/>
          <w:szCs w:val="21"/>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11.2.7</w:t>
      </w:r>
      <w:r>
        <w:rPr>
          <w:rFonts w:hint="eastAsia" w:ascii="宋体" w:hAnsi="宋体" w:eastAsia="宋体" w:cs="宋体"/>
          <w:sz w:val="21"/>
          <w:szCs w:val="21"/>
          <w:u w:val="single"/>
        </w:rPr>
        <w:t>危险性较大的分部分项工程清单及超过一定规模的危险性较大的分部分项工程清单（详见招标文件第四章“投标文件格式”格式九）；</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11.2.8</w:t>
      </w:r>
      <w:r>
        <w:rPr>
          <w:rFonts w:hint="eastAsia" w:ascii="宋体" w:hAnsi="宋体" w:eastAsia="宋体" w:cs="宋体"/>
          <w:sz w:val="21"/>
          <w:szCs w:val="21"/>
          <w:u w:val="single"/>
        </w:rPr>
        <w:t>《投标函》（须按本招标文件第四章“投标文件格式”格式十）</w:t>
      </w:r>
      <w:r>
        <w:rPr>
          <w:rFonts w:hint="eastAsia" w:ascii="宋体" w:hAnsi="宋体" w:eastAsia="宋体" w:cs="宋体"/>
          <w:sz w:val="21"/>
          <w:szCs w:val="21"/>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11.2.9其他投标人认为应该提供的资料。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条款号：11.3</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原文：</w:t>
      </w:r>
      <w:r>
        <w:rPr>
          <w:rFonts w:hint="eastAsia" w:ascii="宋体" w:hAnsi="宋体" w:eastAsia="宋体" w:cs="宋体"/>
          <w:bCs/>
          <w:sz w:val="21"/>
          <w:szCs w:val="21"/>
        </w:rPr>
        <w:t>11.3 经济部分投标文件主要包括下列内容：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11.3.1 经济投标文件(按招标文件的要求填写)。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（1）投标总价封面、扉页；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（2）总说明；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（3）工程项目投标报价汇总表；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（4）单项工程投标报价汇总表；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（5）单位工程投标报价汇总表；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（6）分部分项工程清单与计价表；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（7）单价措施项目清单与计价表；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（8）总价措施项目清单与计价表；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（9）综合单价分析表；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（10）其他项目清单与计价汇总表；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（11）暂列金额明细表；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（12）材料（工程设备）暂估价明细表；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（13）专业工程暂估价明细表；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（14）计日工表；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（15）总承包服务计价表；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（16）规费和税金项目计价表；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（17）人工、主要材料和设备一览表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11.3.3按照招标文件要求填写的《参与编制经济标投标文件人员名单》。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11.3.4若投标人的投标报价低于工程成本警戒价的，投标人还须提供详细的施工组织设计、单价、措施性费用、单价分析表、主要材料价格表、投标人成本分析供评标委员会评审。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11.3 经济部分投标文件主要包括下列内容：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11.3.1 </w:t>
      </w:r>
      <w:r>
        <w:rPr>
          <w:rFonts w:hint="eastAsia" w:ascii="宋体" w:hAnsi="宋体" w:eastAsia="宋体" w:cs="宋体"/>
          <w:bCs/>
          <w:sz w:val="21"/>
          <w:szCs w:val="21"/>
        </w:rPr>
        <w:t>经济投标文件(按招标文件的要求填写)</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sz w:val="21"/>
          <w:szCs w:val="21"/>
          <w:u w:val="single"/>
        </w:rPr>
        <w:t>（投标报价的工程量清单的组成、格式等由广州交易集团有限公司（广州公共资源交易中心）的投标文件管理软件自动生成）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11.3.3 按照招标文件要求填写的《参与编制经济标投标文件人员名单》</w:t>
      </w:r>
      <w:r>
        <w:rPr>
          <w:rFonts w:hint="eastAsia" w:ascii="宋体" w:hAnsi="宋体" w:eastAsia="宋体" w:cs="宋体"/>
          <w:sz w:val="21"/>
          <w:szCs w:val="21"/>
          <w:u w:val="single"/>
        </w:rPr>
        <w:t>(按第四章投标文件格式格式二的要求填写)</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11.3.4 《对投标文件编制的承诺》(按第四章投标文件格式格式三的要求填写)。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b/>
          <w:sz w:val="24"/>
          <w:szCs w:val="24"/>
        </w:rPr>
      </w:pPr>
      <w:r>
        <w:rPr>
          <w:rFonts w:hint="eastAsia" w:ascii="宋体" w:hAnsi="宋体" w:eastAsia="宋体" w:cs="宋体"/>
          <w:sz w:val="21"/>
          <w:szCs w:val="21"/>
        </w:rPr>
        <w:t>11.3.5 若投标人的投标报价低于工程成本警戒价的，投标人还须提供详细的施工组织设计、单价、措施性费用、单价分析表、主要材料价格表、投标人成本分析供评标委员会评审</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w:t>
      </w:r>
      <w:r>
        <w:rPr>
          <w:rFonts w:hint="eastAsia" w:ascii="宋体" w:hAnsi="宋体" w:eastAsia="宋体" w:cs="宋体"/>
          <w:sz w:val="21"/>
          <w:szCs w:val="21"/>
        </w:rPr>
        <w:t>12.2</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原文：</w:t>
      </w:r>
      <w:r>
        <w:rPr>
          <w:rFonts w:hint="eastAsia" w:ascii="宋体" w:hAnsi="宋体" w:eastAsia="宋体" w:cs="宋体"/>
          <w:kern w:val="0"/>
          <w:sz w:val="21"/>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现文：</w:t>
      </w:r>
      <w:r>
        <w:rPr>
          <w:rFonts w:hint="eastAsia" w:ascii="宋体" w:hAnsi="宋体" w:eastAsia="宋体" w:cs="宋体"/>
          <w:sz w:val="21"/>
          <w:szCs w:val="21"/>
        </w:rPr>
        <w:t>12.2投标文件全部采用电子文档，投标文件所附证书证件均为原件扫描件，并采用单位数字证书，</w:t>
      </w:r>
      <w:r>
        <w:rPr>
          <w:rFonts w:hint="eastAsia" w:ascii="宋体" w:hAnsi="宋体" w:eastAsia="宋体" w:cs="宋体"/>
          <w:b w:val="0"/>
          <w:bCs w:val="0"/>
          <w:sz w:val="21"/>
          <w:szCs w:val="21"/>
          <w:lang w:val="en-US" w:eastAsia="zh-CN"/>
        </w:rPr>
        <w:t>对投标文件</w:t>
      </w:r>
      <w:r>
        <w:rPr>
          <w:rFonts w:hint="eastAsia" w:ascii="宋体" w:hAnsi="宋体" w:eastAsia="宋体" w:cs="宋体"/>
          <w:sz w:val="21"/>
          <w:szCs w:val="21"/>
        </w:rPr>
        <w:t>加盖电子印章。</w:t>
      </w:r>
      <w:r>
        <w:rPr>
          <w:rFonts w:hint="eastAsia" w:ascii="宋体" w:hAnsi="宋体" w:eastAsia="宋体" w:cs="宋体"/>
          <w:kern w:val="0"/>
          <w:sz w:val="21"/>
          <w:szCs w:val="21"/>
        </w:rPr>
        <w:t>投标文件中需个人签字或盖章的，应加盖个人电子印章或在线下完成后扫描上传。</w:t>
      </w:r>
      <w:r>
        <w:rPr>
          <w:rFonts w:hint="eastAsia" w:ascii="宋体" w:hAnsi="宋体" w:eastAsia="宋体" w:cs="宋体"/>
          <w:sz w:val="21"/>
          <w:szCs w:val="21"/>
        </w:rPr>
        <w:t>按照交易平台关于全流程电子化项目的相关指南进行操作。详见：</w:t>
      </w:r>
      <w:r>
        <w:rPr>
          <w:rFonts w:hint="eastAsia" w:ascii="宋体" w:hAnsi="宋体" w:eastAsia="宋体" w:cs="宋体"/>
          <w:sz w:val="21"/>
          <w:szCs w:val="21"/>
          <w:u w:val="single"/>
        </w:rPr>
        <w:t>https://ywtb.gzggzy.cn/相关指引。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条款号：12.3</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12.3 投标文件应按照交易平台关于全流程电子化项目的相关指南进行编制，详见：</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12.3 投标文件应按照交易平台关于全流程电子化项目的相关指南进行编制，详见：</w:t>
      </w:r>
      <w:r>
        <w:rPr>
          <w:rFonts w:hint="eastAsia" w:ascii="宋体" w:hAnsi="宋体" w:eastAsia="宋体" w:cs="宋体"/>
          <w:sz w:val="21"/>
          <w:szCs w:val="21"/>
          <w:u w:val="single"/>
        </w:rPr>
        <w:t>https://ywtb.gzggzy.cn/相关指引</w:t>
      </w:r>
      <w:r>
        <w:rPr>
          <w:rFonts w:hint="eastAsia" w:ascii="宋体" w:hAnsi="宋体" w:eastAsia="宋体" w:cs="宋体"/>
          <w:sz w:val="21"/>
          <w:szCs w:val="21"/>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条款号：13.1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原文：</w:t>
      </w:r>
      <w:r>
        <w:rPr>
          <w:rFonts w:hint="eastAsia" w:ascii="宋体" w:hAnsi="宋体" w:eastAsia="宋体" w:cs="宋体"/>
          <w:sz w:val="21"/>
          <w:szCs w:val="21"/>
        </w:rPr>
        <w:t>13.1 本工程的投标报价采用投标须知前附表第12项所规定的方式。投标报价（含单价及总价）精确到“分”。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13.1 本工程的投标报价采用投标须知前附表第12项所规定的方式。</w:t>
      </w:r>
      <w:r>
        <w:rPr>
          <w:rFonts w:hint="eastAsia" w:ascii="宋体" w:hAnsi="宋体" w:eastAsia="宋体" w:cs="宋体"/>
          <w:sz w:val="21"/>
          <w:szCs w:val="21"/>
          <w:u w:val="single"/>
        </w:rPr>
        <w:t>投标文件中的大写金额和小写金额不一致的，以大写金额为准。</w:t>
      </w:r>
      <w:r>
        <w:rPr>
          <w:rFonts w:hint="eastAsia" w:ascii="宋体" w:hAnsi="宋体" w:eastAsia="宋体" w:cs="宋体"/>
          <w:sz w:val="21"/>
          <w:szCs w:val="21"/>
        </w:rPr>
        <w:t>投标报价（含单价及总价）精确到“分”。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条款号：13.3</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原文：</w:t>
      </w:r>
      <w:r>
        <w:rPr>
          <w:rFonts w:hint="eastAsia" w:ascii="宋体" w:hAnsi="宋体" w:cs="仿宋"/>
          <w:bCs/>
          <w:sz w:val="21"/>
          <w:szCs w:val="21"/>
        </w:rPr>
        <w:t>13.3</w:t>
      </w:r>
      <w:r>
        <w:rPr>
          <w:rFonts w:hint="eastAsia" w:ascii="宋体" w:hAnsi="宋体" w:cs="仿宋"/>
          <w:sz w:val="21"/>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现文：13.3</w:t>
      </w:r>
      <w:r>
        <w:rPr>
          <w:rFonts w:hint="eastAsia" w:ascii="宋体" w:hAnsi="宋体" w:cs="仿宋"/>
          <w:sz w:val="21"/>
          <w:szCs w:val="21"/>
        </w:rPr>
        <w:t>投标人的投标总报价，应是按照投标须知前附表第8项的工期要求，在投标须知前附表第3项的建设地点，完成投标须知前附表第7项的招标范围内已由招标人</w:t>
      </w:r>
      <w:r>
        <w:rPr>
          <w:rFonts w:hint="eastAsia" w:ascii="宋体" w:hAnsi="宋体" w:cs="仿宋"/>
          <w:sz w:val="21"/>
          <w:szCs w:val="21"/>
          <w:u w:val="single"/>
        </w:rPr>
        <w:t>提供的招标图纸（包括有关于本项目招标的相关资料）及</w:t>
      </w:r>
      <w:r>
        <w:rPr>
          <w:rFonts w:hint="eastAsia" w:ascii="宋体" w:hAnsi="宋体" w:cs="仿宋"/>
          <w:sz w:val="21"/>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仿宋"/>
          <w:sz w:val="21"/>
          <w:szCs w:val="21"/>
          <w:u w:val="single"/>
        </w:rPr>
        <w:t>费率</w:t>
      </w:r>
      <w:r>
        <w:rPr>
          <w:rFonts w:hint="eastAsia" w:ascii="宋体" w:hAnsi="宋体" w:cs="仿宋"/>
          <w:sz w:val="21"/>
          <w:szCs w:val="21"/>
        </w:rPr>
        <w:t>、暂列金额、暂估价、</w:t>
      </w:r>
      <w:r>
        <w:rPr>
          <w:rFonts w:hint="eastAsia" w:ascii="宋体" w:hAnsi="宋体" w:cs="仿宋"/>
          <w:sz w:val="21"/>
          <w:szCs w:val="21"/>
          <w:lang w:eastAsia="zh-CN"/>
        </w:rPr>
        <w:t>绿色施工安全防护措施费</w:t>
      </w:r>
      <w:r>
        <w:rPr>
          <w:rFonts w:hint="eastAsia" w:ascii="宋体" w:hAnsi="宋体" w:cs="仿宋"/>
          <w:sz w:val="21"/>
          <w:szCs w:val="21"/>
        </w:rPr>
        <w:t>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条款号：13.4</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原文：</w:t>
      </w:r>
      <w:r>
        <w:rPr>
          <w:rFonts w:hint="eastAsia" w:ascii="宋体" w:hAnsi="宋体" w:cs="仿宋"/>
          <w:bCs/>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现文：</w:t>
      </w:r>
      <w:r>
        <w:rPr>
          <w:rFonts w:hint="eastAsia" w:ascii="宋体" w:hAnsi="宋体" w:cs="仿宋"/>
          <w:bCs/>
          <w:sz w:val="21"/>
          <w:szCs w:val="21"/>
        </w:rPr>
        <w:t>13.4</w:t>
      </w:r>
      <w:r>
        <w:rPr>
          <w:rFonts w:hint="eastAsia" w:ascii="宋体" w:hAnsi="宋体"/>
          <w:color w:val="000000" w:themeColor="text1"/>
          <w:sz w:val="21"/>
          <w:szCs w:val="21"/>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color w:val="000000" w:themeColor="text1"/>
          <w:sz w:val="21"/>
          <w:szCs w:val="21"/>
          <w:u w:val="single"/>
          <w14:textFill>
            <w14:solidFill>
              <w14:schemeClr w14:val="tx1"/>
            </w14:solidFill>
          </w14:textFill>
        </w:rPr>
        <w:t>措施项目费总价包干。</w:t>
      </w:r>
      <w:r>
        <w:rPr>
          <w:rFonts w:hint="eastAsia" w:ascii="宋体" w:hAnsi="宋体" w:cs="仿宋"/>
          <w:sz w:val="21"/>
          <w:szCs w:val="21"/>
          <w:u w:val="single"/>
        </w:rPr>
        <w:t>详见本项目施工合同相应条款。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条款号：13.5</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Cs/>
          <w:sz w:val="21"/>
          <w:szCs w:val="21"/>
        </w:rPr>
      </w:pPr>
      <w:r>
        <w:rPr>
          <w:rFonts w:hint="eastAsia" w:ascii="宋体" w:hAnsi="宋体" w:cs="仿宋"/>
          <w:b/>
          <w:sz w:val="21"/>
          <w:szCs w:val="21"/>
        </w:rPr>
        <w:t>原文：</w:t>
      </w:r>
      <w:r>
        <w:rPr>
          <w:rFonts w:hint="eastAsia" w:ascii="宋体" w:hAnsi="宋体" w:cs="仿宋"/>
          <w:bCs/>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bCs/>
          <w:sz w:val="21"/>
          <w:szCs w:val="21"/>
        </w:rPr>
      </w:pPr>
      <w:r>
        <w:rPr>
          <w:rFonts w:hint="eastAsia" w:ascii="宋体" w:hAnsi="宋体" w:cs="仿宋"/>
          <w:bCs/>
          <w:sz w:val="21"/>
          <w:szCs w:val="21"/>
        </w:rPr>
        <w:t>13.5.1中标的投标文件工程量清单中已有相同项目的适用综合单价，则沿用；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bCs/>
          <w:sz w:val="21"/>
          <w:szCs w:val="21"/>
        </w:rPr>
      </w:pPr>
      <w:r>
        <w:rPr>
          <w:rFonts w:hint="eastAsia" w:ascii="宋体" w:hAnsi="宋体" w:cs="仿宋"/>
          <w:bCs/>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bCs/>
          <w:sz w:val="21"/>
          <w:szCs w:val="21"/>
        </w:rPr>
      </w:pPr>
      <w:r>
        <w:rPr>
          <w:rFonts w:hint="eastAsia" w:ascii="宋体" w:hAnsi="宋体" w:cs="仿宋"/>
          <w:bCs/>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sz w:val="21"/>
          <w:szCs w:val="21"/>
        </w:rPr>
      </w:pPr>
      <w:r>
        <w:rPr>
          <w:rFonts w:hint="eastAsia" w:ascii="宋体" w:hAnsi="宋体" w:cs="仿宋"/>
          <w:bCs/>
          <w:sz w:val="21"/>
          <w:szCs w:val="21"/>
        </w:rPr>
        <w:t>13.5.4 如相关定额没有相应子目的，其计价方式由招标人在本招标文件第三章中另行规定。未规定的，中标后双方协商约定。</w:t>
      </w:r>
    </w:p>
    <w:p>
      <w:pPr>
        <w:pStyle w:val="5"/>
        <w:spacing w:after="0" w:line="360" w:lineRule="auto"/>
        <w:ind w:firstLine="422" w:firstLineChars="200"/>
        <w:rPr>
          <w:rFonts w:ascii="宋体"/>
          <w:color w:val="000000" w:themeColor="text1"/>
          <w:sz w:val="21"/>
          <w:szCs w:val="21"/>
          <w14:textFill>
            <w14:solidFill>
              <w14:schemeClr w14:val="tx1"/>
            </w14:solidFill>
          </w14:textFill>
        </w:rPr>
      </w:pPr>
      <w:r>
        <w:rPr>
          <w:rFonts w:hint="eastAsia" w:ascii="宋体" w:hAnsi="宋体" w:cs="仿宋"/>
          <w:b/>
          <w:sz w:val="21"/>
          <w:szCs w:val="21"/>
        </w:rPr>
        <w:t>现文：</w:t>
      </w:r>
      <w:r>
        <w:rPr>
          <w:rFonts w:hint="eastAsia" w:ascii="宋体" w:hAnsi="宋体" w:cs="仿宋"/>
          <w:b w:val="0"/>
          <w:bCs/>
          <w:sz w:val="21"/>
          <w:szCs w:val="21"/>
          <w:lang w:val="en-US" w:eastAsia="zh-CN"/>
        </w:rPr>
        <w:t>13.5</w:t>
      </w:r>
      <w:r>
        <w:rPr>
          <w:rFonts w:hint="eastAsia" w:ascii="宋体" w:hAnsi="宋体"/>
          <w:b w:val="0"/>
          <w:bCs/>
          <w:color w:val="000000" w:themeColor="text1"/>
          <w:sz w:val="21"/>
          <w:szCs w:val="21"/>
          <w14:textFill>
            <w14:solidFill>
              <w14:schemeClr w14:val="tx1"/>
            </w14:solidFill>
          </w14:textFill>
        </w:rPr>
        <w:t>工</w:t>
      </w:r>
      <w:r>
        <w:rPr>
          <w:rFonts w:hint="eastAsia" w:ascii="宋体" w:hAnsi="宋体"/>
          <w:color w:val="000000" w:themeColor="text1"/>
          <w:sz w:val="21"/>
          <w:szCs w:val="21"/>
          <w14:textFill>
            <w14:solidFill>
              <w14:schemeClr w14:val="tx1"/>
            </w14:solidFill>
          </w14:textFill>
        </w:rPr>
        <w:t>程项目实施期间和结算时，招标文件工程量清单中漏列而由监理单位和招标人现场签证确认的工程项目、原设计没有而由招标人批准设计变更产生的工程项目，视为新增项目，按以下顺序确定价格</w:t>
      </w:r>
      <w:r>
        <w:rPr>
          <w:rFonts w:hint="eastAsia" w:ascii="宋体" w:hAnsi="宋体"/>
          <w:color w:val="000000" w:themeColor="text1"/>
          <w:sz w:val="21"/>
          <w:szCs w:val="21"/>
          <w:highlight w:val="none"/>
          <w:u w:val="single"/>
          <w:lang w:eastAsia="zh-CN"/>
          <w14:textFill>
            <w14:solidFill>
              <w14:schemeClr w14:val="tx1"/>
            </w14:solidFill>
          </w14:textFill>
        </w:rPr>
        <w:t>（</w:t>
      </w:r>
      <w:r>
        <w:rPr>
          <w:rFonts w:hint="eastAsia" w:ascii="宋体" w:hAnsi="宋体"/>
          <w:color w:val="000000" w:themeColor="text1"/>
          <w:sz w:val="21"/>
          <w:szCs w:val="21"/>
          <w:highlight w:val="none"/>
          <w:u w:val="single"/>
          <w:lang w:val="en-US" w:eastAsia="zh-CN"/>
          <w14:textFill>
            <w14:solidFill>
              <w14:schemeClr w14:val="tx1"/>
            </w14:solidFill>
          </w14:textFill>
        </w:rPr>
        <w:t>涉及不平衡项目以合同约定结算方式为准）</w:t>
      </w:r>
      <w:r>
        <w:rPr>
          <w:rFonts w:hint="eastAsia" w:ascii="宋体" w:hAnsi="宋体"/>
          <w:color w:val="000000" w:themeColor="text1"/>
          <w:sz w:val="21"/>
          <w:szCs w:val="21"/>
          <w14:textFill>
            <w14:solidFill>
              <w14:schemeClr w14:val="tx1"/>
            </w14:solidFill>
          </w14:textFill>
        </w:rPr>
        <w:t>：</w:t>
      </w:r>
    </w:p>
    <w:p>
      <w:pPr>
        <w:pStyle w:val="5"/>
        <w:spacing w:after="0" w:line="360" w:lineRule="auto"/>
        <w:ind w:firstLine="420" w:firstLineChars="200"/>
        <w:rPr>
          <w:rFonts w:asci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13.5.1</w:t>
      </w:r>
      <w:r>
        <w:rPr>
          <w:rFonts w:hint="eastAsia" w:ascii="宋体" w:hAnsi="宋体"/>
          <w:color w:val="000000" w:themeColor="text1"/>
          <w:sz w:val="21"/>
          <w:szCs w:val="21"/>
          <w:highlight w:val="none"/>
          <w14:textFill>
            <w14:solidFill>
              <w14:schemeClr w14:val="tx1"/>
            </w14:solidFill>
          </w14:textFill>
        </w:rPr>
        <w:t>中标的投标文件工程量清单中已有相同项目的适用综合单价，则沿用；</w:t>
      </w:r>
    </w:p>
    <w:p>
      <w:pPr>
        <w:pStyle w:val="5"/>
        <w:spacing w:after="0" w:line="360" w:lineRule="auto"/>
        <w:ind w:firstLine="420" w:firstLineChars="200"/>
        <w:rPr>
          <w:rFonts w:asci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13.5.2</w:t>
      </w:r>
      <w:r>
        <w:rPr>
          <w:rFonts w:hint="eastAsia" w:ascii="宋体" w:hAnsi="宋体"/>
          <w:color w:val="000000" w:themeColor="text1"/>
          <w:sz w:val="21"/>
          <w:szCs w:val="21"/>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20" w:firstLineChars="200"/>
        <w:rPr>
          <w:rFonts w:asci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13.5.3 </w:t>
      </w:r>
      <w:r>
        <w:rPr>
          <w:rFonts w:hint="eastAsia" w:ascii="宋体" w:hAnsi="宋体"/>
          <w:color w:val="000000" w:themeColor="text1"/>
          <w:sz w:val="21"/>
          <w:szCs w:val="21"/>
          <w:highlight w:val="none"/>
          <w14:textFill>
            <w14:solidFill>
              <w14:schemeClr w14:val="tx1"/>
            </w14:solidFill>
          </w14:textFill>
        </w:rPr>
        <w:t>中标的投标文件工程量清单中没有相同项目或类似项目的，如可套取相关定额，则以相关定额为基数下浮计算单价，下浮率为中标价相对于最高投标限价的下浮率（下浮率</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（最高投标限价</w:t>
      </w:r>
      <w:r>
        <w:rPr>
          <w:rFonts w:asci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中标价）</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最高投标限价）。</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cs="仿宋"/>
          <w:sz w:val="21"/>
          <w:szCs w:val="21"/>
        </w:rPr>
      </w:pPr>
      <w:r>
        <w:rPr>
          <w:rFonts w:ascii="宋体" w:hAnsi="宋体"/>
          <w:color w:val="000000" w:themeColor="text1"/>
          <w:sz w:val="21"/>
          <w:szCs w:val="21"/>
          <w14:textFill>
            <w14:solidFill>
              <w14:schemeClr w14:val="tx1"/>
            </w14:solidFill>
          </w14:textFill>
        </w:rPr>
        <w:t xml:space="preserve">13.5.4 </w:t>
      </w:r>
      <w:r>
        <w:rPr>
          <w:rFonts w:hint="eastAsia" w:ascii="宋体" w:hAnsi="宋体"/>
          <w:color w:val="000000" w:themeColor="text1"/>
          <w:sz w:val="21"/>
          <w:szCs w:val="21"/>
          <w14:textFill>
            <w14:solidFill>
              <w14:schemeClr w14:val="tx1"/>
            </w14:solidFill>
          </w14:textFill>
        </w:rPr>
        <w:t>如相关定额没有相应子目的，其计价方式由招标人在本招标文件第三章中另行规定。未规定的，中标后双方协商约定。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条款号：13.6.4</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原文：</w:t>
      </w:r>
      <w:r>
        <w:rPr>
          <w:rFonts w:hint="eastAsia" w:ascii="宋体" w:hAnsi="宋体" w:cs="仿宋"/>
          <w:bCs/>
          <w:sz w:val="21"/>
          <w:szCs w:val="21"/>
        </w:rPr>
        <w:t>13.6.4</w:t>
      </w:r>
      <w:r>
        <w:rPr>
          <w:rFonts w:hint="eastAsia" w:ascii="宋体" w:hAnsi="宋体" w:cs="仿宋"/>
          <w:sz w:val="21"/>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现文:</w:t>
      </w:r>
      <w:r>
        <w:rPr>
          <w:rFonts w:hint="eastAsia" w:ascii="宋体" w:hAnsi="宋体" w:cs="仿宋"/>
          <w:bCs/>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w:t>
      </w:r>
      <w:r>
        <w:rPr>
          <w:rFonts w:hint="eastAsia" w:ascii="宋体" w:hAnsi="宋体" w:cs="仿宋"/>
          <w:bCs/>
          <w:sz w:val="21"/>
          <w:szCs w:val="21"/>
          <w:u w:val="single"/>
        </w:rPr>
        <w:t>经发包人同意后</w:t>
      </w:r>
      <w:r>
        <w:rPr>
          <w:rFonts w:hint="eastAsia" w:ascii="宋体" w:hAnsi="宋体" w:cs="仿宋"/>
          <w:bCs/>
          <w:sz w:val="21"/>
          <w:szCs w:val="21"/>
        </w:rPr>
        <w:t>，由承包人承包，承包人无法定的承包资格但有法定的分包权的</w:t>
      </w:r>
      <w:r>
        <w:rPr>
          <w:rFonts w:hint="eastAsia" w:ascii="宋体" w:hAnsi="宋体" w:cs="仿宋"/>
          <w:bCs/>
          <w:sz w:val="21"/>
          <w:szCs w:val="21"/>
          <w:u w:val="single"/>
        </w:rPr>
        <w:t>，经发包人同意后</w:t>
      </w:r>
      <w:r>
        <w:rPr>
          <w:rFonts w:hint="eastAsia" w:ascii="宋体" w:hAnsi="宋体" w:cs="仿宋"/>
          <w:bCs/>
          <w:sz w:val="21"/>
          <w:szCs w:val="21"/>
        </w:rPr>
        <w:t>，由承包人分包，招标人同承包人结算的价格按本投标须知13.5款规定确定。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条款号：13.9</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原文：</w:t>
      </w:r>
      <w:r>
        <w:rPr>
          <w:rFonts w:hint="eastAsia" w:ascii="宋体" w:hAnsi="宋体" w:cs="仿宋"/>
          <w:bCs/>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现文：</w:t>
      </w:r>
      <w:r>
        <w:rPr>
          <w:rFonts w:hint="eastAsia" w:ascii="宋体" w:hAnsi="宋体" w:cs="仿宋"/>
          <w:bCs/>
          <w:sz w:val="21"/>
          <w:szCs w:val="21"/>
        </w:rPr>
        <w:t>13.9调价机制</w:t>
      </w:r>
      <w:r>
        <w:rPr>
          <w:rFonts w:hint="eastAsia" w:ascii="宋体" w:hAnsi="宋体" w:cs="仿宋"/>
          <w:bCs/>
          <w:sz w:val="21"/>
          <w:szCs w:val="21"/>
          <w:lang w:eastAsia="zh-CN"/>
        </w:rPr>
        <w:t>，</w:t>
      </w:r>
      <w:r>
        <w:rPr>
          <w:rFonts w:hint="eastAsia" w:ascii="宋体" w:hAnsi="宋体" w:cs="仿宋"/>
          <w:sz w:val="21"/>
          <w:szCs w:val="21"/>
        </w:rPr>
        <w:t>详见本项目施工合同相应条款。</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条款号：16.5</w:t>
      </w:r>
      <w:r>
        <w:rPr>
          <w:rFonts w:hint="eastAsia" w:ascii="宋体" w:hAnsi="宋体" w:eastAsia="宋体" w:cs="宋体"/>
          <w:b/>
          <w:sz w:val="21"/>
          <w:szCs w:val="21"/>
          <w:highlight w:val="none"/>
        </w:rPr>
        <w:t xml:space="preserve">                    </w:t>
      </w:r>
      <w:r>
        <w:rPr>
          <w:rFonts w:hint="eastAsia" w:ascii="宋体" w:hAnsi="宋体" w:cs="宋体"/>
          <w:b/>
          <w:szCs w:val="21"/>
          <w:highlight w:val="none"/>
        </w:rPr>
        <w:t>修改类型：修改</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16.5.3按招标文件要求免于提供投标保证金的投标人存在16.4条款所列情形的。</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注：16.5.3款由招标人二选一，需在招标文件中明确。</w:t>
      </w:r>
    </w:p>
    <w:p>
      <w:pPr>
        <w:pBdr>
          <w:bottom w:val="single" w:color="auto" w:sz="6" w:space="1"/>
        </w:pBdr>
        <w:spacing w:line="360" w:lineRule="auto"/>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16.5投标人如存在下列情况之一的，将被拒绝在</w:t>
      </w:r>
      <w:r>
        <w:rPr>
          <w:rFonts w:hint="eastAsia" w:ascii="宋体" w:hAnsi="宋体" w:cs="宋体"/>
          <w:szCs w:val="21"/>
          <w:highlight w:val="none"/>
          <w:u w:val="single"/>
        </w:rPr>
        <w:t>一年内</w:t>
      </w:r>
      <w:r>
        <w:rPr>
          <w:rFonts w:hint="eastAsia" w:ascii="宋体" w:hAnsi="宋体" w:cs="宋体"/>
          <w:szCs w:val="21"/>
          <w:highlight w:val="none"/>
        </w:rPr>
        <w:t>参与招标人后续工程投标：</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16.5.1投标人存在16.4条款所列情形且投标人提交的保函、担保或保证保险无法兑付的；</w:t>
      </w:r>
    </w:p>
    <w:p>
      <w:pPr>
        <w:pBdr>
          <w:bottom w:val="single" w:color="auto" w:sz="6" w:space="1"/>
        </w:pBdr>
        <w:spacing w:line="360" w:lineRule="auto"/>
        <w:ind w:firstLine="420" w:firstLineChars="200"/>
        <w:rPr>
          <w:rFonts w:ascii="宋体" w:hAnsi="宋体" w:cs="宋体"/>
          <w:szCs w:val="21"/>
          <w:highlight w:val="none"/>
        </w:rPr>
      </w:pPr>
      <w:r>
        <w:rPr>
          <w:rFonts w:hint="eastAsia" w:ascii="宋体" w:hAnsi="宋体" w:cs="宋体"/>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条款号：17.1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17.1投标人应采用单位数字证书，按招标文件要求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sz w:val="21"/>
          <w:szCs w:val="21"/>
          <w:u w:val="single"/>
        </w:rPr>
        <w:t>https://ywtb.gzggzy.cn/相关指引</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条款号：18.1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bCs/>
          <w:sz w:val="21"/>
          <w:szCs w:val="21"/>
        </w:rPr>
        <w:t>18.1递交的电子投标文件（不含备用光盘）必须进行加密。按照交易平台关于</w:t>
      </w:r>
      <w:r>
        <w:rPr>
          <w:rFonts w:hint="eastAsia" w:ascii="宋体" w:hAnsi="宋体" w:eastAsia="宋体" w:cs="宋体"/>
          <w:sz w:val="21"/>
          <w:szCs w:val="21"/>
        </w:rPr>
        <w:t>全流程电子化项目的相关指南进行操作。详见：</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Cs/>
          <w:sz w:val="21"/>
          <w:szCs w:val="21"/>
        </w:rPr>
        <w:t>18.1递交的电子投标文件（不含备用光盘）必须进行加密。按照交易平台关于</w:t>
      </w:r>
      <w:r>
        <w:rPr>
          <w:rFonts w:hint="eastAsia" w:ascii="宋体" w:hAnsi="宋体" w:eastAsia="宋体" w:cs="宋体"/>
          <w:sz w:val="21"/>
          <w:szCs w:val="21"/>
        </w:rPr>
        <w:t>全流程电子化项目的相关指南进行操作。详见：</w:t>
      </w:r>
      <w:r>
        <w:rPr>
          <w:rFonts w:hint="eastAsia" w:ascii="宋体" w:hAnsi="宋体" w:eastAsia="宋体" w:cs="宋体"/>
          <w:sz w:val="21"/>
          <w:szCs w:val="21"/>
          <w:u w:val="single"/>
        </w:rPr>
        <w:t>https://ywtb.gzggzy.cn/相关指引</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条款号：18.2</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bCs/>
          <w:sz w:val="21"/>
          <w:szCs w:val="21"/>
        </w:rPr>
        <w:t>18.2 未按要求加密的投标文件，</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w:t>
      </w:r>
      <w:r>
        <w:rPr>
          <w:rFonts w:hint="eastAsia" w:ascii="宋体" w:hAnsi="宋体" w:eastAsia="宋体" w:cs="宋体"/>
          <w:bCs/>
          <w:sz w:val="21"/>
          <w:szCs w:val="21"/>
        </w:rPr>
        <w:t>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Cs/>
          <w:sz w:val="21"/>
          <w:szCs w:val="21"/>
        </w:rPr>
        <w:t>18.2 未按要求加密的投标文件，</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w:t>
      </w:r>
      <w:r>
        <w:rPr>
          <w:rFonts w:hint="eastAsia" w:ascii="宋体" w:hAnsi="宋体" w:eastAsia="宋体" w:cs="宋体"/>
          <w:bCs/>
          <w:sz w:val="21"/>
          <w:szCs w:val="21"/>
        </w:rPr>
        <w:t>将予以拒收。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条款号：19.1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bCs/>
          <w:sz w:val="21"/>
          <w:szCs w:val="21"/>
        </w:rPr>
        <w:t>19.1投标人通过</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交易平台递交电子投标文件。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Cs/>
          <w:sz w:val="21"/>
          <w:szCs w:val="21"/>
        </w:rPr>
        <w:t>19.1投标人通过</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交易平台递交电子投标文件。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条款号：19.2</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bCs/>
          <w:sz w:val="21"/>
          <w:szCs w:val="21"/>
        </w:rPr>
        <w:t>19.2投标人完成电子</w:t>
      </w:r>
      <w:r>
        <w:rPr>
          <w:rFonts w:hint="eastAsia" w:ascii="宋体" w:hAnsi="宋体" w:eastAsia="宋体" w:cs="宋体"/>
          <w:sz w:val="21"/>
          <w:szCs w:val="21"/>
        </w:rPr>
        <w:t>投标文件</w:t>
      </w:r>
      <w:r>
        <w:rPr>
          <w:rFonts w:hint="eastAsia" w:ascii="宋体" w:hAnsi="宋体" w:eastAsia="宋体" w:cs="宋体"/>
          <w:bCs/>
          <w:sz w:val="21"/>
          <w:szCs w:val="21"/>
        </w:rPr>
        <w:t>上传后，</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交易平台即时向投标人发出递交回执通知。递交时间以递交回执通知载明的传输完成时间为准。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Cs/>
          <w:sz w:val="21"/>
          <w:szCs w:val="21"/>
        </w:rPr>
        <w:t>19.2投标人完成电子</w:t>
      </w:r>
      <w:r>
        <w:rPr>
          <w:rFonts w:hint="eastAsia" w:ascii="宋体" w:hAnsi="宋体" w:eastAsia="宋体" w:cs="宋体"/>
          <w:sz w:val="21"/>
          <w:szCs w:val="21"/>
        </w:rPr>
        <w:t>投标文件</w:t>
      </w:r>
      <w:r>
        <w:rPr>
          <w:rFonts w:hint="eastAsia" w:ascii="宋体" w:hAnsi="宋体" w:eastAsia="宋体" w:cs="宋体"/>
          <w:bCs/>
          <w:sz w:val="21"/>
          <w:szCs w:val="21"/>
        </w:rPr>
        <w:t>上传后，</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交易平台即时向投标人发出递交回执通知。递交时间以递交回执通知载明的传输完成时间为准。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条款号：19.3</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bCs/>
          <w:sz w:val="21"/>
          <w:szCs w:val="21"/>
        </w:rPr>
        <w:t>19.3逾期送达的电子投标文件，</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Cs/>
          <w:sz w:val="21"/>
          <w:szCs w:val="21"/>
        </w:rPr>
        <w:t>19.3逾期送达的电子投标文件，</w:t>
      </w:r>
      <w:r>
        <w:rPr>
          <w:rFonts w:hint="eastAsia" w:ascii="宋体" w:hAnsi="宋体" w:eastAsia="宋体" w:cs="宋体"/>
          <w:sz w:val="21"/>
          <w:szCs w:val="21"/>
          <w:u w:val="single"/>
        </w:rPr>
        <w:t xml:space="preserve"> 广州交易集团有限公司（广州公共资源交易中心）</w:t>
      </w:r>
      <w:r>
        <w:rPr>
          <w:rFonts w:hint="eastAsia" w:ascii="宋体" w:hAnsi="宋体" w:eastAsia="宋体" w:cs="宋体"/>
          <w:sz w:val="21"/>
          <w:szCs w:val="21"/>
        </w:rPr>
        <w:t>交易平台将予以拒收。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条款号：19.5</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原文：</w:t>
      </w:r>
      <w:r>
        <w:rPr>
          <w:rFonts w:hint="eastAsia" w:ascii="宋体" w:hAnsi="宋体" w:eastAsia="宋体" w:cs="宋体"/>
          <w:sz w:val="21"/>
          <w:szCs w:val="21"/>
        </w:rPr>
        <w:t>19.5如技术标和经济标先后分别开启，</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交易平台将按招标文件规定的时间分别开启技术标和经济标。</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bCs/>
          <w:sz w:val="21"/>
          <w:szCs w:val="21"/>
        </w:rPr>
        <w:t>19.5</w:t>
      </w:r>
      <w:r>
        <w:rPr>
          <w:rFonts w:hint="eastAsia" w:ascii="宋体" w:hAnsi="宋体" w:eastAsia="宋体" w:cs="宋体"/>
          <w:sz w:val="21"/>
          <w:szCs w:val="21"/>
          <w:u w:val="single"/>
        </w:rPr>
        <w:t>技术标和经济标同时开启，广州交易集团有限公司（广州公共资源交易中心）交易平台将按招标文件规定的时间同时开启技术标和经济标。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条款号：21.1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21.1 本须知前附表第17项规定的投标截止时间</w:t>
      </w:r>
      <w:r>
        <w:rPr>
          <w:rFonts w:hint="eastAsia" w:ascii="宋体" w:hAnsi="宋体" w:eastAsia="宋体" w:cs="宋体"/>
          <w:bCs/>
          <w:sz w:val="21"/>
          <w:szCs w:val="21"/>
        </w:rPr>
        <w:t>后送达的电子投标文件，</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21.1 本须知前附表第17项规定的投标截止时间</w:t>
      </w:r>
      <w:r>
        <w:rPr>
          <w:rFonts w:hint="eastAsia" w:ascii="宋体" w:hAnsi="宋体" w:eastAsia="宋体" w:cs="宋体"/>
          <w:bCs/>
          <w:sz w:val="21"/>
          <w:szCs w:val="21"/>
        </w:rPr>
        <w:t>后送达的电子投标文件，</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交易平台将予以拒收。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条款号：27.1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27.1招标人将在</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27.1招标人将在</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条款号：27.4</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27.4在产生中标候选人后，招标人将中标候选人的投标文件商务部分文件的所有内容（包括人员、业绩、奖项等资料）在</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交易平台和广东省招标投标监管网公开。</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27.4在产生中标候选人后，招标人将中标候选人的投标文件商务部分文件的所有内容（包括人员、业绩、奖项等资料）在</w:t>
      </w:r>
      <w:r>
        <w:rPr>
          <w:rFonts w:hint="eastAsia" w:ascii="宋体" w:hAnsi="宋体" w:eastAsia="宋体" w:cs="宋体"/>
          <w:sz w:val="21"/>
          <w:szCs w:val="21"/>
          <w:u w:val="single"/>
        </w:rPr>
        <w:t xml:space="preserve"> 广州交易集团有限公司（广州公共资源交易中心）</w:t>
      </w:r>
      <w:r>
        <w:rPr>
          <w:rFonts w:hint="eastAsia" w:ascii="宋体" w:hAnsi="宋体" w:eastAsia="宋体" w:cs="宋体"/>
          <w:sz w:val="21"/>
          <w:szCs w:val="21"/>
        </w:rPr>
        <w:t>交易平台和广东省招标投标监管网公开。</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条款号：28.4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28.4 招标人支付工程款时，中标人应按规定开具发票。</w:t>
      </w:r>
    </w:p>
    <w:p>
      <w:pPr>
        <w:pBdr>
          <w:bottom w:val="single" w:color="auto" w:sz="6" w:space="1"/>
        </w:pBdr>
        <w:spacing w:line="360" w:lineRule="auto"/>
        <w:ind w:firstLine="422" w:firstLineChars="20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rPr>
        <w:t xml:space="preserve">28.4 </w:t>
      </w:r>
      <w:r>
        <w:rPr>
          <w:rFonts w:hint="eastAsia" w:ascii="宋体" w:hAnsi="宋体" w:cs="宋体"/>
          <w:bCs/>
          <w:szCs w:val="21"/>
          <w:highlight w:val="none"/>
          <w:u w:val="single"/>
        </w:rPr>
        <w:t>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31.1</w:t>
      </w:r>
      <w:r>
        <w:rPr>
          <w:rFonts w:hint="eastAsia" w:ascii="宋体" w:hAnsi="宋体" w:cs="宋体"/>
          <w:b/>
          <w:szCs w:val="21"/>
          <w:highlight w:val="none"/>
        </w:rPr>
        <w:t xml:space="preserve">                    修改类型：增加</w:t>
      </w:r>
    </w:p>
    <w:p>
      <w:pPr>
        <w:pBdr>
          <w:bottom w:val="single" w:color="auto" w:sz="6" w:space="1"/>
        </w:pBdr>
        <w:spacing w:line="360" w:lineRule="auto"/>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31.1招标代理服务费：中标人在领取中标通知书前，一次性向招标代理机构支付招标代理服务费。招标代理服务费参照国家计委【2002】1980号《招标代理服务收费管理暂行办法》，最终结算以招标人确定的中标金额为计算基数，费率下浮20%。招标代理服务费由投标人在投标时综合考虑，招标人不再另行支付。</w:t>
      </w:r>
    </w:p>
    <w:p>
      <w:pPr>
        <w:pBdr>
          <w:bottom w:val="single" w:color="auto" w:sz="6" w:space="1"/>
        </w:pBd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lang w:val="en-US" w:eastAsia="zh-CN"/>
        </w:rPr>
        <w:t>31.</w:t>
      </w:r>
      <w:r>
        <w:rPr>
          <w:rFonts w:hint="eastAsia" w:ascii="宋体" w:hAnsi="宋体" w:cs="宋体"/>
          <w:szCs w:val="21"/>
          <w:highlight w:val="none"/>
          <w:u w:val="single"/>
        </w:rPr>
        <w:t>2.交易服务费：本项目交易服务费由中标人向广州公共资源交易中心缴纳，投标人在投标时综合考虑，招标人不另行支付。具体收费标准投标人可以在广州公共资源交易中心网站查阅，如有变更以广州公共资源交易中心最新发布的标准为准。中标人必须在中标通知书发出前支付该笔费用，且前往交易中心办妥出具发票的手续，否则无法出具中标通知书，由于中标人原因导致的延误，由此带来的后果将由中标人自行承担。</w:t>
      </w:r>
    </w:p>
    <w:p>
      <w:pPr>
        <w:spacing w:line="360" w:lineRule="auto"/>
        <w:rPr>
          <w:rFonts w:ascii="Times New Roman" w:hAnsi="Times New Roman"/>
          <w:b/>
          <w:sz w:val="24"/>
          <w:szCs w:val="24"/>
        </w:rPr>
      </w:pPr>
      <w:r>
        <w:rPr>
          <w:rFonts w:hint="eastAsia" w:ascii="Times New Roman" w:hAnsi="Times New Roman"/>
          <w:b/>
          <w:sz w:val="24"/>
          <w:szCs w:val="24"/>
        </w:rPr>
        <w:t>注：以上修改，仅限于本范本中有可供选择条款的情形。</w:t>
      </w:r>
    </w:p>
    <w:p>
      <w:pPr>
        <w:spacing w:line="360" w:lineRule="auto"/>
        <w:rPr>
          <w:rFonts w:ascii="Times New Roman" w:hAnsi="Times New Roman"/>
          <w:sz w:val="24"/>
          <w:szCs w:val="24"/>
        </w:rPr>
      </w:pPr>
      <w:r>
        <w:rPr>
          <w:rFonts w:hint="eastAsia" w:ascii="Times New Roman" w:hAnsi="Times New Roman"/>
          <w:b/>
          <w:sz w:val="24"/>
          <w:szCs w:val="24"/>
        </w:rPr>
        <w:t>（以下无正文）</w:t>
      </w:r>
    </w:p>
    <w:p>
      <w:pPr>
        <w:spacing w:line="360" w:lineRule="auto"/>
        <w:rPr>
          <w:color w:val="000000" w:themeColor="text1"/>
          <w14:textFill>
            <w14:solidFill>
              <w14:schemeClr w14:val="tx1"/>
            </w14:solidFill>
          </w14:textFill>
        </w:rPr>
      </w:pPr>
    </w:p>
    <w:p>
      <w:pPr>
        <w:pStyle w:val="7"/>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9" w:name="_Toc2272548"/>
      <w:bookmarkStart w:id="10" w:name="_Toc21525492"/>
      <w:bookmarkStart w:id="11" w:name="_Toc25354"/>
      <w:r>
        <w:rPr>
          <w:rFonts w:hint="eastAsia"/>
          <w:color w:val="000000" w:themeColor="text1"/>
          <w14:textFill>
            <w14:solidFill>
              <w14:schemeClr w14:val="tx1"/>
            </w14:solidFill>
          </w14:textFill>
        </w:rPr>
        <w:t>三、投标须知通用条款</w:t>
      </w:r>
      <w:bookmarkEnd w:id="9"/>
      <w:bookmarkEnd w:id="10"/>
      <w:bookmarkEnd w:id="11"/>
    </w:p>
    <w:p>
      <w:pPr>
        <w:pStyle w:val="8"/>
        <w:spacing w:before="156" w:after="156"/>
        <w:rPr>
          <w:rFonts w:hint="eastAsia"/>
          <w:color w:val="000000" w:themeColor="text1"/>
          <w14:textFill>
            <w14:solidFill>
              <w14:schemeClr w14:val="tx1"/>
            </w14:solidFill>
          </w14:textFill>
        </w:rPr>
      </w:pPr>
      <w:bookmarkStart w:id="12" w:name="_Toc3791"/>
      <w:bookmarkStart w:id="13" w:name="_Toc21525493"/>
      <w:bookmarkStart w:id="14" w:name="_Toc2272549"/>
      <w:r>
        <w:rPr>
          <w:rFonts w:hint="eastAsia"/>
          <w:color w:val="000000" w:themeColor="text1"/>
          <w14:textFill>
            <w14:solidFill>
              <w14:schemeClr w14:val="tx1"/>
            </w14:solidFill>
          </w14:textFill>
        </w:rPr>
        <w:t>（一）总则</w:t>
      </w:r>
      <w:bookmarkEnd w:id="12"/>
      <w:bookmarkEnd w:id="13"/>
      <w:bookmarkEnd w:id="14"/>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pPr>
        <w:pStyle w:val="5"/>
        <w:spacing w:after="0" w:line="360" w:lineRule="auto"/>
        <w:ind w:firstLine="480" w:firstLineChars="200"/>
        <w:rPr>
          <w:rFonts w:asci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本招标文件使用的下列词语具有如下规定的意义：</w:t>
      </w:r>
    </w:p>
    <w:p>
      <w:pPr>
        <w:pStyle w:val="5"/>
        <w:spacing w:after="0" w:line="360" w:lineRule="auto"/>
        <w:ind w:firstLine="480" w:firstLineChars="200"/>
        <w:rPr>
          <w:rFonts w:ascii="宋体"/>
          <w:b/>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）“招标人”（即发包人）、“项目建设管理单位</w:t>
      </w:r>
      <w:r>
        <w:rPr>
          <w:rFonts w:hint="eastAsia"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（或称“项目代建单位”）、“招标代理”、“设计单位”、“监理单位”均已在投标须知前附表中列明。</w:t>
      </w:r>
    </w:p>
    <w:p>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）“投标人”指向招标人提交投标文件的当事人。</w:t>
      </w:r>
      <w:r>
        <w:rPr>
          <w:rFonts w:ascii="宋体" w:hAnsi="宋体"/>
          <w:color w:val="000000" w:themeColor="text1"/>
          <w:sz w:val="24"/>
          <w14:textFill>
            <w14:solidFill>
              <w14:schemeClr w14:val="tx1"/>
            </w14:solidFill>
          </w14:textFill>
        </w:rPr>
        <w:t xml:space="preserve">   </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）“承包人”指其投标被招标人接受并与其签订承包合同的当事人。</w:t>
      </w:r>
    </w:p>
    <w:p>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14:textFill>
            <w14:solidFill>
              <w14:schemeClr w14:val="tx1"/>
            </w14:solidFill>
          </w14:textFill>
        </w:rPr>
        <w:t>招标文件的澄清与修改</w:t>
      </w:r>
      <w:r>
        <w:rPr>
          <w:rFonts w:hint="eastAsia" w:ascii="宋体" w:hAnsi="宋体"/>
          <w:color w:val="000000" w:themeColor="text1"/>
          <w:sz w:val="24"/>
          <w14:textFill>
            <w14:solidFill>
              <w14:schemeClr w14:val="tx1"/>
            </w14:solidFill>
          </w14:textFill>
        </w:rPr>
        <w:t>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）“投标文件”指投标人根据本项目招标文件向招标人提交的全部文件。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、招标说明</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2.1</w:t>
      </w:r>
      <w:r>
        <w:rPr>
          <w:rFonts w:hint="eastAsia" w:ascii="宋体" w:hAnsi="宋体"/>
          <w:bCs/>
          <w:color w:val="000000" w:themeColor="text1"/>
          <w:sz w:val="24"/>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2.2</w:t>
      </w:r>
      <w:r>
        <w:rPr>
          <w:rFonts w:hint="eastAsia" w:ascii="宋体" w:hAnsi="宋体"/>
          <w:bCs/>
          <w:color w:val="000000" w:themeColor="text1"/>
          <w:sz w:val="24"/>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设计说明：详见招标图纸。</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2.4</w:t>
      </w:r>
      <w:r>
        <w:rPr>
          <w:rFonts w:hint="eastAsia" w:ascii="宋体" w:hAnsi="宋体"/>
          <w:bCs/>
          <w:color w:val="000000" w:themeColor="text1"/>
          <w:sz w:val="24"/>
          <w14:textFill>
            <w14:solidFill>
              <w14:schemeClr w14:val="tx1"/>
            </w14:solidFill>
          </w14:textFill>
        </w:rPr>
        <w:t>工程施工特点：详见招标图纸。</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．资金来源</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w:t>
      </w:r>
      <w:r>
        <w:rPr>
          <w:rFonts w:hint="eastAsia" w:ascii="宋体" w:hAnsi="宋体"/>
          <w:bCs/>
          <w:color w:val="000000" w:themeColor="text1"/>
          <w:sz w:val="24"/>
          <w14:textFill>
            <w14:solidFill>
              <w14:schemeClr w14:val="tx1"/>
            </w14:solidFill>
          </w14:textFill>
        </w:rPr>
        <w:t>本招标工程项目资金来源见投标须知前附表第</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项</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r>
        <w:rPr>
          <w:rFonts w:hint="eastAsia" w:ascii="宋体" w:hAnsi="宋体"/>
          <w:b/>
          <w:color w:val="000000" w:themeColor="text1"/>
          <w:sz w:val="24"/>
          <w14:textFill>
            <w14:solidFill>
              <w14:schemeClr w14:val="tx1"/>
            </w14:solidFill>
          </w14:textFill>
        </w:rPr>
        <w:t>．合格投标人的条件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详见本项目招标公告</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w:t>
      </w:r>
      <w:r>
        <w:rPr>
          <w:rFonts w:hint="eastAsia" w:ascii="宋体" w:hAnsi="宋体"/>
          <w:b/>
          <w:color w:val="000000" w:themeColor="text1"/>
          <w:sz w:val="24"/>
          <w14:textFill>
            <w14:solidFill>
              <w14:schemeClr w14:val="tx1"/>
            </w14:solidFill>
          </w14:textFill>
        </w:rPr>
        <w:t>．踏勘现场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招标人不受理因投标人缺乏对现场条件的了解或掌握而提出的任何索赔。考察现场的费用由投标人自己承担。</w:t>
      </w:r>
    </w:p>
    <w:p>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5.2 </w:t>
      </w:r>
      <w:r>
        <w:rPr>
          <w:rFonts w:hint="eastAsia" w:ascii="宋体" w:hAnsi="宋体"/>
          <w:bCs/>
          <w:color w:val="000000" w:themeColor="text1"/>
          <w:sz w:val="24"/>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5.3 </w:t>
      </w:r>
      <w:r>
        <w:rPr>
          <w:rFonts w:hint="eastAsia" w:ascii="宋体" w:hAnsi="宋体"/>
          <w:bCs/>
          <w:color w:val="000000" w:themeColor="text1"/>
          <w:sz w:val="24"/>
          <w14:textFill>
            <w14:solidFill>
              <w14:schemeClr w14:val="tx1"/>
            </w14:solidFill>
          </w14:textFill>
        </w:rPr>
        <w:t>经招标人允许，投标人可为踏勘目的进入招标人的项目现场。</w:t>
      </w:r>
      <w:r>
        <w:rPr>
          <w:rFonts w:hint="eastAsia" w:ascii="宋体" w:hAnsi="宋体"/>
          <w:color w:val="000000" w:themeColor="text1"/>
          <w:sz w:val="24"/>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w:t>
      </w:r>
      <w:r>
        <w:rPr>
          <w:rFonts w:hint="eastAsia" w:ascii="宋体" w:hAnsi="宋体"/>
          <w:b/>
          <w:color w:val="000000" w:themeColor="text1"/>
          <w:sz w:val="24"/>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不论投标结果如何，投标人应承担</w:t>
      </w:r>
      <w:r>
        <w:rPr>
          <w:rFonts w:hint="eastAsia" w:ascii="宋体" w:hAnsi="宋体"/>
          <w:bCs/>
          <w:color w:val="000000" w:themeColor="text1"/>
          <w:sz w:val="24"/>
          <w14:textFill>
            <w14:solidFill>
              <w14:schemeClr w14:val="tx1"/>
            </w14:solidFill>
          </w14:textFill>
        </w:rPr>
        <w:t>自身</w:t>
      </w:r>
      <w:r>
        <w:rPr>
          <w:rFonts w:hint="eastAsia" w:ascii="宋体" w:hAnsi="宋体"/>
          <w:color w:val="000000" w:themeColor="text1"/>
          <w:sz w:val="24"/>
          <w14:textFill>
            <w14:solidFill>
              <w14:schemeClr w14:val="tx1"/>
            </w14:solidFill>
          </w14:textFill>
        </w:rPr>
        <w:t>因投标文件编制、递交及其他</w:t>
      </w:r>
      <w:r>
        <w:rPr>
          <w:rFonts w:hint="eastAsia" w:ascii="宋体" w:hAnsi="宋体"/>
          <w:bCs/>
          <w:color w:val="000000" w:themeColor="text1"/>
          <w:sz w:val="24"/>
          <w14:textFill>
            <w14:solidFill>
              <w14:schemeClr w14:val="tx1"/>
            </w14:solidFill>
          </w14:textFill>
        </w:rPr>
        <w:t>参加本招标活动</w:t>
      </w:r>
      <w:r>
        <w:rPr>
          <w:rFonts w:hint="eastAsia" w:ascii="宋体" w:hAnsi="宋体"/>
          <w:color w:val="000000" w:themeColor="text1"/>
          <w:sz w:val="24"/>
          <w14:textFill>
            <w14:solidFill>
              <w14:schemeClr w14:val="tx1"/>
            </w14:solidFill>
          </w14:textFill>
        </w:rPr>
        <w:t>所涉及的一切费用，招标人对上述费用不负任何责任。</w:t>
      </w:r>
    </w:p>
    <w:p>
      <w:pPr>
        <w:pStyle w:val="8"/>
        <w:spacing w:before="156" w:after="156"/>
        <w:rPr>
          <w:rFonts w:hint="eastAsia"/>
          <w:color w:val="000000" w:themeColor="text1"/>
          <w14:textFill>
            <w14:solidFill>
              <w14:schemeClr w14:val="tx1"/>
            </w14:solidFill>
          </w14:textFill>
        </w:rPr>
      </w:pPr>
      <w:bookmarkStart w:id="15" w:name="_Toc18687"/>
      <w:bookmarkStart w:id="16" w:name="_Toc2272550"/>
      <w:bookmarkStart w:id="17" w:name="_Toc21525494"/>
      <w:r>
        <w:rPr>
          <w:rFonts w:hint="eastAsia"/>
          <w:color w:val="000000" w:themeColor="text1"/>
          <w14:textFill>
            <w14:solidFill>
              <w14:schemeClr w14:val="tx1"/>
            </w14:solidFill>
          </w14:textFill>
        </w:rPr>
        <w:t>（二）招标文件</w:t>
      </w:r>
      <w:bookmarkEnd w:id="15"/>
      <w:bookmarkEnd w:id="16"/>
      <w:bookmarkEnd w:id="17"/>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招标文件的组成</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7.1本招标文件包括下列文件，以及所有按本须知第8条发出的招标答疑会会议纪要和按本须知第9条发出的澄清或修改：</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第一章  投标须知</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第二章  开标、评标及定标办法</w:t>
      </w:r>
    </w:p>
    <w:p>
      <w:pPr>
        <w:widowControl/>
        <w:spacing w:line="360" w:lineRule="auto"/>
        <w:ind w:firstLine="480" w:firstLineChars="200"/>
        <w:jc w:val="left"/>
        <w:rPr>
          <w:rFonts w:hint="eastAsia" w:ascii="宋体" w:hAnsi="宋体" w:eastAsia="宋体"/>
          <w:color w:val="000000" w:themeColor="text1"/>
          <w:sz w:val="24"/>
          <w:szCs w:val="20"/>
          <w:lang w:eastAsia="zh-CN"/>
          <w14:textFill>
            <w14:solidFill>
              <w14:schemeClr w14:val="tx1"/>
            </w14:solidFill>
          </w14:textFill>
        </w:rPr>
      </w:pPr>
      <w:r>
        <w:rPr>
          <w:rFonts w:ascii="宋体" w:hAnsi="宋体"/>
          <w:color w:val="000000" w:themeColor="text1"/>
          <w:sz w:val="24"/>
          <w:szCs w:val="20"/>
          <w14:textFill>
            <w14:solidFill>
              <w14:schemeClr w14:val="tx1"/>
            </w14:solidFill>
          </w14:textFill>
        </w:rPr>
        <w:t>第三章  合同条款</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第四章  投标文件格式</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第五章  技术条件（工程建设标准）</w:t>
      </w:r>
      <w:r>
        <w:rPr>
          <w:rFonts w:hint="eastAsia" w:ascii="宋体" w:hAnsi="宋体" w:cs="宋体"/>
          <w:szCs w:val="21"/>
          <w:highlight w:val="none"/>
        </w:rPr>
        <w:t>（另册）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第六章  图纸及勘察资料（另册）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第七章  招标工程量清单（另册）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第八章  最高投标限价</w:t>
      </w:r>
    </w:p>
    <w:p>
      <w:pPr>
        <w:pStyle w:val="5"/>
        <w:spacing w:after="0" w:line="360" w:lineRule="auto"/>
        <w:ind w:left="-2" w:firstLine="480" w:firstLineChars="200"/>
        <w:rPr>
          <w:rFonts w:hint="eastAsia"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注：</w:t>
      </w:r>
      <w:r>
        <w:rPr>
          <w:rFonts w:hint="eastAsia" w:ascii="宋体" w:hAnsi="宋体"/>
          <w:bCs/>
          <w:color w:val="000000" w:themeColor="text1"/>
          <w:sz w:val="24"/>
          <w14:textFill>
            <w14:solidFill>
              <w14:schemeClr w14:val="tx1"/>
            </w14:solidFill>
          </w14:textFill>
        </w:rPr>
        <w:t>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投标人一旦中标，招标文件的内容对招标人和中标人双方均有约束力。</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w:t>
      </w:r>
      <w:r>
        <w:rPr>
          <w:rFonts w:hint="eastAsia" w:ascii="宋体" w:hAnsi="宋体"/>
          <w:b/>
          <w:bCs/>
          <w:color w:val="000000" w:themeColor="text1"/>
          <w:sz w:val="24"/>
          <w14:textFill>
            <w14:solidFill>
              <w14:schemeClr w14:val="tx1"/>
            </w14:solidFill>
          </w14:textFill>
        </w:rPr>
        <w:t>．招标答疑</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投标人若对招标文件（包括招标图纸）中有疑问，可以书面形式</w:t>
      </w:r>
      <w:r>
        <w:rPr>
          <w:rFonts w:hint="eastAsia"/>
          <w:color w:val="000000" w:themeColor="text1"/>
          <w:sz w:val="24"/>
          <w:szCs w:val="24"/>
          <w14:textFill>
            <w14:solidFill>
              <w14:schemeClr w14:val="tx1"/>
            </w14:solidFill>
          </w14:textFill>
        </w:rPr>
        <w:t>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color w:val="000000" w:themeColor="text1"/>
          <w:sz w:val="24"/>
          <w:szCs w:val="24"/>
          <w14:textFill>
            <w14:solidFill>
              <w14:schemeClr w14:val="tx1"/>
            </w14:solidFill>
          </w14:textFill>
        </w:rPr>
        <w:t>提交</w:t>
      </w:r>
      <w:r>
        <w:rPr>
          <w:rFonts w:hint="eastAsia" w:ascii="宋体" w:hAnsi="宋体"/>
          <w:color w:val="000000" w:themeColor="text1"/>
          <w:sz w:val="24"/>
          <w14:textFill>
            <w14:solidFill>
              <w14:schemeClr w14:val="tx1"/>
            </w14:solidFill>
          </w14:textFill>
        </w:rPr>
        <w:t>给招标人或招标代理人，提交形式见本须知前附表第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w:t>
      </w:r>
      <w:r>
        <w:rPr>
          <w:rFonts w:hint="eastAsia" w:ascii="宋体"/>
          <w:color w:val="000000" w:themeColor="text1"/>
          <w:sz w:val="24"/>
          <w14:textFill>
            <w14:solidFill>
              <w14:schemeClr w14:val="tx1"/>
            </w14:solidFill>
          </w14:textFill>
        </w:rPr>
        <w:t>招标答疑会会议纪要将在提交投标文件截止时间15日前在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 xml:space="preserve"> “项目答疑纪要”专区公开发布。答疑纪要一经在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答疑会会议纪要为招标文件的一部分。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若招标答疑会会议纪要与招标文件有矛盾，以答疑会议纪要最后发出的书面形式的文件为准。</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招标文件的澄清与修改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招标文件发出后，在提交投标文件截止时间15日前，招标人可对招标文件进行必要的澄清或修改。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w:t>
      </w:r>
      <w:r>
        <w:rPr>
          <w:rFonts w:hint="eastAsia" w:ascii="宋体"/>
          <w:color w:val="000000" w:themeColor="text1"/>
          <w:sz w:val="24"/>
          <w14:textFill>
            <w14:solidFill>
              <w14:schemeClr w14:val="tx1"/>
            </w14:solidFill>
          </w14:textFill>
        </w:rPr>
        <w:t>招标文件的澄清或修改将在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发布，视作已发放给所有投标人，以</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上网发布时间作为送达时间。</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w:t>
      </w:r>
      <w:r>
        <w:rPr>
          <w:rFonts w:hint="eastAsia" w:ascii="宋体" w:hAnsi="宋体"/>
          <w:color w:val="000000" w:themeColor="text1"/>
          <w:sz w:val="24"/>
          <w14:textFill>
            <w14:solidFill>
              <w14:schemeClr w14:val="tx1"/>
            </w14:solidFill>
          </w14:textFill>
        </w:rPr>
        <w:t>招标文件的修改内容为招标文件的组成部分。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w:t>
      </w:r>
      <w:r>
        <w:rPr>
          <w:rFonts w:hint="eastAsia" w:ascii="宋体" w:hAnsi="宋体"/>
          <w:color w:val="000000" w:themeColor="text1"/>
          <w:sz w:val="24"/>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rFonts w:hint="eastAsia"/>
          <w:color w:val="000000" w:themeColor="text1"/>
          <w14:textFill>
            <w14:solidFill>
              <w14:schemeClr w14:val="tx1"/>
            </w14:solidFill>
          </w14:textFill>
        </w:rPr>
      </w:pPr>
      <w:bookmarkStart w:id="18" w:name="_Toc4967"/>
      <w:bookmarkStart w:id="19" w:name="_Toc21525495"/>
      <w:bookmarkStart w:id="20" w:name="_Toc2272551"/>
      <w:r>
        <w:rPr>
          <w:rFonts w:hint="eastAsia"/>
          <w:color w:val="000000" w:themeColor="text1"/>
          <w14:textFill>
            <w14:solidFill>
              <w14:schemeClr w14:val="tx1"/>
            </w14:solidFill>
          </w14:textFill>
        </w:rPr>
        <w:t>（三）投标文件的编制</w:t>
      </w:r>
      <w:bookmarkEnd w:id="18"/>
      <w:bookmarkEnd w:id="19"/>
      <w:bookmarkEnd w:id="20"/>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w:t>
      </w:r>
      <w:r>
        <w:rPr>
          <w:rFonts w:hint="eastAsia" w:ascii="宋体" w:hAnsi="宋体"/>
          <w:b/>
          <w:bCs/>
          <w:color w:val="000000" w:themeColor="text1"/>
          <w:sz w:val="24"/>
          <w14:textFill>
            <w14:solidFill>
              <w14:schemeClr w14:val="tx1"/>
            </w14:solidFill>
          </w14:textFill>
        </w:rPr>
        <w:t>．投标文件的语言及度量衡单位</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10.1 </w:t>
      </w:r>
      <w:r>
        <w:rPr>
          <w:rFonts w:hint="eastAsia" w:ascii="宋体" w:hAnsi="宋体"/>
          <w:color w:val="000000" w:themeColor="text1"/>
          <w:sz w:val="24"/>
          <w14:textFill>
            <w14:solidFill>
              <w14:schemeClr w14:val="tx1"/>
            </w14:solidFill>
          </w14:textFill>
        </w:rPr>
        <w:t>投标文件和与投标有关的所有文件均应使用中文。</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10.2 </w:t>
      </w:r>
      <w:r>
        <w:rPr>
          <w:rFonts w:hint="eastAsia" w:ascii="宋体" w:hAnsi="宋体"/>
          <w:color w:val="000000" w:themeColor="text1"/>
          <w:sz w:val="24"/>
          <w14:textFill>
            <w14:solidFill>
              <w14:schemeClr w14:val="tx1"/>
            </w14:solidFill>
          </w14:textFill>
        </w:rPr>
        <w:t>除工程规范另有规定外，投标文件使用的度量衡单位，均采用中华人民共和国法定计量单位。</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w:t>
      </w:r>
      <w:r>
        <w:rPr>
          <w:rFonts w:hint="eastAsia" w:ascii="宋体" w:hAnsi="宋体"/>
          <w:b/>
          <w:bCs/>
          <w:color w:val="000000" w:themeColor="text1"/>
          <w:sz w:val="24"/>
          <w14:textFill>
            <w14:solidFill>
              <w14:schemeClr w14:val="tx1"/>
            </w14:solidFill>
          </w14:textFill>
        </w:rPr>
        <w:t>．投标文件的组成</w:t>
      </w:r>
    </w:p>
    <w:p>
      <w:pPr>
        <w:pStyle w:val="5"/>
        <w:spacing w:after="0" w:line="360" w:lineRule="auto"/>
        <w:ind w:firstLine="480" w:firstLineChars="200"/>
        <w:rPr>
          <w:rFonts w:asci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投标文件由技术部分（含资格审查文件）和经济部分二部分投标文件组成</w:t>
      </w:r>
      <w:r>
        <w:rPr>
          <w:rFonts w:hint="eastAsia" w:ascii="宋体" w:hAnsi="宋体"/>
          <w:b/>
          <w:color w:val="000000" w:themeColor="text1"/>
          <w:sz w:val="24"/>
          <w14:textFill>
            <w14:solidFill>
              <w14:schemeClr w14:val="tx1"/>
            </w14:solidFill>
          </w14:textFill>
        </w:rPr>
        <w:t>。</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11.2投标文件技术标（含资格审查文件）部分主要包括下列内容:</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11.2.1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11.2.2 资格审查文件：</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（1）投标人声明；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（2）法定代表人证明书、法定代表人签字或盖章的本投标文件授权委托证明书；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（3）企业营业执照扫描件或电子证照；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（4）企业资质证书扫描件或电子证照；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（5）建筑施工企业安全生产许可证扫描件或电子证照；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（6）项目负责人（按网上投标登记时选择拟投入本项目的项目负责人）</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（7）专职安全员（按网上投标登记时选择拟投入本项目的专职安全员）</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（8）拟委托技术负责人的相关证书、资料（具体要求由招标人明确）</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（9）拟委派项目负责人的有效期内的建造师注册证书扫描件或电子证书；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（10）项目负责人在有效期内的安全生产考核合格证书（B类）或建筑施工企业项目负责人安全生产考核合格证书扫描件或电子证书；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（11）专职安全员须具有在有效期内的安全生产考核合格证书（C类）或建筑施工企业专职安全生产管理人员安全生产考核合格证书（C3）扫描件或电子证书；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（12）用于资格审查的业绩（设置业绩要求时选择此项，投标人须提供类似工程业绩的项目名称及项目编号，具体格式由招标人自定）；</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（13）资格审查前，投标人须在广州市住房和城乡建设局建立企业信用档案，拟担任本工程项目负责人、专职安全员须是本企业信用档案中的在册人员；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注：1.相关电子证书按规定需打印后手写本人签名的，应按照规定手写本人签名后再扫描提交。</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11.2.3</w:t>
      </w:r>
      <w:r>
        <w:rPr>
          <w:rFonts w:hint="eastAsia" w:ascii="宋体" w:hAnsi="宋体"/>
          <w:color w:val="000000" w:themeColor="text1"/>
          <w:sz w:val="24"/>
          <w14:textFill>
            <w14:solidFill>
              <w14:schemeClr w14:val="tx1"/>
            </w14:solidFill>
          </w14:textFill>
        </w:rPr>
        <w:t>项目管理机构配备。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）投标人应列出该项目工程的施工组织机构构成和画出机构框架图及其负责人；</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）其他辅助说明资料。</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11.2.5</w:t>
      </w:r>
      <w:r>
        <w:rPr>
          <w:rFonts w:hint="eastAsia" w:ascii="宋体" w:hAnsi="宋体"/>
          <w:color w:val="000000" w:themeColor="text1"/>
          <w:sz w:val="24"/>
          <w14:textFill>
            <w14:solidFill>
              <w14:schemeClr w14:val="tx1"/>
            </w14:solidFill>
          </w14:textFill>
        </w:rPr>
        <w:t>施工组织设计或施工方案。</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6按照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填写的《参与编制技术标投标文件人员名单》。</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11.3</w:t>
      </w:r>
      <w:r>
        <w:rPr>
          <w:rFonts w:hint="eastAsia" w:ascii="宋体" w:hAnsi="宋体"/>
          <w:bCs/>
          <w:color w:val="000000" w:themeColor="text1"/>
          <w:sz w:val="24"/>
          <w14:textFill>
            <w14:solidFill>
              <w14:schemeClr w14:val="tx1"/>
            </w14:solidFill>
          </w14:textFill>
        </w:rPr>
        <w:t>经济部分投标文件主要包括下列内容：</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11.3.1</w:t>
      </w:r>
      <w:r>
        <w:rPr>
          <w:rFonts w:hint="eastAsia" w:ascii="宋体" w:hAnsi="宋体"/>
          <w:color w:val="000000" w:themeColor="text1"/>
          <w:sz w:val="24"/>
          <w14:textFill>
            <w14:solidFill>
              <w14:schemeClr w14:val="tx1"/>
            </w14:solidFill>
          </w14:textFill>
        </w:rPr>
        <w:t>经济投标文件（按招标文件的要求填写）。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11.3.2</w:t>
      </w:r>
      <w:r>
        <w:rPr>
          <w:rFonts w:hint="eastAsia" w:ascii="宋体" w:hAnsi="宋体"/>
          <w:color w:val="000000" w:themeColor="text1"/>
          <w:sz w:val="24"/>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14:textFill>
            <w14:solidFill>
              <w14:schemeClr w14:val="tx1"/>
            </w14:solidFill>
          </w14:textFill>
        </w:rPr>
        <w:t>其中包括如下：</w:t>
      </w:r>
      <w:r>
        <w:rPr>
          <w:rFonts w:ascii="宋体"/>
          <w:color w:val="000000" w:themeColor="text1"/>
          <w:sz w:val="24"/>
          <w14:textFill>
            <w14:solidFill>
              <w14:schemeClr w14:val="tx1"/>
            </w14:solidFill>
          </w14:textFill>
        </w:rPr>
        <w:t xml:space="preserve"> </w:t>
      </w:r>
    </w:p>
    <w:p>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）投标总价封面、扉页；</w:t>
      </w:r>
    </w:p>
    <w:p>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）总说明</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（3）工程项目投标报价汇总表；</w:t>
      </w:r>
    </w:p>
    <w:p>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（4）单项工程投标报价汇总表；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（5）单位工程投标报价汇总表；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（6）分部分项工程清单与计价表；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（7）单价措施项目清单与计价表；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（8）总价措施项目清单与计价表；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（9）综合单价分析表；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（10）其他项目清单与计价汇总表；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（11）暂列金额明细表；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（12）材料（工程设备）暂估价明细表；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（13）专业工程暂估价明细表；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（14）计日工表；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（15）总承包服务计价表；</w:t>
      </w:r>
    </w:p>
    <w:p>
      <w:pPr>
        <w:spacing w:line="360" w:lineRule="auto"/>
        <w:ind w:firstLine="566" w:firstLineChars="236"/>
        <w:rPr>
          <w:rFonts w:ascii="宋体"/>
          <w:color w:val="000000" w:themeColor="text1"/>
          <w:sz w:val="24"/>
          <w:szCs w:val="24"/>
          <w14:textFill>
            <w14:solidFill>
              <w14:schemeClr w14:val="tx1"/>
            </w14:solidFill>
          </w14:textFill>
        </w:rPr>
      </w:pPr>
      <w:bookmarkStart w:id="21" w:name="OLE_LINK2"/>
      <w:r>
        <w:rPr>
          <w:rFonts w:hint="eastAsia" w:ascii="宋体" w:hAnsi="宋体"/>
          <w:color w:val="000000" w:themeColor="text1"/>
          <w:sz w:val="24"/>
          <w:szCs w:val="24"/>
          <w14:textFill>
            <w14:solidFill>
              <w14:schemeClr w14:val="tx1"/>
            </w14:solidFill>
          </w14:textFill>
        </w:rPr>
        <w:t>（16）</w:t>
      </w:r>
      <w:bookmarkEnd w:id="21"/>
      <w:r>
        <w:rPr>
          <w:rFonts w:hint="eastAsia" w:ascii="宋体" w:hAnsi="宋体"/>
          <w:color w:val="000000" w:themeColor="text1"/>
          <w:sz w:val="24"/>
          <w:szCs w:val="24"/>
          <w14:textFill>
            <w14:solidFill>
              <w14:schemeClr w14:val="tx1"/>
            </w14:solidFill>
          </w14:textFill>
        </w:rPr>
        <w:t>规费和税金项目计价表；</w:t>
      </w:r>
    </w:p>
    <w:p>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）人工、主要材料和设备一览表</w:t>
      </w:r>
    </w:p>
    <w:p>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w:t>
      </w:r>
      <w:r>
        <w:rPr>
          <w:rFonts w:hint="eastAsia" w:ascii="宋体" w:hAnsi="宋体"/>
          <w:color w:val="000000" w:themeColor="text1"/>
          <w:sz w:val="24"/>
          <w14:textFill>
            <w14:solidFill>
              <w14:schemeClr w14:val="tx1"/>
            </w14:solidFill>
          </w14:textFill>
        </w:rPr>
        <w:t>3按照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填写的《参与编制经济标投标文件人员名单》。</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hAnsi="宋体" w:eastAsia="宋体" w:cs="Times New Roman"/>
          <w:b/>
          <w:bCs/>
          <w:color w:val="000000" w:themeColor="text1"/>
          <w:kern w:val="2"/>
          <w:sz w:val="24"/>
          <w:szCs w:val="20"/>
          <w:lang w:val="en-US" w:eastAsia="zh-CN" w:bidi="ar-SA"/>
          <w14:textFill>
            <w14:solidFill>
              <w14:schemeClr w14:val="tx1"/>
            </w14:solidFill>
          </w14:textFill>
        </w:rPr>
      </w:pPr>
      <w:r>
        <w:rPr>
          <w:rFonts w:ascii="宋体" w:hAnsi="宋体" w:eastAsia="宋体" w:cs="Times New Roman"/>
          <w:b/>
          <w:bCs/>
          <w:color w:val="000000" w:themeColor="text1"/>
          <w:kern w:val="2"/>
          <w:sz w:val="24"/>
          <w:szCs w:val="20"/>
          <w:lang w:val="en-US" w:eastAsia="zh-CN" w:bidi="ar-SA"/>
          <w14:textFill>
            <w14:solidFill>
              <w14:schemeClr w14:val="tx1"/>
            </w14:solidFill>
          </w14:textFill>
        </w:rPr>
        <w:t>12</w:t>
      </w:r>
      <w:r>
        <w:rPr>
          <w:rFonts w:hint="eastAsia" w:ascii="宋体" w:hAnsi="宋体" w:eastAsia="宋体" w:cs="Times New Roman"/>
          <w:b/>
          <w:bCs/>
          <w:color w:val="000000" w:themeColor="text1"/>
          <w:kern w:val="2"/>
          <w:sz w:val="24"/>
          <w:szCs w:val="20"/>
          <w:lang w:val="en-US" w:eastAsia="zh-CN" w:bidi="ar-SA"/>
          <w14:textFill>
            <w14:solidFill>
              <w14:schemeClr w14:val="tx1"/>
            </w14:solidFill>
          </w14:textFill>
        </w:rPr>
        <w:t>．投标文件格式</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投标文件包括本须知第</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条中规定的内容，投标人提交的投标文件应当使用招标文件所提供的投标文件全部格式（表格可以按同样格式扩展）。</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12.2投标文件全部采用电子文档，投标文件所附证书证件均为原件扫描件，并采用单位数字证书，</w:t>
      </w:r>
      <w:r>
        <w:rPr>
          <w:rFonts w:hint="eastAsia" w:ascii="宋体" w:hAnsi="宋体"/>
          <w:color w:val="000000" w:themeColor="text1"/>
          <w:sz w:val="24"/>
          <w:lang w:val="en-US" w:eastAsia="zh-CN"/>
          <w14:textFill>
            <w14:solidFill>
              <w14:schemeClr w14:val="tx1"/>
            </w14:solidFill>
          </w14:textFill>
        </w:rPr>
        <w:t>按招标文件要求在相应位置</w:t>
      </w:r>
      <w:r>
        <w:rPr>
          <w:rFonts w:hint="eastAsia" w:ascii="宋体" w:hAnsi="宋体"/>
          <w:color w:val="000000" w:themeColor="text1"/>
          <w:sz w:val="24"/>
          <w14:textFill>
            <w14:solidFill>
              <w14:schemeClr w14:val="tx1"/>
            </w14:solidFill>
          </w14:textFill>
        </w:rPr>
        <w:t>加盖电子印章。投标文件中需个人签字或盖章的，应加盖个人电子印章或在线下完成后扫描上传。按照交易平台关于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注：投标文件电子文档需要投标人单位盖章的材料，投标人加盖电子印章即可，不得将投标人未对电子文档加盖实物印章作为否决投标的情形。</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w:t>
      </w:r>
      <w:r>
        <w:rPr>
          <w:rFonts w:hint="eastAsia" w:ascii="宋体" w:hAnsi="宋体"/>
          <w:bCs/>
          <w:color w:val="000000" w:themeColor="text1"/>
          <w:sz w:val="24"/>
          <w:szCs w:val="24"/>
          <w14:textFill>
            <w14:solidFill>
              <w14:schemeClr w14:val="tx1"/>
            </w14:solidFill>
          </w14:textFill>
        </w:rPr>
        <w:t>投标文件应按</w:t>
      </w:r>
      <w:r>
        <w:rPr>
          <w:rFonts w:hint="eastAsia" w:ascii="宋体" w:hAnsi="宋体"/>
          <w:color w:val="000000" w:themeColor="text1"/>
          <w:sz w:val="24"/>
          <w14:textFill>
            <w14:solidFill>
              <w14:schemeClr w14:val="tx1"/>
            </w14:solidFill>
          </w14:textFill>
        </w:rPr>
        <w:t>照交易平台关于全流程电子化项目的相关指南进行编制，详见：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如不按上述要求编制引起系统无法检索、读取相关信息的，其后果由投标人承担。</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．投标报价及造价承包和变更结算方式</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本工程的投标报价采用投标须知前附表第</w:t>
      </w: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项所规定的方式。投标报价（含单价及总价）精确到“分”。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w:t>
      </w:r>
      <w:r>
        <w:rPr>
          <w:rFonts w:hint="eastAsia" w:ascii="宋体" w:hAnsi="宋体"/>
          <w:color w:val="000000" w:themeColor="text1"/>
          <w:sz w:val="24"/>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w:t>
      </w:r>
      <w:r>
        <w:rPr>
          <w:rFonts w:hint="eastAsia" w:ascii="宋体" w:hAnsi="宋体"/>
          <w:color w:val="000000" w:themeColor="text1"/>
          <w:sz w:val="24"/>
          <w14:textFill>
            <w14:solidFill>
              <w14:schemeClr w14:val="tx1"/>
            </w14:solidFill>
          </w14:textFill>
        </w:rPr>
        <w:t>投标人的投标报价，应是按照投标须知前附表第</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项的工期要求，在投标须知前附表第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项的建设地点，完成投标须知前附表第</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13.4</w:t>
      </w:r>
      <w:r>
        <w:rPr>
          <w:rFonts w:hint="eastAsia" w:ascii="宋体" w:hAnsi="宋体"/>
          <w:color w:val="000000" w:themeColor="text1"/>
          <w:sz w:val="24"/>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strike w:val="0"/>
          <w:color w:val="000000" w:themeColor="text1"/>
          <w:sz w:val="24"/>
          <w14:textFill>
            <w14:solidFill>
              <w14:schemeClr w14:val="tx1"/>
            </w14:solidFill>
          </w14:textFill>
        </w:rPr>
        <w:t>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13.5.3</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13.5.4</w:t>
      </w:r>
      <w:r>
        <w:rPr>
          <w:rFonts w:hint="eastAsia" w:ascii="宋体" w:hAnsi="宋体"/>
          <w:color w:val="000000" w:themeColor="text1"/>
          <w:sz w:val="24"/>
          <w14:textFill>
            <w14:solidFill>
              <w14:schemeClr w14:val="tx1"/>
            </w14:solidFill>
          </w14:textFill>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w:t>
      </w:r>
      <w:r>
        <w:rPr>
          <w:rFonts w:hint="eastAsia" w:ascii="宋体" w:hAnsi="宋体"/>
          <w:color w:val="000000" w:themeColor="text1"/>
          <w:sz w:val="24"/>
          <w14:textFill>
            <w14:solidFill>
              <w14:schemeClr w14:val="tx1"/>
            </w14:solidFill>
          </w14:textFill>
        </w:rPr>
        <w:t>暂列金额、暂估价</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13.6.1</w:t>
      </w:r>
      <w:r>
        <w:rPr>
          <w:rFonts w:hint="eastAsia" w:ascii="宋体" w:hAnsi="宋体"/>
          <w:color w:val="000000" w:themeColor="text1"/>
          <w:sz w:val="24"/>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13.6.2</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13.6.3</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13.6.4</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款规定确定。</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13.6.5</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13.6.6 </w:t>
      </w:r>
      <w:r>
        <w:rPr>
          <w:rFonts w:hint="eastAsia" w:ascii="宋体" w:hAnsi="宋体"/>
          <w:color w:val="000000" w:themeColor="text1"/>
          <w:sz w:val="24"/>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13.7</w:t>
      </w:r>
      <w:r>
        <w:rPr>
          <w:rFonts w:hint="eastAsia" w:ascii="宋体" w:hAnsi="宋体"/>
          <w:color w:val="000000" w:themeColor="text1"/>
          <w:sz w:val="24"/>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13.8</w:t>
      </w:r>
      <w:r>
        <w:rPr>
          <w:rFonts w:hint="eastAsia" w:ascii="宋体" w:hAnsi="宋体"/>
          <w:color w:val="000000" w:themeColor="text1"/>
          <w:sz w:val="24"/>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13.9</w:t>
      </w:r>
      <w:r>
        <w:rPr>
          <w:rFonts w:hint="eastAsia" w:ascii="宋体"/>
          <w:color w:val="000000" w:themeColor="text1"/>
          <w:sz w:val="24"/>
          <w:szCs w:val="24"/>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14</w:t>
      </w:r>
      <w:r>
        <w:rPr>
          <w:rFonts w:hint="eastAsia" w:ascii="宋体" w:hAnsi="宋体"/>
          <w:b/>
          <w:bCs/>
          <w:color w:val="000000" w:themeColor="text1"/>
          <w:sz w:val="24"/>
          <w14:textFill>
            <w14:solidFill>
              <w14:schemeClr w14:val="tx1"/>
            </w14:solidFill>
          </w14:textFill>
        </w:rPr>
        <w:t>．投标货币</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14.1 </w:t>
      </w:r>
      <w:r>
        <w:rPr>
          <w:rFonts w:hint="eastAsia" w:ascii="宋体" w:hAnsi="宋体"/>
          <w:color w:val="000000" w:themeColor="text1"/>
          <w:sz w:val="24"/>
          <w14:textFill>
            <w14:solidFill>
              <w14:schemeClr w14:val="tx1"/>
            </w14:solidFill>
          </w14:textFill>
        </w:rPr>
        <w:t>本工程投标报价采用的币种为人民币。</w:t>
      </w:r>
    </w:p>
    <w:p>
      <w:pPr>
        <w:pStyle w:val="5"/>
        <w:spacing w:after="0" w:line="360" w:lineRule="auto"/>
        <w:ind w:firstLine="482" w:firstLineChars="200"/>
        <w:rPr>
          <w:rFonts w:asci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w:t>
      </w:r>
      <w:r>
        <w:rPr>
          <w:rFonts w:hint="eastAsia" w:ascii="宋体" w:hAnsi="宋体"/>
          <w:b/>
          <w:bCs/>
          <w:color w:val="000000" w:themeColor="text1"/>
          <w:sz w:val="24"/>
          <w14:textFill>
            <w14:solidFill>
              <w14:schemeClr w14:val="tx1"/>
            </w14:solidFill>
          </w14:textFill>
        </w:rPr>
        <w:t>．投标有效期</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15.1 </w:t>
      </w:r>
      <w:r>
        <w:rPr>
          <w:rFonts w:hint="eastAsia" w:ascii="宋体" w:hAnsi="宋体"/>
          <w:color w:val="000000" w:themeColor="text1"/>
          <w:sz w:val="24"/>
          <w14:textFill>
            <w14:solidFill>
              <w14:schemeClr w14:val="tx1"/>
            </w14:solidFill>
          </w14:textFill>
        </w:rPr>
        <w:t>投标有效期见投标须知前附表第</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项所规定的期限，在此期限内，凡符合本招标文件要求的投标文件均保持有效。</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15.2 </w:t>
      </w:r>
      <w:r>
        <w:rPr>
          <w:rFonts w:hint="eastAsia" w:ascii="宋体" w:hAnsi="宋体"/>
          <w:color w:val="000000" w:themeColor="text1"/>
          <w:sz w:val="24"/>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条关于投标保证金的退还与不予退还的规定仍然适用。</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16</w:t>
      </w:r>
      <w:r>
        <w:rPr>
          <w:rFonts w:hint="eastAsia" w:ascii="宋体" w:hAnsi="宋体"/>
          <w:b/>
          <w:bCs/>
          <w:color w:val="000000" w:themeColor="text1"/>
          <w:sz w:val="24"/>
          <w14:textFill>
            <w14:solidFill>
              <w14:schemeClr w14:val="tx1"/>
            </w14:solidFill>
          </w14:textFill>
        </w:rPr>
        <w:t>．投标保证金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w:t>
      </w:r>
      <w:r>
        <w:rPr>
          <w:rFonts w:hint="eastAsia" w:ascii="宋体" w:hAnsi="宋体"/>
          <w:color w:val="000000" w:themeColor="text1"/>
          <w:sz w:val="24"/>
          <w14:textFill>
            <w14:solidFill>
              <w14:schemeClr w14:val="tx1"/>
            </w14:solidFill>
          </w14:textFill>
        </w:rPr>
        <w:t>投标人应按投标须知前附表第</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项所述金额和时间递交</w:t>
      </w:r>
      <w:r>
        <w:rPr>
          <w:rFonts w:hint="eastAsia" w:ascii="宋体" w:hAnsi="宋体"/>
          <w:bCs/>
          <w:color w:val="000000" w:themeColor="text1"/>
          <w:sz w:val="24"/>
          <w14:textFill>
            <w14:solidFill>
              <w14:schemeClr w14:val="tx1"/>
            </w14:solidFill>
          </w14:textFill>
        </w:rPr>
        <w:t>投标保证金</w:t>
      </w:r>
      <w:r>
        <w:rPr>
          <w:rFonts w:hint="eastAsia" w:ascii="宋体" w:hAnsi="宋体"/>
          <w:color w:val="000000" w:themeColor="text1"/>
          <w:sz w:val="24"/>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16.1.1 采用现金或者支票形式提交的，投标保证金须从投标人的银行基本账户转出。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16.1.3 采用电子形式的保函、担保或保证保险提交投标保证金的，应在招标文件中明确电子递交途径。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16.3投标保证金应依据法律法规的相关规定退还。</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16.4.1因投标人原因造成投标文件未解密的；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16.4.2投标人在投标有效期内撤销投标文件；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16.4.3中标人未能在规定期限内按要求提交履约担保；</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16.4.4中标人未能在规定期限内签署合同协议。</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注：16.5.3款由招标人二选一，需在招标文件中明确。</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17</w:t>
      </w:r>
      <w:r>
        <w:rPr>
          <w:rFonts w:hint="eastAsia" w:ascii="宋体" w:hAnsi="宋体"/>
          <w:b/>
          <w:bCs/>
          <w:color w:val="000000" w:themeColor="text1"/>
          <w:sz w:val="24"/>
          <w14:textFill>
            <w14:solidFill>
              <w14:schemeClr w14:val="tx1"/>
            </w14:solidFill>
          </w14:textFill>
        </w:rPr>
        <w:t>．投标文件的签署</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pStyle w:val="8"/>
        <w:spacing w:before="156" w:after="156"/>
        <w:rPr>
          <w:rFonts w:hint="eastAsia"/>
          <w:b/>
          <w:bCs/>
          <w:color w:val="000000" w:themeColor="text1"/>
          <w14:textFill>
            <w14:solidFill>
              <w14:schemeClr w14:val="tx1"/>
            </w14:solidFill>
          </w14:textFill>
        </w:rPr>
      </w:pPr>
      <w:bookmarkStart w:id="22" w:name="_Toc2272552"/>
      <w:bookmarkStart w:id="23" w:name="_Toc29945"/>
      <w:bookmarkStart w:id="24" w:name="_Toc21525496"/>
      <w:r>
        <w:rPr>
          <w:rFonts w:hint="eastAsia"/>
          <w:b/>
          <w:bCs/>
          <w:color w:val="000000" w:themeColor="text1"/>
          <w14:textFill>
            <w14:solidFill>
              <w14:schemeClr w14:val="tx1"/>
            </w14:solidFill>
          </w14:textFill>
        </w:rPr>
        <w:t>（四）投标文件的提交</w:t>
      </w:r>
      <w:bookmarkEnd w:id="22"/>
      <w:bookmarkEnd w:id="23"/>
      <w:bookmarkEnd w:id="24"/>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18</w:t>
      </w:r>
      <w:r>
        <w:rPr>
          <w:rFonts w:hint="eastAsia" w:ascii="宋体" w:hAnsi="宋体"/>
          <w:b/>
          <w:bCs/>
          <w:color w:val="000000" w:themeColor="text1"/>
          <w:sz w:val="24"/>
          <w14:textFill>
            <w14:solidFill>
              <w14:schemeClr w14:val="tx1"/>
            </w14:solidFill>
          </w14:textFill>
        </w:rPr>
        <w:t>．</w:t>
      </w:r>
      <w:r>
        <w:rPr>
          <w:rFonts w:hint="eastAsia"/>
          <w:b/>
          <w:color w:val="000000" w:themeColor="text1"/>
          <w:sz w:val="24"/>
          <w:szCs w:val="24"/>
          <w14:textFill>
            <w14:solidFill>
              <w14:schemeClr w14:val="tx1"/>
            </w14:solidFill>
          </w14:textFill>
        </w:rPr>
        <w:t>投标文件的密封和标记</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递交的电子投标文件（不含备用光盘）必须进行加密。按照交易平台关于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w:t>
      </w:r>
      <w:r>
        <w:rPr>
          <w:rFonts w:hint="eastAsia" w:ascii="宋体"/>
          <w:bCs/>
          <w:color w:val="000000" w:themeColor="text1"/>
          <w:sz w:val="24"/>
          <w14:textFill>
            <w14:solidFill>
              <w14:schemeClr w14:val="tx1"/>
            </w14:solidFill>
          </w14:textFill>
        </w:rPr>
        <w:t>未按要求加密的投标文件，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bCs/>
          <w:color w:val="000000" w:themeColor="text1"/>
          <w:sz w:val="24"/>
          <w14:textFill>
            <w14:solidFill>
              <w14:schemeClr w14:val="tx1"/>
            </w14:solidFill>
          </w14:textFill>
        </w:rPr>
        <w:t>将予以拒收。</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19</w:t>
      </w:r>
      <w:r>
        <w:rPr>
          <w:rFonts w:hint="eastAsia" w:ascii="宋体" w:hAnsi="宋体"/>
          <w:b/>
          <w:bCs/>
          <w:color w:val="000000" w:themeColor="text1"/>
          <w:sz w:val="24"/>
          <w14:textFill>
            <w14:solidFill>
              <w14:schemeClr w14:val="tx1"/>
            </w14:solidFill>
          </w14:textFill>
        </w:rPr>
        <w:t>．投标文件的递交和接收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1投标人通过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递交电子投标文件。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2投标人完成电子</w:t>
      </w:r>
      <w:r>
        <w:rPr>
          <w:rFonts w:hint="eastAsia" w:ascii="宋体" w:hAnsi="宋体"/>
          <w:color w:val="000000" w:themeColor="text1"/>
          <w:sz w:val="24"/>
          <w14:textFill>
            <w14:solidFill>
              <w14:schemeClr w14:val="tx1"/>
            </w14:solidFill>
          </w14:textFill>
        </w:rPr>
        <w:t>投标文件</w:t>
      </w:r>
      <w:r>
        <w:rPr>
          <w:rFonts w:hint="eastAsia" w:ascii="宋体" w:hAnsi="宋体"/>
          <w:bCs/>
          <w:color w:val="000000" w:themeColor="text1"/>
          <w:sz w:val="24"/>
          <w14:textFill>
            <w14:solidFill>
              <w14:schemeClr w14:val="tx1"/>
            </w14:solidFill>
          </w14:textFill>
        </w:rPr>
        <w:t>上传后，</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即时向投标人发出递交回执通知。递交时间以递交回执通知载明的传输完成时间为准。</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3</w:t>
      </w:r>
      <w:r>
        <w:rPr>
          <w:rFonts w:hint="eastAsia"/>
          <w:bCs/>
          <w:color w:val="000000" w:themeColor="text1"/>
          <w:sz w:val="24"/>
          <w:szCs w:val="24"/>
          <w14:textFill>
            <w14:solidFill>
              <w14:schemeClr w14:val="tx1"/>
            </w14:solidFill>
          </w14:textFill>
        </w:rPr>
        <w:t>逾期送达的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投标截止前，</w:t>
      </w:r>
      <w:r>
        <w:rPr>
          <w:rFonts w:hint="eastAsia"/>
          <w:color w:val="000000" w:themeColor="text1"/>
          <w:sz w:val="24"/>
          <w:szCs w:val="24"/>
          <w14:textFill>
            <w14:solidFill>
              <w14:schemeClr w14:val="tx1"/>
            </w14:solidFill>
          </w14:textFill>
        </w:rPr>
        <w:t>招标人拒绝接收符合条件的投标文件，投标人可向招标投标监督机构投诉。</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5如技术标和经济标先后分别开启，</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将按招标文件规定的时间分别开启技术标和经济标。</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w:t>
      </w:r>
      <w:r>
        <w:rPr>
          <w:rFonts w:hint="eastAsia" w:ascii="宋体" w:hAnsi="宋体"/>
          <w:b/>
          <w:bCs/>
          <w:color w:val="000000" w:themeColor="text1"/>
          <w:sz w:val="24"/>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20.1</w:t>
      </w:r>
      <w:r>
        <w:rPr>
          <w:rFonts w:hint="eastAsia" w:ascii="宋体" w:hAnsi="宋体"/>
          <w:color w:val="000000" w:themeColor="text1"/>
          <w:sz w:val="24"/>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招标人可按本须知第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 </w:t>
      </w:r>
      <w:r>
        <w:rPr>
          <w:rFonts w:hint="eastAsia" w:ascii="宋体" w:hAnsi="宋体"/>
          <w:color w:val="000000" w:themeColor="text1"/>
          <w:sz w:val="24"/>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14:textFill>
            <w14:solidFill>
              <w14:schemeClr w14:val="tx1"/>
            </w14:solidFill>
          </w14:textFill>
        </w:rPr>
        <w:t>（当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21</w:t>
      </w:r>
      <w:r>
        <w:rPr>
          <w:rFonts w:hint="eastAsia" w:ascii="宋体" w:hAnsi="宋体"/>
          <w:b/>
          <w:bCs/>
          <w:color w:val="000000" w:themeColor="text1"/>
          <w:sz w:val="24"/>
          <w14:textFill>
            <w14:solidFill>
              <w14:schemeClr w14:val="tx1"/>
            </w14:solidFill>
          </w14:textFill>
        </w:rPr>
        <w:t>．迟交的投标文件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w:t>
      </w:r>
      <w:r>
        <w:rPr>
          <w:rFonts w:hint="eastAsia" w:ascii="宋体" w:hAnsi="宋体"/>
          <w:color w:val="000000" w:themeColor="text1"/>
          <w:sz w:val="24"/>
          <w14:textFill>
            <w14:solidFill>
              <w14:schemeClr w14:val="tx1"/>
            </w14:solidFill>
          </w14:textFill>
        </w:rPr>
        <w:t>本须知前附表第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7项规定的投标截止时间</w:t>
      </w:r>
      <w:r>
        <w:rPr>
          <w:rFonts w:hint="eastAsia"/>
          <w:bCs/>
          <w:color w:val="000000" w:themeColor="text1"/>
          <w:sz w:val="24"/>
          <w:szCs w:val="24"/>
          <w14:textFill>
            <w14:solidFill>
              <w14:schemeClr w14:val="tx1"/>
            </w14:solidFill>
          </w14:textFill>
        </w:rPr>
        <w:t>后送达的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22</w:t>
      </w:r>
      <w:r>
        <w:rPr>
          <w:rFonts w:hint="eastAsia" w:ascii="宋体" w:hAnsi="宋体"/>
          <w:b/>
          <w:bCs/>
          <w:color w:val="000000" w:themeColor="text1"/>
          <w:sz w:val="24"/>
          <w14:textFill>
            <w14:solidFill>
              <w14:schemeClr w14:val="tx1"/>
            </w14:solidFill>
          </w14:textFill>
        </w:rPr>
        <w:t>．投标文件的修改与撤回</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r>
        <w:rPr>
          <w:rFonts w:hint="eastAsia" w:ascii="宋体" w:hAnsi="宋体"/>
          <w:color w:val="000000" w:themeColor="text1"/>
          <w:sz w:val="24"/>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22.2</w:t>
      </w:r>
      <w:r>
        <w:rPr>
          <w:color w:val="000000" w:themeColor="text1"/>
          <w:sz w:val="24"/>
          <w:szCs w:val="24"/>
          <w14:textFill>
            <w14:solidFill>
              <w14:schemeClr w14:val="tx1"/>
            </w14:solidFill>
          </w14:textFill>
        </w:rPr>
        <w:t>投标人修改或撤回已递交</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投标文件</w:t>
      </w:r>
      <w:r>
        <w:rPr>
          <w:rFonts w:hint="eastAsia"/>
          <w:color w:val="000000" w:themeColor="text1"/>
          <w:sz w:val="24"/>
          <w:szCs w:val="24"/>
          <w14:textFill>
            <w14:solidFill>
              <w14:schemeClr w14:val="tx1"/>
            </w14:solidFill>
          </w14:textFill>
        </w:rPr>
        <w:t>，需在</w:t>
      </w:r>
      <w:r>
        <w:rPr>
          <w:rFonts w:hint="eastAsia" w:ascii="宋体" w:hAnsi="宋体"/>
          <w:color w:val="000000" w:themeColor="text1"/>
          <w:sz w:val="24"/>
          <w14:textFill>
            <w14:solidFill>
              <w14:schemeClr w14:val="tx1"/>
            </w14:solidFill>
          </w14:textFill>
        </w:rPr>
        <w:t>交易平台发出修改或撤回</w:t>
      </w:r>
      <w:r>
        <w:rPr>
          <w:color w:val="000000" w:themeColor="text1"/>
          <w:sz w:val="24"/>
          <w:szCs w:val="24"/>
          <w14:textFill>
            <w14:solidFill>
              <w14:schemeClr w14:val="tx1"/>
            </w14:solidFill>
          </w14:textFill>
        </w:rPr>
        <w:t>通知，</w:t>
      </w:r>
      <w:r>
        <w:rPr>
          <w:rFonts w:hint="eastAsia"/>
          <w:color w:val="000000" w:themeColor="text1"/>
          <w:sz w:val="24"/>
          <w:szCs w:val="24"/>
          <w14:textFill>
            <w14:solidFill>
              <w14:schemeClr w14:val="tx1"/>
            </w14:solidFill>
          </w14:textFill>
        </w:rPr>
        <w:t>并按</w:t>
      </w:r>
      <w:r>
        <w:rPr>
          <w:color w:val="000000" w:themeColor="text1"/>
          <w:sz w:val="24"/>
          <w:szCs w:val="24"/>
          <w14:textFill>
            <w14:solidFill>
              <w14:schemeClr w14:val="tx1"/>
            </w14:solidFill>
          </w14:textFill>
        </w:rPr>
        <w:t>要求加盖电子印章。</w:t>
      </w:r>
      <w:r>
        <w:rPr>
          <w:bCs/>
          <w:iCs/>
          <w:color w:val="000000" w:themeColor="text1"/>
          <w:sz w:val="24"/>
          <w:szCs w:val="24"/>
          <w14:textFill>
            <w14:solidFill>
              <w14:schemeClr w14:val="tx1"/>
            </w14:solidFill>
          </w14:textFill>
        </w:rPr>
        <w:t>电子招标投标交易平台收到通知后，</w:t>
      </w:r>
      <w:r>
        <w:rPr>
          <w:color w:val="000000" w:themeColor="text1"/>
          <w:sz w:val="24"/>
          <w:szCs w:val="24"/>
          <w14:textFill>
            <w14:solidFill>
              <w14:schemeClr w14:val="tx1"/>
            </w14:solidFill>
          </w14:textFill>
        </w:rPr>
        <w:t>即时向投标人发出确认回执通知。</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22.3</w:t>
      </w:r>
      <w:r>
        <w:rPr>
          <w:rFonts w:hint="eastAsia"/>
          <w:color w:val="000000" w:themeColor="text1"/>
          <w:sz w:val="24"/>
          <w:szCs w:val="24"/>
          <w14:textFill>
            <w14:solidFill>
              <w14:schemeClr w14:val="tx1"/>
            </w14:solidFill>
          </w14:textFill>
        </w:rPr>
        <w:t>修改后再次递交的，按19点的规定执行。</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在投标截止时间之后，投标人不得补充、修改和更换投标文件。</w:t>
      </w:r>
    </w:p>
    <w:p>
      <w:pPr>
        <w:pStyle w:val="8"/>
        <w:spacing w:before="156" w:after="156"/>
        <w:rPr>
          <w:rFonts w:hint="eastAsia"/>
          <w:color w:val="000000" w:themeColor="text1"/>
          <w14:textFill>
            <w14:solidFill>
              <w14:schemeClr w14:val="tx1"/>
            </w14:solidFill>
          </w14:textFill>
        </w:rPr>
      </w:pPr>
      <w:bookmarkStart w:id="25" w:name="_Toc2272553"/>
      <w:bookmarkStart w:id="26" w:name="_Toc19157"/>
      <w:bookmarkStart w:id="27" w:name="_Toc21525497"/>
      <w:r>
        <w:rPr>
          <w:rFonts w:hint="eastAsia"/>
          <w:color w:val="000000" w:themeColor="text1"/>
          <w14:textFill>
            <w14:solidFill>
              <w14:schemeClr w14:val="tx1"/>
            </w14:solidFill>
          </w14:textFill>
        </w:rPr>
        <w:t>（五）开标、评标、定标及合同签定</w:t>
      </w:r>
      <w:bookmarkEnd w:id="25"/>
      <w:bookmarkEnd w:id="26"/>
      <w:bookmarkEnd w:id="27"/>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23</w:t>
      </w:r>
      <w:r>
        <w:rPr>
          <w:rFonts w:hint="eastAsia" w:ascii="宋体" w:hAnsi="宋体"/>
          <w:b/>
          <w:bCs/>
          <w:color w:val="000000" w:themeColor="text1"/>
          <w:sz w:val="24"/>
          <w14:textFill>
            <w14:solidFill>
              <w14:schemeClr w14:val="tx1"/>
            </w14:solidFill>
          </w14:textFill>
        </w:rPr>
        <w:t>、开标。</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24</w:t>
      </w:r>
      <w:r>
        <w:rPr>
          <w:rFonts w:hint="eastAsia" w:ascii="宋体" w:hAnsi="宋体"/>
          <w:b/>
          <w:bCs/>
          <w:color w:val="000000" w:themeColor="text1"/>
          <w:sz w:val="24"/>
          <w14:textFill>
            <w14:solidFill>
              <w14:schemeClr w14:val="tx1"/>
            </w14:solidFill>
          </w14:textFill>
        </w:rPr>
        <w:t>．评标过程的保密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24.1 </w:t>
      </w:r>
      <w:r>
        <w:rPr>
          <w:rFonts w:hint="eastAsia" w:ascii="宋体" w:hAnsi="宋体"/>
          <w:color w:val="000000" w:themeColor="text1"/>
          <w:sz w:val="24"/>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25</w:t>
      </w:r>
      <w:r>
        <w:rPr>
          <w:rFonts w:hint="eastAsia" w:ascii="宋体" w:hAnsi="宋体"/>
          <w:b/>
          <w:bCs/>
          <w:color w:val="000000" w:themeColor="text1"/>
          <w:sz w:val="24"/>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26</w:t>
      </w:r>
      <w:r>
        <w:rPr>
          <w:rFonts w:hint="eastAsia" w:ascii="宋体" w:hAnsi="宋体"/>
          <w:b/>
          <w:bCs/>
          <w:color w:val="000000" w:themeColor="text1"/>
          <w:sz w:val="24"/>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27</w:t>
      </w:r>
      <w:r>
        <w:rPr>
          <w:rFonts w:hint="eastAsia" w:ascii="宋体" w:hAnsi="宋体"/>
          <w:b/>
          <w:bCs/>
          <w:color w:val="000000" w:themeColor="text1"/>
          <w:sz w:val="24"/>
          <w14:textFill>
            <w14:solidFill>
              <w14:schemeClr w14:val="tx1"/>
            </w14:solidFill>
          </w14:textFill>
        </w:rPr>
        <w:t>．中标通知书</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招标人将在广州交易集团有限公司（广州公共资源交易中心）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仿宋_GB2312" w:hAnsi="宋体" w:eastAsia="仿宋_GB2312"/>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27.2</w:t>
      </w:r>
      <w:r>
        <w:rPr>
          <w:rFonts w:hint="eastAsia" w:ascii="宋体" w:hAnsi="宋体"/>
          <w:color w:val="000000" w:themeColor="text1"/>
          <w:sz w:val="24"/>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27.3</w:t>
      </w:r>
      <w:r>
        <w:rPr>
          <w:rFonts w:hint="eastAsia" w:ascii="宋体" w:hAnsi="宋体"/>
          <w:color w:val="000000" w:themeColor="text1"/>
          <w:sz w:val="24"/>
          <w14:textFill>
            <w14:solidFill>
              <w14:schemeClr w14:val="tx1"/>
            </w14:solidFill>
          </w14:textFill>
        </w:rPr>
        <w:t>中标人必须在收到中标通知书后</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小时之内以书面形式回复招标人，确认收到。</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27.4在产生中标候选人后，招标人将中标候选人的投标文件商务部分文件的所有内容（包括人员、业绩、奖项等资料）在广州交易集团有限公司（广州公共资源交易中心）交易平台和广东省招标投标监管网公开。</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28</w:t>
      </w:r>
      <w:r>
        <w:rPr>
          <w:rFonts w:hint="eastAsia" w:ascii="宋体" w:hAnsi="宋体"/>
          <w:b/>
          <w:bCs/>
          <w:color w:val="000000" w:themeColor="text1"/>
          <w:sz w:val="24"/>
          <w14:textFill>
            <w14:solidFill>
              <w14:schemeClr w14:val="tx1"/>
            </w14:solidFill>
          </w14:textFill>
        </w:rPr>
        <w:t>．合同协议书的签订</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28.1 </w:t>
      </w:r>
      <w:r>
        <w:rPr>
          <w:rFonts w:hint="eastAsia" w:ascii="宋体" w:hAnsi="宋体"/>
          <w:color w:val="000000" w:themeColor="text1"/>
          <w:sz w:val="24"/>
          <w14:textFill>
            <w14:solidFill>
              <w14:schemeClr w14:val="tx1"/>
            </w14:solidFill>
          </w14:textFill>
        </w:rPr>
        <w:t>招标人与中标人将于中标通知书发出之日起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28.3</w:t>
      </w:r>
      <w:r>
        <w:rPr>
          <w:rFonts w:hint="eastAsia" w:ascii="宋体" w:hAnsi="宋体"/>
          <w:color w:val="000000" w:themeColor="text1"/>
          <w:sz w:val="24"/>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28.4</w:t>
      </w:r>
      <w:r>
        <w:rPr>
          <w:rFonts w:hint="eastAsia" w:ascii="宋体" w:hAnsi="宋体"/>
          <w:color w:val="000000" w:themeColor="text1"/>
          <w:sz w:val="24"/>
          <w14:textFill>
            <w14:solidFill>
              <w14:schemeClr w14:val="tx1"/>
            </w14:solidFill>
          </w14:textFill>
        </w:rPr>
        <w:t>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29</w:t>
      </w:r>
      <w:r>
        <w:rPr>
          <w:rFonts w:hint="eastAsia" w:ascii="宋体" w:hAnsi="宋体"/>
          <w:b/>
          <w:bCs/>
          <w:color w:val="000000" w:themeColor="text1"/>
          <w:sz w:val="24"/>
          <w14:textFill>
            <w14:solidFill>
              <w14:schemeClr w14:val="tx1"/>
            </w14:solidFill>
          </w14:textFill>
        </w:rPr>
        <w:t>．履约担保</w:t>
      </w:r>
    </w:p>
    <w:p>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29.1 </w:t>
      </w:r>
      <w:r>
        <w:rPr>
          <w:rFonts w:hint="eastAsia" w:ascii="宋体" w:hAnsi="宋体"/>
          <w:color w:val="000000" w:themeColor="text1"/>
          <w:sz w:val="24"/>
          <w:highlight w:val="none"/>
          <w14:textFill>
            <w14:solidFill>
              <w14:schemeClr w14:val="tx1"/>
            </w14:solidFill>
          </w14:textFill>
        </w:rPr>
        <w:t>在收到中标通知书后的</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日内，中标人应按本须知前附表第</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0项的规定向招标人提交履约担保。</w:t>
      </w:r>
    </w:p>
    <w:p>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29.2</w:t>
      </w:r>
      <w:r>
        <w:rPr>
          <w:rFonts w:hint="eastAsia" w:ascii="宋体" w:hAnsi="宋体"/>
          <w:color w:val="000000" w:themeColor="text1"/>
          <w:sz w:val="24"/>
          <w:highlight w:val="none"/>
          <w14:textFill>
            <w14:solidFill>
              <w14:schemeClr w14:val="tx1"/>
            </w14:solidFill>
          </w14:textFill>
        </w:rPr>
        <w:t>中标通知书发出之日起</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30</w:t>
      </w:r>
      <w:r>
        <w:rPr>
          <w:rFonts w:hint="eastAsia" w:ascii="宋体" w:hAnsi="宋体"/>
          <w:b/>
          <w:bCs/>
          <w:color w:val="000000" w:themeColor="text1"/>
          <w:sz w:val="24"/>
          <w14:textFill>
            <w14:solidFill>
              <w14:schemeClr w14:val="tx1"/>
            </w14:solidFill>
          </w14:textFill>
        </w:rPr>
        <w:t>．合同生效</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30.1</w:t>
      </w:r>
      <w:r>
        <w:rPr>
          <w:rFonts w:hint="eastAsia" w:ascii="宋体" w:hAnsi="宋体"/>
          <w:color w:val="000000" w:themeColor="text1"/>
          <w:sz w:val="24"/>
          <w14:textFill>
            <w14:solidFill>
              <w14:schemeClr w14:val="tx1"/>
            </w14:solidFill>
          </w14:textFill>
        </w:rPr>
        <w:t>在合同双方全权代表在合同协议书上签字，并分别加盖双方单位的公章后，合同正式生效。</w:t>
      </w:r>
    </w:p>
    <w:p>
      <w:pPr>
        <w:numPr>
          <w:ilvl w:val="0"/>
          <w:numId w:val="3"/>
        </w:num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其它费用</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招标代理服务费：中标人在领取中标通知书前，一次性向招标代理机构支付招标代理服务费。招标代理服务费参照国家计委【2002】1980号《招标代理服务收费管理暂行办法》，最终结算以招标人确定的中标金额为计算基数，费率下浮20%。招标代理服务费由投标人在投标时综合考虑，招标人不再另行支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31.</w:t>
      </w:r>
      <w:r>
        <w:rPr>
          <w:rFonts w:hint="eastAsia" w:ascii="宋体" w:hAnsi="宋体"/>
          <w:color w:val="000000" w:themeColor="text1"/>
          <w:sz w:val="24"/>
          <w14:textFill>
            <w14:solidFill>
              <w14:schemeClr w14:val="tx1"/>
            </w14:solidFill>
          </w14:textFill>
        </w:rPr>
        <w:t>2.交易服务费：本项目交易服务费由中标人向广州公共资源交易中心缴纳，投标人在投标时综合考虑，招标人不另行支付。具体收费标准投标人可以在广州公共资源交易中心网站查阅，如有变更以广州公共资源交易中心最新发布的标准为准。中标人必须在中标通知书发出前支付该笔费用，且前往交易中心办妥出具发票的手续，否则无法出具中标通知书，由于中标人原因导致的延误，由此带来的后果将由中标人自行承担。</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32</w:t>
      </w:r>
      <w:r>
        <w:rPr>
          <w:rFonts w:hint="eastAsia" w:ascii="宋体" w:hAnsi="宋体"/>
          <w:b/>
          <w:bCs/>
          <w:color w:val="000000" w:themeColor="text1"/>
          <w:sz w:val="24"/>
          <w14:textFill>
            <w14:solidFill>
              <w14:schemeClr w14:val="tx1"/>
            </w14:solidFill>
          </w14:textFill>
        </w:rPr>
        <w:t>．腐败与欺诈行为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在招标和合同实施期间，招标人要求投标人和承包人遵守最高的道德标准。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对本条款的规定，特定义如下词汇：</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如果投标人被认定在本招标的竞争中有腐败或欺诈行为，则会被取消投标资格。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color w:val="000000" w:themeColor="text1"/>
          <w14:textFill>
            <w14:solidFill>
              <w14:schemeClr w14:val="tx1"/>
            </w14:solidFill>
          </w14:textFill>
        </w:rPr>
      </w:pPr>
      <w:r>
        <w:rPr>
          <w:rFonts w:ascii="宋体"/>
          <w:color w:val="000000" w:themeColor="text1"/>
          <w:sz w:val="24"/>
          <w14:textFill>
            <w14:solidFill>
              <w14:schemeClr w14:val="tx1"/>
            </w14:solidFill>
          </w14:textFill>
        </w:rPr>
        <w:br w:type="page"/>
      </w:r>
      <w:bookmarkStart w:id="28" w:name="_Toc21525498"/>
      <w:bookmarkStart w:id="29" w:name="_Toc2272554"/>
      <w:bookmarkStart w:id="30" w:name="_Toc25278"/>
      <w:r>
        <w:rPr>
          <w:rFonts w:hint="eastAsia"/>
          <w:color w:val="000000" w:themeColor="text1"/>
          <w14:textFill>
            <w14:solidFill>
              <w14:schemeClr w14:val="tx1"/>
            </w14:solidFill>
          </w14:textFill>
        </w:rPr>
        <w:t>第二章  开标、评标及定标办法</w:t>
      </w:r>
      <w:bookmarkEnd w:id="28"/>
      <w:bookmarkEnd w:id="29"/>
      <w:bookmarkEnd w:id="30"/>
    </w:p>
    <w:p>
      <w:pPr>
        <w:pStyle w:val="7"/>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textAlignment w:val="auto"/>
        <w:rPr>
          <w:rFonts w:hint="eastAsia"/>
          <w:color w:val="000000" w:themeColor="text1"/>
          <w14:textFill>
            <w14:solidFill>
              <w14:schemeClr w14:val="tx1"/>
            </w14:solidFill>
          </w14:textFill>
        </w:rPr>
      </w:pPr>
      <w:bookmarkStart w:id="31" w:name="_Toc2272555"/>
      <w:bookmarkStart w:id="32" w:name="_Toc21525499"/>
      <w:bookmarkStart w:id="33" w:name="_Toc29430"/>
      <w:r>
        <w:rPr>
          <w:rFonts w:hint="eastAsia"/>
          <w:color w:val="000000" w:themeColor="text1"/>
          <w14:textFill>
            <w14:solidFill>
              <w14:schemeClr w14:val="tx1"/>
            </w14:solidFill>
          </w14:textFill>
        </w:rPr>
        <w:t>一、开标、评标及定标办法修改表</w:t>
      </w:r>
      <w:bookmarkEnd w:id="31"/>
      <w:bookmarkEnd w:id="32"/>
      <w:bookmarkEnd w:id="33"/>
    </w:p>
    <w:p>
      <w:pPr>
        <w:pStyle w:val="5"/>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声明：本</w:t>
      </w:r>
      <w:r>
        <w:rPr>
          <w:rFonts w:hint="eastAsia" w:ascii="宋体" w:hAnsi="宋体" w:eastAsia="宋体" w:cs="宋体"/>
          <w:b/>
          <w:color w:val="000000" w:themeColor="text1"/>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ascii="宋体" w:hAnsi="宋体" w:eastAsia="宋体" w:cs="宋体"/>
          <w:b/>
          <w:color w:val="000000" w:themeColor="text1"/>
          <w:szCs w:val="21"/>
          <w14:textFill>
            <w14:solidFill>
              <w14:schemeClr w14:val="tx1"/>
            </w14:solidFill>
          </w14:textFill>
        </w:rPr>
        <w:t>文不再有效。本招标文件中不再转录</w:t>
      </w:r>
      <w:r>
        <w:rPr>
          <w:rFonts w:hint="eastAsia" w:ascii="宋体" w:hAnsi="宋体" w:eastAsia="宋体" w:cs="宋体"/>
          <w:b/>
          <w:color w:val="000000" w:themeColor="text1"/>
          <w14:textFill>
            <w14:solidFill>
              <w14:schemeClr w14:val="tx1"/>
            </w14:solidFill>
          </w14:textFill>
        </w:rPr>
        <w:t>开标、评标及定标办法</w:t>
      </w:r>
      <w:r>
        <w:rPr>
          <w:rFonts w:hint="eastAsia" w:ascii="宋体" w:hAnsi="宋体" w:eastAsia="宋体" w:cs="宋体"/>
          <w:b/>
          <w:color w:val="000000" w:themeColor="text1"/>
          <w:szCs w:val="21"/>
          <w14:textFill>
            <w14:solidFill>
              <w14:schemeClr w14:val="tx1"/>
            </w14:solidFill>
          </w14:textFill>
        </w:rPr>
        <w:t>通用条款，请投标人自行到广州市住房和城乡建设局网站（网址：</w:t>
      </w:r>
      <w:r>
        <w:rPr>
          <w:rFonts w:hint="eastAsia" w:ascii="宋体" w:hAnsi="宋体" w:eastAsia="宋体" w:cs="宋体"/>
        </w:rPr>
        <w:fldChar w:fldCharType="begin"/>
      </w:r>
      <w:r>
        <w:rPr>
          <w:rFonts w:hint="eastAsia" w:ascii="宋体" w:hAnsi="宋体" w:eastAsia="宋体" w:cs="宋体"/>
        </w:rPr>
        <w:instrText xml:space="preserve"> HYPERLINK "http://www.gzcc.gov.cn/）下载GZZB2018-3" </w:instrText>
      </w:r>
      <w:r>
        <w:rPr>
          <w:rFonts w:hint="eastAsia" w:ascii="宋体" w:hAnsi="宋体" w:eastAsia="宋体" w:cs="宋体"/>
        </w:rPr>
        <w:fldChar w:fldCharType="separate"/>
      </w:r>
      <w:r>
        <w:rPr>
          <w:rStyle w:val="43"/>
          <w:rFonts w:hint="eastAsia" w:ascii="宋体" w:hAnsi="宋体" w:eastAsia="宋体" w:cs="宋体"/>
          <w:b/>
          <w:color w:val="000000" w:themeColor="text1"/>
          <w:szCs w:val="21"/>
          <w:u w:val="none"/>
          <w14:textFill>
            <w14:solidFill>
              <w14:schemeClr w14:val="tx1"/>
            </w14:solidFill>
          </w14:textFill>
        </w:rPr>
        <w:t>http://zfcj.gz.gov.cn/）下载GZZB2018-3</w:t>
      </w:r>
      <w:r>
        <w:rPr>
          <w:rStyle w:val="43"/>
          <w:rFonts w:hint="eastAsia" w:ascii="宋体" w:hAnsi="宋体" w:eastAsia="宋体" w:cs="宋体"/>
          <w:b/>
          <w:color w:val="000000" w:themeColor="text1"/>
          <w:szCs w:val="21"/>
          <w:u w:val="none"/>
          <w14:textFill>
            <w14:solidFill>
              <w14:schemeClr w14:val="tx1"/>
            </w14:solidFill>
          </w14:textFill>
        </w:rPr>
        <w:fldChar w:fldCharType="end"/>
      </w:r>
      <w:r>
        <w:rPr>
          <w:rFonts w:hint="eastAsia" w:ascii="宋体" w:hAnsi="宋体" w:eastAsia="宋体" w:cs="宋体"/>
          <w:b/>
          <w:color w:val="000000" w:themeColor="text1"/>
          <w:szCs w:val="21"/>
          <w14:textFill>
            <w14:solidFill>
              <w14:schemeClr w14:val="tx1"/>
            </w14:solidFill>
          </w14:textFill>
        </w:rPr>
        <w:t>范本查阅。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szCs w:val="21"/>
          <w:highlight w:val="none"/>
        </w:rPr>
      </w:pPr>
      <w:r>
        <w:rPr>
          <w:rFonts w:hint="eastAsia" w:ascii="宋体"/>
          <w:b/>
          <w:szCs w:val="21"/>
          <w:highlight w:val="none"/>
        </w:rPr>
        <w:t>条款号：36.1</w:t>
      </w:r>
      <w:r>
        <w:rPr>
          <w:rFonts w:hint="eastAsia" w:ascii="宋体" w:hAnsi="宋体" w:cs="宋体"/>
          <w:b/>
          <w:szCs w:val="21"/>
          <w:highlight w:val="none"/>
        </w:rPr>
        <w:t xml:space="preserve">                    </w:t>
      </w:r>
      <w:r>
        <w:rPr>
          <w:rFonts w:hint="eastAsia" w:ascii="宋体"/>
          <w:b/>
          <w:szCs w:val="21"/>
          <w:highlight w:val="none"/>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szCs w:val="21"/>
          <w:highlight w:val="none"/>
        </w:rPr>
      </w:pPr>
      <w:r>
        <w:rPr>
          <w:rFonts w:hint="eastAsia" w:ascii="宋体"/>
          <w:b/>
          <w:szCs w:val="21"/>
          <w:highlight w:val="none"/>
        </w:rPr>
        <w:t>原文：</w:t>
      </w:r>
      <w:r>
        <w:rPr>
          <w:rFonts w:hint="eastAsia" w:ascii="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b/>
          <w:szCs w:val="21"/>
          <w:highlight w:val="none"/>
        </w:rPr>
      </w:pPr>
      <w:r>
        <w:rPr>
          <w:rFonts w:hint="eastAsia" w:ascii="宋体"/>
          <w:b/>
          <w:szCs w:val="21"/>
          <w:highlight w:val="none"/>
        </w:rPr>
        <w:t>现文：</w:t>
      </w:r>
      <w:r>
        <w:rPr>
          <w:rFonts w:hint="eastAsia" w:ascii="宋体"/>
          <w:bCs/>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cs="宋体"/>
          <w:bCs/>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条款号：36.3</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修改类型：删除</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条款号：36.5.1</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原文：</w:t>
      </w:r>
      <w:r>
        <w:rPr>
          <w:rFonts w:hint="eastAsia" w:ascii="宋体" w:hAnsi="宋体" w:eastAsia="宋体" w:cs="宋体"/>
          <w:sz w:val="21"/>
          <w:szCs w:val="21"/>
        </w:rPr>
        <w:t>36.5.1在投标截止时间后一小时内，投标人通过</w:t>
      </w:r>
      <w:r>
        <w:rPr>
          <w:rFonts w:hint="eastAsia" w:ascii="宋体" w:hAnsi="宋体" w:eastAsia="宋体" w:cs="宋体"/>
          <w:sz w:val="21"/>
          <w:szCs w:val="21"/>
          <w:u w:val="single"/>
        </w:rPr>
        <w:t xml:space="preserve">        </w:t>
      </w:r>
      <w:r>
        <w:rPr>
          <w:rFonts w:hint="eastAsia" w:ascii="宋体" w:hAnsi="宋体" w:eastAsia="宋体" w:cs="宋体"/>
          <w:sz w:val="21"/>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现文：</w:t>
      </w:r>
      <w:r>
        <w:rPr>
          <w:rFonts w:hint="eastAsia" w:ascii="宋体" w:hAnsi="宋体" w:eastAsia="宋体" w:cs="宋体"/>
          <w:sz w:val="21"/>
          <w:szCs w:val="21"/>
        </w:rPr>
        <w:t>36.5.1在投标截止时间后一小时内，投标人通过</w:t>
      </w:r>
      <w:r>
        <w:rPr>
          <w:rFonts w:hint="eastAsia" w:ascii="宋体" w:hAnsi="宋体" w:eastAsia="宋体" w:cs="宋体"/>
          <w:sz w:val="21"/>
          <w:szCs w:val="21"/>
          <w:u w:val="single"/>
        </w:rPr>
        <w:t>广州交易集团有限公司（广州公共资源交易中心）</w:t>
      </w:r>
      <w:r>
        <w:rPr>
          <w:rFonts w:hint="eastAsia" w:ascii="宋体" w:hAnsi="宋体" w:eastAsia="宋体" w:cs="宋体"/>
          <w:sz w:val="21"/>
          <w:szCs w:val="21"/>
        </w:rPr>
        <w:t>交易平台对已递交的电子投标文件进行解密。投标人完成解密后，再由招标人进行解密。解密完成后，公布招标项目名称、投标人名称、投标报价、工期及其他内容；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条款号：</w:t>
      </w:r>
      <w:r>
        <w:rPr>
          <w:rFonts w:hint="eastAsia" w:ascii="宋体" w:hAnsi="宋体" w:eastAsia="宋体" w:cs="宋体"/>
          <w:b/>
          <w:bCs/>
          <w:sz w:val="21"/>
          <w:szCs w:val="21"/>
        </w:rPr>
        <w:t>36.5.3</w:t>
      </w:r>
      <w:r>
        <w:rPr>
          <w:rFonts w:hint="eastAsia" w:ascii="宋体" w:hAnsi="宋体" w:eastAsia="宋体" w:cs="宋体"/>
          <w:b/>
          <w:bCs/>
          <w:sz w:val="21"/>
          <w:szCs w:val="21"/>
          <w:highlight w:val="none"/>
        </w:rPr>
        <w:t xml:space="preserve"> </w:t>
      </w:r>
      <w:r>
        <w:rPr>
          <w:rFonts w:hint="eastAsia" w:ascii="宋体" w:hAnsi="宋体" w:eastAsia="宋体" w:cs="宋体"/>
          <w:b/>
          <w:sz w:val="21"/>
          <w:szCs w:val="21"/>
          <w:highlight w:val="none"/>
        </w:rPr>
        <w:t xml:space="preserve">                   </w:t>
      </w:r>
      <w:r>
        <w:rPr>
          <w:rFonts w:hint="eastAsia" w:ascii="宋体" w:hAnsi="宋体" w:eastAsia="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原文：</w:t>
      </w:r>
      <w:r>
        <w:rPr>
          <w:rFonts w:hint="eastAsia" w:ascii="宋体" w:hAnsi="宋体" w:eastAsia="宋体" w:cs="宋体"/>
          <w:sz w:val="21"/>
          <w:szCs w:val="21"/>
        </w:rPr>
        <w:t>投标人代表、招标人代表、监标人、记录人等有关人员在开标记录上签字确认；若有关人员不签字的，不影响开标程序；</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现文：</w:t>
      </w:r>
      <w:r>
        <w:rPr>
          <w:rFonts w:hint="eastAsia" w:ascii="宋体" w:hAnsi="宋体" w:eastAsia="宋体" w:cs="宋体"/>
          <w:sz w:val="21"/>
          <w:szCs w:val="21"/>
        </w:rPr>
        <w:t>投标人代表、招标人代表、监标人、记录人等有关人员在开标记录上签字确认；若有关人员不签字的，不影响开标程序；</w:t>
      </w:r>
      <w:r>
        <w:rPr>
          <w:rFonts w:hint="eastAsia" w:ascii="宋体" w:hAnsi="宋体" w:eastAsia="宋体" w:cs="宋体"/>
          <w:sz w:val="21"/>
          <w:szCs w:val="21"/>
          <w:u w:val="single"/>
        </w:rPr>
        <w:t>若投标人不参加开标会的，或不签字确认的，视同该投标人认可开标结果。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 评标办法</w:t>
      </w:r>
      <w:r>
        <w:rPr>
          <w:rFonts w:hint="eastAsia" w:ascii="宋体" w:hAnsi="宋体" w:eastAsia="宋体" w:cs="宋体"/>
          <w:b/>
          <w:sz w:val="21"/>
          <w:szCs w:val="21"/>
          <w:highlight w:val="none"/>
        </w:rPr>
        <w:t xml:space="preserve">                    </w:t>
      </w:r>
      <w:r>
        <w:rPr>
          <w:rFonts w:hint="eastAsia" w:ascii="宋体" w:hAnsi="宋体" w:cs="仿宋"/>
          <w:b/>
          <w:sz w:val="21"/>
          <w:szCs w:val="21"/>
        </w:rPr>
        <w:t>修改类型：删除</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shd w:val="clear" w:color="auto" w:fill="FFFFFF"/>
        </w:rPr>
      </w:pPr>
      <w:r>
        <w:rPr>
          <w:rFonts w:hint="eastAsia" w:ascii="宋体" w:hAnsi="宋体" w:cs="仿宋"/>
          <w:b/>
          <w:sz w:val="21"/>
          <w:szCs w:val="21"/>
        </w:rPr>
        <w:t>原文：</w:t>
      </w:r>
      <w:r>
        <w:rPr>
          <w:rFonts w:hint="eastAsia" w:ascii="宋体" w:hAnsi="宋体" w:cs="仿宋"/>
          <w:sz w:val="21"/>
          <w:szCs w:val="21"/>
          <w:shd w:val="clear" w:color="auto" w:fill="FFFFFF"/>
        </w:rPr>
        <w:t>可选办法一（适合综合评分法一，技术标与经济标先后分别开启）</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1050" w:firstLineChars="500"/>
        <w:textAlignment w:val="auto"/>
        <w:rPr>
          <w:rFonts w:hint="eastAsia" w:ascii="宋体" w:hAnsi="宋体" w:cs="仿宋"/>
          <w:sz w:val="21"/>
          <w:szCs w:val="21"/>
          <w:shd w:val="clear" w:color="auto" w:fill="FFFFFF"/>
        </w:rPr>
      </w:pPr>
      <w:r>
        <w:rPr>
          <w:rFonts w:hint="eastAsia" w:ascii="宋体" w:hAnsi="宋体" w:cs="仿宋"/>
          <w:sz w:val="21"/>
          <w:szCs w:val="21"/>
          <w:shd w:val="clear" w:color="auto" w:fill="FFFFFF"/>
        </w:rPr>
        <w:t>可选办法二（适合综合评分法一，技术标与经济标同时开启）</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1050" w:firstLineChars="500"/>
        <w:textAlignment w:val="auto"/>
        <w:rPr>
          <w:rFonts w:hint="eastAsia" w:ascii="宋体" w:hAnsi="宋体" w:cs="仿宋"/>
          <w:sz w:val="21"/>
          <w:szCs w:val="21"/>
          <w:shd w:val="clear" w:color="auto" w:fill="FFFFFF"/>
        </w:rPr>
      </w:pPr>
      <w:r>
        <w:rPr>
          <w:rFonts w:hint="eastAsia" w:ascii="宋体" w:hAnsi="宋体" w:cs="仿宋"/>
          <w:sz w:val="21"/>
          <w:szCs w:val="21"/>
          <w:shd w:val="clear" w:color="auto" w:fill="FFFFFF"/>
        </w:rPr>
        <w:t>可选办法三（适合综合评分法二，技术标与经济标先后分别开启）</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1050" w:firstLineChars="500"/>
        <w:textAlignment w:val="auto"/>
        <w:rPr>
          <w:rFonts w:hint="eastAsia" w:ascii="宋体" w:hAnsi="宋体" w:cs="仿宋"/>
          <w:sz w:val="21"/>
          <w:szCs w:val="21"/>
          <w:shd w:val="clear" w:color="auto" w:fill="FFFFFF"/>
        </w:rPr>
      </w:pPr>
      <w:r>
        <w:rPr>
          <w:rFonts w:hint="eastAsia" w:ascii="宋体" w:hAnsi="宋体" w:cs="仿宋"/>
          <w:sz w:val="21"/>
          <w:szCs w:val="21"/>
          <w:shd w:val="clear" w:color="auto" w:fill="FFFFFF"/>
        </w:rPr>
        <w:t>可选办法四（适合综合评分法二，技术标与经济标同时开启）</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1050" w:firstLineChars="500"/>
        <w:textAlignment w:val="auto"/>
        <w:rPr>
          <w:rFonts w:hint="eastAsia" w:ascii="宋体" w:hAnsi="宋体" w:cs="仿宋"/>
          <w:sz w:val="21"/>
          <w:szCs w:val="21"/>
          <w:shd w:val="clear" w:color="auto" w:fill="FFFFFF"/>
        </w:rPr>
      </w:pPr>
      <w:r>
        <w:rPr>
          <w:rFonts w:hint="eastAsia" w:ascii="宋体" w:hAnsi="宋体" w:cs="仿宋"/>
          <w:sz w:val="21"/>
          <w:szCs w:val="21"/>
          <w:shd w:val="clear" w:color="auto" w:fill="FFFFFF"/>
        </w:rPr>
        <w:t>可选办法五（适合综合评分法三，技术标与经济标先后分别开启）</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1050" w:firstLineChars="500"/>
        <w:textAlignment w:val="auto"/>
        <w:rPr>
          <w:rFonts w:hint="eastAsia" w:ascii="宋体" w:hAnsi="宋体" w:cs="仿宋"/>
          <w:sz w:val="21"/>
          <w:szCs w:val="21"/>
          <w:shd w:val="clear" w:color="auto" w:fill="FFFFFF"/>
        </w:rPr>
      </w:pPr>
      <w:r>
        <w:rPr>
          <w:rFonts w:hint="eastAsia" w:ascii="宋体" w:hAnsi="宋体" w:cs="仿宋"/>
          <w:sz w:val="21"/>
          <w:szCs w:val="21"/>
          <w:shd w:val="clear" w:color="auto" w:fill="FFFFFF"/>
        </w:rPr>
        <w:t>可选办法七（适合综合评分法四，技术标与经济标同时开启）</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1050" w:firstLineChars="500"/>
        <w:textAlignment w:val="auto"/>
        <w:rPr>
          <w:rFonts w:hint="eastAsia" w:ascii="宋体" w:hAnsi="宋体" w:cs="仿宋"/>
          <w:sz w:val="21"/>
          <w:szCs w:val="21"/>
          <w:shd w:val="clear" w:color="auto" w:fill="FFFFFF"/>
        </w:rPr>
      </w:pPr>
      <w:r>
        <w:rPr>
          <w:rFonts w:hint="eastAsia" w:ascii="宋体" w:hAnsi="宋体" w:cs="仿宋"/>
          <w:sz w:val="21"/>
          <w:szCs w:val="21"/>
          <w:shd w:val="clear" w:color="auto" w:fill="FFFFFF"/>
        </w:rPr>
        <w:t>可选办法八（适合经评审的最低投标价法，技术标与经济标同时开启）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highlight w:val="none"/>
        </w:rPr>
      </w:pPr>
      <w:r>
        <w:rPr>
          <w:rFonts w:hint="eastAsia" w:ascii="宋体" w:hAnsi="宋体" w:cs="宋体"/>
          <w:b/>
          <w:szCs w:val="21"/>
          <w:highlight w:val="none"/>
        </w:rPr>
        <w:t>条款号：38</w:t>
      </w:r>
      <w:r>
        <w:rPr>
          <w:rFonts w:ascii="宋体" w:hAnsi="宋体" w:cs="宋体"/>
          <w:b/>
          <w:szCs w:val="21"/>
          <w:highlight w:val="none"/>
        </w:rPr>
        <w:t>.1</w:t>
      </w:r>
      <w:r>
        <w:rPr>
          <w:rFonts w:hint="eastAsia" w:ascii="宋体" w:hAnsi="宋体" w:eastAsia="宋体" w:cs="宋体"/>
          <w:b/>
          <w:sz w:val="21"/>
          <w:szCs w:val="21"/>
          <w:highlight w:val="none"/>
        </w:rPr>
        <w:t xml:space="preserve">                    </w:t>
      </w:r>
      <w:r>
        <w:rPr>
          <w:rFonts w:hint="eastAsia" w:ascii="宋体" w:hAnsi="宋体" w:cs="宋体"/>
          <w:b/>
          <w:szCs w:val="21"/>
          <w:highlight w:val="none"/>
        </w:rPr>
        <w:t>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cs="宋体"/>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szCs w:val="21"/>
          <w:highlight w:val="none"/>
        </w:rPr>
      </w:pPr>
      <w:r>
        <w:rPr>
          <w:rFonts w:hint="eastAsia" w:ascii="宋体" w:hAnsi="宋体" w:cs="宋体"/>
          <w:b/>
          <w:bCs/>
          <w:szCs w:val="21"/>
          <w:highlight w:val="none"/>
        </w:rPr>
        <w:t>现文</w:t>
      </w:r>
      <w:r>
        <w:rPr>
          <w:rFonts w:hint="eastAsia" w:ascii="宋体" w:hAnsi="宋体" w:cs="宋体"/>
          <w:bCs/>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szCs w:val="21"/>
          <w:highlight w:val="none"/>
          <w:u w:val="single"/>
        </w:rPr>
        <w:t>对投标文件含义不明确、对同类问题表述不一致、有明显文字和计算错误的内容以及细微偏差的内容</w:t>
      </w:r>
      <w:r>
        <w:rPr>
          <w:rFonts w:hint="eastAsia" w:ascii="宋体" w:hAnsi="宋体" w:cs="宋体"/>
          <w:szCs w:val="21"/>
          <w:highlight w:val="none"/>
        </w:rPr>
        <w:t>作出澄清。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highlight w:val="none"/>
        </w:rPr>
      </w:pPr>
      <w:r>
        <w:rPr>
          <w:rFonts w:hint="eastAsia" w:ascii="宋体" w:hAnsi="宋体" w:cs="宋体"/>
          <w:b/>
          <w:szCs w:val="21"/>
          <w:highlight w:val="none"/>
        </w:rPr>
        <w:t>条款号：</w:t>
      </w:r>
      <w:r>
        <w:rPr>
          <w:rFonts w:ascii="宋体" w:hAnsi="宋体" w:cs="宋体"/>
          <w:b/>
          <w:szCs w:val="21"/>
          <w:highlight w:val="none"/>
        </w:rPr>
        <w:t>39.3</w:t>
      </w:r>
      <w:r>
        <w:rPr>
          <w:rFonts w:hint="eastAsia" w:ascii="宋体" w:hAnsi="宋体" w:eastAsia="宋体" w:cs="宋体"/>
          <w:b/>
          <w:sz w:val="21"/>
          <w:szCs w:val="21"/>
          <w:highlight w:val="none"/>
        </w:rPr>
        <w:t xml:space="preserve">                    </w:t>
      </w:r>
      <w:r>
        <w:rPr>
          <w:rFonts w:hint="eastAsia" w:ascii="宋体" w:hAnsi="宋体" w:cs="宋体"/>
          <w:b/>
          <w:szCs w:val="21"/>
          <w:highlight w:val="none"/>
        </w:rPr>
        <w:t>修改类型：修改</w:t>
      </w:r>
    </w:p>
    <w:p>
      <w:pPr>
        <w:pStyle w:val="5"/>
        <w:keepNext w:val="0"/>
        <w:keepLines w:val="0"/>
        <w:pageBreakBefore w:val="0"/>
        <w:widowControl w:val="0"/>
        <w:pBdr>
          <w:bottom w:val="single" w:color="auto" w:sz="4" w:space="1"/>
        </w:pBdr>
        <w:kinsoku/>
        <w:wordWrap/>
        <w:overflowPunct/>
        <w:topLinePunct w:val="0"/>
        <w:autoSpaceDE/>
        <w:autoSpaceDN/>
        <w:bidi w:val="0"/>
        <w:adjustRightInd/>
        <w:snapToGrid/>
        <w:spacing w:after="0" w:line="360" w:lineRule="auto"/>
        <w:ind w:firstLine="422" w:firstLineChars="200"/>
        <w:textAlignment w:val="auto"/>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ascii="宋体" w:hAnsi="宋体" w:cs="宋体"/>
          <w:sz w:val="21"/>
          <w:szCs w:val="21"/>
          <w:highlight w:val="none"/>
        </w:rPr>
        <w:t>。</w:t>
      </w:r>
    </w:p>
    <w:p>
      <w:pPr>
        <w:pStyle w:val="5"/>
        <w:keepNext w:val="0"/>
        <w:keepLines w:val="0"/>
        <w:pageBreakBefore w:val="0"/>
        <w:widowControl w:val="0"/>
        <w:pBdr>
          <w:bottom w:val="single" w:color="auto" w:sz="4" w:space="1"/>
        </w:pBdr>
        <w:kinsoku/>
        <w:wordWrap/>
        <w:overflowPunct/>
        <w:topLinePunct w:val="0"/>
        <w:autoSpaceDE/>
        <w:autoSpaceDN/>
        <w:bidi w:val="0"/>
        <w:adjustRightInd/>
        <w:snapToGrid/>
        <w:spacing w:after="0" w:line="360" w:lineRule="auto"/>
        <w:ind w:firstLine="422" w:firstLineChars="200"/>
        <w:textAlignment w:val="auto"/>
        <w:rPr>
          <w:rFonts w:ascii="宋体" w:hAnsi="宋体" w:cs="宋体"/>
          <w:sz w:val="21"/>
          <w:szCs w:val="21"/>
          <w:highlight w:val="none"/>
        </w:rPr>
      </w:pPr>
      <w:r>
        <w:rPr>
          <w:rFonts w:hint="eastAsia" w:ascii="宋体" w:hAnsi="宋体" w:cs="宋体"/>
          <w:b/>
          <w:szCs w:val="21"/>
          <w:highlight w:val="none"/>
        </w:rPr>
        <w:t>现文：</w:t>
      </w:r>
      <w:r>
        <w:rPr>
          <w:rFonts w:ascii="宋体" w:hAnsi="宋体" w:cs="宋体"/>
          <w:sz w:val="21"/>
          <w:szCs w:val="21"/>
          <w:highlight w:val="none"/>
        </w:rPr>
        <w:t>39.3排名第一的中标候选人放弃中标、或因不可抗力提出不能履行合同</w:t>
      </w:r>
      <w:r>
        <w:rPr>
          <w:rFonts w:hint="eastAsia" w:ascii="宋体" w:hAnsi="宋体" w:cs="宋体"/>
          <w:sz w:val="21"/>
          <w:szCs w:val="21"/>
          <w:highlight w:val="none"/>
          <w:u w:val="single"/>
          <w:lang w:eastAsia="zh-CN"/>
        </w:rPr>
        <w:t>（如中标人在中标通知书发出后被暂扣安全生产许可证，不具备履约资格影响合同签订、施工许可证办理的）</w:t>
      </w:r>
      <w:r>
        <w:rPr>
          <w:rFonts w:ascii="宋体" w:hAnsi="宋体" w:cs="宋体"/>
          <w:sz w:val="21"/>
          <w:szCs w:val="21"/>
          <w:highlight w:val="none"/>
        </w:rPr>
        <w:t>，或者招标文件规定应当提交履约担保而在规定的期限内未能提交的，招标人可以确定排名第二的中标候选人为中标人。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 41.1</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原文：</w:t>
      </w:r>
      <w:r>
        <w:rPr>
          <w:rFonts w:hint="eastAsia" w:ascii="宋体" w:hAnsi="宋体" w:cs="仿宋"/>
          <w:sz w:val="21"/>
          <w:szCs w:val="21"/>
        </w:rPr>
        <w:t>41.1 开标由招标人主持；</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现文：</w:t>
      </w:r>
      <w:r>
        <w:rPr>
          <w:rFonts w:hint="eastAsia" w:ascii="宋体" w:hAnsi="宋体" w:cs="仿宋"/>
          <w:sz w:val="21"/>
          <w:szCs w:val="21"/>
        </w:rPr>
        <w:t xml:space="preserve">41.1 </w:t>
      </w:r>
      <w:r>
        <w:rPr>
          <w:rFonts w:hint="eastAsia" w:ascii="宋体" w:hAnsi="宋体" w:cs="仿宋"/>
          <w:sz w:val="21"/>
          <w:szCs w:val="21"/>
          <w:u w:val="single"/>
        </w:rPr>
        <w:t>开标由招标人或招标代理主持；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条款号：41.2.1</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原文：</w:t>
      </w:r>
      <w:r>
        <w:rPr>
          <w:rFonts w:hint="eastAsia" w:ascii="宋体" w:hAnsi="宋体" w:cs="仿宋"/>
          <w:b/>
          <w:bCs/>
          <w:sz w:val="21"/>
          <w:szCs w:val="21"/>
        </w:rPr>
        <w:t>41.2.1</w:t>
      </w:r>
      <w:r>
        <w:rPr>
          <w:rFonts w:hint="eastAsia" w:ascii="宋体" w:hAnsi="宋体" w:cs="仿宋"/>
          <w:bCs/>
          <w:sz w:val="21"/>
          <w:szCs w:val="21"/>
        </w:rPr>
        <w:t xml:space="preserve">投标截止期前，各投标人递交投标文件（包括技术标投标文件、经济标投标文件）至交易平台。有关投标文件提交的事项详见第一章投标须知。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仿宋"/>
          <w:b/>
          <w:sz w:val="21"/>
          <w:szCs w:val="21"/>
        </w:rPr>
        <w:t>现文：</w:t>
      </w:r>
      <w:r>
        <w:rPr>
          <w:rFonts w:hint="eastAsia" w:ascii="宋体" w:hAnsi="宋体" w:cs="仿宋"/>
          <w:b/>
          <w:bCs/>
          <w:sz w:val="21"/>
          <w:szCs w:val="21"/>
        </w:rPr>
        <w:t>41.2.1</w:t>
      </w:r>
      <w:r>
        <w:rPr>
          <w:rFonts w:hint="eastAsia" w:ascii="宋体" w:hAnsi="宋体" w:cs="仿宋"/>
          <w:bCs/>
          <w:sz w:val="21"/>
          <w:szCs w:val="21"/>
        </w:rPr>
        <w:t>投标截止期前，各投标人递交投标文件（包括技术标投标文件、经济标投标文件）至</w:t>
      </w:r>
      <w:r>
        <w:rPr>
          <w:rFonts w:hint="eastAsia" w:ascii="宋体" w:hAnsi="宋体" w:cs="仿宋"/>
          <w:bCs/>
          <w:sz w:val="21"/>
          <w:szCs w:val="21"/>
          <w:u w:val="single"/>
        </w:rPr>
        <w:t>广州交易集团有限公司（广州公共资源交易中心）</w:t>
      </w:r>
      <w:r>
        <w:rPr>
          <w:rFonts w:hint="eastAsia" w:ascii="宋体" w:hAnsi="宋体" w:cs="仿宋"/>
          <w:bCs/>
          <w:sz w:val="21"/>
          <w:szCs w:val="21"/>
        </w:rPr>
        <w:t>交易平台。有关投标文件提交的事项详见第一章投标须知。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b/>
          <w:sz w:val="21"/>
          <w:szCs w:val="21"/>
        </w:rPr>
      </w:pPr>
      <w:r>
        <w:rPr>
          <w:rFonts w:hint="eastAsia" w:ascii="宋体" w:hAnsi="宋体" w:cs="仿宋"/>
          <w:b/>
          <w:sz w:val="21"/>
          <w:szCs w:val="21"/>
        </w:rPr>
        <w:t>条款号：42.1</w:t>
      </w:r>
      <w:r>
        <w:rPr>
          <w:rFonts w:hint="eastAsia" w:ascii="宋体" w:hAnsi="宋体" w:eastAsia="宋体" w:cs="宋体"/>
          <w:b/>
          <w:sz w:val="21"/>
          <w:szCs w:val="21"/>
          <w:highlight w:val="none"/>
        </w:rPr>
        <w:t xml:space="preserve">                    </w:t>
      </w:r>
      <w:r>
        <w:rPr>
          <w:rFonts w:hint="eastAsia" w:ascii="宋体" w:hAnsi="宋体" w:cs="仿宋"/>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sz w:val="21"/>
          <w:szCs w:val="21"/>
        </w:rPr>
      </w:pPr>
      <w:r>
        <w:rPr>
          <w:rFonts w:hint="eastAsia"/>
          <w:b/>
          <w:sz w:val="21"/>
          <w:szCs w:val="21"/>
        </w:rPr>
        <w:t>原文：</w:t>
      </w:r>
      <w:r>
        <w:rPr>
          <w:rFonts w:hint="eastAsia" w:ascii="宋体" w:hAnsi="宋体"/>
          <w:sz w:val="21"/>
          <w:szCs w:val="21"/>
        </w:rPr>
        <w:t>42.1评标委员会的组成：方式</w:t>
      </w:r>
      <w:r>
        <w:rPr>
          <w:rFonts w:hint="eastAsia" w:ascii="宋体" w:hAnsi="宋体"/>
          <w:sz w:val="21"/>
          <w:szCs w:val="21"/>
          <w:u w:val="single"/>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方式一：评标委员会为综合评标委员会，负责评标工作。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sz w:val="21"/>
          <w:szCs w:val="21"/>
        </w:rPr>
      </w:pPr>
      <w:r>
        <w:rPr>
          <w:rFonts w:hint="eastAsia" w:ascii="宋体" w:hAnsi="宋体"/>
          <w:sz w:val="21"/>
          <w:szCs w:val="21"/>
        </w:rPr>
        <w:t>方式二：评标委员会由技术评审组和经济评审组组成。其中：资格审查、技术评审由技术评标组负责，经济评审由经济评审组负责。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sz w:val="21"/>
          <w:szCs w:val="21"/>
        </w:rPr>
      </w:pPr>
      <w:r>
        <w:rPr>
          <w:rFonts w:hint="eastAsia"/>
          <w:b/>
          <w:sz w:val="21"/>
          <w:szCs w:val="21"/>
        </w:rPr>
        <w:t>现文：</w:t>
      </w:r>
      <w:r>
        <w:rPr>
          <w:rFonts w:hint="eastAsia" w:ascii="宋体" w:hAnsi="宋体"/>
          <w:sz w:val="21"/>
          <w:szCs w:val="21"/>
        </w:rPr>
        <w:t>42.1评标委员会的组成：方式</w:t>
      </w:r>
      <w:r>
        <w:rPr>
          <w:rFonts w:hint="eastAsia" w:ascii="宋体" w:hAnsi="宋体"/>
          <w:sz w:val="21"/>
          <w:szCs w:val="21"/>
          <w:u w:val="single"/>
        </w:rPr>
        <w:t xml:space="preserve">  一  </w:t>
      </w:r>
      <w:r>
        <w:rPr>
          <w:rFonts w:hint="eastAsia" w:ascii="宋体" w:hAnsi="宋体"/>
          <w:sz w:val="21"/>
          <w:szCs w:val="21"/>
        </w:rPr>
        <w:t>。</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方式一：评标委员会为综合评标委员会，负责</w:t>
      </w:r>
      <w:r>
        <w:rPr>
          <w:rFonts w:hint="eastAsia" w:ascii="宋体" w:hAnsi="宋体"/>
          <w:sz w:val="21"/>
          <w:szCs w:val="21"/>
          <w:u w:val="single"/>
        </w:rPr>
        <w:t>资格审查及</w:t>
      </w:r>
      <w:r>
        <w:rPr>
          <w:rFonts w:hint="eastAsia" w:ascii="宋体" w:hAnsi="宋体"/>
          <w:sz w:val="21"/>
          <w:szCs w:val="21"/>
        </w:rPr>
        <w:t>评标工作。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条款号：</w:t>
      </w:r>
      <w:r>
        <w:rPr>
          <w:rFonts w:hint="eastAsia" w:ascii="宋体" w:hAnsi="宋体" w:cs="宋体"/>
          <w:sz w:val="21"/>
          <w:szCs w:val="21"/>
        </w:rPr>
        <w:t>42.3.2</w:t>
      </w:r>
      <w:r>
        <w:rPr>
          <w:rFonts w:hint="eastAsia" w:ascii="宋体" w:hAnsi="宋体" w:eastAsia="宋体" w:cs="宋体"/>
          <w:b/>
          <w:sz w:val="21"/>
          <w:szCs w:val="21"/>
          <w:highlight w:val="none"/>
        </w:rPr>
        <w:t xml:space="preserve">                    </w:t>
      </w:r>
      <w:r>
        <w:rPr>
          <w:rFonts w:hint="eastAsia" w:ascii="宋体" w:hAnsi="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42.3.2</w:t>
      </w:r>
      <w:r>
        <w:rPr>
          <w:rFonts w:hint="eastAsia" w:ascii="宋体" w:hAnsi="宋体" w:cs="宋体"/>
          <w:sz w:val="21"/>
          <w:szCs w:val="21"/>
          <w:u w:val="single"/>
        </w:rPr>
        <w:t xml:space="preserve">     </w:t>
      </w:r>
      <w:r>
        <w:rPr>
          <w:rFonts w:hint="eastAsia" w:ascii="宋体" w:hAnsi="宋体" w:cs="宋体"/>
          <w:sz w:val="21"/>
          <w:szCs w:val="21"/>
        </w:rPr>
        <w:t>详细审查评分：评标委员会按照本办法附表</w:t>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详细审查评分表》对通过技术标有效性审查的投标文件进行详细审查，评出</w:t>
      </w:r>
      <w:r>
        <w:rPr>
          <w:rFonts w:hint="eastAsia" w:ascii="宋体" w:hAnsi="宋体" w:cs="宋体"/>
          <w:sz w:val="21"/>
          <w:szCs w:val="21"/>
          <w:u w:val="single"/>
        </w:rPr>
        <w:t xml:space="preserve">     </w:t>
      </w:r>
      <w:r>
        <w:rPr>
          <w:rFonts w:hint="eastAsia" w:ascii="宋体" w:hAnsi="宋体" w:cs="宋体"/>
          <w:sz w:val="21"/>
          <w:szCs w:val="21"/>
        </w:rPr>
        <w:t>得分。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1"/>
          <w:szCs w:val="21"/>
        </w:rPr>
      </w:pPr>
      <w:r>
        <w:rPr>
          <w:rFonts w:hint="eastAsia" w:ascii="宋体" w:hAnsi="宋体" w:cs="宋体"/>
          <w:b/>
          <w:sz w:val="21"/>
          <w:szCs w:val="21"/>
        </w:rPr>
        <w:t>现文：</w:t>
      </w:r>
      <w:r>
        <w:rPr>
          <w:rFonts w:hint="eastAsia" w:ascii="宋体" w:hAnsi="宋体" w:cs="宋体"/>
          <w:sz w:val="21"/>
          <w:szCs w:val="21"/>
        </w:rPr>
        <w:t>42.3.2第一阶段详细审查评分：评标委员会按照本办法附表四《第一阶段详细审查评分表》对通过技术标有效性审查的投标文件进行详细审查，评出第一阶段详细审查得分。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条款号：</w:t>
      </w:r>
      <w:r>
        <w:rPr>
          <w:rFonts w:hint="eastAsia" w:ascii="宋体" w:hAnsi="宋体" w:cs="宋体"/>
          <w:sz w:val="21"/>
          <w:szCs w:val="21"/>
        </w:rPr>
        <w:t>42.3.4</w:t>
      </w:r>
      <w:r>
        <w:rPr>
          <w:rFonts w:hint="eastAsia" w:ascii="宋体" w:hAnsi="宋体" w:eastAsia="宋体" w:cs="宋体"/>
          <w:b/>
          <w:sz w:val="21"/>
          <w:szCs w:val="21"/>
          <w:highlight w:val="none"/>
        </w:rPr>
        <w:t xml:space="preserve">                    </w:t>
      </w:r>
      <w:r>
        <w:rPr>
          <w:rFonts w:hint="eastAsia" w:ascii="宋体" w:hAnsi="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42.3.4评标委员会按照“第一阶段得分=</w:t>
      </w:r>
      <w:r>
        <w:rPr>
          <w:rFonts w:hint="eastAsia" w:ascii="宋体" w:hAnsi="宋体" w:cs="宋体"/>
          <w:sz w:val="21"/>
          <w:szCs w:val="21"/>
          <w:u w:val="single"/>
        </w:rPr>
        <w:t xml:space="preserve">                 </w:t>
      </w:r>
      <w:r>
        <w:rPr>
          <w:rFonts w:hint="eastAsia" w:ascii="宋体" w:hAnsi="宋体" w:cs="宋体"/>
          <w:sz w:val="21"/>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r>
        <w:rPr>
          <w:rFonts w:hint="eastAsia" w:ascii="宋体" w:hAnsi="宋体" w:cs="宋体"/>
          <w:b/>
          <w:sz w:val="21"/>
          <w:szCs w:val="21"/>
        </w:rPr>
        <w:t>现文：</w:t>
      </w:r>
      <w:r>
        <w:rPr>
          <w:rFonts w:hint="eastAsia" w:ascii="宋体" w:hAnsi="宋体" w:cs="宋体"/>
          <w:sz w:val="21"/>
          <w:szCs w:val="21"/>
        </w:rPr>
        <w:t>42.3.4</w:t>
      </w:r>
      <w:r>
        <w:rPr>
          <w:rFonts w:hint="eastAsia" w:ascii="宋体" w:hAnsi="宋体" w:cs="宋体"/>
          <w:sz w:val="21"/>
          <w:szCs w:val="21"/>
          <w:u w:val="single"/>
        </w:rPr>
        <w:t>综合评标委员会按照</w:t>
      </w:r>
      <w:r>
        <w:rPr>
          <w:rFonts w:hint="eastAsia" w:ascii="宋体" w:hAnsi="宋体" w:cs="宋体"/>
          <w:sz w:val="21"/>
          <w:szCs w:val="21"/>
          <w:highlight w:val="none"/>
          <w:u w:val="single"/>
        </w:rPr>
        <w:t>“第一阶段得分（满分100分）=团队答辩得分20分+项目管理机构得分80分。”的</w:t>
      </w:r>
      <w:r>
        <w:rPr>
          <w:rFonts w:hint="eastAsia" w:ascii="宋体" w:hAnsi="宋体" w:cs="宋体"/>
          <w:sz w:val="21"/>
          <w:szCs w:val="21"/>
          <w:highlight w:val="none"/>
        </w:rPr>
        <w:t>公式及投标须知前附表第27项的规定，</w:t>
      </w:r>
      <w:r>
        <w:rPr>
          <w:rFonts w:hint="eastAsia" w:ascii="宋体" w:hAnsi="宋体" w:cs="宋体"/>
          <w:sz w:val="21"/>
          <w:szCs w:val="21"/>
        </w:rPr>
        <w:t>计算各投标人第一阶段得分(按四舍五入的原则保留两位小数)，并按照得分从高到低排列先后次序，若投标人得分相同的，则名次并列，占用名次。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条款号：</w:t>
      </w:r>
      <w:r>
        <w:rPr>
          <w:rFonts w:hint="eastAsia" w:ascii="宋体" w:hAnsi="宋体" w:cs="宋体"/>
          <w:sz w:val="21"/>
          <w:szCs w:val="21"/>
        </w:rPr>
        <w:t>42.4.2.1</w:t>
      </w:r>
      <w:r>
        <w:rPr>
          <w:rFonts w:hint="eastAsia" w:ascii="宋体" w:hAnsi="宋体" w:eastAsia="宋体" w:cs="宋体"/>
          <w:b/>
          <w:sz w:val="21"/>
          <w:szCs w:val="21"/>
          <w:highlight w:val="none"/>
        </w:rPr>
        <w:t xml:space="preserve">                    </w:t>
      </w:r>
      <w:r>
        <w:rPr>
          <w:rFonts w:hint="eastAsia" w:ascii="宋体" w:hAnsi="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42.4.2.1计算评标参考价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区间抽取法：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评标参考价=</w:t>
      </w:r>
      <w:r>
        <w:rPr>
          <w:rFonts w:hint="eastAsia" w:ascii="宋体" w:hAnsi="宋体" w:cs="宋体"/>
          <w:sz w:val="24"/>
          <w:szCs w:val="24"/>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）/100*Ｘ+</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1"/>
          <w:szCs w:val="21"/>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1"/>
          <w:szCs w:val="21"/>
        </w:rPr>
        <w:t>：为达到或超过技术标及格分数线的投标人最低报价与工程成本警示价两者中的较高值；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1"/>
          <w:szCs w:val="21"/>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1"/>
          <w:szCs w:val="21"/>
        </w:rPr>
        <w:t>：最高投标限价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X：为等分点值，在开标前从[0,100]整数中随机抽取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42.4.2.2当标价等于评标参考价时得100分，标价每高于评标参考价1%，扣1.5分，每低于评标参考价1%，扣1分，扣至0分为止，得出经济分，精确到小数点后两位。</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r>
        <w:rPr>
          <w:rFonts w:hint="eastAsia" w:ascii="宋体" w:hAnsi="宋体" w:cs="宋体"/>
          <w:b/>
          <w:sz w:val="21"/>
          <w:szCs w:val="21"/>
        </w:rPr>
        <w:t>现文：</w:t>
      </w:r>
      <w:r>
        <w:rPr>
          <w:rFonts w:hint="eastAsia" w:ascii="宋体" w:hAnsi="宋体" w:cs="宋体"/>
          <w:sz w:val="21"/>
          <w:szCs w:val="21"/>
        </w:rPr>
        <w:t>42.4.2.1计算评标参考价</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区间抽取法：</w:t>
      </w:r>
    </w:p>
    <w:p>
      <w:pPr>
        <w:pBdr>
          <w:bottom w:val="single" w:color="auto" w:sz="4" w:space="0"/>
        </w:pBdr>
        <w:spacing w:line="360" w:lineRule="auto"/>
        <w:ind w:firstLine="470" w:firstLineChars="224"/>
        <w:rPr>
          <w:rFonts w:hint="eastAsia" w:ascii="宋体" w:hAnsi="宋体" w:cs="宋体"/>
          <w:sz w:val="21"/>
          <w:szCs w:val="21"/>
        </w:rPr>
      </w:pPr>
      <w:r>
        <w:rPr>
          <w:rFonts w:hint="eastAsia" w:ascii="宋体" w:hAnsi="宋体" w:cs="宋体"/>
          <w:sz w:val="21"/>
          <w:szCs w:val="21"/>
        </w:rPr>
        <w:t>设立入围合格分数线</w:t>
      </w:r>
      <w:r>
        <w:rPr>
          <w:rFonts w:hint="eastAsia" w:ascii="宋体" w:hAnsi="宋体" w:cs="宋体"/>
          <w:b/>
          <w:bCs/>
          <w:sz w:val="21"/>
          <w:szCs w:val="21"/>
          <w:u w:val="single"/>
        </w:rPr>
        <w:t>（第一阶段详细审查得分85分）</w:t>
      </w:r>
      <w:r>
        <w:rPr>
          <w:rFonts w:hint="eastAsia" w:ascii="宋体" w:hAnsi="宋体" w:cs="宋体"/>
          <w:sz w:val="21"/>
          <w:szCs w:val="21"/>
        </w:rPr>
        <w:t>，达到或超过入围合格分数线</w:t>
      </w:r>
      <w:r>
        <w:rPr>
          <w:rFonts w:ascii="宋体" w:hAnsi="宋体" w:cs="宋体"/>
          <w:color w:val="000000"/>
          <w:sz w:val="21"/>
          <w:szCs w:val="21"/>
          <w:u w:val="single"/>
        </w:rPr>
        <w:t>且进入第二阶段评审</w:t>
      </w:r>
      <w:r>
        <w:rPr>
          <w:rFonts w:hint="eastAsia" w:ascii="宋体" w:hAnsi="宋体" w:cs="宋体"/>
          <w:sz w:val="21"/>
          <w:szCs w:val="21"/>
        </w:rPr>
        <w:t>的投标人的报价方能参与评标参考价的计算。将达到或超过入围合格分数线的投标报价由低至高进行排列，按以下公式计算评标参考价，计算公式如下：</w:t>
      </w:r>
    </w:p>
    <w:p>
      <w:pPr>
        <w:pBdr>
          <w:bottom w:val="single" w:color="auto" w:sz="4" w:space="0"/>
        </w:pBdr>
        <w:spacing w:line="360" w:lineRule="auto"/>
        <w:ind w:firstLine="470" w:firstLineChars="224"/>
        <w:rPr>
          <w:rFonts w:hint="eastAsia" w:ascii="宋体" w:hAnsi="宋体" w:cs="宋体"/>
          <w:sz w:val="21"/>
          <w:szCs w:val="21"/>
        </w:rPr>
      </w:pPr>
      <w:r>
        <w:rPr>
          <w:rFonts w:hint="eastAsia" w:ascii="宋体" w:hAnsi="宋体" w:cs="宋体"/>
          <w:sz w:val="21"/>
          <w:szCs w:val="21"/>
        </w:rPr>
        <w:t>评标参考价=（</w:t>
      </w:r>
      <w:r>
        <w:rPr>
          <w:rFonts w:ascii="宋体" w:hAnsi="宋体" w:cs="仿宋"/>
          <w:color w:val="000000" w:themeColor="text1"/>
          <w:kern w:val="0"/>
          <w:sz w:val="21"/>
          <w:szCs w:val="21"/>
          <w14:textFill>
            <w14:solidFill>
              <w14:schemeClr w14:val="tx1"/>
            </w14:solidFill>
          </w14:textFill>
        </w:rPr>
        <w:t>Q</w:t>
      </w:r>
      <w:r>
        <w:rPr>
          <w:rFonts w:hint="eastAsia" w:ascii="宋体" w:hAnsi="宋体" w:cs="仿宋"/>
          <w:color w:val="000000" w:themeColor="text1"/>
          <w:kern w:val="0"/>
          <w:sz w:val="21"/>
          <w:szCs w:val="21"/>
          <w:vertAlign w:val="subscript"/>
          <w14:textFill>
            <w14:solidFill>
              <w14:schemeClr w14:val="tx1"/>
            </w14:solidFill>
          </w14:textFill>
        </w:rPr>
        <w:t>高</w:t>
      </w:r>
      <w:r>
        <w:rPr>
          <w:rFonts w:hint="eastAsia" w:ascii="宋体" w:hAnsi="宋体" w:cs="宋体"/>
          <w:sz w:val="21"/>
          <w:szCs w:val="21"/>
        </w:rPr>
        <w:t>-</w:t>
      </w:r>
      <w:r>
        <w:rPr>
          <w:rFonts w:ascii="宋体" w:hAnsi="宋体" w:cs="仿宋"/>
          <w:color w:val="000000" w:themeColor="text1"/>
          <w:sz w:val="21"/>
          <w:szCs w:val="21"/>
          <w14:textFill>
            <w14:solidFill>
              <w14:schemeClr w14:val="tx1"/>
            </w14:solidFill>
          </w14:textFill>
        </w:rPr>
        <w:t>Q</w:t>
      </w:r>
      <w:r>
        <w:rPr>
          <w:rFonts w:hint="eastAsia" w:ascii="宋体" w:hAnsi="宋体" w:cs="仿宋"/>
          <w:color w:val="000000" w:themeColor="text1"/>
          <w:sz w:val="21"/>
          <w:szCs w:val="21"/>
          <w:vertAlign w:val="subscript"/>
          <w14:textFill>
            <w14:solidFill>
              <w14:schemeClr w14:val="tx1"/>
            </w14:solidFill>
          </w14:textFill>
        </w:rPr>
        <w:t>低</w:t>
      </w:r>
      <w:r>
        <w:rPr>
          <w:rFonts w:hint="eastAsia" w:ascii="宋体" w:hAnsi="宋体" w:cs="宋体"/>
          <w:sz w:val="21"/>
          <w:szCs w:val="21"/>
        </w:rPr>
        <w:t>）/100*Ｘ+</w:t>
      </w:r>
      <w:r>
        <w:rPr>
          <w:rFonts w:ascii="宋体" w:hAnsi="宋体" w:cs="仿宋"/>
          <w:color w:val="000000" w:themeColor="text1"/>
          <w:sz w:val="21"/>
          <w:szCs w:val="21"/>
          <w14:textFill>
            <w14:solidFill>
              <w14:schemeClr w14:val="tx1"/>
            </w14:solidFill>
          </w14:textFill>
        </w:rPr>
        <w:t>Q</w:t>
      </w:r>
      <w:r>
        <w:rPr>
          <w:rFonts w:hint="eastAsia" w:ascii="宋体" w:hAnsi="宋体" w:cs="仿宋"/>
          <w:color w:val="000000" w:themeColor="text1"/>
          <w:sz w:val="21"/>
          <w:szCs w:val="21"/>
          <w:vertAlign w:val="subscript"/>
          <w14:textFill>
            <w14:solidFill>
              <w14:schemeClr w14:val="tx1"/>
            </w14:solidFill>
          </w14:textFill>
        </w:rPr>
        <w:t>低</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ascii="宋体" w:hAnsi="宋体" w:cs="仿宋"/>
          <w:color w:val="000000" w:themeColor="text1"/>
          <w:sz w:val="21"/>
          <w:szCs w:val="21"/>
          <w14:textFill>
            <w14:solidFill>
              <w14:schemeClr w14:val="tx1"/>
            </w14:solidFill>
          </w14:textFill>
        </w:rPr>
        <w:t>Q</w:t>
      </w:r>
      <w:r>
        <w:rPr>
          <w:rFonts w:hint="eastAsia" w:ascii="宋体" w:hAnsi="宋体" w:cs="仿宋"/>
          <w:color w:val="000000" w:themeColor="text1"/>
          <w:sz w:val="21"/>
          <w:szCs w:val="21"/>
          <w:vertAlign w:val="subscript"/>
          <w14:textFill>
            <w14:solidFill>
              <w14:schemeClr w14:val="tx1"/>
            </w14:solidFill>
          </w14:textFill>
        </w:rPr>
        <w:t>低</w:t>
      </w:r>
      <w:r>
        <w:rPr>
          <w:rFonts w:hint="eastAsia" w:ascii="宋体" w:hAnsi="宋体" w:cs="宋体"/>
          <w:sz w:val="21"/>
          <w:szCs w:val="21"/>
        </w:rPr>
        <w:t>：为达到或超过入围合格分数线的投标人最低报价与工程成本警示价两者中的较高值；</w:t>
      </w:r>
      <w:r>
        <w:rPr>
          <w:rFonts w:hint="eastAsia" w:ascii="宋体" w:hAnsi="宋体" w:cs="宋体"/>
          <w:b/>
          <w:bCs/>
          <w:sz w:val="21"/>
          <w:szCs w:val="21"/>
          <w:highlight w:val="none"/>
          <w:u w:val="single"/>
        </w:rPr>
        <w:t>如投标人均没有达到入围合格分数线的，则</w:t>
      </w:r>
      <w:r>
        <w:rPr>
          <w:rFonts w:ascii="宋体" w:hAnsi="宋体" w:cs="仿宋"/>
          <w:b/>
          <w:bCs/>
          <w:color w:val="000000" w:themeColor="text1"/>
          <w:sz w:val="21"/>
          <w:szCs w:val="21"/>
          <w:u w:val="single"/>
          <w14:textFill>
            <w14:solidFill>
              <w14:schemeClr w14:val="tx1"/>
            </w14:solidFill>
          </w14:textFill>
        </w:rPr>
        <w:t>Q</w:t>
      </w:r>
      <w:r>
        <w:rPr>
          <w:rFonts w:hint="eastAsia" w:ascii="宋体" w:hAnsi="宋体" w:cs="仿宋"/>
          <w:b/>
          <w:bCs/>
          <w:color w:val="000000" w:themeColor="text1"/>
          <w:sz w:val="21"/>
          <w:szCs w:val="21"/>
          <w:u w:val="single"/>
          <w:vertAlign w:val="subscript"/>
          <w14:textFill>
            <w14:solidFill>
              <w14:schemeClr w14:val="tx1"/>
            </w14:solidFill>
          </w14:textFill>
        </w:rPr>
        <w:t>低</w:t>
      </w:r>
      <w:r>
        <w:rPr>
          <w:rFonts w:hint="eastAsia" w:ascii="宋体" w:hAnsi="宋体" w:cs="宋体"/>
          <w:b/>
          <w:bCs/>
          <w:sz w:val="21"/>
          <w:szCs w:val="21"/>
          <w:highlight w:val="none"/>
          <w:u w:val="single"/>
        </w:rPr>
        <w:t>为工程成本警示价。</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ascii="宋体" w:hAnsi="宋体" w:cs="仿宋"/>
          <w:color w:val="000000" w:themeColor="text1"/>
          <w:kern w:val="0"/>
          <w:sz w:val="21"/>
          <w:szCs w:val="21"/>
          <w14:textFill>
            <w14:solidFill>
              <w14:schemeClr w14:val="tx1"/>
            </w14:solidFill>
          </w14:textFill>
        </w:rPr>
        <w:t>Q</w:t>
      </w:r>
      <w:r>
        <w:rPr>
          <w:rFonts w:hint="eastAsia" w:ascii="宋体" w:hAnsi="宋体" w:cs="仿宋"/>
          <w:color w:val="000000" w:themeColor="text1"/>
          <w:kern w:val="0"/>
          <w:sz w:val="21"/>
          <w:szCs w:val="21"/>
          <w:vertAlign w:val="subscript"/>
          <w14:textFill>
            <w14:solidFill>
              <w14:schemeClr w14:val="tx1"/>
            </w14:solidFill>
          </w14:textFill>
        </w:rPr>
        <w:t>高</w:t>
      </w:r>
      <w:r>
        <w:rPr>
          <w:rFonts w:hint="eastAsia" w:ascii="宋体" w:hAnsi="宋体" w:cs="宋体"/>
          <w:sz w:val="21"/>
          <w:szCs w:val="21"/>
        </w:rPr>
        <w:t>：最高投标限价</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X：为等分点值，在开标前从[0,100]整数中随机抽取</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auto"/>
        <w:ind w:firstLine="420" w:firstLineChars="200"/>
        <w:textAlignment w:val="auto"/>
        <w:rPr>
          <w:strike/>
          <w:sz w:val="21"/>
          <w:szCs w:val="21"/>
        </w:rPr>
      </w:pPr>
      <w:r>
        <w:rPr>
          <w:rFonts w:hint="eastAsia" w:ascii="宋体" w:hAnsi="宋体" w:cs="宋体"/>
          <w:sz w:val="21"/>
          <w:szCs w:val="21"/>
        </w:rPr>
        <w:t>42.4.2.2当标价等于评标参考价时得100分，标价每高于评标参考价1%，扣1.5分，每低于评标参考价1%，扣1分，扣至0分为止，得出经济分，精确到小数点后两位。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sz w:val="21"/>
          <w:szCs w:val="21"/>
          <w:lang w:val="en-US" w:eastAsia="zh-CN"/>
        </w:rPr>
      </w:pPr>
      <w:r>
        <w:rPr>
          <w:rFonts w:hint="eastAsia" w:ascii="宋体" w:hAnsi="宋体" w:cs="宋体"/>
          <w:b/>
          <w:sz w:val="21"/>
          <w:szCs w:val="21"/>
        </w:rPr>
        <w:t>条款号：</w:t>
      </w:r>
      <w:r>
        <w:rPr>
          <w:rFonts w:hint="eastAsia" w:ascii="宋体" w:hAnsi="宋体" w:eastAsia="宋体" w:cs="宋体"/>
          <w:b/>
          <w:sz w:val="21"/>
          <w:szCs w:val="21"/>
          <w:highlight w:val="none"/>
        </w:rPr>
        <w:t xml:space="preserve">                    </w:t>
      </w:r>
      <w:r>
        <w:rPr>
          <w:rFonts w:hint="eastAsia" w:ascii="宋体" w:hAnsi="宋体" w:cs="宋体"/>
          <w:b/>
          <w:sz w:val="21"/>
          <w:szCs w:val="21"/>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 xml:space="preserve">附表一：《资格审查表》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 xml:space="preserve">附表二：《技术标有效性审查表》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 xml:space="preserve">附表三：《经济标有效性审查表》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 w:val="21"/>
          <w:szCs w:val="21"/>
        </w:rPr>
      </w:pPr>
      <w:r>
        <w:rPr>
          <w:rFonts w:hint="eastAsia" w:ascii="宋体" w:hAnsi="宋体" w:cs="宋体"/>
          <w:b/>
          <w:sz w:val="21"/>
          <w:szCs w:val="21"/>
        </w:rPr>
        <w:t xml:space="preserve">附表四：《技术标详细审查评分表》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详见原范本附表一：《资格审查表》    附表二：《技术标有效性审查表》   附表三：《经济标有效性审查表》   附表四：《技术标详细审查评分表》。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sz w:val="21"/>
          <w:szCs w:val="21"/>
        </w:rPr>
      </w:pPr>
      <w:r>
        <w:rPr>
          <w:rFonts w:hint="eastAsia" w:ascii="宋体" w:hAnsi="宋体" w:cs="宋体"/>
          <w:b/>
          <w:sz w:val="21"/>
          <w:szCs w:val="21"/>
        </w:rPr>
        <w:t>现文：</w:t>
      </w:r>
      <w:r>
        <w:rPr>
          <w:rFonts w:hint="eastAsia" w:ascii="宋体" w:hAnsi="宋体" w:cs="宋体"/>
          <w:b w:val="0"/>
          <w:bCs/>
          <w:sz w:val="21"/>
          <w:szCs w:val="21"/>
        </w:rPr>
        <w:t>详见本招标文件附表一：《资格审查表》    附表二：《技术标有效性审查表》   附表三：《经济标有效性审查表》   附表四：《第一阶段详细审查评分表》。</w:t>
      </w:r>
    </w:p>
    <w:p>
      <w:pPr>
        <w:spacing w:line="336" w:lineRule="auto"/>
        <w:ind w:firstLine="241" w:firstLineChars="100"/>
        <w:rPr>
          <w:rFonts w:hint="eastAsia" w:ascii="宋体" w:hAnsi="宋体" w:cs="仿宋"/>
          <w:b/>
          <w:sz w:val="24"/>
          <w:szCs w:val="24"/>
        </w:rPr>
      </w:pPr>
      <w:r>
        <w:rPr>
          <w:rFonts w:hint="eastAsia" w:ascii="宋体" w:hAnsi="宋体" w:cs="仿宋"/>
          <w:b/>
          <w:sz w:val="24"/>
          <w:szCs w:val="24"/>
        </w:rPr>
        <w:t>注：以上修改，仅限于本范本中有可供选择条款的情形。</w:t>
      </w:r>
    </w:p>
    <w:p>
      <w:pPr>
        <w:spacing w:line="336" w:lineRule="auto"/>
        <w:rPr>
          <w:rFonts w:hint="eastAsia" w:ascii="宋体" w:hAnsi="宋体" w:cs="仿宋"/>
          <w:sz w:val="24"/>
          <w:szCs w:val="24"/>
        </w:rPr>
      </w:pPr>
      <w:r>
        <w:rPr>
          <w:rFonts w:hint="eastAsia" w:ascii="宋体" w:hAnsi="宋体" w:cs="仿宋"/>
          <w:b/>
          <w:sz w:val="24"/>
          <w:szCs w:val="24"/>
        </w:rPr>
        <w:t>（以下无正文）</w:t>
      </w:r>
    </w:p>
    <w:p>
      <w:pPr>
        <w:pStyle w:val="10"/>
        <w:spacing w:line="360" w:lineRule="auto"/>
        <w:ind w:left="0" w:leftChars="0" w:firstLine="0" w:firstLineChars="0"/>
        <w:rPr>
          <w:color w:val="000000" w:themeColor="text1"/>
          <w14:textFill>
            <w14:solidFill>
              <w14:schemeClr w14:val="tx1"/>
            </w14:solidFill>
          </w14:textFill>
        </w:rPr>
      </w:pPr>
    </w:p>
    <w:p>
      <w:pPr>
        <w:pStyle w:val="7"/>
        <w:keepNext/>
        <w:keepLines/>
        <w:pageBreakBefore w:val="0"/>
        <w:widowControl w:val="0"/>
        <w:kinsoku/>
        <w:wordWrap/>
        <w:overflowPunct/>
        <w:topLinePunct w:val="0"/>
        <w:autoSpaceDE/>
        <w:autoSpaceDN/>
        <w:bidi w:val="0"/>
        <w:adjustRightInd/>
        <w:snapToGrid/>
        <w:spacing w:before="157" w:beforeLines="50" w:after="157" w:afterLines="50" w:line="440" w:lineRule="exact"/>
        <w:ind w:left="0"/>
        <w:textAlignment w:val="auto"/>
        <w:rPr>
          <w:rFonts w:hint="eastAsia"/>
          <w:color w:val="000000" w:themeColor="text1"/>
          <w14:textFill>
            <w14:solidFill>
              <w14:schemeClr w14:val="tx1"/>
            </w14:solidFill>
          </w14:textFill>
        </w:rPr>
      </w:pPr>
      <w:bookmarkStart w:id="34" w:name="_Toc2272556"/>
      <w:bookmarkStart w:id="35" w:name="_Toc3360"/>
      <w:bookmarkStart w:id="36" w:name="_Toc21525500"/>
      <w:r>
        <w:rPr>
          <w:rFonts w:hint="eastAsia"/>
          <w:color w:val="000000" w:themeColor="text1"/>
          <w14:textFill>
            <w14:solidFill>
              <w14:schemeClr w14:val="tx1"/>
            </w14:solidFill>
          </w14:textFill>
        </w:rPr>
        <w:t>二、开标、评标及定标办法通用条款</w:t>
      </w:r>
      <w:bookmarkEnd w:id="34"/>
      <w:bookmarkEnd w:id="35"/>
      <w:bookmarkEnd w:id="36"/>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b/>
          <w:bCs/>
          <w:color w:val="000000" w:themeColor="text1"/>
          <w:sz w:val="24"/>
          <w:szCs w:val="24"/>
          <w14:textFill>
            <w14:solidFill>
              <w14:schemeClr w14:val="tx1"/>
            </w14:solidFill>
          </w14:textFill>
        </w:rPr>
      </w:pPr>
      <w:bookmarkStart w:id="37" w:name="_Toc9758"/>
      <w:bookmarkStart w:id="38" w:name="_Toc21525501"/>
      <w:bookmarkStart w:id="39" w:name="_Toc2272557"/>
      <w:r>
        <w:rPr>
          <w:rFonts w:hint="eastAsia"/>
          <w:b/>
          <w:bCs/>
          <w:color w:val="000000" w:themeColor="text1"/>
          <w:sz w:val="24"/>
          <w:szCs w:val="24"/>
          <w14:textFill>
            <w14:solidFill>
              <w14:schemeClr w14:val="tx1"/>
            </w14:solidFill>
          </w14:textFill>
        </w:rPr>
        <w:t>（一）总则</w:t>
      </w:r>
      <w:bookmarkEnd w:id="37"/>
      <w:bookmarkEnd w:id="38"/>
      <w:bookmarkEnd w:id="39"/>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35</w:t>
      </w:r>
      <w:r>
        <w:rPr>
          <w:rFonts w:hint="eastAsia" w:ascii="宋体" w:hAnsi="宋体"/>
          <w:b/>
          <w:bCs/>
          <w:color w:val="000000" w:themeColor="text1"/>
          <w:sz w:val="24"/>
          <w:szCs w:val="24"/>
          <w14:textFill>
            <w14:solidFill>
              <w14:schemeClr w14:val="tx1"/>
            </w14:solidFill>
          </w14:textFill>
        </w:rPr>
        <w:t>．开标、评标及定标所依据的规则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《中华人民共和国招标投标法》；</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《中华人民共和国招标投标法实施条例》；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35.3</w:t>
      </w:r>
      <w:r>
        <w:rPr>
          <w:rFonts w:hint="eastAsia" w:ascii="宋体" w:hAnsi="宋体"/>
          <w:color w:val="000000" w:themeColor="text1"/>
          <w:sz w:val="24"/>
          <w:szCs w:val="24"/>
          <w14:textFill>
            <w14:solidFill>
              <w14:schemeClr w14:val="tx1"/>
            </w14:solidFill>
          </w14:textFill>
        </w:rPr>
        <w:t>《评标委员会和评标方法暂行规定》（七部委第</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《工程建设项目施工招标投标办法》（七部委</w:t>
      </w:r>
      <w:r>
        <w:rPr>
          <w:rFonts w:ascii="宋体" w:hAnsi="宋体"/>
          <w:color w:val="000000" w:themeColor="text1"/>
          <w:sz w:val="24"/>
          <w:szCs w:val="24"/>
          <w14:textFill>
            <w14:solidFill>
              <w14:schemeClr w14:val="tx1"/>
            </w14:solidFill>
          </w14:textFill>
        </w:rPr>
        <w:t>2003</w:t>
      </w:r>
      <w:r>
        <w:rPr>
          <w:rFonts w:hint="eastAsia" w:ascii="宋体" w:hAnsi="宋体"/>
          <w:color w:val="000000" w:themeColor="text1"/>
          <w:sz w:val="24"/>
          <w:szCs w:val="24"/>
          <w14:textFill>
            <w14:solidFill>
              <w14:schemeClr w14:val="tx1"/>
            </w14:solidFill>
          </w14:textFill>
        </w:rPr>
        <w:t>年第</w:t>
      </w:r>
      <w:r>
        <w:rPr>
          <w:rFonts w:ascii="宋体" w:hAnsi="宋体"/>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35.5</w:t>
      </w:r>
      <w:r>
        <w:rPr>
          <w:rFonts w:hint="eastAsia" w:ascii="宋体" w:hAnsi="宋体"/>
          <w:color w:val="000000" w:themeColor="text1"/>
          <w:sz w:val="24"/>
          <w:szCs w:val="24"/>
          <w14:textFill>
            <w14:solidFill>
              <w14:schemeClr w14:val="tx1"/>
            </w14:solidFill>
          </w14:textFill>
        </w:rPr>
        <w:t>《广东省实施〈中华人民共和国招标投标法〉办法》；</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35.6</w:t>
      </w:r>
      <w:r>
        <w:rPr>
          <w:rFonts w:hint="eastAsia" w:ascii="宋体" w:hAnsi="宋体"/>
          <w:color w:val="000000" w:themeColor="text1"/>
          <w:sz w:val="24"/>
          <w:szCs w:val="24"/>
          <w14:textFill>
            <w14:solidFill>
              <w14:schemeClr w14:val="tx1"/>
            </w14:solidFill>
          </w14:textFill>
        </w:rPr>
        <w:t>《房屋建筑和市政基础设施工程施工招标投标管理办法》（建设部令第</w:t>
      </w:r>
      <w:r>
        <w:rPr>
          <w:rFonts w:ascii="宋体" w:hAnsi="宋体"/>
          <w:color w:val="000000" w:themeColor="text1"/>
          <w:sz w:val="24"/>
          <w:szCs w:val="24"/>
          <w14:textFill>
            <w14:solidFill>
              <w14:schemeClr w14:val="tx1"/>
            </w14:solidFill>
          </w14:textFill>
        </w:rPr>
        <w:t>89</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35.7</w:t>
      </w:r>
      <w:r>
        <w:rPr>
          <w:rFonts w:hint="eastAsia" w:ascii="宋体" w:hAnsi="宋体"/>
          <w:color w:val="000000" w:themeColor="text1"/>
          <w:sz w:val="24"/>
          <w:szCs w:val="24"/>
          <w14:textFill>
            <w14:solidFill>
              <w14:schemeClr w14:val="tx1"/>
            </w14:solidFill>
          </w14:textFill>
        </w:rPr>
        <w:t>《财政部</w:t>
      </w:r>
      <w:r>
        <w:rPr>
          <w:rFonts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工业和信息化部关于印发〈政府采购促进中小企业发展管理办法〉的通知》（财库〔</w:t>
      </w:r>
      <w:r>
        <w:rPr>
          <w:rFonts w:ascii="宋体" w:hAnsi="宋体"/>
          <w:color w:val="000000" w:themeColor="text1"/>
          <w:sz w:val="24"/>
          <w:szCs w:val="24"/>
          <w14:textFill>
            <w14:solidFill>
              <w14:schemeClr w14:val="tx1"/>
            </w14:solidFill>
          </w14:textFill>
        </w:rPr>
        <w:t>2020</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46</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8《广东省加强建设工程招标投标监督管理的若干规定》（粤发[2004]4号）；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35.9</w:t>
      </w:r>
      <w:r>
        <w:rPr>
          <w:rFonts w:hint="eastAsia" w:ascii="宋体" w:hAnsi="宋体"/>
          <w:color w:val="000000" w:themeColor="text1"/>
          <w:sz w:val="24"/>
          <w:szCs w:val="24"/>
          <w14:textFill>
            <w14:solidFill>
              <w14:schemeClr w14:val="tx1"/>
            </w14:solidFill>
          </w14:textFill>
        </w:rPr>
        <w:t>《广东省政府采购促进中小企业发展实施细则（试行）》</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10《广州市工程建设项目招标投标管理办法》（穗建规字〔2023〕12号）；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35.12本项目招标文件。</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36</w:t>
      </w:r>
      <w:r>
        <w:rPr>
          <w:rFonts w:hint="eastAsia" w:ascii="宋体" w:hAnsi="宋体"/>
          <w:b/>
          <w:bCs/>
          <w:color w:val="000000" w:themeColor="text1"/>
          <w:sz w:val="24"/>
          <w:szCs w:val="24"/>
          <w14:textFill>
            <w14:solidFill>
              <w14:schemeClr w14:val="tx1"/>
            </w14:solidFill>
          </w14:textFill>
        </w:rPr>
        <w:t>．开标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w:t>
      </w:r>
      <w:r>
        <w:rPr>
          <w:rFonts w:hint="eastAsia" w:ascii="宋体" w:hAnsi="宋体"/>
          <w:color w:val="000000" w:themeColor="text1"/>
          <w:sz w:val="24"/>
          <w:szCs w:val="24"/>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36.2</w:t>
      </w:r>
      <w:r>
        <w:rPr>
          <w:rFonts w:hint="eastAsia" w:ascii="宋体" w:hAnsi="宋体"/>
          <w:color w:val="000000" w:themeColor="text1"/>
          <w:sz w:val="24"/>
          <w:szCs w:val="24"/>
          <w14:textFill>
            <w14:solidFill>
              <w14:schemeClr w14:val="tx1"/>
            </w14:solidFill>
          </w14:textFill>
        </w:rPr>
        <w:t>招标人在招标文件要求提交投标文件的截止时间前收到的投标文件，开标时都当众予以解密、公布。</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36.4若递交投标文件的投标人不足3家，则重新组织招标。（当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36.5按下列程序进行开标：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36.5.2备用光盘的读取按投标须知前附表第36项的规定执行；</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36.5.4开标结束。</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37</w:t>
      </w:r>
      <w:r>
        <w:rPr>
          <w:rFonts w:hint="eastAsia" w:ascii="宋体" w:hAnsi="宋体"/>
          <w:b/>
          <w:bCs/>
          <w:color w:val="000000" w:themeColor="text1"/>
          <w:sz w:val="24"/>
          <w:szCs w:val="24"/>
          <w14:textFill>
            <w14:solidFill>
              <w14:schemeClr w14:val="tx1"/>
            </w14:solidFill>
          </w14:textFill>
        </w:rPr>
        <w:t>．评标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37.1</w:t>
      </w:r>
      <w:r>
        <w:rPr>
          <w:rFonts w:hint="eastAsia" w:ascii="宋体" w:hAnsi="宋体"/>
          <w:color w:val="000000" w:themeColor="text1"/>
          <w:sz w:val="24"/>
          <w:szCs w:val="24"/>
          <w14:textFill>
            <w14:solidFill>
              <w14:schemeClr w14:val="tx1"/>
            </w14:solidFill>
          </w14:textFill>
        </w:rPr>
        <w:t>评标委员会由招标人依法组建。</w:t>
      </w:r>
    </w:p>
    <w:p>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37.2评标委员会</w:t>
      </w:r>
      <w:r>
        <w:rPr>
          <w:rFonts w:hint="eastAsia" w:ascii="宋体" w:hAnsi="宋体"/>
          <w:bCs/>
          <w:color w:val="000000" w:themeColor="text1"/>
          <w:sz w:val="24"/>
          <w:szCs w:val="24"/>
          <w14:textFill>
            <w14:solidFill>
              <w14:schemeClr w14:val="tx1"/>
            </w14:solidFill>
          </w14:textFill>
        </w:rPr>
        <w:t>在开始评标前，应了解评标专家</w:t>
      </w:r>
      <w:r>
        <w:rPr>
          <w:rFonts w:ascii="宋体" w:hAnsi="宋体"/>
          <w:bCs/>
          <w:color w:val="000000" w:themeColor="text1"/>
          <w:sz w:val="24"/>
          <w:szCs w:val="24"/>
          <w14:textFill>
            <w14:solidFill>
              <w14:schemeClr w14:val="tx1"/>
            </w14:solidFill>
          </w14:textFill>
        </w:rPr>
        <w:t>的职责及守则</w:t>
      </w:r>
      <w:r>
        <w:rPr>
          <w:rFonts w:hint="eastAsia" w:ascii="宋体" w:hAnsi="宋体"/>
          <w:bCs/>
          <w:color w:val="000000" w:themeColor="text1"/>
          <w:sz w:val="24"/>
          <w:szCs w:val="24"/>
          <w14:textFill>
            <w14:solidFill>
              <w14:schemeClr w14:val="tx1"/>
            </w14:solidFill>
          </w14:textFill>
        </w:rPr>
        <w:t>，认真阅读附件</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评标委员会成员声明》的内容并签名，签字后方可进行评标。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37.3评标委员会的职责及守则：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根据评标细则，对</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进行认真评审，完成评审报告；</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向招标人报告评审意见，推荐合格的中标候选人。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w:t>
      </w:r>
      <w:r>
        <w:rPr>
          <w:rFonts w:hint="eastAsia" w:ascii="宋体" w:hAnsi="宋体"/>
          <w:bCs/>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.3</w:t>
      </w:r>
      <w:r>
        <w:rPr>
          <w:rFonts w:ascii="宋体" w:hAnsi="宋体"/>
          <w:b/>
          <w:bCs/>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全体参与评标人员：</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必须遵守评标纪律、不得泄密；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必须公正、不得循私；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.4.3 </w:t>
      </w:r>
      <w:r>
        <w:rPr>
          <w:rFonts w:hint="eastAsia" w:ascii="宋体" w:hAnsi="宋体"/>
          <w:color w:val="000000" w:themeColor="text1"/>
          <w:sz w:val="24"/>
          <w:szCs w:val="24"/>
          <w14:textFill>
            <w14:solidFill>
              <w14:schemeClr w14:val="tx1"/>
            </w14:solidFill>
          </w14:textFill>
        </w:rPr>
        <w:t>必须科学、不得草率；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.4.4 </w:t>
      </w:r>
      <w:r>
        <w:rPr>
          <w:rFonts w:hint="eastAsia" w:ascii="宋体" w:hAnsi="宋体"/>
          <w:color w:val="000000" w:themeColor="text1"/>
          <w:sz w:val="24"/>
          <w:szCs w:val="24"/>
          <w14:textFill>
            <w14:solidFill>
              <w14:schemeClr w14:val="tx1"/>
            </w14:solidFill>
          </w14:textFill>
        </w:rPr>
        <w:t>必须客观、不得带有成见；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.4.5 </w:t>
      </w:r>
      <w:r>
        <w:rPr>
          <w:rFonts w:hint="eastAsia" w:ascii="宋体" w:hAnsi="宋体"/>
          <w:color w:val="000000" w:themeColor="text1"/>
          <w:sz w:val="24"/>
          <w:szCs w:val="24"/>
          <w14:textFill>
            <w14:solidFill>
              <w14:schemeClr w14:val="tx1"/>
            </w14:solidFill>
          </w14:textFill>
        </w:rPr>
        <w:t>必须平等、不得强加于人；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37.3.4.6 必须严谨、不得随意马虎。</w:t>
      </w:r>
    </w:p>
    <w:p>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37.5评标结束后，评标委员会递交评标报告并依法推荐中标候选人。</w:t>
      </w:r>
      <w:r>
        <w:rPr>
          <w:rFonts w:ascii="宋体" w:hAnsi="宋体"/>
          <w:color w:val="000000" w:themeColor="text1"/>
          <w:sz w:val="24"/>
          <w:szCs w:val="24"/>
          <w14:textFill>
            <w14:solidFill>
              <w14:schemeClr w14:val="tx1"/>
            </w14:solidFill>
          </w14:textFill>
        </w:rPr>
        <w:t xml:space="preserve"> </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38</w:t>
      </w:r>
      <w:r>
        <w:rPr>
          <w:rFonts w:hint="eastAsia" w:ascii="宋体" w:hAnsi="宋体"/>
          <w:b/>
          <w:bCs/>
          <w:color w:val="000000" w:themeColor="text1"/>
          <w:sz w:val="24"/>
          <w:szCs w:val="24"/>
          <w14:textFill>
            <w14:solidFill>
              <w14:schemeClr w14:val="tx1"/>
            </w14:solidFill>
          </w14:textFill>
        </w:rPr>
        <w:t>．投标文件的澄清</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38.1</w:t>
      </w:r>
      <w:r>
        <w:rPr>
          <w:rFonts w:hint="eastAsia" w:ascii="宋体" w:hAnsi="宋体"/>
          <w:color w:val="000000" w:themeColor="text1"/>
          <w:sz w:val="24"/>
          <w:szCs w:val="24"/>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38.2</w:t>
      </w:r>
      <w:r>
        <w:rPr>
          <w:rFonts w:hint="eastAsia" w:ascii="宋体" w:hAnsi="宋体"/>
          <w:color w:val="000000" w:themeColor="text1"/>
          <w:sz w:val="24"/>
          <w:szCs w:val="24"/>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38.3</w:t>
      </w:r>
      <w:r>
        <w:rPr>
          <w:rFonts w:hint="eastAsia" w:ascii="宋体" w:hAnsi="宋体"/>
          <w:color w:val="000000" w:themeColor="text1"/>
          <w:sz w:val="24"/>
          <w:szCs w:val="24"/>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38.4</w:t>
      </w:r>
      <w:r>
        <w:rPr>
          <w:rFonts w:hint="eastAsia" w:ascii="宋体" w:hAnsi="宋体"/>
          <w:color w:val="000000" w:themeColor="text1"/>
          <w:sz w:val="24"/>
          <w:szCs w:val="24"/>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39</w:t>
      </w:r>
      <w:r>
        <w:rPr>
          <w:rFonts w:hint="eastAsia" w:ascii="宋体" w:hAnsi="宋体"/>
          <w:b/>
          <w:bCs/>
          <w:color w:val="000000" w:themeColor="text1"/>
          <w:sz w:val="24"/>
          <w:szCs w:val="24"/>
          <w14:textFill>
            <w14:solidFill>
              <w14:schemeClr w14:val="tx1"/>
            </w14:solidFill>
          </w14:textFill>
        </w:rPr>
        <w:t>．定标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39.1</w:t>
      </w:r>
      <w:r>
        <w:rPr>
          <w:rFonts w:hint="eastAsia" w:ascii="宋体" w:hAnsi="宋体"/>
          <w:color w:val="000000" w:themeColor="text1"/>
          <w:sz w:val="24"/>
          <w:szCs w:val="24"/>
          <w14:textFill>
            <w14:solidFill>
              <w14:schemeClr w14:val="tx1"/>
            </w14:solidFill>
          </w14:textFill>
        </w:rPr>
        <w:t>招标人根据评标委员会递交的评标报告，最终审定中标人。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39.2</w:t>
      </w:r>
      <w:r>
        <w:rPr>
          <w:rFonts w:hint="eastAsia" w:ascii="宋体" w:hAnsi="宋体"/>
          <w:color w:val="000000" w:themeColor="text1"/>
          <w:sz w:val="24"/>
          <w:szCs w:val="24"/>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39.3</w:t>
      </w:r>
      <w:r>
        <w:rPr>
          <w:rFonts w:hint="eastAsia" w:ascii="宋体" w:hAnsi="宋体"/>
          <w:color w:val="000000" w:themeColor="text1"/>
          <w:sz w:val="24"/>
          <w:szCs w:val="24"/>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39.4</w:t>
      </w:r>
      <w:r>
        <w:rPr>
          <w:rFonts w:hint="eastAsia" w:ascii="宋体" w:hAnsi="宋体"/>
          <w:color w:val="000000" w:themeColor="text1"/>
          <w:sz w:val="24"/>
          <w:szCs w:val="24"/>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39.5重新评标的，评标信息（含业绩、奖项等）仍以投标截止时投标人的信息为准。因特殊原因需要延长投标有效期，投标人拒绝延长投标有效期的，仍参与评标，但不被推荐为中标候选人。</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b/>
          <w:bCs/>
          <w:color w:val="000000" w:themeColor="text1"/>
          <w:sz w:val="24"/>
          <w:szCs w:val="24"/>
          <w14:textFill>
            <w14:solidFill>
              <w14:schemeClr w14:val="tx1"/>
            </w14:solidFill>
          </w14:textFill>
        </w:rPr>
      </w:pPr>
      <w:bookmarkStart w:id="40" w:name="_Toc2272558"/>
      <w:bookmarkStart w:id="41" w:name="_Toc3296"/>
      <w:bookmarkStart w:id="42" w:name="_Toc21525502"/>
      <w:r>
        <w:rPr>
          <w:rFonts w:hint="eastAsia"/>
          <w:b/>
          <w:bCs/>
          <w:color w:val="000000" w:themeColor="text1"/>
          <w:sz w:val="24"/>
          <w:szCs w:val="24"/>
          <w14:textFill>
            <w14:solidFill>
              <w14:schemeClr w14:val="tx1"/>
            </w14:solidFill>
          </w14:textFill>
        </w:rPr>
        <w:t>（二）开标评标办法程序和细则</w:t>
      </w:r>
      <w:bookmarkEnd w:id="40"/>
      <w:bookmarkEnd w:id="41"/>
      <w:bookmarkEnd w:id="42"/>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注：以下八种评标办法所述企业综合诚信评价分数即投标截止当日广州市工程招标行业协会网站上公布的企业综合诚信评价</w:t>
      </w:r>
      <w:r>
        <w:rPr>
          <w:rFonts w:ascii="宋体" w:hAnsi="宋体"/>
          <w:color w:val="000000" w:themeColor="text1"/>
          <w:sz w:val="24"/>
          <w:szCs w:val="24"/>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日诚信分。</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ind w:firstLine="480" w:firstLineChars="200"/>
        <w:textAlignment w:val="auto"/>
        <w:rPr>
          <w:rFonts w:hint="eastAsia"/>
          <w:color w:val="000000" w:themeColor="text1"/>
          <w:sz w:val="24"/>
          <w:szCs w:val="24"/>
          <w14:textFill>
            <w14:solidFill>
              <w14:schemeClr w14:val="tx1"/>
            </w14:solidFill>
          </w14:textFill>
        </w:rPr>
      </w:pPr>
      <w:bookmarkStart w:id="43" w:name="_Toc2272563"/>
      <w:bookmarkStart w:id="44" w:name="_Toc21525508"/>
      <w:bookmarkStart w:id="45" w:name="_Toc19160"/>
      <w:r>
        <w:rPr>
          <w:rFonts w:hint="eastAsia"/>
          <w:color w:val="000000" w:themeColor="text1"/>
          <w:sz w:val="24"/>
          <w:szCs w:val="24"/>
          <w14:textFill>
            <w14:solidFill>
              <w14:schemeClr w14:val="tx1"/>
            </w14:solidFill>
          </w14:textFill>
        </w:rPr>
        <w:t>可选办法六（适合综合评分法三，技术标与经济标同时开启）</w:t>
      </w:r>
      <w:bookmarkEnd w:id="43"/>
      <w:bookmarkEnd w:id="44"/>
      <w:bookmarkEnd w:id="45"/>
    </w:p>
    <w:p>
      <w:pPr>
        <w:pStyle w:val="5"/>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40．开标和评标程序：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40.1投标人递交技术标、经济标投标文件；</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40.2技术标与经济标投标文件同时公开开标；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40.3由评标委员会对所有已公开开标的投标人进行资格审查；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40.4技术标投标文件有效性审查；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40.5技术标详细审查评分；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40.6计算第一阶段得分，并按照总分从高到低排列先后次序，编写第一阶段评审报告；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40.7按投标须知前附表第25项规定，确定进入第二阶段评审的投标人；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40.8将进入第二阶段评审的投标人进行排序；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40.9按排序对经济标投标文件进行有效性审查（含投标报价算术校核），直至评出所有中标候选人；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40.10评标委员会编写评标报告，向招标人推荐中标候选人名单。</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41．开标细则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41.1开标由招标人主持；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41.2.1投标截止期前，各投标人递交投标文件（包括技术标投标文件、经济标投标文件）至</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交易平台。有关投标文件提交的事项详见第一章投标须知。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41.3按36.5.1的规定完成解密后，公布下列内容，并予以记录，记录提交评标委员会评审：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41.3.1开标时，公布：a、投标人名称；b、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41.4招标人对开标过程进行记录，并存档备查，投标人在开标记录上签字。</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41.5 招标人将上述符合要求的投标文件，送至评标委员会进行评审。</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42</w:t>
      </w:r>
      <w:r>
        <w:rPr>
          <w:rFonts w:hint="eastAsia" w:ascii="宋体" w:hAnsi="宋体"/>
          <w:b/>
          <w:bCs/>
          <w:color w:val="000000" w:themeColor="text1"/>
          <w:sz w:val="24"/>
          <w:szCs w:val="24"/>
          <w14:textFill>
            <w14:solidFill>
              <w14:schemeClr w14:val="tx1"/>
            </w14:solidFill>
          </w14:textFill>
        </w:rPr>
        <w:t>．评标细则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42.1评标委员会的组成：方式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方式一：评标委员会为综合评标委员会，负责评标工作。</w:t>
      </w:r>
    </w:p>
    <w:p>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方式二：评标委员会由技术评审组和经济评审组组成。其中：资格审查、技术评审由技术评标组负责，经济评审由经济评审组负责。</w:t>
      </w:r>
      <w:r>
        <w:rPr>
          <w:rFonts w:hint="eastAsia" w:ascii="宋体" w:hAnsi="宋体" w:cs="宋体"/>
          <w:color w:val="000000" w:themeColor="text1"/>
          <w:kern w:val="0"/>
          <w:sz w:val="24"/>
          <w:szCs w:val="24"/>
          <w14:textFill>
            <w14:solidFill>
              <w14:schemeClr w14:val="tx1"/>
            </w14:solidFill>
          </w14:textFill>
        </w:rPr>
        <w:t xml:space="preserve"> </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42.2投标人资格审查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42.2.2汇总资格审查情况，编写资格审查报告。</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 第一阶段评审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42.3</w:t>
      </w:r>
      <w:r>
        <w:rPr>
          <w:rFonts w:hint="eastAsia" w:ascii="宋体" w:hAnsi="宋体"/>
          <w:color w:val="000000" w:themeColor="text1"/>
          <w:sz w:val="24"/>
          <w:szCs w:val="24"/>
          <w14:textFill>
            <w14:solidFill>
              <w14:schemeClr w14:val="tx1"/>
            </w14:solidFill>
          </w14:textFill>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42.3.2</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详细审查评分：评标委员会按照本办法附表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详细审查评分表》对通过技术标有效性审查的投标文件进行详细审查，评出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得分。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42.3.4评标委员会按照“第一阶段得分=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42.3.5招标人应在《投标须知前附表》中明确选择使用施工企业总排名或相应的施工专业承包排名计分。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w:t>
      </w:r>
      <w:r>
        <w:rPr>
          <w:rFonts w:hint="eastAsia" w:ascii="宋体" w:hAnsi="宋体"/>
          <w:color w:val="000000" w:themeColor="text1"/>
          <w:sz w:val="24"/>
          <w:szCs w:val="24"/>
          <w14:textFill>
            <w14:solidFill>
              <w14:schemeClr w14:val="tx1"/>
            </w14:solidFill>
          </w14:textFill>
        </w:rPr>
        <w:t>第二阶段评审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42.4.1</w:t>
      </w:r>
      <w:r>
        <w:rPr>
          <w:rFonts w:hint="eastAsia" w:ascii="宋体" w:hAnsi="宋体"/>
          <w:color w:val="000000" w:themeColor="text1"/>
          <w:sz w:val="24"/>
          <w:szCs w:val="24"/>
          <w14:textFill>
            <w14:solidFill>
              <w14:schemeClr w14:val="tx1"/>
            </w14:solidFill>
          </w14:textFill>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42.4.2投标文件经济标的评分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42.4.2.1计算评标参考价</w:t>
      </w:r>
    </w:p>
    <w:p>
      <w:pPr>
        <w:widowControl/>
        <w:spacing w:line="360" w:lineRule="auto"/>
        <w:ind w:firstLine="482" w:firstLineChars="200"/>
        <w:rPr>
          <w:rFonts w:hint="eastAsia" w:ascii="宋体" w:hAnsi="宋体"/>
          <w:b/>
          <w:bCs/>
          <w:color w:val="000000" w:themeColor="text1"/>
          <w:kern w:val="0"/>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区间抽取法：</w:t>
      </w:r>
    </w:p>
    <w:p>
      <w:pPr>
        <w:widowControl/>
        <w:snapToGrid w:val="0"/>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color w:val="000000" w:themeColor="text1"/>
          <w:kern w:val="0"/>
          <w:sz w:val="24"/>
          <w:szCs w:val="24"/>
          <w:vertAlign w:val="subscript"/>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评标参考价</w:t>
      </w:r>
      <w:r>
        <w:rPr>
          <w:rFonts w:ascii="宋体" w:hAnsi="宋体" w:cs="仿宋"/>
          <w:color w:val="000000" w:themeColor="text1"/>
          <w:kern w:val="0"/>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/100*</w:t>
      </w:r>
      <w:r>
        <w:rPr>
          <w:rFonts w:hint="eastAsia" w:ascii="宋体" w:hAnsi="宋体" w:cs="仿宋"/>
          <w:color w:val="000000" w:themeColor="text1"/>
          <w:kern w:val="0"/>
          <w:sz w:val="24"/>
          <w:szCs w:val="24"/>
          <w14:textFill>
            <w14:solidFill>
              <w14:schemeClr w14:val="tx1"/>
            </w14:solidFill>
          </w14:textFill>
        </w:rPr>
        <w:t>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p>
    <w:p>
      <w:pPr>
        <w:widowControl/>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仿宋"/>
          <w:color w:val="000000" w:themeColor="text1"/>
          <w:sz w:val="24"/>
          <w:szCs w:val="24"/>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仿宋"/>
          <w:color w:val="000000" w:themeColor="text1"/>
          <w:sz w:val="24"/>
          <w:szCs w:val="24"/>
          <w14:textFill>
            <w14:solidFill>
              <w14:schemeClr w14:val="tx1"/>
            </w14:solidFill>
          </w14:textFill>
        </w:rPr>
        <w:t>：最高投标限价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X</w:t>
      </w:r>
      <w:r>
        <w:rPr>
          <w:rFonts w:hint="eastAsia" w:ascii="宋体" w:hAnsi="宋体" w:cs="仿宋"/>
          <w:color w:val="000000" w:themeColor="text1"/>
          <w:sz w:val="24"/>
          <w:szCs w:val="24"/>
          <w14:textFill>
            <w14:solidFill>
              <w14:schemeClr w14:val="tx1"/>
            </w14:solidFill>
          </w14:textFill>
        </w:rPr>
        <w:t>：为等分点值，在开标前从</w:t>
      </w:r>
      <w:r>
        <w:rPr>
          <w:rFonts w:ascii="宋体" w:hAnsi="宋体" w:cs="仿宋"/>
          <w:color w:val="000000" w:themeColor="text1"/>
          <w:sz w:val="24"/>
          <w:szCs w:val="24"/>
          <w14:textFill>
            <w14:solidFill>
              <w14:schemeClr w14:val="tx1"/>
            </w14:solidFill>
          </w14:textFill>
        </w:rPr>
        <w:t>[0,100]</w:t>
      </w:r>
      <w:r>
        <w:rPr>
          <w:rFonts w:hint="eastAsia" w:ascii="宋体" w:hAnsi="宋体" w:cs="仿宋"/>
          <w:color w:val="000000" w:themeColor="text1"/>
          <w:sz w:val="24"/>
          <w:szCs w:val="24"/>
          <w14:textFill>
            <w14:solidFill>
              <w14:schemeClr w14:val="tx1"/>
            </w14:solidFill>
          </w14:textFill>
        </w:rPr>
        <w:t>整数中随机抽取</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42.4.2.2</w:t>
      </w:r>
      <w:r>
        <w:rPr>
          <w:rFonts w:hint="eastAsia" w:ascii="宋体" w:hAnsi="宋体"/>
          <w:color w:val="000000" w:themeColor="text1"/>
          <w:sz w:val="24"/>
          <w:szCs w:val="24"/>
          <w14:textFill>
            <w14:solidFill>
              <w14:schemeClr w14:val="tx1"/>
            </w14:solidFill>
          </w14:textFill>
        </w:rPr>
        <w:t>当标价等于评标参考价时得</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分，标价每高于评标参考价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分，每低于评标参考价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分，扣至</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分为止，得出经济分，精确到小数点后两位。</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42.4.2.3评标委员会按投标须知前附表第32项的规定确定排序。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4.4.1如果数字表示的金额和用文字表示的金额不一致时，应以文字表示的金额为准；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4.4.2经算术复核的投标人报价与其投标报价不一致时，按就低不就高原则确定其最终报价；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6评标委员会应在通过投标文件经济标有效性审查的投标人中，按步骤42.4确定的投标人第二阶段排序，推荐前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名依次为第一中标候选人至第三中标候选人，并编制评标报告。</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7若通过经济标有效性审查的投标人不足三家，应当依法重新招标。（当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N+2</w:t>
      </w:r>
      <w:r>
        <w:rPr>
          <w:rFonts w:hint="eastAsia" w:ascii="宋体" w:hAnsi="宋体"/>
          <w:color w:val="000000" w:themeColor="text1"/>
          <w:sz w:val="24"/>
          <w:szCs w:val="24"/>
          <w14:textFill>
            <w14:solidFill>
              <w14:schemeClr w14:val="tx1"/>
            </w14:solidFill>
          </w14:textFill>
        </w:rPr>
        <w:t>家，应当依法重新招标）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p>
    <w:p>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评标委员会成员声明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none"/>
          <w14:textFill>
            <w14:solidFill>
              <w14:schemeClr w14:val="tx1"/>
            </w14:solidFill>
          </w14:textFill>
        </w:rPr>
        <w:t>本项目招标人</w:t>
      </w:r>
      <w:r>
        <w:rPr>
          <w:rFonts w:hint="eastAsia" w:ascii="宋体" w:hAnsi="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本人就参与</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项目的评标工作，作出郑重声明：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如果本人违反上述声明内容，造成的后果由本人自行承担。</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b/>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声明人：</w:t>
      </w:r>
      <w:r>
        <w:rPr>
          <w:rFonts w:hint="eastAsia" w:ascii="宋体" w:hAnsi="宋体" w:cs="宋体"/>
          <w:b/>
          <w:color w:val="000000" w:themeColor="text1"/>
          <w:sz w:val="24"/>
          <w:szCs w:val="24"/>
          <w:u w:val="single"/>
          <w14:textFill>
            <w14:solidFill>
              <w14:schemeClr w14:val="tx1"/>
            </w14:solidFill>
          </w14:textFill>
        </w:rPr>
        <w:t>（签名）</w:t>
      </w:r>
      <w:r>
        <w:rPr>
          <w:rFonts w:ascii="宋体" w:hAnsi="宋体" w:cs="宋体"/>
          <w:b/>
          <w:color w:val="000000" w:themeColor="text1"/>
          <w:sz w:val="24"/>
          <w:szCs w:val="24"/>
          <w:u w:val="single"/>
          <w14:textFill>
            <w14:solidFill>
              <w14:schemeClr w14:val="tx1"/>
            </w14:solidFill>
          </w14:textFill>
        </w:rPr>
        <w:t xml:space="preserve">  </w:t>
      </w:r>
    </w:p>
    <w:p>
      <w:pPr>
        <w:widowControl/>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附表一：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资格审查表</w:t>
      </w:r>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投标人名称：</w:t>
      </w:r>
    </w:p>
    <w:tbl>
      <w:tblPr>
        <w:tblStyle w:val="36"/>
        <w:tblW w:w="10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913"/>
        <w:gridCol w:w="449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91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审查项目</w:t>
            </w:r>
          </w:p>
        </w:tc>
        <w:tc>
          <w:tcPr>
            <w:tcW w:w="449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须审查的资料</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投标人参加投标的意思表达清楚，投标人代表被授权有效</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投标人声明、法定代表人证明书；委托投标的还应提供法人授权委托证明书</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投标人均具有独立法人资格，按国家法律经营</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营业执照扫描件或电子证照</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投标人均持有建设行政主管部门颁发的有效期内的企业资质证书及安全生产许可证；投标人资质符合公告要求</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资质证书扫描件或电子证照、安全生产许可证扫描件或电子证照</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投标人拟担任本工程项目负责人符合公告要求</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有效期内的建造师注册证书扫描件或电子证书（注：打印建造师电子证书后，在个人签名处手写本人签名再扫描提交。）</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持有项目负责人安全生产考核合格证（B类）或建筑施工企业项目负责人安全生产考核合格证</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项目负责人安全生产考核合格证（B类）或建筑施工企业项目负责人安全生产考核合格证证书扫描件或电子证书</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投标人拟担任本工程技术负责人符合公告要求</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拟委托技术负责人的相关证书、资料</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专职安全员须具有安全生产考核合格证（</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证）或建筑施工企业专职安全生产管理人员安全生产考核合格证（C3）</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专职安全员的安全生产考核合格证（C类）或建筑施工企业专职安全生产管理人员安全生产考核合格证证书（C3）扫描件或电子证书</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投标人提供的投标人声明符合公告要求</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投标人声明中签字的项目负责人和技术负责人与本项目拟派的项目负责人和技术负责人一致</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网上投标时选择拟投标的项目负责人、资格审查文件中拟委派的技术负责人及投标人声明</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关于联合体投标</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rPr>
              <w:t>本项目不允许联合体投标</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资格审查前，投标人须</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广州市住房和城乡建设局建立企业信用档案及拟担任本工程项目负责人、专职安全员须是本企业中的在册人员</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投标人在广州市住建行业信用管理平台内企业信用档案的企业和人员信息</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投标人未出现以下情形：与其它投标人的单位负责人为同一人或者存在控股、管理关系的（按投标人提供的《投标人声明》第九条内容进行评审）。</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49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未被列入拖欠农民工工资失信联合惩戒对象名单。</w:t>
            </w:r>
          </w:p>
        </w:tc>
        <w:tc>
          <w:tcPr>
            <w:tcW w:w="4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投标人无需提供资料，按投标截止时间交易系统比对的结果进行评审</w:t>
            </w:r>
          </w:p>
        </w:tc>
        <w:tc>
          <w:tcPr>
            <w:tcW w:w="70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每一项目符合的打“○”，不符合的打“×”；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若评委意见不一致时，则按少数服从多数的原则，作出评审结论。汇总后，出现一个“×”的结论为“不通过”。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000000" w:themeColor="text1"/>
          <w14:textFill>
            <w14:solidFill>
              <w14:schemeClr w14:val="tx1"/>
            </w14:solidFill>
          </w14:textFill>
        </w:rPr>
        <w:sectPr>
          <w:footerReference r:id="rId9" w:type="first"/>
          <w:footerReference r:id="rId8" w:type="default"/>
          <w:endnotePr>
            <w:numFmt w:val="decimal"/>
          </w:endnotePr>
          <w:pgSz w:w="11906" w:h="16838"/>
          <w:pgMar w:top="1440" w:right="1080" w:bottom="1440" w:left="1080" w:header="851" w:footer="907" w:gutter="0"/>
          <w:pgNumType w:fmt="decimal" w:start="1"/>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附表二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技术标有效性审查表</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tbl>
      <w:tblPr>
        <w:tblStyle w:val="36"/>
        <w:tblW w:w="10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544"/>
        <w:gridCol w:w="526"/>
        <w:gridCol w:w="526"/>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8544"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《广州建设工程施工招标投标书》中的投标总工期不符合招标文件要求的；</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《广州建设工程施工招标投标书》中的工程质量标准不符合招标文件要求的；</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投标文件中没有有效的法定代表人证明书，或由委托代理人签署的投标文件中没有法定代表人授权书；</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w:t>
            </w:r>
            <w:r>
              <w:rPr>
                <w:rFonts w:hint="eastAsia" w:ascii="宋体" w:hAnsi="宋体"/>
                <w:color w:val="000000" w:themeColor="text1"/>
                <w:szCs w:val="21"/>
                <w:u w:val="single"/>
                <w14:textFill>
                  <w14:solidFill>
                    <w14:schemeClr w14:val="tx1"/>
                  </w14:solidFill>
                </w14:textFill>
              </w:rPr>
              <w:t>（第四章投标文件格式中附件一、附件二、附件三、格式十）</w:t>
            </w:r>
            <w:r>
              <w:rPr>
                <w:rFonts w:hint="eastAsia" w:ascii="宋体" w:hAnsi="宋体"/>
                <w:color w:val="000000" w:themeColor="text1"/>
                <w:szCs w:val="21"/>
                <w14:textFill>
                  <w14:solidFill>
                    <w14:schemeClr w14:val="tx1"/>
                  </w14:solidFill>
                </w14:textFill>
              </w:rPr>
              <w:t>填写，或主要内容不全，或关键字迹模糊、无法辨认的；</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shd w:val="pct10" w:color="auto" w:fill="FFFFFF"/>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shd w:val="pct10" w:color="auto" w:fill="FFFFFF"/>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无《参与编制技术标投标文件人员名单》的</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投标人未按要求提交投标保证金的</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8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投标人与本项目其他投标人加密打包投标文件电脑机器特征码一致的（以交易平台评标系统的检索信息为准）</w:t>
            </w: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c>
          <w:tcPr>
            <w:tcW w:w="526" w:type="dxa"/>
            <w:tcBorders>
              <w:top w:val="single" w:color="auto" w:sz="4" w:space="0"/>
              <w:left w:val="single" w:color="auto" w:sz="4" w:space="0"/>
              <w:bottom w:val="single" w:color="auto" w:sz="4" w:space="0"/>
              <w:right w:val="single" w:color="auto" w:sz="4" w:space="0"/>
            </w:tcBorders>
            <w:vAlign w:val="top"/>
          </w:tcPr>
          <w:p>
            <w:pPr>
              <w:adjustRightInd w:val="0"/>
              <w:rPr>
                <w:rFonts w:hint="eastAsia" w:ascii="宋体" w:hAnsi="宋体"/>
                <w:color w:val="000000" w:themeColor="text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备</w:t>
      </w:r>
      <w:r>
        <w:rPr>
          <w:rFonts w:hint="eastAsia" w:ascii="宋体" w:hAnsi="宋体"/>
          <w:color w:val="000000" w:themeColor="text1"/>
          <w:szCs w:val="21"/>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1.本表使用GZZB2018-3招标文件范本，与范本内容不同之处均以下划线标明。技术标评审中，响应性、承诺性内容不应作为评分因素，可在该表中对上述内容进行符合性审查。审查标准须具备可操作性。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3.凡出现以上任何一项情形，结论均为无效，否则就为有效。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4.如对本表中某种情形的评审意见不一致时，以评标委员会过半数成员的意见作为评标委员会对该情形的认定结论。</w:t>
      </w:r>
      <w:r>
        <w:rPr>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附表三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经济标有效性审查表</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tbl>
      <w:tblPr>
        <w:tblStyle w:val="36"/>
        <w:tblW w:w="11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149"/>
        <w:gridCol w:w="423"/>
        <w:gridCol w:w="423"/>
        <w:gridCol w:w="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9149"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投标人</w:t>
            </w:r>
          </w:p>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对同一招标项目出现两个或以上的投标报价，且没有申明哪个有效；</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投标报价高于最高投标限价的</w:t>
            </w:r>
            <w:r>
              <w:rPr>
                <w:rFonts w:hint="eastAsia" w:ascii="宋体" w:hAnsi="宋体"/>
                <w:color w:val="000000" w:themeColor="text1"/>
                <w:szCs w:val="21"/>
                <w:u w:val="none"/>
                <w:lang w:eastAsia="zh-CN"/>
                <w14:textFill>
                  <w14:solidFill>
                    <w14:schemeClr w14:val="tx1"/>
                  </w14:solidFill>
                </w14:textFill>
              </w:rPr>
              <w:t>；</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ind w:left="0" w:leftChars="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投标报价低于成本的；</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投标文件未按规定的格式（第四章投标文件格式中附件二、附件三）填写，或主要内容不全，或关键字迹模糊、无法辨认的；</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无《参与编制经济标投标文件人员名单》的；</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无《对投标文件编制的承诺》；</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9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ind w:left="0" w:leftChars="0"/>
              <w:textAlignment w:val="auto"/>
              <w:rPr>
                <w:rFonts w:hint="eastAsia" w:ascii="宋体" w:hAnsi="宋体"/>
                <w:color w:val="000000" w:themeColor="text1"/>
                <w:szCs w:val="21"/>
                <w14:textFill>
                  <w14:solidFill>
                    <w14:schemeClr w14:val="tx1"/>
                  </w14:solidFill>
                </w14:textFill>
              </w:rPr>
            </w:pPr>
            <w:r>
              <w:rPr>
                <w:rFonts w:hint="eastAsia" w:ascii="宋体" w:hAnsi="宋体" w:cs="Times New Roman"/>
                <w:color w:val="000000"/>
                <w:szCs w:val="21"/>
                <w:u w:val="single"/>
              </w:rPr>
              <w:t>投标人与本项目其他投标人的投标文件工程量清单编制机器硬件信息一致的（以广州交易集团有限公司（广州公共资源交易中心</w:t>
            </w:r>
            <w:r>
              <w:rPr>
                <w:rFonts w:hint="eastAsia" w:ascii="宋体" w:hAnsi="宋体" w:cs="Times New Roman"/>
                <w:color w:val="000000"/>
                <w:szCs w:val="21"/>
                <w:u w:val="single"/>
                <w:lang w:eastAsia="zh-CN"/>
              </w:rPr>
              <w:t>）</w:t>
            </w:r>
            <w:r>
              <w:rPr>
                <w:rFonts w:hint="eastAsia" w:ascii="宋体" w:hAnsi="宋体" w:cs="Times New Roman"/>
                <w:color w:val="000000"/>
                <w:szCs w:val="21"/>
                <w:u w:val="single"/>
              </w:rPr>
              <w:t>交易平台评标系统的检索信息为准）</w:t>
            </w: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c>
          <w:tcPr>
            <w:tcW w:w="42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000000" w:themeColor="text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1.本表使用GZZB2018-3招标文件范本，与范本内容不同之处均以下划线标明。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2.凡出现以上任何一项情形，结论均为无效，否则就为有效。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3.如对本表中某种情形的评审意见不一致时，以评标委员会过半数成员的意见作为评标委员会对该情形的认定结论。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sectPr>
          <w:endnotePr>
            <w:numFmt w:val="decimal"/>
          </w:endnotePr>
          <w:pgSz w:w="11906" w:h="16838"/>
          <w:pgMar w:top="1247" w:right="1418" w:bottom="1134" w:left="1418" w:header="851" w:footer="907"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附表四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第一阶段详细审查评分表</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tbl>
      <w:tblPr>
        <w:tblStyle w:val="36"/>
        <w:tblW w:w="14921"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390"/>
        <w:gridCol w:w="642"/>
        <w:gridCol w:w="11561"/>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blHeader/>
          <w:jc w:val="center"/>
        </w:trPr>
        <w:tc>
          <w:tcPr>
            <w:tcW w:w="1328"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b/>
                <w:bCs/>
                <w:szCs w:val="21"/>
              </w:rPr>
            </w:pPr>
            <w:r>
              <w:rPr>
                <w:rStyle w:val="112"/>
                <w:rFonts w:hint="eastAsia" w:ascii="宋体" w:hAnsi="宋体" w:eastAsia="宋体" w:cs="宋体"/>
                <w:b/>
                <w:bCs/>
                <w:szCs w:val="21"/>
              </w:rPr>
              <w:t>评分项目</w:t>
            </w:r>
          </w:p>
        </w:tc>
        <w:tc>
          <w:tcPr>
            <w:tcW w:w="139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b/>
                <w:bCs/>
                <w:szCs w:val="21"/>
              </w:rPr>
            </w:pPr>
            <w:r>
              <w:rPr>
                <w:rStyle w:val="112"/>
                <w:rFonts w:hint="eastAsia" w:ascii="宋体" w:hAnsi="宋体" w:eastAsia="宋体" w:cs="宋体"/>
                <w:b/>
                <w:bCs/>
                <w:szCs w:val="21"/>
              </w:rPr>
              <w:t>评分内容</w:t>
            </w:r>
          </w:p>
        </w:tc>
        <w:tc>
          <w:tcPr>
            <w:tcW w:w="642"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b/>
                <w:bCs/>
                <w:szCs w:val="21"/>
              </w:rPr>
            </w:pPr>
            <w:r>
              <w:rPr>
                <w:rStyle w:val="112"/>
                <w:rFonts w:hint="eastAsia" w:ascii="宋体" w:hAnsi="宋体" w:eastAsia="宋体" w:cs="宋体"/>
                <w:b/>
                <w:bCs/>
                <w:szCs w:val="21"/>
              </w:rPr>
              <w:t>分值</w:t>
            </w:r>
          </w:p>
        </w:tc>
        <w:tc>
          <w:tcPr>
            <w:tcW w:w="11561"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b/>
                <w:bCs/>
                <w:szCs w:val="21"/>
              </w:rPr>
            </w:pPr>
            <w:r>
              <w:rPr>
                <w:rStyle w:val="112"/>
                <w:rFonts w:hint="eastAsia" w:ascii="宋体" w:hAnsi="宋体" w:eastAsia="宋体" w:cs="宋体"/>
                <w:b/>
                <w:bCs/>
                <w:szCs w:val="21"/>
              </w:rPr>
              <w:t>评审标准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tcBorders>
              <w:left w:val="single" w:color="000000" w:sz="8" w:space="0"/>
              <w:right w:val="single" w:color="000000"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r>
              <w:rPr>
                <w:rStyle w:val="112"/>
                <w:rFonts w:hint="eastAsia" w:ascii="宋体" w:hAnsi="宋体" w:eastAsia="宋体" w:cs="宋体"/>
                <w:szCs w:val="21"/>
              </w:rPr>
              <w:t>团队</w:t>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r>
              <w:rPr>
                <w:rStyle w:val="112"/>
                <w:rFonts w:hint="eastAsia" w:ascii="宋体" w:hAnsi="宋体" w:eastAsia="宋体" w:cs="宋体"/>
                <w:szCs w:val="21"/>
              </w:rPr>
              <w:t>答辩</w:t>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r>
              <w:rPr>
                <w:rStyle w:val="112"/>
                <w:rFonts w:hint="eastAsia" w:ascii="宋体" w:hAnsi="宋体" w:eastAsia="宋体" w:cs="宋体"/>
                <w:szCs w:val="21"/>
              </w:rPr>
              <w:t>(</w:t>
            </w:r>
            <w:r>
              <w:rPr>
                <w:rStyle w:val="112"/>
                <w:rFonts w:hint="eastAsia" w:ascii="宋体" w:hAnsi="宋体" w:eastAsia="宋体" w:cs="宋体"/>
                <w:szCs w:val="21"/>
                <w:lang w:val="en-US"/>
              </w:rPr>
              <w:t>20</w:t>
            </w:r>
            <w:r>
              <w:rPr>
                <w:rStyle w:val="112"/>
                <w:rFonts w:hint="eastAsia" w:ascii="宋体" w:hAnsi="宋体" w:eastAsia="宋体" w:cs="宋体"/>
                <w:szCs w:val="21"/>
              </w:rPr>
              <w:t>分)</w:t>
            </w:r>
          </w:p>
        </w:tc>
        <w:tc>
          <w:tcPr>
            <w:tcW w:w="1390"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rPr>
              <w:t>1、管理团队陈述；</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rPr>
              <w:t>2、评委针对其陈述内容及方案所提的相关问题</w:t>
            </w:r>
          </w:p>
        </w:tc>
        <w:tc>
          <w:tcPr>
            <w:tcW w:w="64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0</w:t>
            </w:r>
          </w:p>
        </w:tc>
        <w:tc>
          <w:tcPr>
            <w:tcW w:w="11561"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投标人委派本项目拟投入</w:t>
            </w:r>
            <w:r>
              <w:rPr>
                <w:rFonts w:hint="eastAsia" w:ascii="宋体" w:hAnsi="宋体" w:eastAsia="宋体" w:cs="宋体"/>
                <w:b/>
                <w:bCs/>
              </w:rPr>
              <w:t>项目负责人和项目技术负责人</w:t>
            </w:r>
            <w:r>
              <w:rPr>
                <w:rFonts w:hint="eastAsia" w:ascii="宋体" w:hAnsi="宋体" w:eastAsia="宋体" w:cs="宋体"/>
              </w:rPr>
              <w:t>为答辩人员进行现场答辩：</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1、管理团队陈述：</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答辩小组对本项目履约能力与履约水平的介绍，介绍时间不超过8分钟；介绍内容包括但不限于：</w:t>
            </w:r>
            <w:r>
              <w:rPr>
                <w:rFonts w:hint="eastAsia" w:ascii="宋体" w:hAnsi="宋体" w:eastAsia="宋体" w:cs="宋体"/>
                <w:kern w:val="0"/>
                <w:szCs w:val="21"/>
              </w:rPr>
              <w:t>施工组织方案要点</w:t>
            </w:r>
            <w:r>
              <w:rPr>
                <w:rFonts w:hint="eastAsia" w:ascii="宋体" w:hAnsi="宋体" w:eastAsia="宋体" w:cs="宋体"/>
                <w:kern w:val="0"/>
                <w:szCs w:val="21"/>
                <w:lang w:eastAsia="zh-CN"/>
              </w:rPr>
              <w:t>、</w:t>
            </w:r>
            <w:r>
              <w:rPr>
                <w:rFonts w:hint="eastAsia" w:ascii="宋体" w:hAnsi="宋体" w:eastAsia="宋体" w:cs="宋体"/>
              </w:rPr>
              <w:t>项目管理人员配备，施工安全、工期及质量管理，对本项目施工重点和难点的分析和应对措施。</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2、评委针对其陈述内容及方案所提的相关问题：</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答辩小组就本项目接受评标委员会提问并进行回答。</w:t>
            </w:r>
          </w:p>
          <w:p>
            <w:pPr>
              <w:keepNext w:val="0"/>
              <w:keepLines w:val="0"/>
              <w:pageBreakBefore w:val="0"/>
              <w:widowControl/>
              <w:kinsoku/>
              <w:wordWrap/>
              <w:overflowPunct/>
              <w:topLinePunct w:val="0"/>
              <w:autoSpaceDE/>
              <w:autoSpaceDN/>
              <w:bidi w:val="0"/>
              <w:adjustRightInd/>
              <w:snapToGrid/>
              <w:spacing w:line="360" w:lineRule="auto"/>
              <w:ind w:left="210" w:leftChars="100"/>
              <w:jc w:val="left"/>
              <w:textAlignment w:val="auto"/>
              <w:rPr>
                <w:rFonts w:hint="eastAsia" w:ascii="宋体" w:hAnsi="宋体" w:eastAsia="宋体" w:cs="宋体"/>
                <w:kern w:val="0"/>
                <w:szCs w:val="21"/>
              </w:rPr>
            </w:pPr>
            <w:r>
              <w:rPr>
                <w:rFonts w:hint="eastAsia" w:ascii="宋体" w:hAnsi="宋体" w:eastAsia="宋体" w:cs="宋体"/>
                <w:kern w:val="0"/>
                <w:szCs w:val="21"/>
              </w:rPr>
              <w:t>优：</w:t>
            </w:r>
            <w:r>
              <w:rPr>
                <w:rFonts w:hint="eastAsia" w:ascii="宋体" w:hAnsi="宋体" w:cs="宋体"/>
                <w:kern w:val="0"/>
                <w:szCs w:val="21"/>
                <w:lang w:val="en-US" w:eastAsia="zh-CN"/>
              </w:rPr>
              <w:t>[</w:t>
            </w:r>
            <w:r>
              <w:rPr>
                <w:rFonts w:hint="eastAsia" w:ascii="宋体" w:hAnsi="宋体" w:eastAsia="宋体" w:cs="宋体"/>
                <w:kern w:val="0"/>
                <w:szCs w:val="21"/>
              </w:rPr>
              <w:t>20，1</w:t>
            </w:r>
            <w:r>
              <w:rPr>
                <w:rFonts w:hint="eastAsia" w:ascii="宋体" w:hAnsi="宋体" w:cs="宋体"/>
                <w:kern w:val="0"/>
                <w:szCs w:val="21"/>
                <w:lang w:val="en-US" w:eastAsia="zh-CN"/>
              </w:rPr>
              <w:t>3)</w:t>
            </w:r>
            <w:r>
              <w:rPr>
                <w:rFonts w:hint="eastAsia" w:ascii="宋体" w:hAnsi="宋体" w:eastAsia="宋体" w:cs="宋体"/>
                <w:kern w:val="0"/>
                <w:szCs w:val="21"/>
              </w:rPr>
              <w:t>对施工组织方案认识清晰，对施工的重点、难点认识深刻，人员、设备投入计划对工程进度有保障，对设计工作的配合方案合理可行，施工组织方案对工程质量、工期的保证合理可行；回答评委提问思路清晰、内容准确。</w:t>
            </w:r>
          </w:p>
          <w:p>
            <w:pPr>
              <w:keepNext w:val="0"/>
              <w:keepLines w:val="0"/>
              <w:pageBreakBefore w:val="0"/>
              <w:widowControl/>
              <w:kinsoku/>
              <w:wordWrap/>
              <w:overflowPunct/>
              <w:topLinePunct w:val="0"/>
              <w:autoSpaceDE/>
              <w:autoSpaceDN/>
              <w:bidi w:val="0"/>
              <w:adjustRightInd/>
              <w:snapToGrid/>
              <w:spacing w:line="360" w:lineRule="auto"/>
              <w:ind w:left="210" w:leftChars="100"/>
              <w:jc w:val="left"/>
              <w:textAlignment w:val="auto"/>
              <w:rPr>
                <w:rFonts w:hint="eastAsia" w:ascii="宋体" w:hAnsi="宋体" w:eastAsia="宋体" w:cs="宋体"/>
                <w:kern w:val="0"/>
                <w:szCs w:val="21"/>
              </w:rPr>
            </w:pPr>
            <w:r>
              <w:rPr>
                <w:rFonts w:hint="eastAsia" w:ascii="宋体" w:hAnsi="宋体" w:eastAsia="宋体" w:cs="宋体"/>
                <w:kern w:val="0"/>
                <w:szCs w:val="21"/>
              </w:rPr>
              <w:t>良：</w:t>
            </w:r>
            <w:r>
              <w:rPr>
                <w:rFonts w:hint="eastAsia" w:ascii="宋体" w:hAnsi="宋体" w:cs="宋体"/>
                <w:kern w:val="0"/>
                <w:szCs w:val="21"/>
                <w:lang w:val="en-US" w:eastAsia="zh-CN"/>
              </w:rPr>
              <w:t>[</w:t>
            </w:r>
            <w:r>
              <w:rPr>
                <w:rFonts w:hint="eastAsia" w:ascii="宋体" w:hAnsi="宋体" w:eastAsia="宋体" w:cs="宋体"/>
                <w:kern w:val="0"/>
                <w:szCs w:val="21"/>
              </w:rPr>
              <w:t>13，</w:t>
            </w:r>
            <w:r>
              <w:rPr>
                <w:rFonts w:hint="eastAsia" w:ascii="宋体" w:hAnsi="宋体" w:cs="宋体"/>
                <w:kern w:val="0"/>
                <w:szCs w:val="21"/>
                <w:lang w:val="en-US" w:eastAsia="zh-CN"/>
              </w:rPr>
              <w:t>6)</w:t>
            </w:r>
            <w:r>
              <w:rPr>
                <w:rFonts w:hint="eastAsia" w:ascii="宋体" w:hAnsi="宋体" w:eastAsia="宋体" w:cs="宋体"/>
                <w:kern w:val="0"/>
                <w:szCs w:val="21"/>
              </w:rPr>
              <w:t>对施工组织方案认识较清晰，对施工的重点、难点认识到位，人员、设备投入计划对工程进度基本有保障，对设计工作的配合方案基本可行，施工组织方案对工程质量、工期的保证基本合理可行；回答评委提问思路比较清晰、内容基本准确。</w:t>
            </w:r>
          </w:p>
          <w:p>
            <w:pPr>
              <w:keepNext w:val="0"/>
              <w:keepLines w:val="0"/>
              <w:pageBreakBefore w:val="0"/>
              <w:widowControl/>
              <w:kinsoku/>
              <w:wordWrap/>
              <w:overflowPunct/>
              <w:topLinePunct w:val="0"/>
              <w:autoSpaceDE/>
              <w:autoSpaceDN/>
              <w:bidi w:val="0"/>
              <w:adjustRightInd/>
              <w:snapToGrid/>
              <w:spacing w:line="360" w:lineRule="auto"/>
              <w:ind w:left="210" w:leftChars="100"/>
              <w:jc w:val="left"/>
              <w:textAlignment w:val="auto"/>
              <w:rPr>
                <w:rFonts w:hint="eastAsia" w:ascii="宋体" w:hAnsi="宋体" w:eastAsia="宋体" w:cs="宋体"/>
                <w:kern w:val="0"/>
                <w:szCs w:val="21"/>
              </w:rPr>
            </w:pPr>
            <w:r>
              <w:rPr>
                <w:rFonts w:hint="eastAsia" w:ascii="宋体" w:hAnsi="宋体" w:eastAsia="宋体" w:cs="宋体"/>
                <w:kern w:val="0"/>
                <w:szCs w:val="21"/>
              </w:rPr>
              <w:t>中：</w:t>
            </w:r>
            <w:r>
              <w:rPr>
                <w:rFonts w:hint="eastAsia" w:ascii="宋体" w:hAnsi="宋体" w:cs="宋体"/>
                <w:kern w:val="0"/>
                <w:szCs w:val="21"/>
                <w:lang w:val="en-US" w:eastAsia="zh-CN"/>
              </w:rPr>
              <w:t>[</w:t>
            </w:r>
            <w:r>
              <w:rPr>
                <w:rFonts w:hint="eastAsia" w:ascii="宋体" w:hAnsi="宋体" w:eastAsia="宋体" w:cs="宋体"/>
                <w:kern w:val="0"/>
                <w:szCs w:val="21"/>
              </w:rPr>
              <w:t>6，0）对施工组织方案认识一般；或未能把握施工的重点、难点，</w:t>
            </w:r>
            <w:r>
              <w:rPr>
                <w:rFonts w:hint="eastAsia" w:ascii="宋体" w:hAnsi="宋体" w:eastAsia="宋体" w:cs="宋体"/>
                <w:kern w:val="0"/>
                <w:szCs w:val="21"/>
                <w:lang w:bidi="ar"/>
              </w:rPr>
              <w:t>或人员、设备投入计划对工程进度保障差；或对设计工作的配合方案可行性较差，施工组织方案对工程质量、工期的保证可行性较差；或回答评委提问思路不清晰、答非所问。</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lang w:eastAsia="zh-CN"/>
              </w:rPr>
            </w:pPr>
            <w:r>
              <w:rPr>
                <w:rFonts w:hint="eastAsia" w:ascii="宋体" w:hAnsi="宋体" w:eastAsia="宋体" w:cs="宋体"/>
                <w:kern w:val="0"/>
                <w:szCs w:val="21"/>
              </w:rPr>
              <w:t>差：0项目负责人、技术负责人</w:t>
            </w:r>
            <w:r>
              <w:rPr>
                <w:rFonts w:hint="eastAsia" w:ascii="宋体" w:hAnsi="宋体" w:eastAsia="宋体" w:cs="宋体"/>
                <w:kern w:val="0"/>
                <w:szCs w:val="21"/>
                <w:lang w:val="en-US" w:eastAsia="zh-CN"/>
              </w:rPr>
              <w:t>其中一名或均</w:t>
            </w:r>
            <w:r>
              <w:rPr>
                <w:rFonts w:hint="eastAsia" w:ascii="宋体" w:hAnsi="宋体" w:eastAsia="宋体" w:cs="宋体"/>
                <w:kern w:val="0"/>
                <w:szCs w:val="21"/>
              </w:rPr>
              <w:t>未参加答辩。</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vMerge w:val="restart"/>
            <w:tcBorders>
              <w:left w:val="single" w:color="000000" w:sz="8" w:space="0"/>
              <w:right w:val="single" w:color="000000" w:sz="4" w:space="0"/>
            </w:tcBorders>
            <w:vAlign w:val="center"/>
          </w:tcPr>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0" w:firstLineChars="0"/>
              <w:jc w:val="center"/>
              <w:textAlignment w:val="auto"/>
              <w:rPr>
                <w:rStyle w:val="112"/>
                <w:rFonts w:hint="eastAsia" w:ascii="宋体" w:hAnsi="宋体" w:eastAsia="宋体" w:cs="宋体"/>
                <w:szCs w:val="21"/>
              </w:rPr>
            </w:pPr>
            <w:r>
              <w:rPr>
                <w:rStyle w:val="112"/>
                <w:rFonts w:hint="eastAsia" w:ascii="宋体" w:hAnsi="宋体" w:eastAsia="宋体" w:cs="宋体"/>
                <w:szCs w:val="21"/>
              </w:rPr>
              <w:t>项目管理机构</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Style w:val="112"/>
                <w:rFonts w:hint="eastAsia" w:ascii="宋体" w:hAnsi="宋体" w:eastAsia="宋体" w:cs="宋体"/>
                <w:szCs w:val="21"/>
              </w:rPr>
            </w:pPr>
            <w:r>
              <w:rPr>
                <w:rStyle w:val="112"/>
                <w:rFonts w:hint="eastAsia" w:ascii="宋体" w:hAnsi="宋体" w:eastAsia="宋体" w:cs="宋体"/>
                <w:szCs w:val="21"/>
              </w:rPr>
              <w:t>（项目管理机构所有人员不得互相兼任）</w:t>
            </w:r>
          </w:p>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r>
              <w:rPr>
                <w:rStyle w:val="112"/>
                <w:rFonts w:hint="eastAsia" w:ascii="宋体" w:hAnsi="宋体" w:eastAsia="宋体" w:cs="宋体"/>
                <w:szCs w:val="21"/>
              </w:rPr>
              <w:t>(</w:t>
            </w:r>
            <w:r>
              <w:rPr>
                <w:rStyle w:val="112"/>
                <w:rFonts w:hint="eastAsia" w:ascii="宋体" w:hAnsi="宋体" w:eastAsia="宋体" w:cs="宋体"/>
                <w:szCs w:val="21"/>
                <w:lang w:val="en-US"/>
              </w:rPr>
              <w:t>8</w:t>
            </w:r>
            <w:r>
              <w:rPr>
                <w:rStyle w:val="112"/>
                <w:rFonts w:hint="eastAsia" w:ascii="宋体" w:hAnsi="宋体" w:eastAsia="宋体" w:cs="宋体"/>
                <w:szCs w:val="21"/>
              </w:rPr>
              <w:t>0分)</w:t>
            </w:r>
          </w:p>
        </w:tc>
        <w:tc>
          <w:tcPr>
            <w:tcW w:w="1390"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szCs w:val="21"/>
              </w:rPr>
              <w:t>项目负责人</w:t>
            </w:r>
          </w:p>
        </w:tc>
        <w:tc>
          <w:tcPr>
            <w:tcW w:w="64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szCs w:val="21"/>
                <w:lang w:val="en-US" w:eastAsia="zh-CN"/>
              </w:rPr>
              <w:t>15</w:t>
            </w:r>
          </w:p>
        </w:tc>
        <w:tc>
          <w:tcPr>
            <w:tcW w:w="11561"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项目负责人具有建筑工程相关专业高级工程师（副高或以上）技术职称的，得</w:t>
            </w:r>
            <w:r>
              <w:rPr>
                <w:rFonts w:hint="eastAsia" w:ascii="宋体" w:hAnsi="宋体" w:eastAsia="宋体" w:cs="宋体"/>
                <w:lang w:val="en-US" w:eastAsia="zh-CN"/>
              </w:rPr>
              <w:t>15</w:t>
            </w:r>
            <w:r>
              <w:rPr>
                <w:rFonts w:hint="eastAsia" w:ascii="宋体" w:hAnsi="宋体" w:eastAsia="宋体" w:cs="宋体"/>
              </w:rPr>
              <w:t>分；具有建筑工程相关专业中级工程师技术职称的，得</w:t>
            </w:r>
            <w:r>
              <w:rPr>
                <w:rFonts w:hint="eastAsia" w:ascii="宋体" w:hAnsi="宋体" w:eastAsia="宋体" w:cs="宋体"/>
                <w:lang w:val="en-US" w:eastAsia="zh-CN"/>
              </w:rPr>
              <w:t>7</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不满足上述情况的,不得分。</w:t>
            </w:r>
          </w:p>
          <w:p>
            <w:pPr>
              <w:pStyle w:val="35"/>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auto"/>
                <w:lang w:eastAsia="zh-CN"/>
              </w:rPr>
            </w:pPr>
            <w:r>
              <w:rPr>
                <w:rFonts w:hint="eastAsia" w:ascii="宋体" w:hAnsi="宋体" w:eastAsia="宋体" w:cs="宋体"/>
                <w:lang w:eastAsia="zh-CN"/>
              </w:rPr>
              <w:t>注：需提供项目负责人职称证书、投标截止前一个</w:t>
            </w:r>
            <w:r>
              <w:rPr>
                <w:rFonts w:hint="eastAsia" w:ascii="宋体" w:hAnsi="宋体" w:eastAsia="宋体" w:cs="宋体"/>
                <w:highlight w:val="none"/>
                <w:lang w:eastAsia="zh-CN"/>
              </w:rPr>
              <w:t>月</w:t>
            </w:r>
            <w:r>
              <w:rPr>
                <w:rFonts w:hint="eastAsia" w:ascii="宋体" w:hAnsi="宋体" w:eastAsia="宋体" w:cs="宋体"/>
                <w:color w:val="auto"/>
                <w:kern w:val="2"/>
                <w:sz w:val="21"/>
                <w:szCs w:val="22"/>
                <w:highlight w:val="none"/>
                <w:lang w:val="en-US" w:eastAsia="zh-CN" w:bidi="ar-SA"/>
              </w:rPr>
              <w:t>（2025年</w:t>
            </w:r>
            <w:r>
              <w:rPr>
                <w:rFonts w:hint="eastAsia" w:ascii="宋体" w:hAnsi="宋体" w:cs="宋体"/>
                <w:color w:val="auto"/>
                <w:kern w:val="2"/>
                <w:sz w:val="21"/>
                <w:szCs w:val="22"/>
                <w:highlight w:val="none"/>
                <w:lang w:val="en-US" w:eastAsia="zh-CN" w:bidi="ar-SA"/>
              </w:rPr>
              <w:t>10</w:t>
            </w:r>
            <w:r>
              <w:rPr>
                <w:rFonts w:hint="eastAsia" w:ascii="宋体" w:hAnsi="宋体" w:eastAsia="宋体" w:cs="宋体"/>
                <w:color w:val="auto"/>
                <w:kern w:val="2"/>
                <w:sz w:val="21"/>
                <w:szCs w:val="22"/>
                <w:highlight w:val="none"/>
                <w:lang w:val="en-US" w:eastAsia="zh-CN" w:bidi="ar-SA"/>
              </w:rPr>
              <w:t>月）在</w:t>
            </w:r>
            <w:r>
              <w:rPr>
                <w:rFonts w:hint="eastAsia" w:ascii="宋体" w:hAnsi="宋体" w:eastAsia="宋体" w:cs="宋体"/>
                <w:lang w:eastAsia="zh-CN"/>
              </w:rPr>
              <w:t>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9" w:hRule="atLeast"/>
          <w:jc w:val="center"/>
        </w:trPr>
        <w:tc>
          <w:tcPr>
            <w:tcW w:w="1328" w:type="dxa"/>
            <w:vMerge w:val="continue"/>
            <w:tcBorders>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p>
        </w:tc>
        <w:tc>
          <w:tcPr>
            <w:tcW w:w="139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p>
        </w:tc>
        <w:tc>
          <w:tcPr>
            <w:tcW w:w="64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1561" w:type="dxa"/>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以项目负责人（或项目经理）的身份完成过合同金额</w:t>
            </w:r>
            <w:r>
              <w:rPr>
                <w:rFonts w:hint="eastAsia" w:ascii="宋体" w:hAnsi="宋体" w:eastAsia="宋体" w:cs="宋体"/>
                <w:highlight w:val="none"/>
              </w:rPr>
              <w:t>为</w:t>
            </w:r>
            <w:r>
              <w:rPr>
                <w:rFonts w:hint="eastAsia" w:ascii="宋体" w:hAnsi="宋体" w:eastAsia="宋体" w:cs="宋体"/>
                <w:highlight w:val="none"/>
                <w:lang w:val="en-US" w:eastAsia="zh-CN"/>
              </w:rPr>
              <w:t>300</w:t>
            </w:r>
            <w:r>
              <w:rPr>
                <w:rFonts w:hint="eastAsia" w:ascii="宋体" w:hAnsi="宋体" w:eastAsia="宋体" w:cs="宋体"/>
                <w:highlight w:val="none"/>
              </w:rPr>
              <w:t>万元或以上</w:t>
            </w:r>
            <w:r>
              <w:rPr>
                <w:rFonts w:hint="eastAsia" w:ascii="宋体" w:hAnsi="宋体" w:eastAsia="宋体" w:cs="宋体"/>
              </w:rPr>
              <w:t>的建筑工程施工总承包或工程总承包（施工部分）业绩，每项得</w:t>
            </w:r>
            <w:r>
              <w:rPr>
                <w:rFonts w:hint="eastAsia" w:ascii="宋体" w:hAnsi="宋体" w:eastAsia="宋体" w:cs="宋体"/>
                <w:lang w:val="en-US" w:eastAsia="zh-CN"/>
              </w:rPr>
              <w:t>6</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最高得</w:t>
            </w:r>
            <w:r>
              <w:rPr>
                <w:rFonts w:hint="eastAsia" w:ascii="宋体" w:hAnsi="宋体" w:eastAsia="宋体" w:cs="宋体"/>
                <w:lang w:val="en-US" w:eastAsia="zh-CN"/>
              </w:rPr>
              <w:t>6</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注：（1）项目负责人的业绩可取自广州市住建行业信用管理平台。业绩取自广州市住建行业信用管理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（2）业绩不取自广州市住建行业信用管理平台的，须提供中标通知书（或免招标的证明）、合同协议书、竣工验收文件或竣工验收报告。</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1）完成时间以竣工验收文件或竣工验收报告为准。竣工验收文件或竣工验收报告至少具有建设单位、设计、施工和监理单位盖章。</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2）平台内业绩上传件不符合上述要求的或登记的工程资质内容与施工合同等业绩证明资料不相符的，该项业绩不予认定。</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3）项目负责人业绩须提供相关证明材料（如施工合同或业主证明或竣工验收文件等）体现其在工程项目中担任项目负责人职务，否则不予计分；各证明材料之间不一致的，项目负责人的认定按①竣工验收文件、②业主证明、③施工合同的优先级顺序认定。</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1328" w:type="dxa"/>
            <w:vMerge w:val="continue"/>
            <w:tcBorders>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p>
        </w:tc>
        <w:tc>
          <w:tcPr>
            <w:tcW w:w="1390"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rPr>
              <w:t>技术负责人</w:t>
            </w:r>
          </w:p>
        </w:tc>
        <w:tc>
          <w:tcPr>
            <w:tcW w:w="64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15</w:t>
            </w:r>
          </w:p>
        </w:tc>
        <w:tc>
          <w:tcPr>
            <w:tcW w:w="11561"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具有建筑工程类专业高级工程师（副高或以上）技术职称，得</w:t>
            </w:r>
            <w:r>
              <w:rPr>
                <w:rFonts w:hint="eastAsia" w:ascii="宋体" w:hAnsi="宋体" w:eastAsia="宋体" w:cs="宋体"/>
                <w:lang w:val="en-US" w:eastAsia="zh-CN"/>
              </w:rPr>
              <w:t>15</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不满足上述情况的,不得分。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注：需提供职称证书、投标截止前一个</w:t>
            </w:r>
            <w:r>
              <w:rPr>
                <w:rFonts w:hint="eastAsia" w:ascii="宋体" w:hAnsi="宋体" w:eastAsia="宋体" w:cs="宋体"/>
                <w:highlight w:val="none"/>
              </w:rPr>
              <w:t>月</w:t>
            </w:r>
            <w:r>
              <w:rPr>
                <w:rFonts w:hint="eastAsia" w:ascii="宋体" w:hAnsi="宋体" w:eastAsia="宋体" w:cs="宋体"/>
                <w:color w:val="auto"/>
                <w:kern w:val="2"/>
                <w:sz w:val="21"/>
                <w:szCs w:val="22"/>
                <w:highlight w:val="none"/>
                <w:lang w:val="en-US" w:eastAsia="zh-CN" w:bidi="ar-SA"/>
              </w:rPr>
              <w:t>（2025年</w:t>
            </w:r>
            <w:r>
              <w:rPr>
                <w:rFonts w:hint="eastAsia" w:ascii="宋体" w:hAnsi="宋体" w:cs="宋体"/>
                <w:color w:val="auto"/>
                <w:kern w:val="2"/>
                <w:sz w:val="21"/>
                <w:szCs w:val="22"/>
                <w:highlight w:val="none"/>
                <w:lang w:val="en-US" w:eastAsia="zh-CN" w:bidi="ar-SA"/>
              </w:rPr>
              <w:t>10</w:t>
            </w:r>
            <w:r>
              <w:rPr>
                <w:rFonts w:hint="eastAsia" w:ascii="宋体" w:hAnsi="宋体" w:eastAsia="宋体" w:cs="宋体"/>
                <w:color w:val="auto"/>
                <w:kern w:val="2"/>
                <w:sz w:val="21"/>
                <w:szCs w:val="22"/>
                <w:highlight w:val="none"/>
                <w:lang w:val="en-US" w:eastAsia="zh-CN" w:bidi="ar-SA"/>
              </w:rPr>
              <w:t>月）</w:t>
            </w:r>
            <w:r>
              <w:rPr>
                <w:rFonts w:hint="eastAsia" w:ascii="宋体" w:hAnsi="宋体" w:eastAsia="宋体" w:cs="宋体"/>
                <w:highlight w:val="none"/>
              </w:rPr>
              <w:t>在投标单</w:t>
            </w:r>
            <w:r>
              <w:rPr>
                <w:rFonts w:hint="eastAsia" w:ascii="宋体" w:hAnsi="宋体" w:eastAsia="宋体" w:cs="宋体"/>
              </w:rPr>
              <w:t>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0" w:hRule="atLeast"/>
          <w:jc w:val="center"/>
        </w:trPr>
        <w:tc>
          <w:tcPr>
            <w:tcW w:w="1328" w:type="dxa"/>
            <w:vMerge w:val="continue"/>
            <w:tcBorders>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p>
        </w:tc>
        <w:tc>
          <w:tcPr>
            <w:tcW w:w="1390"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rPr>
            </w:pPr>
            <w:r>
              <w:rPr>
                <w:rFonts w:hint="eastAsia" w:ascii="宋体" w:hAnsi="宋体" w:eastAsia="宋体" w:cs="宋体"/>
                <w:szCs w:val="21"/>
              </w:rPr>
              <w:t>安全负责人</w:t>
            </w:r>
          </w:p>
        </w:tc>
        <w:tc>
          <w:tcPr>
            <w:tcW w:w="64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1"/>
                <w:lang w:val="en-US"/>
              </w:rPr>
            </w:pPr>
            <w:r>
              <w:rPr>
                <w:rFonts w:hint="eastAsia" w:ascii="宋体" w:hAnsi="宋体" w:eastAsia="宋体" w:cs="宋体"/>
                <w:szCs w:val="21"/>
                <w:lang w:val="en-US" w:eastAsia="zh-CN"/>
              </w:rPr>
              <w:t>22</w:t>
            </w:r>
          </w:p>
        </w:tc>
        <w:tc>
          <w:tcPr>
            <w:tcW w:w="11561"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具有建筑工程类专业高级工程师（副高或以上）技术职称，得</w:t>
            </w:r>
            <w:r>
              <w:rPr>
                <w:rFonts w:hint="eastAsia" w:ascii="宋体" w:hAnsi="宋体" w:eastAsia="宋体" w:cs="宋体"/>
                <w:lang w:val="en-US" w:eastAsia="zh-CN"/>
              </w:rPr>
              <w:t>15</w:t>
            </w:r>
            <w:r>
              <w:rPr>
                <w:rFonts w:hint="eastAsia" w:ascii="宋体" w:hAnsi="宋体" w:eastAsia="宋体" w:cs="宋体"/>
              </w:rPr>
              <w:t>分；具有建筑工程类专业中级工程师技术职称，得</w:t>
            </w:r>
            <w:r>
              <w:rPr>
                <w:rFonts w:hint="eastAsia" w:ascii="宋体" w:hAnsi="宋体" w:eastAsia="宋体" w:cs="宋体"/>
                <w:lang w:val="en-US" w:eastAsia="zh-CN"/>
              </w:rPr>
              <w:t>7</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不满足上述情况的,不得分。</w:t>
            </w:r>
          </w:p>
          <w:p>
            <w:pPr>
              <w:pStyle w:val="2"/>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color w:val="auto"/>
                <w:kern w:val="2"/>
                <w:sz w:val="21"/>
                <w:szCs w:val="21"/>
                <w:highlight w:val="none"/>
                <w:lang w:val="en-US" w:eastAsia="zh-CN" w:bidi="ar"/>
              </w:rPr>
              <w:t>2、具有注册安全工程师执业资格且在有效期内的</w:t>
            </w:r>
            <w:r>
              <w:rPr>
                <w:rFonts w:hint="eastAsia" w:ascii="宋体" w:hAnsi="宋体" w:eastAsia="宋体" w:cs="宋体"/>
                <w:color w:val="auto"/>
                <w:kern w:val="0"/>
                <w:szCs w:val="21"/>
                <w:highlight w:val="none"/>
                <w:lang w:bidi="ar"/>
              </w:rPr>
              <w:t>，得</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分；本小项最高得</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w:t>
            </w:r>
          </w:p>
          <w:p>
            <w:pPr>
              <w:pStyle w:val="35"/>
              <w:keepNext w:val="0"/>
              <w:keepLines w:val="0"/>
              <w:pageBreakBefore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color w:val="auto"/>
                <w:lang w:eastAsia="zh-CN"/>
              </w:rPr>
            </w:pPr>
            <w:r>
              <w:rPr>
                <w:rFonts w:hint="eastAsia" w:ascii="宋体" w:hAnsi="宋体" w:eastAsia="宋体" w:cs="宋体"/>
                <w:color w:val="auto"/>
                <w:lang w:eastAsia="zh-CN"/>
              </w:rPr>
              <w:t>注：</w:t>
            </w:r>
            <w:r>
              <w:rPr>
                <w:rFonts w:hint="eastAsia" w:ascii="宋体" w:hAnsi="宋体" w:eastAsia="宋体" w:cs="宋体"/>
                <w:szCs w:val="21"/>
              </w:rPr>
              <w:t>安全负责人</w:t>
            </w:r>
            <w:r>
              <w:rPr>
                <w:rFonts w:hint="eastAsia" w:ascii="宋体" w:hAnsi="宋体" w:eastAsia="宋体" w:cs="宋体"/>
                <w:color w:val="auto"/>
                <w:kern w:val="0"/>
                <w:szCs w:val="21"/>
                <w:highlight w:val="none"/>
                <w:lang w:bidi="ar"/>
              </w:rPr>
              <w:t>与专职安全员不为同一人</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lang w:eastAsia="zh-CN"/>
              </w:rPr>
              <w:t>需提供职称证书、</w:t>
            </w:r>
            <w:r>
              <w:rPr>
                <w:rFonts w:hint="eastAsia" w:ascii="宋体" w:hAnsi="宋体" w:eastAsia="宋体" w:cs="宋体"/>
                <w:color w:val="auto"/>
                <w:kern w:val="2"/>
                <w:sz w:val="21"/>
                <w:szCs w:val="21"/>
                <w:highlight w:val="none"/>
                <w:lang w:val="en-US" w:eastAsia="zh-CN" w:bidi="ar"/>
              </w:rPr>
              <w:t>注册安全工程师注册</w:t>
            </w:r>
            <w:r>
              <w:rPr>
                <w:rFonts w:hint="eastAsia" w:ascii="宋体" w:hAnsi="宋体" w:eastAsia="宋体" w:cs="宋体"/>
                <w:color w:val="auto"/>
                <w:lang w:val="en-US" w:eastAsia="zh-CN"/>
              </w:rPr>
              <w:t>证书、</w:t>
            </w:r>
            <w:r>
              <w:rPr>
                <w:rFonts w:hint="eastAsia" w:ascii="宋体" w:hAnsi="宋体" w:eastAsia="宋体" w:cs="宋体"/>
                <w:color w:val="auto"/>
                <w:lang w:eastAsia="zh-CN"/>
              </w:rPr>
              <w:t>投标截止前一个</w:t>
            </w:r>
            <w:r>
              <w:rPr>
                <w:rFonts w:hint="eastAsia" w:ascii="宋体" w:hAnsi="宋体" w:eastAsia="宋体" w:cs="宋体"/>
                <w:color w:val="auto"/>
                <w:highlight w:val="none"/>
                <w:lang w:eastAsia="zh-CN"/>
              </w:rPr>
              <w:t>月</w:t>
            </w:r>
            <w:r>
              <w:rPr>
                <w:rFonts w:hint="eastAsia" w:ascii="宋体" w:hAnsi="宋体" w:eastAsia="宋体" w:cs="宋体"/>
                <w:color w:val="auto"/>
                <w:kern w:val="2"/>
                <w:sz w:val="21"/>
                <w:szCs w:val="22"/>
                <w:highlight w:val="none"/>
                <w:lang w:val="en-US" w:eastAsia="zh-CN" w:bidi="ar-SA"/>
              </w:rPr>
              <w:t>（2025年</w:t>
            </w:r>
            <w:r>
              <w:rPr>
                <w:rFonts w:hint="eastAsia" w:ascii="宋体" w:hAnsi="宋体" w:cs="宋体"/>
                <w:color w:val="auto"/>
                <w:kern w:val="2"/>
                <w:sz w:val="21"/>
                <w:szCs w:val="22"/>
                <w:highlight w:val="none"/>
                <w:lang w:val="en-US" w:eastAsia="zh-CN" w:bidi="ar-SA"/>
              </w:rPr>
              <w:t>10</w:t>
            </w:r>
            <w:r>
              <w:rPr>
                <w:rFonts w:hint="eastAsia" w:ascii="宋体" w:hAnsi="宋体" w:eastAsia="宋体" w:cs="宋体"/>
                <w:color w:val="auto"/>
                <w:kern w:val="2"/>
                <w:sz w:val="21"/>
                <w:szCs w:val="22"/>
                <w:highlight w:val="none"/>
                <w:lang w:val="en-US" w:eastAsia="zh-CN" w:bidi="ar-SA"/>
              </w:rPr>
              <w:t>月）</w:t>
            </w:r>
            <w:r>
              <w:rPr>
                <w:rFonts w:hint="eastAsia" w:ascii="宋体" w:hAnsi="宋体" w:eastAsia="宋体" w:cs="宋体"/>
                <w:color w:val="auto"/>
                <w:lang w:eastAsia="zh-CN"/>
              </w:rPr>
              <w:t>在投标单位参保的社保证明。</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5" w:hRule="atLeast"/>
          <w:jc w:val="center"/>
        </w:trPr>
        <w:tc>
          <w:tcPr>
            <w:tcW w:w="1328" w:type="dxa"/>
            <w:vMerge w:val="continue"/>
            <w:tcBorders>
              <w:left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p>
        </w:tc>
        <w:tc>
          <w:tcPr>
            <w:tcW w:w="1390"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rPr>
              <w:t>造价负责人</w:t>
            </w:r>
          </w:p>
        </w:tc>
        <w:tc>
          <w:tcPr>
            <w:tcW w:w="642"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22</w:t>
            </w:r>
          </w:p>
        </w:tc>
        <w:tc>
          <w:tcPr>
            <w:tcW w:w="11561" w:type="dxa"/>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具有造价类专业高级工程师（副高或以上）技术职称，得</w:t>
            </w:r>
            <w:r>
              <w:rPr>
                <w:rFonts w:hint="eastAsia" w:ascii="宋体" w:hAnsi="宋体" w:eastAsia="宋体" w:cs="宋体"/>
                <w:lang w:val="en-US" w:eastAsia="zh-CN"/>
              </w:rPr>
              <w:t>15</w:t>
            </w:r>
            <w:r>
              <w:rPr>
                <w:rFonts w:hint="eastAsia" w:ascii="宋体" w:hAnsi="宋体" w:eastAsia="宋体" w:cs="宋体"/>
              </w:rPr>
              <w:t>分；具有造价类专业中级工程师技术职称，得</w:t>
            </w:r>
            <w:r>
              <w:rPr>
                <w:rFonts w:hint="eastAsia" w:ascii="宋体" w:hAnsi="宋体" w:eastAsia="宋体" w:cs="宋体"/>
                <w:lang w:val="en-US" w:eastAsia="zh-CN"/>
              </w:rPr>
              <w:t>7</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不满足上述情况的,不得分。</w:t>
            </w:r>
          </w:p>
          <w:p>
            <w:pPr>
              <w:pStyle w:val="2"/>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color w:val="auto"/>
                <w:kern w:val="2"/>
                <w:sz w:val="21"/>
                <w:szCs w:val="21"/>
                <w:highlight w:val="none"/>
                <w:lang w:val="en-US" w:eastAsia="zh-CN" w:bidi="ar"/>
              </w:rPr>
              <w:t>具有注册造价工程师执业资格且在有效期内的</w:t>
            </w:r>
            <w:r>
              <w:rPr>
                <w:rFonts w:hint="eastAsia" w:ascii="宋体" w:hAnsi="宋体" w:eastAsia="宋体" w:cs="宋体"/>
                <w:color w:val="auto"/>
                <w:kern w:val="0"/>
                <w:szCs w:val="21"/>
                <w:highlight w:val="none"/>
                <w:lang w:bidi="ar"/>
              </w:rPr>
              <w:t>，得</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分；本小项最高得</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rPr>
            </w:pPr>
            <w:r>
              <w:rPr>
                <w:rFonts w:hint="eastAsia" w:ascii="宋体" w:hAnsi="宋体" w:eastAsia="宋体" w:cs="宋体"/>
              </w:rPr>
              <w:t>注：需提供职称证书、</w:t>
            </w:r>
            <w:r>
              <w:rPr>
                <w:rFonts w:hint="eastAsia" w:ascii="宋体" w:hAnsi="宋体" w:eastAsia="宋体" w:cs="宋体"/>
                <w:color w:val="auto"/>
                <w:kern w:val="2"/>
                <w:sz w:val="21"/>
                <w:szCs w:val="21"/>
                <w:highlight w:val="none"/>
                <w:lang w:val="en-US" w:eastAsia="zh-CN" w:bidi="ar"/>
              </w:rPr>
              <w:t>注册造价工程师注册</w:t>
            </w:r>
            <w:r>
              <w:rPr>
                <w:rFonts w:hint="eastAsia" w:ascii="宋体" w:hAnsi="宋体" w:eastAsia="宋体" w:cs="宋体"/>
                <w:color w:val="auto"/>
                <w:lang w:val="en-US" w:eastAsia="zh-CN"/>
              </w:rPr>
              <w:t>证书、</w:t>
            </w:r>
            <w:r>
              <w:rPr>
                <w:rFonts w:hint="eastAsia" w:ascii="宋体" w:hAnsi="宋体" w:eastAsia="宋体" w:cs="宋体"/>
              </w:rPr>
              <w:t>投标截止前一</w:t>
            </w:r>
            <w:r>
              <w:rPr>
                <w:rFonts w:hint="eastAsia" w:ascii="宋体" w:hAnsi="宋体" w:eastAsia="宋体" w:cs="宋体"/>
                <w:highlight w:val="none"/>
              </w:rPr>
              <w:t>个月（2025年</w:t>
            </w:r>
            <w:r>
              <w:rPr>
                <w:rFonts w:hint="eastAsia" w:ascii="宋体" w:hAnsi="宋体" w:cs="宋体"/>
                <w:highlight w:val="none"/>
                <w:lang w:val="en-US" w:eastAsia="zh-CN"/>
              </w:rPr>
              <w:t>10</w:t>
            </w:r>
            <w:r>
              <w:rPr>
                <w:rFonts w:hint="eastAsia" w:ascii="宋体" w:hAnsi="宋体" w:eastAsia="宋体" w:cs="宋体"/>
                <w:highlight w:val="none"/>
              </w:rPr>
              <w:t>月）在投标单位</w:t>
            </w:r>
            <w:r>
              <w:rPr>
                <w:rFonts w:hint="eastAsia" w:ascii="宋体" w:hAnsi="宋体" w:eastAsia="宋体" w:cs="宋体"/>
              </w:rPr>
              <w:t>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 w:hRule="atLeast"/>
          <w:jc w:val="center"/>
        </w:trPr>
        <w:tc>
          <w:tcPr>
            <w:tcW w:w="2718"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r>
              <w:rPr>
                <w:rStyle w:val="112"/>
                <w:rFonts w:hint="eastAsia" w:ascii="宋体" w:hAnsi="宋体" w:eastAsia="宋体" w:cs="宋体"/>
                <w:szCs w:val="21"/>
              </w:rPr>
              <w:t>合计</w:t>
            </w: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Style w:val="112"/>
                <w:rFonts w:hint="eastAsia" w:ascii="宋体" w:hAnsi="宋体" w:eastAsia="宋体" w:cs="宋体"/>
                <w:szCs w:val="21"/>
              </w:rPr>
            </w:pPr>
            <w:r>
              <w:rPr>
                <w:rStyle w:val="112"/>
                <w:rFonts w:hint="eastAsia" w:ascii="宋体" w:hAnsi="宋体" w:eastAsia="宋体" w:cs="宋体"/>
                <w:szCs w:val="21"/>
              </w:rPr>
              <w:t>100</w:t>
            </w:r>
          </w:p>
        </w:tc>
        <w:tc>
          <w:tcPr>
            <w:tcW w:w="11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Style w:val="112"/>
                <w:rFonts w:hint="eastAsia" w:ascii="宋体" w:hAnsi="宋体" w:eastAsia="宋体" w:cs="宋体"/>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1、【项目管理机构】：未按要求提供完整相关资料的人员，该人员不作为评分依据。投标单位社保证明不含投标人子公司，含分公司。以上人员岗位均不可相互兼任。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2、答辩：由通过技术标有效性审查的投标人拟投入本项目负责人和项目技术负责人出场答辩，讲解投标方案、解答疑问，评标委员会专家根据答辩情况进行评审。讲解投标方案注意事项如下：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（1）讲解投标方案的人员要求：参与人员须是本单位的在职人员。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（2）讲解投标方案的顺序：所有通过技术标有效性审查的投标人，按开标记录表上的先后顺序依次进行答辩。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（3）讲解方案人员的要求：投标人在参加讲解时，应向招标人（招标代理）提供一份加盖公章的法定代表人证明书及授权委托书，并展示讲解人员在本单</w:t>
      </w:r>
      <w:r>
        <w:rPr>
          <w:rFonts w:hint="eastAsia" w:ascii="宋体" w:hAnsi="宋体"/>
          <w:color w:val="000000" w:themeColor="text1"/>
          <w:szCs w:val="21"/>
          <w:highlight w:val="none"/>
          <w:lang w:val="en-US" w:eastAsia="zh-CN"/>
          <w14:textFill>
            <w14:solidFill>
              <w14:schemeClr w14:val="tx1"/>
            </w14:solidFill>
          </w14:textFill>
        </w:rPr>
        <w:t>位2025年10月的有</w:t>
      </w:r>
      <w:r>
        <w:rPr>
          <w:rFonts w:hint="eastAsia" w:ascii="宋体" w:hAnsi="宋体"/>
          <w:color w:val="000000" w:themeColor="text1"/>
          <w:szCs w:val="21"/>
          <w:lang w:val="en-US" w:eastAsia="zh-CN"/>
          <w14:textFill>
            <w14:solidFill>
              <w14:schemeClr w14:val="tx1"/>
            </w14:solidFill>
          </w14:textFill>
        </w:rPr>
        <w:t>效社保证明复印件并加盖单位公章)、身份证原件，招标人（招标代理）核对确认身份后再进行讲解。未能出示前述证明文件的单位不予参加讲解环节。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或技术负责人为主辩人，负责陈述及解答问题。未通过技术标有效性审查的投标单位无需再参与方案讲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（5）讲解时长控制：每家投标人答辩总时长控制在10分钟内。</w:t>
      </w:r>
    </w:p>
    <w:p>
      <w:pPr>
        <w:rPr>
          <w:color w:val="000000" w:themeColor="text1"/>
          <w:szCs w:val="21"/>
          <w14:textFill>
            <w14:solidFill>
              <w14:schemeClr w14:val="tx1"/>
            </w14:solidFill>
          </w14:textFill>
        </w:rPr>
      </w:pPr>
      <w: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附表五（适用于区间抽取法）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经济标评分表</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tbl>
      <w:tblPr>
        <w:tblStyle w:val="36"/>
        <w:tblW w:w="14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r>
              <w:rPr>
                <w:rFonts w:ascii="宋体" w:hAnsi="宋体"/>
                <w:color w:val="000000" w:themeColor="text1"/>
                <w:szCs w:val="21"/>
                <w14:textFill>
                  <w14:solidFill>
                    <w14:schemeClr w14:val="tx1"/>
                  </w14:solidFill>
                </w14:textFill>
              </w:rPr>
              <w:t>PT</w:t>
            </w:r>
            <w:r>
              <w:rPr>
                <w:rFonts w:hint="eastAsia" w:ascii="宋体" w:hAnsi="宋体"/>
                <w:color w:val="000000" w:themeColor="text1"/>
                <w:szCs w:val="21"/>
                <w14:textFill>
                  <w14:solidFill>
                    <w14:schemeClr w14:val="tx1"/>
                  </w14:solidFill>
                </w14:textFill>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偏差（（</w:t>
            </w:r>
            <w:r>
              <w:rPr>
                <w:rFonts w:ascii="宋体" w:hAnsi="宋体"/>
                <w:color w:val="000000" w:themeColor="text1"/>
                <w:szCs w:val="21"/>
                <w14:textFill>
                  <w14:solidFill>
                    <w14:schemeClr w14:val="tx1"/>
                  </w14:solidFill>
                </w14:textFill>
              </w:rPr>
              <w:t>PT-PC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减分（</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r>
              <w:rPr>
                <w:rFonts w:ascii="宋体" w:hAnsi="宋体"/>
                <w:color w:val="000000" w:themeColor="text1"/>
                <w:szCs w:val="21"/>
                <w14:textFill>
                  <w14:solidFill>
                    <w14:schemeClr w14:val="tx1"/>
                  </w14:solidFill>
                </w14:textFill>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bl>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附表六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算术复核表</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                                           投标人：                                                  单位：元</w:t>
      </w:r>
    </w:p>
    <w:tbl>
      <w:tblPr>
        <w:tblStyle w:val="36"/>
        <w:tblW w:w="14820" w:type="dxa"/>
        <w:jc w:val="center"/>
        <w:tblLayout w:type="fixed"/>
        <w:tblCellMar>
          <w:top w:w="0" w:type="dxa"/>
          <w:left w:w="108" w:type="dxa"/>
          <w:bottom w:w="0" w:type="dxa"/>
          <w:right w:w="108" w:type="dxa"/>
        </w:tblCellMar>
      </w:tblPr>
      <w:tblGrid>
        <w:gridCol w:w="645"/>
        <w:gridCol w:w="4488"/>
        <w:gridCol w:w="1602"/>
        <w:gridCol w:w="1575"/>
        <w:gridCol w:w="1888"/>
        <w:gridCol w:w="1425"/>
        <w:gridCol w:w="3197"/>
      </w:tblGrid>
      <w:tr>
        <w:tblPrEx>
          <w:tblCellMar>
            <w:top w:w="0" w:type="dxa"/>
            <w:left w:w="108" w:type="dxa"/>
            <w:bottom w:w="0" w:type="dxa"/>
            <w:right w:w="108" w:type="dxa"/>
          </w:tblCellMar>
        </w:tblPrEx>
        <w:trPr>
          <w:trHeight w:val="108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修正前投标</w:t>
            </w:r>
          </w:p>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修正后投标</w:t>
            </w:r>
          </w:p>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B</w:t>
            </w:r>
          </w:p>
        </w:tc>
        <w:tc>
          <w:tcPr>
            <w:tcW w:w="1888"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修正率</w:t>
            </w:r>
          </w:p>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r=|A-B|/A*100%</w:t>
            </w:r>
          </w:p>
        </w:tc>
        <w:tc>
          <w:tcPr>
            <w:tcW w:w="1425"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经评审的最终投标报价</w:t>
            </w: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当</w:t>
            </w:r>
            <w:r>
              <w:rPr>
                <w:rFonts w:ascii="宋体" w:hAnsi="宋体"/>
                <w:color w:val="000000" w:themeColor="text1"/>
                <w:kern w:val="0"/>
                <w:szCs w:val="21"/>
                <w14:textFill>
                  <w14:solidFill>
                    <w14:schemeClr w14:val="tx1"/>
                  </w14:solidFill>
                </w14:textFill>
              </w:rPr>
              <w:t>B&gt;A</w:t>
            </w:r>
            <w:r>
              <w:rPr>
                <w:rFonts w:hint="eastAsia" w:ascii="宋体" w:hAnsi="宋体"/>
                <w:color w:val="000000" w:themeColor="text1"/>
                <w:kern w:val="0"/>
                <w:szCs w:val="21"/>
                <w14:textFill>
                  <w14:solidFill>
                    <w14:schemeClr w14:val="tx1"/>
                  </w14:solidFill>
                </w14:textFill>
              </w:rPr>
              <w:t>时，修正后报价与原报价的差额；当</w:t>
            </w:r>
            <w:r>
              <w:rPr>
                <w:rFonts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14:textFill>
                  <w14:solidFill>
                    <w14:schemeClr w14:val="tx1"/>
                  </w14:solidFill>
                </w14:textFill>
              </w:rPr>
              <w:t>时，</w:t>
            </w:r>
            <w:r>
              <w:rPr>
                <w:rFonts w:ascii="宋体" w:hAnsi="宋体"/>
                <w:color w:val="000000" w:themeColor="text1"/>
                <w:kern w:val="0"/>
                <w:szCs w:val="21"/>
                <w14:textFill>
                  <w14:solidFill>
                    <w14:schemeClr w14:val="tx1"/>
                  </w14:solidFill>
                </w14:textFill>
              </w:rPr>
              <w:t>R=0</w:t>
            </w: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645" w:type="dxa"/>
            <w:tcBorders>
              <w:top w:val="nil"/>
              <w:left w:val="single" w:color="auto" w:sz="4" w:space="0"/>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57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888" w:type="dxa"/>
            <w:tcBorders>
              <w:top w:val="nil"/>
              <w:left w:val="nil"/>
              <w:bottom w:val="single" w:color="auto" w:sz="4" w:space="0"/>
              <w:right w:val="single" w:color="auto" w:sz="4" w:space="0"/>
              <w:tr2bl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p>
        </w:tc>
        <w:tc>
          <w:tcPr>
            <w:tcW w:w="3197"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A=A</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+A</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An</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B=B</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+B</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Bn</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修正原则：按就低不就高原则，当修正后报价小于原报价，总价按修正后报价；当修正后报价大于原报价，总价按原报价，并在签订合同时载明在结算价中扣除修正报价与原报价的差额。</w:t>
      </w:r>
      <w:r>
        <w:rPr>
          <w:rFonts w:hint="eastAsia" w:ascii="宋体" w:hAnsi="宋体"/>
          <w:color w:val="000000" w:themeColor="text1"/>
          <w:szCs w:val="21"/>
          <w:lang w:val="en-US" w:eastAsia="zh-CN"/>
          <w14:textFill>
            <w14:solidFill>
              <w14:schemeClr w14:val="tx1"/>
            </w14:solidFill>
          </w14:textFill>
        </w:rPr>
        <w:tab/>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算术复核表</w:t>
      </w:r>
    </w:p>
    <w:p>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tbl>
      <w:tblPr>
        <w:tblStyle w:val="36"/>
        <w:tblW w:w="15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456"/>
        <w:gridCol w:w="2991"/>
        <w:gridCol w:w="4039"/>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编号</w:t>
            </w:r>
          </w:p>
        </w:tc>
        <w:tc>
          <w:tcPr>
            <w:tcW w:w="3456" w:type="dxa"/>
            <w:tcBorders>
              <w:top w:val="single" w:color="auto" w:sz="4" w:space="0"/>
              <w:left w:val="single" w:color="auto" w:sz="4" w:space="0"/>
              <w:bottom w:val="single" w:color="auto" w:sz="4" w:space="0"/>
              <w:right w:val="single" w:color="auto" w:sz="4" w:space="0"/>
            </w:tcBorders>
          </w:tcPr>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投标人名称</w:t>
            </w:r>
          </w:p>
        </w:tc>
        <w:tc>
          <w:tcPr>
            <w:tcW w:w="2991" w:type="dxa"/>
            <w:tcBorders>
              <w:top w:val="single" w:color="auto" w:sz="4" w:space="0"/>
              <w:left w:val="single" w:color="auto" w:sz="4" w:space="0"/>
              <w:bottom w:val="single" w:color="auto" w:sz="4" w:space="0"/>
              <w:right w:val="single" w:color="auto" w:sz="4" w:space="0"/>
            </w:tcBorders>
          </w:tcPr>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原投标报价（</w:t>
            </w:r>
            <w:r>
              <w:rPr>
                <w:b/>
                <w:color w:val="000000" w:themeColor="text1"/>
                <w:sz w:val="28"/>
                <w:szCs w:val="28"/>
                <w14:textFill>
                  <w14:solidFill>
                    <w14:schemeClr w14:val="tx1"/>
                  </w14:solidFill>
                </w14:textFill>
              </w:rPr>
              <w:t>A</w:t>
            </w:r>
            <w:r>
              <w:rPr>
                <w:rFonts w:hint="eastAsia"/>
                <w:b/>
                <w:color w:val="000000" w:themeColor="text1"/>
                <w:sz w:val="28"/>
                <w:szCs w:val="28"/>
                <w14:textFill>
                  <w14:solidFill>
                    <w14:schemeClr w14:val="tx1"/>
                  </w14:solidFill>
                </w14:textFill>
              </w:rPr>
              <w:t>）</w:t>
            </w:r>
          </w:p>
        </w:tc>
        <w:tc>
          <w:tcPr>
            <w:tcW w:w="4039" w:type="dxa"/>
            <w:tcBorders>
              <w:top w:val="single" w:color="auto" w:sz="4" w:space="0"/>
              <w:left w:val="single" w:color="auto" w:sz="4" w:space="0"/>
              <w:bottom w:val="single" w:color="auto" w:sz="4" w:space="0"/>
              <w:right w:val="single" w:color="auto" w:sz="4" w:space="0"/>
            </w:tcBorders>
          </w:tcPr>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算数复核后投标报价（</w:t>
            </w:r>
            <w:r>
              <w:rPr>
                <w:b/>
                <w:color w:val="000000" w:themeColor="text1"/>
                <w:sz w:val="28"/>
                <w:szCs w:val="28"/>
                <w14:textFill>
                  <w14:solidFill>
                    <w14:schemeClr w14:val="tx1"/>
                  </w14:solidFill>
                </w14:textFill>
              </w:rPr>
              <w:t>B</w:t>
            </w:r>
            <w:r>
              <w:rPr>
                <w:rFonts w:hint="eastAsia"/>
                <w:b/>
                <w:color w:val="000000" w:themeColor="text1"/>
                <w:sz w:val="28"/>
                <w:szCs w:val="28"/>
                <w14:textFill>
                  <w14:solidFill>
                    <w14:schemeClr w14:val="tx1"/>
                  </w14:solidFill>
                </w14:textFill>
              </w:rPr>
              <w:t>）</w:t>
            </w:r>
          </w:p>
        </w:tc>
        <w:tc>
          <w:tcPr>
            <w:tcW w:w="3690" w:type="dxa"/>
            <w:tcBorders>
              <w:top w:val="single" w:color="auto" w:sz="4" w:space="0"/>
              <w:left w:val="single" w:color="auto" w:sz="4" w:space="0"/>
              <w:bottom w:val="single" w:color="auto" w:sz="4" w:space="0"/>
              <w:right w:val="single" w:color="auto" w:sz="4" w:space="0"/>
            </w:tcBorders>
          </w:tcPr>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误差率（</w:t>
            </w:r>
            <w:r>
              <w:rPr>
                <w:b/>
                <w:color w:val="000000" w:themeColor="text1"/>
                <w:sz w:val="28"/>
                <w:szCs w:val="28"/>
                <w14:textFill>
                  <w14:solidFill>
                    <w14:schemeClr w14:val="tx1"/>
                  </w14:solidFill>
                </w14:textFill>
              </w:rPr>
              <w:t>r=|A-B|/A*100%</w:t>
            </w:r>
            <w:r>
              <w:rPr>
                <w:rFonts w:hint="eastAsia"/>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2"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56"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99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039"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69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bl>
    <w:p>
      <w:pPr>
        <w:spacing w:line="360" w:lineRule="auto"/>
        <w:jc w:val="center"/>
        <w:rPr>
          <w:rFonts w:hint="eastAsia" w:ascii="仿宋_GB2312" w:hAnsi="宋体" w:eastAsia="仿宋_GB2312"/>
          <w:color w:val="000000" w:themeColor="text1"/>
          <w:szCs w:val="21"/>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color w:val="000000" w:themeColor="text1"/>
          <w14:textFill>
            <w14:solidFill>
              <w14:schemeClr w14:val="tx1"/>
            </w14:solidFill>
          </w14:textFill>
        </w:rPr>
      </w:pPr>
      <w:bookmarkStart w:id="46" w:name="_Toc2272566"/>
      <w:bookmarkStart w:id="47" w:name="_Toc25573"/>
      <w:bookmarkStart w:id="48" w:name="_Toc21525511"/>
      <w:r>
        <w:rPr>
          <w:rFonts w:hint="eastAsia"/>
          <w:color w:val="000000" w:themeColor="text1"/>
          <w14:textFill>
            <w14:solidFill>
              <w14:schemeClr w14:val="tx1"/>
            </w14:solidFill>
          </w14:textFill>
        </w:rPr>
        <w:t>第三章  合同条款</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按《广州市建设工程施工合同》（SF－2019－0204）执行，另册。</w:t>
      </w:r>
    </w:p>
    <w:p>
      <w:pPr>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2"/>
        <w:spacing w:line="360" w:lineRule="auto"/>
        <w:rPr>
          <w:color w:val="000000" w:themeColor="text1"/>
          <w:sz w:val="24"/>
          <w:szCs w:val="24"/>
          <w14:textFill>
            <w14:solidFill>
              <w14:schemeClr w14:val="tx1"/>
            </w14:solidFill>
          </w14:textFill>
        </w:rPr>
      </w:pPr>
    </w:p>
    <w:p>
      <w:pPr>
        <w:pStyle w:val="2"/>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color w:val="000000" w:themeColor="text1"/>
          <w14:textFill>
            <w14:solidFill>
              <w14:schemeClr w14:val="tx1"/>
            </w14:solidFill>
          </w14:textFill>
        </w:rPr>
      </w:pPr>
      <w:bookmarkStart w:id="49" w:name="_Toc21525512"/>
      <w:bookmarkStart w:id="50" w:name="_Toc2272567"/>
      <w:bookmarkStart w:id="51" w:name="_Toc25299"/>
      <w:r>
        <w:rPr>
          <w:rFonts w:hint="eastAsia"/>
          <w:color w:val="000000" w:themeColor="text1"/>
          <w14:textFill>
            <w14:solidFill>
              <w14:schemeClr w14:val="tx1"/>
            </w14:solidFill>
          </w14:textFill>
        </w:rPr>
        <w:t>第四章  投标文件格式</w:t>
      </w:r>
      <w:bookmarkEnd w:id="49"/>
      <w:bookmarkEnd w:id="50"/>
      <w:bookmarkEnd w:id="51"/>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rFonts w:hint="eastAsia" w:ascii="宋体" w:hAnsi="宋体"/>
          <w:color w:val="000000" w:themeColor="text1"/>
          <w:sz w:val="24"/>
          <w:szCs w:val="24"/>
          <w14:textFill>
            <w14:solidFill>
              <w14:schemeClr w14:val="tx1"/>
            </w14:solidFill>
          </w14:textFill>
        </w:rPr>
      </w:pPr>
      <w:r>
        <w:rPr>
          <w:color w:val="000000" w:themeColor="text1"/>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附件一</w:t>
      </w:r>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（适用于技术标与经济标同时开启）</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firstLine="0" w:firstLineChars="0"/>
        <w:jc w:val="center"/>
        <w:textAlignment w:val="auto"/>
        <w:rPr>
          <w:rFonts w:ascii="宋体"/>
          <w:b/>
          <w:bCs/>
          <w:color w:val="000000" w:themeColor="text1"/>
          <w:sz w:val="52"/>
          <w:szCs w:val="52"/>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程</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名</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其中：绿色施工安全防护措施费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color w:val="000000" w:themeColor="text1"/>
          <w:szCs w:val="21"/>
          <w14:textFill>
            <w14:solidFill>
              <w14:schemeClr w14:val="tx1"/>
            </w14:solidFill>
          </w14:textFill>
        </w:rPr>
      </w:pPr>
      <w:r>
        <w:rPr>
          <w:color w:val="000000" w:themeColor="text1"/>
          <w:sz w:val="24"/>
          <w:szCs w:val="24"/>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附件二</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投标文件编制人员名单</w:t>
      </w:r>
    </w:p>
    <w:p>
      <w:pPr>
        <w:keepNext w:val="0"/>
        <w:keepLines w:val="0"/>
        <w:pageBreakBefore w:val="0"/>
        <w:widowControl w:val="0"/>
        <w:tabs>
          <w:tab w:val="left" w:pos="720"/>
        </w:tabs>
        <w:kinsoku/>
        <w:wordWrap/>
        <w:overflowPunct/>
        <w:topLinePunct w:val="0"/>
        <w:autoSpaceDE/>
        <w:autoSpaceDN/>
        <w:bidi w:val="0"/>
        <w:adjustRightInd/>
        <w:snapToGrid/>
        <w:spacing w:before="313" w:beforeLines="100" w:after="313" w:afterLines="100" w:line="360" w:lineRule="auto"/>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一、参与编制技术标投标文件人员名单</w:t>
      </w:r>
    </w:p>
    <w:tbl>
      <w:tblPr>
        <w:tblStyle w:val="3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545"/>
        <w:gridCol w:w="2609"/>
        <w:gridCol w:w="250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color w:val="000000" w:themeColor="text1"/>
                <w:szCs w:val="21"/>
                <w14:textFill>
                  <w14:solidFill>
                    <w14:schemeClr w14:val="tx1"/>
                  </w14:solidFill>
                </w14:textFill>
              </w:rPr>
            </w:pPr>
          </w:p>
        </w:tc>
      </w:tr>
    </w:tbl>
    <w:p>
      <w:pPr>
        <w:keepNext w:val="0"/>
        <w:keepLines w:val="0"/>
        <w:pageBreakBefore w:val="0"/>
        <w:widowControl w:val="0"/>
        <w:tabs>
          <w:tab w:val="left" w:pos="720"/>
        </w:tabs>
        <w:kinsoku/>
        <w:wordWrap/>
        <w:overflowPunct/>
        <w:topLinePunct w:val="0"/>
        <w:autoSpaceDE/>
        <w:autoSpaceDN/>
        <w:bidi w:val="0"/>
        <w:adjustRightInd/>
        <w:snapToGrid/>
        <w:spacing w:before="313" w:beforeLines="100" w:after="313" w:afterLines="100" w:line="360" w:lineRule="auto"/>
        <w:jc w:val="center"/>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二、参与编制经济标投标文件人员名单</w:t>
      </w:r>
    </w:p>
    <w:tbl>
      <w:tblPr>
        <w:tblStyle w:val="3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558"/>
        <w:gridCol w:w="2631"/>
        <w:gridCol w:w="252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6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25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20"/>
              </w:tabs>
              <w:kinsoku/>
              <w:wordWrap/>
              <w:overflowPunct/>
              <w:topLinePunct w:val="0"/>
              <w:autoSpaceDE/>
              <w:autoSpaceDN/>
              <w:bidi w:val="0"/>
              <w:adjustRightInd/>
              <w:snapToGrid/>
              <w:spacing w:line="440" w:lineRule="exact"/>
              <w:jc w:val="center"/>
              <w:textAlignment w:val="auto"/>
              <w:rPr>
                <w:rFonts w:hint="eastAsia" w:ascii="宋体" w:hAnsi="宋体"/>
                <w:color w:val="000000" w:themeColor="text1"/>
                <w:szCs w:val="21"/>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pStyle w:val="5"/>
        <w:spacing w:after="0" w:line="360" w:lineRule="auto"/>
        <w:ind w:left="-2" w:leftChars="-1" w:firstLine="367" w:firstLineChars="175"/>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附件三</w:t>
      </w:r>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对投标文件编制的承诺</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本公司授权</w:t>
      </w:r>
      <w:r>
        <w:rPr>
          <w:rFonts w:hint="eastAsia" w:ascii="宋体" w:hAnsi="宋体"/>
          <w:color w:val="000000" w:themeColor="text1"/>
          <w:sz w:val="24"/>
          <w:szCs w:val="24"/>
          <w:u w:val="single"/>
          <w14:textFill>
            <w14:solidFill>
              <w14:schemeClr w14:val="tx1"/>
            </w14:solidFill>
          </w14:textFill>
        </w:rPr>
        <w:t xml:space="preserve">         （身份证号：               ）</w:t>
      </w:r>
      <w:r>
        <w:rPr>
          <w:rFonts w:hint="eastAsia" w:ascii="宋体" w:hAnsi="宋体"/>
          <w:color w:val="000000" w:themeColor="text1"/>
          <w:sz w:val="24"/>
          <w:szCs w:val="24"/>
          <w14:textFill>
            <w14:solidFill>
              <w14:schemeClr w14:val="tx1"/>
            </w14:solidFill>
          </w14:textFill>
        </w:rPr>
        <w:t>负责对投标文件的编制及内容进行解释、说明，并承诺以下事项：</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1.被授权人清楚投标文件编制的具体情况，包括技术方案文件、工程量清单、以及投标文件的加密打包的理解；</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2.在本项目开标至评标结束前，努力确保被授权人在项目评标所在地附近；</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3.从评标委员会要求澄清起二小时内，被授权人应如实地书面澄清。</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如由于未遵守上述承诺内容之一导致无法进行澄清的，我公司认可和接受评标委员会作出的评审结论。                                 </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附件：《投标文件编制情况》</w:t>
      </w:r>
    </w:p>
    <w:p>
      <w:pPr>
        <w:spacing w:line="360" w:lineRule="auto"/>
        <w:ind w:right="90" w:firstLine="4920" w:firstLineChars="205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440" w:firstLineChars="18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日期：      年   月   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5"/>
        <w:spacing w:after="0" w:line="360" w:lineRule="auto"/>
        <w:ind w:firstLine="0"/>
        <w:rPr>
          <w:b/>
          <w:color w:val="000000" w:themeColor="text1"/>
          <w:sz w:val="32"/>
          <w:szCs w:val="32"/>
          <w14:textFill>
            <w14:solidFill>
              <w14:schemeClr w14:val="tx1"/>
            </w14:solidFill>
          </w14:textFill>
        </w:rPr>
      </w:pPr>
    </w:p>
    <w:p>
      <w:pPr>
        <w:pStyle w:val="5"/>
        <w:spacing w:after="0" w:line="360" w:lineRule="auto"/>
        <w:ind w:left="0" w:leftChars="0" w:firstLine="0" w:firstLineChars="0"/>
        <w:jc w:val="center"/>
        <w:rPr>
          <w:color w:val="000000" w:themeColor="text1"/>
          <w:sz w:val="18"/>
          <w:szCs w:val="18"/>
          <w14:textFill>
            <w14:solidFill>
              <w14:schemeClr w14:val="tx1"/>
            </w14:solidFill>
          </w14:textFill>
        </w:rPr>
      </w:pPr>
      <w:r>
        <w:rPr>
          <w:rFonts w:hint="eastAsia"/>
          <w:b/>
          <w:color w:val="000000" w:themeColor="text1"/>
          <w:sz w:val="32"/>
          <w:szCs w:val="32"/>
          <w14:textFill>
            <w14:solidFill>
              <w14:schemeClr w14:val="tx1"/>
            </w14:solidFill>
          </w14:textFill>
        </w:rPr>
        <w:t>投标文件编制情况</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1.投标文件报价编制方式： □自行编制的，编制的负责人：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14:textFill>
            <w14:solidFill>
              <w14:schemeClr w14:val="tx1"/>
            </w14:solidFill>
          </w14:textFill>
        </w:rPr>
        <w:t>。□委托编制的，受委托单位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2.投标文件加密打包的电脑情况</w:t>
      </w:r>
    </w:p>
    <w:tbl>
      <w:tblPr>
        <w:tblStyle w:val="36"/>
        <w:tblW w:w="16612" w:type="dxa"/>
        <w:tblInd w:w="0" w:type="dxa"/>
        <w:tblLayout w:type="fixed"/>
        <w:tblCellMar>
          <w:top w:w="0" w:type="dxa"/>
          <w:left w:w="108" w:type="dxa"/>
          <w:bottom w:w="0" w:type="dxa"/>
          <w:right w:w="108" w:type="dxa"/>
        </w:tblCellMar>
      </w:tblPr>
      <w:tblGrid>
        <w:gridCol w:w="8306"/>
        <w:gridCol w:w="8306"/>
      </w:tblGrid>
      <w:tr>
        <w:tblPrEx>
          <w:tblCellMar>
            <w:top w:w="0" w:type="dxa"/>
            <w:left w:w="108" w:type="dxa"/>
            <w:bottom w:w="0" w:type="dxa"/>
            <w:right w:w="108" w:type="dxa"/>
          </w:tblCellMar>
        </w:tblPrEx>
        <w:trPr>
          <w:trHeight w:val="2819" w:hRule="atLeast"/>
        </w:trPr>
        <w:tc>
          <w:tcPr>
            <w:tcW w:w="8306" w:type="dxa"/>
          </w:tcPr>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投标文件加密打包的电脑   </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自有    </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 外包    □ 其他    □电脑类型</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电脑所属单位</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电脑所在地址 （如××市××区（县） ××街（路）××号××大厦××房）</w:t>
            </w:r>
          </w:p>
        </w:tc>
        <w:tc>
          <w:tcPr>
            <w:tcW w:w="8306" w:type="dxa"/>
          </w:tcPr>
          <w:p>
            <w:pPr>
              <w:pStyle w:val="5"/>
              <w:spacing w:after="0" w:line="360" w:lineRule="auto"/>
              <w:ind w:firstLine="0"/>
              <w:rPr>
                <w:rFonts w:hint="eastAsia" w:ascii="宋体" w:hAnsi="宋体"/>
                <w:color w:val="000000" w:themeColor="text1"/>
                <w:sz w:val="24"/>
                <w:szCs w:val="24"/>
                <w14:textFill>
                  <w14:solidFill>
                    <w14:schemeClr w14:val="tx1"/>
                  </w14:solidFill>
                </w14:textFill>
              </w:rPr>
            </w:pPr>
          </w:p>
        </w:tc>
      </w:tr>
    </w:tbl>
    <w:p>
      <w:pPr>
        <w:autoSpaceDE w:val="0"/>
        <w:autoSpaceDN w:val="0"/>
        <w:adjustRightInd w:val="0"/>
        <w:rPr>
          <w:sz w:val="24"/>
          <w:szCs w:val="24"/>
        </w:rPr>
      </w:pPr>
      <w:r>
        <w:rPr>
          <w:rFonts w:hint="eastAsia"/>
          <w:sz w:val="24"/>
          <w:szCs w:val="24"/>
        </w:rPr>
        <w:br w:type="page"/>
      </w:r>
    </w:p>
    <w:p>
      <w:pPr>
        <w:keepNext w:val="0"/>
        <w:keepLines w:val="0"/>
        <w:pageBreakBefore w:val="0"/>
        <w:widowControl/>
        <w:kinsoku/>
        <w:wordWrap/>
        <w:overflowPunct/>
        <w:topLinePunct w:val="0"/>
        <w:autoSpaceDE/>
        <w:autoSpaceDN/>
        <w:bidi w:val="0"/>
        <w:adjustRightInd/>
        <w:snapToGrid/>
        <w:spacing w:line="360" w:lineRule="auto"/>
        <w:ind w:right="102"/>
        <w:jc w:val="left"/>
        <w:textAlignment w:val="auto"/>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附件四</w:t>
      </w:r>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bookmarkStart w:id="52" w:name="_Toc243833744"/>
      <w:bookmarkStart w:id="53" w:name="_Toc11807"/>
      <w:bookmarkStart w:id="54" w:name="_Toc32507"/>
      <w:bookmarkStart w:id="55" w:name="_Toc13854"/>
      <w:bookmarkStart w:id="56" w:name="_Toc7101"/>
      <w:r>
        <w:rPr>
          <w:rFonts w:hint="eastAsia" w:ascii="宋体" w:hAnsi="宋体" w:cs="宋体"/>
          <w:b/>
          <w:bCs/>
          <w:color w:val="000000" w:themeColor="text1"/>
          <w:sz w:val="44"/>
          <w:szCs w:val="44"/>
          <w:lang w:val="zh-CN"/>
          <w14:textFill>
            <w14:solidFill>
              <w14:schemeClr w14:val="tx1"/>
            </w14:solidFill>
          </w14:textFill>
        </w:rPr>
        <w:t>法定代表人身份证明书</w:t>
      </w:r>
      <w:bookmarkEnd w:id="52"/>
      <w:bookmarkEnd w:id="53"/>
      <w:bookmarkEnd w:id="54"/>
      <w:bookmarkEnd w:id="55"/>
      <w:bookmarkEnd w:id="56"/>
    </w:p>
    <w:p>
      <w:pPr>
        <w:spacing w:line="440" w:lineRule="exact"/>
        <w:jc w:val="right"/>
        <w:rPr>
          <w:rFonts w:hint="eastAsia" w:ascii="宋体" w:hAnsi="宋体"/>
          <w:sz w:val="30"/>
          <w:szCs w:val="30"/>
        </w:rPr>
      </w:pPr>
      <w:r>
        <w:rPr>
          <w:rFonts w:hint="eastAsia" w:ascii="宋体" w:hAnsi="宋体"/>
          <w:sz w:val="30"/>
          <w:szCs w:val="30"/>
        </w:rPr>
        <w:t>（　 ）第　号</w:t>
      </w:r>
    </w:p>
    <w:p>
      <w:pPr>
        <w:spacing w:line="360" w:lineRule="auto"/>
        <w:jc w:val="center"/>
        <w:rPr>
          <w:rFonts w:hint="eastAsia" w:ascii="宋体" w:hAnsi="宋体"/>
          <w:sz w:val="30"/>
          <w:szCs w:val="21"/>
        </w:rPr>
      </w:pPr>
      <w:r>
        <w:rPr>
          <w:rFonts w:ascii="宋体" w:hAnsi="宋体"/>
          <w:sz w:val="30"/>
          <w:szCs w:val="3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104140</wp:posOffset>
                </wp:positionV>
                <wp:extent cx="5800725" cy="2773680"/>
                <wp:effectExtent l="4445" t="5080" r="5080" b="21590"/>
                <wp:wrapNone/>
                <wp:docPr id="20" name="文本框 20"/>
                <wp:cNvGraphicFramePr/>
                <a:graphic xmlns:a="http://schemas.openxmlformats.org/drawingml/2006/main">
                  <a:graphicData uri="http://schemas.microsoft.com/office/word/2010/wordprocessingShape">
                    <wps:wsp>
                      <wps:cNvSpPr txBox="1"/>
                      <wps:spPr>
                        <a:xfrm>
                          <a:off x="0" y="0"/>
                          <a:ext cx="580072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hint="eastAsia" w:ascii="宋体" w:hAnsi="宋体" w:cs="宋体"/>
                                <w:sz w:val="28"/>
                                <w:szCs w:val="28"/>
                              </w:rPr>
                            </w:pPr>
                            <w:r>
                              <w:rPr>
                                <w:rFonts w:hint="eastAsia" w:ascii="宋体" w:hAnsi="宋体" w:cs="宋体"/>
                                <w:sz w:val="28"/>
                                <w:szCs w:val="28"/>
                              </w:rPr>
                              <w:t>特此证明。</w:t>
                            </w:r>
                          </w:p>
                          <w:p>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wps:txbx>
                      <wps:bodyPr upright="1"/>
                    </wps:wsp>
                  </a:graphicData>
                </a:graphic>
              </wp:anchor>
            </w:drawing>
          </mc:Choice>
          <mc:Fallback>
            <w:pict>
              <v:shape id="_x0000_s1026" o:spid="_x0000_s1026" o:spt="202" type="#_x0000_t202" style="position:absolute;left:0pt;margin-left:-18pt;margin-top:8.2pt;height:218.4pt;width:456.75pt;z-index:251659264;mso-width-relative:page;mso-height-relative:page;" fillcolor="#FFFFFF" filled="t" stroked="t" coordsize="21600,21600" o:gfxdata="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Z6Kx2gAAAAoBAAAPAAAA&#10;AAAAAAEAIAAAACIAAABkcnMvZG93bnJldi54bWxQSwECFAAUAAAACACHTuJAIWpoIBMCAABHBAAA&#10;DgAAAAAAAAABACAAAAApAQAAZHJzL2Uyb0RvYy54bWxQSwUGAAAAAAYABgBZAQAArgUAAAAA&#10;">
                <v:fill on="t" focussize="0,0"/>
                <v:stroke color="#000000" joinstyle="miter"/>
                <v:imagedata o:title=""/>
                <o:lock v:ext="edit" aspectratio="f"/>
                <v:textbox>
                  <w:txbxContent>
                    <w:p>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hint="eastAsia" w:ascii="宋体" w:hAnsi="宋体" w:cs="宋体"/>
                          <w:sz w:val="28"/>
                          <w:szCs w:val="28"/>
                        </w:rPr>
                      </w:pPr>
                      <w:r>
                        <w:rPr>
                          <w:rFonts w:hint="eastAsia" w:ascii="宋体" w:hAnsi="宋体" w:cs="宋体"/>
                          <w:sz w:val="28"/>
                          <w:szCs w:val="28"/>
                        </w:rPr>
                        <w:t>特此证明。</w:t>
                      </w:r>
                    </w:p>
                    <w:p>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v:textbox>
              </v:shape>
            </w:pict>
          </mc:Fallback>
        </mc:AlternateContent>
      </w:r>
    </w:p>
    <w:p>
      <w:pPr>
        <w:spacing w:line="360" w:lineRule="auto"/>
        <w:jc w:val="center"/>
        <w:rPr>
          <w:rFonts w:hint="eastAsia" w:ascii="宋体" w:hAnsi="宋体"/>
          <w:sz w:val="30"/>
          <w:szCs w:val="21"/>
        </w:rPr>
      </w:pPr>
    </w:p>
    <w:p>
      <w:pPr>
        <w:spacing w:line="360" w:lineRule="auto"/>
        <w:jc w:val="center"/>
        <w:rPr>
          <w:rFonts w:hint="eastAsia" w:ascii="宋体" w:hAnsi="宋体"/>
          <w:sz w:val="30"/>
          <w:szCs w:val="21"/>
        </w:rPr>
      </w:pPr>
    </w:p>
    <w:p>
      <w:pPr>
        <w:spacing w:line="360" w:lineRule="auto"/>
        <w:jc w:val="center"/>
        <w:rPr>
          <w:rFonts w:hint="eastAsia" w:ascii="宋体" w:hAnsi="宋体"/>
          <w:sz w:val="30"/>
          <w:szCs w:val="21"/>
        </w:rPr>
      </w:pPr>
    </w:p>
    <w:p>
      <w:pPr>
        <w:spacing w:line="360" w:lineRule="auto"/>
        <w:ind w:right="-96"/>
        <w:rPr>
          <w:rFonts w:hint="eastAsia" w:ascii="宋体" w:hAnsi="宋体"/>
          <w:sz w:val="30"/>
          <w:szCs w:val="28"/>
        </w:rPr>
      </w:pPr>
      <w:r>
        <w:rPr>
          <w:rFonts w:ascii="宋体" w:hAnsi="宋体"/>
          <w:sz w:val="30"/>
          <w:szCs w:val="21"/>
        </w:rPr>
        <w:t>………………………………………………………………………………</w:t>
      </w:r>
    </w:p>
    <w:p>
      <w:pPr>
        <w:spacing w:line="360" w:lineRule="auto"/>
        <w:jc w:val="center"/>
      </w:pPr>
      <w:r>
        <w:rPr>
          <w:rFonts w:hint="eastAsia" w:ascii="宋体" w:hAnsi="宋体"/>
          <w:b/>
          <w:bCs/>
          <w:sz w:val="24"/>
        </w:rPr>
        <w:t>注：按提供的该表格格式填写，或使用从工商管理部门购买的表格填写。</w:t>
      </w:r>
      <w:bookmarkStart w:id="57" w:name="_Toc243833745"/>
    </w:p>
    <w:p>
      <w:pPr>
        <w:keepNext/>
        <w:keepLines/>
        <w:numPr>
          <w:ilvl w:val="1"/>
          <w:numId w:val="0"/>
        </w:numPr>
        <w:spacing w:before="120" w:after="120" w:line="415" w:lineRule="auto"/>
        <w:ind w:left="454"/>
        <w:jc w:val="center"/>
        <w:outlineLvl w:val="1"/>
        <w:rPr>
          <w:rFonts w:ascii="Arial" w:hAnsi="Arial"/>
          <w:b/>
          <w:kern w:val="0"/>
          <w:sz w:val="24"/>
          <w:szCs w:val="24"/>
        </w:rPr>
      </w:pPr>
      <w:bookmarkStart w:id="58" w:name="_Toc27051"/>
      <w:bookmarkStart w:id="59" w:name="_Toc8987"/>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bookmarkStart w:id="60" w:name="_Toc1262"/>
      <w:bookmarkStart w:id="61" w:name="_Toc14871"/>
      <w:r>
        <w:rPr>
          <w:rFonts w:hint="eastAsia" w:ascii="宋体" w:hAnsi="宋体" w:cs="宋体"/>
          <w:b/>
          <w:bCs/>
          <w:color w:val="000000" w:themeColor="text1"/>
          <w:sz w:val="44"/>
          <w:szCs w:val="44"/>
          <w:lang w:val="zh-CN"/>
          <w14:textFill>
            <w14:solidFill>
              <w14:schemeClr w14:val="tx1"/>
            </w14:solidFill>
          </w14:textFill>
        </w:rPr>
        <w:t>授权委托证明书</w:t>
      </w:r>
      <w:bookmarkEnd w:id="57"/>
      <w:bookmarkEnd w:id="58"/>
      <w:bookmarkEnd w:id="59"/>
      <w:bookmarkEnd w:id="60"/>
      <w:bookmarkEnd w:id="61"/>
    </w:p>
    <w:p>
      <w:pPr>
        <w:tabs>
          <w:tab w:val="left" w:pos="8820"/>
        </w:tabs>
        <w:wordWrap w:val="0"/>
        <w:spacing w:line="400" w:lineRule="exact"/>
        <w:jc w:val="right"/>
        <w:rPr>
          <w:rFonts w:hint="eastAsia" w:ascii="宋体" w:hAnsi="宋体"/>
          <w:sz w:val="30"/>
          <w:szCs w:val="30"/>
        </w:rPr>
      </w:pPr>
      <w:r>
        <w:rPr>
          <w:rFonts w:hint="eastAsia" w:ascii="宋体" w:hAnsi="宋体"/>
          <w:sz w:val="30"/>
          <w:szCs w:val="30"/>
        </w:rPr>
        <w:t>（   ）第  号</w:t>
      </w:r>
    </w:p>
    <w:p>
      <w:pPr>
        <w:tabs>
          <w:tab w:val="left" w:pos="8820"/>
        </w:tabs>
        <w:spacing w:line="400" w:lineRule="exact"/>
        <w:jc w:val="center"/>
        <w:rPr>
          <w:rFonts w:hint="eastAsia" w:ascii="宋体" w:hAnsi="宋体"/>
          <w:sz w:val="30"/>
          <w:szCs w:val="30"/>
        </w:rPr>
      </w:pPr>
      <w:r>
        <w:rPr>
          <w:rFonts w:ascii="宋体" w:hAnsi="宋体"/>
          <w:sz w:val="30"/>
          <w:szCs w:val="30"/>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50800</wp:posOffset>
                </wp:positionV>
                <wp:extent cx="5829300" cy="3233420"/>
                <wp:effectExtent l="4445" t="4445" r="14605" b="19685"/>
                <wp:wrapNone/>
                <wp:docPr id="21" name="文本框 21"/>
                <wp:cNvGraphicFramePr/>
                <a:graphic xmlns:a="http://schemas.openxmlformats.org/drawingml/2006/main">
                  <a:graphicData uri="http://schemas.microsoft.com/office/word/2010/wordprocessingShape">
                    <wps:wsp>
                      <wps:cNvSpPr txBox="1"/>
                      <wps:spPr>
                        <a:xfrm>
                          <a:off x="0" y="0"/>
                          <a:ext cx="5829300" cy="323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pPr>
                              <w:ind w:firstLine="7000" w:firstLineChars="2500"/>
                            </w:pPr>
                            <w:r>
                              <w:rPr>
                                <w:rFonts w:hint="eastAsia"/>
                                <w:sz w:val="28"/>
                                <w:szCs w:val="28"/>
                              </w:rPr>
                              <w:t>年月日</w:t>
                            </w:r>
                          </w:p>
                        </w:txbxContent>
                      </wps:txbx>
                      <wps:bodyPr upright="1"/>
                    </wps:wsp>
                  </a:graphicData>
                </a:graphic>
              </wp:anchor>
            </w:drawing>
          </mc:Choice>
          <mc:Fallback>
            <w:pict>
              <v:shape id="_x0000_s1026" o:spid="_x0000_s1026" o:spt="202" type="#_x0000_t202" style="position:absolute;left:0pt;margin-left:-15.75pt;margin-top:4pt;height:254.6pt;width:459pt;z-index:251660288;mso-width-relative:page;mso-height-relative:page;" fillcolor="#FFFFFF" filled="t" stroked="t" coordsize="21600,21600" o:gfxdata="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xd77YAAAACQEAAA8AAAAA&#10;AAAAAQAgAAAAIgAAAGRycy9kb3ducmV2LnhtbFBLAQIUABQAAAAIAIdO4kCBzzHUFAIAAEcEAAAO&#10;AAAAAAAAAAEAIAAAACcBAABkcnMvZTJvRG9jLnhtbFBLBQYAAAAABgAGAFkBAACtBQAAAAA=&#10;">
                <v:fill on="t" focussize="0,0"/>
                <v:stroke color="#000000" joinstyle="miter"/>
                <v:imagedata o:title=""/>
                <o:lock v:ext="edit" aspectratio="f"/>
                <v:textbox>
                  <w:txbxContent>
                    <w:p>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pPr>
                        <w:ind w:firstLine="7000" w:firstLineChars="2500"/>
                      </w:pPr>
                      <w:r>
                        <w:rPr>
                          <w:rFonts w:hint="eastAsia"/>
                          <w:sz w:val="28"/>
                          <w:szCs w:val="28"/>
                        </w:rPr>
                        <w:t>年月日</w:t>
                      </w:r>
                    </w:p>
                  </w:txbxContent>
                </v:textbox>
              </v:shape>
            </w:pict>
          </mc:Fallback>
        </mc:AlternateContent>
      </w: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spacing w:line="360" w:lineRule="auto"/>
        <w:jc w:val="center"/>
        <w:rPr>
          <w:rFonts w:hint="eastAsia" w:ascii="宋体" w:hAnsi="宋体"/>
          <w:b/>
          <w:bCs/>
          <w:sz w:val="24"/>
        </w:rPr>
      </w:pPr>
    </w:p>
    <w:p>
      <w:pPr>
        <w:autoSpaceDE w:val="0"/>
        <w:autoSpaceDN w:val="0"/>
        <w:adjustRightInd w:val="0"/>
        <w:rPr>
          <w:rFonts w:hint="eastAsia" w:ascii="宋体" w:hAnsi="宋体" w:cs="宋体"/>
          <w:bCs/>
          <w:sz w:val="24"/>
        </w:rPr>
      </w:pPr>
      <w:r>
        <w:rPr>
          <w:rFonts w:hint="eastAsia" w:ascii="宋体" w:hAnsi="宋体" w:cs="宋体"/>
          <w:spacing w:val="4"/>
          <w:kern w:val="0"/>
          <w:sz w:val="24"/>
          <w:szCs w:val="24"/>
        </w:rPr>
        <w:t>注：该格式供参考。</w:t>
      </w:r>
      <w:r>
        <w:rPr>
          <w:rFonts w:hint="eastAsia" w:ascii="宋体" w:hAnsi="宋体" w:cs="宋体"/>
          <w:bCs/>
          <w:sz w:val="24"/>
        </w:rPr>
        <w:br w:type="page"/>
      </w:r>
      <w:r>
        <w:rPr>
          <w:rFonts w:hint="eastAsia" w:ascii="宋体" w:hAnsi="宋体" w:cs="宋体"/>
          <w:bCs/>
          <w:sz w:val="24"/>
        </w:rPr>
        <w:t>附件五</w:t>
      </w:r>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bookmarkStart w:id="62" w:name="_Toc42941305"/>
      <w:bookmarkStart w:id="63" w:name="_Toc482188667"/>
      <w:bookmarkStart w:id="64" w:name="_Toc2742"/>
      <w:r>
        <w:rPr>
          <w:rFonts w:hint="eastAsia" w:ascii="宋体" w:hAnsi="宋体" w:cs="宋体"/>
          <w:b/>
          <w:bCs/>
          <w:color w:val="000000" w:themeColor="text1"/>
          <w:sz w:val="44"/>
          <w:szCs w:val="44"/>
          <w:lang w:val="zh-CN"/>
          <w14:textFill>
            <w14:solidFill>
              <w14:schemeClr w14:val="tx1"/>
            </w14:solidFill>
          </w14:textFill>
        </w:rPr>
        <w:t>拟委任的项目管理机构人员汇总表</w:t>
      </w:r>
      <w:bookmarkEnd w:id="62"/>
      <w:bookmarkEnd w:id="63"/>
      <w:bookmarkEnd w:id="64"/>
    </w:p>
    <w:tbl>
      <w:tblPr>
        <w:tblStyle w:val="36"/>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98"/>
        <w:gridCol w:w="1088"/>
        <w:gridCol w:w="661"/>
        <w:gridCol w:w="535"/>
        <w:gridCol w:w="1243"/>
        <w:gridCol w:w="777"/>
        <w:gridCol w:w="957"/>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序号</w:t>
            </w:r>
          </w:p>
        </w:tc>
        <w:tc>
          <w:tcPr>
            <w:tcW w:w="139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本项目任职</w:t>
            </w:r>
          </w:p>
        </w:tc>
        <w:tc>
          <w:tcPr>
            <w:tcW w:w="108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姓名</w:t>
            </w:r>
          </w:p>
        </w:tc>
        <w:tc>
          <w:tcPr>
            <w:tcW w:w="661"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职称</w:t>
            </w:r>
          </w:p>
        </w:tc>
        <w:tc>
          <w:tcPr>
            <w:tcW w:w="53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专业</w:t>
            </w:r>
          </w:p>
        </w:tc>
        <w:tc>
          <w:tcPr>
            <w:tcW w:w="297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执业或职业资格证明</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rPr>
            </w:pPr>
          </w:p>
        </w:tc>
        <w:tc>
          <w:tcPr>
            <w:tcW w:w="1398"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rPr>
            </w:pPr>
          </w:p>
        </w:tc>
        <w:tc>
          <w:tcPr>
            <w:tcW w:w="108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rPr>
            </w:pPr>
          </w:p>
        </w:tc>
        <w:tc>
          <w:tcPr>
            <w:tcW w:w="66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rPr>
            </w:pPr>
          </w:p>
        </w:tc>
        <w:tc>
          <w:tcPr>
            <w:tcW w:w="53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jc w:val="center"/>
              <w:textAlignment w:val="auto"/>
              <w:rPr>
                <w:rFonts w:ascii="Times New Roman" w:hAnsi="Times New Roman"/>
              </w:rPr>
            </w:pPr>
            <w:r>
              <w:rPr>
                <w:rFonts w:ascii="Times New Roman" w:hAnsi="Times New Roman"/>
              </w:rPr>
              <w:t>证书名称</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jc w:val="center"/>
              <w:textAlignment w:val="auto"/>
              <w:rPr>
                <w:rFonts w:ascii="Times New Roman" w:hAnsi="Times New Roman"/>
              </w:rPr>
            </w:pPr>
            <w:r>
              <w:rPr>
                <w:rFonts w:ascii="Times New Roman" w:hAnsi="Times New Roman"/>
              </w:rPr>
              <w:t>级别</w:t>
            </w:r>
          </w:p>
        </w:tc>
        <w:tc>
          <w:tcPr>
            <w:tcW w:w="957"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jc w:val="center"/>
              <w:textAlignment w:val="auto"/>
              <w:rPr>
                <w:rFonts w:ascii="Times New Roman" w:hAnsi="Times New Roman"/>
              </w:rPr>
            </w:pPr>
            <w:r>
              <w:rPr>
                <w:rFonts w:ascii="Times New Roman" w:hAnsi="Times New Roman"/>
              </w:rPr>
              <w:t>证号</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39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0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66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5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7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95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c>
          <w:tcPr>
            <w:tcW w:w="124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rPr>
            </w:pPr>
          </w:p>
        </w:tc>
      </w:tr>
    </w:tbl>
    <w:p>
      <w:pPr>
        <w:spacing w:line="440" w:lineRule="exact"/>
        <w:rPr>
          <w:rFonts w:ascii="Times New Roman" w:hAnsi="Times New Roman"/>
        </w:rPr>
      </w:pPr>
    </w:p>
    <w:p>
      <w:pPr>
        <w:spacing w:line="440" w:lineRule="exact"/>
        <w:rPr>
          <w:rFonts w:ascii="Times New Roman" w:hAnsi="Times New Roman"/>
        </w:rPr>
      </w:pPr>
    </w:p>
    <w:p>
      <w:pPr>
        <w:autoSpaceDE w:val="0"/>
        <w:autoSpaceDN w:val="0"/>
        <w:adjustRightInd w:val="0"/>
        <w:snapToGrid w:val="0"/>
        <w:spacing w:line="480" w:lineRule="auto"/>
        <w:jc w:val="center"/>
        <w:rPr>
          <w:rFonts w:hint="eastAsia" w:ascii="宋体" w:hAnsi="宋体" w:cs="宋体"/>
          <w:b/>
          <w:sz w:val="32"/>
          <w:szCs w:val="32"/>
          <w:lang w:val="zh-CN"/>
        </w:rPr>
      </w:pPr>
    </w:p>
    <w:p>
      <w:pPr>
        <w:rPr>
          <w:rFonts w:hint="eastAsia" w:ascii="宋体" w:hAnsi="宋体" w:cs="宋体"/>
          <w:bCs/>
          <w:sz w:val="24"/>
        </w:rPr>
      </w:pPr>
      <w:r>
        <w:rPr>
          <w:rFonts w:hint="eastAsia" w:ascii="宋体" w:hAnsi="宋体" w:cs="宋体"/>
          <w:bCs/>
          <w:sz w:val="24"/>
        </w:rPr>
        <w:br w:type="page"/>
      </w:r>
    </w:p>
    <w:p>
      <w:pPr>
        <w:autoSpaceDE w:val="0"/>
        <w:autoSpaceDN w:val="0"/>
        <w:adjustRightInd w:val="0"/>
        <w:rPr>
          <w:rFonts w:hint="eastAsia" w:ascii="宋体" w:hAnsi="宋体" w:cs="宋体"/>
          <w:bCs/>
          <w:sz w:val="24"/>
        </w:rPr>
      </w:pPr>
      <w:r>
        <w:rPr>
          <w:rFonts w:hint="eastAsia" w:ascii="宋体" w:hAnsi="宋体" w:cs="宋体"/>
          <w:bCs/>
          <w:sz w:val="24"/>
        </w:rPr>
        <w:t>附件六</w:t>
      </w:r>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项目管理机构人员基本情况及业绩表</w:t>
      </w:r>
    </w:p>
    <w:tbl>
      <w:tblPr>
        <w:tblStyle w:val="36"/>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35"/>
        <w:gridCol w:w="2280"/>
        <w:gridCol w:w="1120"/>
        <w:gridCol w:w="870"/>
        <w:gridCol w:w="15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姓名</w:t>
            </w: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性别</w:t>
            </w:r>
          </w:p>
        </w:tc>
        <w:tc>
          <w:tcPr>
            <w:tcW w:w="19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技术职称</w:t>
            </w:r>
          </w:p>
        </w:tc>
        <w:tc>
          <w:tcPr>
            <w:tcW w:w="17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身份证号</w:t>
            </w: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学历</w:t>
            </w:r>
          </w:p>
        </w:tc>
        <w:tc>
          <w:tcPr>
            <w:tcW w:w="19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所学专业</w:t>
            </w:r>
          </w:p>
        </w:tc>
        <w:tc>
          <w:tcPr>
            <w:tcW w:w="17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社保号</w:t>
            </w:r>
          </w:p>
        </w:tc>
        <w:tc>
          <w:tcPr>
            <w:tcW w:w="8833"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p>
            <w:pPr>
              <w:autoSpaceDE w:val="0"/>
              <w:autoSpaceDN w:val="0"/>
              <w:adjustRightInd w:val="0"/>
              <w:jc w:val="center"/>
              <w:rPr>
                <w:rFonts w:hint="eastAsia" w:ascii="宋体" w:hAnsi="宋体" w:cs="宋体"/>
                <w:sz w:val="22"/>
                <w:szCs w:val="21"/>
              </w:rPr>
            </w:pPr>
            <w:r>
              <w:rPr>
                <w:rFonts w:hint="eastAsia" w:ascii="宋体" w:hAnsi="宋体" w:cs="宋体"/>
                <w:sz w:val="22"/>
                <w:szCs w:val="21"/>
              </w:rPr>
              <w:t>从业简历</w:t>
            </w: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本人完成施工项目概况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序号</w:t>
            </w: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项目名称</w:t>
            </w: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项目规模指标</w:t>
            </w:r>
          </w:p>
        </w:tc>
        <w:tc>
          <w:tcPr>
            <w:tcW w:w="11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项目地址</w:t>
            </w:r>
          </w:p>
        </w:tc>
        <w:tc>
          <w:tcPr>
            <w:tcW w:w="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起止</w:t>
            </w:r>
          </w:p>
          <w:p>
            <w:pPr>
              <w:autoSpaceDE w:val="0"/>
              <w:autoSpaceDN w:val="0"/>
              <w:adjustRightInd w:val="0"/>
              <w:jc w:val="center"/>
              <w:rPr>
                <w:rFonts w:hint="eastAsia" w:ascii="宋体" w:hAnsi="宋体" w:cs="宋体"/>
                <w:sz w:val="22"/>
                <w:szCs w:val="21"/>
              </w:rPr>
            </w:pPr>
            <w:r>
              <w:rPr>
                <w:rFonts w:hint="eastAsia" w:ascii="宋体" w:hAnsi="宋体" w:cs="宋体"/>
                <w:sz w:val="22"/>
                <w:szCs w:val="21"/>
              </w:rPr>
              <w:t>时间</w:t>
            </w: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本人在工程项目所担任职务</w:t>
            </w:r>
          </w:p>
        </w:tc>
        <w:tc>
          <w:tcPr>
            <w:tcW w:w="17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完成项目的建筑业企业及资质等级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1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7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1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7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1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7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bl>
    <w:p>
      <w:pPr>
        <w:keepNext w:val="0"/>
        <w:keepLines w:val="0"/>
        <w:pageBreakBefore w:val="0"/>
        <w:widowControl w:val="0"/>
        <w:kinsoku/>
        <w:overflowPunct/>
        <w:topLinePunct w:val="0"/>
        <w:autoSpaceDE w:val="0"/>
        <w:autoSpaceDN w:val="0"/>
        <w:bidi w:val="0"/>
        <w:adjustRightInd w:val="0"/>
        <w:snapToGrid/>
        <w:spacing w:line="440" w:lineRule="exact"/>
        <w:ind w:firstLine="440" w:firstLineChars="200"/>
        <w:textAlignment w:val="auto"/>
        <w:rPr>
          <w:rFonts w:hint="eastAsia" w:ascii="宋体" w:hAnsi="宋体" w:cs="宋体"/>
          <w:sz w:val="22"/>
          <w:szCs w:val="21"/>
        </w:rPr>
      </w:pPr>
      <w:r>
        <w:rPr>
          <w:rFonts w:hint="eastAsia" w:ascii="宋体" w:hAnsi="宋体" w:cs="宋体"/>
          <w:sz w:val="22"/>
          <w:szCs w:val="21"/>
        </w:rPr>
        <w:t>以上填写内容真实有效。隐瞒有关真实情况和填报虚假信息是严重的违法行为，以上的基本信息及其业绩如有虚假，愿接受招标监管主管部门或其他有关部门依法给予的行政处罚并纳入诚信记录，除身份证号外，同意上述内容在评标后全部公开。</w:t>
      </w:r>
    </w:p>
    <w:p>
      <w:pPr>
        <w:keepNext w:val="0"/>
        <w:keepLines w:val="0"/>
        <w:pageBreakBefore w:val="0"/>
        <w:widowControl w:val="0"/>
        <w:kinsoku/>
        <w:overflowPunct/>
        <w:topLinePunct w:val="0"/>
        <w:autoSpaceDE w:val="0"/>
        <w:autoSpaceDN w:val="0"/>
        <w:bidi w:val="0"/>
        <w:adjustRightInd w:val="0"/>
        <w:snapToGrid/>
        <w:spacing w:line="440" w:lineRule="exact"/>
        <w:ind w:firstLine="440" w:firstLineChars="200"/>
        <w:textAlignment w:val="auto"/>
        <w:rPr>
          <w:rFonts w:hint="eastAsia" w:ascii="宋体" w:hAnsi="宋体" w:cs="宋体"/>
          <w:sz w:val="22"/>
          <w:szCs w:val="21"/>
        </w:rPr>
      </w:pPr>
      <w:r>
        <w:rPr>
          <w:rFonts w:hint="eastAsia" w:ascii="宋体" w:hAnsi="宋体" w:cs="宋体"/>
          <w:sz w:val="22"/>
          <w:szCs w:val="21"/>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keepNext w:val="0"/>
        <w:keepLines w:val="0"/>
        <w:pageBreakBefore w:val="0"/>
        <w:widowControl w:val="0"/>
        <w:kinsoku/>
        <w:overflowPunct/>
        <w:topLinePunct w:val="0"/>
        <w:autoSpaceDE w:val="0"/>
        <w:autoSpaceDN w:val="0"/>
        <w:bidi w:val="0"/>
        <w:adjustRightInd w:val="0"/>
        <w:snapToGrid/>
        <w:spacing w:line="440" w:lineRule="exact"/>
        <w:ind w:firstLine="440" w:firstLineChars="200"/>
        <w:textAlignment w:val="auto"/>
        <w:rPr>
          <w:rFonts w:hint="eastAsia" w:ascii="宋体" w:hAnsi="宋体" w:cs="宋体"/>
          <w:sz w:val="22"/>
          <w:szCs w:val="21"/>
        </w:rPr>
      </w:pPr>
      <w:r>
        <w:rPr>
          <w:rFonts w:hint="eastAsia" w:ascii="宋体" w:hAnsi="宋体" w:cs="宋体"/>
          <w:sz w:val="22"/>
          <w:szCs w:val="21"/>
        </w:rPr>
        <w:t>注：本表后附社保证明、职称证（岗位证）、注册证等相关证明材料。</w:t>
      </w:r>
    </w:p>
    <w:p>
      <w:pPr>
        <w:keepNext w:val="0"/>
        <w:keepLines w:val="0"/>
        <w:pageBreakBefore w:val="0"/>
        <w:widowControl w:val="0"/>
        <w:kinsoku/>
        <w:overflowPunct/>
        <w:topLinePunct w:val="0"/>
        <w:autoSpaceDE w:val="0"/>
        <w:autoSpaceDN w:val="0"/>
        <w:bidi w:val="0"/>
        <w:adjustRightInd w:val="0"/>
        <w:snapToGrid/>
        <w:spacing w:line="440" w:lineRule="exact"/>
        <w:ind w:firstLine="440" w:firstLineChars="200"/>
        <w:textAlignment w:val="auto"/>
        <w:rPr>
          <w:rFonts w:hint="default" w:ascii="宋体" w:hAnsi="宋体" w:cs="宋体"/>
          <w:sz w:val="22"/>
          <w:szCs w:val="21"/>
          <w:lang w:val="en-US" w:eastAsia="zh-CN"/>
        </w:rPr>
      </w:pPr>
      <w:r>
        <w:rPr>
          <w:rFonts w:hint="eastAsia" w:ascii="宋体" w:hAnsi="宋体" w:cs="宋体"/>
          <w:sz w:val="22"/>
          <w:szCs w:val="21"/>
          <w:lang w:val="en-US" w:eastAsia="zh-CN"/>
        </w:rPr>
        <w:t>表头的“项目管理机构人员基本情况及业绩表”应按拟委任的具体人员职务更换。例如项目负责人应更换为“项目负责人基本情况及业绩表”，以此类推。</w:t>
      </w:r>
    </w:p>
    <w:p>
      <w:pPr>
        <w:keepNext w:val="0"/>
        <w:keepLines w:val="0"/>
        <w:pageBreakBefore w:val="0"/>
        <w:widowControl w:val="0"/>
        <w:kinsoku/>
        <w:overflowPunct/>
        <w:topLinePunct w:val="0"/>
        <w:autoSpaceDE w:val="0"/>
        <w:autoSpaceDN w:val="0"/>
        <w:bidi w:val="0"/>
        <w:adjustRightInd w:val="0"/>
        <w:snapToGrid/>
        <w:spacing w:line="440" w:lineRule="exact"/>
        <w:ind w:firstLine="440" w:firstLineChars="200"/>
        <w:textAlignment w:val="auto"/>
        <w:rPr>
          <w:rFonts w:hint="default" w:ascii="宋体" w:hAnsi="宋体" w:eastAsia="宋体" w:cs="宋体"/>
          <w:sz w:val="22"/>
          <w:szCs w:val="21"/>
          <w:lang w:val="en-US" w:eastAsia="zh-CN"/>
        </w:rPr>
      </w:pPr>
    </w:p>
    <w:p>
      <w:pPr>
        <w:rPr>
          <w:rFonts w:hint="eastAsia"/>
          <w:sz w:val="24"/>
          <w:szCs w:val="24"/>
        </w:rPr>
      </w:pPr>
    </w:p>
    <w:p>
      <w:pPr>
        <w:rPr>
          <w:rFonts w:hint="eastAsia"/>
          <w:sz w:val="24"/>
          <w:szCs w:val="24"/>
        </w:rPr>
      </w:pPr>
      <w:r>
        <w:rPr>
          <w:rFonts w:hint="eastAsia"/>
          <w:sz w:val="24"/>
          <w:szCs w:val="24"/>
        </w:rPr>
        <w:br w:type="page"/>
      </w:r>
    </w:p>
    <w:p>
      <w:pPr>
        <w:autoSpaceDE w:val="0"/>
        <w:autoSpaceDN w:val="0"/>
        <w:adjustRightInd w:val="0"/>
        <w:rPr>
          <w:rFonts w:hint="eastAsia" w:ascii="宋体" w:hAnsi="宋体" w:cs="宋体"/>
          <w:bCs/>
          <w:sz w:val="24"/>
        </w:rPr>
      </w:pPr>
      <w:r>
        <w:rPr>
          <w:rFonts w:hint="eastAsia" w:ascii="宋体" w:hAnsi="宋体" w:cs="宋体"/>
          <w:bCs/>
          <w:sz w:val="24"/>
        </w:rPr>
        <w:t>附件七</w:t>
      </w:r>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企业类似工程业绩信息表</w:t>
      </w:r>
    </w:p>
    <w:p>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（中标金额大于或等于</w:t>
      </w:r>
      <w:r>
        <w:rPr>
          <w:rFonts w:hint="eastAsia" w:ascii="宋体" w:hAnsi="宋体" w:cs="宋体"/>
          <w:b/>
          <w:bCs/>
          <w:color w:val="000000" w:themeColor="text1"/>
          <w:sz w:val="44"/>
          <w:szCs w:val="44"/>
          <w:lang w:val="en-US" w:eastAsia="zh-CN"/>
          <w14:textFill>
            <w14:solidFill>
              <w14:schemeClr w14:val="tx1"/>
            </w14:solidFill>
          </w14:textFill>
        </w:rPr>
        <w:t>300</w:t>
      </w:r>
      <w:r>
        <w:rPr>
          <w:rFonts w:hint="eastAsia" w:ascii="宋体" w:hAnsi="宋体" w:cs="宋体"/>
          <w:b/>
          <w:bCs/>
          <w:color w:val="000000" w:themeColor="text1"/>
          <w:sz w:val="44"/>
          <w:szCs w:val="44"/>
          <w:lang w:val="zh-CN"/>
          <w14:textFill>
            <w14:solidFill>
              <w14:schemeClr w14:val="tx1"/>
            </w14:solidFill>
          </w14:textFill>
        </w:rPr>
        <w:t>万元的建筑工程施工总承包或工程总承包（施工部分）业绩）</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项目名称</w:t>
            </w:r>
          </w:p>
        </w:tc>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bl>
    <w:p>
      <w:pPr>
        <w:ind w:firstLine="470" w:firstLineChars="224"/>
        <w:rPr>
          <w:rFonts w:ascii="宋体"/>
        </w:rPr>
      </w:pPr>
    </w:p>
    <w:p>
      <w:pPr>
        <w:keepNext w:val="0"/>
        <w:keepLines w:val="0"/>
        <w:pageBreakBefore w:val="0"/>
        <w:widowControl w:val="0"/>
        <w:kinsoku/>
        <w:wordWrap/>
        <w:overflowPunct/>
        <w:topLinePunct w:val="0"/>
        <w:autoSpaceDE/>
        <w:autoSpaceDN/>
        <w:bidi w:val="0"/>
        <w:adjustRightInd/>
        <w:snapToGrid/>
        <w:spacing w:line="360" w:lineRule="auto"/>
        <w:ind w:right="90" w:firstLine="3600" w:firstLineChars="1500"/>
        <w:textAlignment w:val="auto"/>
        <w:rPr>
          <w:rFonts w:hint="eastAsia" w:ascii="宋体" w:hAnsi="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90" w:firstLine="3600" w:firstLineChars="1500"/>
        <w:textAlignment w:val="auto"/>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投标人名称：</w:t>
      </w:r>
      <w:r>
        <w:rPr>
          <w:rFonts w:hint="eastAsia" w:ascii="宋体" w:hAnsi="宋体"/>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仿宋_GB2312" w:hAnsi="楷体" w:eastAsia="仿宋_GB2312"/>
          <w:color w:val="000000" w:themeColor="text1"/>
          <w:szCs w:val="21"/>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jc w:val="left"/>
        <w:rPr>
          <w:rStyle w:val="60"/>
          <w:color w:val="000000" w:themeColor="text1"/>
          <w14:textFill>
            <w14:solidFill>
              <w14:schemeClr w14:val="tx1"/>
            </w14:solidFill>
          </w14:textFill>
        </w:rPr>
      </w:pPr>
      <w:bookmarkStart w:id="65" w:name="_Toc2272568"/>
      <w:bookmarkStart w:id="66" w:name="_Toc21525513"/>
      <w:r>
        <w:rPr>
          <w:rStyle w:val="60"/>
          <w:rFonts w:hint="eastAsia"/>
          <w:color w:val="000000" w:themeColor="text1"/>
          <w14:textFill>
            <w14:solidFill>
              <w14:schemeClr w14:val="tx1"/>
            </w14:solidFill>
          </w14:textFill>
        </w:rPr>
        <w:br w:type="page"/>
      </w:r>
    </w:p>
    <w:p>
      <w:pPr>
        <w:tabs>
          <w:tab w:val="left" w:pos="720"/>
        </w:tabs>
        <w:snapToGrid w:val="0"/>
        <w:spacing w:line="360" w:lineRule="auto"/>
        <w:jc w:val="center"/>
        <w:rPr>
          <w:rStyle w:val="6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rPr>
          <w:rFonts w:hint="eastAsia" w:ascii="宋体" w:hAnsi="宋体" w:cs="宋体"/>
          <w:bCs/>
          <w:sz w:val="24"/>
        </w:rPr>
      </w:pPr>
      <w:bookmarkStart w:id="67" w:name="_Toc206175406"/>
      <w:bookmarkStart w:id="68" w:name="_Toc197436933"/>
      <w:bookmarkStart w:id="69" w:name="_Toc198822682"/>
      <w:bookmarkStart w:id="70" w:name="_Toc125032266"/>
      <w:r>
        <w:rPr>
          <w:rFonts w:hint="eastAsia" w:ascii="宋体" w:hAnsi="宋体" w:cs="宋体"/>
          <w:bCs/>
          <w:sz w:val="24"/>
          <w:lang w:val="en-US" w:eastAsia="zh-CN"/>
        </w:rPr>
        <w:t>附件</w:t>
      </w:r>
      <w:r>
        <w:rPr>
          <w:rFonts w:hint="eastAsia" w:ascii="宋体" w:hAnsi="宋体" w:cs="宋体"/>
          <w:bCs/>
          <w:sz w:val="24"/>
        </w:rPr>
        <w:t>八：响应招标文件所附施工组织设计要点的承诺书</w:t>
      </w:r>
      <w:bookmarkEnd w:id="67"/>
      <w:bookmarkEnd w:id="68"/>
      <w:bookmarkEnd w:id="69"/>
    </w:p>
    <w:p>
      <w:pPr>
        <w:topLinePunct/>
        <w:adjustRightInd w:val="0"/>
        <w:snapToGrid w:val="0"/>
        <w:spacing w:line="360" w:lineRule="auto"/>
        <w:jc w:val="center"/>
        <w:rPr>
          <w:rFonts w:ascii="宋体" w:cs="宋体"/>
          <w:b/>
          <w:sz w:val="36"/>
          <w:szCs w:val="36"/>
        </w:rPr>
      </w:pPr>
      <w:r>
        <w:rPr>
          <w:rFonts w:ascii="宋体" w:hAnsi="宋体" w:cs="宋体"/>
          <w:b/>
          <w:sz w:val="36"/>
          <w:szCs w:val="36"/>
          <w:lang w:bidi="ar"/>
        </w:rPr>
        <w:t xml:space="preserve"> </w:t>
      </w:r>
    </w:p>
    <w:p>
      <w:pPr>
        <w:topLinePunct/>
        <w:adjustRightInd w:val="0"/>
        <w:snapToGrid w:val="0"/>
        <w:spacing w:line="360" w:lineRule="auto"/>
        <w:jc w:val="center"/>
        <w:rPr>
          <w:rFonts w:ascii="宋体" w:cs="宋体"/>
          <w:b/>
          <w:spacing w:val="4"/>
          <w:kern w:val="0"/>
          <w:sz w:val="32"/>
          <w:szCs w:val="32"/>
        </w:rPr>
      </w:pPr>
      <w:r>
        <w:rPr>
          <w:rFonts w:hint="eastAsia" w:ascii="宋体" w:hAnsi="宋体" w:cs="宋体"/>
          <w:b/>
          <w:sz w:val="36"/>
          <w:szCs w:val="36"/>
          <w:lang w:bidi="ar"/>
        </w:rPr>
        <w:t>响应招标文件所附施工组织设计要点的承诺书</w:t>
      </w:r>
    </w:p>
    <w:p>
      <w:pPr>
        <w:spacing w:before="312" w:beforeLines="100" w:after="156" w:afterLines="50" w:line="360" w:lineRule="auto"/>
        <w:rPr>
          <w:rFonts w:ascii="宋体" w:cs="宋体"/>
          <w:sz w:val="24"/>
          <w:szCs w:val="24"/>
          <w:u w:val="single"/>
        </w:rPr>
      </w:pPr>
      <w:r>
        <w:rPr>
          <w:rFonts w:ascii="宋体" w:hAnsi="宋体" w:cs="宋体"/>
          <w:sz w:val="24"/>
          <w:szCs w:val="24"/>
          <w:u w:val="single"/>
          <w:lang w:bidi="ar"/>
        </w:rPr>
        <w:t>（招标人）</w:t>
      </w:r>
      <w:r>
        <w:rPr>
          <w:rFonts w:hint="eastAsia" w:ascii="宋体" w:hAnsi="宋体" w:cs="宋体"/>
          <w:sz w:val="24"/>
          <w:szCs w:val="24"/>
          <w:lang w:bidi="ar"/>
        </w:rPr>
        <w:t>：</w:t>
      </w:r>
    </w:p>
    <w:p>
      <w:pPr>
        <w:spacing w:line="360" w:lineRule="auto"/>
        <w:ind w:firstLine="480"/>
        <w:rPr>
          <w:rFonts w:ascii="宋体" w:cs="宋体"/>
          <w:sz w:val="24"/>
          <w:szCs w:val="24"/>
        </w:rPr>
      </w:pPr>
      <w:r>
        <w:rPr>
          <w:rFonts w:hint="eastAsia" w:ascii="宋体" w:hAnsi="宋体" w:cs="宋体"/>
          <w:sz w:val="24"/>
          <w:szCs w:val="24"/>
          <w:lang w:bidi="ar"/>
        </w:rPr>
        <w:t>我方承诺，如中标承建</w:t>
      </w:r>
      <w:r>
        <w:rPr>
          <w:rFonts w:hint="eastAsia" w:ascii="宋体" w:hAnsi="宋体" w:cs="宋体"/>
          <w:sz w:val="24"/>
          <w:szCs w:val="24"/>
          <w:u w:val="single"/>
          <w:lang w:val="en-US" w:eastAsia="zh-CN" w:bidi="ar"/>
        </w:rPr>
        <w:t xml:space="preserve"> </w:t>
      </w:r>
      <w:r>
        <w:rPr>
          <w:rFonts w:ascii="宋体" w:hAnsi="宋体" w:cs="宋体"/>
          <w:sz w:val="24"/>
          <w:szCs w:val="24"/>
          <w:u w:val="single"/>
          <w:lang w:bidi="ar"/>
        </w:rPr>
        <w:t>(项目名称)</w:t>
      </w:r>
      <w:r>
        <w:rPr>
          <w:rFonts w:hint="eastAsia" w:ascii="宋体" w:hAnsi="宋体" w:cs="宋体"/>
          <w:sz w:val="24"/>
          <w:szCs w:val="24"/>
          <w:u w:val="single"/>
          <w:lang w:val="en-US" w:eastAsia="zh-CN" w:bidi="ar"/>
        </w:rPr>
        <w:t xml:space="preserve"> </w:t>
      </w:r>
      <w:r>
        <w:rPr>
          <w:rFonts w:hint="eastAsia" w:ascii="宋体" w:hAnsi="宋体" w:cs="宋体"/>
          <w:sz w:val="24"/>
          <w:szCs w:val="24"/>
          <w:lang w:bidi="ar"/>
        </w:rPr>
        <w:t>，将按招标文件所附的本工程</w:t>
      </w:r>
      <w:r>
        <w:rPr>
          <w:rFonts w:ascii="宋体" w:hAnsi="宋体" w:cs="宋体"/>
          <w:sz w:val="24"/>
          <w:szCs w:val="24"/>
          <w:u w:val="single"/>
          <w:lang w:bidi="ar"/>
        </w:rPr>
        <w:t xml:space="preserve"> 施工组织设计要点 </w:t>
      </w:r>
      <w:r>
        <w:rPr>
          <w:rFonts w:hint="eastAsia" w:ascii="宋体" w:hAnsi="宋体" w:cs="宋体"/>
          <w:sz w:val="24"/>
          <w:szCs w:val="24"/>
          <w:lang w:bidi="ar"/>
        </w:rPr>
        <w:t>进行响应的基础上自行组织施工。并承诺在中标后按招标文件所附的</w:t>
      </w:r>
      <w:r>
        <w:rPr>
          <w:rFonts w:ascii="宋体" w:hAnsi="宋体" w:cs="宋体"/>
          <w:sz w:val="24"/>
          <w:szCs w:val="24"/>
          <w:u w:val="single"/>
          <w:lang w:bidi="ar"/>
        </w:rPr>
        <w:t xml:space="preserve"> 施工组织设计要点 </w:t>
      </w:r>
      <w:r>
        <w:rPr>
          <w:rFonts w:hint="eastAsia" w:ascii="宋体" w:hAnsi="宋体" w:cs="宋体"/>
          <w:sz w:val="24"/>
          <w:szCs w:val="24"/>
          <w:lang w:bidi="ar"/>
        </w:rPr>
        <w:t>基础上编制详细的施工组织设计，并报经监理单位和建设单位审批后实施。</w:t>
      </w:r>
    </w:p>
    <w:p>
      <w:pPr>
        <w:spacing w:line="360" w:lineRule="auto"/>
        <w:rPr>
          <w:rFonts w:ascii="宋体" w:cs="宋体"/>
          <w:sz w:val="24"/>
          <w:szCs w:val="24"/>
        </w:rPr>
      </w:pPr>
      <w:r>
        <w:rPr>
          <w:rFonts w:ascii="宋体" w:hAnsi="宋体" w:cs="宋体"/>
          <w:sz w:val="24"/>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90" w:firstLine="3600" w:firstLineChars="1500"/>
        <w:textAlignment w:val="auto"/>
        <w:rPr>
          <w:rFonts w:hint="eastAsia" w:ascii="宋体" w:hAnsi="宋体"/>
          <w:color w:val="000000" w:themeColor="text1"/>
          <w:sz w:val="24"/>
          <w:szCs w:val="24"/>
          <w14:textFill>
            <w14:solidFill>
              <w14:schemeClr w14:val="tx1"/>
            </w14:solidFill>
          </w14:textFill>
        </w:rPr>
      </w:pPr>
      <w:r>
        <w:rPr>
          <w:rFonts w:ascii="宋体" w:hAnsi="宋体" w:cs="宋体"/>
          <w:sz w:val="24"/>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90" w:firstLine="3600" w:firstLineChars="1500"/>
        <w:textAlignment w:val="auto"/>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投标人名称：</w:t>
      </w:r>
      <w:r>
        <w:rPr>
          <w:rFonts w:hint="eastAsia" w:ascii="宋体" w:hAnsi="宋体"/>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仿宋_GB2312" w:hAnsi="楷体" w:eastAsia="仿宋_GB2312"/>
          <w:color w:val="000000" w:themeColor="text1"/>
          <w:szCs w:val="21"/>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topLinePunct/>
        <w:adjustRightInd w:val="0"/>
        <w:snapToGrid w:val="0"/>
        <w:spacing w:line="360" w:lineRule="auto"/>
        <w:jc w:val="center"/>
        <w:rPr>
          <w:rFonts w:eastAsia="黑体"/>
          <w:spacing w:val="4"/>
          <w:sz w:val="36"/>
          <w:szCs w:val="36"/>
        </w:rPr>
      </w:pPr>
    </w:p>
    <w:p>
      <w:pPr>
        <w:widowControl/>
        <w:spacing w:line="360" w:lineRule="auto"/>
        <w:jc w:val="left"/>
        <w:rPr>
          <w:rFonts w:hint="eastAsia" w:ascii="宋体" w:hAnsi="宋体" w:cs="宋体"/>
          <w:b/>
          <w:spacing w:val="4"/>
          <w:kern w:val="0"/>
          <w:sz w:val="32"/>
          <w:szCs w:val="32"/>
          <w:lang w:bidi="ar"/>
        </w:rPr>
      </w:pPr>
      <w:r>
        <w:rPr>
          <w:rFonts w:ascii="宋体" w:hAnsi="宋体" w:cs="宋体"/>
          <w:b/>
          <w:spacing w:val="4"/>
          <w:kern w:val="0"/>
          <w:sz w:val="32"/>
          <w:szCs w:val="32"/>
          <w:lang w:bidi="ar"/>
        </w:rPr>
        <w:br w:type="page"/>
      </w:r>
    </w:p>
    <w:p>
      <w:pPr>
        <w:topLinePunct/>
        <w:adjustRightInd w:val="0"/>
        <w:snapToGrid w:val="0"/>
        <w:spacing w:line="360" w:lineRule="auto"/>
        <w:rPr>
          <w:rFonts w:eastAsia="黑体"/>
          <w:spacing w:val="4"/>
          <w:sz w:val="36"/>
          <w:szCs w:val="36"/>
        </w:rPr>
      </w:pPr>
      <w:r>
        <w:rPr>
          <w:rFonts w:hint="eastAsia" w:ascii="宋体" w:hAnsi="宋体" w:cs="宋体"/>
          <w:b/>
          <w:spacing w:val="4"/>
          <w:kern w:val="0"/>
          <w:sz w:val="32"/>
          <w:szCs w:val="32"/>
          <w:lang w:bidi="ar"/>
        </w:rPr>
        <w:t>附：</w:t>
      </w:r>
      <w:r>
        <w:rPr>
          <w:rFonts w:ascii="黑体" w:hAnsi="宋体" w:eastAsia="黑体" w:cs="黑体"/>
          <w:spacing w:val="4"/>
          <w:sz w:val="36"/>
          <w:szCs w:val="36"/>
          <w:lang w:bidi="ar"/>
        </w:rPr>
        <w:t>施工组织设计要点</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由投标人有针对性的描述，各部分文字直接简炼，不得出现大量宣传性及无实质性意义或直接引用范本照搬照套的文字。</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施工组织设计包括但不限于以下方面内容：</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（一）工程概况</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（二）项目实施条件分析</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（三）项目管理目标</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（四）项目组织机构设置</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（五）现场管理和施工总平面图</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（六）施工部署和施工准备工作</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1、项目管理总体安排；</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2、施工和管理人员的准备和拟投入的最高人数和平均人数；</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3、施工现场准备和施工程序；</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4、施工准备工作组织和时间安排。</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（七）施工组织方案</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1、施工流向和施工顺序；</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2、施工阶段划分；</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3、施工方法和施工机械选择；</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4、安全生产和文明施工设计；</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5、环境管理；</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6、报装、报建方案；</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7、调试方案；</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8、施工方案；</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9、其他。</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（八）施工技术组织措施计划</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1、施工总进度计划和单项工程施工进度计划（附表1）；</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2、保证进度的措施；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3、保证质量的措施；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4、保证安全生产和文明施工目标的措施；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5、保证季节施工的措施；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6、保证环境的措施；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7、成品保护措施。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以上各项措施应包括技术措施、组织措施、经济措施及合同措施。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（九）资源供应保障计划</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1、劳动力需求计划（附表2）；</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2、主要材料、设备采购计划表（附表3）；</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3、主要材料、设备选用表；</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4、主要机械设备及大型工具、器具需求计划（附表4）；</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5、资金使用计划（附表5）；</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6、材料设备供应保障措施。</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（十）项目风险预测和管理</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1、风险管理重点；</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2、风险防范对策；</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3、风险管理责任。</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（十一）信息管理</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1、与项目组织相适应的信息流通系统；</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2、与招标人的项目信息管理处理系统软硬件相配套的资源配置；</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3、信息管理实施规划。</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（十二）建筑垃圾处理方案</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1、工程概况和施工单位基本信息；</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2、建筑垃圾产生量与种类；</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3、建筑垃圾源头减量、分类收集、综合利用、污染防治的措施和目标；</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4、需要外运的建筑垃圾种类、数量与运输的时间、路线、方式和运输单位；</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5、建筑垃圾回填、消纳、综合利用场所名称；</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6、法律、法规规定的其他内容。</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hint="eastAsia" w:ascii="宋体" w:hAnsi="宋体" w:cs="宋体"/>
          <w:spacing w:val="4"/>
          <w:kern w:val="0"/>
          <w:sz w:val="24"/>
          <w:szCs w:val="24"/>
          <w:lang w:bidi="ar"/>
        </w:rPr>
        <w:t>（十三）其它</w:t>
      </w:r>
    </w:p>
    <w:p>
      <w:pPr>
        <w:keepNext w:val="0"/>
        <w:keepLines w:val="0"/>
        <w:pageBreakBefore w:val="0"/>
        <w:widowControl w:val="0"/>
        <w:kinsoku/>
        <w:wordWrap/>
        <w:overflowPunct/>
        <w:topLinePunct/>
        <w:autoSpaceDE/>
        <w:autoSpaceDN/>
        <w:bidi w:val="0"/>
        <w:adjustRightInd/>
        <w:snapToGrid/>
        <w:spacing w:line="360" w:lineRule="auto"/>
        <w:ind w:firstLine="496" w:firstLineChars="200"/>
        <w:textAlignment w:val="auto"/>
        <w:rPr>
          <w:rFonts w:ascii="宋体" w:cs="宋体"/>
          <w:spacing w:val="4"/>
          <w:kern w:val="0"/>
          <w:sz w:val="24"/>
          <w:szCs w:val="24"/>
        </w:rPr>
      </w:pPr>
      <w:r>
        <w:rPr>
          <w:rFonts w:ascii="宋体" w:hAnsi="宋体" w:cs="宋体"/>
          <w:spacing w:val="4"/>
          <w:kern w:val="0"/>
          <w:sz w:val="24"/>
          <w:szCs w:val="24"/>
          <w:lang w:bidi="ar"/>
        </w:rPr>
        <w:t>1、质保期服务方案；</w:t>
      </w:r>
    </w:p>
    <w:p>
      <w:pPr>
        <w:topLinePunct/>
        <w:adjustRightInd w:val="0"/>
        <w:snapToGrid w:val="0"/>
        <w:spacing w:line="360" w:lineRule="auto"/>
        <w:jc w:val="left"/>
        <w:rPr>
          <w:rFonts w:hint="eastAsia" w:ascii="宋体" w:hAnsi="宋体"/>
          <w:spacing w:val="4"/>
          <w:kern w:val="0"/>
          <w:sz w:val="24"/>
          <w:szCs w:val="24"/>
        </w:rPr>
      </w:pPr>
      <w:r>
        <w:rPr>
          <w:rFonts w:ascii="宋体" w:hAnsi="宋体"/>
          <w:spacing w:val="4"/>
          <w:kern w:val="0"/>
          <w:sz w:val="24"/>
          <w:szCs w:val="24"/>
          <w:lang w:bidi="ar"/>
        </w:rPr>
        <w:t xml:space="preserve"> </w:t>
      </w:r>
    </w:p>
    <w:p>
      <w:pPr>
        <w:widowControl/>
        <w:spacing w:line="360" w:lineRule="auto"/>
        <w:jc w:val="left"/>
        <w:rPr>
          <w:rFonts w:hint="eastAsia" w:ascii="宋体" w:hAnsi="宋体" w:cs="宋体"/>
          <w:b/>
          <w:spacing w:val="4"/>
          <w:kern w:val="0"/>
          <w:sz w:val="24"/>
          <w:szCs w:val="24"/>
        </w:rPr>
      </w:pPr>
      <w:r>
        <w:rPr>
          <w:rFonts w:ascii="宋体" w:hAnsi="宋体" w:cs="宋体"/>
          <w:b/>
          <w:spacing w:val="4"/>
          <w:kern w:val="0"/>
          <w:sz w:val="24"/>
          <w:szCs w:val="24"/>
          <w:lang w:bidi="ar"/>
        </w:rPr>
        <w:br w:type="page"/>
      </w:r>
    </w:p>
    <w:p>
      <w:pPr>
        <w:topLinePunct/>
        <w:adjustRightInd w:val="0"/>
        <w:snapToGrid w:val="0"/>
        <w:spacing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1：施工进度计划表</w:t>
      </w:r>
    </w:p>
    <w:p>
      <w:pPr>
        <w:topLinePunct/>
        <w:adjustRightInd w:val="0"/>
        <w:snapToGrid w:val="0"/>
        <w:spacing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施工进度计划表</w:t>
      </w:r>
    </w:p>
    <w:tbl>
      <w:tblPr>
        <w:tblStyle w:val="36"/>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序号</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工程项目</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开工时间</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完工时间</w:t>
            </w:r>
          </w:p>
        </w:tc>
        <w:tc>
          <w:tcPr>
            <w:tcW w:w="486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486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施工准备</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2</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3</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4</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5</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6</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7</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8</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9</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10</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12</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bl>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3596" w:firstLineChars="145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outlineLvl w:val="3"/>
        <w:rPr>
          <w:rFonts w:ascii="宋体" w:cs="宋体"/>
          <w:b/>
          <w:spacing w:val="4"/>
          <w:kern w:val="0"/>
          <w:sz w:val="24"/>
          <w:szCs w:val="24"/>
        </w:rPr>
      </w:pPr>
      <w:r>
        <w:rPr>
          <w:rFonts w:ascii="宋体" w:cs="宋体"/>
          <w:b/>
          <w:spacing w:val="4"/>
          <w:kern w:val="0"/>
          <w:sz w:val="24"/>
          <w:szCs w:val="24"/>
          <w:lang w:bidi="ar"/>
        </w:rPr>
        <w:br w:type="page"/>
      </w:r>
      <w:r>
        <w:rPr>
          <w:rFonts w:hint="eastAsia" w:ascii="宋体" w:hAnsi="宋体" w:cs="宋体"/>
          <w:b/>
          <w:spacing w:val="4"/>
          <w:kern w:val="0"/>
          <w:sz w:val="24"/>
          <w:szCs w:val="24"/>
          <w:lang w:bidi="ar"/>
        </w:rPr>
        <w:t>附表2：投入劳动力计划表</w:t>
      </w:r>
    </w:p>
    <w:p>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投入劳动力计划表</w:t>
      </w:r>
    </w:p>
    <w:tbl>
      <w:tblPr>
        <w:tblStyle w:val="36"/>
        <w:tblW w:w="964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21"/>
        <w:gridCol w:w="1314"/>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序号</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工种</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投入总数量</w:t>
            </w:r>
          </w:p>
        </w:tc>
        <w:tc>
          <w:tcPr>
            <w:tcW w:w="68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6825" w:type="dxa"/>
            <w:gridSpan w:val="6"/>
            <w:tcBorders>
              <w:top w:val="single" w:color="auto" w:sz="4" w:space="0"/>
              <w:left w:val="single" w:color="auto" w:sz="4" w:space="0"/>
              <w:bottom w:val="nil"/>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1</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3</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4</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5</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6</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bl>
    <w:p>
      <w:pPr>
        <w:spacing w:line="360" w:lineRule="auto"/>
        <w:jc w:val="left"/>
        <w:rPr>
          <w:rFonts w:ascii="宋体" w:cs="宋体"/>
          <w:szCs w:val="21"/>
        </w:rPr>
      </w:pPr>
      <w:r>
        <w:rPr>
          <w:rFonts w:hint="eastAsia" w:ascii="宋体" w:hAnsi="宋体" w:cs="宋体"/>
          <w:szCs w:val="21"/>
          <w:lang w:bidi="ar"/>
        </w:rPr>
        <w:t>注：本表后应附投入劳动力计划柱状图。</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spacing w:line="360" w:lineRule="auto"/>
        <w:rPr>
          <w:rFonts w:ascii="宋体" w:cs="宋体"/>
          <w:spacing w:val="4"/>
          <w:kern w:val="0"/>
          <w:sz w:val="24"/>
          <w:szCs w:val="24"/>
        </w:rPr>
        <w:sectPr>
          <w:pgSz w:w="11907" w:h="16840"/>
          <w:pgMar w:top="1134" w:right="1418" w:bottom="1247" w:left="1418" w:header="851" w:footer="851" w:gutter="0"/>
          <w:pgNumType w:fmt="decimal"/>
          <w:cols w:space="720" w:num="1"/>
          <w:docGrid w:type="lines" w:linePitch="312" w:charSpace="0"/>
        </w:sectPr>
      </w:pPr>
    </w:p>
    <w:p>
      <w:pPr>
        <w:topLinePunct/>
        <w:adjustRightInd w:val="0"/>
        <w:snapToGrid w:val="0"/>
        <w:spacing w:line="360" w:lineRule="auto"/>
        <w:outlineLvl w:val="3"/>
        <w:rPr>
          <w:rFonts w:hint="eastAsia" w:ascii="宋体" w:hAnsi="宋体" w:cs="宋体"/>
          <w:b/>
          <w:spacing w:val="4"/>
          <w:kern w:val="0"/>
          <w:sz w:val="24"/>
          <w:szCs w:val="24"/>
          <w:lang w:bidi="ar"/>
        </w:rPr>
      </w:pPr>
      <w:r>
        <w:rPr>
          <w:rFonts w:hint="eastAsia" w:ascii="宋体" w:hAnsi="宋体" w:cs="宋体"/>
          <w:b/>
          <w:spacing w:val="4"/>
          <w:kern w:val="0"/>
          <w:sz w:val="24"/>
          <w:szCs w:val="24"/>
          <w:lang w:bidi="ar"/>
        </w:rPr>
        <w:t>附表3：主要材料、设备进场时间表</w:t>
      </w:r>
    </w:p>
    <w:p>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主要材料、设备进场时间表</w:t>
      </w:r>
    </w:p>
    <w:tbl>
      <w:tblPr>
        <w:tblStyle w:val="36"/>
        <w:tblW w:w="9589"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800"/>
        <w:gridCol w:w="720"/>
        <w:gridCol w:w="720"/>
        <w:gridCol w:w="733"/>
        <w:gridCol w:w="852"/>
        <w:gridCol w:w="1163"/>
        <w:gridCol w:w="126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材料设备名称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规格型号</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计量单位</w:t>
            </w:r>
          </w:p>
        </w:tc>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暂定数量</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质量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等级</w:t>
            </w:r>
          </w:p>
        </w:tc>
        <w:tc>
          <w:tcPr>
            <w:tcW w:w="1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到货时间</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到货地点</w:t>
            </w:r>
          </w:p>
        </w:tc>
        <w:tc>
          <w:tcPr>
            <w:tcW w:w="13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s="宋体"/>
                <w:kern w:val="0"/>
                <w:szCs w:val="21"/>
              </w:rPr>
            </w:pPr>
            <w:r>
              <w:rPr>
                <w:rFonts w:hint="eastAsia" w:ascii="宋体" w:hAnsi="宋体" w:cs="宋体"/>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bl>
    <w:p>
      <w:pPr>
        <w:spacing w:line="360" w:lineRule="auto"/>
        <w:jc w:val="left"/>
        <w:rPr>
          <w:rFonts w:ascii="宋体" w:cs="宋体"/>
          <w:szCs w:val="21"/>
        </w:rPr>
      </w:pPr>
      <w:r>
        <w:rPr>
          <w:rFonts w:hint="eastAsia" w:ascii="宋体" w:hAnsi="宋体" w:cs="宋体"/>
          <w:szCs w:val="21"/>
          <w:lang w:bidi="ar"/>
        </w:rPr>
        <w:t>说明：</w:t>
      </w:r>
      <w:r>
        <w:rPr>
          <w:rFonts w:ascii="宋体" w:hAnsi="宋体" w:cs="宋体"/>
          <w:szCs w:val="21"/>
          <w:lang w:bidi="ar"/>
        </w:rPr>
        <w:t>按专业工程不同分别列表分类填写。</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topLinePunct/>
        <w:adjustRightInd w:val="0"/>
        <w:snapToGrid w:val="0"/>
        <w:spacing w:line="360" w:lineRule="auto"/>
        <w:ind w:firstLine="3360" w:firstLineChars="1600"/>
        <w:rPr>
          <w:rFonts w:ascii="宋体" w:cs="宋体"/>
          <w:spacing w:val="4"/>
          <w:kern w:val="0"/>
          <w:sz w:val="24"/>
          <w:szCs w:val="24"/>
        </w:rPr>
      </w:pPr>
      <w:r>
        <w:rPr>
          <w:rFonts w:ascii="宋体" w:hAnsi="宋体" w:cs="宋体"/>
          <w:szCs w:val="21"/>
          <w:lang w:bidi="ar"/>
        </w:rPr>
        <w:t xml:space="preserve"> </w:t>
      </w:r>
    </w:p>
    <w:p>
      <w:pPr>
        <w:spacing w:line="360" w:lineRule="auto"/>
        <w:rPr>
          <w:rFonts w:ascii="宋体" w:cs="宋体"/>
          <w:spacing w:val="4"/>
          <w:kern w:val="0"/>
          <w:sz w:val="24"/>
          <w:szCs w:val="24"/>
        </w:rPr>
        <w:sectPr>
          <w:pgSz w:w="11907" w:h="16840"/>
          <w:pgMar w:top="1418" w:right="1418" w:bottom="1418" w:left="1418" w:header="851" w:footer="851" w:gutter="0"/>
          <w:pgNumType w:fmt="decimal"/>
          <w:cols w:space="720" w:num="1"/>
          <w:docGrid w:type="lines" w:linePitch="312" w:charSpace="0"/>
        </w:sectPr>
      </w:pPr>
    </w:p>
    <w:p>
      <w:pPr>
        <w:topLinePunct/>
        <w:adjustRightInd w:val="0"/>
        <w:snapToGrid w:val="0"/>
        <w:spacing w:line="360" w:lineRule="auto"/>
        <w:outlineLvl w:val="3"/>
        <w:rPr>
          <w:rFonts w:hint="eastAsia" w:ascii="宋体" w:hAnsi="宋体" w:cs="宋体"/>
          <w:b/>
          <w:spacing w:val="4"/>
          <w:kern w:val="0"/>
          <w:sz w:val="24"/>
          <w:szCs w:val="24"/>
          <w:lang w:bidi="ar"/>
        </w:rPr>
      </w:pPr>
      <w:r>
        <w:rPr>
          <w:rFonts w:hint="eastAsia" w:ascii="宋体" w:hAnsi="宋体" w:cs="宋体"/>
          <w:b/>
          <w:spacing w:val="4"/>
          <w:kern w:val="0"/>
          <w:sz w:val="24"/>
          <w:szCs w:val="24"/>
          <w:lang w:bidi="ar"/>
        </w:rPr>
        <w:t>附表4：投入主要施工机械设备表</w:t>
      </w:r>
    </w:p>
    <w:p>
      <w:pPr>
        <w:topLinePunct/>
        <w:adjustRightInd w:val="0"/>
        <w:snapToGrid w:val="0"/>
        <w:spacing w:before="312" w:beforeLines="100" w:line="360" w:lineRule="auto"/>
        <w:jc w:val="center"/>
        <w:rPr>
          <w:rFonts w:ascii="宋体" w:cs="宋体"/>
          <w:spacing w:val="4"/>
          <w:kern w:val="0"/>
          <w:sz w:val="36"/>
          <w:szCs w:val="36"/>
        </w:rPr>
      </w:pPr>
      <w:r>
        <w:rPr>
          <w:rFonts w:hint="eastAsia" w:ascii="宋体" w:hAnsi="宋体" w:cs="宋体"/>
          <w:b/>
          <w:spacing w:val="4"/>
          <w:kern w:val="0"/>
          <w:sz w:val="36"/>
          <w:szCs w:val="36"/>
          <w:lang w:bidi="ar"/>
        </w:rPr>
        <w:t>投入主要施工机械设备表</w:t>
      </w:r>
    </w:p>
    <w:tbl>
      <w:tblPr>
        <w:tblStyle w:val="36"/>
        <w:tblW w:w="9959"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06"/>
        <w:gridCol w:w="1905"/>
        <w:gridCol w:w="2461"/>
        <w:gridCol w:w="1054"/>
        <w:gridCol w:w="1054"/>
        <w:gridCol w:w="992"/>
        <w:gridCol w:w="956"/>
        <w:gridCol w:w="103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411" w:type="dxa"/>
            <w:gridSpan w:val="2"/>
            <w:vMerge w:val="restart"/>
            <w:tcBorders>
              <w:top w:val="single" w:color="auto" w:sz="2"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名称及型号</w:t>
            </w:r>
          </w:p>
        </w:tc>
        <w:tc>
          <w:tcPr>
            <w:tcW w:w="7548" w:type="dxa"/>
            <w:gridSpan w:val="6"/>
            <w:tcBorders>
              <w:top w:val="single" w:color="auto" w:sz="2"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2411" w:type="dxa"/>
            <w:gridSpan w:val="2"/>
            <w:vMerge w:val="continue"/>
            <w:tcBorders>
              <w:top w:val="single" w:color="auto" w:sz="2" w:space="0"/>
              <w:left w:val="single" w:color="auto" w:sz="2" w:space="0"/>
              <w:bottom w:val="single" w:color="auto" w:sz="6" w:space="0"/>
              <w:right w:val="single" w:color="auto" w:sz="6" w:space="0"/>
            </w:tcBorders>
            <w:vAlign w:val="center"/>
          </w:tcPr>
          <w:p>
            <w:pPr>
              <w:spacing w:line="360" w:lineRule="auto"/>
              <w:rPr>
                <w:sz w:val="20"/>
                <w:szCs w:val="20"/>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机械投入数量</w:t>
            </w:r>
          </w:p>
        </w:tc>
        <w:tc>
          <w:tcPr>
            <w:tcW w:w="5087" w:type="dxa"/>
            <w:gridSpan w:val="5"/>
            <w:tcBorders>
              <w:top w:val="single" w:color="auto" w:sz="6"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2411" w:type="dxa"/>
            <w:gridSpan w:val="2"/>
            <w:tcBorders>
              <w:top w:val="single" w:color="auto" w:sz="6"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名</w:t>
            </w:r>
            <w:r>
              <w:rPr>
                <w:rFonts w:ascii="宋体" w:hAnsi="宋体" w:cs="宋体"/>
                <w:szCs w:val="21"/>
                <w:lang w:bidi="ar"/>
              </w:rPr>
              <w:t xml:space="preserve">     </w:t>
            </w:r>
            <w:r>
              <w:rPr>
                <w:rFonts w:hint="eastAsia" w:ascii="宋体" w:hAnsi="宋体" w:cs="宋体"/>
                <w:szCs w:val="21"/>
                <w:lang w:bidi="ar"/>
              </w:rPr>
              <w:t>称</w:t>
            </w: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数量（台套）</w:t>
            </w: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小计</w:t>
            </w: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新购</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自有</w:t>
            </w: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租赁</w:t>
            </w: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506" w:type="dxa"/>
            <w:vMerge w:val="restart"/>
            <w:tcBorders>
              <w:top w:val="single" w:color="auto" w:sz="6"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施工机械设备</w:t>
            </w: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jc w:val="center"/>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506" w:type="dxa"/>
            <w:vMerge w:val="restart"/>
            <w:tcBorders>
              <w:top w:val="single" w:color="auto" w:sz="6"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其他设备</w:t>
            </w: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90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461"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506"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905"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2461"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1054"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992"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956"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1031" w:type="dxa"/>
            <w:tcBorders>
              <w:top w:val="single" w:color="auto" w:sz="6" w:space="0"/>
              <w:left w:val="single" w:color="auto" w:sz="6" w:space="0"/>
              <w:bottom w:val="single" w:color="auto" w:sz="2" w:space="0"/>
              <w:right w:val="single" w:color="auto" w:sz="2" w:space="0"/>
            </w:tcBorders>
            <w:vAlign w:val="center"/>
          </w:tcPr>
          <w:p>
            <w:pPr>
              <w:spacing w:line="360" w:lineRule="auto"/>
              <w:jc w:val="left"/>
              <w:rPr>
                <w:rFonts w:ascii="宋体" w:cs="宋体"/>
                <w:szCs w:val="21"/>
              </w:rPr>
            </w:pPr>
          </w:p>
        </w:tc>
      </w:tr>
    </w:tbl>
    <w:p>
      <w:pPr>
        <w:keepNext w:val="0"/>
        <w:keepLines w:val="0"/>
        <w:pageBreakBefore w:val="0"/>
        <w:widowControl w:val="0"/>
        <w:kinsoku/>
        <w:wordWrap/>
        <w:overflowPunct/>
        <w:topLinePunct/>
        <w:autoSpaceDE/>
        <w:autoSpaceDN/>
        <w:bidi w:val="0"/>
        <w:adjustRightInd/>
        <w:snapToGrid/>
        <w:spacing w:before="156" w:beforeLines="50" w:line="360" w:lineRule="auto"/>
        <w:ind w:firstLine="436" w:firstLineChars="200"/>
        <w:textAlignment w:val="auto"/>
        <w:rPr>
          <w:rFonts w:hint="eastAsia" w:ascii="宋体" w:eastAsia="宋体" w:cs="宋体"/>
          <w:spacing w:val="4"/>
          <w:kern w:val="0"/>
          <w:szCs w:val="21"/>
          <w:lang w:eastAsia="zh-CN"/>
        </w:rPr>
      </w:pPr>
      <w:r>
        <w:rPr>
          <w:rFonts w:hint="eastAsia" w:ascii="宋体" w:hAnsi="宋体" w:cs="宋体"/>
          <w:spacing w:val="4"/>
          <w:kern w:val="0"/>
          <w:szCs w:val="21"/>
          <w:lang w:bidi="ar"/>
        </w:rPr>
        <w:t>注：设备名称及要求数量由投标人视本工程具体情况结合招标人对本工程的具体要求自行配备</w:t>
      </w:r>
      <w:r>
        <w:rPr>
          <w:rFonts w:hint="eastAsia" w:ascii="宋体" w:hAnsi="宋体" w:cs="宋体"/>
          <w:spacing w:val="4"/>
          <w:kern w:val="0"/>
          <w:szCs w:val="21"/>
          <w:lang w:eastAsia="zh-CN" w:bidi="ar"/>
        </w:rPr>
        <w:t>。</w:t>
      </w:r>
    </w:p>
    <w:p>
      <w:pPr>
        <w:topLinePunct/>
        <w:adjustRightInd w:val="0"/>
        <w:snapToGrid w:val="0"/>
        <w:spacing w:line="360" w:lineRule="auto"/>
        <w:outlineLvl w:val="3"/>
        <w:rPr>
          <w:rFonts w:ascii="宋体" w:cs="宋体"/>
          <w:spacing w:val="4"/>
          <w:kern w:val="0"/>
          <w:sz w:val="24"/>
          <w:szCs w:val="24"/>
        </w:rPr>
      </w:pPr>
      <w:r>
        <w:rPr>
          <w:rFonts w:ascii="宋体" w:cs="宋体"/>
          <w:spacing w:val="4"/>
          <w:kern w:val="0"/>
          <w:sz w:val="24"/>
          <w:szCs w:val="24"/>
          <w:lang w:bidi="ar"/>
        </w:rPr>
        <w:br w:type="page"/>
      </w:r>
      <w:r>
        <w:rPr>
          <w:rFonts w:hint="eastAsia" w:ascii="宋体" w:hAnsi="宋体" w:cs="宋体"/>
          <w:b/>
          <w:spacing w:val="4"/>
          <w:kern w:val="0"/>
          <w:sz w:val="24"/>
          <w:szCs w:val="24"/>
          <w:lang w:bidi="ar"/>
        </w:rPr>
        <w:t>附表5：资金使用计划表</w:t>
      </w:r>
    </w:p>
    <w:p>
      <w:pPr>
        <w:topLinePunct/>
        <w:adjustRightInd w:val="0"/>
        <w:snapToGrid w:val="0"/>
        <w:spacing w:line="360" w:lineRule="auto"/>
        <w:jc w:val="center"/>
        <w:rPr>
          <w:rFonts w:ascii="宋体" w:cs="宋体"/>
          <w:spacing w:val="4"/>
          <w:kern w:val="0"/>
          <w:sz w:val="36"/>
          <w:szCs w:val="36"/>
        </w:rPr>
      </w:pPr>
      <w:r>
        <w:rPr>
          <w:rFonts w:hint="eastAsia" w:ascii="宋体" w:hAnsi="宋体" w:cs="宋体"/>
          <w:b/>
          <w:spacing w:val="4"/>
          <w:kern w:val="0"/>
          <w:sz w:val="36"/>
          <w:szCs w:val="36"/>
          <w:lang w:bidi="ar"/>
        </w:rPr>
        <w:t>资金使用计划表</w:t>
      </w:r>
    </w:p>
    <w:tbl>
      <w:tblPr>
        <w:tblStyle w:val="36"/>
        <w:tblW w:w="9219" w:type="dxa"/>
        <w:jc w:val="center"/>
        <w:tblLayout w:type="fixed"/>
        <w:tblCellMar>
          <w:top w:w="0" w:type="dxa"/>
          <w:left w:w="108" w:type="dxa"/>
          <w:bottom w:w="0" w:type="dxa"/>
          <w:right w:w="108" w:type="dxa"/>
        </w:tblCellMar>
      </w:tblPr>
      <w:tblGrid>
        <w:gridCol w:w="2361"/>
        <w:gridCol w:w="2348"/>
        <w:gridCol w:w="2348"/>
        <w:gridCol w:w="2162"/>
      </w:tblGrid>
      <w:tr>
        <w:tblPrEx>
          <w:tblCellMar>
            <w:top w:w="0" w:type="dxa"/>
            <w:left w:w="108" w:type="dxa"/>
            <w:bottom w:w="0" w:type="dxa"/>
            <w:right w:w="108" w:type="dxa"/>
          </w:tblCellMar>
        </w:tblPrEx>
        <w:trPr>
          <w:trHeight w:val="515" w:hRule="atLeast"/>
          <w:jc w:val="center"/>
        </w:trPr>
        <w:tc>
          <w:tcPr>
            <w:tcW w:w="2361" w:type="dxa"/>
            <w:vMerge w:val="restart"/>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从开工月算起的时间（月）</w:t>
            </w:r>
          </w:p>
        </w:tc>
        <w:tc>
          <w:tcPr>
            <w:tcW w:w="4696" w:type="dxa"/>
            <w:gridSpan w:val="2"/>
            <w:tcBorders>
              <w:top w:val="single" w:color="auto" w:sz="4"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r>
              <w:rPr>
                <w:rFonts w:hint="eastAsia" w:ascii="宋体" w:hAnsi="宋体" w:cs="宋体"/>
                <w:spacing w:val="4"/>
                <w:sz w:val="24"/>
                <w:szCs w:val="24"/>
                <w:lang w:bidi="ar"/>
              </w:rPr>
              <w:t>资金使用计划</w:t>
            </w:r>
          </w:p>
        </w:tc>
        <w:tc>
          <w:tcPr>
            <w:tcW w:w="2162" w:type="dxa"/>
            <w:vMerge w:val="restart"/>
            <w:tcBorders>
              <w:top w:val="single" w:color="auto" w:sz="4"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备注</w:t>
            </w:r>
          </w:p>
        </w:tc>
      </w:tr>
      <w:tr>
        <w:tblPrEx>
          <w:tblCellMar>
            <w:top w:w="0" w:type="dxa"/>
            <w:left w:w="108" w:type="dxa"/>
            <w:bottom w:w="0" w:type="dxa"/>
            <w:right w:w="108" w:type="dxa"/>
          </w:tblCellMar>
        </w:tblPrEx>
        <w:trPr>
          <w:trHeight w:val="587" w:hRule="atLeast"/>
          <w:jc w:val="center"/>
        </w:trPr>
        <w:tc>
          <w:tcPr>
            <w:tcW w:w="2361" w:type="dxa"/>
            <w:vMerge w:val="continue"/>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autoSpaceDE/>
              <w:autoSpaceDN/>
              <w:bidi w:val="0"/>
              <w:adjustRightInd/>
              <w:snapToGrid/>
              <w:spacing w:line="440" w:lineRule="exact"/>
              <w:textAlignment w:val="auto"/>
              <w:rPr>
                <w:sz w:val="20"/>
                <w:szCs w:val="20"/>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ascii="宋体" w:cs="宋体"/>
                <w:spacing w:val="4"/>
                <w:sz w:val="24"/>
                <w:szCs w:val="24"/>
              </w:rPr>
            </w:pPr>
            <w:r>
              <w:rPr>
                <w:rFonts w:hint="eastAsia" w:ascii="宋体" w:hAnsi="宋体" w:cs="宋体"/>
                <w:spacing w:val="4"/>
                <w:sz w:val="24"/>
                <w:szCs w:val="24"/>
                <w:lang w:bidi="ar"/>
              </w:rPr>
              <w:t>分期（</w:t>
            </w:r>
            <w:r>
              <w:rPr>
                <w:rFonts w:ascii="宋体" w:hAnsi="宋体" w:cs="宋体"/>
                <w:spacing w:val="4"/>
                <w:sz w:val="24"/>
                <w:szCs w:val="24"/>
                <w:lang w:bidi="ar"/>
              </w:rPr>
              <w:t>%）</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ascii="宋体" w:cs="宋体"/>
                <w:spacing w:val="4"/>
                <w:sz w:val="24"/>
                <w:szCs w:val="24"/>
              </w:rPr>
            </w:pPr>
            <w:r>
              <w:rPr>
                <w:rFonts w:hint="eastAsia" w:ascii="宋体" w:hAnsi="宋体" w:cs="宋体"/>
                <w:spacing w:val="4"/>
                <w:sz w:val="24"/>
                <w:szCs w:val="24"/>
                <w:lang w:bidi="ar"/>
              </w:rPr>
              <w:t>累计（</w:t>
            </w:r>
            <w:r>
              <w:rPr>
                <w:rFonts w:ascii="宋体" w:hAnsi="宋体" w:cs="宋体"/>
                <w:spacing w:val="4"/>
                <w:sz w:val="24"/>
                <w:szCs w:val="24"/>
                <w:lang w:bidi="ar"/>
              </w:rPr>
              <w:t>%）</w:t>
            </w:r>
          </w:p>
        </w:tc>
        <w:tc>
          <w:tcPr>
            <w:tcW w:w="2162" w:type="dxa"/>
            <w:vMerge w:val="continue"/>
            <w:tcBorders>
              <w:top w:val="single" w:color="auto" w:sz="4" w:space="0"/>
              <w:left w:val="nil"/>
              <w:bottom w:val="single" w:color="auto" w:sz="6" w:space="0"/>
              <w:right w:val="single" w:color="auto" w:sz="4" w:space="0"/>
            </w:tcBorders>
            <w:vAlign w:val="center"/>
          </w:tcPr>
          <w:p>
            <w:pPr>
              <w:keepNext w:val="0"/>
              <w:keepLines w:val="0"/>
              <w:pageBreakBefore w:val="0"/>
              <w:widowControl w:val="0"/>
              <w:kinsoku/>
              <w:wordWrap/>
              <w:overflowPunct/>
              <w:autoSpaceDE/>
              <w:autoSpaceDN/>
              <w:bidi w:val="0"/>
              <w:adjustRightInd/>
              <w:snapToGrid/>
              <w:spacing w:line="440" w:lineRule="exact"/>
              <w:textAlignment w:val="auto"/>
              <w:rPr>
                <w:sz w:val="20"/>
                <w:szCs w:val="20"/>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预付款</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hint="default" w:ascii="宋体" w:eastAsia="宋体" w:cs="宋体"/>
                <w:spacing w:val="4"/>
                <w:sz w:val="24"/>
                <w:szCs w:val="24"/>
                <w:lang w:val="en-US" w:eastAsia="zh-CN"/>
              </w:rPr>
            </w:pPr>
            <w:r>
              <w:rPr>
                <w:rFonts w:hint="eastAsia" w:ascii="宋体" w:hAnsi="宋体" w:cs="宋体"/>
                <w:spacing w:val="4"/>
                <w:sz w:val="24"/>
                <w:szCs w:val="24"/>
                <w:lang w:bidi="ar"/>
              </w:rPr>
              <w:t>第</w:t>
            </w:r>
            <w:r>
              <w:rPr>
                <w:rFonts w:ascii="宋体" w:hAnsi="宋体" w:cs="宋体"/>
                <w:spacing w:val="4"/>
                <w:sz w:val="24"/>
                <w:szCs w:val="24"/>
                <w:lang w:bidi="ar"/>
              </w:rPr>
              <w:t>1月</w:t>
            </w:r>
            <w:r>
              <w:rPr>
                <w:rFonts w:hint="eastAsia" w:ascii="宋体" w:hAnsi="宋体" w:cs="宋体"/>
                <w:spacing w:val="4"/>
                <w:sz w:val="24"/>
                <w:szCs w:val="24"/>
                <w:lang w:val="en-US" w:eastAsia="zh-CN" w:bidi="ar"/>
              </w:rPr>
              <w:t>/周</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2月</w:t>
            </w:r>
            <w:r>
              <w:rPr>
                <w:rFonts w:hint="eastAsia" w:ascii="宋体" w:hAnsi="宋体" w:cs="宋体"/>
                <w:spacing w:val="4"/>
                <w:sz w:val="24"/>
                <w:szCs w:val="24"/>
                <w:lang w:val="en-US" w:eastAsia="zh-CN" w:bidi="ar"/>
              </w:rPr>
              <w:t>/周</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3月</w:t>
            </w:r>
            <w:r>
              <w:rPr>
                <w:rFonts w:hint="eastAsia" w:ascii="宋体" w:hAnsi="宋体" w:cs="宋体"/>
                <w:spacing w:val="4"/>
                <w:sz w:val="24"/>
                <w:szCs w:val="24"/>
                <w:lang w:val="en-US" w:eastAsia="zh-CN" w:bidi="ar"/>
              </w:rPr>
              <w:t>/周</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4月</w:t>
            </w:r>
            <w:r>
              <w:rPr>
                <w:rFonts w:hint="eastAsia" w:ascii="宋体" w:hAnsi="宋体" w:cs="宋体"/>
                <w:spacing w:val="4"/>
                <w:sz w:val="24"/>
                <w:szCs w:val="24"/>
                <w:lang w:val="en-US" w:eastAsia="zh-CN" w:bidi="ar"/>
              </w:rPr>
              <w:t>/周</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17" w:hanging="17" w:hangingChars="7"/>
              <w:jc w:val="center"/>
              <w:textAlignment w:val="auto"/>
              <w:rPr>
                <w:rFonts w:ascii="宋体" w:cs="宋体"/>
                <w:spacing w:val="4"/>
                <w:sz w:val="24"/>
                <w:szCs w:val="24"/>
              </w:rPr>
            </w:pPr>
            <w:r>
              <w:rPr>
                <w:rFonts w:hint="eastAsia" w:ascii="宋体" w:hAnsi="宋体" w:cs="宋体"/>
                <w:spacing w:val="4"/>
                <w:sz w:val="24"/>
                <w:szCs w:val="24"/>
                <w:lang w:bidi="ar"/>
              </w:rPr>
              <w:t>……</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ascii="宋体" w:cs="宋体"/>
                <w:spacing w:val="4"/>
                <w:sz w:val="24"/>
                <w:szCs w:val="24"/>
              </w:rPr>
            </w:pPr>
            <w:r>
              <w:rPr>
                <w:rFonts w:hint="eastAsia" w:ascii="宋体" w:hAnsi="宋体" w:cs="宋体"/>
                <w:spacing w:val="4"/>
                <w:sz w:val="24"/>
                <w:szCs w:val="24"/>
                <w:lang w:bidi="ar"/>
              </w:rPr>
              <w:t>保修期</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77" w:hRule="atLeast"/>
          <w:jc w:val="center"/>
        </w:trPr>
        <w:tc>
          <w:tcPr>
            <w:tcW w:w="236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ascii="宋体" w:cs="宋体"/>
                <w:spacing w:val="4"/>
                <w:sz w:val="24"/>
                <w:szCs w:val="24"/>
              </w:rPr>
            </w:pPr>
            <w:r>
              <w:rPr>
                <w:rFonts w:hint="eastAsia" w:ascii="宋体" w:hAnsi="宋体" w:cs="宋体"/>
                <w:spacing w:val="4"/>
                <w:sz w:val="24"/>
                <w:szCs w:val="24"/>
                <w:lang w:bidi="ar"/>
              </w:rPr>
              <w:t>合计</w:t>
            </w: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348" w:type="dxa"/>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c>
          <w:tcPr>
            <w:tcW w:w="2162" w:type="dxa"/>
            <w:tcBorders>
              <w:top w:val="single" w:color="auto" w:sz="6" w:space="0"/>
              <w:left w:val="nil"/>
              <w:bottom w:val="single" w:color="auto" w:sz="6"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r>
        <w:tblPrEx>
          <w:tblCellMar>
            <w:top w:w="0" w:type="dxa"/>
            <w:left w:w="108" w:type="dxa"/>
            <w:bottom w:w="0" w:type="dxa"/>
            <w:right w:w="108" w:type="dxa"/>
          </w:tblCellMar>
        </w:tblPrEx>
        <w:trPr>
          <w:trHeight w:val="487" w:hRule="atLeast"/>
          <w:jc w:val="center"/>
        </w:trPr>
        <w:tc>
          <w:tcPr>
            <w:tcW w:w="2361"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ascii="宋体" w:cs="宋体"/>
                <w:spacing w:val="4"/>
                <w:sz w:val="24"/>
                <w:szCs w:val="24"/>
              </w:rPr>
            </w:pPr>
            <w:r>
              <w:rPr>
                <w:rFonts w:hint="eastAsia" w:ascii="宋体" w:hAnsi="宋体" w:cs="宋体"/>
                <w:spacing w:val="4"/>
                <w:sz w:val="24"/>
                <w:szCs w:val="24"/>
                <w:lang w:bidi="ar"/>
              </w:rPr>
              <w:t>说明</w:t>
            </w:r>
          </w:p>
        </w:tc>
        <w:tc>
          <w:tcPr>
            <w:tcW w:w="6858" w:type="dxa"/>
            <w:gridSpan w:val="3"/>
            <w:tcBorders>
              <w:top w:val="single" w:color="auto" w:sz="6"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40" w:lineRule="exact"/>
              <w:ind w:left="479"/>
              <w:jc w:val="center"/>
              <w:textAlignment w:val="auto"/>
              <w:rPr>
                <w:rFonts w:ascii="宋体" w:cs="宋体"/>
                <w:spacing w:val="4"/>
                <w:sz w:val="24"/>
                <w:szCs w:val="24"/>
              </w:rPr>
            </w:pPr>
          </w:p>
        </w:tc>
      </w:tr>
    </w:tbl>
    <w:p>
      <w:pPr>
        <w:keepNext w:val="0"/>
        <w:keepLines w:val="0"/>
        <w:pageBreakBefore w:val="0"/>
        <w:widowControl w:val="0"/>
        <w:kinsoku/>
        <w:wordWrap/>
        <w:overflowPunct/>
        <w:topLinePunct/>
        <w:autoSpaceDE/>
        <w:autoSpaceDN/>
        <w:bidi w:val="0"/>
        <w:adjustRightInd/>
        <w:snapToGrid/>
        <w:spacing w:before="156" w:beforeLines="50" w:line="360" w:lineRule="auto"/>
        <w:ind w:firstLine="436" w:firstLineChars="200"/>
        <w:textAlignment w:val="auto"/>
        <w:rPr>
          <w:rFonts w:hint="eastAsia" w:ascii="宋体" w:hAnsi="宋体" w:cs="宋体"/>
          <w:spacing w:val="4"/>
          <w:kern w:val="0"/>
          <w:szCs w:val="21"/>
          <w:lang w:bidi="ar"/>
        </w:rPr>
      </w:pPr>
      <w:r>
        <w:rPr>
          <w:rFonts w:hint="eastAsia" w:ascii="宋体" w:hAnsi="宋体" w:cs="宋体"/>
          <w:spacing w:val="4"/>
          <w:kern w:val="0"/>
          <w:szCs w:val="21"/>
          <w:lang w:bidi="ar"/>
        </w:rPr>
        <w:t>注：本表</w:t>
      </w:r>
      <w:r>
        <w:rPr>
          <w:rFonts w:hint="eastAsia" w:ascii="宋体" w:hAnsi="宋体" w:cs="宋体"/>
          <w:spacing w:val="4"/>
          <w:kern w:val="0"/>
          <w:szCs w:val="21"/>
          <w:lang w:val="en-US" w:eastAsia="zh-CN" w:bidi="ar"/>
        </w:rPr>
        <w:t>无需</w:t>
      </w:r>
      <w:r>
        <w:rPr>
          <w:rFonts w:hint="eastAsia" w:ascii="宋体" w:hAnsi="宋体" w:cs="宋体"/>
          <w:spacing w:val="4"/>
          <w:kern w:val="0"/>
          <w:szCs w:val="21"/>
          <w:lang w:bidi="ar"/>
        </w:rPr>
        <w:t>出现具体金额，仅以百分比表示。</w:t>
      </w:r>
    </w:p>
    <w:p>
      <w:pPr>
        <w:widowControl/>
        <w:spacing w:line="360" w:lineRule="auto"/>
        <w:jc w:val="left"/>
        <w:rPr>
          <w:rFonts w:hint="eastAsia" w:ascii="宋体" w:hAnsi="宋体" w:cs="宋体"/>
          <w:szCs w:val="21"/>
        </w:rPr>
      </w:pPr>
      <w:r>
        <w:rPr>
          <w:rFonts w:ascii="宋体" w:hAnsi="宋体" w:cs="宋体"/>
          <w:szCs w:val="21"/>
        </w:rPr>
        <w:br w:type="page"/>
      </w:r>
    </w:p>
    <w:bookmarkEnd w:id="70"/>
    <w:p>
      <w:pPr>
        <w:autoSpaceDE w:val="0"/>
        <w:autoSpaceDN w:val="0"/>
        <w:adjustRightInd w:val="0"/>
        <w:rPr>
          <w:rFonts w:hint="eastAsia" w:ascii="宋体" w:hAnsi="宋体" w:cs="宋体"/>
          <w:bCs/>
          <w:sz w:val="24"/>
          <w:lang w:val="en-US" w:eastAsia="zh-CN"/>
        </w:rPr>
      </w:pPr>
      <w:r>
        <w:rPr>
          <w:rFonts w:hint="eastAsia" w:ascii="宋体" w:hAnsi="宋体" w:cs="宋体"/>
          <w:bCs/>
          <w:sz w:val="24"/>
          <w:lang w:val="en-US" w:eastAsia="zh-CN"/>
        </w:rPr>
        <w:t>格式九：危险性较大的分部分项工程清单及超过一定规模的危险性较大的分部分项工程清单</w:t>
      </w:r>
    </w:p>
    <w:p>
      <w:pPr>
        <w:widowControl/>
        <w:topLinePunct/>
        <w:adjustRightInd w:val="0"/>
        <w:snapToGrid w:val="0"/>
        <w:spacing w:before="156" w:beforeLines="50" w:after="156"/>
        <w:jc w:val="center"/>
        <w:rPr>
          <w:b/>
          <w:spacing w:val="4"/>
          <w:kern w:val="0"/>
          <w:sz w:val="32"/>
          <w:szCs w:val="32"/>
          <w:highlight w:val="none"/>
        </w:rPr>
      </w:pPr>
      <w:r>
        <w:rPr>
          <w:rFonts w:hint="eastAsia"/>
          <w:b/>
          <w:spacing w:val="4"/>
          <w:kern w:val="0"/>
          <w:sz w:val="32"/>
          <w:szCs w:val="32"/>
          <w:highlight w:val="none"/>
        </w:rPr>
        <w:t>危险性较大的分部分项工程清单及</w:t>
      </w:r>
    </w:p>
    <w:p>
      <w:pPr>
        <w:widowControl/>
        <w:topLinePunct/>
        <w:adjustRightInd w:val="0"/>
        <w:snapToGrid w:val="0"/>
        <w:spacing w:before="156" w:beforeLines="50" w:after="156"/>
        <w:jc w:val="center"/>
        <w:rPr>
          <w:b/>
          <w:spacing w:val="4"/>
          <w:kern w:val="0"/>
          <w:sz w:val="32"/>
          <w:szCs w:val="32"/>
          <w:highlight w:val="none"/>
        </w:rPr>
      </w:pPr>
      <w:r>
        <w:rPr>
          <w:rFonts w:hint="eastAsia"/>
          <w:b/>
          <w:spacing w:val="4"/>
          <w:kern w:val="0"/>
          <w:sz w:val="32"/>
          <w:szCs w:val="32"/>
          <w:highlight w:val="none"/>
        </w:rPr>
        <w:t>超过一定规模的危险性较大的分部分项工程清单</w:t>
      </w:r>
    </w:p>
    <w:p>
      <w:pPr>
        <w:numPr>
          <w:ilvl w:val="0"/>
          <w:numId w:val="5"/>
        </w:num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numPr>
          <w:ilvl w:val="0"/>
          <w:numId w:val="5"/>
        </w:num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numPr>
          <w:ilvl w:val="0"/>
          <w:numId w:val="6"/>
        </w:numPr>
        <w:autoSpaceDE w:val="0"/>
        <w:autoSpaceDN w:val="0"/>
        <w:adjustRightInd w:val="0"/>
        <w:spacing w:line="360" w:lineRule="auto"/>
        <w:ind w:left="851" w:hanging="567"/>
        <w:jc w:val="left"/>
        <w:rPr>
          <w:rFonts w:ascii="宋体" w:hAnsi="宋体" w:cs="宋体"/>
          <w:szCs w:val="21"/>
          <w:highlight w:val="none"/>
        </w:rPr>
      </w:pPr>
      <w:r>
        <w:rPr>
          <w:rFonts w:hint="eastAsia" w:ascii="宋体" w:hAnsi="宋体" w:cs="宋体"/>
          <w:szCs w:val="21"/>
          <w:highlight w:val="none"/>
        </w:rPr>
        <w:t>投标单位同意建设单位在清单中标识的该项请在对应项打“√”标识，并在投标文件中提供相应的安全管理措施。</w:t>
      </w:r>
    </w:p>
    <w:p>
      <w:pPr>
        <w:numPr>
          <w:ilvl w:val="0"/>
          <w:numId w:val="6"/>
        </w:numPr>
        <w:autoSpaceDE w:val="0"/>
        <w:autoSpaceDN w:val="0"/>
        <w:adjustRightInd w:val="0"/>
        <w:spacing w:line="360" w:lineRule="auto"/>
        <w:ind w:left="851" w:hanging="567"/>
        <w:jc w:val="left"/>
        <w:rPr>
          <w:rFonts w:ascii="宋体" w:hAnsi="宋体" w:cs="宋体"/>
          <w:szCs w:val="21"/>
          <w:highlight w:val="none"/>
        </w:rPr>
      </w:pPr>
      <w:r>
        <w:rPr>
          <w:rFonts w:hint="eastAsia" w:ascii="宋体" w:hAnsi="宋体" w:cs="宋体"/>
          <w:szCs w:val="21"/>
          <w:highlight w:val="none"/>
        </w:rPr>
        <w:t>投标单位对清单中认为需要补充的该项请在对应项打“√”标识，并在投标文件中提供相应的安全管理措施。</w:t>
      </w:r>
    </w:p>
    <w:p>
      <w:pPr>
        <w:numPr>
          <w:ilvl w:val="0"/>
          <w:numId w:val="6"/>
        </w:numPr>
        <w:autoSpaceDE w:val="0"/>
        <w:autoSpaceDN w:val="0"/>
        <w:adjustRightInd w:val="0"/>
        <w:spacing w:line="360" w:lineRule="auto"/>
        <w:ind w:left="851" w:hanging="567"/>
        <w:jc w:val="left"/>
        <w:rPr>
          <w:rFonts w:ascii="宋体" w:hAnsi="宋体" w:cs="宋体"/>
          <w:szCs w:val="21"/>
          <w:highlight w:val="none"/>
        </w:rPr>
      </w:pPr>
      <w:r>
        <w:rPr>
          <w:rFonts w:hint="eastAsia" w:ascii="宋体" w:hAnsi="宋体" w:cs="宋体"/>
          <w:szCs w:val="21"/>
          <w:highlight w:val="none"/>
        </w:rPr>
        <w:t>投标单位不同意建设单位在清单中标识的该项请在对应项打“×”标识，并在备注栏填上相关说明。</w:t>
      </w:r>
    </w:p>
    <w:p>
      <w:pPr>
        <w:numPr>
          <w:ilvl w:val="0"/>
          <w:numId w:val="5"/>
        </w:num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投标单位应当在投标时根据招标人提供的下述第5点清单，在投标文件中编制专项施工方案。</w:t>
      </w:r>
    </w:p>
    <w:p>
      <w:pPr>
        <w:numPr>
          <w:ilvl w:val="0"/>
          <w:numId w:val="5"/>
        </w:num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单位审核和总监理工程师审查。</w:t>
      </w:r>
    </w:p>
    <w:p>
      <w:pPr>
        <w:numPr>
          <w:ilvl w:val="0"/>
          <w:numId w:val="5"/>
        </w:num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危险性较大的分部分项工程清单及超过一定规模的危险性较大的分部分项工程清单：</w:t>
      </w:r>
    </w:p>
    <w:tbl>
      <w:tblPr>
        <w:tblStyle w:val="36"/>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1"/>
        <w:gridCol w:w="1381"/>
        <w:gridCol w:w="138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一、危险性较大的分部分项工程清单</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建设单位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投标单位</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一、基坑支护</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（一）开挖深度超过3m（含3m）的基坑（槽）的土方开挖、支护、降水工程。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（二）开挖深度虽未超过3m，但地质条件、周围环境和地下管线复杂，或影响毗邻建、构筑物安全的基坑（槽）的土方开挖、支护、降水工程。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二、模板工程及支撑体系</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szCs w:val="21"/>
                <w:highlight w:val="none"/>
              </w:rPr>
            </w:pPr>
            <w:r>
              <w:rPr>
                <w:rFonts w:hint="eastAsia" w:ascii="宋体" w:hAnsi="宋体" w:cs="宋体"/>
                <w:szCs w:val="21"/>
                <w:highlight w:val="none"/>
              </w:rPr>
              <w:t>（三）承重支撑体系：用于钢结构安装等满堂支撑体系。</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szCs w:val="21"/>
                <w:highlight w:val="none"/>
              </w:rPr>
            </w:pPr>
            <w:r>
              <w:rPr>
                <w:rFonts w:hint="eastAsia" w:ascii="宋体" w:hAnsi="宋体" w:cs="宋体"/>
                <w:szCs w:val="21"/>
                <w:highlight w:val="none"/>
              </w:rPr>
              <w:t>三、起重吊装及起重机械安装拆卸工程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szCs w:val="21"/>
                <w:highlight w:val="none"/>
              </w:rPr>
            </w:pPr>
            <w:r>
              <w:rPr>
                <w:rFonts w:hint="eastAsia" w:ascii="宋体" w:hAnsi="宋体" w:cs="宋体"/>
                <w:szCs w:val="21"/>
                <w:highlight w:val="none"/>
              </w:rPr>
              <w:t>（一）采用非常规起重设备、方法，且单件起吊重量在10kN及以上的起重吊装工程。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（二）采用起重机械进行安装的工程。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（三）起重机械安装和拆卸工程。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四、脚手架工程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（一）搭设高度24m及以上的落地式钢管脚手架工程（包括采光井、电梯井脚手架）。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（二）附着式升降脚手架工程。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（三）悬挑式脚手架工程。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（四）高处作业吊篮。</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（五）卸料平台、操作平台工程。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（六）异型脚手架工程。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五、拆除工程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可能影响行人、交通、电力设施、通讯设施或其它建、构筑物安全的拆除工程。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六、暗挖工程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采用矿山法、盾构法、顶管法施工的隧道、洞室工程。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七、其它</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（一）建筑幕墙安装工程。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（二）钢结构、网架和索膜结构安装工程。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（三）人工挖孔桩工程。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（四）水下作业工程。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（五）装配式建筑混凝土预制构件安装工程。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一、深基坑工程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开挖深度超过5m（含5m）的基坑（槽）的土方开挖、支护、降水工程。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二、模板工程及支撑体系</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（二）混凝土模板支撑工程：搭设高度8m及以上，或搭设跨度18m及以上，或施工总荷载（设计值）15kN/m2及以上，或集中线荷载（设计值）20kN/m及以上。</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（三）承重支撑体系：用于钢结构安装等满堂支撑体系，承受单点集中荷载7kN及以上。</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szCs w:val="21"/>
                <w:highlight w:val="none"/>
              </w:rPr>
            </w:pPr>
            <w:r>
              <w:rPr>
                <w:rFonts w:hint="eastAsia" w:ascii="宋体" w:hAnsi="宋体" w:cs="宋体"/>
                <w:szCs w:val="21"/>
                <w:highlight w:val="none"/>
              </w:rPr>
              <w:t>三、起重吊装及起重机械安装拆卸工程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（一）采用非常规起重设备、方法，且单件起吊重量在100kN及以上的起重吊装工程。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（二）起重量300kN及以上，或搭设总高度200m及以上，或搭设基础标高在200m及以上的起重机械安装和拆卸工程。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四、脚手架工程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（一）搭设高度50m及以上的落地式钢管脚手架工程。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（二）提升高度在150m及以上的附着式升降脚手架工程或附着式升降操作平台工程。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（三）分段架体搭设高度20m及以上的悬挑式脚手架工程。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五、拆除工程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（一）码头、桥梁、高架、烟囱、水塔或拆除中容易引起有毒有害气（液）体或粉尘扩散、易燃易爆事故发生的特殊建、构筑物的拆除工程。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（二）文物保护建筑、优秀历史建筑或历史文化风貌区影响范围内的拆除工程。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六、暗挖工程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采用矿山法、盾构法、顶管法施工的隧道、洞室工程。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七、其它</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（一）施工高度50m及以上的建筑幕墙安装工程。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（二）跨度36m及以上的钢结构安装工程，或跨度60m及以上的网架和索膜结构安装工程。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（三）开挖深度16m及以上的人工挖孔桩工程。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（四）水下作业工程。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（五）重量1000kN及以上的大型结构整体顶升、平移、转体等施工工艺。</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highlight w:val="none"/>
              </w:rPr>
            </w:pPr>
            <w:r>
              <w:rPr>
                <w:rFonts w:hint="eastAsia" w:ascii="宋体" w:hAnsi="宋体" w:cs="宋体"/>
                <w:szCs w:val="21"/>
                <w:highlight w:val="none"/>
              </w:rPr>
              <w:t>(    )</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Cs w:val="21"/>
                <w:highlight w:val="none"/>
              </w:rPr>
            </w:pPr>
          </w:p>
        </w:tc>
      </w:tr>
    </w:tbl>
    <w:p>
      <w:pPr>
        <w:pStyle w:val="115"/>
        <w:autoSpaceDE w:val="0"/>
        <w:autoSpaceDN w:val="0"/>
        <w:spacing w:line="360" w:lineRule="auto"/>
        <w:ind w:firstLine="480"/>
        <w:rPr>
          <w:rFonts w:hint="eastAsia" w:ascii="宋体" w:hAnsi="宋体" w:eastAsia="宋体" w:cs="仿宋"/>
          <w:sz w:val="24"/>
          <w:szCs w:val="28"/>
        </w:rPr>
      </w:pPr>
    </w:p>
    <w:p>
      <w:pPr>
        <w:keepNext w:val="0"/>
        <w:keepLines w:val="0"/>
        <w:pageBreakBefore w:val="0"/>
        <w:widowControl w:val="0"/>
        <w:kinsoku/>
        <w:wordWrap/>
        <w:overflowPunct/>
        <w:topLinePunct w:val="0"/>
        <w:autoSpaceDE/>
        <w:autoSpaceDN/>
        <w:bidi w:val="0"/>
        <w:adjustRightInd/>
        <w:snapToGrid/>
        <w:spacing w:line="360" w:lineRule="auto"/>
        <w:ind w:right="90" w:firstLine="3600" w:firstLineChars="1500"/>
        <w:textAlignment w:val="auto"/>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投标人名称：</w:t>
      </w:r>
      <w:r>
        <w:rPr>
          <w:rFonts w:hint="eastAsia" w:ascii="宋体" w:hAnsi="宋体"/>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仿宋_GB2312" w:hAnsi="楷体" w:eastAsia="仿宋_GB2312"/>
          <w:color w:val="000000" w:themeColor="text1"/>
          <w:szCs w:val="21"/>
          <w14:textFill>
            <w14:solidFill>
              <w14:schemeClr w14:val="tx1"/>
            </w14:solidFill>
          </w14:textFill>
        </w:rPr>
      </w:pPr>
      <w:r>
        <w:rPr>
          <w:rFonts w:hint="eastAsia"/>
          <w:color w:val="000000" w:themeColor="text1"/>
          <w:sz w:val="24"/>
          <w:szCs w:val="24"/>
          <w14:textFill>
            <w14:solidFill>
              <w14:schemeClr w14:val="tx1"/>
            </w14:solidFill>
          </w14:textFill>
        </w:rPr>
        <w:t>日期：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topLinePunct/>
        <w:adjustRightInd w:val="0"/>
        <w:snapToGrid w:val="0"/>
        <w:spacing w:line="360" w:lineRule="auto"/>
        <w:jc w:val="center"/>
        <w:rPr>
          <w:rFonts w:eastAsia="黑体"/>
          <w:spacing w:val="4"/>
          <w:sz w:val="36"/>
          <w:szCs w:val="36"/>
        </w:rPr>
      </w:pPr>
    </w:p>
    <w:p>
      <w:pPr>
        <w:spacing w:line="360" w:lineRule="auto"/>
        <w:ind w:firstLine="3000" w:firstLineChars="1250"/>
        <w:rPr>
          <w:rFonts w:hint="eastAsia" w:ascii="宋体" w:hAnsi="宋体" w:cs="仿宋"/>
          <w:sz w:val="24"/>
          <w:szCs w:val="20"/>
        </w:rPr>
      </w:pPr>
    </w:p>
    <w:p>
      <w:pPr>
        <w:tabs>
          <w:tab w:val="left" w:pos="720"/>
        </w:tabs>
        <w:snapToGrid w:val="0"/>
        <w:spacing w:line="360" w:lineRule="auto"/>
        <w:jc w:val="right"/>
        <w:rPr>
          <w:rStyle w:val="6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rPr>
          <w:rFonts w:hint="eastAsia" w:ascii="宋体" w:hAnsi="宋体" w:cs="宋体"/>
          <w:bCs/>
          <w:sz w:val="24"/>
          <w:lang w:val="en-US" w:eastAsia="zh-CN"/>
        </w:rPr>
      </w:pPr>
      <w:r>
        <w:rPr>
          <w:rFonts w:hint="eastAsia" w:ascii="宋体" w:hAnsi="宋体" w:cs="宋体"/>
          <w:bCs/>
          <w:sz w:val="24"/>
          <w:lang w:val="en-US" w:eastAsia="zh-CN"/>
        </w:rPr>
        <w:t>附件十：投标函</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投 标 函</w:t>
      </w:r>
    </w:p>
    <w:p>
      <w:pPr>
        <w:widowControl/>
        <w:topLinePunct/>
        <w:adjustRightInd w:val="0"/>
        <w:snapToGrid w:val="0"/>
        <w:spacing w:line="360" w:lineRule="auto"/>
        <w:jc w:val="left"/>
        <w:rPr>
          <w:spacing w:val="4"/>
          <w:kern w:val="0"/>
          <w:sz w:val="24"/>
          <w:szCs w:val="24"/>
        </w:rPr>
      </w:pPr>
      <w:r>
        <w:rPr>
          <w:rFonts w:hint="eastAsia"/>
          <w:spacing w:val="4"/>
          <w:kern w:val="0"/>
          <w:sz w:val="24"/>
          <w:szCs w:val="24"/>
        </w:rPr>
        <w:t>致：</w:t>
      </w:r>
      <w:r>
        <w:rPr>
          <w:rFonts w:hint="eastAsia"/>
          <w:spacing w:val="4"/>
          <w:kern w:val="0"/>
          <w:sz w:val="24"/>
          <w:szCs w:val="24"/>
          <w:u w:val="single"/>
        </w:rPr>
        <w:t>（招标人名称）</w:t>
      </w:r>
      <w:r>
        <w:rPr>
          <w:spacing w:val="4"/>
          <w:kern w:val="0"/>
          <w:sz w:val="24"/>
          <w:szCs w:val="24"/>
          <w:u w:val="single"/>
        </w:rPr>
        <w:t xml:space="preserve"> </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1.根据招标人</w:t>
      </w:r>
      <w:r>
        <w:rPr>
          <w:rFonts w:hint="eastAsia" w:ascii="宋体" w:hAnsi="宋体" w:eastAsia="宋体" w:cs="宋体"/>
          <w:spacing w:val="4"/>
          <w:kern w:val="0"/>
          <w:sz w:val="24"/>
          <w:szCs w:val="24"/>
          <w:u w:val="single"/>
        </w:rPr>
        <w:t xml:space="preserve"> （工程项目名称） </w:t>
      </w:r>
      <w:r>
        <w:rPr>
          <w:rFonts w:hint="eastAsia" w:ascii="宋体" w:hAnsi="宋体" w:eastAsia="宋体" w:cs="宋体"/>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2.我方已详细审核全部招标文件，包括修改文件（如有时）及有关附件。</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3.如果我方中标，我方保证按照合同文件中规定的开工日期开始施工，并按规定的预计竣工日期完成和交付全部工程。</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u w:val="single"/>
        </w:rPr>
      </w:pPr>
      <w:r>
        <w:rPr>
          <w:rFonts w:hint="eastAsia" w:ascii="宋体" w:hAnsi="宋体" w:eastAsia="宋体" w:cs="宋体"/>
          <w:spacing w:val="4"/>
          <w:kern w:val="0"/>
          <w:sz w:val="24"/>
          <w:szCs w:val="24"/>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6.如果我方中标，我方将按照招标文件的规定，按时提交履约担保，以保障本项目优质、优价、按期、顺利完成。</w:t>
      </w:r>
    </w:p>
    <w:p>
      <w:pPr>
        <w:keepNext w:val="0"/>
        <w:keepLines w:val="0"/>
        <w:pageBreakBefore w:val="0"/>
        <w:widowControl/>
        <w:kinsoku/>
        <w:wordWrap/>
        <w:overflowPunct/>
        <w:topLinePunct/>
        <w:autoSpaceDE/>
        <w:autoSpaceDN/>
        <w:bidi w:val="0"/>
        <w:adjustRightInd/>
        <w:snapToGrid/>
        <w:spacing w:line="360" w:lineRule="auto"/>
        <w:ind w:firstLine="498" w:firstLineChars="200"/>
        <w:jc w:val="left"/>
        <w:textAlignment w:val="auto"/>
        <w:rPr>
          <w:rFonts w:hint="eastAsia" w:ascii="宋体" w:hAnsi="宋体" w:eastAsia="宋体" w:cs="宋体"/>
          <w:b/>
          <w:bCs/>
          <w:spacing w:val="4"/>
          <w:kern w:val="0"/>
          <w:sz w:val="24"/>
          <w:szCs w:val="24"/>
          <w:u w:val="single"/>
        </w:rPr>
      </w:pPr>
      <w:r>
        <w:rPr>
          <w:rFonts w:hint="eastAsia" w:ascii="宋体" w:hAnsi="宋体" w:eastAsia="宋体" w:cs="宋体"/>
          <w:b/>
          <w:bCs/>
          <w:spacing w:val="4"/>
          <w:kern w:val="0"/>
          <w:sz w:val="24"/>
          <w:szCs w:val="24"/>
        </w:rPr>
        <w:t>7.</w:t>
      </w:r>
      <w:r>
        <w:rPr>
          <w:rFonts w:hint="eastAsia" w:ascii="宋体" w:hAnsi="宋体" w:eastAsia="宋体" w:cs="宋体"/>
          <w:b/>
          <w:bCs/>
          <w:spacing w:val="4"/>
          <w:kern w:val="0"/>
          <w:sz w:val="24"/>
          <w:szCs w:val="24"/>
          <w:u w:val="single"/>
        </w:rPr>
        <w:t>我公司承诺在招标人确认中标人前向招标人提交在电子税务局平台或税务局窗口开具的“无欠税证明”，若无法在收到通知后三天内提交“无欠税证明”，则招标人有权取消我方的中标资格，我方对此无异议。</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u w:val="single"/>
        </w:rPr>
      </w:pPr>
      <w:r>
        <w:rPr>
          <w:rFonts w:hint="eastAsia" w:ascii="宋体" w:hAnsi="宋体" w:eastAsia="宋体" w:cs="宋体"/>
          <w:spacing w:val="4"/>
          <w:kern w:val="0"/>
          <w:sz w:val="24"/>
          <w:szCs w:val="24"/>
          <w:u w:val="single"/>
        </w:rPr>
        <w:t>8.我方完全知悉并响应招标文件第三章“合同条款”的所有要求。</w:t>
      </w:r>
    </w:p>
    <w:p>
      <w:pPr>
        <w:pStyle w:val="2"/>
        <w:keepNext w:val="0"/>
        <w:keepLines w:val="0"/>
        <w:pageBreakBefore w:val="0"/>
        <w:kinsoku/>
        <w:wordWrap/>
        <w:overflowPunct/>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pacing w:val="4"/>
          <w:kern w:val="0"/>
          <w:sz w:val="24"/>
          <w:szCs w:val="24"/>
        </w:rPr>
        <w:t>9.我方同意所提交的投标文件在招标文件</w:t>
      </w:r>
      <w:r>
        <w:rPr>
          <w:rFonts w:hint="eastAsia" w:ascii="宋体" w:hAnsi="宋体" w:eastAsia="宋体" w:cs="宋体"/>
          <w:sz w:val="24"/>
          <w:szCs w:val="24"/>
        </w:rPr>
        <w:t>投标须知前附表第13项</w:t>
      </w:r>
      <w:r>
        <w:rPr>
          <w:rFonts w:hint="eastAsia" w:ascii="宋体" w:hAnsi="宋体" w:eastAsia="宋体" w:cs="宋体"/>
          <w:spacing w:val="4"/>
          <w:kern w:val="0"/>
          <w:sz w:val="24"/>
          <w:szCs w:val="24"/>
        </w:rPr>
        <w:t>规定的投标有效期内有效，在此期限届满之前，本投标书始终将对我方具有约束力，并随时接受中标。</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10.在合同协议书正式签署生效之前，本投标书连同你单位的中标通知书将构成我们双方之间共同遵守的文件，对双方具有约束力。</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u w:val="none"/>
        </w:rPr>
      </w:pPr>
      <w:r>
        <w:rPr>
          <w:rFonts w:hint="eastAsia" w:ascii="宋体" w:hAnsi="宋体" w:eastAsia="宋体" w:cs="宋体"/>
          <w:spacing w:val="4"/>
          <w:kern w:val="0"/>
          <w:sz w:val="24"/>
          <w:szCs w:val="24"/>
          <w:u w:val="none"/>
        </w:rPr>
        <w:t>11.</w:t>
      </w:r>
      <w:bookmarkStart w:id="71" w:name="_Toc484958693"/>
      <w:r>
        <w:rPr>
          <w:rFonts w:hint="eastAsia" w:ascii="宋体" w:hAnsi="宋体"/>
          <w:spacing w:val="4"/>
          <w:kern w:val="0"/>
          <w:sz w:val="24"/>
          <w:szCs w:val="24"/>
          <w:highlight w:val="none"/>
          <w:u w:val="none"/>
        </w:rPr>
        <w:t>随同本投标文件，我方已提交人民币</w:t>
      </w:r>
      <w:r>
        <w:rPr>
          <w:rFonts w:hint="eastAsia" w:ascii="宋体" w:hAnsi="宋体"/>
          <w:spacing w:val="4"/>
          <w:kern w:val="0"/>
          <w:sz w:val="24"/>
          <w:szCs w:val="24"/>
          <w:highlight w:val="none"/>
          <w:u w:val="single"/>
        </w:rPr>
        <w:t xml:space="preserve">            </w:t>
      </w:r>
      <w:r>
        <w:rPr>
          <w:rFonts w:hint="eastAsia" w:ascii="宋体" w:hAnsi="宋体"/>
          <w:spacing w:val="4"/>
          <w:kern w:val="0"/>
          <w:sz w:val="24"/>
          <w:szCs w:val="24"/>
          <w:highlight w:val="none"/>
          <w:u w:val="none"/>
        </w:rPr>
        <w:t>元的投标担保。</w:t>
      </w:r>
      <w:r>
        <w:rPr>
          <w:rFonts w:hint="eastAsia" w:ascii="宋体" w:hAnsi="宋体" w:eastAsia="宋体" w:cs="宋体"/>
          <w:spacing w:val="4"/>
          <w:kern w:val="0"/>
          <w:sz w:val="24"/>
          <w:szCs w:val="24"/>
          <w:u w:val="none"/>
        </w:rPr>
        <w:t>如果我方在投标文件有效期内撤回投标文件；或在接到中标通知书后</w:t>
      </w:r>
      <w:r>
        <w:rPr>
          <w:rFonts w:hint="eastAsia" w:ascii="宋体" w:hAnsi="宋体" w:eastAsia="宋体" w:cs="宋体"/>
          <w:spacing w:val="4"/>
          <w:kern w:val="0"/>
          <w:sz w:val="24"/>
          <w:szCs w:val="24"/>
          <w:u w:val="none"/>
          <w:lang w:val="en-US" w:eastAsia="zh-CN"/>
        </w:rPr>
        <w:t>30</w:t>
      </w:r>
      <w:r>
        <w:rPr>
          <w:rFonts w:hint="eastAsia" w:ascii="宋体" w:hAnsi="宋体" w:eastAsia="宋体" w:cs="宋体"/>
          <w:spacing w:val="4"/>
          <w:kern w:val="0"/>
          <w:sz w:val="24"/>
          <w:szCs w:val="24"/>
          <w:u w:val="none"/>
        </w:rPr>
        <w:t>天内未能或拒绝签订合同协议书；或未能按招标文件要求提交履约担保，你单位有权另选中标单位。</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rPr>
        <w:t>.如果我方中标，我方将实行项目经理负责制，并按投标文件配备项目管理班子。如未经招标人同意更换项目班子成员，招标人有权取消我公司的中标资格或单方面终止合同，由此造成的违约责任由我公司承担。</w:t>
      </w:r>
    </w:p>
    <w:p>
      <w:pPr>
        <w:keepNext w:val="0"/>
        <w:keepLines w:val="0"/>
        <w:pageBreakBefore w:val="0"/>
        <w:widowControl/>
        <w:kinsoku/>
        <w:wordWrap/>
        <w:overflowPunct/>
        <w:topLinePunct/>
        <w:autoSpaceDE/>
        <w:autoSpaceDN/>
        <w:bidi w:val="0"/>
        <w:adjustRightInd/>
        <w:snapToGrid/>
        <w:spacing w:line="360" w:lineRule="auto"/>
        <w:ind w:firstLine="496"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w:t>
      </w:r>
      <w:r>
        <w:rPr>
          <w:rFonts w:hint="eastAsia" w:ascii="宋体" w:hAnsi="宋体" w:cs="宋体"/>
          <w:spacing w:val="4"/>
          <w:kern w:val="0"/>
          <w:sz w:val="24"/>
          <w:szCs w:val="24"/>
          <w:lang w:val="en-US" w:eastAsia="zh-CN"/>
        </w:rPr>
        <w:t>3</w:t>
      </w:r>
      <w:r>
        <w:rPr>
          <w:rFonts w:hint="eastAsia" w:ascii="宋体" w:hAnsi="宋体" w:eastAsia="宋体" w:cs="宋体"/>
          <w:spacing w:val="4"/>
          <w:kern w:val="0"/>
          <w:sz w:val="24"/>
          <w:szCs w:val="24"/>
        </w:rPr>
        <w:t>.我方</w:t>
      </w:r>
      <w:bookmarkEnd w:id="71"/>
      <w:r>
        <w:rPr>
          <w:rFonts w:hint="eastAsia" w:ascii="宋体" w:hAnsi="宋体" w:eastAsia="宋体" w:cs="宋体"/>
          <w:spacing w:val="4"/>
          <w:kern w:val="0"/>
          <w:sz w:val="24"/>
          <w:szCs w:val="24"/>
        </w:rPr>
        <w:t>理解</w:t>
      </w:r>
      <w:bookmarkStart w:id="72" w:name="_Toc484958694"/>
      <w:r>
        <w:rPr>
          <w:rFonts w:hint="eastAsia" w:ascii="宋体" w:hAnsi="宋体" w:eastAsia="宋体" w:cs="宋体"/>
          <w:spacing w:val="4"/>
          <w:kern w:val="0"/>
          <w:sz w:val="24"/>
          <w:szCs w:val="24"/>
        </w:rPr>
        <w:t>，你单位不一</w:t>
      </w:r>
      <w:bookmarkEnd w:id="72"/>
      <w:r>
        <w:rPr>
          <w:rFonts w:hint="eastAsia" w:ascii="宋体" w:hAnsi="宋体" w:eastAsia="宋体" w:cs="宋体"/>
          <w:spacing w:val="4"/>
          <w:kern w:val="0"/>
          <w:sz w:val="24"/>
          <w:szCs w:val="24"/>
        </w:rPr>
        <w:t>定</w:t>
      </w:r>
      <w:bookmarkStart w:id="73" w:name="_Toc484958695"/>
      <w:r>
        <w:rPr>
          <w:rFonts w:hint="eastAsia" w:ascii="宋体" w:hAnsi="宋体" w:eastAsia="宋体" w:cs="宋体"/>
          <w:spacing w:val="4"/>
          <w:kern w:val="0"/>
          <w:sz w:val="24"/>
          <w:szCs w:val="24"/>
        </w:rPr>
        <w:t>接受最低</w:t>
      </w:r>
      <w:bookmarkEnd w:id="73"/>
      <w:r>
        <w:rPr>
          <w:rFonts w:hint="eastAsia" w:ascii="宋体" w:hAnsi="宋体" w:eastAsia="宋体" w:cs="宋体"/>
          <w:spacing w:val="4"/>
          <w:kern w:val="0"/>
          <w:sz w:val="24"/>
          <w:szCs w:val="24"/>
        </w:rPr>
        <w:t>标</w:t>
      </w:r>
      <w:bookmarkStart w:id="74" w:name="_Toc484958696"/>
      <w:r>
        <w:rPr>
          <w:rFonts w:hint="eastAsia" w:ascii="宋体" w:hAnsi="宋体" w:eastAsia="宋体" w:cs="宋体"/>
          <w:spacing w:val="4"/>
          <w:kern w:val="0"/>
          <w:sz w:val="24"/>
          <w:szCs w:val="24"/>
        </w:rPr>
        <w:t>价的</w:t>
      </w:r>
      <w:bookmarkEnd w:id="74"/>
      <w:r>
        <w:rPr>
          <w:rFonts w:hint="eastAsia" w:ascii="宋体" w:hAnsi="宋体" w:eastAsia="宋体" w:cs="宋体"/>
          <w:spacing w:val="4"/>
          <w:kern w:val="0"/>
          <w:sz w:val="24"/>
          <w:szCs w:val="24"/>
        </w:rPr>
        <w:t>投</w:t>
      </w:r>
      <w:bookmarkStart w:id="75" w:name="_Toc484958697"/>
      <w:r>
        <w:rPr>
          <w:rFonts w:hint="eastAsia" w:ascii="宋体" w:hAnsi="宋体" w:eastAsia="宋体" w:cs="宋体"/>
          <w:spacing w:val="4"/>
          <w:kern w:val="0"/>
          <w:sz w:val="24"/>
          <w:szCs w:val="24"/>
        </w:rPr>
        <w:t>标或你单位接到的其它任何投标。同</w:t>
      </w:r>
      <w:bookmarkEnd w:id="75"/>
      <w:r>
        <w:rPr>
          <w:rFonts w:hint="eastAsia" w:ascii="宋体" w:hAnsi="宋体" w:eastAsia="宋体" w:cs="宋体"/>
          <w:spacing w:val="4"/>
          <w:kern w:val="0"/>
          <w:sz w:val="24"/>
          <w:szCs w:val="24"/>
        </w:rPr>
        <w:t>时</w:t>
      </w:r>
      <w:bookmarkStart w:id="76" w:name="_Toc484958698"/>
      <w:r>
        <w:rPr>
          <w:rFonts w:hint="eastAsia" w:ascii="宋体" w:hAnsi="宋体" w:eastAsia="宋体" w:cs="宋体"/>
          <w:spacing w:val="4"/>
          <w:kern w:val="0"/>
          <w:sz w:val="24"/>
          <w:szCs w:val="24"/>
        </w:rPr>
        <w:t>也理解，你单位不负担我方的任何投</w:t>
      </w:r>
      <w:bookmarkEnd w:id="76"/>
      <w:r>
        <w:rPr>
          <w:rFonts w:hint="eastAsia" w:ascii="宋体" w:hAnsi="宋体" w:eastAsia="宋体" w:cs="宋体"/>
          <w:spacing w:val="4"/>
          <w:kern w:val="0"/>
          <w:sz w:val="24"/>
          <w:szCs w:val="24"/>
        </w:rPr>
        <w:t>标</w:t>
      </w:r>
      <w:bookmarkStart w:id="77" w:name="_Toc484958699"/>
      <w:r>
        <w:rPr>
          <w:rFonts w:hint="eastAsia" w:ascii="宋体" w:hAnsi="宋体" w:eastAsia="宋体" w:cs="宋体"/>
          <w:spacing w:val="4"/>
          <w:kern w:val="0"/>
          <w:sz w:val="24"/>
          <w:szCs w:val="24"/>
        </w:rPr>
        <w:t>费用</w:t>
      </w:r>
      <w:bookmarkEnd w:id="77"/>
      <w:bookmarkStart w:id="78" w:name="_Toc484958700"/>
      <w:r>
        <w:rPr>
          <w:rFonts w:hint="eastAsia" w:ascii="宋体" w:hAnsi="宋体" w:eastAsia="宋体" w:cs="宋体"/>
          <w:spacing w:val="4"/>
          <w:kern w:val="0"/>
          <w:sz w:val="24"/>
          <w:szCs w:val="24"/>
        </w:rPr>
        <w:t>。</w:t>
      </w:r>
    </w:p>
    <w:p>
      <w:pPr>
        <w:widowControl/>
        <w:topLinePunct/>
        <w:adjustRightInd w:val="0"/>
        <w:snapToGrid w:val="0"/>
        <w:spacing w:line="360" w:lineRule="auto"/>
        <w:ind w:right="1982" w:rightChars="944" w:firstLine="691" w:firstLineChars="279"/>
        <w:jc w:val="right"/>
        <w:rPr>
          <w:spacing w:val="4"/>
          <w:kern w:val="0"/>
          <w:sz w:val="24"/>
          <w:szCs w:val="24"/>
        </w:rPr>
      </w:pPr>
    </w:p>
    <w:p>
      <w:pPr>
        <w:widowControl/>
        <w:topLinePunct/>
        <w:adjustRightInd w:val="0"/>
        <w:snapToGrid w:val="0"/>
        <w:spacing w:line="360" w:lineRule="auto"/>
        <w:ind w:right="1982" w:rightChars="944" w:firstLine="691" w:firstLineChars="279"/>
        <w:jc w:val="right"/>
        <w:rPr>
          <w:spacing w:val="4"/>
          <w:kern w:val="0"/>
          <w:sz w:val="24"/>
          <w:szCs w:val="24"/>
        </w:rPr>
      </w:pPr>
    </w:p>
    <w:p>
      <w:pPr>
        <w:widowControl/>
        <w:topLinePunct/>
        <w:adjustRightInd w:val="0"/>
        <w:snapToGrid w:val="0"/>
        <w:spacing w:line="360" w:lineRule="auto"/>
        <w:ind w:right="1982" w:rightChars="944" w:firstLine="3660" w:firstLineChars="1476"/>
        <w:jc w:val="both"/>
        <w:rPr>
          <w:spacing w:val="4"/>
          <w:kern w:val="0"/>
          <w:sz w:val="24"/>
          <w:szCs w:val="24"/>
        </w:rPr>
      </w:pPr>
      <w:r>
        <w:rPr>
          <w:rFonts w:hint="eastAsia"/>
          <w:spacing w:val="4"/>
          <w:kern w:val="0"/>
          <w:sz w:val="24"/>
          <w:szCs w:val="24"/>
        </w:rPr>
        <w:t>投标人</w:t>
      </w:r>
      <w:r>
        <w:rPr>
          <w:rFonts w:hint="eastAsia"/>
          <w:spacing w:val="4"/>
          <w:kern w:val="0"/>
          <w:sz w:val="24"/>
          <w:szCs w:val="24"/>
          <w:lang w:val="en-US" w:eastAsia="zh-CN"/>
        </w:rPr>
        <w:t>名称</w:t>
      </w:r>
      <w:r>
        <w:rPr>
          <w:rFonts w:hint="eastAsia"/>
          <w:spacing w:val="4"/>
          <w:kern w:val="0"/>
          <w:sz w:val="24"/>
          <w:szCs w:val="24"/>
        </w:rPr>
        <w:t>：</w:t>
      </w:r>
      <w:bookmarkEnd w:id="78"/>
    </w:p>
    <w:p>
      <w:pPr>
        <w:jc w:val="center"/>
        <w:rPr>
          <w:rFonts w:hint="eastAsia" w:ascii="宋体" w:hAnsi="宋体" w:cs="宋体"/>
          <w:b/>
          <w:bCs/>
          <w:sz w:val="24"/>
          <w:szCs w:val="24"/>
        </w:rPr>
      </w:pPr>
      <w:r>
        <w:rPr>
          <w:rFonts w:hint="eastAsia"/>
          <w:spacing w:val="4"/>
          <w:kern w:val="0"/>
          <w:sz w:val="24"/>
          <w:szCs w:val="24"/>
          <w:lang w:val="en-US" w:eastAsia="zh-CN"/>
        </w:rPr>
        <w:t xml:space="preserve">              </w:t>
      </w:r>
      <w:r>
        <w:rPr>
          <w:rFonts w:hint="eastAsia"/>
          <w:spacing w:val="4"/>
          <w:kern w:val="0"/>
          <w:sz w:val="24"/>
          <w:szCs w:val="24"/>
        </w:rPr>
        <w:t>日期：</w:t>
      </w:r>
      <w:r>
        <w:rPr>
          <w:spacing w:val="4"/>
          <w:kern w:val="0"/>
          <w:sz w:val="24"/>
          <w:szCs w:val="24"/>
        </w:rPr>
        <w:t xml:space="preserve">   </w:t>
      </w:r>
      <w:r>
        <w:rPr>
          <w:rFonts w:hint="eastAsia"/>
          <w:spacing w:val="4"/>
          <w:kern w:val="0"/>
          <w:sz w:val="24"/>
          <w:szCs w:val="24"/>
        </w:rPr>
        <w:t>年</w:t>
      </w:r>
      <w:r>
        <w:rPr>
          <w:spacing w:val="4"/>
          <w:kern w:val="0"/>
          <w:sz w:val="24"/>
          <w:szCs w:val="24"/>
        </w:rPr>
        <w:t xml:space="preserve">    </w:t>
      </w:r>
      <w:r>
        <w:rPr>
          <w:rFonts w:hint="eastAsia"/>
          <w:spacing w:val="4"/>
          <w:kern w:val="0"/>
          <w:sz w:val="24"/>
          <w:szCs w:val="24"/>
        </w:rPr>
        <w:t>月</w:t>
      </w:r>
      <w:r>
        <w:rPr>
          <w:spacing w:val="4"/>
          <w:kern w:val="0"/>
          <w:sz w:val="24"/>
          <w:szCs w:val="24"/>
        </w:rPr>
        <w:t xml:space="preserve">    </w:t>
      </w:r>
      <w:r>
        <w:rPr>
          <w:rFonts w:hint="eastAsia"/>
          <w:spacing w:val="4"/>
          <w:kern w:val="0"/>
          <w:sz w:val="24"/>
          <w:szCs w:val="24"/>
        </w:rPr>
        <w:t>日</w:t>
      </w:r>
      <w:r>
        <w:rPr>
          <w:rFonts w:hint="eastAsia" w:ascii="宋体" w:hAnsi="宋体" w:cs="宋体"/>
          <w:b/>
          <w:bCs/>
          <w:sz w:val="24"/>
          <w:szCs w:val="24"/>
        </w:rPr>
        <w:br w:type="page"/>
      </w:r>
    </w:p>
    <w:p>
      <w:pPr>
        <w:autoSpaceDE w:val="0"/>
        <w:autoSpaceDN w:val="0"/>
        <w:adjustRightInd w:val="0"/>
        <w:rPr>
          <w:rFonts w:hint="eastAsia" w:ascii="宋体" w:hAnsi="宋体" w:cs="宋体"/>
          <w:bCs/>
          <w:sz w:val="24"/>
          <w:lang w:val="en-US" w:eastAsia="zh-CN"/>
        </w:rPr>
      </w:pPr>
      <w:r>
        <w:rPr>
          <w:rFonts w:hint="eastAsia" w:ascii="宋体" w:hAnsi="宋体" w:cs="宋体"/>
          <w:bCs/>
          <w:sz w:val="24"/>
          <w:lang w:val="en-US" w:eastAsia="zh-CN"/>
        </w:rPr>
        <w:t>附件十一：企业资信其他证明材料</w:t>
      </w:r>
    </w:p>
    <w:p>
      <w:pPr>
        <w:keepNext w:val="0"/>
        <w:keepLines w:val="0"/>
        <w:pageBreakBefore w:val="0"/>
        <w:widowControl w:val="0"/>
        <w:kinsoku/>
        <w:wordWrap/>
        <w:overflowPunct/>
        <w:topLinePunct w:val="0"/>
        <w:autoSpaceDE w:val="0"/>
        <w:autoSpaceDN w:val="0"/>
        <w:bidi w:val="0"/>
        <w:adjustRightInd/>
        <w:snapToGrid/>
        <w:spacing w:before="313" w:beforeLines="100" w:after="313" w:afterLines="100" w:line="360" w:lineRule="auto"/>
        <w:ind w:left="0" w:leftChars="0" w:firstLine="0" w:firstLineChars="0"/>
        <w:jc w:val="center"/>
        <w:textAlignment w:val="auto"/>
        <w:rPr>
          <w:rFonts w:hint="eastAsia" w:ascii="宋体" w:hAnsi="宋体" w:cs="宋体"/>
          <w:b/>
          <w:bCs/>
          <w:color w:val="000000" w:themeColor="text1"/>
          <w:sz w:val="44"/>
          <w:szCs w:val="44"/>
          <w:lang w:val="zh-CN"/>
          <w14:textFill>
            <w14:solidFill>
              <w14:schemeClr w14:val="tx1"/>
            </w14:solidFill>
          </w14:textFill>
        </w:rPr>
      </w:pPr>
      <w:r>
        <w:rPr>
          <w:rFonts w:hint="eastAsia" w:ascii="宋体" w:hAnsi="宋体" w:cs="宋体"/>
          <w:b/>
          <w:bCs/>
          <w:color w:val="000000" w:themeColor="text1"/>
          <w:sz w:val="44"/>
          <w:szCs w:val="44"/>
          <w:lang w:val="zh-CN"/>
          <w14:textFill>
            <w14:solidFill>
              <w14:schemeClr w14:val="tx1"/>
            </w14:solidFill>
          </w14:textFill>
        </w:rPr>
        <w:t>企业资信其他证明材料</w:t>
      </w:r>
    </w:p>
    <w:p>
      <w:pPr>
        <w:rPr>
          <w:rFonts w:ascii="宋体" w:cs="宋体"/>
          <w:b/>
          <w:bCs/>
        </w:rPr>
      </w:pPr>
      <w:r>
        <w:rPr>
          <w:rFonts w:hint="eastAsia" w:ascii="宋体" w:cs="宋体"/>
          <w:b/>
          <w:bCs/>
        </w:rPr>
        <w:t>注：如工程获奖资料、研发能力及第三方评价资料等</w:t>
      </w:r>
      <w:r>
        <w:rPr>
          <w:rFonts w:hint="eastAsia" w:ascii="宋体" w:cs="宋体"/>
          <w:b/>
          <w:bCs/>
          <w:lang w:eastAsia="zh-CN"/>
        </w:rPr>
        <w:t>，</w:t>
      </w:r>
      <w:r>
        <w:rPr>
          <w:rFonts w:hint="eastAsia" w:ascii="宋体" w:cs="宋体"/>
          <w:b/>
          <w:bCs/>
          <w:lang w:val="en-US" w:eastAsia="zh-CN"/>
        </w:rPr>
        <w:t>投标人根据公司情况自行</w:t>
      </w:r>
      <w:r>
        <w:rPr>
          <w:rFonts w:hint="eastAsia" w:ascii="宋体" w:cs="宋体"/>
          <w:b/>
          <w:bCs/>
        </w:rPr>
        <w:t>提供。</w:t>
      </w:r>
    </w:p>
    <w:p>
      <w:pPr>
        <w:jc w:val="left"/>
        <w:rPr>
          <w:rStyle w:val="60"/>
          <w:color w:val="000000" w:themeColor="text1"/>
          <w14:textFill>
            <w14:solidFill>
              <w14:schemeClr w14:val="tx1"/>
            </w14:solidFill>
          </w14:textFill>
        </w:rPr>
      </w:pPr>
    </w:p>
    <w:p>
      <w:pPr>
        <w:jc w:val="left"/>
        <w:rPr>
          <w:rStyle w:val="60"/>
          <w:color w:val="000000" w:themeColor="text1"/>
          <w14:textFill>
            <w14:solidFill>
              <w14:schemeClr w14:val="tx1"/>
            </w14:solidFill>
          </w14:textFill>
        </w:rPr>
      </w:pPr>
      <w:r>
        <w:rPr>
          <w:rStyle w:val="60"/>
          <w:rFonts w:hint="eastAsia"/>
          <w:color w:val="000000" w:themeColor="text1"/>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color w:val="000000" w:themeColor="text1"/>
          <w14:textFill>
            <w14:solidFill>
              <w14:schemeClr w14:val="tx1"/>
            </w14:solidFill>
          </w14:textFill>
        </w:rPr>
      </w:pPr>
      <w:bookmarkStart w:id="79" w:name="_Toc16626"/>
      <w:r>
        <w:rPr>
          <w:rFonts w:hint="eastAsia"/>
          <w:color w:val="000000" w:themeColor="text1"/>
          <w14:textFill>
            <w14:solidFill>
              <w14:schemeClr w14:val="tx1"/>
            </w14:solidFill>
          </w14:textFill>
        </w:rPr>
        <w:t>第五章  技术条件（工程建设标准）</w:t>
      </w:r>
      <w:bookmarkEnd w:id="65"/>
      <w:bookmarkEnd w:id="66"/>
    </w:p>
    <w:bookmarkEnd w:id="79"/>
    <w:p>
      <w:pPr>
        <w:topLinePunct/>
        <w:spacing w:line="360" w:lineRule="auto"/>
        <w:ind w:firstLine="496" w:firstLineChars="200"/>
        <w:jc w:val="left"/>
        <w:rPr>
          <w:rFonts w:ascii="宋体" w:hAnsi="宋体" w:cs="宋体"/>
          <w:snapToGrid w:val="0"/>
          <w:spacing w:val="4"/>
          <w:sz w:val="24"/>
          <w:szCs w:val="24"/>
          <w:highlight w:val="none"/>
        </w:rPr>
      </w:pPr>
      <w:r>
        <w:rPr>
          <w:rFonts w:hint="eastAsia" w:ascii="宋体" w:hAnsi="宋体" w:cs="宋体"/>
          <w:snapToGrid w:val="0"/>
          <w:spacing w:val="4"/>
          <w:sz w:val="24"/>
          <w:szCs w:val="24"/>
          <w:highlight w:val="none"/>
        </w:rPr>
        <w:t>下列文件应被认为是组成本章内容的一部分，并互为补充和解释，如各文件存在冲突之处，以如下排列次序在前者优先适用：</w:t>
      </w:r>
    </w:p>
    <w:p>
      <w:pPr>
        <w:topLinePunct/>
        <w:spacing w:line="360" w:lineRule="auto"/>
        <w:ind w:firstLine="496" w:firstLineChars="200"/>
        <w:jc w:val="left"/>
        <w:rPr>
          <w:rFonts w:ascii="宋体" w:hAnsi="宋体" w:cs="宋体"/>
          <w:snapToGrid w:val="0"/>
          <w:spacing w:val="4"/>
          <w:sz w:val="24"/>
          <w:szCs w:val="24"/>
          <w:highlight w:val="none"/>
        </w:rPr>
      </w:pPr>
      <w:r>
        <w:rPr>
          <w:rFonts w:hint="eastAsia" w:ascii="宋体" w:hAnsi="宋体" w:cs="宋体"/>
          <w:snapToGrid w:val="0"/>
          <w:spacing w:val="4"/>
          <w:sz w:val="24"/>
          <w:szCs w:val="24"/>
          <w:highlight w:val="none"/>
        </w:rPr>
        <w:t>1、采用图纸中规定的其它技术和验收标准；</w:t>
      </w:r>
    </w:p>
    <w:p>
      <w:pPr>
        <w:topLinePunct/>
        <w:spacing w:line="360" w:lineRule="auto"/>
        <w:ind w:firstLine="496" w:firstLineChars="200"/>
        <w:jc w:val="left"/>
        <w:rPr>
          <w:rFonts w:ascii="宋体" w:hAnsi="宋体" w:cs="宋体"/>
          <w:snapToGrid w:val="0"/>
          <w:spacing w:val="4"/>
          <w:sz w:val="24"/>
          <w:szCs w:val="24"/>
          <w:highlight w:val="none"/>
        </w:rPr>
      </w:pPr>
      <w:r>
        <w:rPr>
          <w:rFonts w:hint="eastAsia" w:ascii="宋体" w:hAnsi="宋体" w:cs="宋体"/>
          <w:snapToGrid w:val="0"/>
          <w:spacing w:val="4"/>
          <w:sz w:val="24"/>
          <w:szCs w:val="24"/>
          <w:highlight w:val="none"/>
        </w:rPr>
        <w:t>2、采用中华人民共和国现行技术和验收规范。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highlight w:val="none"/>
          <w:lang w:bidi="ar"/>
        </w:rPr>
      </w:pPr>
      <w:r>
        <w:rPr>
          <w:rFonts w:hint="eastAsia" w:ascii="宋体" w:hAnsi="宋体" w:cs="宋体"/>
          <w:b/>
          <w:sz w:val="24"/>
          <w:szCs w:val="24"/>
          <w:highlight w:val="none"/>
          <w:lang w:bidi="ar"/>
        </w:rPr>
        <w:t>一、标准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引用的国家及有关部委颁布的标准、规范、和规程。若施工时期建设主管部门颁布新的规范、标准，则按照新的规范、标准执行。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highlight w:val="none"/>
          <w:lang w:bidi="ar"/>
        </w:rPr>
      </w:pPr>
      <w:r>
        <w:rPr>
          <w:rFonts w:hint="eastAsia" w:ascii="宋体" w:hAnsi="宋体" w:cs="宋体"/>
          <w:b/>
          <w:sz w:val="24"/>
          <w:szCs w:val="24"/>
          <w:highlight w:val="none"/>
          <w:lang w:bidi="ar"/>
        </w:rPr>
        <w:t>二、施工组织设计要点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如果中标，中标人应按项目的进展需求，并在规定的时间内按要点要求，编制详细的施工组织设计，作为工程施工的指导性文件，向建设单位提交一式五份的《施工组织设计方案》，内容包括（不限于）以下：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（一）工程概况及特点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1.1 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工程简述，工程规模，工程承包范围，地质及地貌状况，自然环境，交通情况等。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1.2 工程特点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设计特点、工程特点、影响施工的主要和特殊环节分析等。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（二）施工现场组织机构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2.1 组织机构关系图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2.2 工程主要负责人简介。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（三）施工现场总平面布置图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3.1 施工现场平面布置图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（四）施工方案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4.1 施工准备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简要叙述施工技术资料、材料、通讯、施工场地的准备，施工机械、施工力量的配置，以及生活设施等的准备情况。主要施工机械设备表。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4.2 施工工序总体安排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4.3 主要工序和特殊工序的施工方法和施工效率估计，潜在问题的分析。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4.4 工程成本的控制措施为控制成本，提高效益，拟采取的措施。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（五）工期及施工进度计划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5.1 工期规划及要求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用横道图反映各主要施工过程的计划进度，深度达到全面、准确、清楚的描述工程实施过程，从中可衍生出各种施工资源计划及其过程管理信息。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5.2 施工进度计划网络图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施工网络图应明确工程开工、竣工日期，工程施工的关键路线，并针对关键工序，提出确保工期拟采取的措施。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5.3 施工资源（人力、材料、机具、场地及进场道路、公共关系）计划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5.4 施工进度计划分析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计划潜在问题，计划中的潜力及其开发途径等。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5.5 计划控制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程序、方法及制度等。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（六）质量目标、质量保证体系及技术组织措施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6.1 质量目标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本工程要求的质量目标：合格。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用单位工程和分项工程合格率、优良品率表示，欲达到的工程质量等级。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6.2 质量管理组织机构及主要职责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用框图表示质量管理组织机构，并简要叙述各质量管理部门的主要职责。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6.3 质量管理的措施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简要叙述质量管理的措施和关键工序的质量控制。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6.4 质量管理及检验的标准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执行的主要质量标准、规范。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6.5 质量保证技术措施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针对本工程特点，分析质量薄弱环节，拟将采取的技术措施。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（七）安全目标、安全保证体系及技术组织措施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7.1 安全管理目标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7.2 安全管理组织机构及主要职责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用框图表示安全管理组织机构，并简要叙述各安全管理部门及人员的主要职责。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7.3 安全管理制度及办法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7.4 安全组织技术措施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针对本工程特点，分析安全薄弱环节，拟将采取的技术措施。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7.5 重要施工方案和特殊施工工序的安全过程控制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7.6 严格执行《建筑施工安全检查标准》(JGJ59-2011)和省、市建设主管部门有关文明施工的规定。并按照甲方要求安排工作时间，在施工中尽量减少噪音，必要时采取有效的隔音措施，混凝土浇灌需连续不间断作业时，按有关规定申报夜间施工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安全生产目标：杜绝本项目施工人员重大伤亡事故。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文明施工目标：标准化管理。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（八）环境保护及文明施工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8.1 环境保护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分析因施工可能引起的环境保护方面的问题。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8.2 加强施工管理、严格保护环境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提出环境保护的目标及采取的具体措施。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8.3 文明施工的目标、组织机构和实施方案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8.4 文明施工考核、管理办法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（九）计划、统计和信息管理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9.1 计划、统计报表的编制与传递；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bidi="ar"/>
        </w:rPr>
        <w:t>9.2 信息管理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bidi="ar"/>
        </w:rPr>
      </w:pPr>
      <w:r>
        <w:rPr>
          <w:rFonts w:hint="eastAsia" w:ascii="宋体" w:hAnsi="宋体" w:cs="宋体"/>
          <w:sz w:val="24"/>
          <w:szCs w:val="24"/>
          <w:highlight w:val="none"/>
          <w:lang w:bidi="ar"/>
        </w:rPr>
        <w:t>提出信息管理的目标及拟将采取的措施。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bidi="ar"/>
        </w:rPr>
      </w:pPr>
      <w:r>
        <w:rPr>
          <w:rFonts w:hint="eastAsia" w:ascii="宋体" w:hAnsi="宋体" w:cs="宋体"/>
          <w:sz w:val="24"/>
          <w:szCs w:val="24"/>
          <w:highlight w:val="none"/>
          <w:lang w:bidi="ar"/>
        </w:rPr>
        <w:t>（十）施工现场建筑垃圾源头减量的具体要求和建筑垃圾综合利用产品的使用要求</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cs="宋体"/>
          <w:snapToGrid/>
          <w:color w:val="auto"/>
          <w:spacing w:val="4"/>
          <w:kern w:val="0"/>
          <w:sz w:val="24"/>
          <w:szCs w:val="24"/>
          <w:lang w:val="en-US" w:eastAsia="zh-CN" w:bidi="ar"/>
        </w:rPr>
        <w:t xml:space="preserve">10.1 </w:t>
      </w:r>
      <w:r>
        <w:rPr>
          <w:rFonts w:hint="eastAsia" w:ascii="宋体" w:hAnsi="宋体" w:eastAsia="宋体" w:cs="宋体"/>
          <w:snapToGrid/>
          <w:color w:val="auto"/>
          <w:spacing w:val="4"/>
          <w:kern w:val="0"/>
          <w:sz w:val="24"/>
          <w:szCs w:val="24"/>
          <w:lang w:bidi="ar"/>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1</w:t>
      </w:r>
      <w:r>
        <w:rPr>
          <w:rFonts w:hint="eastAsia" w:ascii="宋体" w:hAnsi="宋体" w:eastAsia="宋体" w:cs="宋体"/>
          <w:snapToGrid/>
          <w:color w:val="auto"/>
          <w:spacing w:val="4"/>
          <w:kern w:val="0"/>
          <w:sz w:val="24"/>
          <w:szCs w:val="24"/>
          <w:lang w:bidi="ar"/>
        </w:rPr>
        <w:t>）工程概况和施工单位基本信息；</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2</w:t>
      </w:r>
      <w:r>
        <w:rPr>
          <w:rFonts w:hint="eastAsia" w:ascii="宋体" w:hAnsi="宋体" w:eastAsia="宋体" w:cs="宋体"/>
          <w:snapToGrid/>
          <w:color w:val="auto"/>
          <w:spacing w:val="4"/>
          <w:kern w:val="0"/>
          <w:sz w:val="24"/>
          <w:szCs w:val="24"/>
          <w:lang w:bidi="ar"/>
        </w:rPr>
        <w:t>）建筑垃圾产生量与种类；</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3</w:t>
      </w:r>
      <w:r>
        <w:rPr>
          <w:rFonts w:hint="eastAsia" w:ascii="宋体" w:hAnsi="宋体" w:eastAsia="宋体" w:cs="宋体"/>
          <w:snapToGrid/>
          <w:color w:val="auto"/>
          <w:spacing w:val="4"/>
          <w:kern w:val="0"/>
          <w:sz w:val="24"/>
          <w:szCs w:val="24"/>
          <w:lang w:bidi="ar"/>
        </w:rPr>
        <w:t>）建筑垃圾源头减量、分类收集、综合利用、污染防治的措施和目标；</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4</w:t>
      </w:r>
      <w:r>
        <w:rPr>
          <w:rFonts w:hint="eastAsia" w:ascii="宋体" w:hAnsi="宋体" w:eastAsia="宋体" w:cs="宋体"/>
          <w:snapToGrid/>
          <w:color w:val="auto"/>
          <w:spacing w:val="4"/>
          <w:kern w:val="0"/>
          <w:sz w:val="24"/>
          <w:szCs w:val="24"/>
          <w:lang w:bidi="ar"/>
        </w:rPr>
        <w:t>）需要外运的建筑垃圾种类、数量与运输的时间、路线、方式和运输单位；</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5</w:t>
      </w:r>
      <w:r>
        <w:rPr>
          <w:rFonts w:hint="eastAsia" w:ascii="宋体" w:hAnsi="宋体" w:eastAsia="宋体" w:cs="宋体"/>
          <w:snapToGrid/>
          <w:color w:val="auto"/>
          <w:spacing w:val="4"/>
          <w:kern w:val="0"/>
          <w:sz w:val="24"/>
          <w:szCs w:val="24"/>
          <w:lang w:bidi="ar"/>
        </w:rPr>
        <w:t>）建筑垃圾回填、消纳、综合利用场所名称；</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6</w:t>
      </w:r>
      <w:r>
        <w:rPr>
          <w:rFonts w:hint="eastAsia" w:ascii="宋体" w:hAnsi="宋体" w:eastAsia="宋体" w:cs="宋体"/>
          <w:snapToGrid/>
          <w:color w:val="auto"/>
          <w:spacing w:val="4"/>
          <w:kern w:val="0"/>
          <w:sz w:val="24"/>
          <w:szCs w:val="24"/>
          <w:lang w:bidi="ar"/>
        </w:rPr>
        <w:t>）法律、法规规定的其他内容。</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 xml:space="preserve">10.2 </w:t>
      </w:r>
      <w:r>
        <w:rPr>
          <w:rFonts w:hint="eastAsia" w:ascii="宋体" w:hAnsi="宋体" w:eastAsia="宋体" w:cs="宋体"/>
          <w:snapToGrid/>
          <w:color w:val="auto"/>
          <w:spacing w:val="4"/>
          <w:kern w:val="0"/>
          <w:sz w:val="24"/>
          <w:szCs w:val="24"/>
          <w:lang w:bidi="ar"/>
        </w:rPr>
        <w:t>建筑垃圾应当按照国家有关规定进行分类，实行分类收集、分类贮存、分类运输、分类处置。</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 xml:space="preserve">10.3 </w:t>
      </w:r>
      <w:r>
        <w:rPr>
          <w:rFonts w:hint="eastAsia" w:ascii="宋体" w:hAnsi="宋体" w:eastAsia="宋体" w:cs="宋体"/>
          <w:snapToGrid/>
          <w:color w:val="auto"/>
          <w:spacing w:val="4"/>
          <w:kern w:val="0"/>
          <w:sz w:val="24"/>
          <w:szCs w:val="24"/>
          <w:lang w:bidi="ar"/>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cs="宋体"/>
          <w:snapToGrid/>
          <w:color w:val="auto"/>
          <w:spacing w:val="4"/>
          <w:kern w:val="0"/>
          <w:sz w:val="24"/>
          <w:szCs w:val="24"/>
          <w:lang w:val="en-US" w:eastAsia="zh-CN" w:bidi="ar"/>
        </w:rPr>
        <w:t xml:space="preserve">10.4 </w:t>
      </w:r>
      <w:r>
        <w:rPr>
          <w:rFonts w:hint="eastAsia" w:ascii="宋体" w:hAnsi="宋体" w:eastAsia="宋体" w:cs="宋体"/>
          <w:snapToGrid/>
          <w:color w:val="auto"/>
          <w:spacing w:val="4"/>
          <w:kern w:val="0"/>
          <w:sz w:val="24"/>
          <w:szCs w:val="24"/>
          <w:lang w:bidi="ar"/>
        </w:rPr>
        <w:t>运输建筑垃圾应当遵守下列规定：</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1</w:t>
      </w:r>
      <w:r>
        <w:rPr>
          <w:rFonts w:hint="eastAsia" w:ascii="宋体" w:hAnsi="宋体" w:eastAsia="宋体" w:cs="宋体"/>
          <w:snapToGrid/>
          <w:color w:val="auto"/>
          <w:spacing w:val="4"/>
          <w:kern w:val="0"/>
          <w:sz w:val="24"/>
          <w:szCs w:val="24"/>
          <w:lang w:bidi="ar"/>
        </w:rPr>
        <w:t>）建立建筑垃圾运输管理台账；</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2</w:t>
      </w:r>
      <w:r>
        <w:rPr>
          <w:rFonts w:hint="eastAsia" w:ascii="宋体" w:hAnsi="宋体" w:eastAsia="宋体" w:cs="宋体"/>
          <w:snapToGrid/>
          <w:color w:val="auto"/>
          <w:spacing w:val="4"/>
          <w:kern w:val="0"/>
          <w:sz w:val="24"/>
          <w:szCs w:val="24"/>
          <w:lang w:bidi="ar"/>
        </w:rPr>
        <w:t>）不得将工程渣土、工程泥浆与其他建筑垃圾混合运输；</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3</w:t>
      </w:r>
      <w:r>
        <w:rPr>
          <w:rFonts w:hint="eastAsia" w:ascii="宋体" w:hAnsi="宋体" w:eastAsia="宋体" w:cs="宋体"/>
          <w:snapToGrid/>
          <w:color w:val="auto"/>
          <w:spacing w:val="4"/>
          <w:kern w:val="0"/>
          <w:sz w:val="24"/>
          <w:szCs w:val="24"/>
          <w:lang w:bidi="ar"/>
        </w:rPr>
        <w:t>）保持运输车辆、船舶等运输工具的行驶记录、卫星定位等电子装置正常使用；</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4</w:t>
      </w:r>
      <w:r>
        <w:rPr>
          <w:rFonts w:hint="eastAsia" w:ascii="宋体" w:hAnsi="宋体" w:eastAsia="宋体" w:cs="宋体"/>
          <w:snapToGrid/>
          <w:color w:val="auto"/>
          <w:spacing w:val="4"/>
          <w:kern w:val="0"/>
          <w:sz w:val="24"/>
          <w:szCs w:val="24"/>
          <w:lang w:bidi="ar"/>
        </w:rPr>
        <w:t>）运输过程中保持运输工具整洁，采取密闭或者其他有效措施防止遗撒建筑垃圾，不得擅自倾倒、抛撒建筑垃圾；</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5</w:t>
      </w:r>
      <w:r>
        <w:rPr>
          <w:rFonts w:hint="eastAsia" w:ascii="宋体" w:hAnsi="宋体" w:eastAsia="宋体" w:cs="宋体"/>
          <w:snapToGrid/>
          <w:color w:val="auto"/>
          <w:spacing w:val="4"/>
          <w:kern w:val="0"/>
          <w:sz w:val="24"/>
          <w:szCs w:val="24"/>
          <w:lang w:bidi="ar"/>
        </w:rPr>
        <w:t>）按照建筑垃圾处理方案确定的时间、路线、方式、场所进行运输。建筑垃圾运输车辆、船舶应当符合相应的载运技术条件。建筑垃圾处置场所为陆域的，不得采用开底式船舶运输建筑垃圾。</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 xml:space="preserve">10.5 </w:t>
      </w:r>
      <w:r>
        <w:rPr>
          <w:rFonts w:hint="eastAsia" w:ascii="宋体" w:hAnsi="宋体" w:eastAsia="宋体" w:cs="宋体"/>
          <w:snapToGrid/>
          <w:color w:val="auto"/>
          <w:spacing w:val="4"/>
          <w:kern w:val="0"/>
          <w:sz w:val="24"/>
          <w:szCs w:val="24"/>
          <w:lang w:bidi="ar"/>
        </w:rPr>
        <w:t>工程泥浆应当在施工现场进行脱水固化处理。施工现场不具备条件的，应当采用罐装器具密闭运输至依法设置的建筑垃圾处置场所进行处置。水上工程中依法无需经脱水处理的除外。</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 xml:space="preserve">10.6 </w:t>
      </w:r>
      <w:r>
        <w:rPr>
          <w:rFonts w:hint="eastAsia" w:ascii="宋体" w:hAnsi="宋体" w:eastAsia="宋体" w:cs="宋体"/>
          <w:snapToGrid/>
          <w:color w:val="auto"/>
          <w:spacing w:val="4"/>
          <w:kern w:val="0"/>
          <w:sz w:val="24"/>
          <w:szCs w:val="24"/>
          <w:lang w:bidi="ar"/>
        </w:rPr>
        <w:t>建筑垃圾应当按照下列方式，优先就地就近利用：（</w:t>
      </w:r>
      <w:r>
        <w:rPr>
          <w:rFonts w:hint="eastAsia" w:ascii="宋体" w:hAnsi="宋体" w:eastAsia="宋体" w:cs="宋体"/>
          <w:color w:val="auto"/>
          <w:spacing w:val="4"/>
          <w:kern w:val="0"/>
          <w:sz w:val="24"/>
          <w:szCs w:val="24"/>
          <w:lang w:bidi="ar"/>
        </w:rPr>
        <w:t>1</w:t>
      </w:r>
      <w:r>
        <w:rPr>
          <w:rFonts w:hint="eastAsia" w:ascii="宋体" w:hAnsi="宋体" w:eastAsia="宋体" w:cs="宋体"/>
          <w:snapToGrid/>
          <w:color w:val="auto"/>
          <w:spacing w:val="4"/>
          <w:kern w:val="0"/>
          <w:sz w:val="24"/>
          <w:szCs w:val="24"/>
          <w:lang w:bidi="ar"/>
        </w:rPr>
        <w:t>）工程渣土及脱水后的工程泥浆优先用于土方平衡、矿坑修复、环境治理、烧结制品及回填等；（</w:t>
      </w:r>
      <w:r>
        <w:rPr>
          <w:rFonts w:hint="eastAsia" w:ascii="宋体" w:hAnsi="宋体" w:eastAsia="宋体" w:cs="宋体"/>
          <w:color w:val="auto"/>
          <w:spacing w:val="4"/>
          <w:kern w:val="0"/>
          <w:sz w:val="24"/>
          <w:szCs w:val="24"/>
          <w:lang w:bidi="ar"/>
        </w:rPr>
        <w:t>2</w:t>
      </w:r>
      <w:r>
        <w:rPr>
          <w:rFonts w:hint="eastAsia" w:ascii="宋体" w:hAnsi="宋体" w:eastAsia="宋体" w:cs="宋体"/>
          <w:snapToGrid/>
          <w:color w:val="auto"/>
          <w:spacing w:val="4"/>
          <w:kern w:val="0"/>
          <w:sz w:val="24"/>
          <w:szCs w:val="24"/>
          <w:lang w:bidi="ar"/>
        </w:rPr>
        <w:t>）工程垃圾、拆除垃圾和装修垃圾优先用于生产再生骨料、再生砖、再生砌块、再生沥青混合料等建筑垃圾综合利用产品。具备现场综合利用条件的建设工程，应当进行建筑垃圾现场综合利用。</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sz w:val="24"/>
          <w:szCs w:val="24"/>
          <w:highlight w:val="none"/>
          <w:lang w:bidi="ar"/>
        </w:rPr>
      </w:pPr>
      <w:r>
        <w:rPr>
          <w:rFonts w:hint="eastAsia" w:ascii="宋体" w:hAnsi="宋体" w:cs="宋体"/>
          <w:snapToGrid/>
          <w:color w:val="auto"/>
          <w:spacing w:val="4"/>
          <w:kern w:val="0"/>
          <w:sz w:val="24"/>
          <w:szCs w:val="24"/>
          <w:lang w:val="en-US" w:eastAsia="zh-CN" w:bidi="ar"/>
        </w:rPr>
        <w:t xml:space="preserve">10.7 </w:t>
      </w:r>
      <w:r>
        <w:rPr>
          <w:rFonts w:hint="eastAsia" w:ascii="宋体" w:hAnsi="宋体" w:eastAsia="宋体" w:cs="宋体"/>
          <w:snapToGrid/>
          <w:color w:val="auto"/>
          <w:spacing w:val="4"/>
          <w:kern w:val="0"/>
          <w:sz w:val="24"/>
          <w:szCs w:val="24"/>
          <w:lang w:bidi="ar"/>
        </w:rPr>
        <w:t>建设单位和施工单位严格遵守并执行《广东省建筑垃圾管理条例》。</w:t>
      </w: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80" w:name="_Toc29832"/>
      <w:bookmarkStart w:id="81" w:name="_Toc21525514"/>
      <w:bookmarkStart w:id="82" w:name="_Toc2272569"/>
      <w:r>
        <w:rPr>
          <w:rFonts w:hint="eastAsia"/>
          <w:color w:val="000000" w:themeColor="text1"/>
          <w14:textFill>
            <w14:solidFill>
              <w14:schemeClr w14:val="tx1"/>
            </w14:solidFill>
          </w14:textFill>
        </w:rPr>
        <w:t>第六章  图纸及勘察资料</w:t>
      </w:r>
      <w:bookmarkEnd w:id="80"/>
      <w:bookmarkEnd w:id="81"/>
      <w:bookmarkEnd w:id="82"/>
    </w:p>
    <w:p>
      <w:pPr>
        <w:pStyle w:val="5"/>
        <w:keepNext w:val="0"/>
        <w:keepLines w:val="0"/>
        <w:pageBreakBefore w:val="0"/>
        <w:widowControl w:val="0"/>
        <w:kinsoku/>
        <w:wordWrap/>
        <w:overflowPunct/>
        <w:topLinePunct w:val="0"/>
        <w:autoSpaceDE/>
        <w:autoSpaceDN/>
        <w:bidi w:val="0"/>
        <w:adjustRightInd/>
        <w:snapToGrid/>
        <w:spacing w:after="0" w:line="360" w:lineRule="auto"/>
        <w:ind w:firstLine="0"/>
        <w:jc w:val="center"/>
        <w:textAlignment w:val="auto"/>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另册。</w:t>
      </w:r>
    </w:p>
    <w:p>
      <w:pPr>
        <w:pStyle w:val="3"/>
        <w:keepNext/>
        <w:keepLines/>
        <w:pageBreakBefore w:val="0"/>
        <w:widowControl w:val="0"/>
        <w:kinsoku/>
        <w:wordWrap/>
        <w:overflowPunct/>
        <w:topLinePunct w:val="0"/>
        <w:autoSpaceDE/>
        <w:autoSpaceDN/>
        <w:bidi w:val="0"/>
        <w:adjustRightInd/>
        <w:snapToGrid/>
        <w:spacing w:before="157" w:beforeLines="50" w:after="157" w:afterLines="50" w:line="440" w:lineRule="exact"/>
        <w:textAlignment w:val="auto"/>
        <w:rPr>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83" w:name="_Toc2272570"/>
      <w:bookmarkStart w:id="84" w:name="_Toc13553"/>
      <w:bookmarkStart w:id="85" w:name="_Toc21525515"/>
      <w:r>
        <w:rPr>
          <w:rFonts w:hint="eastAsia"/>
          <w:color w:val="000000" w:themeColor="text1"/>
          <w14:textFill>
            <w14:solidFill>
              <w14:schemeClr w14:val="tx1"/>
            </w14:solidFill>
          </w14:textFill>
        </w:rPr>
        <w:t>第七章  工程量清单</w:t>
      </w:r>
      <w:bookmarkEnd w:id="83"/>
      <w:bookmarkEnd w:id="84"/>
      <w:bookmarkEnd w:id="85"/>
    </w:p>
    <w:p>
      <w:pPr>
        <w:pStyle w:val="5"/>
        <w:keepNext w:val="0"/>
        <w:keepLines w:val="0"/>
        <w:pageBreakBefore w:val="0"/>
        <w:widowControl w:val="0"/>
        <w:kinsoku/>
        <w:wordWrap/>
        <w:overflowPunct/>
        <w:topLinePunct w:val="0"/>
        <w:autoSpaceDE/>
        <w:autoSpaceDN/>
        <w:bidi w:val="0"/>
        <w:adjustRightInd/>
        <w:snapToGrid/>
        <w:spacing w:after="0" w:line="360" w:lineRule="auto"/>
        <w:ind w:firstLine="0"/>
        <w:jc w:val="center"/>
        <w:textAlignment w:val="auto"/>
        <w:rPr>
          <w:rFonts w:ascii="宋体"/>
          <w:color w:val="000000" w:themeColor="text1"/>
          <w:sz w:val="32"/>
          <w:szCs w:val="2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另册。</w:t>
      </w:r>
    </w:p>
    <w:p>
      <w:pPr>
        <w:pStyle w:val="3"/>
        <w:rPr>
          <w:color w:val="000000" w:themeColor="text1"/>
          <w14:textFill>
            <w14:solidFill>
              <w14:schemeClr w14:val="tx1"/>
            </w14:solidFill>
          </w14:textFill>
        </w:rPr>
      </w:pPr>
    </w:p>
    <w:p>
      <w:pPr>
        <w:pStyle w:val="3"/>
        <w:rPr>
          <w:rFonts w:ascii="宋体"/>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86" w:name="_Toc21525516"/>
      <w:bookmarkStart w:id="87" w:name="_Toc7951"/>
      <w:bookmarkStart w:id="88" w:name="_Toc2272571"/>
      <w:r>
        <w:rPr>
          <w:rFonts w:hint="eastAsia"/>
          <w:color w:val="000000" w:themeColor="text1"/>
          <w14:textFill>
            <w14:solidFill>
              <w14:schemeClr w14:val="tx1"/>
            </w14:solidFill>
          </w14:textFill>
        </w:rPr>
        <w:t>第八章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最高投标限价</w:t>
      </w:r>
      <w:bookmarkEnd w:id="86"/>
      <w:bookmarkEnd w:id="87"/>
      <w:bookmarkEnd w:id="88"/>
    </w:p>
    <w:p>
      <w:pPr>
        <w:spacing w:line="360" w:lineRule="auto"/>
        <w:ind w:firstLine="48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6"/>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FA3F"/>
    <w:multiLevelType w:val="singleLevel"/>
    <w:tmpl w:val="F05CFA3F"/>
    <w:lvl w:ilvl="0" w:tentative="0">
      <w:start w:val="1"/>
      <w:numFmt w:val="chineseCounting"/>
      <w:suff w:val="nothing"/>
      <w:lvlText w:val="%1、"/>
      <w:lvlJc w:val="left"/>
      <w:rPr>
        <w:rFonts w:hint="eastAsia"/>
      </w:rPr>
    </w:lvl>
  </w:abstractNum>
  <w:abstractNum w:abstractNumId="1">
    <w:nsid w:val="22607BF1"/>
    <w:multiLevelType w:val="multilevel"/>
    <w:tmpl w:val="22607BF1"/>
    <w:lvl w:ilvl="0" w:tentative="0">
      <w:start w:val="1"/>
      <w:numFmt w:val="decimal"/>
      <w:lvlText w:val="（%1）"/>
      <w:lvlJc w:val="left"/>
      <w:pPr>
        <w:ind w:left="1080" w:hanging="720"/>
      </w:pPr>
      <w:rPr>
        <w:rFonts w:hint="default" w:ascii="宋体" w:hAnsi="宋体" w:eastAsia="宋体" w:cs="宋体"/>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4549B61"/>
    <w:multiLevelType w:val="singleLevel"/>
    <w:tmpl w:val="24549B61"/>
    <w:lvl w:ilvl="0" w:tentative="0">
      <w:start w:val="31"/>
      <w:numFmt w:val="decimal"/>
      <w:suff w:val="nothing"/>
      <w:lvlText w:val="%1．"/>
      <w:lvlJc w:val="left"/>
    </w:lvl>
  </w:abstractNum>
  <w:abstractNum w:abstractNumId="3">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4">
    <w:nsid w:val="66830454"/>
    <w:multiLevelType w:val="multilevel"/>
    <w:tmpl w:val="66830454"/>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5"/>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MzI4ZjVmM2E4ZTdiNWFhNDQ0ZTdmZDljZDIyZGMifQ=="/>
  </w:docVars>
  <w:rsids>
    <w:rsidRoot w:val="007B41BE"/>
    <w:rsid w:val="000200EE"/>
    <w:rsid w:val="0002765E"/>
    <w:rsid w:val="000345FF"/>
    <w:rsid w:val="000575F8"/>
    <w:rsid w:val="00074FD1"/>
    <w:rsid w:val="000C1007"/>
    <w:rsid w:val="000C11E0"/>
    <w:rsid w:val="000C2710"/>
    <w:rsid w:val="000D396E"/>
    <w:rsid w:val="000F1EE7"/>
    <w:rsid w:val="0017262D"/>
    <w:rsid w:val="00181CAA"/>
    <w:rsid w:val="00193EB2"/>
    <w:rsid w:val="001D0805"/>
    <w:rsid w:val="00217871"/>
    <w:rsid w:val="002700E8"/>
    <w:rsid w:val="00336AA3"/>
    <w:rsid w:val="003577B5"/>
    <w:rsid w:val="003753EF"/>
    <w:rsid w:val="0037590B"/>
    <w:rsid w:val="00416F46"/>
    <w:rsid w:val="0042564C"/>
    <w:rsid w:val="004370EC"/>
    <w:rsid w:val="004424B8"/>
    <w:rsid w:val="004B295D"/>
    <w:rsid w:val="004E031B"/>
    <w:rsid w:val="0051449E"/>
    <w:rsid w:val="0052677C"/>
    <w:rsid w:val="00552277"/>
    <w:rsid w:val="005866FB"/>
    <w:rsid w:val="005B0517"/>
    <w:rsid w:val="005B5D5B"/>
    <w:rsid w:val="005C212B"/>
    <w:rsid w:val="005E31AA"/>
    <w:rsid w:val="005E6E69"/>
    <w:rsid w:val="006018DB"/>
    <w:rsid w:val="006036EF"/>
    <w:rsid w:val="00633C4F"/>
    <w:rsid w:val="00643CB9"/>
    <w:rsid w:val="00673B83"/>
    <w:rsid w:val="00680BFD"/>
    <w:rsid w:val="006B6B0D"/>
    <w:rsid w:val="006F3576"/>
    <w:rsid w:val="0073229B"/>
    <w:rsid w:val="00780EC8"/>
    <w:rsid w:val="00784377"/>
    <w:rsid w:val="007B41BE"/>
    <w:rsid w:val="007C6050"/>
    <w:rsid w:val="007D248E"/>
    <w:rsid w:val="007D6D06"/>
    <w:rsid w:val="00835C9E"/>
    <w:rsid w:val="008613D2"/>
    <w:rsid w:val="008C607F"/>
    <w:rsid w:val="008D2515"/>
    <w:rsid w:val="008D4EE8"/>
    <w:rsid w:val="008E4AD1"/>
    <w:rsid w:val="00920E49"/>
    <w:rsid w:val="00991949"/>
    <w:rsid w:val="009A704D"/>
    <w:rsid w:val="009E72BB"/>
    <w:rsid w:val="00A0387A"/>
    <w:rsid w:val="00A0619D"/>
    <w:rsid w:val="00A20AF3"/>
    <w:rsid w:val="00A2579D"/>
    <w:rsid w:val="00A33CF2"/>
    <w:rsid w:val="00A50D34"/>
    <w:rsid w:val="00A64E29"/>
    <w:rsid w:val="00AB3452"/>
    <w:rsid w:val="00AD3DEE"/>
    <w:rsid w:val="00AD6716"/>
    <w:rsid w:val="00B27984"/>
    <w:rsid w:val="00B6034D"/>
    <w:rsid w:val="00BC7B91"/>
    <w:rsid w:val="00BE1732"/>
    <w:rsid w:val="00BE216D"/>
    <w:rsid w:val="00C267C0"/>
    <w:rsid w:val="00C32C1E"/>
    <w:rsid w:val="00C408D3"/>
    <w:rsid w:val="00C806ED"/>
    <w:rsid w:val="00C81F53"/>
    <w:rsid w:val="00C82C8A"/>
    <w:rsid w:val="00CC67CE"/>
    <w:rsid w:val="00CC7E2D"/>
    <w:rsid w:val="00CD156B"/>
    <w:rsid w:val="00D04F54"/>
    <w:rsid w:val="00D75B45"/>
    <w:rsid w:val="00D84E64"/>
    <w:rsid w:val="00D86846"/>
    <w:rsid w:val="00DB7F18"/>
    <w:rsid w:val="00E22EAB"/>
    <w:rsid w:val="00E457F6"/>
    <w:rsid w:val="00E638F3"/>
    <w:rsid w:val="00EB2F0D"/>
    <w:rsid w:val="00EB6530"/>
    <w:rsid w:val="00EC014E"/>
    <w:rsid w:val="00EC1714"/>
    <w:rsid w:val="00F40301"/>
    <w:rsid w:val="00F87BFE"/>
    <w:rsid w:val="00FA4A76"/>
    <w:rsid w:val="00FA5926"/>
    <w:rsid w:val="00FB3528"/>
    <w:rsid w:val="00FC5596"/>
    <w:rsid w:val="017E63B3"/>
    <w:rsid w:val="019E4ED3"/>
    <w:rsid w:val="01A972D7"/>
    <w:rsid w:val="01B04CA7"/>
    <w:rsid w:val="023C3E8A"/>
    <w:rsid w:val="026C2BEA"/>
    <w:rsid w:val="028E6956"/>
    <w:rsid w:val="02A1111E"/>
    <w:rsid w:val="02B05CAC"/>
    <w:rsid w:val="02F361E7"/>
    <w:rsid w:val="030752CD"/>
    <w:rsid w:val="032558AB"/>
    <w:rsid w:val="03630182"/>
    <w:rsid w:val="03A72764"/>
    <w:rsid w:val="03AA4003"/>
    <w:rsid w:val="03E959C4"/>
    <w:rsid w:val="0402799B"/>
    <w:rsid w:val="04682F74"/>
    <w:rsid w:val="04842D42"/>
    <w:rsid w:val="04877EA0"/>
    <w:rsid w:val="049F51EA"/>
    <w:rsid w:val="04A10F62"/>
    <w:rsid w:val="04A25532"/>
    <w:rsid w:val="05241B93"/>
    <w:rsid w:val="05935ABA"/>
    <w:rsid w:val="05D9775C"/>
    <w:rsid w:val="062E067F"/>
    <w:rsid w:val="0661309E"/>
    <w:rsid w:val="06787FCA"/>
    <w:rsid w:val="06C758D4"/>
    <w:rsid w:val="06D3026A"/>
    <w:rsid w:val="070C4371"/>
    <w:rsid w:val="072705C8"/>
    <w:rsid w:val="072F44E3"/>
    <w:rsid w:val="075F2383"/>
    <w:rsid w:val="078A2181"/>
    <w:rsid w:val="07D258D6"/>
    <w:rsid w:val="07F65A68"/>
    <w:rsid w:val="0808455F"/>
    <w:rsid w:val="080F0525"/>
    <w:rsid w:val="084A037D"/>
    <w:rsid w:val="0892743D"/>
    <w:rsid w:val="08D5372F"/>
    <w:rsid w:val="08F47141"/>
    <w:rsid w:val="08F96279"/>
    <w:rsid w:val="08FB57B9"/>
    <w:rsid w:val="09272E13"/>
    <w:rsid w:val="096355C4"/>
    <w:rsid w:val="09750994"/>
    <w:rsid w:val="09F33618"/>
    <w:rsid w:val="0A6F1B02"/>
    <w:rsid w:val="0A951569"/>
    <w:rsid w:val="0AD64B85"/>
    <w:rsid w:val="0AEF47D6"/>
    <w:rsid w:val="0B5A402C"/>
    <w:rsid w:val="0BE8391A"/>
    <w:rsid w:val="0C0F3AB1"/>
    <w:rsid w:val="0C122745"/>
    <w:rsid w:val="0C323D10"/>
    <w:rsid w:val="0C375F99"/>
    <w:rsid w:val="0C610F50"/>
    <w:rsid w:val="0CA33189"/>
    <w:rsid w:val="0CBE1D97"/>
    <w:rsid w:val="0CC55A09"/>
    <w:rsid w:val="0CCF4ADA"/>
    <w:rsid w:val="0D175067"/>
    <w:rsid w:val="0D9D1C5D"/>
    <w:rsid w:val="0DE80AB1"/>
    <w:rsid w:val="0E112E6C"/>
    <w:rsid w:val="0E1C0BB0"/>
    <w:rsid w:val="0E383970"/>
    <w:rsid w:val="0E4C0A91"/>
    <w:rsid w:val="0E4D296D"/>
    <w:rsid w:val="0E7476E7"/>
    <w:rsid w:val="0E7B0752"/>
    <w:rsid w:val="0E824826"/>
    <w:rsid w:val="0F084AB2"/>
    <w:rsid w:val="0F1D44D7"/>
    <w:rsid w:val="0F2C0FC4"/>
    <w:rsid w:val="0F5A4B2F"/>
    <w:rsid w:val="0F6C0DF0"/>
    <w:rsid w:val="0F707EAE"/>
    <w:rsid w:val="0F7D2E84"/>
    <w:rsid w:val="0F7E4AB5"/>
    <w:rsid w:val="0FA4722F"/>
    <w:rsid w:val="0FA718CA"/>
    <w:rsid w:val="0FEF45D8"/>
    <w:rsid w:val="0FEF4DD2"/>
    <w:rsid w:val="103465A8"/>
    <w:rsid w:val="107B798B"/>
    <w:rsid w:val="10A51DDA"/>
    <w:rsid w:val="10AD7440"/>
    <w:rsid w:val="110C2C8F"/>
    <w:rsid w:val="11203B56"/>
    <w:rsid w:val="1139171B"/>
    <w:rsid w:val="11584B71"/>
    <w:rsid w:val="117A18FA"/>
    <w:rsid w:val="11976BFB"/>
    <w:rsid w:val="11D16BFE"/>
    <w:rsid w:val="11E8746F"/>
    <w:rsid w:val="11E903EC"/>
    <w:rsid w:val="12456209"/>
    <w:rsid w:val="125053DB"/>
    <w:rsid w:val="12527A9D"/>
    <w:rsid w:val="12D6271E"/>
    <w:rsid w:val="12EA27C3"/>
    <w:rsid w:val="12EB7235"/>
    <w:rsid w:val="1319260B"/>
    <w:rsid w:val="13EB4EDD"/>
    <w:rsid w:val="14002148"/>
    <w:rsid w:val="140D5ACB"/>
    <w:rsid w:val="144705DE"/>
    <w:rsid w:val="14941FB5"/>
    <w:rsid w:val="14BB7AA2"/>
    <w:rsid w:val="14C03300"/>
    <w:rsid w:val="14D34591"/>
    <w:rsid w:val="14F71515"/>
    <w:rsid w:val="15456B76"/>
    <w:rsid w:val="15745C65"/>
    <w:rsid w:val="15B67A74"/>
    <w:rsid w:val="163A2FC4"/>
    <w:rsid w:val="16677B31"/>
    <w:rsid w:val="16766832"/>
    <w:rsid w:val="168E50BE"/>
    <w:rsid w:val="169B736F"/>
    <w:rsid w:val="17120C5F"/>
    <w:rsid w:val="171E4694"/>
    <w:rsid w:val="176F6C9D"/>
    <w:rsid w:val="17807DAD"/>
    <w:rsid w:val="17EF107C"/>
    <w:rsid w:val="18151F96"/>
    <w:rsid w:val="181C07FE"/>
    <w:rsid w:val="18273A1C"/>
    <w:rsid w:val="182E0907"/>
    <w:rsid w:val="183A6432"/>
    <w:rsid w:val="18720CCA"/>
    <w:rsid w:val="188C616C"/>
    <w:rsid w:val="18CE20EA"/>
    <w:rsid w:val="18ED6A14"/>
    <w:rsid w:val="194A5C14"/>
    <w:rsid w:val="195A0529"/>
    <w:rsid w:val="19B117EF"/>
    <w:rsid w:val="19BE3F0C"/>
    <w:rsid w:val="19DE1BCB"/>
    <w:rsid w:val="19DF40F0"/>
    <w:rsid w:val="19E35721"/>
    <w:rsid w:val="1A2F4635"/>
    <w:rsid w:val="1A455DCD"/>
    <w:rsid w:val="1A55661F"/>
    <w:rsid w:val="1A8A3E9A"/>
    <w:rsid w:val="1AB62EA0"/>
    <w:rsid w:val="1AD03189"/>
    <w:rsid w:val="1AD82DAC"/>
    <w:rsid w:val="1B035B65"/>
    <w:rsid w:val="1B1069E9"/>
    <w:rsid w:val="1B1A33C4"/>
    <w:rsid w:val="1B694D12"/>
    <w:rsid w:val="1C316C17"/>
    <w:rsid w:val="1C3E41CD"/>
    <w:rsid w:val="1C466267"/>
    <w:rsid w:val="1C6635DD"/>
    <w:rsid w:val="1C6766E3"/>
    <w:rsid w:val="1C6F7740"/>
    <w:rsid w:val="1CB44504"/>
    <w:rsid w:val="1CD87093"/>
    <w:rsid w:val="1D4754C2"/>
    <w:rsid w:val="1D4C5397"/>
    <w:rsid w:val="1D6C2F59"/>
    <w:rsid w:val="1D7B2AF4"/>
    <w:rsid w:val="1D8F1E47"/>
    <w:rsid w:val="1D9574A7"/>
    <w:rsid w:val="1DAC05F3"/>
    <w:rsid w:val="1E2F0FB1"/>
    <w:rsid w:val="1E3C502A"/>
    <w:rsid w:val="1E486D96"/>
    <w:rsid w:val="1EA20EAB"/>
    <w:rsid w:val="1EBA5A37"/>
    <w:rsid w:val="1EE16491"/>
    <w:rsid w:val="1F1C1CDB"/>
    <w:rsid w:val="1F2B3EFC"/>
    <w:rsid w:val="1F4D1FBA"/>
    <w:rsid w:val="1F4F13D1"/>
    <w:rsid w:val="1F576995"/>
    <w:rsid w:val="1F75506D"/>
    <w:rsid w:val="1FB21574"/>
    <w:rsid w:val="1FE447FC"/>
    <w:rsid w:val="200C3C23"/>
    <w:rsid w:val="204D1B46"/>
    <w:rsid w:val="20A03804"/>
    <w:rsid w:val="20B63B8F"/>
    <w:rsid w:val="20B6593D"/>
    <w:rsid w:val="20E325CD"/>
    <w:rsid w:val="213C418C"/>
    <w:rsid w:val="21E111CF"/>
    <w:rsid w:val="21EC7549"/>
    <w:rsid w:val="22392531"/>
    <w:rsid w:val="226B42AC"/>
    <w:rsid w:val="22A75E85"/>
    <w:rsid w:val="22AD29BB"/>
    <w:rsid w:val="23871B0E"/>
    <w:rsid w:val="238D647C"/>
    <w:rsid w:val="23932947"/>
    <w:rsid w:val="23AA5289"/>
    <w:rsid w:val="23B24273"/>
    <w:rsid w:val="23F251F4"/>
    <w:rsid w:val="24091E96"/>
    <w:rsid w:val="241B7D6D"/>
    <w:rsid w:val="24267B5E"/>
    <w:rsid w:val="245160C7"/>
    <w:rsid w:val="248C5333"/>
    <w:rsid w:val="24A972CC"/>
    <w:rsid w:val="24C24195"/>
    <w:rsid w:val="24F35209"/>
    <w:rsid w:val="24F84776"/>
    <w:rsid w:val="253A0D01"/>
    <w:rsid w:val="25B763DF"/>
    <w:rsid w:val="25DA3E7C"/>
    <w:rsid w:val="25F07BA6"/>
    <w:rsid w:val="25FE1B3C"/>
    <w:rsid w:val="26112E01"/>
    <w:rsid w:val="2624726E"/>
    <w:rsid w:val="268B33C8"/>
    <w:rsid w:val="26A91055"/>
    <w:rsid w:val="26B66697"/>
    <w:rsid w:val="27124B8F"/>
    <w:rsid w:val="27241736"/>
    <w:rsid w:val="27247AA4"/>
    <w:rsid w:val="272837BD"/>
    <w:rsid w:val="274417F4"/>
    <w:rsid w:val="274E1814"/>
    <w:rsid w:val="275F4226"/>
    <w:rsid w:val="27906EE8"/>
    <w:rsid w:val="285443B9"/>
    <w:rsid w:val="287265EE"/>
    <w:rsid w:val="28790229"/>
    <w:rsid w:val="28812C78"/>
    <w:rsid w:val="28B41E99"/>
    <w:rsid w:val="28C40B03"/>
    <w:rsid w:val="28D26420"/>
    <w:rsid w:val="28F74D45"/>
    <w:rsid w:val="290B0BB0"/>
    <w:rsid w:val="290C4C94"/>
    <w:rsid w:val="29211B26"/>
    <w:rsid w:val="292F44DF"/>
    <w:rsid w:val="2945153A"/>
    <w:rsid w:val="297E4A9C"/>
    <w:rsid w:val="29A93645"/>
    <w:rsid w:val="29B5431E"/>
    <w:rsid w:val="29B63761"/>
    <w:rsid w:val="2A2542B1"/>
    <w:rsid w:val="2A5E6C7B"/>
    <w:rsid w:val="2A683073"/>
    <w:rsid w:val="2A880A7B"/>
    <w:rsid w:val="2AE77BF2"/>
    <w:rsid w:val="2AF26A9F"/>
    <w:rsid w:val="2B2C33CC"/>
    <w:rsid w:val="2B81687D"/>
    <w:rsid w:val="2BBE1B4A"/>
    <w:rsid w:val="2C2A71DF"/>
    <w:rsid w:val="2C372A17"/>
    <w:rsid w:val="2C45579E"/>
    <w:rsid w:val="2C8426A4"/>
    <w:rsid w:val="2CA01540"/>
    <w:rsid w:val="2CA46F92"/>
    <w:rsid w:val="2CBA46C7"/>
    <w:rsid w:val="2CDF57AE"/>
    <w:rsid w:val="2D0C7E8E"/>
    <w:rsid w:val="2D3F003A"/>
    <w:rsid w:val="2D504B9E"/>
    <w:rsid w:val="2D5A6F34"/>
    <w:rsid w:val="2D796670"/>
    <w:rsid w:val="2DAAE6E9"/>
    <w:rsid w:val="2DB72CF5"/>
    <w:rsid w:val="2DC4660F"/>
    <w:rsid w:val="2DC669A6"/>
    <w:rsid w:val="2DDD09AD"/>
    <w:rsid w:val="2DE6567B"/>
    <w:rsid w:val="2E4610C5"/>
    <w:rsid w:val="2E797ACE"/>
    <w:rsid w:val="2EAA1389"/>
    <w:rsid w:val="2F455109"/>
    <w:rsid w:val="2F765FA3"/>
    <w:rsid w:val="2F9F518B"/>
    <w:rsid w:val="30247F39"/>
    <w:rsid w:val="302B680E"/>
    <w:rsid w:val="3042540F"/>
    <w:rsid w:val="30496F97"/>
    <w:rsid w:val="30782C0F"/>
    <w:rsid w:val="30997F39"/>
    <w:rsid w:val="30B07BCC"/>
    <w:rsid w:val="31367124"/>
    <w:rsid w:val="317F3B29"/>
    <w:rsid w:val="318E3D87"/>
    <w:rsid w:val="323701D4"/>
    <w:rsid w:val="3268696E"/>
    <w:rsid w:val="329D394F"/>
    <w:rsid w:val="32BF3509"/>
    <w:rsid w:val="339E298D"/>
    <w:rsid w:val="33E3206A"/>
    <w:rsid w:val="342B057B"/>
    <w:rsid w:val="34324250"/>
    <w:rsid w:val="3473361C"/>
    <w:rsid w:val="348E47AF"/>
    <w:rsid w:val="35610116"/>
    <w:rsid w:val="35B16527"/>
    <w:rsid w:val="35B53A9E"/>
    <w:rsid w:val="36434166"/>
    <w:rsid w:val="366E5D9D"/>
    <w:rsid w:val="36807F5F"/>
    <w:rsid w:val="3699743B"/>
    <w:rsid w:val="36E20DE2"/>
    <w:rsid w:val="375D203C"/>
    <w:rsid w:val="376B0DD8"/>
    <w:rsid w:val="378310C1"/>
    <w:rsid w:val="37922808"/>
    <w:rsid w:val="380134EA"/>
    <w:rsid w:val="38026A6F"/>
    <w:rsid w:val="383E0231"/>
    <w:rsid w:val="38425435"/>
    <w:rsid w:val="38455ACD"/>
    <w:rsid w:val="38AC277A"/>
    <w:rsid w:val="38AD5420"/>
    <w:rsid w:val="38D155DB"/>
    <w:rsid w:val="393D7713"/>
    <w:rsid w:val="3942025E"/>
    <w:rsid w:val="396106E4"/>
    <w:rsid w:val="39B7532B"/>
    <w:rsid w:val="39B77EFC"/>
    <w:rsid w:val="39BF679E"/>
    <w:rsid w:val="39C15447"/>
    <w:rsid w:val="39D4246E"/>
    <w:rsid w:val="3A104AA6"/>
    <w:rsid w:val="3A1C285D"/>
    <w:rsid w:val="3A6F6E31"/>
    <w:rsid w:val="3A75495E"/>
    <w:rsid w:val="3AE02C12"/>
    <w:rsid w:val="3B006C6E"/>
    <w:rsid w:val="3B082DE1"/>
    <w:rsid w:val="3B143534"/>
    <w:rsid w:val="3B3F4A55"/>
    <w:rsid w:val="3B7641EF"/>
    <w:rsid w:val="3B9308FD"/>
    <w:rsid w:val="3BB2281A"/>
    <w:rsid w:val="3BF43ABB"/>
    <w:rsid w:val="3BFC46F4"/>
    <w:rsid w:val="3BFFAF2C"/>
    <w:rsid w:val="3C1A48A7"/>
    <w:rsid w:val="3C34763D"/>
    <w:rsid w:val="3C3A346E"/>
    <w:rsid w:val="3C3F2833"/>
    <w:rsid w:val="3C514716"/>
    <w:rsid w:val="3C6605CE"/>
    <w:rsid w:val="3C8F37BA"/>
    <w:rsid w:val="3CB23005"/>
    <w:rsid w:val="3CB2620D"/>
    <w:rsid w:val="3CDA4CE5"/>
    <w:rsid w:val="3CEF5B84"/>
    <w:rsid w:val="3D09729A"/>
    <w:rsid w:val="3D192362"/>
    <w:rsid w:val="3D35635B"/>
    <w:rsid w:val="3D3F7C85"/>
    <w:rsid w:val="3D4F4CF8"/>
    <w:rsid w:val="3D60411F"/>
    <w:rsid w:val="3D980813"/>
    <w:rsid w:val="3DA9112C"/>
    <w:rsid w:val="3E2C256C"/>
    <w:rsid w:val="3EEB27FE"/>
    <w:rsid w:val="3F040485"/>
    <w:rsid w:val="3F0F2990"/>
    <w:rsid w:val="3F282D54"/>
    <w:rsid w:val="3F63EB7E"/>
    <w:rsid w:val="3F693193"/>
    <w:rsid w:val="3F961152"/>
    <w:rsid w:val="3FAF2312"/>
    <w:rsid w:val="3FBDD551"/>
    <w:rsid w:val="3FE43E1D"/>
    <w:rsid w:val="408D6263"/>
    <w:rsid w:val="409A0980"/>
    <w:rsid w:val="40B732E0"/>
    <w:rsid w:val="40D4575C"/>
    <w:rsid w:val="40F326A2"/>
    <w:rsid w:val="41562AF9"/>
    <w:rsid w:val="41627FB2"/>
    <w:rsid w:val="416F73D3"/>
    <w:rsid w:val="418E271A"/>
    <w:rsid w:val="41932E79"/>
    <w:rsid w:val="41933858"/>
    <w:rsid w:val="41A179C6"/>
    <w:rsid w:val="41A25D3E"/>
    <w:rsid w:val="41A73354"/>
    <w:rsid w:val="41E657FF"/>
    <w:rsid w:val="420656AD"/>
    <w:rsid w:val="424D6905"/>
    <w:rsid w:val="424E567E"/>
    <w:rsid w:val="4263645E"/>
    <w:rsid w:val="42E94BAC"/>
    <w:rsid w:val="43133AE4"/>
    <w:rsid w:val="432A41C2"/>
    <w:rsid w:val="43395FD9"/>
    <w:rsid w:val="437231C8"/>
    <w:rsid w:val="4396090B"/>
    <w:rsid w:val="43BE0202"/>
    <w:rsid w:val="43E837B0"/>
    <w:rsid w:val="44416637"/>
    <w:rsid w:val="444650A2"/>
    <w:rsid w:val="444E1066"/>
    <w:rsid w:val="448A6644"/>
    <w:rsid w:val="44E0794A"/>
    <w:rsid w:val="45387C9D"/>
    <w:rsid w:val="453C1F26"/>
    <w:rsid w:val="45553101"/>
    <w:rsid w:val="45C23056"/>
    <w:rsid w:val="45D50990"/>
    <w:rsid w:val="46462EC9"/>
    <w:rsid w:val="46A12A85"/>
    <w:rsid w:val="47374FD9"/>
    <w:rsid w:val="473E5A3E"/>
    <w:rsid w:val="4742017F"/>
    <w:rsid w:val="47613E2A"/>
    <w:rsid w:val="478A0E65"/>
    <w:rsid w:val="479E2B03"/>
    <w:rsid w:val="47B510B6"/>
    <w:rsid w:val="48321134"/>
    <w:rsid w:val="484E4529"/>
    <w:rsid w:val="48523C0A"/>
    <w:rsid w:val="48545C43"/>
    <w:rsid w:val="48B7695A"/>
    <w:rsid w:val="48DB3696"/>
    <w:rsid w:val="493B60C3"/>
    <w:rsid w:val="4981448B"/>
    <w:rsid w:val="498700F0"/>
    <w:rsid w:val="49A168DB"/>
    <w:rsid w:val="49A535A4"/>
    <w:rsid w:val="4A0659F2"/>
    <w:rsid w:val="4A182E0C"/>
    <w:rsid w:val="4A97415E"/>
    <w:rsid w:val="4AA31482"/>
    <w:rsid w:val="4AE72A13"/>
    <w:rsid w:val="4AF869CF"/>
    <w:rsid w:val="4B2A4224"/>
    <w:rsid w:val="4B2E67E5"/>
    <w:rsid w:val="4B3F63AB"/>
    <w:rsid w:val="4B3F6B82"/>
    <w:rsid w:val="4B6B7860"/>
    <w:rsid w:val="4B94388F"/>
    <w:rsid w:val="4BE64A79"/>
    <w:rsid w:val="4BFC24EE"/>
    <w:rsid w:val="4C15185F"/>
    <w:rsid w:val="4CAB763C"/>
    <w:rsid w:val="4D1D3216"/>
    <w:rsid w:val="4D2C73C1"/>
    <w:rsid w:val="4D3D31CD"/>
    <w:rsid w:val="4D6C0776"/>
    <w:rsid w:val="4D804879"/>
    <w:rsid w:val="4DD3102D"/>
    <w:rsid w:val="4DEE5E67"/>
    <w:rsid w:val="4DF74AB0"/>
    <w:rsid w:val="4E021DD6"/>
    <w:rsid w:val="4E1E499E"/>
    <w:rsid w:val="4E6210E9"/>
    <w:rsid w:val="4E6C325B"/>
    <w:rsid w:val="4E8D6DD4"/>
    <w:rsid w:val="4EBA7979"/>
    <w:rsid w:val="4F0B46F9"/>
    <w:rsid w:val="4F602D94"/>
    <w:rsid w:val="4FA51888"/>
    <w:rsid w:val="4FAE6A0C"/>
    <w:rsid w:val="500838D0"/>
    <w:rsid w:val="50131BB5"/>
    <w:rsid w:val="50164E08"/>
    <w:rsid w:val="501B446B"/>
    <w:rsid w:val="502B3FFD"/>
    <w:rsid w:val="507D6C23"/>
    <w:rsid w:val="509C5D1E"/>
    <w:rsid w:val="50B12C64"/>
    <w:rsid w:val="50BDD11A"/>
    <w:rsid w:val="50CA2BBB"/>
    <w:rsid w:val="513C2E56"/>
    <w:rsid w:val="51454B8D"/>
    <w:rsid w:val="514A7858"/>
    <w:rsid w:val="51883BC9"/>
    <w:rsid w:val="51BD0E26"/>
    <w:rsid w:val="51D56E40"/>
    <w:rsid w:val="51F10A82"/>
    <w:rsid w:val="5201085F"/>
    <w:rsid w:val="528D5C4E"/>
    <w:rsid w:val="52CD6A64"/>
    <w:rsid w:val="52F757BE"/>
    <w:rsid w:val="531E71EE"/>
    <w:rsid w:val="53324BB9"/>
    <w:rsid w:val="53423674"/>
    <w:rsid w:val="534D53DE"/>
    <w:rsid w:val="535C1095"/>
    <w:rsid w:val="5391332A"/>
    <w:rsid w:val="53C16B47"/>
    <w:rsid w:val="53F229C4"/>
    <w:rsid w:val="53F92C98"/>
    <w:rsid w:val="54530666"/>
    <w:rsid w:val="54640C31"/>
    <w:rsid w:val="547E7FB3"/>
    <w:rsid w:val="54BF1612"/>
    <w:rsid w:val="5513528B"/>
    <w:rsid w:val="55253741"/>
    <w:rsid w:val="552E4F75"/>
    <w:rsid w:val="55434EEF"/>
    <w:rsid w:val="55675113"/>
    <w:rsid w:val="558366DE"/>
    <w:rsid w:val="559110B9"/>
    <w:rsid w:val="55F36710"/>
    <w:rsid w:val="561505D4"/>
    <w:rsid w:val="563765EE"/>
    <w:rsid w:val="56757125"/>
    <w:rsid w:val="56876E58"/>
    <w:rsid w:val="5689497F"/>
    <w:rsid w:val="569975D1"/>
    <w:rsid w:val="569D4227"/>
    <w:rsid w:val="56B578E4"/>
    <w:rsid w:val="56C02A96"/>
    <w:rsid w:val="56D55E16"/>
    <w:rsid w:val="570D61F1"/>
    <w:rsid w:val="5748680D"/>
    <w:rsid w:val="57701BF4"/>
    <w:rsid w:val="57833AC4"/>
    <w:rsid w:val="588418A2"/>
    <w:rsid w:val="58A73382"/>
    <w:rsid w:val="58B3772F"/>
    <w:rsid w:val="58D97E3F"/>
    <w:rsid w:val="58E10AA2"/>
    <w:rsid w:val="59835FFD"/>
    <w:rsid w:val="59971C18"/>
    <w:rsid w:val="59AB2777"/>
    <w:rsid w:val="59C3217C"/>
    <w:rsid w:val="59C9560C"/>
    <w:rsid w:val="59E55AC6"/>
    <w:rsid w:val="5A3916BC"/>
    <w:rsid w:val="5ABA77FD"/>
    <w:rsid w:val="5B136F0D"/>
    <w:rsid w:val="5B4B66A7"/>
    <w:rsid w:val="5BA01834"/>
    <w:rsid w:val="5C2D3920"/>
    <w:rsid w:val="5C4D46FF"/>
    <w:rsid w:val="5C4F5402"/>
    <w:rsid w:val="5C4F5ACC"/>
    <w:rsid w:val="5C576F8B"/>
    <w:rsid w:val="5C5872CD"/>
    <w:rsid w:val="5C6E2DE7"/>
    <w:rsid w:val="5C734374"/>
    <w:rsid w:val="5CBF7984"/>
    <w:rsid w:val="5CD050B5"/>
    <w:rsid w:val="5CDF456F"/>
    <w:rsid w:val="5CFD1C22"/>
    <w:rsid w:val="5D047419"/>
    <w:rsid w:val="5D296978"/>
    <w:rsid w:val="5D572C78"/>
    <w:rsid w:val="5D740137"/>
    <w:rsid w:val="5D8F6D1E"/>
    <w:rsid w:val="5DE30E18"/>
    <w:rsid w:val="5E4C59D9"/>
    <w:rsid w:val="5E7F3237"/>
    <w:rsid w:val="5E8B689C"/>
    <w:rsid w:val="5EC17A8C"/>
    <w:rsid w:val="5ED857B0"/>
    <w:rsid w:val="5EDD1D0C"/>
    <w:rsid w:val="5EEA5E68"/>
    <w:rsid w:val="5EF141EA"/>
    <w:rsid w:val="5F0E693E"/>
    <w:rsid w:val="5F1542AB"/>
    <w:rsid w:val="5F24793A"/>
    <w:rsid w:val="5F4B72E8"/>
    <w:rsid w:val="5F5024DD"/>
    <w:rsid w:val="5F9253C0"/>
    <w:rsid w:val="5FA647F3"/>
    <w:rsid w:val="5FAD34DA"/>
    <w:rsid w:val="5FE4338E"/>
    <w:rsid w:val="5FF9AD50"/>
    <w:rsid w:val="603107DC"/>
    <w:rsid w:val="606C77EB"/>
    <w:rsid w:val="607246D5"/>
    <w:rsid w:val="60973303"/>
    <w:rsid w:val="60D20803"/>
    <w:rsid w:val="60F12D55"/>
    <w:rsid w:val="6116564E"/>
    <w:rsid w:val="6164264C"/>
    <w:rsid w:val="61DA2E9A"/>
    <w:rsid w:val="620F042E"/>
    <w:rsid w:val="62186662"/>
    <w:rsid w:val="623C1C3A"/>
    <w:rsid w:val="624A69D1"/>
    <w:rsid w:val="6262348A"/>
    <w:rsid w:val="62CA25A7"/>
    <w:rsid w:val="62CC631F"/>
    <w:rsid w:val="633030C8"/>
    <w:rsid w:val="63711318"/>
    <w:rsid w:val="63C92918"/>
    <w:rsid w:val="63E363CC"/>
    <w:rsid w:val="63F1728F"/>
    <w:rsid w:val="643001FF"/>
    <w:rsid w:val="6438051B"/>
    <w:rsid w:val="64915A72"/>
    <w:rsid w:val="64947310"/>
    <w:rsid w:val="649E4AAF"/>
    <w:rsid w:val="64A64644"/>
    <w:rsid w:val="64DB38CF"/>
    <w:rsid w:val="650B7121"/>
    <w:rsid w:val="650C4C14"/>
    <w:rsid w:val="652C12F7"/>
    <w:rsid w:val="653505E7"/>
    <w:rsid w:val="654523B9"/>
    <w:rsid w:val="65D10FAB"/>
    <w:rsid w:val="66680690"/>
    <w:rsid w:val="66BA2932"/>
    <w:rsid w:val="66CC2933"/>
    <w:rsid w:val="66DF3B52"/>
    <w:rsid w:val="66F61F38"/>
    <w:rsid w:val="670813FD"/>
    <w:rsid w:val="670F7122"/>
    <w:rsid w:val="6727621A"/>
    <w:rsid w:val="67493C51"/>
    <w:rsid w:val="67654716"/>
    <w:rsid w:val="67674868"/>
    <w:rsid w:val="6789784E"/>
    <w:rsid w:val="67EB36EB"/>
    <w:rsid w:val="67EE7D14"/>
    <w:rsid w:val="67F46030"/>
    <w:rsid w:val="6837565A"/>
    <w:rsid w:val="684626D0"/>
    <w:rsid w:val="68641294"/>
    <w:rsid w:val="687424E1"/>
    <w:rsid w:val="68AD6BF3"/>
    <w:rsid w:val="68F14A85"/>
    <w:rsid w:val="698C3C2D"/>
    <w:rsid w:val="69DB153D"/>
    <w:rsid w:val="69DC7CB1"/>
    <w:rsid w:val="69EE74C3"/>
    <w:rsid w:val="6A01397E"/>
    <w:rsid w:val="6A140854"/>
    <w:rsid w:val="6A3B4BD9"/>
    <w:rsid w:val="6A413A96"/>
    <w:rsid w:val="6A726F02"/>
    <w:rsid w:val="6AD77933"/>
    <w:rsid w:val="6B3233DF"/>
    <w:rsid w:val="6BE96194"/>
    <w:rsid w:val="6C297424"/>
    <w:rsid w:val="6C2D4E30"/>
    <w:rsid w:val="6C7621DF"/>
    <w:rsid w:val="6C787452"/>
    <w:rsid w:val="6C9F1808"/>
    <w:rsid w:val="6CAA5E1B"/>
    <w:rsid w:val="6CB0280D"/>
    <w:rsid w:val="6CBA1D63"/>
    <w:rsid w:val="6CC56A5C"/>
    <w:rsid w:val="6CEF4F0F"/>
    <w:rsid w:val="6CFC0175"/>
    <w:rsid w:val="6D077569"/>
    <w:rsid w:val="6D814635"/>
    <w:rsid w:val="6DAB59DE"/>
    <w:rsid w:val="6DAD31F1"/>
    <w:rsid w:val="6DB3694A"/>
    <w:rsid w:val="6DB952E1"/>
    <w:rsid w:val="6E1759AE"/>
    <w:rsid w:val="6E8300C9"/>
    <w:rsid w:val="6E997680"/>
    <w:rsid w:val="6EB45D89"/>
    <w:rsid w:val="6EB97B63"/>
    <w:rsid w:val="6EF15B11"/>
    <w:rsid w:val="6F4A3D42"/>
    <w:rsid w:val="6FC53BAD"/>
    <w:rsid w:val="6FF53207"/>
    <w:rsid w:val="6FFF582B"/>
    <w:rsid w:val="701C74B2"/>
    <w:rsid w:val="704020FA"/>
    <w:rsid w:val="70576B42"/>
    <w:rsid w:val="709A4E5B"/>
    <w:rsid w:val="70B52AE8"/>
    <w:rsid w:val="70CA2B57"/>
    <w:rsid w:val="70EF55D6"/>
    <w:rsid w:val="70FC4273"/>
    <w:rsid w:val="70FF2F8F"/>
    <w:rsid w:val="711517D9"/>
    <w:rsid w:val="715416A2"/>
    <w:rsid w:val="71572E91"/>
    <w:rsid w:val="719941B8"/>
    <w:rsid w:val="71F418A2"/>
    <w:rsid w:val="72113D4E"/>
    <w:rsid w:val="72190311"/>
    <w:rsid w:val="72304C44"/>
    <w:rsid w:val="727453D2"/>
    <w:rsid w:val="728347EC"/>
    <w:rsid w:val="72C75D24"/>
    <w:rsid w:val="72D7714C"/>
    <w:rsid w:val="72F53670"/>
    <w:rsid w:val="72FD42D3"/>
    <w:rsid w:val="737D6327"/>
    <w:rsid w:val="73CC483B"/>
    <w:rsid w:val="73E124E1"/>
    <w:rsid w:val="741E6BF6"/>
    <w:rsid w:val="7441186B"/>
    <w:rsid w:val="744E128A"/>
    <w:rsid w:val="74583459"/>
    <w:rsid w:val="745919DD"/>
    <w:rsid w:val="748464C0"/>
    <w:rsid w:val="748A6630"/>
    <w:rsid w:val="749649DF"/>
    <w:rsid w:val="74DD43BC"/>
    <w:rsid w:val="753A35BC"/>
    <w:rsid w:val="754578FB"/>
    <w:rsid w:val="7569258E"/>
    <w:rsid w:val="75761242"/>
    <w:rsid w:val="75911E94"/>
    <w:rsid w:val="75EB2F3C"/>
    <w:rsid w:val="760A0EAA"/>
    <w:rsid w:val="764E40FB"/>
    <w:rsid w:val="76680413"/>
    <w:rsid w:val="766F4887"/>
    <w:rsid w:val="768E5B8E"/>
    <w:rsid w:val="76DBE51B"/>
    <w:rsid w:val="772D4408"/>
    <w:rsid w:val="7758241F"/>
    <w:rsid w:val="77CD13AB"/>
    <w:rsid w:val="77FFD077"/>
    <w:rsid w:val="783F74D7"/>
    <w:rsid w:val="785866D5"/>
    <w:rsid w:val="785D6A0E"/>
    <w:rsid w:val="788259A6"/>
    <w:rsid w:val="78CF5537"/>
    <w:rsid w:val="78FE478C"/>
    <w:rsid w:val="79615030"/>
    <w:rsid w:val="79A01DE7"/>
    <w:rsid w:val="79A65463"/>
    <w:rsid w:val="79C515B9"/>
    <w:rsid w:val="7A0E4F5E"/>
    <w:rsid w:val="7A433E64"/>
    <w:rsid w:val="7A460355"/>
    <w:rsid w:val="7A562609"/>
    <w:rsid w:val="7A615FC4"/>
    <w:rsid w:val="7A684727"/>
    <w:rsid w:val="7A7A357F"/>
    <w:rsid w:val="7AA31808"/>
    <w:rsid w:val="7AA7002F"/>
    <w:rsid w:val="7AAD2296"/>
    <w:rsid w:val="7AB45BBF"/>
    <w:rsid w:val="7AC43368"/>
    <w:rsid w:val="7ADC31A8"/>
    <w:rsid w:val="7AE709F8"/>
    <w:rsid w:val="7B122BD8"/>
    <w:rsid w:val="7B610C8A"/>
    <w:rsid w:val="7B7E530C"/>
    <w:rsid w:val="7B8732D3"/>
    <w:rsid w:val="7BBC0A94"/>
    <w:rsid w:val="7BF02A89"/>
    <w:rsid w:val="7BF7B1D6"/>
    <w:rsid w:val="7C4A39BD"/>
    <w:rsid w:val="7C5C5C93"/>
    <w:rsid w:val="7CA37912"/>
    <w:rsid w:val="7CCC223C"/>
    <w:rsid w:val="7CD014D5"/>
    <w:rsid w:val="7CE111F7"/>
    <w:rsid w:val="7CE309DD"/>
    <w:rsid w:val="7D2B7EA5"/>
    <w:rsid w:val="7D3A137E"/>
    <w:rsid w:val="7D7F0DFF"/>
    <w:rsid w:val="7D8E26F7"/>
    <w:rsid w:val="7D985324"/>
    <w:rsid w:val="7D9F2623"/>
    <w:rsid w:val="7DC934DB"/>
    <w:rsid w:val="7DDF8381"/>
    <w:rsid w:val="7E284C0E"/>
    <w:rsid w:val="7E503E50"/>
    <w:rsid w:val="7E5C27F5"/>
    <w:rsid w:val="7EAA134C"/>
    <w:rsid w:val="7EDE145C"/>
    <w:rsid w:val="7EEC1DCB"/>
    <w:rsid w:val="7EED1FD5"/>
    <w:rsid w:val="7EF17881"/>
    <w:rsid w:val="7F062761"/>
    <w:rsid w:val="7F3726FE"/>
    <w:rsid w:val="7F3F07EA"/>
    <w:rsid w:val="7FA75CF2"/>
    <w:rsid w:val="7FB77874"/>
    <w:rsid w:val="9FFBE83E"/>
    <w:rsid w:val="BDEFADC8"/>
    <w:rsid w:val="BFF97CD1"/>
    <w:rsid w:val="DBCD63F5"/>
    <w:rsid w:val="DF5FFC19"/>
    <w:rsid w:val="F67A7800"/>
    <w:rsid w:val="F9FF682E"/>
    <w:rsid w:val="FB30441B"/>
    <w:rsid w:val="FBCFC7AD"/>
    <w:rsid w:val="FF86BC7C"/>
    <w:rsid w:val="FFCEB82A"/>
    <w:rsid w:val="FFF28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toa heading"/>
    <w:basedOn w:val="1"/>
    <w:next w:val="1"/>
    <w:unhideWhenUsed/>
    <w:qFormat/>
    <w:uiPriority w:val="99"/>
    <w:pPr>
      <w:spacing w:before="120"/>
    </w:pPr>
    <w:rPr>
      <w:rFonts w:ascii="Cambria" w:hAnsi="Cambria"/>
      <w:sz w:val="24"/>
      <w:szCs w:val="24"/>
    </w:rPr>
  </w:style>
  <w:style w:type="paragraph" w:styleId="18">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9">
    <w:name w:val="Body Text Indent"/>
    <w:basedOn w:val="1"/>
    <w:link w:val="77"/>
    <w:qFormat/>
    <w:uiPriority w:val="0"/>
    <w:pPr>
      <w:ind w:firstLine="570"/>
    </w:pPr>
    <w:rPr>
      <w:rFonts w:ascii="Times New Roman" w:hAnsi="Times New Roman"/>
      <w:sz w:val="28"/>
      <w:szCs w:val="20"/>
    </w:rPr>
  </w:style>
  <w:style w:type="paragraph" w:styleId="20">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2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2">
    <w:name w:val="Date"/>
    <w:basedOn w:val="1"/>
    <w:next w:val="1"/>
    <w:link w:val="75"/>
    <w:qFormat/>
    <w:uiPriority w:val="0"/>
    <w:rPr>
      <w:rFonts w:ascii="Times New Roman" w:hAnsi="Times New Roman"/>
      <w:szCs w:val="20"/>
    </w:rPr>
  </w:style>
  <w:style w:type="paragraph" w:styleId="23">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4">
    <w:name w:val="endnote text"/>
    <w:basedOn w:val="1"/>
    <w:link w:val="92"/>
    <w:qFormat/>
    <w:uiPriority w:val="0"/>
    <w:pPr>
      <w:snapToGrid w:val="0"/>
      <w:jc w:val="left"/>
    </w:pPr>
    <w:rPr>
      <w:rFonts w:ascii="Times New Roman" w:hAnsi="Times New Roman"/>
      <w:szCs w:val="20"/>
    </w:rPr>
  </w:style>
  <w:style w:type="paragraph" w:styleId="25">
    <w:name w:val="Balloon Text"/>
    <w:basedOn w:val="1"/>
    <w:link w:val="102"/>
    <w:qFormat/>
    <w:uiPriority w:val="0"/>
    <w:rPr>
      <w:rFonts w:ascii="Times New Roman" w:hAnsi="Times New Roman"/>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89"/>
    <w:qFormat/>
    <w:uiPriority w:val="0"/>
    <w:rPr>
      <w:rFonts w:ascii="宋体" w:hAnsi="宋体"/>
      <w:szCs w:val="24"/>
      <w:u w:val="single"/>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8"/>
    <w:next w:val="18"/>
    <w:link w:val="109"/>
    <w:qFormat/>
    <w:uiPriority w:val="0"/>
    <w:rPr>
      <w:b/>
      <w:bCs/>
    </w:rPr>
  </w:style>
  <w:style w:type="paragraph" w:styleId="35">
    <w:name w:val="Body Text First Indent 2"/>
    <w:basedOn w:val="19"/>
    <w:unhideWhenUsed/>
    <w:qFormat/>
    <w:uiPriority w:val="99"/>
    <w:pPr>
      <w:spacing w:after="120"/>
      <w:ind w:left="200" w:leftChars="200" w:firstLine="200" w:firstLineChars="200"/>
    </w:pPr>
    <w:rPr>
      <w:rFonts w:ascii="Calibri" w:hAnsi="Calibri"/>
      <w:color w:val="0D0D0D"/>
      <w:sz w:val="21"/>
      <w:szCs w:val="24"/>
      <w:lang w:eastAsia="en-U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7"/>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6"/>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2"/>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9"/>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3"/>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30"/>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2"/>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4"/>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5"/>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8"/>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9"/>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NormalCharacter"/>
    <w:qFormat/>
    <w:uiPriority w:val="0"/>
    <w:rPr>
      <w:rFonts w:ascii="Times New Roman" w:hAnsi="Times New Roman" w:eastAsia="宋体" w:cs="Times New Roman"/>
      <w:kern w:val="2"/>
      <w:sz w:val="21"/>
      <w:szCs w:val="22"/>
      <w:lang w:val="en-US" w:eastAsia="zh-CN" w:bidi="ar-SA"/>
    </w:rPr>
  </w:style>
  <w:style w:type="paragraph" w:customStyle="1" w:styleId="11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文一"/>
    <w:basedOn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5">
    <w:name w:val="_Style 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16">
    <w:name w:val="BodyText"/>
    <w:basedOn w:val="1"/>
    <w:qFormat/>
    <w:uiPriority w:val="0"/>
    <w:pPr>
      <w:spacing w:after="12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50761</Words>
  <Characters>53334</Characters>
  <Lines>2267</Lines>
  <Paragraphs>1743</Paragraphs>
  <TotalTime>69</TotalTime>
  <ScaleCrop>false</ScaleCrop>
  <LinksUpToDate>false</LinksUpToDate>
  <CharactersWithSpaces>56268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2024-12-18T00:40:00Z</dcterms:created>
  <dc:creator>administrator</dc:creator>
  <cp:lastModifiedBy>ALiu666666漢鑫啊</cp:lastModifiedBy>
  <dcterms:modified xsi:type="dcterms:W3CDTF">2025-11-10T08:54:56Z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A811DFCEFC7A461AA1F33AAB7497BF5A</vt:lpwstr>
  </property>
  <property fmtid="{D5CDD505-2E9C-101B-9397-08002B2CF9AE}" pid="4" name="KSOTemplateDocerSaveRecord">
    <vt:lpwstr>eyJoZGlkIjoiMDljYzUzMWQ4OWI0YzBkYjYzMDRhZTY5ZjZkYmFmYTgiLCJ1c2VySWQiOiIzMTEzODA2NTAifQ==</vt:lpwstr>
  </property>
</Properties>
</file>