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仿宋_GB2312" w:eastAsia="仿宋_GB2312" w:cs="仿宋_GB2312"/>
          <w:bCs/>
          <w:color w:val="auto"/>
          <w:sz w:val="48"/>
          <w:szCs w:val="48"/>
          <w:highlight w:val="none"/>
        </w:rPr>
      </w:pPr>
    </w:p>
    <w:p>
      <w:pPr>
        <w:pStyle w:val="19"/>
        <w:spacing w:line="660" w:lineRule="exact"/>
        <w:rPr>
          <w:rFonts w:ascii="方正小标宋简体" w:eastAsia="方正小标宋简体"/>
          <w:b w:val="0"/>
          <w:color w:val="auto"/>
          <w:sz w:val="44"/>
          <w:szCs w:val="48"/>
          <w:highlight w:val="none"/>
        </w:rPr>
      </w:pPr>
      <w:r>
        <w:rPr>
          <w:rFonts w:hint="eastAsia" w:ascii="方正小标宋简体" w:eastAsia="方正小标宋简体"/>
          <w:b w:val="0"/>
          <w:color w:val="auto"/>
          <w:sz w:val="44"/>
          <w:szCs w:val="48"/>
          <w:highlight w:val="none"/>
        </w:rPr>
        <w:t>广州市城市排水有限公司</w:t>
      </w:r>
      <w:bookmarkStart w:id="0" w:name="_Hlk53756383"/>
    </w:p>
    <w:bookmarkEnd w:id="0"/>
    <w:p>
      <w:pPr>
        <w:pStyle w:val="19"/>
        <w:spacing w:line="660" w:lineRule="exact"/>
        <w:rPr>
          <w:rFonts w:ascii="方正小标宋简体" w:eastAsia="方正小标宋简体"/>
          <w:b w:val="0"/>
          <w:color w:val="auto"/>
          <w:sz w:val="44"/>
          <w:szCs w:val="48"/>
          <w:highlight w:val="none"/>
        </w:rPr>
      </w:pPr>
      <w:sdt>
        <w:sdtPr>
          <w:rPr>
            <w:rFonts w:hint="eastAsia" w:ascii="方正小标宋简体" w:eastAsia="方正小标宋简体"/>
            <w:b w:val="0"/>
            <w:color w:val="auto"/>
            <w:sz w:val="44"/>
            <w:szCs w:val="48"/>
            <w:highlight w:val="none"/>
          </w:rPr>
          <w:alias w:val="合同标题"/>
          <w:tag w:val="合同标题"/>
          <w:id w:val="1117339535"/>
          <w:placeholder>
            <w:docPart w:val="1E21E5D97A5D4BD5B798F71EC12A7116"/>
          </w:placeholder>
          <w:comboBox>
            <w:listItem w:displayText="建筑施工/维修维护" w:value="建筑施工/维修维护"/>
            <w:listItem w:displayText="排水设施维修" w:value="排水设施维修"/>
            <w:listItem w:displayText="机电设备维修维护" w:value="机电设备维修维护"/>
            <w:listItem w:displayText="装修/修缮" w:value="装修/修缮"/>
            <w:listItem w:displayText="施工" w:value="施工"/>
            <w:listItem w:displayText="建筑施工" w:value="建筑施工"/>
          </w:comboBox>
        </w:sdtPr>
        <w:sdtEndPr>
          <w:rPr>
            <w:rFonts w:hint="eastAsia" w:ascii="方正小标宋简体" w:eastAsia="方正小标宋简体"/>
            <w:b w:val="0"/>
            <w:color w:val="auto"/>
            <w:sz w:val="44"/>
            <w:szCs w:val="48"/>
            <w:highlight w:val="none"/>
          </w:rPr>
        </w:sdtEndPr>
        <w:sdtContent>
          <w:r>
            <w:rPr>
              <w:rFonts w:hint="eastAsia" w:ascii="方正小标宋简体" w:eastAsia="方正小标宋简体"/>
              <w:b w:val="0"/>
              <w:color w:val="auto"/>
              <w:sz w:val="44"/>
              <w:szCs w:val="48"/>
              <w:highlight w:val="none"/>
            </w:rPr>
            <w:t>建筑施工/维修维护</w:t>
          </w:r>
        </w:sdtContent>
      </w:sdt>
      <w:r>
        <w:rPr>
          <w:rFonts w:hint="eastAsia" w:ascii="方正小标宋简体" w:eastAsia="方正小标宋简体"/>
          <w:b w:val="0"/>
          <w:color w:val="auto"/>
          <w:sz w:val="44"/>
          <w:szCs w:val="48"/>
          <w:highlight w:val="none"/>
        </w:rPr>
        <w:t>合同</w:t>
      </w:r>
    </w:p>
    <w:p>
      <w:pPr>
        <w:rPr>
          <w:rFonts w:ascii="仿宋_GB2312" w:hAnsi="仿宋_GB2312" w:eastAsia="仿宋_GB2312" w:cs="仿宋_GB2312"/>
          <w:bCs/>
          <w:color w:val="auto"/>
          <w:highlight w:val="none"/>
        </w:rPr>
      </w:pPr>
    </w:p>
    <w:p>
      <w:pPr>
        <w:spacing w:line="400" w:lineRule="atLeast"/>
        <w:jc w:val="center"/>
        <w:rPr>
          <w:rFonts w:ascii="仿宋_GB2312" w:hAnsi="仿宋_GB2312" w:eastAsia="仿宋_GB2312" w:cs="仿宋_GB2312"/>
          <w:bCs/>
          <w:color w:val="auto"/>
          <w:sz w:val="28"/>
          <w:highlight w:val="none"/>
        </w:rPr>
      </w:pPr>
    </w:p>
    <w:p>
      <w:pPr>
        <w:spacing w:line="400" w:lineRule="atLeast"/>
        <w:jc w:val="both"/>
        <w:rPr>
          <w:rFonts w:ascii="仿宋_GB2312" w:hAnsi="仿宋_GB2312" w:eastAsia="仿宋_GB2312" w:cs="仿宋_GB2312"/>
          <w:bCs/>
          <w:color w:val="auto"/>
          <w:sz w:val="28"/>
          <w:highlight w:val="none"/>
        </w:rPr>
      </w:pPr>
    </w:p>
    <w:p>
      <w:pPr>
        <w:spacing w:line="400" w:lineRule="atLeast"/>
        <w:jc w:val="center"/>
        <w:rPr>
          <w:rFonts w:ascii="仿宋_GB2312" w:hAnsi="仿宋_GB2312" w:eastAsia="仿宋_GB2312" w:cs="仿宋_GB2312"/>
          <w:bCs/>
          <w:color w:val="auto"/>
          <w:sz w:val="28"/>
          <w:highlight w:val="none"/>
        </w:rPr>
      </w:pPr>
    </w:p>
    <w:p>
      <w:pPr>
        <w:spacing w:line="0" w:lineRule="atLeast"/>
        <w:rPr>
          <w:rFonts w:ascii="仿宋_GB2312" w:hAnsi="仿宋_GB2312" w:eastAsia="仿宋_GB2312" w:cs="仿宋_GB2312"/>
          <w:bCs/>
          <w:color w:val="auto"/>
          <w:sz w:val="30"/>
          <w:highlight w:val="none"/>
        </w:rPr>
      </w:pPr>
    </w:p>
    <w:p>
      <w:pPr>
        <w:autoSpaceDE w:val="0"/>
        <w:autoSpaceDN w:val="0"/>
        <w:adjustRightInd w:val="0"/>
        <w:spacing w:line="720" w:lineRule="auto"/>
        <w:ind w:left="1506" w:hanging="1506" w:hangingChars="500"/>
        <w:jc w:val="left"/>
        <w:rPr>
          <w:rFonts w:ascii="仿宋_GB2312" w:hAnsi="仿宋_GB2312" w:eastAsia="仿宋_GB2312" w:cs="仿宋_GB2312"/>
          <w:b/>
          <w:color w:val="auto"/>
          <w:sz w:val="30"/>
          <w:szCs w:val="30"/>
          <w:highlight w:val="none"/>
          <w:u w:val="single"/>
        </w:rPr>
      </w:pPr>
      <w:r>
        <w:rPr>
          <w:rFonts w:hint="eastAsia" w:ascii="仿宋_GB2312" w:hAnsi="仿宋_GB2312" w:eastAsia="仿宋_GB2312" w:cs="仿宋_GB2312"/>
          <w:b/>
          <w:color w:val="auto"/>
          <w:sz w:val="30"/>
          <w:szCs w:val="30"/>
          <w:highlight w:val="none"/>
        </w:rPr>
        <w:t>项目名称：</w:t>
      </w:r>
      <w:sdt>
        <w:sdtPr>
          <w:rPr>
            <w:rFonts w:hint="eastAsia" w:ascii="仿宋_GB2312" w:hAnsi="仿宋_GB2312" w:eastAsia="仿宋_GB2312" w:cs="仿宋_GB2312"/>
            <w:b/>
            <w:color w:val="auto"/>
            <w:sz w:val="30"/>
            <w:szCs w:val="30"/>
            <w:highlight w:val="none"/>
            <w:u w:val="single"/>
          </w:rPr>
          <w:id w:val="717169419"/>
          <w:placeholder>
            <w:docPart w:val="77EBC40E322C473B8D77EDBA95158E32"/>
          </w:placeholder>
        </w:sdtPr>
        <w:sdtEndPr>
          <w:rPr>
            <w:rFonts w:hint="eastAsia" w:ascii="仿宋_GB2312" w:hAnsi="仿宋_GB2312" w:eastAsia="仿宋_GB2312" w:cs="仿宋_GB2312"/>
            <w:b/>
            <w:color w:val="auto"/>
            <w:sz w:val="30"/>
            <w:szCs w:val="30"/>
            <w:highlight w:val="none"/>
            <w:u w:val="single"/>
          </w:rPr>
        </w:sdtEndPr>
        <w:sdtContent>
          <w:r>
            <w:rPr>
              <w:rFonts w:ascii="仿宋_GB2312" w:hAnsi="仿宋_GB2312" w:eastAsia="仿宋_GB2312" w:cs="仿宋_GB2312"/>
              <w:b/>
              <w:color w:val="auto"/>
              <w:sz w:val="30"/>
              <w:szCs w:val="30"/>
              <w:highlight w:val="none"/>
              <w:u w:val="single"/>
            </w:rPr>
            <w:t xml:space="preserve">   </w:t>
          </w:r>
          <w:r>
            <w:rPr>
              <w:rFonts w:hint="eastAsia" w:ascii="仿宋_GB2312" w:hAnsi="仿宋_GB2312" w:eastAsia="仿宋_GB2312" w:cs="仿宋_GB2312"/>
              <w:b/>
              <w:color w:val="auto"/>
              <w:sz w:val="30"/>
              <w:szCs w:val="30"/>
              <w:highlight w:val="none"/>
              <w:u w:val="single"/>
            </w:rPr>
            <w:t>202</w:t>
          </w:r>
          <w:r>
            <w:rPr>
              <w:rFonts w:hint="eastAsia" w:ascii="仿宋_GB2312" w:hAnsi="仿宋_GB2312" w:eastAsia="仿宋_GB2312" w:cs="仿宋_GB2312"/>
              <w:b/>
              <w:color w:val="auto"/>
              <w:sz w:val="30"/>
              <w:szCs w:val="30"/>
              <w:highlight w:val="none"/>
              <w:u w:val="single"/>
              <w:lang w:val="en-US" w:eastAsia="zh-CN"/>
            </w:rPr>
            <w:t>3年排水设施大中修及技改项目</w:t>
          </w:r>
          <w:r>
            <w:rPr>
              <w:rFonts w:hint="eastAsia" w:ascii="仿宋_GB2312" w:hAnsi="仿宋_GB2312" w:eastAsia="仿宋_GB2312" w:cs="仿宋_GB2312"/>
              <w:b/>
              <w:color w:val="auto"/>
              <w:sz w:val="30"/>
              <w:szCs w:val="30"/>
              <w:highlight w:val="none"/>
              <w:u w:val="single"/>
            </w:rPr>
            <w:t xml:space="preserve"> </w:t>
          </w:r>
          <w:r>
            <w:rPr>
              <w:rFonts w:ascii="仿宋_GB2312" w:hAnsi="仿宋_GB2312" w:eastAsia="仿宋_GB2312" w:cs="仿宋_GB2312"/>
              <w:b/>
              <w:color w:val="auto"/>
              <w:sz w:val="30"/>
              <w:szCs w:val="30"/>
              <w:highlight w:val="none"/>
              <w:u w:val="single"/>
            </w:rPr>
            <w:t xml:space="preserve">    </w:t>
          </w:r>
        </w:sdtContent>
      </w:sdt>
    </w:p>
    <w:p>
      <w:pPr>
        <w:autoSpaceDE w:val="0"/>
        <w:autoSpaceDN w:val="0"/>
        <w:adjustRightInd w:val="0"/>
        <w:spacing w:line="720" w:lineRule="auto"/>
        <w:ind w:left="1506" w:hanging="1506" w:hangingChars="500"/>
        <w:jc w:val="left"/>
        <w:rPr>
          <w:rFonts w:ascii="仿宋_GB2312" w:hAnsi="仿宋_GB2312" w:eastAsia="仿宋_GB2312" w:cs="仿宋_GB2312"/>
          <w:b/>
          <w:color w:val="auto"/>
          <w:sz w:val="30"/>
          <w:szCs w:val="30"/>
          <w:highlight w:val="none"/>
          <w:u w:val="single"/>
        </w:rPr>
      </w:pPr>
      <w:r>
        <w:rPr>
          <w:rFonts w:hint="eastAsia" w:ascii="仿宋_GB2312" w:hAnsi="仿宋_GB2312" w:eastAsia="仿宋_GB2312" w:cs="仿宋_GB2312"/>
          <w:b/>
          <w:color w:val="auto"/>
          <w:sz w:val="30"/>
          <w:szCs w:val="30"/>
          <w:highlight w:val="none"/>
        </w:rPr>
        <w:t>项目编号：</w:t>
      </w:r>
      <w:r>
        <w:rPr>
          <w:rFonts w:hint="eastAsia" w:ascii="仿宋_GB2312" w:hAnsi="仿宋_GB2312" w:eastAsia="仿宋_GB2312" w:cs="仿宋_GB2312"/>
          <w:b/>
          <w:color w:val="auto"/>
          <w:sz w:val="30"/>
          <w:szCs w:val="30"/>
          <w:highlight w:val="none"/>
          <w:u w:val="single"/>
        </w:rPr>
        <w:t xml:space="preserve">              </w:t>
      </w:r>
      <w:r>
        <w:rPr>
          <w:rFonts w:ascii="仿宋_GB2312" w:hAnsi="仿宋_GB2312" w:eastAsia="仿宋_GB2312" w:cs="仿宋_GB2312"/>
          <w:b/>
          <w:color w:val="auto"/>
          <w:sz w:val="30"/>
          <w:szCs w:val="30"/>
          <w:highlight w:val="none"/>
          <w:u w:val="single"/>
        </w:rPr>
        <w:t xml:space="preserve">                          </w:t>
      </w:r>
    </w:p>
    <w:p>
      <w:pPr>
        <w:spacing w:line="720" w:lineRule="auto"/>
        <w:ind w:left="1506" w:hanging="1506" w:hangingChars="500"/>
        <w:rPr>
          <w:rFonts w:ascii="仿宋_GB2312" w:hAnsi="仿宋_GB2312" w:eastAsia="仿宋_GB2312" w:cs="仿宋_GB2312"/>
          <w:b/>
          <w:color w:val="auto"/>
          <w:sz w:val="30"/>
          <w:szCs w:val="30"/>
          <w:highlight w:val="none"/>
          <w:u w:val="single"/>
        </w:rPr>
      </w:pPr>
      <w:r>
        <w:rPr>
          <w:rFonts w:hint="eastAsia" w:ascii="仿宋_GB2312" w:hAnsi="仿宋_GB2312" w:eastAsia="仿宋_GB2312" w:cs="仿宋_GB2312"/>
          <w:b/>
          <w:color w:val="auto"/>
          <w:sz w:val="30"/>
          <w:highlight w:val="none"/>
        </w:rPr>
        <w:t>合同编号</w:t>
      </w:r>
      <w:r>
        <w:rPr>
          <w:rFonts w:hint="eastAsia" w:ascii="仿宋_GB2312" w:hAnsi="仿宋_GB2312" w:eastAsia="仿宋_GB2312" w:cs="仿宋_GB2312"/>
          <w:b/>
          <w:color w:val="auto"/>
          <w:sz w:val="36"/>
          <w:highlight w:val="none"/>
        </w:rPr>
        <w:t>：</w:t>
      </w:r>
      <w:r>
        <w:rPr>
          <w:rFonts w:hint="eastAsia" w:ascii="仿宋_GB2312" w:hAnsi="仿宋_GB2312" w:eastAsia="仿宋_GB2312" w:cs="仿宋_GB2312"/>
          <w:b/>
          <w:color w:val="auto"/>
          <w:sz w:val="30"/>
          <w:szCs w:val="30"/>
          <w:highlight w:val="none"/>
          <w:u w:val="single"/>
        </w:rPr>
        <w:t xml:space="preserve">    </w:t>
      </w:r>
      <w:r>
        <w:rPr>
          <w:rFonts w:hint="eastAsia" w:ascii="仿宋_GB2312" w:hAnsi="仿宋_GB2312" w:eastAsia="仿宋_GB2312" w:cs="仿宋_GB2312"/>
          <w:b/>
          <w:color w:val="auto"/>
          <w:sz w:val="30"/>
          <w:szCs w:val="30"/>
          <w:highlight w:val="none"/>
          <w:u w:val="single"/>
          <w:lang w:val="en-US" w:eastAsia="zh-CN"/>
        </w:rPr>
        <w:t xml:space="preserve">                          </w:t>
      </w:r>
      <w:r>
        <w:rPr>
          <w:rFonts w:hint="eastAsia" w:ascii="仿宋_GB2312" w:hAnsi="仿宋_GB2312" w:eastAsia="仿宋_GB2312" w:cs="仿宋_GB2312"/>
          <w:b/>
          <w:color w:val="auto"/>
          <w:sz w:val="30"/>
          <w:szCs w:val="30"/>
          <w:highlight w:val="none"/>
          <w:u w:val="single"/>
        </w:rPr>
        <w:t xml:space="preserve">       </w:t>
      </w:r>
      <w:r>
        <w:rPr>
          <w:rFonts w:ascii="仿宋_GB2312" w:hAnsi="仿宋_GB2312" w:eastAsia="仿宋_GB2312" w:cs="仿宋_GB2312"/>
          <w:b/>
          <w:color w:val="auto"/>
          <w:sz w:val="30"/>
          <w:szCs w:val="30"/>
          <w:highlight w:val="none"/>
          <w:u w:val="single"/>
        </w:rPr>
        <w:t xml:space="preserve">  </w:t>
      </w:r>
      <w:r>
        <w:rPr>
          <w:rFonts w:hint="eastAsia" w:ascii="仿宋_GB2312" w:hAnsi="仿宋_GB2312" w:eastAsia="仿宋_GB2312" w:cs="仿宋_GB2312"/>
          <w:b/>
          <w:color w:val="auto"/>
          <w:sz w:val="30"/>
          <w:szCs w:val="30"/>
          <w:highlight w:val="none"/>
          <w:u w:val="single"/>
        </w:rPr>
        <w:t xml:space="preserve"> </w:t>
      </w:r>
    </w:p>
    <w:p>
      <w:pPr>
        <w:spacing w:line="720" w:lineRule="auto"/>
        <w:rPr>
          <w:rFonts w:ascii="仿宋_GB2312" w:hAnsi="仿宋_GB2312" w:eastAsia="仿宋_GB2312" w:cs="仿宋_GB2312"/>
          <w:b/>
          <w:color w:val="auto"/>
          <w:sz w:val="30"/>
          <w:szCs w:val="30"/>
          <w:highlight w:val="none"/>
          <w:u w:val="single"/>
        </w:rPr>
      </w:pPr>
      <w:r>
        <w:rPr>
          <w:rFonts w:hint="eastAsia" w:ascii="仿宋_GB2312" w:hAnsi="仿宋_GB2312" w:eastAsia="仿宋_GB2312" w:cs="仿宋_GB2312"/>
          <w:b/>
          <w:color w:val="auto"/>
          <w:sz w:val="30"/>
          <w:highlight w:val="none"/>
        </w:rPr>
        <w:t>发包人：</w:t>
      </w:r>
      <w:r>
        <w:rPr>
          <w:rFonts w:hint="eastAsia" w:ascii="仿宋_GB2312" w:hAnsi="仿宋_GB2312" w:eastAsia="仿宋_GB2312" w:cs="仿宋_GB2312"/>
          <w:b/>
          <w:color w:val="auto"/>
          <w:sz w:val="30"/>
          <w:szCs w:val="30"/>
          <w:highlight w:val="none"/>
          <w:u w:val="single"/>
        </w:rPr>
        <w:t xml:space="preserve">        广州市城市排水有限公司            </w:t>
      </w:r>
    </w:p>
    <w:p>
      <w:pPr>
        <w:spacing w:line="720" w:lineRule="auto"/>
        <w:rPr>
          <w:rFonts w:ascii="仿宋_GB2312" w:hAnsi="仿宋_GB2312" w:eastAsia="仿宋_GB2312" w:cs="仿宋_GB2312"/>
          <w:b/>
          <w:color w:val="auto"/>
          <w:sz w:val="30"/>
          <w:szCs w:val="30"/>
          <w:highlight w:val="none"/>
          <w:u w:val="single"/>
        </w:rPr>
      </w:pPr>
      <w:r>
        <w:rPr>
          <w:rFonts w:hint="eastAsia" w:ascii="仿宋_GB2312" w:hAnsi="仿宋_GB2312" w:eastAsia="仿宋_GB2312" w:cs="仿宋_GB2312"/>
          <w:b/>
          <w:color w:val="auto"/>
          <w:sz w:val="30"/>
          <w:highlight w:val="none"/>
        </w:rPr>
        <w:t>承包人：</w:t>
      </w:r>
      <w:r>
        <w:rPr>
          <w:rFonts w:hint="eastAsia" w:ascii="仿宋_GB2312" w:hAnsi="仿宋_GB2312" w:eastAsia="仿宋_GB2312" w:cs="仿宋_GB2312"/>
          <w:b/>
          <w:color w:val="auto"/>
          <w:sz w:val="30"/>
          <w:highlight w:val="none"/>
          <w:u w:val="single"/>
        </w:rPr>
        <w:t xml:space="preserve">        </w:t>
      </w:r>
      <w:r>
        <w:rPr>
          <w:rFonts w:hint="eastAsia" w:ascii="仿宋_GB2312" w:hAnsi="仿宋_GB2312" w:eastAsia="仿宋_GB2312" w:cs="仿宋_GB2312"/>
          <w:b/>
          <w:color w:val="auto"/>
          <w:sz w:val="30"/>
          <w:highlight w:val="none"/>
          <w:u w:val="single"/>
          <w:lang w:val="en-US" w:eastAsia="zh-CN"/>
        </w:rPr>
        <w:t xml:space="preserve">                        </w:t>
      </w:r>
      <w:r>
        <w:rPr>
          <w:rFonts w:hint="eastAsia" w:ascii="仿宋_GB2312" w:hAnsi="仿宋_GB2312" w:eastAsia="仿宋_GB2312" w:cs="仿宋_GB2312"/>
          <w:b/>
          <w:color w:val="auto"/>
          <w:sz w:val="30"/>
          <w:highlight w:val="none"/>
          <w:u w:val="single"/>
        </w:rPr>
        <w:t xml:space="preserve">          </w:t>
      </w:r>
    </w:p>
    <w:p>
      <w:pPr>
        <w:spacing w:line="720" w:lineRule="auto"/>
        <w:rPr>
          <w:rFonts w:ascii="仿宋_GB2312" w:hAnsi="仿宋_GB2312" w:eastAsia="仿宋_GB2312" w:cs="仿宋_GB2312"/>
          <w:b/>
          <w:color w:val="auto"/>
          <w:sz w:val="30"/>
          <w:highlight w:val="none"/>
          <w:u w:val="single"/>
        </w:rPr>
      </w:pPr>
      <w:r>
        <w:rPr>
          <w:rFonts w:hint="eastAsia" w:ascii="仿宋_GB2312" w:hAnsi="仿宋_GB2312" w:eastAsia="仿宋_GB2312" w:cs="仿宋_GB2312"/>
          <w:b/>
          <w:color w:val="auto"/>
          <w:sz w:val="30"/>
          <w:highlight w:val="none"/>
        </w:rPr>
        <w:t>签订日期：</w:t>
      </w:r>
      <w:r>
        <w:rPr>
          <w:rFonts w:hint="eastAsia" w:ascii="仿宋_GB2312" w:hAnsi="仿宋_GB2312" w:eastAsia="仿宋_GB2312" w:cs="仿宋_GB2312"/>
          <w:b/>
          <w:color w:val="auto"/>
          <w:sz w:val="30"/>
          <w:highlight w:val="none"/>
          <w:u w:val="single"/>
        </w:rPr>
        <w:t xml:space="preserve">         </w:t>
      </w:r>
      <w:r>
        <w:rPr>
          <w:rFonts w:ascii="仿宋_GB2312" w:hAnsi="仿宋_GB2312" w:eastAsia="仿宋_GB2312" w:cs="仿宋_GB2312"/>
          <w:b/>
          <w:color w:val="auto"/>
          <w:sz w:val="30"/>
          <w:highlight w:val="none"/>
          <w:u w:val="single"/>
        </w:rPr>
        <w:t xml:space="preserve"> </w:t>
      </w:r>
      <w:r>
        <w:rPr>
          <w:rFonts w:hint="eastAsia" w:ascii="仿宋_GB2312" w:hAnsi="仿宋_GB2312" w:eastAsia="仿宋_GB2312" w:cs="仿宋_GB2312"/>
          <w:b/>
          <w:color w:val="auto"/>
          <w:sz w:val="30"/>
          <w:highlight w:val="none"/>
          <w:u w:val="single"/>
          <w:lang w:val="en-US" w:eastAsia="zh-CN"/>
        </w:rPr>
        <w:t xml:space="preserve">                </w:t>
      </w:r>
      <w:r>
        <w:rPr>
          <w:rFonts w:hint="eastAsia" w:ascii="仿宋_GB2312" w:hAnsi="仿宋_GB2312" w:eastAsia="仿宋_GB2312" w:cs="仿宋_GB2312"/>
          <w:b/>
          <w:color w:val="auto"/>
          <w:sz w:val="30"/>
          <w:highlight w:val="none"/>
          <w:u w:val="single"/>
        </w:rPr>
        <w:t xml:space="preserve">              </w:t>
      </w:r>
    </w:p>
    <w:p>
      <w:pPr>
        <w:spacing w:line="720" w:lineRule="auto"/>
        <w:rPr>
          <w:rFonts w:ascii="仿宋_GB2312" w:hAnsi="仿宋_GB2312" w:eastAsia="仿宋_GB2312" w:cs="仿宋_GB2312"/>
          <w:b/>
          <w:color w:val="auto"/>
          <w:sz w:val="30"/>
          <w:highlight w:val="none"/>
        </w:rPr>
      </w:pPr>
      <w:r>
        <w:rPr>
          <w:rFonts w:hint="eastAsia" w:ascii="仿宋_GB2312" w:hAnsi="仿宋_GB2312" w:eastAsia="仿宋_GB2312" w:cs="仿宋_GB2312"/>
          <w:b/>
          <w:color w:val="auto"/>
          <w:sz w:val="30"/>
          <w:highlight w:val="none"/>
        </w:rPr>
        <w:t>签订地点：广州市</w:t>
      </w:r>
    </w:p>
    <w:p>
      <w:pPr>
        <w:widowControl/>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br w:type="page"/>
      </w:r>
    </w:p>
    <w:p>
      <w:pPr>
        <w:spacing w:line="36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发包人：广州市城市排水有限公司</w:t>
      </w:r>
    </w:p>
    <w:p>
      <w:pPr>
        <w:spacing w:line="360" w:lineRule="auto"/>
        <w:rPr>
          <w:rFonts w:ascii="仿宋_GB2312" w:hAnsi="仿宋_GB2312" w:eastAsia="仿宋_GB2312" w:cs="仿宋_GB2312"/>
          <w:bCs/>
          <w:color w:val="auto"/>
          <w:sz w:val="24"/>
          <w:highlight w:val="none"/>
          <w:u w:val="single"/>
        </w:rPr>
      </w:pPr>
      <w:r>
        <w:rPr>
          <w:rFonts w:hint="eastAsia" w:ascii="仿宋_GB2312" w:hAnsi="仿宋_GB2312" w:eastAsia="仿宋_GB2312" w:cs="仿宋_GB2312"/>
          <w:bCs/>
          <w:color w:val="auto"/>
          <w:sz w:val="24"/>
          <w:highlight w:val="none"/>
        </w:rPr>
        <w:t>承包人：</w:t>
      </w:r>
    </w:p>
    <w:p>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发包人通过</w:t>
      </w:r>
      <w:sdt>
        <w:sdtPr>
          <w:rPr>
            <w:rFonts w:hint="eastAsia" w:ascii="仿宋_GB2312" w:hAnsi="仿宋_GB2312" w:eastAsia="仿宋_GB2312" w:cs="仿宋_GB2312"/>
            <w:bCs/>
            <w:color w:val="auto"/>
            <w:sz w:val="24"/>
            <w:highlight w:val="none"/>
            <w:u w:val="single"/>
          </w:rPr>
          <w:id w:val="-857575234"/>
          <w:placeholder>
            <w:docPart w:val="208D16B10ECA40B7ADCD728C8A3AD56F"/>
          </w:placeholder>
          <w:comboBox>
            <w:listItem w:displayText="单源直接采购/询比方式/…" w:value="单源直接采购/询比方式/…"/>
            <w:listItem w:displayText="单源直接采购方式" w:value="单源直接采购方式"/>
            <w:listItem w:displayText="询比采购方式" w:value="询比采购方式"/>
            <w:listItem w:displayText="“阳光采购平台”询比采购方式" w:value="“阳光采购平台”询比采购方式"/>
          </w:comboBox>
        </w:sdtPr>
        <w:sdtEndPr>
          <w:rPr>
            <w:rFonts w:hint="eastAsia" w:ascii="仿宋_GB2312" w:hAnsi="仿宋_GB2312" w:eastAsia="仿宋_GB2312" w:cs="仿宋_GB2312"/>
            <w:bCs/>
            <w:color w:val="auto"/>
            <w:sz w:val="24"/>
            <w:highlight w:val="none"/>
            <w:u w:val="single"/>
          </w:rPr>
        </w:sdtEndPr>
        <w:sdtContent>
          <w:r>
            <w:rPr>
              <w:rFonts w:hint="eastAsia" w:ascii="仿宋_GB2312" w:hAnsi="仿宋_GB2312" w:eastAsia="仿宋_GB2312" w:cs="仿宋_GB2312"/>
              <w:bCs/>
              <w:color w:val="auto"/>
              <w:sz w:val="24"/>
              <w:highlight w:val="none"/>
              <w:u w:val="single"/>
            </w:rPr>
            <w:t>公开招标</w:t>
          </w:r>
        </w:sdtContent>
      </w:sdt>
      <w:r>
        <w:rPr>
          <w:rFonts w:hint="eastAsia" w:ascii="仿宋_GB2312" w:hAnsi="仿宋_GB2312" w:eastAsia="仿宋_GB2312" w:cs="仿宋_GB2312"/>
          <w:bCs/>
          <w:color w:val="auto"/>
          <w:sz w:val="24"/>
          <w:highlight w:val="none"/>
        </w:rPr>
        <w:t>确认承包人承担</w:t>
      </w:r>
      <w:bookmarkStart w:id="1" w:name="_Hlk82457827"/>
      <w:sdt>
        <w:sdtPr>
          <w:rPr>
            <w:rFonts w:hint="eastAsia" w:ascii="仿宋_GB2312" w:hAnsi="仿宋_GB2312" w:eastAsia="仿宋_GB2312" w:cs="仿宋_GB2312"/>
            <w:bCs/>
            <w:color w:val="auto"/>
            <w:sz w:val="24"/>
            <w:highlight w:val="none"/>
            <w:u w:val="single" w:color="FF0000"/>
          </w:rPr>
          <w:id w:val="610867826"/>
          <w:placeholder>
            <w:docPart w:val="0BCAC0AA667341E0B6121D39FAF47F7A"/>
          </w:placeholder>
        </w:sdtPr>
        <w:sdtEndPr>
          <w:rPr>
            <w:rFonts w:hint="default" w:ascii="仿宋_GB2312" w:hAnsi="仿宋_GB2312" w:eastAsia="仿宋_GB2312" w:cs="仿宋_GB2312"/>
            <w:bCs/>
            <w:color w:val="auto"/>
            <w:sz w:val="24"/>
            <w:highlight w:val="none"/>
            <w:u w:val="single" w:color="FF0000"/>
            <w:lang w:val="en-US"/>
          </w:rPr>
        </w:sdtEndPr>
        <w:sdtContent>
          <w:r>
            <w:rPr>
              <w:rFonts w:hint="eastAsia" w:ascii="仿宋_GB2312" w:hAnsi="仿宋_GB2312" w:eastAsia="仿宋_GB2312" w:cs="仿宋_GB2312"/>
              <w:bCs/>
              <w:color w:val="auto"/>
              <w:sz w:val="24"/>
              <w:highlight w:val="none"/>
              <w:u w:val="single"/>
            </w:rPr>
            <w:t>202</w:t>
          </w:r>
          <w:r>
            <w:rPr>
              <w:rFonts w:hint="eastAsia" w:ascii="仿宋_GB2312" w:hAnsi="仿宋_GB2312" w:eastAsia="仿宋_GB2312" w:cs="仿宋_GB2312"/>
              <w:bCs/>
              <w:color w:val="auto"/>
              <w:sz w:val="24"/>
              <w:highlight w:val="none"/>
              <w:u w:val="single"/>
              <w:lang w:val="en-US" w:eastAsia="zh-CN"/>
            </w:rPr>
            <w:t>3</w:t>
          </w:r>
          <w:r>
            <w:rPr>
              <w:rFonts w:hint="eastAsia" w:ascii="仿宋_GB2312" w:hAnsi="仿宋_GB2312" w:eastAsia="仿宋_GB2312" w:cs="仿宋_GB2312"/>
              <w:bCs/>
              <w:color w:val="auto"/>
              <w:sz w:val="24"/>
              <w:highlight w:val="none"/>
              <w:u w:val="single"/>
            </w:rPr>
            <w:t>年</w:t>
          </w:r>
          <w:r>
            <w:rPr>
              <w:rFonts w:hint="eastAsia" w:ascii="仿宋_GB2312" w:hAnsi="仿宋_GB2312" w:eastAsia="仿宋_GB2312" w:cs="仿宋_GB2312"/>
              <w:bCs/>
              <w:color w:val="auto"/>
              <w:sz w:val="24"/>
              <w:highlight w:val="none"/>
              <w:u w:val="single"/>
              <w:lang w:val="en-US" w:eastAsia="zh-CN"/>
            </w:rPr>
            <w:t>排水设施大中修及技改</w:t>
          </w:r>
        </w:sdtContent>
      </w:sdt>
      <w:bookmarkEnd w:id="1"/>
      <w:r>
        <w:rPr>
          <w:rFonts w:hint="eastAsia" w:ascii="仿宋_GB2312" w:hAnsi="仿宋_GB2312" w:eastAsia="仿宋_GB2312" w:cs="仿宋_GB2312"/>
          <w:bCs/>
          <w:color w:val="auto"/>
          <w:sz w:val="24"/>
          <w:highlight w:val="none"/>
        </w:rPr>
        <w:t>项目工作。</w:t>
      </w:r>
    </w:p>
    <w:p>
      <w:pPr>
        <w:pStyle w:val="47"/>
        <w:ind w:firstLine="480"/>
        <w:rPr>
          <w:rFonts w:ascii="仿宋_GB2312" w:hAnsi="仿宋_GB2312" w:cs="仿宋_GB2312"/>
          <w:bCs/>
          <w:color w:val="auto"/>
          <w:highlight w:val="none"/>
        </w:rPr>
      </w:pPr>
      <w:r>
        <w:rPr>
          <w:rFonts w:hint="eastAsia" w:ascii="仿宋_GB2312" w:hAnsi="仿宋_GB2312" w:cs="仿宋_GB2312"/>
          <w:bCs/>
          <w:color w:val="auto"/>
          <w:highlight w:val="none"/>
        </w:rPr>
        <w:t>依照《中华人民共和国民法典》及其它有关法律和行政法规等规定，遵循平等、自愿、公平和诚实信用的原则，双方就本项目事项协商一致，订立本合同。</w:t>
      </w:r>
    </w:p>
    <w:p>
      <w:pPr>
        <w:pStyle w:val="47"/>
        <w:ind w:firstLine="480"/>
        <w:rPr>
          <w:rFonts w:ascii="仿宋_GB2312" w:hAnsi="仿宋_GB2312" w:cs="仿宋_GB2312"/>
          <w:bCs/>
          <w:color w:val="auto"/>
          <w:highlight w:val="none"/>
        </w:rPr>
      </w:pPr>
    </w:p>
    <w:p>
      <w:pPr>
        <w:pStyle w:val="59"/>
        <w:jc w:val="both"/>
        <w:rPr>
          <w:color w:val="auto"/>
          <w:highlight w:val="none"/>
        </w:rPr>
      </w:pPr>
      <w:r>
        <w:rPr>
          <w:rFonts w:hint="eastAsia"/>
          <w:color w:val="auto"/>
          <w:highlight w:val="none"/>
        </w:rPr>
        <w:t>合同文件的优先次序</w:t>
      </w:r>
    </w:p>
    <w:p>
      <w:pPr>
        <w:pStyle w:val="47"/>
        <w:ind w:firstLine="480"/>
        <w:rPr>
          <w:rFonts w:ascii="仿宋_GB2312" w:hAnsi="仿宋_GB2312" w:cs="仿宋_GB2312"/>
          <w:bCs/>
          <w:color w:val="auto"/>
          <w:highlight w:val="none"/>
        </w:rPr>
      </w:pPr>
      <w:r>
        <w:rPr>
          <w:rFonts w:hint="eastAsia" w:ascii="仿宋_GB2312" w:hAnsi="仿宋_GB2312" w:cs="仿宋_GB2312"/>
          <w:bCs/>
          <w:color w:val="auto"/>
          <w:highlight w:val="none"/>
        </w:rPr>
        <w:t>下列文件应被认为是组成本合同的一部分，并互为补充和解释，如与上述各部分存在冲突或歧义之处，以如下先后排列次序为优先：</w:t>
      </w:r>
      <w:bookmarkStart w:id="2" w:name="_Hlk41575027"/>
    </w:p>
    <w:p>
      <w:pPr>
        <w:pStyle w:val="60"/>
        <w:numPr>
          <w:ilvl w:val="1"/>
          <w:numId w:val="3"/>
        </w:numPr>
        <w:jc w:val="both"/>
        <w:rPr>
          <w:rFonts w:hAnsi="仿宋_GB2312" w:cs="仿宋_GB2312"/>
          <w:bCs/>
          <w:color w:val="auto"/>
          <w:highlight w:val="none"/>
        </w:rPr>
      </w:pPr>
      <w:r>
        <w:rPr>
          <w:rFonts w:hint="eastAsia" w:hAnsi="仿宋_GB2312" w:cs="仿宋_GB2312"/>
          <w:bCs/>
          <w:color w:val="auto"/>
          <w:highlight w:val="none"/>
        </w:rPr>
        <w:t>在本合同实施过程中双方签署的符合法律法规的补充与修正文件</w:t>
      </w:r>
      <w:bookmarkEnd w:id="2"/>
    </w:p>
    <w:p>
      <w:pPr>
        <w:pStyle w:val="60"/>
        <w:numPr>
          <w:ilvl w:val="1"/>
          <w:numId w:val="3"/>
        </w:numPr>
        <w:jc w:val="both"/>
        <w:rPr>
          <w:rFonts w:hAnsi="仿宋_GB2312" w:cs="仿宋_GB2312"/>
          <w:bCs/>
          <w:color w:val="auto"/>
          <w:highlight w:val="none"/>
        </w:rPr>
      </w:pPr>
      <w:r>
        <w:rPr>
          <w:rFonts w:hint="eastAsia" w:hAnsi="仿宋_GB2312" w:cs="仿宋_GB2312"/>
          <w:bCs/>
          <w:color w:val="auto"/>
          <w:highlight w:val="none"/>
        </w:rPr>
        <w:t>本合同</w:t>
      </w:r>
    </w:p>
    <w:p>
      <w:pPr>
        <w:pStyle w:val="60"/>
        <w:numPr>
          <w:ilvl w:val="1"/>
          <w:numId w:val="3"/>
        </w:numPr>
        <w:jc w:val="both"/>
        <w:rPr>
          <w:rFonts w:hAnsi="仿宋_GB2312" w:cs="仿宋_GB2312"/>
          <w:bCs/>
          <w:color w:val="auto"/>
          <w:highlight w:val="none"/>
        </w:rPr>
      </w:pPr>
      <w:r>
        <w:rPr>
          <w:rFonts w:hint="eastAsia" w:hAnsi="仿宋_GB2312" w:cs="仿宋_GB2312"/>
          <w:bCs/>
          <w:color w:val="auto"/>
          <w:kern w:val="0"/>
          <w:highlight w:val="none"/>
        </w:rPr>
        <w:t>中标通知书（适用公开招标）</w:t>
      </w:r>
    </w:p>
    <w:p>
      <w:pPr>
        <w:pStyle w:val="60"/>
        <w:numPr>
          <w:ilvl w:val="1"/>
          <w:numId w:val="3"/>
        </w:numPr>
        <w:jc w:val="both"/>
        <w:rPr>
          <w:rFonts w:hAnsi="仿宋_GB2312" w:cs="仿宋_GB2312"/>
          <w:bCs/>
          <w:color w:val="auto"/>
          <w:highlight w:val="none"/>
        </w:rPr>
      </w:pPr>
      <w:r>
        <w:rPr>
          <w:rFonts w:hint="eastAsia" w:hAnsi="仿宋_GB2312" w:cs="仿宋_GB2312"/>
          <w:bCs/>
          <w:color w:val="auto"/>
          <w:kern w:val="0"/>
          <w:highlight w:val="none"/>
        </w:rPr>
        <w:t>招标文件（含补充、修正、澄清文件、答疑纪要、工程量清单及总说明等）（适用公开招标）</w:t>
      </w:r>
    </w:p>
    <w:p>
      <w:pPr>
        <w:pStyle w:val="60"/>
        <w:numPr>
          <w:ilvl w:val="1"/>
          <w:numId w:val="3"/>
        </w:numPr>
        <w:jc w:val="both"/>
        <w:rPr>
          <w:rFonts w:hAnsi="仿宋_GB2312" w:cs="仿宋_GB2312"/>
          <w:bCs/>
          <w:color w:val="auto"/>
          <w:highlight w:val="none"/>
        </w:rPr>
      </w:pPr>
      <w:r>
        <w:rPr>
          <w:rFonts w:hint="eastAsia" w:hAnsi="仿宋_GB2312" w:cs="仿宋_GB2312"/>
          <w:bCs/>
          <w:color w:val="auto"/>
          <w:kern w:val="0"/>
          <w:highlight w:val="none"/>
        </w:rPr>
        <w:t>投标函、投标函附录、投标文件及其附件（适用公开招标）</w:t>
      </w:r>
    </w:p>
    <w:p>
      <w:pPr>
        <w:pStyle w:val="60"/>
        <w:numPr>
          <w:ilvl w:val="1"/>
          <w:numId w:val="3"/>
        </w:numPr>
        <w:jc w:val="both"/>
        <w:rPr>
          <w:rFonts w:hAnsi="仿宋_GB2312" w:cs="仿宋_GB2312"/>
          <w:bCs/>
          <w:color w:val="auto"/>
          <w:highlight w:val="none"/>
        </w:rPr>
      </w:pPr>
      <w:r>
        <w:rPr>
          <w:rFonts w:hint="eastAsia" w:hAnsi="仿宋_GB2312" w:cs="仿宋_GB2312"/>
          <w:bCs/>
          <w:color w:val="auto"/>
          <w:kern w:val="0"/>
          <w:highlight w:val="none"/>
        </w:rPr>
        <w:t>已标价的工程量清单</w:t>
      </w:r>
    </w:p>
    <w:p>
      <w:pPr>
        <w:pStyle w:val="60"/>
        <w:numPr>
          <w:ilvl w:val="1"/>
          <w:numId w:val="3"/>
        </w:numPr>
        <w:jc w:val="both"/>
        <w:rPr>
          <w:rFonts w:hAnsi="仿宋_GB2312" w:cs="仿宋_GB2312"/>
          <w:bCs/>
          <w:color w:val="auto"/>
          <w:highlight w:val="none"/>
        </w:rPr>
      </w:pPr>
      <w:r>
        <w:rPr>
          <w:rFonts w:hint="eastAsia" w:hAnsi="仿宋_GB2312" w:cs="仿宋_GB2312"/>
          <w:bCs/>
          <w:color w:val="auto"/>
          <w:highlight w:val="none"/>
        </w:rPr>
        <w:t>标准、规范及有关技术文件</w:t>
      </w:r>
    </w:p>
    <w:p>
      <w:pPr>
        <w:pStyle w:val="60"/>
        <w:numPr>
          <w:ilvl w:val="1"/>
          <w:numId w:val="3"/>
        </w:numPr>
        <w:jc w:val="both"/>
        <w:rPr>
          <w:rFonts w:hAnsi="仿宋_GB2312" w:cs="仿宋_GB2312"/>
          <w:bCs/>
          <w:color w:val="auto"/>
          <w:highlight w:val="none"/>
        </w:rPr>
      </w:pPr>
      <w:r>
        <w:rPr>
          <w:rFonts w:hint="eastAsia" w:hAnsi="仿宋_GB2312" w:cs="仿宋_GB2312"/>
          <w:bCs/>
          <w:color w:val="auto"/>
          <w:highlight w:val="none"/>
        </w:rPr>
        <w:t>图纸</w:t>
      </w:r>
    </w:p>
    <w:p>
      <w:pPr>
        <w:pStyle w:val="60"/>
        <w:numPr>
          <w:ilvl w:val="0"/>
          <w:numId w:val="0"/>
        </w:numPr>
        <w:ind w:left="567"/>
        <w:jc w:val="both"/>
        <w:rPr>
          <w:rFonts w:hAnsi="仿宋_GB2312" w:cs="仿宋_GB2312"/>
          <w:bCs/>
          <w:color w:val="auto"/>
          <w:highlight w:val="none"/>
        </w:rPr>
      </w:pPr>
    </w:p>
    <w:p>
      <w:pPr>
        <w:pStyle w:val="59"/>
        <w:jc w:val="both"/>
        <w:rPr>
          <w:color w:val="auto"/>
          <w:highlight w:val="none"/>
        </w:rPr>
      </w:pPr>
      <w:r>
        <w:rPr>
          <w:rFonts w:hint="eastAsia"/>
          <w:color w:val="auto"/>
          <w:highlight w:val="none"/>
        </w:rPr>
        <w:t xml:space="preserve">项目概况 </w:t>
      </w:r>
    </w:p>
    <w:p>
      <w:pPr>
        <w:pStyle w:val="36"/>
        <w:numPr>
          <w:ilvl w:val="0"/>
          <w:numId w:val="4"/>
        </w:numPr>
        <w:spacing w:line="360" w:lineRule="auto"/>
        <w:ind w:firstLineChars="0"/>
        <w:rPr>
          <w:rFonts w:ascii="仿宋_GB2312" w:hAnsi="仿宋_GB2312" w:eastAsia="仿宋_GB2312" w:cs="仿宋_GB2312"/>
          <w:bCs/>
          <w:vanish/>
          <w:color w:val="auto"/>
          <w:sz w:val="24"/>
          <w:highlight w:val="none"/>
        </w:rPr>
      </w:pPr>
    </w:p>
    <w:p>
      <w:pPr>
        <w:pStyle w:val="36"/>
        <w:numPr>
          <w:ilvl w:val="0"/>
          <w:numId w:val="4"/>
        </w:numPr>
        <w:spacing w:line="360" w:lineRule="auto"/>
        <w:ind w:firstLineChars="0"/>
        <w:rPr>
          <w:rFonts w:ascii="仿宋_GB2312" w:hAnsi="仿宋_GB2312" w:eastAsia="仿宋_GB2312" w:cs="仿宋_GB2312"/>
          <w:bCs/>
          <w:vanish/>
          <w:color w:val="auto"/>
          <w:sz w:val="24"/>
          <w:highlight w:val="none"/>
        </w:rPr>
      </w:pPr>
    </w:p>
    <w:p>
      <w:pPr>
        <w:pStyle w:val="60"/>
        <w:numPr>
          <w:ilvl w:val="1"/>
          <w:numId w:val="4"/>
        </w:numPr>
        <w:jc w:val="both"/>
        <w:rPr>
          <w:rFonts w:hAnsi="仿宋_GB2312" w:cs="仿宋_GB2312"/>
          <w:bCs/>
          <w:color w:val="auto"/>
          <w:spacing w:val="-8"/>
          <w:highlight w:val="none"/>
        </w:rPr>
      </w:pPr>
      <w:r>
        <w:rPr>
          <w:rFonts w:hint="eastAsia" w:hAnsi="仿宋_GB2312" w:cs="仿宋_GB2312"/>
          <w:bCs/>
          <w:color w:val="auto"/>
          <w:spacing w:val="-8"/>
          <w:highlight w:val="none"/>
        </w:rPr>
        <w:t>项目内容：承包人需要负责我公司所辖范围排水</w:t>
      </w:r>
      <w:r>
        <w:rPr>
          <w:rFonts w:hint="eastAsia" w:hAnsi="仿宋_GB2312" w:cs="仿宋_GB2312"/>
          <w:bCs/>
          <w:color w:val="auto"/>
          <w:spacing w:val="-8"/>
          <w:highlight w:val="none"/>
          <w:lang w:val="en-US" w:eastAsia="zh-CN"/>
        </w:rPr>
        <w:t>设施大中修及技改</w:t>
      </w:r>
      <w:r>
        <w:rPr>
          <w:rFonts w:hint="eastAsia" w:hAnsi="仿宋_GB2312" w:cs="仿宋_GB2312"/>
          <w:bCs/>
          <w:color w:val="auto"/>
          <w:spacing w:val="-8"/>
          <w:highlight w:val="none"/>
        </w:rPr>
        <w:t>工作，主要工作内容为排水管渠、窨井、闸门</w:t>
      </w:r>
      <w:r>
        <w:rPr>
          <w:rFonts w:hint="eastAsia" w:hAnsi="仿宋_GB2312" w:cs="仿宋_GB2312"/>
          <w:bCs/>
          <w:color w:val="auto"/>
          <w:spacing w:val="-8"/>
          <w:highlight w:val="none"/>
          <w:lang w:eastAsia="zh-CN"/>
        </w:rPr>
        <w:t>、</w:t>
      </w:r>
      <w:r>
        <w:rPr>
          <w:rFonts w:hint="eastAsia" w:hAnsi="仿宋_GB2312" w:cs="仿宋_GB2312"/>
          <w:bCs/>
          <w:color w:val="auto"/>
          <w:spacing w:val="-8"/>
          <w:highlight w:val="none"/>
          <w:lang w:val="en-US" w:eastAsia="zh-CN"/>
        </w:rPr>
        <w:t>拍门、格栅</w:t>
      </w:r>
      <w:r>
        <w:rPr>
          <w:rFonts w:hint="eastAsia" w:hAnsi="仿宋_GB2312" w:cs="仿宋_GB2312"/>
          <w:bCs/>
          <w:color w:val="auto"/>
          <w:spacing w:val="-8"/>
          <w:highlight w:val="none"/>
        </w:rPr>
        <w:t>等设施的</w:t>
      </w:r>
      <w:r>
        <w:rPr>
          <w:rFonts w:hint="eastAsia" w:hAnsi="仿宋_GB2312" w:cs="仿宋_GB2312"/>
          <w:bCs/>
          <w:color w:val="auto"/>
          <w:spacing w:val="-8"/>
          <w:highlight w:val="none"/>
          <w:lang w:val="en-US" w:eastAsia="zh-CN"/>
        </w:rPr>
        <w:t>大中修及技改</w:t>
      </w:r>
      <w:r>
        <w:rPr>
          <w:rFonts w:hint="eastAsia" w:hAnsi="仿宋_GB2312" w:cs="仿宋_GB2312"/>
          <w:bCs/>
          <w:color w:val="auto"/>
          <w:spacing w:val="-8"/>
          <w:highlight w:val="none"/>
        </w:rPr>
        <w:t>工作，含错混接整改或设施改造等，包含应急、抢修工作任务。</w:t>
      </w:r>
    </w:p>
    <w:p>
      <w:pPr>
        <w:pStyle w:val="60"/>
        <w:numPr>
          <w:ilvl w:val="1"/>
          <w:numId w:val="4"/>
        </w:numPr>
        <w:jc w:val="both"/>
        <w:rPr>
          <w:rFonts w:hAnsi="仿宋_GB2312" w:cs="仿宋_GB2312"/>
          <w:bCs/>
          <w:color w:val="auto"/>
          <w:spacing w:val="-8"/>
          <w:highlight w:val="none"/>
        </w:rPr>
      </w:pPr>
      <w:r>
        <w:rPr>
          <w:rFonts w:hint="eastAsia" w:hAnsi="仿宋_GB2312" w:cs="仿宋_GB2312"/>
          <w:bCs/>
          <w:color w:val="auto"/>
          <w:spacing w:val="-8"/>
          <w:highlight w:val="none"/>
        </w:rPr>
        <w:t>子项工程派单：发包人对缺陷点进行初步摸查，制定立项方案，并以单个子项目形式立项后，以任务单的形式向承包人发出子项工程，承包人按照任务单立项方案实施，如需发生变更，须经发包人审核同意后实施。</w:t>
      </w:r>
    </w:p>
    <w:p>
      <w:pPr>
        <w:pStyle w:val="60"/>
        <w:numPr>
          <w:ilvl w:val="1"/>
          <w:numId w:val="4"/>
        </w:numPr>
        <w:jc w:val="both"/>
        <w:rPr>
          <w:rFonts w:hAnsi="仿宋_GB2312" w:cs="仿宋_GB2312"/>
          <w:bCs/>
          <w:color w:val="auto"/>
          <w:spacing w:val="-8"/>
          <w:highlight w:val="none"/>
        </w:rPr>
      </w:pPr>
      <w:r>
        <w:rPr>
          <w:rFonts w:hint="eastAsia" w:hAnsi="仿宋_GB2312" w:cs="仿宋_GB2312"/>
          <w:bCs/>
          <w:color w:val="auto"/>
          <w:spacing w:val="-8"/>
          <w:highlight w:val="none"/>
          <w:lang w:val="en-US" w:eastAsia="zh-CN"/>
        </w:rPr>
        <w:t>服务期内，各标段经我公司审批预算价达合同价时，终止任务派单。实际结算价未达合同价，按实结算，实际结算价若超过合同价，需签订补充协议再行支付。</w:t>
      </w:r>
    </w:p>
    <w:p>
      <w:pPr>
        <w:pStyle w:val="60"/>
        <w:numPr>
          <w:ilvl w:val="1"/>
          <w:numId w:val="4"/>
        </w:numPr>
        <w:jc w:val="both"/>
        <w:rPr>
          <w:rFonts w:hAnsi="仿宋_GB2312" w:cs="仿宋_GB2312"/>
          <w:bCs/>
          <w:color w:val="auto"/>
          <w:highlight w:val="none"/>
        </w:rPr>
      </w:pPr>
      <w:r>
        <w:rPr>
          <w:rFonts w:hint="eastAsia" w:hAnsi="仿宋_GB2312" w:cs="仿宋_GB2312"/>
          <w:bCs/>
          <w:color w:val="auto"/>
          <w:highlight w:val="none"/>
        </w:rPr>
        <w:t>承包方式：包工、包料、包工期、包质量、包安全、包文明施工。本项目采用分部分项工程和单价措施项目综合单价包干，总价（按系数计算）措施项目费按实结算，工程量按实结算的方式，结算时承包人需提供经发包人确认的</w:t>
      </w:r>
      <w:r>
        <w:rPr>
          <w:rFonts w:hint="eastAsia"/>
          <w:color w:val="auto"/>
          <w:highlight w:val="none"/>
        </w:rPr>
        <w:t>施工图（或施工方案）、完</w:t>
      </w:r>
      <w:r>
        <w:rPr>
          <w:rFonts w:hint="eastAsia"/>
          <w:color w:val="auto"/>
          <w:spacing w:val="-2"/>
          <w:highlight w:val="none"/>
        </w:rPr>
        <w:t>整、真实的竣工图</w:t>
      </w:r>
      <w:r>
        <w:rPr>
          <w:rFonts w:hint="eastAsia" w:hAnsi="仿宋_GB2312" w:cs="仿宋_GB2312"/>
          <w:bCs/>
          <w:color w:val="auto"/>
          <w:highlight w:val="none"/>
        </w:rPr>
        <w:t>、签证及其他现场资料，以上资料可根据项目实际情况及发包人的要求按需提供</w:t>
      </w:r>
      <w:r>
        <w:rPr>
          <w:rFonts w:hint="eastAsia" w:hAnsi="仿宋_GB2312" w:cs="仿宋_GB2312"/>
          <w:bCs/>
          <w:color w:val="auto"/>
          <w:spacing w:val="-6"/>
          <w:highlight w:val="none"/>
        </w:rPr>
        <w:t>。</w:t>
      </w:r>
    </w:p>
    <w:p>
      <w:pPr>
        <w:pStyle w:val="60"/>
        <w:numPr>
          <w:ilvl w:val="0"/>
          <w:numId w:val="0"/>
        </w:numPr>
        <w:jc w:val="both"/>
        <w:rPr>
          <w:rFonts w:hAnsi="仿宋_GB2312" w:cs="仿宋_GB2312"/>
          <w:bCs/>
          <w:color w:val="auto"/>
          <w:highlight w:val="none"/>
        </w:rPr>
      </w:pPr>
    </w:p>
    <w:p>
      <w:pPr>
        <w:pStyle w:val="59"/>
        <w:jc w:val="both"/>
        <w:rPr>
          <w:color w:val="auto"/>
          <w:highlight w:val="none"/>
        </w:rPr>
      </w:pPr>
      <w:r>
        <w:rPr>
          <w:rFonts w:hint="eastAsia"/>
          <w:color w:val="auto"/>
          <w:highlight w:val="none"/>
        </w:rPr>
        <w:t>合同价款及支付方式</w:t>
      </w:r>
    </w:p>
    <w:p>
      <w:pPr>
        <w:pStyle w:val="36"/>
        <w:numPr>
          <w:ilvl w:val="0"/>
          <w:numId w:val="4"/>
        </w:numPr>
        <w:spacing w:line="360" w:lineRule="auto"/>
        <w:ind w:firstLineChars="0"/>
        <w:rPr>
          <w:rFonts w:ascii="仿宋_GB2312" w:hAnsi="仿宋_GB2312" w:eastAsia="仿宋_GB2312" w:cs="仿宋_GB2312"/>
          <w:bCs/>
          <w:vanish/>
          <w:color w:val="auto"/>
          <w:sz w:val="24"/>
          <w:highlight w:val="none"/>
        </w:rPr>
      </w:pPr>
    </w:p>
    <w:p>
      <w:pPr>
        <w:pStyle w:val="60"/>
        <w:numPr>
          <w:ilvl w:val="1"/>
          <w:numId w:val="4"/>
        </w:numPr>
        <w:jc w:val="both"/>
        <w:rPr>
          <w:rFonts w:hAnsi="仿宋_GB2312" w:cs="仿宋_GB2312"/>
          <w:bCs/>
          <w:color w:val="auto"/>
          <w:highlight w:val="none"/>
        </w:rPr>
      </w:pPr>
      <w:r>
        <w:rPr>
          <w:rFonts w:hint="eastAsia" w:hAnsi="仿宋_GB2312" w:cs="仿宋_GB2312"/>
          <w:bCs/>
          <w:color w:val="auto"/>
          <w:highlight w:val="none"/>
        </w:rPr>
        <w:t>合同价款：</w:t>
      </w:r>
    </w:p>
    <w:p>
      <w:pPr>
        <w:pStyle w:val="60"/>
        <w:numPr>
          <w:ilvl w:val="0"/>
          <w:numId w:val="0"/>
        </w:numPr>
        <w:ind w:firstLine="480"/>
        <w:jc w:val="both"/>
        <w:rPr>
          <w:rFonts w:hint="default" w:hAnsi="仿宋_GB2312" w:eastAsia="仿宋_GB2312" w:cs="仿宋_GB2312"/>
          <w:bCs/>
          <w:color w:val="auto"/>
          <w:highlight w:val="none"/>
          <w:u w:val="single"/>
          <w:lang w:val="en-US" w:eastAsia="zh-CN"/>
        </w:rPr>
      </w:pPr>
      <w:r>
        <w:rPr>
          <w:rFonts w:hint="eastAsia" w:hAnsi="仿宋_GB2312" w:cs="仿宋_GB2312"/>
          <w:bCs/>
          <w:color w:val="auto"/>
          <w:highlight w:val="none"/>
        </w:rPr>
        <w:t>合同总价暂定为（大写）：人民币</w:t>
      </w:r>
      <w:r>
        <w:rPr>
          <w:rFonts w:hint="eastAsia" w:hAnsi="仿宋_GB2312" w:cs="仿宋_GB2312"/>
          <w:bCs/>
          <w:color w:val="auto"/>
          <w:highlight w:val="none"/>
          <w:u w:val="single"/>
          <w:lang w:val="en-US" w:eastAsia="zh-CN"/>
        </w:rPr>
        <w:t xml:space="preserve">                              </w:t>
      </w:r>
    </w:p>
    <w:p>
      <w:pPr>
        <w:pStyle w:val="60"/>
        <w:numPr>
          <w:ilvl w:val="0"/>
          <w:numId w:val="0"/>
        </w:numPr>
        <w:ind w:firstLine="480"/>
        <w:jc w:val="both"/>
        <w:rPr>
          <w:rFonts w:hAnsi="仿宋_GB2312" w:cs="仿宋_GB2312"/>
          <w:bCs/>
          <w:color w:val="auto"/>
          <w:highlight w:val="none"/>
          <w:u w:val="single"/>
        </w:rPr>
      </w:pPr>
      <w:r>
        <w:rPr>
          <w:rFonts w:hint="eastAsia" w:hAnsi="仿宋_GB2312" w:cs="仿宋_GB2312"/>
          <w:bCs/>
          <w:color w:val="auto"/>
          <w:highlight w:val="none"/>
        </w:rPr>
        <w:t xml:space="preserve">              （小写）：¥</w:t>
      </w:r>
      <w:r>
        <w:rPr>
          <w:rFonts w:hint="eastAsia" w:hAnsi="仿宋_GB2312" w:cs="仿宋_GB2312"/>
          <w:bCs/>
          <w:color w:val="auto"/>
          <w:highlight w:val="none"/>
          <w:u w:val="single"/>
          <w:lang w:val="en-US" w:eastAsia="zh-CN"/>
        </w:rPr>
        <w:t xml:space="preserve">               </w:t>
      </w:r>
      <w:r>
        <w:rPr>
          <w:rFonts w:hint="eastAsia" w:hAnsi="仿宋_GB2312" w:cs="仿宋_GB2312"/>
          <w:bCs/>
          <w:color w:val="auto"/>
          <w:highlight w:val="none"/>
          <w:u w:val="single"/>
        </w:rPr>
        <w:t>万元</w:t>
      </w:r>
    </w:p>
    <w:p>
      <w:pPr>
        <w:pStyle w:val="60"/>
        <w:numPr>
          <w:ilvl w:val="0"/>
          <w:numId w:val="0"/>
        </w:numPr>
        <w:ind w:firstLine="480"/>
        <w:jc w:val="both"/>
        <w:rPr>
          <w:rFonts w:hAnsi="仿宋_GB2312" w:cs="仿宋_GB2312"/>
          <w:bCs/>
          <w:color w:val="auto"/>
          <w:highlight w:val="none"/>
        </w:rPr>
      </w:pPr>
      <w:r>
        <w:rPr>
          <w:rFonts w:hint="eastAsia" w:hAnsi="仿宋_GB2312" w:cs="仿宋_GB2312"/>
          <w:bCs/>
          <w:color w:val="auto"/>
          <w:highlight w:val="none"/>
        </w:rPr>
        <w:t>投标下浮率（%）：</w:t>
      </w:r>
      <w:r>
        <w:rPr>
          <w:rFonts w:hint="eastAsia" w:hAnsi="仿宋_GB2312" w:cs="仿宋_GB2312"/>
          <w:bCs/>
          <w:color w:val="auto"/>
          <w:highlight w:val="none"/>
          <w:u w:val="single"/>
        </w:rPr>
        <w:t xml:space="preserve"> </w:t>
      </w:r>
      <w:r>
        <w:rPr>
          <w:rFonts w:hint="eastAsia" w:hAnsi="仿宋_GB2312" w:cs="仿宋_GB2312"/>
          <w:bCs/>
          <w:color w:val="auto"/>
          <w:highlight w:val="none"/>
          <w:u w:val="single"/>
          <w:lang w:val="en-US" w:eastAsia="zh-CN"/>
        </w:rPr>
        <w:t xml:space="preserve">       </w:t>
      </w:r>
      <w:r>
        <w:rPr>
          <w:rFonts w:hint="eastAsia" w:hAnsi="仿宋_GB2312" w:cs="仿宋_GB2312"/>
          <w:bCs/>
          <w:color w:val="auto"/>
          <w:highlight w:val="none"/>
          <w:u w:val="single"/>
        </w:rPr>
        <w:t xml:space="preserve"> </w:t>
      </w:r>
    </w:p>
    <w:p>
      <w:pPr>
        <w:pStyle w:val="60"/>
        <w:numPr>
          <w:ilvl w:val="0"/>
          <w:numId w:val="0"/>
        </w:numPr>
        <w:ind w:left="567"/>
        <w:jc w:val="both"/>
        <w:rPr>
          <w:rFonts w:hAnsi="仿宋_GB2312" w:cs="仿宋_GB2312"/>
          <w:bCs/>
          <w:color w:val="auto"/>
          <w:sz w:val="21"/>
          <w:highlight w:val="none"/>
        </w:rPr>
      </w:pPr>
      <w:r>
        <w:rPr>
          <w:rFonts w:hint="eastAsia" w:hAnsi="仿宋_GB2312" w:cs="仿宋_GB2312"/>
          <w:bCs/>
          <w:color w:val="auto"/>
          <w:sz w:val="21"/>
          <w:highlight w:val="none"/>
        </w:rPr>
        <w:t>注：本合同价为含税价，在项目实施期间如遇国家的税率调整，则价税合计相应调整，以开具发票的时间为准。</w:t>
      </w:r>
    </w:p>
    <w:p>
      <w:pPr>
        <w:pStyle w:val="36"/>
        <w:numPr>
          <w:ilvl w:val="1"/>
          <w:numId w:val="2"/>
        </w:numPr>
        <w:spacing w:line="360" w:lineRule="auto"/>
        <w:ind w:firstLineChars="0"/>
        <w:rPr>
          <w:rFonts w:ascii="仿宋_GB2312" w:hAnsi="仿宋_GB2312" w:eastAsia="仿宋_GB2312" w:cs="仿宋_GB2312"/>
          <w:bCs/>
          <w:vanish/>
          <w:color w:val="auto"/>
          <w:sz w:val="24"/>
          <w:highlight w:val="none"/>
        </w:rPr>
      </w:pPr>
    </w:p>
    <w:p>
      <w:pPr>
        <w:pStyle w:val="60"/>
        <w:jc w:val="both"/>
        <w:rPr>
          <w:rFonts w:hAnsi="仿宋_GB2312" w:cs="仿宋_GB2312"/>
          <w:bCs/>
          <w:color w:val="auto"/>
          <w:highlight w:val="none"/>
        </w:rPr>
      </w:pPr>
      <w:r>
        <w:rPr>
          <w:rFonts w:hint="eastAsia" w:hAnsi="仿宋_GB2312" w:cs="仿宋_GB2312"/>
          <w:bCs/>
          <w:color w:val="auto"/>
          <w:highlight w:val="none"/>
        </w:rPr>
        <w:t>支付方式：</w:t>
      </w:r>
    </w:p>
    <w:p>
      <w:pPr>
        <w:pStyle w:val="47"/>
        <w:numPr>
          <w:ilvl w:val="0"/>
          <w:numId w:val="5"/>
        </w:numPr>
        <w:ind w:firstLineChars="0"/>
        <w:rPr>
          <w:rFonts w:ascii="仿宋_GB2312" w:hAnsi="仿宋_GB2312" w:cs="仿宋_GB2312"/>
          <w:bCs/>
          <w:color w:val="auto"/>
          <w:highlight w:val="none"/>
        </w:rPr>
      </w:pPr>
      <w:r>
        <w:rPr>
          <w:rFonts w:hint="eastAsia" w:ascii="仿宋_GB2312" w:hAnsi="仿宋_GB2312" w:cs="仿宋_GB2312"/>
          <w:bCs/>
          <w:color w:val="auto"/>
          <w:highlight w:val="none"/>
        </w:rPr>
        <w:t>单个子项目工程（即单个修复任务单项目）开工后，承包人可向发包人申请预付款，发包人最高支付至单个子项目立项估算审定价</w:t>
      </w:r>
      <w:r>
        <w:rPr>
          <w:rFonts w:hint="eastAsia" w:ascii="仿宋_GB2312" w:hAnsi="仿宋_GB2312" w:cs="仿宋_GB2312"/>
          <w:bCs/>
          <w:color w:val="auto"/>
          <w:highlight w:val="none"/>
          <w:lang w:val="en-US" w:eastAsia="zh-CN"/>
        </w:rPr>
        <w:t>对应的工程费用</w:t>
      </w:r>
      <w:r>
        <w:rPr>
          <w:rFonts w:hint="eastAsia" w:ascii="仿宋_GB2312" w:hAnsi="仿宋_GB2312" w:cs="仿宋_GB2312"/>
          <w:bCs/>
          <w:color w:val="auto"/>
          <w:highlight w:val="none"/>
        </w:rPr>
        <w:t>的30%给承包人。</w:t>
      </w:r>
    </w:p>
    <w:p>
      <w:pPr>
        <w:pStyle w:val="47"/>
        <w:numPr>
          <w:ilvl w:val="0"/>
          <w:numId w:val="5"/>
        </w:numPr>
        <w:ind w:firstLineChars="0"/>
        <w:rPr>
          <w:rFonts w:hint="eastAsia" w:ascii="仿宋_GB2312" w:hAnsi="仿宋_GB2312" w:cs="仿宋_GB2312"/>
          <w:bCs/>
          <w:color w:val="auto"/>
          <w:highlight w:val="none"/>
        </w:rPr>
      </w:pPr>
      <w:r>
        <w:rPr>
          <w:rFonts w:hint="eastAsia" w:ascii="仿宋_GB2312" w:hAnsi="仿宋_GB2312" w:cs="仿宋_GB2312"/>
          <w:bCs/>
          <w:color w:val="auto"/>
          <w:highlight w:val="none"/>
        </w:rPr>
        <w:t>单个子项目竣工验收合格</w:t>
      </w:r>
      <w:r>
        <w:rPr>
          <w:rFonts w:hint="eastAsia" w:ascii="仿宋_GB2312" w:hAnsi="仿宋_GB2312" w:cs="仿宋_GB2312"/>
          <w:bCs/>
          <w:color w:val="auto"/>
          <w:highlight w:val="none"/>
          <w:lang w:val="en-US" w:eastAsia="zh-CN"/>
        </w:rPr>
        <w:t>后，承包人可向发包人申请进度款，其中：</w:t>
      </w:r>
    </w:p>
    <w:p>
      <w:pPr>
        <w:pStyle w:val="47"/>
        <w:keepNext w:val="0"/>
        <w:keepLines w:val="0"/>
        <w:pageBreakBefore w:val="0"/>
        <w:widowControl w:val="0"/>
        <w:numPr>
          <w:ilvl w:val="0"/>
          <w:numId w:val="0"/>
        </w:numPr>
        <w:kinsoku/>
        <w:wordWrap/>
        <w:overflowPunct/>
        <w:topLinePunct w:val="0"/>
        <w:autoSpaceDE/>
        <w:autoSpaceDN/>
        <w:bidi w:val="0"/>
        <w:adjustRightInd/>
        <w:snapToGrid/>
        <w:ind w:leftChars="200" w:firstLine="480" w:firstLineChars="200"/>
        <w:textAlignment w:val="auto"/>
        <w:rPr>
          <w:rFonts w:hint="eastAsia" w:ascii="仿宋_GB2312" w:hAnsi="仿宋_GB2312" w:cs="仿宋_GB2312"/>
          <w:bCs/>
          <w:color w:val="auto"/>
          <w:highlight w:val="none"/>
          <w:lang w:val="en-US" w:eastAsia="zh-CN"/>
        </w:rPr>
      </w:pPr>
      <w:r>
        <w:rPr>
          <w:rFonts w:hint="eastAsia" w:ascii="微软雅黑" w:hAnsi="微软雅黑" w:eastAsia="微软雅黑" w:cs="微软雅黑"/>
          <w:bCs/>
          <w:color w:val="auto"/>
          <w:highlight w:val="none"/>
          <w:lang w:val="en-US" w:eastAsia="zh-CN"/>
        </w:rPr>
        <w:t>①</w:t>
      </w:r>
      <w:r>
        <w:rPr>
          <w:rFonts w:hint="eastAsia" w:ascii="仿宋_GB2312" w:hAnsi="仿宋_GB2312" w:cs="仿宋_GB2312"/>
          <w:bCs/>
          <w:color w:val="auto"/>
          <w:highlight w:val="none"/>
          <w:lang w:val="en-US" w:eastAsia="zh-CN"/>
        </w:rPr>
        <w:t>大中修及技改项目（除应急、抢险、抢修项目外），</w:t>
      </w:r>
      <w:r>
        <w:rPr>
          <w:rFonts w:hint="eastAsia" w:ascii="仿宋_GB2312" w:hAnsi="仿宋_GB2312" w:cs="仿宋_GB2312"/>
          <w:bCs/>
          <w:color w:val="auto"/>
          <w:highlight w:val="none"/>
        </w:rPr>
        <w:t>发包人最高支付至</w:t>
      </w:r>
      <w:r>
        <w:rPr>
          <w:rFonts w:hint="eastAsia" w:ascii="仿宋_GB2312" w:hAnsi="仿宋_GB2312" w:cs="仿宋_GB2312"/>
          <w:bCs/>
          <w:color w:val="auto"/>
          <w:highlight w:val="none"/>
          <w:lang w:val="en-US" w:eastAsia="zh-CN"/>
        </w:rPr>
        <w:t>单个子项目已</w:t>
      </w:r>
      <w:r>
        <w:rPr>
          <w:rFonts w:hint="eastAsia" w:ascii="仿宋_GB2312" w:hAnsi="仿宋_GB2312" w:cs="仿宋_GB2312"/>
          <w:bCs/>
          <w:color w:val="auto"/>
          <w:highlight w:val="none"/>
        </w:rPr>
        <w:t>完成</w:t>
      </w:r>
      <w:r>
        <w:rPr>
          <w:rFonts w:hint="eastAsia" w:ascii="仿宋_GB2312" w:hAnsi="仿宋_GB2312" w:cs="仿宋_GB2312"/>
          <w:bCs/>
          <w:color w:val="auto"/>
          <w:highlight w:val="none"/>
          <w:lang w:val="en-US" w:eastAsia="zh-CN"/>
        </w:rPr>
        <w:t>工程价款（即</w:t>
      </w:r>
      <w:r>
        <w:rPr>
          <w:rFonts w:hint="eastAsia" w:ascii="仿宋_GB2312" w:hAnsi="仿宋_GB2312" w:cs="仿宋_GB2312"/>
          <w:bCs/>
          <w:color w:val="auto"/>
          <w:highlight w:val="none"/>
        </w:rPr>
        <w:t>实际</w:t>
      </w:r>
      <w:r>
        <w:rPr>
          <w:rFonts w:hint="eastAsia" w:ascii="仿宋_GB2312" w:hAnsi="仿宋_GB2312" w:cs="仿宋_GB2312"/>
          <w:bCs/>
          <w:color w:val="auto"/>
          <w:highlight w:val="none"/>
          <w:lang w:val="en-US" w:eastAsia="zh-CN"/>
        </w:rPr>
        <w:t>完成工程量乘以中标单价，如有新增单价则按合同相关约定）</w:t>
      </w:r>
      <w:r>
        <w:rPr>
          <w:rFonts w:hint="eastAsia" w:ascii="仿宋_GB2312" w:hAnsi="仿宋_GB2312" w:cs="仿宋_GB2312"/>
          <w:bCs/>
          <w:color w:val="auto"/>
          <w:highlight w:val="none"/>
        </w:rPr>
        <w:t>的</w:t>
      </w:r>
      <w:r>
        <w:rPr>
          <w:rFonts w:hint="eastAsia" w:ascii="仿宋_GB2312" w:hAnsi="仿宋_GB2312" w:cs="仿宋_GB2312"/>
          <w:bCs/>
          <w:color w:val="auto"/>
          <w:highlight w:val="none"/>
          <w:lang w:val="en-US" w:eastAsia="zh-CN"/>
        </w:rPr>
        <w:t>8</w:t>
      </w:r>
      <w:r>
        <w:rPr>
          <w:rFonts w:hint="eastAsia" w:ascii="仿宋_GB2312" w:hAnsi="仿宋_GB2312" w:cs="仿宋_GB2312"/>
          <w:bCs/>
          <w:color w:val="auto"/>
          <w:highlight w:val="none"/>
        </w:rPr>
        <w:t>0%给承包人</w:t>
      </w:r>
      <w:r>
        <w:rPr>
          <w:rFonts w:hint="eastAsia" w:ascii="仿宋_GB2312" w:hAnsi="仿宋_GB2312" w:cs="仿宋_GB2312"/>
          <w:bCs/>
          <w:color w:val="auto"/>
          <w:highlight w:val="none"/>
          <w:lang w:eastAsia="zh-CN"/>
        </w:rPr>
        <w:t>，</w:t>
      </w:r>
      <w:r>
        <w:rPr>
          <w:rFonts w:hint="eastAsia" w:ascii="仿宋_GB2312" w:hAnsi="仿宋_GB2312" w:cs="仿宋_GB2312"/>
          <w:bCs/>
          <w:color w:val="auto"/>
          <w:highlight w:val="none"/>
          <w:lang w:val="en-US" w:eastAsia="zh-CN"/>
        </w:rPr>
        <w:t>且不得</w:t>
      </w:r>
      <w:r>
        <w:rPr>
          <w:rFonts w:hint="eastAsia" w:ascii="仿宋_GB2312" w:hAnsi="仿宋_GB2312" w:cs="仿宋_GB2312"/>
          <w:bCs/>
          <w:color w:val="auto"/>
          <w:highlight w:val="none"/>
        </w:rPr>
        <w:t>超过</w:t>
      </w:r>
      <w:r>
        <w:rPr>
          <w:rFonts w:hint="eastAsia" w:ascii="仿宋_GB2312" w:hAnsi="仿宋_GB2312" w:cs="仿宋_GB2312"/>
          <w:bCs/>
          <w:color w:val="auto"/>
          <w:highlight w:val="none"/>
          <w:lang w:val="en-US" w:eastAsia="zh-CN"/>
        </w:rPr>
        <w:t>预算审定价</w:t>
      </w:r>
      <w:r>
        <w:rPr>
          <w:rFonts w:hint="eastAsia" w:ascii="仿宋_GB2312" w:hAnsi="仿宋_GB2312" w:cs="仿宋_GB2312"/>
          <w:bCs/>
          <w:color w:val="auto"/>
          <w:highlight w:val="none"/>
        </w:rPr>
        <w:t>的</w:t>
      </w:r>
      <w:r>
        <w:rPr>
          <w:rFonts w:hint="eastAsia" w:ascii="仿宋_GB2312" w:hAnsi="仿宋_GB2312" w:cs="仿宋_GB2312"/>
          <w:bCs/>
          <w:color w:val="auto"/>
          <w:highlight w:val="none"/>
          <w:lang w:val="en-US" w:eastAsia="zh-CN"/>
        </w:rPr>
        <w:t>7</w:t>
      </w:r>
      <w:r>
        <w:rPr>
          <w:rFonts w:hint="eastAsia" w:ascii="仿宋_GB2312" w:hAnsi="仿宋_GB2312" w:cs="仿宋_GB2312"/>
          <w:bCs/>
          <w:color w:val="auto"/>
          <w:highlight w:val="none"/>
        </w:rPr>
        <w:t>0%</w:t>
      </w:r>
      <w:r>
        <w:rPr>
          <w:rFonts w:hint="eastAsia" w:ascii="仿宋_GB2312" w:hAnsi="仿宋_GB2312" w:cs="仿宋_GB2312"/>
          <w:bCs/>
          <w:color w:val="auto"/>
          <w:highlight w:val="none"/>
          <w:lang w:val="en-US" w:eastAsia="zh-CN"/>
        </w:rPr>
        <w:t>或概算审定价对应的工程费用</w:t>
      </w:r>
      <w:r>
        <w:rPr>
          <w:rFonts w:hint="eastAsia" w:ascii="仿宋_GB2312" w:hAnsi="仿宋_GB2312" w:cs="仿宋_GB2312"/>
          <w:bCs/>
          <w:color w:val="auto"/>
          <w:highlight w:val="none"/>
        </w:rPr>
        <w:t>的</w:t>
      </w:r>
      <w:r>
        <w:rPr>
          <w:rFonts w:hint="eastAsia" w:ascii="仿宋_GB2312" w:hAnsi="仿宋_GB2312" w:cs="仿宋_GB2312"/>
          <w:bCs/>
          <w:color w:val="auto"/>
          <w:highlight w:val="none"/>
          <w:lang w:val="en-US" w:eastAsia="zh-CN"/>
        </w:rPr>
        <w:t>6</w:t>
      </w:r>
      <w:r>
        <w:rPr>
          <w:rFonts w:hint="eastAsia" w:ascii="仿宋_GB2312" w:hAnsi="仿宋_GB2312" w:cs="仿宋_GB2312"/>
          <w:bCs/>
          <w:color w:val="auto"/>
          <w:highlight w:val="none"/>
        </w:rPr>
        <w:t>0%</w:t>
      </w:r>
      <w:r>
        <w:rPr>
          <w:rFonts w:hint="eastAsia" w:ascii="仿宋_GB2312" w:hAnsi="仿宋_GB2312" w:cs="仿宋_GB2312"/>
          <w:bCs/>
          <w:color w:val="auto"/>
          <w:highlight w:val="none"/>
          <w:lang w:val="en-US" w:eastAsia="zh-CN"/>
        </w:rPr>
        <w:t>或估算审定价对应的工程费用</w:t>
      </w:r>
      <w:r>
        <w:rPr>
          <w:rFonts w:hint="eastAsia" w:ascii="仿宋_GB2312" w:hAnsi="仿宋_GB2312" w:cs="仿宋_GB2312"/>
          <w:bCs/>
          <w:color w:val="auto"/>
          <w:highlight w:val="none"/>
        </w:rPr>
        <w:t>的</w:t>
      </w:r>
      <w:r>
        <w:rPr>
          <w:rFonts w:hint="eastAsia" w:ascii="仿宋_GB2312" w:hAnsi="仿宋_GB2312" w:cs="仿宋_GB2312"/>
          <w:bCs/>
          <w:color w:val="auto"/>
          <w:highlight w:val="none"/>
          <w:lang w:val="en-US" w:eastAsia="zh-CN"/>
        </w:rPr>
        <w:t>5</w:t>
      </w:r>
      <w:r>
        <w:rPr>
          <w:rFonts w:hint="eastAsia" w:ascii="仿宋_GB2312" w:hAnsi="仿宋_GB2312" w:cs="仿宋_GB2312"/>
          <w:bCs/>
          <w:color w:val="auto"/>
          <w:highlight w:val="none"/>
        </w:rPr>
        <w:t>0%</w:t>
      </w:r>
      <w:r>
        <w:rPr>
          <w:rFonts w:hint="eastAsia" w:ascii="仿宋_GB2312" w:hAnsi="仿宋_GB2312" w:cs="仿宋_GB2312"/>
          <w:bCs/>
          <w:color w:val="auto"/>
          <w:highlight w:val="none"/>
          <w:lang w:eastAsia="zh-CN"/>
        </w:rPr>
        <w:t>，</w:t>
      </w:r>
      <w:r>
        <w:rPr>
          <w:rFonts w:hint="eastAsia" w:ascii="仿宋_GB2312" w:hAnsi="仿宋_GB2312" w:cs="仿宋_GB2312"/>
          <w:bCs/>
          <w:color w:val="auto"/>
          <w:highlight w:val="none"/>
          <w:lang w:val="en-US" w:eastAsia="zh-CN"/>
        </w:rPr>
        <w:t>有预算审定价的以预算审定价为支付依据（含概预同审），没预算审定价的，以概算审定价为支付依据，以上两者均没有的，以估算审定价为支付依据。</w:t>
      </w:r>
    </w:p>
    <w:p>
      <w:pPr>
        <w:pStyle w:val="47"/>
        <w:keepNext w:val="0"/>
        <w:keepLines w:val="0"/>
        <w:pageBreakBefore w:val="0"/>
        <w:widowControl w:val="0"/>
        <w:numPr>
          <w:ilvl w:val="0"/>
          <w:numId w:val="0"/>
        </w:numPr>
        <w:kinsoku/>
        <w:wordWrap/>
        <w:overflowPunct/>
        <w:topLinePunct w:val="0"/>
        <w:autoSpaceDE/>
        <w:autoSpaceDN/>
        <w:bidi w:val="0"/>
        <w:adjustRightInd/>
        <w:snapToGrid/>
        <w:ind w:leftChars="200" w:firstLine="480" w:firstLineChars="200"/>
        <w:textAlignment w:val="auto"/>
        <w:rPr>
          <w:rFonts w:hint="eastAsia" w:ascii="仿宋_GB2312" w:hAnsi="仿宋_GB2312" w:cs="仿宋_GB2312"/>
          <w:bCs/>
          <w:color w:val="auto"/>
          <w:highlight w:val="none"/>
        </w:rPr>
      </w:pPr>
      <w:r>
        <w:rPr>
          <w:rFonts w:hint="eastAsia" w:ascii="微软雅黑" w:hAnsi="微软雅黑" w:eastAsia="微软雅黑" w:cs="微软雅黑"/>
          <w:bCs/>
          <w:color w:val="auto"/>
          <w:highlight w:val="none"/>
          <w:lang w:val="en-US" w:eastAsia="zh-CN"/>
        </w:rPr>
        <w:t>②</w:t>
      </w:r>
      <w:r>
        <w:rPr>
          <w:rFonts w:hint="eastAsia" w:ascii="仿宋_GB2312" w:hAnsi="仿宋_GB2312" w:cs="仿宋_GB2312"/>
          <w:bCs/>
          <w:color w:val="auto"/>
          <w:highlight w:val="none"/>
          <w:lang w:val="en-US" w:eastAsia="zh-CN"/>
        </w:rPr>
        <w:t>应急、抢险、抢修项目不需要进行概（预）算评审，</w:t>
      </w:r>
      <w:r>
        <w:rPr>
          <w:rFonts w:hint="eastAsia" w:ascii="仿宋_GB2312" w:hAnsi="仿宋_GB2312" w:cs="仿宋_GB2312"/>
          <w:bCs/>
          <w:color w:val="auto"/>
          <w:highlight w:val="none"/>
        </w:rPr>
        <w:t>发包人最高支付至</w:t>
      </w:r>
      <w:r>
        <w:rPr>
          <w:rFonts w:hint="eastAsia" w:ascii="仿宋_GB2312" w:hAnsi="仿宋_GB2312" w:cs="仿宋_GB2312"/>
          <w:bCs/>
          <w:color w:val="auto"/>
          <w:highlight w:val="none"/>
          <w:lang w:val="en-US" w:eastAsia="zh-CN"/>
        </w:rPr>
        <w:t>单个子项目已</w:t>
      </w:r>
      <w:r>
        <w:rPr>
          <w:rFonts w:hint="eastAsia" w:ascii="仿宋_GB2312" w:hAnsi="仿宋_GB2312" w:cs="仿宋_GB2312"/>
          <w:bCs/>
          <w:color w:val="auto"/>
          <w:highlight w:val="none"/>
        </w:rPr>
        <w:t>完成</w:t>
      </w:r>
      <w:r>
        <w:rPr>
          <w:rFonts w:hint="eastAsia" w:ascii="仿宋_GB2312" w:hAnsi="仿宋_GB2312" w:cs="仿宋_GB2312"/>
          <w:bCs/>
          <w:color w:val="auto"/>
          <w:highlight w:val="none"/>
          <w:lang w:val="en-US" w:eastAsia="zh-CN"/>
        </w:rPr>
        <w:t>工程价款（即</w:t>
      </w:r>
      <w:r>
        <w:rPr>
          <w:rFonts w:hint="eastAsia" w:ascii="仿宋_GB2312" w:hAnsi="仿宋_GB2312" w:cs="仿宋_GB2312"/>
          <w:bCs/>
          <w:color w:val="auto"/>
          <w:highlight w:val="none"/>
        </w:rPr>
        <w:t>实际</w:t>
      </w:r>
      <w:r>
        <w:rPr>
          <w:rFonts w:hint="eastAsia" w:ascii="仿宋_GB2312" w:hAnsi="仿宋_GB2312" w:cs="仿宋_GB2312"/>
          <w:bCs/>
          <w:color w:val="auto"/>
          <w:highlight w:val="none"/>
          <w:lang w:val="en-US" w:eastAsia="zh-CN"/>
        </w:rPr>
        <w:t>完成工程量乘以</w:t>
      </w:r>
      <w:r>
        <w:rPr>
          <w:rFonts w:hint="eastAsia" w:hAnsi="仿宋_GB2312" w:cs="仿宋_GB2312"/>
          <w:bCs/>
          <w:color w:val="auto"/>
          <w:kern w:val="2"/>
          <w:sz w:val="24"/>
          <w:szCs w:val="24"/>
          <w:highlight w:val="none"/>
          <w:lang w:val="en-US" w:eastAsia="zh-CN" w:bidi="ar-SA"/>
        </w:rPr>
        <w:t>招标控制价单价限价</w:t>
      </w:r>
      <w:r>
        <w:rPr>
          <w:rFonts w:hint="eastAsia" w:ascii="仿宋_GB2312" w:hAnsi="仿宋_GB2312" w:cs="仿宋_GB2312"/>
          <w:bCs/>
          <w:color w:val="auto"/>
          <w:highlight w:val="none"/>
          <w:lang w:val="en-US" w:eastAsia="zh-CN"/>
        </w:rPr>
        <w:t>，如有新增单价则按合同相关约定）</w:t>
      </w:r>
      <w:r>
        <w:rPr>
          <w:rFonts w:hint="eastAsia" w:ascii="仿宋_GB2312" w:hAnsi="仿宋_GB2312" w:cs="仿宋_GB2312"/>
          <w:bCs/>
          <w:color w:val="auto"/>
          <w:highlight w:val="none"/>
        </w:rPr>
        <w:t>的</w:t>
      </w:r>
      <w:r>
        <w:rPr>
          <w:rFonts w:hint="eastAsia" w:ascii="仿宋_GB2312" w:hAnsi="仿宋_GB2312" w:cs="仿宋_GB2312"/>
          <w:bCs/>
          <w:color w:val="auto"/>
          <w:highlight w:val="none"/>
          <w:lang w:val="en-US" w:eastAsia="zh-CN"/>
        </w:rPr>
        <w:t>8</w:t>
      </w:r>
      <w:r>
        <w:rPr>
          <w:rFonts w:hint="eastAsia" w:ascii="仿宋_GB2312" w:hAnsi="仿宋_GB2312" w:cs="仿宋_GB2312"/>
          <w:bCs/>
          <w:color w:val="auto"/>
          <w:highlight w:val="none"/>
        </w:rPr>
        <w:t>0%给承包人</w:t>
      </w:r>
      <w:r>
        <w:rPr>
          <w:rFonts w:hint="eastAsia" w:ascii="仿宋_GB2312" w:hAnsi="仿宋_GB2312" w:cs="仿宋_GB2312"/>
          <w:bCs/>
          <w:color w:val="auto"/>
          <w:highlight w:val="none"/>
          <w:lang w:eastAsia="zh-CN"/>
        </w:rPr>
        <w:t>，</w:t>
      </w:r>
      <w:r>
        <w:rPr>
          <w:rFonts w:hint="eastAsia" w:ascii="仿宋_GB2312" w:hAnsi="仿宋_GB2312" w:cs="仿宋_GB2312"/>
          <w:bCs/>
          <w:color w:val="auto"/>
          <w:highlight w:val="none"/>
          <w:lang w:val="en-US" w:eastAsia="zh-CN"/>
        </w:rPr>
        <w:t>且不得</w:t>
      </w:r>
      <w:r>
        <w:rPr>
          <w:rFonts w:hint="eastAsia" w:ascii="仿宋_GB2312" w:hAnsi="仿宋_GB2312" w:cs="仿宋_GB2312"/>
          <w:bCs/>
          <w:color w:val="auto"/>
          <w:highlight w:val="none"/>
        </w:rPr>
        <w:t>超过</w:t>
      </w:r>
      <w:r>
        <w:rPr>
          <w:rFonts w:hint="eastAsia" w:ascii="仿宋_GB2312" w:hAnsi="仿宋_GB2312" w:cs="仿宋_GB2312"/>
          <w:bCs/>
          <w:color w:val="auto"/>
          <w:highlight w:val="none"/>
          <w:lang w:val="en-US" w:eastAsia="zh-CN"/>
        </w:rPr>
        <w:t>施工图预算</w:t>
      </w:r>
      <w:r>
        <w:rPr>
          <w:rFonts w:hint="eastAsia" w:ascii="仿宋_GB2312" w:hAnsi="仿宋_GB2312" w:cs="仿宋_GB2312"/>
          <w:bCs/>
          <w:color w:val="auto"/>
          <w:highlight w:val="none"/>
        </w:rPr>
        <w:t>的</w:t>
      </w:r>
      <w:r>
        <w:rPr>
          <w:rFonts w:hint="eastAsia" w:ascii="仿宋_GB2312" w:hAnsi="仿宋_GB2312" w:cs="仿宋_GB2312"/>
          <w:bCs/>
          <w:color w:val="auto"/>
          <w:highlight w:val="none"/>
          <w:lang w:val="en-US" w:eastAsia="zh-CN"/>
        </w:rPr>
        <w:t>6</w:t>
      </w:r>
      <w:r>
        <w:rPr>
          <w:rFonts w:hint="eastAsia" w:ascii="仿宋_GB2312" w:hAnsi="仿宋_GB2312" w:cs="仿宋_GB2312"/>
          <w:bCs/>
          <w:color w:val="auto"/>
          <w:highlight w:val="none"/>
        </w:rPr>
        <w:t>0%</w:t>
      </w:r>
      <w:r>
        <w:rPr>
          <w:rFonts w:hint="eastAsia" w:ascii="仿宋_GB2312" w:hAnsi="仿宋_GB2312" w:cs="仿宋_GB2312"/>
          <w:bCs/>
          <w:color w:val="auto"/>
          <w:highlight w:val="none"/>
          <w:lang w:val="en-US" w:eastAsia="zh-CN"/>
        </w:rPr>
        <w:t>或概算对应的工程费用</w:t>
      </w:r>
      <w:r>
        <w:rPr>
          <w:rFonts w:hint="eastAsia" w:ascii="仿宋_GB2312" w:hAnsi="仿宋_GB2312" w:cs="仿宋_GB2312"/>
          <w:bCs/>
          <w:color w:val="auto"/>
          <w:highlight w:val="none"/>
        </w:rPr>
        <w:t>的</w:t>
      </w:r>
      <w:r>
        <w:rPr>
          <w:rFonts w:hint="eastAsia" w:ascii="仿宋_GB2312" w:hAnsi="仿宋_GB2312" w:cs="仿宋_GB2312"/>
          <w:bCs/>
          <w:color w:val="auto"/>
          <w:highlight w:val="none"/>
          <w:lang w:val="en-US" w:eastAsia="zh-CN"/>
        </w:rPr>
        <w:t>55</w:t>
      </w:r>
      <w:r>
        <w:rPr>
          <w:rFonts w:hint="eastAsia" w:ascii="仿宋_GB2312" w:hAnsi="仿宋_GB2312" w:cs="仿宋_GB2312"/>
          <w:bCs/>
          <w:color w:val="auto"/>
          <w:highlight w:val="none"/>
        </w:rPr>
        <w:t>%</w:t>
      </w:r>
      <w:r>
        <w:rPr>
          <w:rFonts w:hint="eastAsia" w:ascii="仿宋_GB2312" w:hAnsi="仿宋_GB2312" w:cs="仿宋_GB2312"/>
          <w:bCs/>
          <w:color w:val="auto"/>
          <w:highlight w:val="none"/>
          <w:lang w:val="en-US" w:eastAsia="zh-CN"/>
        </w:rPr>
        <w:t>或估算审定价对应的工程费用</w:t>
      </w:r>
      <w:r>
        <w:rPr>
          <w:rFonts w:hint="eastAsia" w:ascii="仿宋_GB2312" w:hAnsi="仿宋_GB2312" w:cs="仿宋_GB2312"/>
          <w:bCs/>
          <w:color w:val="auto"/>
          <w:highlight w:val="none"/>
        </w:rPr>
        <w:t>的</w:t>
      </w:r>
      <w:r>
        <w:rPr>
          <w:rFonts w:hint="eastAsia" w:ascii="仿宋_GB2312" w:hAnsi="仿宋_GB2312" w:cs="仿宋_GB2312"/>
          <w:bCs/>
          <w:color w:val="auto"/>
          <w:highlight w:val="none"/>
          <w:lang w:val="en-US" w:eastAsia="zh-CN"/>
        </w:rPr>
        <w:t>5</w:t>
      </w:r>
      <w:r>
        <w:rPr>
          <w:rFonts w:hint="eastAsia" w:ascii="仿宋_GB2312" w:hAnsi="仿宋_GB2312" w:cs="仿宋_GB2312"/>
          <w:bCs/>
          <w:color w:val="auto"/>
          <w:highlight w:val="none"/>
        </w:rPr>
        <w:t>0%</w:t>
      </w:r>
      <w:r>
        <w:rPr>
          <w:rFonts w:hint="eastAsia" w:ascii="仿宋_GB2312" w:hAnsi="仿宋_GB2312" w:cs="仿宋_GB2312"/>
          <w:bCs/>
          <w:color w:val="auto"/>
          <w:highlight w:val="none"/>
          <w:lang w:eastAsia="zh-CN"/>
        </w:rPr>
        <w:t>，</w:t>
      </w:r>
      <w:r>
        <w:rPr>
          <w:rFonts w:hint="eastAsia" w:ascii="仿宋_GB2312" w:hAnsi="仿宋_GB2312" w:cs="仿宋_GB2312"/>
          <w:bCs/>
          <w:color w:val="auto"/>
          <w:highlight w:val="none"/>
          <w:lang w:val="en-US" w:eastAsia="zh-CN"/>
        </w:rPr>
        <w:t>有施工图预算的以施工图预算为支付依据，没施工图预算的，以概算为支付依据，以上两者均没有的，以估算审定价为支付依据。该概算（或施工图预算）由设计单位编制，若没有设计单位，则由施工单位编制。</w:t>
      </w:r>
    </w:p>
    <w:p>
      <w:pPr>
        <w:pStyle w:val="47"/>
        <w:numPr>
          <w:ilvl w:val="0"/>
          <w:numId w:val="5"/>
        </w:numPr>
        <w:ind w:firstLineChars="0"/>
        <w:rPr>
          <w:rFonts w:ascii="仿宋_GB2312" w:hAnsi="仿宋_GB2312" w:cs="仿宋_GB2312"/>
          <w:bCs/>
          <w:color w:val="auto"/>
          <w:highlight w:val="none"/>
        </w:rPr>
      </w:pPr>
      <w:r>
        <w:rPr>
          <w:rFonts w:hint="eastAsia" w:ascii="仿宋_GB2312" w:hAnsi="仿宋_GB2312" w:cs="仿宋_GB2312"/>
          <w:bCs/>
          <w:color w:val="auto"/>
          <w:highlight w:val="none"/>
        </w:rPr>
        <w:t>单个子项目工程</w:t>
      </w:r>
      <w:r>
        <w:rPr>
          <w:rFonts w:hint="eastAsia" w:ascii="仿宋_GB2312" w:hAnsi="仿宋_GB2312" w:cs="仿宋_GB2312"/>
          <w:bCs/>
          <w:color w:val="auto"/>
          <w:highlight w:val="none"/>
          <w:lang w:val="en-US" w:eastAsia="zh-CN"/>
        </w:rPr>
        <w:t>竣工</w:t>
      </w:r>
      <w:r>
        <w:rPr>
          <w:rFonts w:hint="eastAsia" w:ascii="仿宋_GB2312" w:hAnsi="仿宋_GB2312" w:cs="仿宋_GB2312"/>
          <w:bCs/>
          <w:color w:val="auto"/>
          <w:spacing w:val="-6"/>
          <w:highlight w:val="none"/>
        </w:rPr>
        <w:t>验收合格</w:t>
      </w:r>
      <w:r>
        <w:rPr>
          <w:rFonts w:hint="eastAsia" w:ascii="仿宋_GB2312" w:hAnsi="仿宋_GB2312" w:cs="仿宋_GB2312"/>
          <w:bCs/>
          <w:color w:val="auto"/>
          <w:spacing w:val="-6"/>
          <w:highlight w:val="none"/>
          <w:lang w:val="en-US" w:eastAsia="zh-CN"/>
        </w:rPr>
        <w:t>后，</w:t>
      </w:r>
      <w:r>
        <w:rPr>
          <w:rFonts w:hint="eastAsia" w:ascii="仿宋_GB2312" w:hAnsi="仿宋_GB2312" w:cs="仿宋_GB2312"/>
          <w:bCs/>
          <w:color w:val="auto"/>
          <w:highlight w:val="none"/>
          <w:lang w:val="en-US" w:eastAsia="zh-CN"/>
        </w:rPr>
        <w:t>可办理该</w:t>
      </w:r>
      <w:r>
        <w:rPr>
          <w:rFonts w:hint="eastAsia" w:ascii="仿宋_GB2312" w:hAnsi="仿宋_GB2312" w:cs="仿宋_GB2312"/>
          <w:bCs/>
          <w:color w:val="auto"/>
          <w:highlight w:val="none"/>
        </w:rPr>
        <w:t>子项</w:t>
      </w:r>
      <w:r>
        <w:rPr>
          <w:rFonts w:hint="eastAsia" w:ascii="仿宋_GB2312" w:hAnsi="仿宋_GB2312" w:cs="仿宋_GB2312"/>
          <w:bCs/>
          <w:color w:val="auto"/>
          <w:highlight w:val="none"/>
          <w:lang w:val="en-US" w:eastAsia="zh-CN"/>
        </w:rPr>
        <w:t>工程的结算，待该</w:t>
      </w:r>
      <w:r>
        <w:rPr>
          <w:rFonts w:hint="eastAsia" w:ascii="仿宋_GB2312" w:hAnsi="仿宋_GB2312" w:cs="仿宋_GB2312"/>
          <w:bCs/>
          <w:color w:val="auto"/>
          <w:highlight w:val="none"/>
        </w:rPr>
        <w:t>子项</w:t>
      </w:r>
      <w:r>
        <w:rPr>
          <w:rFonts w:hint="eastAsia" w:ascii="仿宋_GB2312" w:hAnsi="仿宋_GB2312" w:cs="仿宋_GB2312"/>
          <w:bCs/>
          <w:color w:val="auto"/>
          <w:spacing w:val="-6"/>
          <w:highlight w:val="none"/>
        </w:rPr>
        <w:t>结算终审后</w:t>
      </w:r>
      <w:r>
        <w:rPr>
          <w:rFonts w:hint="eastAsia" w:ascii="仿宋_GB2312" w:hAnsi="仿宋_GB2312" w:cs="仿宋_GB2312"/>
          <w:bCs/>
          <w:color w:val="auto"/>
          <w:spacing w:val="-6"/>
          <w:highlight w:val="none"/>
          <w:lang w:eastAsia="zh-CN"/>
        </w:rPr>
        <w:t>，</w:t>
      </w:r>
      <w:r>
        <w:rPr>
          <w:rFonts w:hint="eastAsia" w:ascii="仿宋_GB2312" w:hAnsi="仿宋_GB2312" w:cs="仿宋_GB2312"/>
          <w:bCs/>
          <w:color w:val="auto"/>
          <w:spacing w:val="-6"/>
          <w:highlight w:val="none"/>
        </w:rPr>
        <w:t>承包人提供单个子项目审定结算价100%额度的发票，发包人支付至单个子项目审定结算价的97%给承包人，余款3%作为质量保证金。</w:t>
      </w:r>
    </w:p>
    <w:p>
      <w:pPr>
        <w:pStyle w:val="47"/>
        <w:numPr>
          <w:ilvl w:val="0"/>
          <w:numId w:val="5"/>
        </w:numPr>
        <w:ind w:firstLineChars="0"/>
        <w:rPr>
          <w:rFonts w:ascii="仿宋_GB2312" w:hAnsi="仿宋_GB2312" w:cs="仿宋_GB2312"/>
          <w:bCs/>
          <w:color w:val="auto"/>
          <w:highlight w:val="none"/>
        </w:rPr>
      </w:pPr>
      <w:r>
        <w:rPr>
          <w:rFonts w:hint="eastAsia" w:ascii="仿宋_GB2312" w:hAnsi="仿宋_GB2312" w:cs="仿宋_GB2312"/>
          <w:bCs/>
          <w:color w:val="auto"/>
          <w:highlight w:val="none"/>
        </w:rPr>
        <w:t>承包人可根据实际需要</w:t>
      </w:r>
      <w:r>
        <w:rPr>
          <w:rFonts w:hint="eastAsia" w:ascii="仿宋_GB2312" w:hAnsi="仿宋_GB2312" w:cs="仿宋_GB2312"/>
          <w:bCs/>
          <w:color w:val="auto"/>
          <w:highlight w:val="none"/>
          <w:lang w:val="en-US" w:eastAsia="zh-CN"/>
        </w:rPr>
        <w:t>按上述条款</w:t>
      </w:r>
      <w:r>
        <w:rPr>
          <w:rFonts w:hint="eastAsia" w:ascii="仿宋_GB2312" w:hAnsi="仿宋_GB2312" w:cs="仿宋_GB2312"/>
          <w:bCs/>
          <w:color w:val="auto"/>
          <w:highlight w:val="none"/>
        </w:rPr>
        <w:t>申请预付款</w:t>
      </w:r>
      <w:r>
        <w:rPr>
          <w:rFonts w:hint="eastAsia" w:ascii="仿宋_GB2312" w:hAnsi="仿宋_GB2312" w:cs="仿宋_GB2312"/>
          <w:bCs/>
          <w:color w:val="auto"/>
          <w:highlight w:val="none"/>
          <w:lang w:eastAsia="zh-CN"/>
        </w:rPr>
        <w:t>、</w:t>
      </w:r>
      <w:r>
        <w:rPr>
          <w:rFonts w:hint="eastAsia" w:ascii="仿宋_GB2312" w:hAnsi="仿宋_GB2312" w:cs="仿宋_GB2312"/>
          <w:bCs/>
          <w:color w:val="auto"/>
          <w:highlight w:val="none"/>
          <w:lang w:val="en-US" w:eastAsia="zh-CN"/>
        </w:rPr>
        <w:t>进度款，</w:t>
      </w:r>
      <w:r>
        <w:rPr>
          <w:rFonts w:hint="eastAsia" w:ascii="仿宋_GB2312" w:hAnsi="仿宋_GB2312" w:cs="仿宋_GB2312"/>
          <w:bCs/>
          <w:color w:val="auto"/>
          <w:highlight w:val="none"/>
        </w:rPr>
        <w:t>亦可在单个子项目工程验收合格并结算终审后，承包人提供单个子项目审定结算价100%额度的发票，发包人支付至单个子项目审定结算价的97%给承包人，余款3%作为质量保证金。</w:t>
      </w:r>
    </w:p>
    <w:p>
      <w:pPr>
        <w:pStyle w:val="47"/>
        <w:numPr>
          <w:ilvl w:val="0"/>
          <w:numId w:val="5"/>
        </w:numPr>
        <w:ind w:firstLineChars="0"/>
        <w:rPr>
          <w:rFonts w:ascii="仿宋_GB2312" w:hAnsi="仿宋_GB2312" w:cs="仿宋_GB2312"/>
          <w:bCs/>
          <w:color w:val="auto"/>
          <w:highlight w:val="none"/>
        </w:rPr>
      </w:pPr>
      <w:r>
        <w:rPr>
          <w:rFonts w:hint="eastAsia" w:ascii="仿宋_GB2312" w:hAnsi="仿宋_GB2312" w:cs="仿宋_GB2312"/>
          <w:bCs/>
          <w:color w:val="auto"/>
          <w:highlight w:val="none"/>
        </w:rPr>
        <w:t>单个子项目工程</w:t>
      </w:r>
      <w:r>
        <w:rPr>
          <w:rFonts w:hint="eastAsia" w:ascii="仿宋_GB2312" w:hAnsi="仿宋_GB2312" w:cs="仿宋_GB2312"/>
          <w:bCs/>
          <w:color w:val="auto"/>
          <w:highlight w:val="none"/>
        </w:rPr>
        <w:t>质量保证金待缺陷责任期满并扣减缺陷修复费用（如有）后一次性付清（无息）。</w:t>
      </w:r>
    </w:p>
    <w:p>
      <w:pPr>
        <w:pStyle w:val="60"/>
        <w:jc w:val="both"/>
        <w:rPr>
          <w:rFonts w:hAnsi="仿宋_GB2312" w:cs="仿宋_GB2312"/>
          <w:bCs/>
          <w:color w:val="auto"/>
          <w:highlight w:val="none"/>
        </w:rPr>
      </w:pPr>
      <w:r>
        <w:rPr>
          <w:rFonts w:hint="eastAsia" w:hAnsi="仿宋_GB2312" w:cs="仿宋_GB2312"/>
          <w:bCs/>
          <w:color w:val="auto"/>
          <w:highlight w:val="none"/>
        </w:rPr>
        <w:t>付款方式：采用支票、银行转账两种形式。</w:t>
      </w:r>
    </w:p>
    <w:p>
      <w:pPr>
        <w:pStyle w:val="60"/>
        <w:jc w:val="both"/>
        <w:rPr>
          <w:rFonts w:hAnsi="仿宋_GB2312" w:cs="仿宋_GB2312"/>
          <w:bCs/>
          <w:color w:val="auto"/>
          <w:highlight w:val="none"/>
        </w:rPr>
      </w:pPr>
      <w:r>
        <w:rPr>
          <w:rFonts w:hint="eastAsia" w:hAnsi="仿宋_GB2312" w:cs="仿宋_GB2312"/>
          <w:bCs/>
          <w:color w:val="auto"/>
          <w:highlight w:val="none"/>
        </w:rPr>
        <w:t>承包人应在请款时按要求提供等额合法有效的符合项目内容的增值税专用发票，否则发包人有权推迟付款至承包人按要求提供发票为止且不承担违约责任。</w:t>
      </w:r>
    </w:p>
    <w:p>
      <w:pPr>
        <w:pStyle w:val="60"/>
        <w:jc w:val="both"/>
        <w:rPr>
          <w:rFonts w:hAnsi="仿宋_GB2312" w:cs="仿宋_GB2312"/>
          <w:bCs/>
          <w:color w:val="auto"/>
          <w:highlight w:val="none"/>
        </w:rPr>
      </w:pPr>
      <w:r>
        <w:rPr>
          <w:rFonts w:hint="eastAsia" w:hAnsi="仿宋_GB2312" w:cs="仿宋_GB2312"/>
          <w:bCs/>
          <w:color w:val="auto"/>
          <w:highlight w:val="none"/>
        </w:rPr>
        <w:t>若承</w:t>
      </w:r>
      <w:r>
        <w:rPr>
          <w:rFonts w:hint="eastAsia" w:hAnsi="仿宋_GB2312" w:cs="仿宋_GB2312"/>
          <w:bCs/>
          <w:color w:val="auto"/>
          <w:spacing w:val="-6"/>
          <w:highlight w:val="none"/>
        </w:rPr>
        <w:t>包人未按合同约定及要求进行施工的，发包人有权拒绝履行相应的付款义务。</w:t>
      </w:r>
    </w:p>
    <w:p>
      <w:pPr>
        <w:pStyle w:val="60"/>
        <w:jc w:val="both"/>
        <w:rPr>
          <w:rFonts w:hAnsi="仿宋_GB2312" w:cs="仿宋_GB2312"/>
          <w:bCs/>
          <w:color w:val="auto"/>
          <w:highlight w:val="none"/>
        </w:rPr>
      </w:pPr>
      <w:r>
        <w:rPr>
          <w:rFonts w:hint="eastAsia" w:hAnsi="仿宋_GB2312" w:cs="仿宋_GB2312"/>
          <w:bCs/>
          <w:color w:val="auto"/>
          <w:highlight w:val="none"/>
        </w:rPr>
        <w:t>若审定结算价少于发包人已付工程款，承包人应按发包人要求退还发包人已付款项与审定结算价之间的差额。</w:t>
      </w:r>
    </w:p>
    <w:p>
      <w:pPr>
        <w:pStyle w:val="60"/>
        <w:numPr>
          <w:ilvl w:val="0"/>
          <w:numId w:val="0"/>
        </w:numPr>
        <w:ind w:left="567"/>
        <w:jc w:val="both"/>
        <w:rPr>
          <w:rFonts w:hAnsi="仿宋_GB2312" w:cs="仿宋_GB2312"/>
          <w:bCs/>
          <w:color w:val="auto"/>
          <w:highlight w:val="none"/>
        </w:rPr>
      </w:pPr>
    </w:p>
    <w:p>
      <w:pPr>
        <w:pStyle w:val="59"/>
        <w:jc w:val="both"/>
        <w:rPr>
          <w:color w:val="auto"/>
          <w:highlight w:val="none"/>
        </w:rPr>
      </w:pPr>
      <w:r>
        <w:rPr>
          <w:rFonts w:hint="eastAsia"/>
          <w:color w:val="auto"/>
          <w:highlight w:val="none"/>
        </w:rPr>
        <w:t>履约担保</w:t>
      </w:r>
    </w:p>
    <w:p>
      <w:pPr>
        <w:pStyle w:val="60"/>
        <w:bidi w:val="0"/>
        <w:ind w:left="567" w:leftChars="0" w:hanging="567" w:firstLineChars="0"/>
        <w:rPr>
          <w:color w:val="auto"/>
          <w:highlight w:val="none"/>
        </w:rPr>
      </w:pPr>
      <w:r>
        <w:rPr>
          <w:rFonts w:hint="eastAsia"/>
          <w:color w:val="auto"/>
          <w:highlight w:val="none"/>
        </w:rPr>
        <w:t>履约担保的格式和金额</w:t>
      </w:r>
    </w:p>
    <w:p>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承包人应在申请第一笔款项前，按照发包人在招标文件中规定的格式或者其他经过发包人认可的格式或形式向发包人递交一份履约担保。经过发包人事先书面认可的其他格式的履约担保，其担保条款的实质性内容应当与发包人在招标文件中规定的格式内容保持一致。履约担保的金额按照中标合同额10%提交（具体由发包人视工程重要性、合同金额等情况确定，但不得高于中标合同额的10%）履约担保是本合同的附件二。承包人提交的履约担保将作为发包人支付预付款和进度款的前提条件之一。</w:t>
      </w:r>
    </w:p>
    <w:p>
      <w:pPr>
        <w:pStyle w:val="62"/>
        <w:rPr>
          <w:color w:val="auto"/>
          <w:highlight w:val="none"/>
        </w:rPr>
      </w:pPr>
      <w:r>
        <w:rPr>
          <w:rFonts w:hint="eastAsia"/>
          <w:color w:val="auto"/>
          <w:highlight w:val="none"/>
        </w:rPr>
        <w:t>承包人以履约银行保函形式提交履约保证金的，在银行保函到期前，承包人应提前7天向发包人提交新的保函以替换即将到期的保函，且新提交的保函的期限延长不得少于6个月。如承包人未及时提交的，发包人有权暂停承包人工程款项申请直到新的履约保函到位或直接要求担保银行支付其担保的全部金额。当发生违约情形而导致履约保证金被扣罚或因其他原因，而导致履约保证金余额少于剩余工程量的10%,或者少于合同总价的2%的，承包人应在收到发包人通知之日起在7天内补足，补足后的履约保证金金额应相当于剩余工程量的10%，且不得低于合同总价的2%，否则按两者较高者补足。对于未按时限要求补足的，发包人有权扣罚剩余的全部履约保证金并有权解除合同。</w:t>
      </w:r>
    </w:p>
    <w:p>
      <w:pPr>
        <w:pStyle w:val="62"/>
        <w:rPr>
          <w:color w:val="auto"/>
          <w:highlight w:val="none"/>
        </w:rPr>
      </w:pPr>
      <w:r>
        <w:rPr>
          <w:rFonts w:hint="eastAsia"/>
          <w:color w:val="auto"/>
          <w:highlight w:val="none"/>
        </w:rPr>
        <w:t>参照《广州市水务局转发广州市根治拖欠农民工工资工作领导小组办公室关于广州市建设领域工程项目全面实施农民工工资总包代发制度的通知》要求，承包人应按时足额向雇员支付劳务工资，并不低于当地最低工资标准。未能在信息平台办理实名制登记情况下，承包人仍需按相关规定落实工人工资实名制。对于因承包人拖欠劳务工资而造成群体性示威、游行等，造成一切不良社会影响后果的，发包人有权从承包人履约保证金或应付、将付给承包人的款项中扣除10万元/次作为违约金。发包人有权根据承包人的雇员所提供的数据直接将劳务工资支付给承包人雇员，并在应付、将付给承包人的工程款或其他款项中扣除。上述行为对发包人造成损失或导致工期延误的，应赔偿发包人的损失，工期不予顺延。</w:t>
      </w:r>
    </w:p>
    <w:p>
      <w:pPr>
        <w:pStyle w:val="60"/>
        <w:bidi w:val="0"/>
        <w:ind w:left="567" w:leftChars="0" w:hanging="567" w:firstLineChars="0"/>
        <w:rPr>
          <w:color w:val="auto"/>
          <w:highlight w:val="none"/>
        </w:rPr>
      </w:pPr>
      <w:r>
        <w:rPr>
          <w:rFonts w:hint="eastAsia"/>
          <w:color w:val="auto"/>
          <w:highlight w:val="none"/>
        </w:rPr>
        <w:t>履约担保的有效期</w:t>
      </w:r>
    </w:p>
    <w:p>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履约保证金的有效期应当自履约保函生效之日起至工程总体竣工验收合格之日止。</w:t>
      </w:r>
    </w:p>
    <w:p>
      <w:pPr>
        <w:pStyle w:val="60"/>
        <w:bidi w:val="0"/>
        <w:ind w:left="567" w:leftChars="0" w:hanging="567" w:firstLineChars="0"/>
        <w:rPr>
          <w:color w:val="auto"/>
          <w:highlight w:val="none"/>
        </w:rPr>
      </w:pPr>
      <w:r>
        <w:rPr>
          <w:rFonts w:hint="eastAsia"/>
          <w:color w:val="auto"/>
          <w:highlight w:val="none"/>
        </w:rPr>
        <w:t>履约担保的退还</w:t>
      </w:r>
    </w:p>
    <w:p>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工程总体竣工验收合格后，发包人退还履约保证金。</w:t>
      </w:r>
    </w:p>
    <w:p>
      <w:pPr>
        <w:pStyle w:val="60"/>
        <w:bidi w:val="0"/>
        <w:ind w:left="567" w:leftChars="0" w:hanging="567" w:firstLineChars="0"/>
        <w:rPr>
          <w:color w:val="auto"/>
          <w:highlight w:val="none"/>
        </w:rPr>
      </w:pPr>
      <w:r>
        <w:rPr>
          <w:rFonts w:hint="eastAsia"/>
          <w:color w:val="auto"/>
          <w:highlight w:val="none"/>
        </w:rPr>
        <w:t>通知义务</w:t>
      </w:r>
    </w:p>
    <w:p>
      <w:pPr>
        <w:spacing w:line="360"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管履约担保条款中如何约定，发包人根据担保条款提出索赔或兑现要求28天前，应通知承包人并说明导致此类索赔或兑现的违约性质或原因。相应地，承包人根据担保条款提出索赔或兑现要求28天前，也应通知发包人并说明导致此类索赔或兑现的违约性质或原因。但是，本项约定的通知不应理解为是在任何意义上寻求承包人或者发包人的同意。</w:t>
      </w:r>
    </w:p>
    <w:p>
      <w:pPr>
        <w:pStyle w:val="59"/>
        <w:rPr>
          <w:color w:val="auto"/>
          <w:highlight w:val="none"/>
        </w:rPr>
      </w:pPr>
      <w:r>
        <w:rPr>
          <w:rFonts w:hint="eastAsia"/>
          <w:color w:val="auto"/>
          <w:highlight w:val="none"/>
        </w:rPr>
        <w:t>服务期及要求</w:t>
      </w:r>
    </w:p>
    <w:p>
      <w:pPr>
        <w:pStyle w:val="36"/>
        <w:numPr>
          <w:ilvl w:val="0"/>
          <w:numId w:val="4"/>
        </w:numPr>
        <w:spacing w:line="360" w:lineRule="auto"/>
        <w:ind w:firstLineChars="0"/>
        <w:rPr>
          <w:rFonts w:ascii="仿宋_GB2312" w:hAnsi="仿宋_GB2312" w:eastAsia="仿宋_GB2312" w:cs="仿宋_GB2312"/>
          <w:bCs/>
          <w:vanish/>
          <w:color w:val="auto"/>
          <w:sz w:val="24"/>
          <w:highlight w:val="none"/>
        </w:rPr>
      </w:pPr>
    </w:p>
    <w:p>
      <w:pPr>
        <w:pStyle w:val="60"/>
        <w:rPr>
          <w:rFonts w:hAnsi="仿宋_GB2312" w:cs="仿宋_GB2312"/>
          <w:bCs/>
          <w:color w:val="auto"/>
          <w:highlight w:val="none"/>
        </w:rPr>
      </w:pPr>
      <w:r>
        <w:rPr>
          <w:rFonts w:hint="eastAsia" w:hAnsi="仿宋_GB2312" w:cs="仿宋_GB2312"/>
          <w:bCs/>
          <w:color w:val="auto"/>
          <w:highlight w:val="none"/>
        </w:rPr>
        <w:t>合同暂定服务期：暂定365日历天，实际工期自服务合同生效之日起至各标段完成维修服务为止，保修期一年。</w:t>
      </w:r>
    </w:p>
    <w:p>
      <w:pPr>
        <w:pStyle w:val="60"/>
        <w:jc w:val="both"/>
        <w:rPr>
          <w:rFonts w:hAnsi="仿宋_GB2312" w:cs="仿宋_GB2312"/>
          <w:bCs/>
          <w:color w:val="auto"/>
          <w:highlight w:val="none"/>
        </w:rPr>
      </w:pPr>
      <w:r>
        <w:rPr>
          <w:rFonts w:hint="eastAsia" w:hAnsi="仿宋_GB2312" w:cs="仿宋_GB2312"/>
          <w:bCs/>
          <w:color w:val="auto"/>
          <w:highlight w:val="none"/>
        </w:rPr>
        <w:t>响应要求：</w:t>
      </w:r>
    </w:p>
    <w:p>
      <w:pPr>
        <w:pStyle w:val="60"/>
        <w:numPr>
          <w:ilvl w:val="1"/>
          <w:numId w:val="0"/>
        </w:numPr>
        <w:ind w:firstLine="480" w:firstLineChars="200"/>
        <w:jc w:val="both"/>
        <w:rPr>
          <w:rFonts w:hAnsi="仿宋_GB2312" w:cs="仿宋_GB2312"/>
          <w:bCs/>
          <w:color w:val="auto"/>
          <w:highlight w:val="none"/>
        </w:rPr>
      </w:pPr>
      <w:r>
        <w:rPr>
          <w:rFonts w:hint="eastAsia" w:hAnsi="仿宋_GB2312" w:cs="仿宋_GB2312"/>
          <w:bCs/>
          <w:color w:val="auto"/>
          <w:highlight w:val="none"/>
        </w:rPr>
        <w:t>（1）应急、抢修项目：接我公司通知后必须马上响应，1个小时内到达现场，12小时内</w:t>
      </w:r>
      <w:r>
        <w:rPr>
          <w:rFonts w:hint="eastAsia" w:hAnsi="仿宋_GB2312" w:cs="仿宋_GB2312"/>
          <w:bCs/>
          <w:color w:val="auto"/>
          <w:highlight w:val="none"/>
          <w:lang w:val="en-US" w:eastAsia="zh-CN"/>
        </w:rPr>
        <w:t>配合设计单位</w:t>
      </w:r>
      <w:r>
        <w:rPr>
          <w:rFonts w:hint="eastAsia" w:hAnsi="仿宋_GB2312" w:cs="仿宋_GB2312"/>
          <w:bCs/>
          <w:color w:val="auto"/>
          <w:highlight w:val="none"/>
        </w:rPr>
        <w:t xml:space="preserve">出具可行实施方案（含施工简图和费用估算），24小时内组织进场。 </w:t>
      </w:r>
    </w:p>
    <w:p>
      <w:pPr>
        <w:pStyle w:val="60"/>
        <w:numPr>
          <w:ilvl w:val="1"/>
          <w:numId w:val="0"/>
        </w:numPr>
        <w:ind w:firstLine="480" w:firstLineChars="200"/>
        <w:jc w:val="both"/>
        <w:rPr>
          <w:rFonts w:hint="eastAsia" w:hAnsi="仿宋_GB2312" w:cs="仿宋_GB2312"/>
          <w:bCs/>
          <w:color w:val="auto"/>
          <w:highlight w:val="none"/>
        </w:rPr>
      </w:pPr>
      <w:r>
        <w:rPr>
          <w:rFonts w:hint="eastAsia" w:hAnsi="仿宋_GB2312" w:cs="仿宋_GB2312"/>
          <w:bCs/>
          <w:color w:val="auto"/>
          <w:highlight w:val="none"/>
        </w:rPr>
        <w:t>（2）除应急抢修外的项目：</w:t>
      </w:r>
      <w:r>
        <w:rPr>
          <w:rFonts w:hint="eastAsia" w:hAnsi="仿宋_GB2312" w:cs="仿宋_GB2312"/>
          <w:bCs/>
          <w:color w:val="auto"/>
          <w:highlight w:val="none"/>
          <w:lang w:val="en-US" w:eastAsia="zh-CN"/>
        </w:rPr>
        <w:t>接我公司通知后3个自然日内踏勘现场，现场踏勘后5</w:t>
      </w:r>
      <w:r>
        <w:rPr>
          <w:rFonts w:hint="eastAsia" w:hAnsi="仿宋_GB2312" w:cs="仿宋_GB2312"/>
          <w:bCs/>
          <w:color w:val="auto"/>
          <w:highlight w:val="none"/>
        </w:rPr>
        <w:t>个自然日内出具可行</w:t>
      </w:r>
      <w:r>
        <w:rPr>
          <w:rFonts w:hint="eastAsia" w:hAnsi="仿宋_GB2312" w:cs="仿宋_GB2312"/>
          <w:bCs/>
          <w:color w:val="auto"/>
          <w:highlight w:val="none"/>
          <w:lang w:val="en-US" w:eastAsia="zh-CN"/>
        </w:rPr>
        <w:t>施工组织方案、安全生产各项专项方案（如有）</w:t>
      </w:r>
      <w:r>
        <w:rPr>
          <w:rFonts w:hint="eastAsia" w:hAnsi="仿宋_GB2312" w:cs="仿宋_GB2312"/>
          <w:bCs/>
          <w:color w:val="auto"/>
          <w:highlight w:val="none"/>
        </w:rPr>
        <w:t>，经发包人确认方案后按发包人要求尽快进场实施。</w:t>
      </w:r>
    </w:p>
    <w:p>
      <w:pPr>
        <w:pStyle w:val="60"/>
        <w:rPr>
          <w:rFonts w:hAnsi="仿宋_GB2312" w:cs="仿宋_GB2312"/>
          <w:bCs/>
          <w:color w:val="auto"/>
          <w:highlight w:val="none"/>
        </w:rPr>
      </w:pPr>
      <w:r>
        <w:rPr>
          <w:rFonts w:hint="eastAsia" w:hAnsi="仿宋_GB2312" w:cs="仿宋_GB2312"/>
          <w:bCs/>
          <w:color w:val="auto"/>
          <w:highlight w:val="none"/>
        </w:rPr>
        <w:t>每个标段须至少配备</w:t>
      </w:r>
      <w:r>
        <w:rPr>
          <w:rFonts w:hint="eastAsia" w:hAnsi="仿宋_GB2312" w:cs="仿宋_GB2312"/>
          <w:bCs/>
          <w:color w:val="auto"/>
          <w:highlight w:val="none"/>
          <w:lang w:val="en-US" w:eastAsia="zh-CN"/>
        </w:rPr>
        <w:t>5</w:t>
      </w:r>
      <w:r>
        <w:rPr>
          <w:rFonts w:hint="eastAsia" w:hAnsi="仿宋_GB2312" w:cs="仿宋_GB2312"/>
          <w:bCs/>
          <w:color w:val="auto"/>
          <w:highlight w:val="none"/>
        </w:rPr>
        <w:t>个可独立完成作业的实施班组（含作业机械设备，包括但不限于发电机、挖掘机、动力站、CCTV、非开挖设备等），须至少满足</w:t>
      </w:r>
      <w:r>
        <w:rPr>
          <w:rFonts w:hint="eastAsia" w:hAnsi="仿宋_GB2312" w:cs="仿宋_GB2312"/>
          <w:bCs/>
          <w:color w:val="auto"/>
          <w:highlight w:val="none"/>
          <w:lang w:val="en-US" w:eastAsia="zh-CN"/>
        </w:rPr>
        <w:t>5</w:t>
      </w:r>
      <w:r>
        <w:rPr>
          <w:rFonts w:hint="eastAsia" w:hAnsi="仿宋_GB2312" w:cs="仿宋_GB2312"/>
          <w:bCs/>
          <w:color w:val="auto"/>
          <w:highlight w:val="none"/>
        </w:rPr>
        <w:t>个不同地点项目同时施工作业；每个班组须至少配备1名排水专业技术负责人、1名安全员，不少于</w:t>
      </w:r>
      <w:r>
        <w:rPr>
          <w:rFonts w:hint="eastAsia" w:hAnsi="仿宋_GB2312" w:cs="仿宋_GB2312"/>
          <w:bCs/>
          <w:color w:val="auto"/>
          <w:highlight w:val="none"/>
          <w:lang w:val="en-US" w:eastAsia="zh-CN"/>
        </w:rPr>
        <w:t>6</w:t>
      </w:r>
      <w:r>
        <w:rPr>
          <w:rFonts w:hint="eastAsia" w:hAnsi="仿宋_GB2312" w:cs="仿宋_GB2312"/>
          <w:bCs/>
          <w:color w:val="auto"/>
          <w:highlight w:val="none"/>
        </w:rPr>
        <w:t>名工作人员（前述人员不包含项目技术负责人及安全员）</w:t>
      </w:r>
      <w:r>
        <w:rPr>
          <w:rFonts w:hint="eastAsia" w:hAnsi="仿宋_GB2312" w:cs="仿宋_GB2312"/>
          <w:bCs/>
          <w:color w:val="auto"/>
          <w:highlight w:val="none"/>
          <w:lang w:eastAsia="zh-CN"/>
        </w:rPr>
        <w:t>，</w:t>
      </w:r>
      <w:r>
        <w:rPr>
          <w:rFonts w:hint="eastAsia" w:hAnsi="仿宋_GB2312" w:cs="仿宋_GB2312"/>
          <w:bCs/>
          <w:color w:val="auto"/>
          <w:highlight w:val="none"/>
        </w:rPr>
        <w:t>具体人员名单详见后附表《承包人投入主要</w:t>
      </w:r>
      <w:r>
        <w:rPr>
          <w:rFonts w:hint="eastAsia" w:hAnsi="仿宋_GB2312" w:cs="仿宋_GB2312"/>
          <w:bCs/>
          <w:color w:val="auto"/>
          <w:highlight w:val="none"/>
          <w:lang w:val="en-US" w:eastAsia="zh-CN"/>
        </w:rPr>
        <w:t>施工</w:t>
      </w:r>
      <w:r>
        <w:rPr>
          <w:rFonts w:hint="eastAsia" w:hAnsi="仿宋_GB2312" w:cs="仿宋_GB2312"/>
          <w:bCs/>
          <w:color w:val="auto"/>
          <w:highlight w:val="none"/>
        </w:rPr>
        <w:t>管理及技术人员汇总表》。</w:t>
      </w:r>
    </w:p>
    <w:p>
      <w:pPr>
        <w:pStyle w:val="60"/>
        <w:rPr>
          <w:rFonts w:hAnsi="仿宋_GB2312" w:cs="仿宋_GB2312"/>
          <w:bCs/>
          <w:color w:val="auto"/>
          <w:highlight w:val="none"/>
        </w:rPr>
      </w:pPr>
      <w:r>
        <w:rPr>
          <w:rFonts w:hint="eastAsia" w:hAnsi="仿宋_GB2312" w:cs="仿宋_GB2312"/>
          <w:bCs/>
          <w:color w:val="auto"/>
          <w:highlight w:val="none"/>
          <w:lang w:val="en-US" w:eastAsia="zh-CN"/>
        </w:rPr>
        <w:t>所有节假日期间应设立备勤班组，保证</w:t>
      </w:r>
      <w:r>
        <w:rPr>
          <w:rFonts w:hint="eastAsia" w:hAnsi="仿宋_GB2312" w:cs="仿宋_GB2312"/>
          <w:bCs/>
          <w:color w:val="auto"/>
          <w:highlight w:val="none"/>
        </w:rPr>
        <w:t>每个标段至少配备</w:t>
      </w:r>
      <w:r>
        <w:rPr>
          <w:rFonts w:hint="eastAsia" w:hAnsi="仿宋_GB2312" w:cs="仿宋_GB2312"/>
          <w:bCs/>
          <w:color w:val="auto"/>
          <w:highlight w:val="none"/>
          <w:lang w:val="en-US" w:eastAsia="zh-CN"/>
        </w:rPr>
        <w:t>2</w:t>
      </w:r>
      <w:r>
        <w:rPr>
          <w:rFonts w:hint="eastAsia" w:hAnsi="仿宋_GB2312" w:cs="仿宋_GB2312"/>
          <w:bCs/>
          <w:color w:val="auto"/>
          <w:highlight w:val="none"/>
        </w:rPr>
        <w:t>个可独立完成作业的实施班组（含作业机械设备，包括但不限于发电机、挖掘机、动力站、CCTV、非开挖设备等），须至少满足</w:t>
      </w:r>
      <w:r>
        <w:rPr>
          <w:rFonts w:hint="eastAsia" w:hAnsi="仿宋_GB2312" w:cs="仿宋_GB2312"/>
          <w:bCs/>
          <w:color w:val="auto"/>
          <w:highlight w:val="none"/>
          <w:lang w:val="en-US" w:eastAsia="zh-CN"/>
        </w:rPr>
        <w:t>2</w:t>
      </w:r>
      <w:r>
        <w:rPr>
          <w:rFonts w:hint="eastAsia" w:hAnsi="仿宋_GB2312" w:cs="仿宋_GB2312"/>
          <w:bCs/>
          <w:color w:val="auto"/>
          <w:highlight w:val="none"/>
        </w:rPr>
        <w:t>个不同地点项目同时施工作业；每个班组须至少配备1名排水专业技术负责人、1名安全员，不少于</w:t>
      </w:r>
      <w:r>
        <w:rPr>
          <w:rFonts w:hint="eastAsia" w:hAnsi="仿宋_GB2312" w:cs="仿宋_GB2312"/>
          <w:bCs/>
          <w:color w:val="auto"/>
          <w:highlight w:val="none"/>
          <w:lang w:val="en-US" w:eastAsia="zh-CN"/>
        </w:rPr>
        <w:t>6</w:t>
      </w:r>
      <w:r>
        <w:rPr>
          <w:rFonts w:hint="eastAsia" w:hAnsi="仿宋_GB2312" w:cs="仿宋_GB2312"/>
          <w:bCs/>
          <w:color w:val="auto"/>
          <w:highlight w:val="none"/>
        </w:rPr>
        <w:t>名工作人员（前述人员不包含项目技术负责人及安全员）</w:t>
      </w:r>
      <w:r>
        <w:rPr>
          <w:rFonts w:hint="eastAsia" w:hAnsi="仿宋_GB2312" w:cs="仿宋_GB2312"/>
          <w:bCs/>
          <w:color w:val="auto"/>
          <w:highlight w:val="none"/>
          <w:lang w:eastAsia="zh-CN"/>
        </w:rPr>
        <w:t>。</w:t>
      </w:r>
    </w:p>
    <w:p>
      <w:pPr>
        <w:pStyle w:val="60"/>
        <w:rPr>
          <w:rFonts w:hAnsi="仿宋_GB2312" w:cs="仿宋_GB2312"/>
          <w:bCs/>
          <w:color w:val="auto"/>
          <w:highlight w:val="none"/>
        </w:rPr>
      </w:pPr>
      <w:r>
        <w:rPr>
          <w:rFonts w:hint="eastAsia" w:hAnsi="仿宋_GB2312" w:cs="仿宋_GB2312"/>
          <w:bCs/>
          <w:color w:val="auto"/>
          <w:highlight w:val="none"/>
        </w:rPr>
        <w:t>承包人进场后应编制工期计划并报送发包人确认，在实施过程中如有变化的，应重新编制工期计划报送发包人确认。</w:t>
      </w:r>
    </w:p>
    <w:p>
      <w:pPr>
        <w:pStyle w:val="47"/>
        <w:ind w:firstLine="480"/>
        <w:rPr>
          <w:rFonts w:ascii="仿宋_GB2312" w:hAnsi="仿宋_GB2312" w:cs="仿宋_GB2312"/>
          <w:bCs/>
          <w:color w:val="auto"/>
          <w:highlight w:val="none"/>
        </w:rPr>
      </w:pPr>
      <w:r>
        <w:rPr>
          <w:rFonts w:hint="eastAsia" w:ascii="仿宋_GB2312" w:hAnsi="仿宋_GB2312" w:cs="仿宋_GB2312"/>
          <w:bCs/>
          <w:color w:val="auto"/>
          <w:highlight w:val="none"/>
        </w:rPr>
        <w:t>实际开工日期：具体日期以发包人发出的开工令为准。承包人不能按时开工，应当不迟于各子项修复任务单开工日期前</w:t>
      </w:r>
      <w:r>
        <w:rPr>
          <w:rFonts w:hint="eastAsia" w:ascii="仿宋_GB2312" w:hAnsi="仿宋_GB2312" w:cs="仿宋_GB2312"/>
          <w:bCs/>
          <w:color w:val="auto"/>
          <w:highlight w:val="none"/>
          <w:lang w:val="en-US" w:eastAsia="zh-CN"/>
        </w:rPr>
        <w:t>3</w:t>
      </w:r>
      <w:r>
        <w:rPr>
          <w:rFonts w:hint="eastAsia" w:ascii="仿宋_GB2312" w:hAnsi="仿宋_GB2312" w:cs="仿宋_GB2312"/>
          <w:bCs/>
          <w:color w:val="auto"/>
          <w:highlight w:val="none"/>
        </w:rPr>
        <w:t>天，以书面形式向发包人提出延期开工的理由和要求。发包人应当在接到延期开工申请后的48小时内以书面形式答复承包人。发包人不同意延期要求或承包人未在规定时间内提出延期开工要求，工期不予顺延。</w:t>
      </w:r>
    </w:p>
    <w:p>
      <w:pPr>
        <w:pStyle w:val="47"/>
        <w:ind w:firstLine="480"/>
        <w:rPr>
          <w:rFonts w:ascii="仿宋_GB2312" w:hAnsi="仿宋_GB2312" w:cs="仿宋_GB2312"/>
          <w:bCs/>
          <w:color w:val="auto"/>
          <w:highlight w:val="none"/>
        </w:rPr>
      </w:pPr>
      <w:r>
        <w:rPr>
          <w:rFonts w:hint="eastAsia" w:ascii="仿宋_GB2312" w:hAnsi="仿宋_GB2312" w:cs="仿宋_GB2312"/>
          <w:bCs/>
          <w:color w:val="auto"/>
          <w:highlight w:val="none"/>
        </w:rPr>
        <w:t>实际完工日期：为实际完成工程施工的时间，具体日期以竣工验收申请报告上的完工日期为准。</w:t>
      </w:r>
    </w:p>
    <w:p>
      <w:pPr>
        <w:pStyle w:val="47"/>
        <w:ind w:firstLine="480"/>
        <w:rPr>
          <w:rFonts w:ascii="仿宋_GB2312" w:hAnsi="仿宋_GB2312" w:cs="仿宋_GB2312"/>
          <w:bCs/>
          <w:color w:val="auto"/>
          <w:highlight w:val="none"/>
        </w:rPr>
      </w:pPr>
      <w:r>
        <w:rPr>
          <w:rFonts w:hint="eastAsia" w:ascii="仿宋_GB2312" w:hAnsi="仿宋_GB2312" w:cs="仿宋_GB2312"/>
          <w:bCs/>
          <w:color w:val="auto"/>
          <w:highlight w:val="none"/>
        </w:rPr>
        <w:t>实际竣工日期：具体日期以发包人签认的竣工时间为准。</w:t>
      </w:r>
    </w:p>
    <w:p>
      <w:pPr>
        <w:pStyle w:val="60"/>
        <w:jc w:val="both"/>
        <w:rPr>
          <w:rFonts w:hAnsi="仿宋_GB2312" w:cs="仿宋_GB2312"/>
          <w:bCs/>
          <w:color w:val="auto"/>
          <w:highlight w:val="none"/>
        </w:rPr>
      </w:pPr>
      <w:r>
        <w:rPr>
          <w:rFonts w:hint="eastAsia" w:hAnsi="仿宋_GB2312" w:cs="仿宋_GB2312"/>
          <w:bCs/>
          <w:color w:val="auto"/>
          <w:highlight w:val="none"/>
        </w:rPr>
        <w:t>工程实施过程中，出现下列情形，经发包人确认，工期予以顺延：</w:t>
      </w:r>
    </w:p>
    <w:p>
      <w:pPr>
        <w:pStyle w:val="47"/>
        <w:numPr>
          <w:ilvl w:val="0"/>
          <w:numId w:val="6"/>
        </w:numPr>
        <w:ind w:firstLineChars="0"/>
        <w:rPr>
          <w:rFonts w:ascii="仿宋_GB2312" w:hAnsi="仿宋_GB2312" w:cs="仿宋_GB2312"/>
          <w:bCs/>
          <w:color w:val="auto"/>
          <w:highlight w:val="none"/>
        </w:rPr>
      </w:pPr>
      <w:r>
        <w:rPr>
          <w:rFonts w:hint="eastAsia" w:ascii="仿宋_GB2312" w:hAnsi="仿宋_GB2312" w:cs="仿宋_GB2312"/>
          <w:bCs/>
          <w:color w:val="auto"/>
          <w:highlight w:val="none"/>
        </w:rPr>
        <w:t>不可抗力因素；</w:t>
      </w:r>
    </w:p>
    <w:p>
      <w:pPr>
        <w:pStyle w:val="47"/>
        <w:numPr>
          <w:ilvl w:val="0"/>
          <w:numId w:val="6"/>
        </w:numPr>
        <w:ind w:firstLineChars="0"/>
        <w:rPr>
          <w:rFonts w:ascii="仿宋_GB2312" w:hAnsi="仿宋_GB2312" w:cs="仿宋_GB2312"/>
          <w:bCs/>
          <w:color w:val="auto"/>
          <w:highlight w:val="none"/>
        </w:rPr>
      </w:pPr>
      <w:r>
        <w:rPr>
          <w:rFonts w:hint="eastAsia" w:ascii="仿宋_GB2312" w:hAnsi="仿宋_GB2312" w:cs="仿宋_GB2312"/>
          <w:bCs/>
          <w:color w:val="auto"/>
          <w:highlight w:val="none"/>
        </w:rPr>
        <w:t>由于设计变更，致使工程量重大增加者（超过总量的10%）。</w:t>
      </w:r>
    </w:p>
    <w:p>
      <w:pPr>
        <w:pStyle w:val="60"/>
        <w:jc w:val="both"/>
        <w:rPr>
          <w:rFonts w:hAnsi="仿宋_GB2312" w:cs="仿宋_GB2312"/>
          <w:bCs/>
          <w:color w:val="auto"/>
          <w:highlight w:val="none"/>
        </w:rPr>
      </w:pPr>
      <w:r>
        <w:rPr>
          <w:rFonts w:hint="eastAsia" w:hAnsi="仿宋_GB2312" w:cs="仿宋_GB2312"/>
          <w:bCs/>
          <w:color w:val="auto"/>
          <w:highlight w:val="none"/>
        </w:rPr>
        <w:t>承包人在施工期间应严格遵守《中华人民共和国安全生产法》、《建设工程安全生产管理条例》以及文明施工、夜间施工、环卫和城管等规定，建立规章制度和防护措施。若违反以上规定，由此造成的人员或财产损害，或造成安全、环保、卫生等责任事故，相关的经济和法律责任均由承包人负责。</w:t>
      </w:r>
    </w:p>
    <w:p>
      <w:pPr>
        <w:pStyle w:val="60"/>
        <w:jc w:val="both"/>
        <w:rPr>
          <w:rFonts w:hAnsi="仿宋_GB2312" w:cs="仿宋_GB2312"/>
          <w:bCs/>
          <w:color w:val="auto"/>
          <w:highlight w:val="none"/>
        </w:rPr>
      </w:pPr>
      <w:r>
        <w:rPr>
          <w:rFonts w:hint="eastAsia" w:hAnsi="仿宋_GB2312" w:cs="仿宋_GB2312"/>
          <w:bCs/>
          <w:color w:val="auto"/>
          <w:highlight w:val="none"/>
        </w:rPr>
        <w:t>承包人应按合同的要求实施工程以及发包人、监理（如有）提供的技术文件的要求进行本工程的施工和安装，保证工程质量。承包人未经发包人书面同意，不得将本工程图纸（如有）等技术文件提供给第三人。工程质量保修期满后，除发包人书面同意外，承包人应将全部图纸退还给发包人，并销毁相应的复印件、扫描件等。</w:t>
      </w:r>
    </w:p>
    <w:p>
      <w:pPr>
        <w:pStyle w:val="60"/>
        <w:jc w:val="both"/>
        <w:rPr>
          <w:rFonts w:hAnsi="仿宋_GB2312" w:cs="仿宋_GB2312"/>
          <w:bCs/>
          <w:color w:val="auto"/>
          <w:highlight w:val="none"/>
        </w:rPr>
      </w:pPr>
      <w:r>
        <w:rPr>
          <w:rFonts w:hint="eastAsia" w:hAnsi="仿宋_GB2312" w:cs="仿宋_GB2312"/>
          <w:bCs/>
          <w:color w:val="auto"/>
          <w:highlight w:val="none"/>
        </w:rPr>
        <w:t>合同约定的工程项目，除经发包人认可的劳务分包以外，其余工作内容不得分包，项目整体不得转包。否则，发包人有权单方面终止合同，并要求承包人立即退场并退还发包人已付的款项（已通过发包人验收的部分除外），由此而造成的经济损失由承包人负责赔偿。</w:t>
      </w:r>
    </w:p>
    <w:p>
      <w:pPr>
        <w:pStyle w:val="60"/>
        <w:numPr>
          <w:ilvl w:val="0"/>
          <w:numId w:val="0"/>
        </w:numPr>
        <w:jc w:val="both"/>
        <w:rPr>
          <w:rFonts w:hAnsi="仿宋_GB2312" w:cs="仿宋_GB2312"/>
          <w:bCs/>
          <w:color w:val="auto"/>
          <w:highlight w:val="none"/>
        </w:rPr>
      </w:pPr>
    </w:p>
    <w:p>
      <w:pPr>
        <w:pStyle w:val="59"/>
        <w:rPr>
          <w:color w:val="auto"/>
          <w:highlight w:val="none"/>
        </w:rPr>
      </w:pPr>
      <w:r>
        <w:rPr>
          <w:rFonts w:hint="eastAsia"/>
          <w:color w:val="auto"/>
          <w:highlight w:val="none"/>
        </w:rPr>
        <w:t>施工条件及管理要求</w:t>
      </w:r>
    </w:p>
    <w:p>
      <w:pPr>
        <w:pStyle w:val="59"/>
        <w:rPr>
          <w:rFonts w:hAnsi="仿宋_GB2312" w:eastAsia="仿宋_GB2312" w:cs="仿宋_GB2312"/>
          <w:b w:val="0"/>
          <w:bCs/>
          <w:vanish/>
          <w:color w:val="auto"/>
          <w:highlight w:val="none"/>
        </w:rPr>
      </w:pPr>
    </w:p>
    <w:p>
      <w:pPr>
        <w:pStyle w:val="60"/>
        <w:numPr>
          <w:ilvl w:val="0"/>
          <w:numId w:val="0"/>
        </w:numPr>
        <w:ind w:left="567" w:hanging="567"/>
        <w:jc w:val="both"/>
        <w:rPr>
          <w:rFonts w:hAnsi="仿宋_GB2312" w:cs="仿宋_GB2312"/>
          <w:bCs/>
          <w:color w:val="auto"/>
          <w:highlight w:val="none"/>
        </w:rPr>
      </w:pPr>
      <w:r>
        <w:rPr>
          <w:rFonts w:hint="eastAsia" w:hAnsi="仿宋_GB2312" w:cs="仿宋_GB2312"/>
          <w:bCs/>
          <w:color w:val="auto"/>
          <w:highlight w:val="none"/>
        </w:rPr>
        <w:t>6.1.承包人必须遵守广州市城市排水有限公司各项规章制度。</w:t>
      </w:r>
    </w:p>
    <w:p>
      <w:pPr>
        <w:pStyle w:val="60"/>
        <w:numPr>
          <w:ilvl w:val="0"/>
          <w:numId w:val="0"/>
        </w:numPr>
        <w:ind w:left="567" w:hanging="567"/>
        <w:jc w:val="both"/>
        <w:rPr>
          <w:rFonts w:hAnsi="仿宋_GB2312" w:cs="仿宋_GB2312"/>
          <w:bCs/>
          <w:color w:val="auto"/>
          <w:highlight w:val="none"/>
        </w:rPr>
      </w:pPr>
      <w:r>
        <w:rPr>
          <w:rFonts w:hint="eastAsia" w:hAnsi="仿宋_GB2312" w:cs="仿宋_GB2312"/>
          <w:bCs/>
          <w:color w:val="auto"/>
          <w:highlight w:val="none"/>
        </w:rPr>
        <w:t>6.2. 环境保护要求：</w:t>
      </w:r>
    </w:p>
    <w:p>
      <w:pPr>
        <w:pStyle w:val="47"/>
        <w:numPr>
          <w:ilvl w:val="0"/>
          <w:numId w:val="7"/>
        </w:numPr>
        <w:ind w:firstLineChars="0"/>
        <w:rPr>
          <w:rFonts w:ascii="仿宋_GB2312" w:hAnsi="仿宋_GB2312" w:cs="仿宋_GB2312"/>
          <w:bCs/>
          <w:color w:val="auto"/>
          <w:highlight w:val="none"/>
        </w:rPr>
      </w:pPr>
      <w:r>
        <w:rPr>
          <w:rFonts w:hint="eastAsia" w:ascii="仿宋_GB2312" w:hAnsi="仿宋_GB2312" w:cs="仿宋_GB2312"/>
          <w:bCs/>
          <w:color w:val="auto"/>
          <w:highlight w:val="none"/>
        </w:rPr>
        <w:t>做好施工噪声、废气、废水等控制。</w:t>
      </w:r>
    </w:p>
    <w:p>
      <w:pPr>
        <w:pStyle w:val="47"/>
        <w:numPr>
          <w:ilvl w:val="0"/>
          <w:numId w:val="7"/>
        </w:numPr>
        <w:ind w:firstLineChars="0"/>
        <w:rPr>
          <w:rFonts w:ascii="仿宋_GB2312" w:hAnsi="仿宋_GB2312" w:cs="仿宋_GB2312"/>
          <w:bCs/>
          <w:color w:val="auto"/>
          <w:highlight w:val="none"/>
        </w:rPr>
      </w:pPr>
      <w:r>
        <w:rPr>
          <w:rFonts w:hint="eastAsia" w:ascii="仿宋_GB2312" w:hAnsi="仿宋_GB2312" w:cs="仿宋_GB2312"/>
          <w:bCs/>
          <w:color w:val="auto"/>
          <w:highlight w:val="none"/>
        </w:rPr>
        <w:t>按照国家及广州市相关规定做好建筑垃圾的处理。</w:t>
      </w:r>
    </w:p>
    <w:p>
      <w:pPr>
        <w:pStyle w:val="47"/>
        <w:numPr>
          <w:ilvl w:val="0"/>
          <w:numId w:val="7"/>
        </w:numPr>
        <w:ind w:firstLineChars="0"/>
        <w:rPr>
          <w:rFonts w:ascii="仿宋_GB2312" w:hAnsi="仿宋_GB2312" w:cs="仿宋_GB2312"/>
          <w:bCs/>
          <w:color w:val="auto"/>
          <w:highlight w:val="none"/>
        </w:rPr>
      </w:pPr>
      <w:r>
        <w:rPr>
          <w:rFonts w:hint="eastAsia" w:ascii="仿宋_GB2312" w:hAnsi="仿宋_GB2312" w:cs="仿宋_GB2312"/>
          <w:bCs/>
          <w:color w:val="auto"/>
          <w:highlight w:val="none"/>
        </w:rPr>
        <w:t>承包人应根据《广州水投集团关于印发建设工地围蔽管理办法（试行）的通知》（穗水投〔2021〕50号）、《市水投集团关于进一步加强工地扬尘防治“六个100%”管理要求的通知》（穗水投业务〔2018〕160号）等要求，做好施工现场100%围蔽、工地砂土100%覆盖、工地路面100%硬地化、拆除工程100%洒水压尘、出工地车辆100%冲净车轮车身、暂不开发的场地100%绿化等工作。</w:t>
      </w:r>
    </w:p>
    <w:p>
      <w:pPr>
        <w:pStyle w:val="47"/>
        <w:ind w:left="900" w:firstLine="0" w:firstLineChars="0"/>
        <w:rPr>
          <w:rFonts w:ascii="仿宋_GB2312" w:hAnsi="仿宋_GB2312" w:cs="仿宋_GB2312"/>
          <w:bCs/>
          <w:color w:val="auto"/>
          <w:highlight w:val="none"/>
        </w:rPr>
      </w:pPr>
    </w:p>
    <w:p>
      <w:pPr>
        <w:pStyle w:val="59"/>
        <w:numPr>
          <w:ilvl w:val="0"/>
          <w:numId w:val="8"/>
        </w:numPr>
        <w:rPr>
          <w:color w:val="auto"/>
          <w:highlight w:val="none"/>
        </w:rPr>
      </w:pPr>
      <w:r>
        <w:rPr>
          <w:rFonts w:hint="eastAsia"/>
          <w:color w:val="auto"/>
          <w:highlight w:val="none"/>
        </w:rPr>
        <w:t>缺陷责任期与质量保修</w:t>
      </w:r>
    </w:p>
    <w:p>
      <w:pPr>
        <w:numPr>
          <w:ilvl w:val="1"/>
          <w:numId w:val="2"/>
        </w:numPr>
        <w:spacing w:line="360" w:lineRule="auto"/>
        <w:ind w:left="1843" w:hanging="1843"/>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质量标准：合格。                                                                                                           </w:t>
      </w:r>
    </w:p>
    <w:p>
      <w:pPr>
        <w:numPr>
          <w:ilvl w:val="1"/>
          <w:numId w:val="2"/>
        </w:numPr>
        <w:spacing w:line="36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缺陷责任期：指承包人按照合同约定承担缺陷修复义务，且发包人预留质量保证金的期限。各子项目缺陷责任期自实际竣工验收之日起算，期限为1年。</w:t>
      </w:r>
    </w:p>
    <w:p>
      <w:pPr>
        <w:numPr>
          <w:ilvl w:val="2"/>
          <w:numId w:val="2"/>
        </w:numPr>
        <w:spacing w:line="360" w:lineRule="auto"/>
        <w:ind w:left="709" w:hanging="709"/>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缺陷责任期内，由承包人原因造成的缺陷，承包人应负责维修直至检验合格为止，并承担鉴定及维修费用；如承包人不维修也不承担费用，发包人可按合同约定在质量保证金中扣除，并由承包人承担违约责任；费用超出质量保证金额的，承包人应向发包人赔偿。承包人维修并承担相应费用后，不免除对工程的损失赔偿责任。</w:t>
      </w:r>
    </w:p>
    <w:p>
      <w:pPr>
        <w:numPr>
          <w:ilvl w:val="2"/>
          <w:numId w:val="2"/>
        </w:numPr>
        <w:spacing w:line="360" w:lineRule="auto"/>
        <w:ind w:left="709" w:hanging="709"/>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pPr>
        <w:numPr>
          <w:ilvl w:val="2"/>
          <w:numId w:val="2"/>
        </w:numPr>
        <w:spacing w:line="360" w:lineRule="auto"/>
        <w:ind w:left="709" w:hanging="709"/>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缺陷责任期（包括前款时间）满时，承包人没有完成缺陷责任期内修复等责任的，发包人有权扣留与未完成缺陷责任剩余工作所需金额相应的质量保证金余额，并有权根据前款约定要求延长缺陷责任期，直到完成剩余工作为止。</w:t>
      </w:r>
    </w:p>
    <w:p>
      <w:pPr>
        <w:numPr>
          <w:ilvl w:val="2"/>
          <w:numId w:val="2"/>
        </w:numPr>
        <w:spacing w:line="360" w:lineRule="auto"/>
        <w:ind w:left="709" w:hanging="709"/>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质量保证金的返还，并不能被视为免除承包人按照合同约定应承担的质量保修责任和应履行的质量保修义务。</w:t>
      </w:r>
    </w:p>
    <w:p>
      <w:pPr>
        <w:numPr>
          <w:ilvl w:val="1"/>
          <w:numId w:val="2"/>
        </w:numPr>
        <w:spacing w:line="36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保修期：指承包人按照合同约定对工程承担保修责任的期限。保修期从单个子项工程竣工验收合格之日起算，期限：1年。（依据国家有关规定，基础设施工程、房屋建筑的地基基础工程和主体结构工程，为设计文件规定的该工程的合理使用年限；屋面防水工程为 5 年；电气管线、给排水管道、设备安装和装修工程为 2 年；供热及供冷系统为 2 个采暖期、供冷期）</w:t>
      </w:r>
    </w:p>
    <w:p>
      <w:pPr>
        <w:numPr>
          <w:ilvl w:val="2"/>
          <w:numId w:val="2"/>
        </w:numPr>
        <w:spacing w:line="360" w:lineRule="auto"/>
        <w:ind w:left="709" w:hanging="709"/>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承包人应在接到保修通知之日起3天内派人到达现场并免费保修。</w:t>
      </w:r>
    </w:p>
    <w:p>
      <w:pPr>
        <w:numPr>
          <w:ilvl w:val="2"/>
          <w:numId w:val="2"/>
        </w:numPr>
        <w:spacing w:line="360" w:lineRule="auto"/>
        <w:ind w:left="709" w:hanging="709"/>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保修期内修复费用：</w:t>
      </w:r>
    </w:p>
    <w:p>
      <w:pPr>
        <w:pStyle w:val="62"/>
        <w:numPr>
          <w:ilvl w:val="2"/>
          <w:numId w:val="9"/>
        </w:numPr>
        <w:ind w:left="851" w:hanging="567"/>
        <w:jc w:val="both"/>
        <w:rPr>
          <w:rFonts w:hAnsi="仿宋_GB2312" w:cs="仿宋_GB2312"/>
          <w:bCs/>
          <w:color w:val="auto"/>
          <w:highlight w:val="none"/>
        </w:rPr>
      </w:pPr>
      <w:r>
        <w:rPr>
          <w:rFonts w:hint="eastAsia" w:hAnsi="仿宋_GB2312" w:cs="仿宋_GB2312"/>
          <w:bCs/>
          <w:color w:val="auto"/>
          <w:highlight w:val="none"/>
        </w:rPr>
        <w:t>因承包人原因造成工程的缺陷、损坏，或发生质量问题，承包人应负责修复，并承担修复的费用以及因此造成的人身伤害和财产损失；</w:t>
      </w:r>
    </w:p>
    <w:p>
      <w:pPr>
        <w:pStyle w:val="62"/>
        <w:numPr>
          <w:ilvl w:val="2"/>
          <w:numId w:val="9"/>
        </w:numPr>
        <w:ind w:left="851" w:hanging="567"/>
        <w:jc w:val="both"/>
        <w:rPr>
          <w:rFonts w:hAnsi="仿宋_GB2312" w:cs="仿宋_GB2312"/>
          <w:bCs/>
          <w:color w:val="auto"/>
          <w:highlight w:val="none"/>
        </w:rPr>
      </w:pPr>
      <w:r>
        <w:rPr>
          <w:rFonts w:hint="eastAsia" w:hAnsi="仿宋_GB2312" w:cs="仿宋_GB2312"/>
          <w:bCs/>
          <w:color w:val="auto"/>
          <w:highlight w:val="none"/>
        </w:rPr>
        <w:t>保修期内，因发包人使用不当造成工程的缺陷、损坏，可以委托承包人修复，修复费用由发包人承担；</w:t>
      </w:r>
    </w:p>
    <w:p>
      <w:pPr>
        <w:pStyle w:val="36"/>
        <w:numPr>
          <w:ilvl w:val="2"/>
          <w:numId w:val="9"/>
        </w:numPr>
        <w:spacing w:line="360" w:lineRule="auto"/>
        <w:ind w:left="851" w:hanging="567" w:firstLineChars="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因其他原因造成工程的缺陷、损坏，可以委托承包人修复，发包人承担修复费用，因工程的缺陷、损坏造成的人身伤害和财产损失由责任方承担。</w:t>
      </w:r>
    </w:p>
    <w:p>
      <w:pPr>
        <w:spacing w:line="360" w:lineRule="auto"/>
        <w:rPr>
          <w:rFonts w:ascii="仿宋_GB2312" w:hAnsi="仿宋_GB2312" w:eastAsia="仿宋_GB2312" w:cs="仿宋_GB2312"/>
          <w:bCs/>
          <w:color w:val="auto"/>
          <w:highlight w:val="none"/>
        </w:rPr>
      </w:pPr>
    </w:p>
    <w:p>
      <w:pPr>
        <w:pStyle w:val="59"/>
        <w:rPr>
          <w:rStyle w:val="66"/>
          <w:rFonts w:ascii="仿宋_GB2312" w:eastAsia="黑体"/>
          <w:color w:val="auto"/>
          <w:highlight w:val="none"/>
        </w:rPr>
      </w:pPr>
      <w:r>
        <w:rPr>
          <w:rStyle w:val="66"/>
          <w:rFonts w:hint="eastAsia"/>
          <w:color w:val="auto"/>
          <w:highlight w:val="none"/>
        </w:rPr>
        <w:t>价格调整</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8.1物价波动引起的调整：</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8.1.1当单个修复任务单项目的开工日期在本合同签订日期起1年内（含本数）时，对该项目不考虑因市场价格变化、工程造价管理部门公布的价格调整、人员工资福利调整而调整（建设行政主管部门文件下达必须调整的除外）；当单个修复任务单项目的开工日期在本合同签订日期起1年外时，对该项目按8.1.2 条执行；</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8.1.2该项目对应工程实体的主要材料（如钢材（钢筋、钢绞线、型钢、钢板）、混凝土、砂、碎石、石屑、水泥、砂浆、管材等主要材料）的价格调整：若合同履行期间因市场波动造成前述材料价格涨落幅度以基准价格为基础不超过 10%（含 10%），结算时不调整价差；若合同履行期间因市场波动造成前述材料价格涨落幅度以基准价格为基础超过 10%（不含 10%），超出 10%以上部分据实调整。具体调整方法如下：</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8.1.2.1因市场波动造成前述材料价格涨落，依据《广州市建设工程造价管理站关于发布</w:t>
      </w:r>
      <w:r>
        <w:rPr>
          <w:rFonts w:hint="eastAsia" w:hAnsi="仿宋_GB2312" w:eastAsia="仿宋_GB2312" w:cs="仿宋_GB2312"/>
          <w:b w:val="0"/>
          <w:bCs/>
          <w:color w:val="auto"/>
          <w:highlight w:val="none"/>
          <w:u w:val="single"/>
        </w:rPr>
        <w:t xml:space="preserve"> </w:t>
      </w:r>
      <w:r>
        <w:rPr>
          <w:rFonts w:hAnsi="仿宋_GB2312" w:eastAsia="仿宋_GB2312" w:cs="仿宋_GB2312"/>
          <w:b w:val="0"/>
          <w:bCs/>
          <w:color w:val="auto"/>
          <w:highlight w:val="none"/>
          <w:u w:val="single"/>
        </w:rPr>
        <w:t xml:space="preserve">   </w:t>
      </w:r>
      <w:r>
        <w:rPr>
          <w:rFonts w:hint="eastAsia" w:hAnsi="仿宋_GB2312" w:eastAsia="仿宋_GB2312" w:cs="仿宋_GB2312"/>
          <w:b w:val="0"/>
          <w:bCs/>
          <w:color w:val="auto"/>
          <w:highlight w:val="none"/>
        </w:rPr>
        <w:t>年</w:t>
      </w:r>
      <w:r>
        <w:rPr>
          <w:rFonts w:hint="eastAsia" w:hAnsi="仿宋_GB2312" w:eastAsia="仿宋_GB2312" w:cs="仿宋_GB2312"/>
          <w:b w:val="0"/>
          <w:bCs/>
          <w:color w:val="auto"/>
          <w:highlight w:val="none"/>
          <w:u w:val="single"/>
        </w:rPr>
        <w:t xml:space="preserve"> </w:t>
      </w:r>
      <w:r>
        <w:rPr>
          <w:rFonts w:hAnsi="仿宋_GB2312" w:eastAsia="仿宋_GB2312" w:cs="仿宋_GB2312"/>
          <w:b w:val="0"/>
          <w:bCs/>
          <w:color w:val="auto"/>
          <w:highlight w:val="none"/>
          <w:u w:val="single"/>
        </w:rPr>
        <w:t xml:space="preserve">   </w:t>
      </w:r>
      <w:r>
        <w:rPr>
          <w:rFonts w:hint="eastAsia" w:hAnsi="仿宋_GB2312" w:eastAsia="仿宋_GB2312" w:cs="仿宋_GB2312"/>
          <w:b w:val="0"/>
          <w:bCs/>
          <w:color w:val="auto"/>
          <w:highlight w:val="none"/>
        </w:rPr>
        <w:t>月份广州市建设工程价格信息及有关计价办法的通知》进行价格调整。</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8.1.2.2关于基准价格的约定：基准价格为编制预算价时执行的《广州市建设工程造价管理站关于发布</w:t>
      </w:r>
      <w:r>
        <w:rPr>
          <w:rFonts w:hint="eastAsia" w:hAnsi="仿宋_GB2312" w:eastAsia="仿宋_GB2312" w:cs="仿宋_GB2312"/>
          <w:b w:val="0"/>
          <w:bCs/>
          <w:color w:val="auto"/>
          <w:highlight w:val="none"/>
          <w:u w:val="single"/>
        </w:rPr>
        <w:t xml:space="preserve"> </w:t>
      </w:r>
      <w:r>
        <w:rPr>
          <w:rFonts w:hAnsi="仿宋_GB2312" w:eastAsia="仿宋_GB2312" w:cs="仿宋_GB2312"/>
          <w:b w:val="0"/>
          <w:bCs/>
          <w:color w:val="auto"/>
          <w:highlight w:val="none"/>
          <w:u w:val="single"/>
        </w:rPr>
        <w:t xml:space="preserve">   </w:t>
      </w:r>
      <w:r>
        <w:rPr>
          <w:rFonts w:hint="eastAsia" w:hAnsi="仿宋_GB2312" w:eastAsia="仿宋_GB2312" w:cs="仿宋_GB2312"/>
          <w:b w:val="0"/>
          <w:bCs/>
          <w:color w:val="auto"/>
          <w:highlight w:val="none"/>
        </w:rPr>
        <w:t>年</w:t>
      </w:r>
      <w:r>
        <w:rPr>
          <w:rFonts w:hint="eastAsia" w:hAnsi="仿宋_GB2312" w:eastAsia="仿宋_GB2312" w:cs="仿宋_GB2312"/>
          <w:b w:val="0"/>
          <w:bCs/>
          <w:color w:val="auto"/>
          <w:highlight w:val="none"/>
          <w:u w:val="single"/>
        </w:rPr>
        <w:t xml:space="preserve"> </w:t>
      </w:r>
      <w:r>
        <w:rPr>
          <w:rFonts w:hAnsi="仿宋_GB2312" w:eastAsia="仿宋_GB2312" w:cs="仿宋_GB2312"/>
          <w:b w:val="0"/>
          <w:bCs/>
          <w:color w:val="auto"/>
          <w:highlight w:val="none"/>
          <w:u w:val="single"/>
        </w:rPr>
        <w:t xml:space="preserve">   </w:t>
      </w:r>
      <w:r>
        <w:rPr>
          <w:rFonts w:hint="eastAsia" w:hAnsi="仿宋_GB2312" w:eastAsia="仿宋_GB2312" w:cs="仿宋_GB2312"/>
          <w:b w:val="0"/>
          <w:bCs/>
          <w:color w:val="auto"/>
          <w:highlight w:val="none"/>
        </w:rPr>
        <w:t>月份广州市建设工程价格信息及有关计价办法的通知》的价格。</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8.1.2.3调整范围：合同履行期间前述材料价格涨幅以基准价格为基础超过 10%时（不含 10%），其超出 10%以上部分据实调增；跌幅以基准价格为基础超过 10%时（不含 10%），其超出 10%以上部分据实调减。</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8.1.2.4调整数量：可调整前述材料的数量，按施工期当月完成的且经监理单位、建设单位审批确认的形象进度及已完工程量清单中的工程数量对应材料的消耗量。</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8.1.2.5调整方法：</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（1）当价格上涨时，（Mn-Mo）/Mo＞10% C=Q×（Mn-Mo×1.1）</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（2）当价格下跌时，（Mn-Mo）/Mo＜-10% C=Q×（Mn-Mo×0.9）</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C</w:t>
      </w:r>
      <w:r>
        <w:rPr>
          <w:rFonts w:hint="eastAsia" w:hAnsi="仿宋_GB2312" w:eastAsia="仿宋_GB2312" w:cs="仿宋_GB2312"/>
          <w:b w:val="0"/>
          <w:bCs/>
          <w:color w:val="auto"/>
          <w:highlight w:val="none"/>
        </w:rPr>
        <w:tab/>
      </w:r>
      <w:r>
        <w:rPr>
          <w:rFonts w:hint="eastAsia" w:hAnsi="仿宋_GB2312" w:eastAsia="仿宋_GB2312" w:cs="仿宋_GB2312"/>
          <w:b w:val="0"/>
          <w:bCs/>
          <w:color w:val="auto"/>
          <w:highlight w:val="none"/>
        </w:rPr>
        <w:t>表示投标单价中前述材料需调整金额</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Q</w:t>
      </w:r>
      <w:r>
        <w:rPr>
          <w:rFonts w:hint="eastAsia" w:hAnsi="仿宋_GB2312" w:eastAsia="仿宋_GB2312" w:cs="仿宋_GB2312"/>
          <w:b w:val="0"/>
          <w:bCs/>
          <w:color w:val="auto"/>
          <w:highlight w:val="none"/>
        </w:rPr>
        <w:tab/>
      </w:r>
      <w:r>
        <w:rPr>
          <w:rFonts w:hint="eastAsia" w:hAnsi="仿宋_GB2312" w:eastAsia="仿宋_GB2312" w:cs="仿宋_GB2312"/>
          <w:b w:val="0"/>
          <w:bCs/>
          <w:color w:val="auto"/>
          <w:highlight w:val="none"/>
        </w:rPr>
        <w:t>表示施工期当月完成的且经监理单位、发包人审批确认的形象进度及已完工程量清单中的工程数量对应前述材料的消耗量</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Mn</w:t>
      </w:r>
      <w:r>
        <w:rPr>
          <w:rFonts w:hint="eastAsia" w:hAnsi="仿宋_GB2312" w:eastAsia="仿宋_GB2312" w:cs="仿宋_GB2312"/>
          <w:b w:val="0"/>
          <w:bCs/>
          <w:color w:val="auto"/>
          <w:highlight w:val="none"/>
        </w:rPr>
        <w:tab/>
      </w:r>
      <w:r>
        <w:rPr>
          <w:rFonts w:hint="eastAsia" w:hAnsi="仿宋_GB2312" w:eastAsia="仿宋_GB2312" w:cs="仿宋_GB2312"/>
          <w:b w:val="0"/>
          <w:bCs/>
          <w:color w:val="auto"/>
          <w:highlight w:val="none"/>
        </w:rPr>
        <w:t>表示施工期当月《广州市建设工程造价管理站关于发布</w:t>
      </w:r>
      <w:r>
        <w:rPr>
          <w:rFonts w:hint="eastAsia" w:hAnsi="仿宋_GB2312" w:eastAsia="仿宋_GB2312" w:cs="仿宋_GB2312"/>
          <w:b w:val="0"/>
          <w:bCs/>
          <w:color w:val="auto"/>
          <w:highlight w:val="none"/>
          <w:u w:val="single"/>
        </w:rPr>
        <w:t xml:space="preserve"> </w:t>
      </w:r>
      <w:r>
        <w:rPr>
          <w:rFonts w:hAnsi="仿宋_GB2312" w:eastAsia="仿宋_GB2312" w:cs="仿宋_GB2312"/>
          <w:b w:val="0"/>
          <w:bCs/>
          <w:color w:val="auto"/>
          <w:highlight w:val="none"/>
          <w:u w:val="single"/>
        </w:rPr>
        <w:t xml:space="preserve">   </w:t>
      </w:r>
      <w:r>
        <w:rPr>
          <w:rFonts w:hint="eastAsia" w:hAnsi="仿宋_GB2312" w:eastAsia="仿宋_GB2312" w:cs="仿宋_GB2312"/>
          <w:b w:val="0"/>
          <w:bCs/>
          <w:color w:val="auto"/>
          <w:highlight w:val="none"/>
        </w:rPr>
        <w:t>年</w:t>
      </w:r>
      <w:r>
        <w:rPr>
          <w:rFonts w:hint="eastAsia" w:hAnsi="仿宋_GB2312" w:eastAsia="仿宋_GB2312" w:cs="仿宋_GB2312"/>
          <w:b w:val="0"/>
          <w:bCs/>
          <w:color w:val="auto"/>
          <w:highlight w:val="none"/>
          <w:u w:val="single"/>
        </w:rPr>
        <w:t xml:space="preserve"> </w:t>
      </w:r>
      <w:r>
        <w:rPr>
          <w:rFonts w:hAnsi="仿宋_GB2312" w:eastAsia="仿宋_GB2312" w:cs="仿宋_GB2312"/>
          <w:b w:val="0"/>
          <w:bCs/>
          <w:color w:val="auto"/>
          <w:highlight w:val="none"/>
          <w:u w:val="single"/>
        </w:rPr>
        <w:t xml:space="preserve">   </w:t>
      </w:r>
      <w:r>
        <w:rPr>
          <w:rFonts w:hint="eastAsia" w:hAnsi="仿宋_GB2312" w:eastAsia="仿宋_GB2312" w:cs="仿宋_GB2312"/>
          <w:b w:val="0"/>
          <w:bCs/>
          <w:color w:val="auto"/>
          <w:highlight w:val="none"/>
        </w:rPr>
        <w:t>月份广州市建设工程价格信息及有关计价办法的通知》的前述材料价格</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M0</w:t>
      </w:r>
      <w:r>
        <w:rPr>
          <w:rFonts w:hint="eastAsia" w:hAnsi="仿宋_GB2312" w:eastAsia="仿宋_GB2312" w:cs="仿宋_GB2312"/>
          <w:b w:val="0"/>
          <w:bCs/>
          <w:color w:val="auto"/>
          <w:highlight w:val="none"/>
        </w:rPr>
        <w:tab/>
      </w:r>
      <w:r>
        <w:rPr>
          <w:rFonts w:hint="eastAsia" w:hAnsi="仿宋_GB2312" w:eastAsia="仿宋_GB2312" w:cs="仿宋_GB2312"/>
          <w:b w:val="0"/>
          <w:bCs/>
          <w:color w:val="auto"/>
          <w:highlight w:val="none"/>
        </w:rPr>
        <w:t>表示基准价格，即编制招标控制价时执行的《广州市建设工程造价管理站关于发布</w:t>
      </w:r>
      <w:r>
        <w:rPr>
          <w:rFonts w:hint="eastAsia" w:hAnsi="仿宋_GB2312" w:eastAsia="仿宋_GB2312" w:cs="仿宋_GB2312"/>
          <w:b w:val="0"/>
          <w:bCs/>
          <w:color w:val="auto"/>
          <w:highlight w:val="none"/>
          <w:u w:val="single"/>
        </w:rPr>
        <w:t xml:space="preserve"> </w:t>
      </w:r>
      <w:r>
        <w:rPr>
          <w:rFonts w:hAnsi="仿宋_GB2312" w:eastAsia="仿宋_GB2312" w:cs="仿宋_GB2312"/>
          <w:b w:val="0"/>
          <w:bCs/>
          <w:color w:val="auto"/>
          <w:highlight w:val="none"/>
          <w:u w:val="single"/>
        </w:rPr>
        <w:t xml:space="preserve">   </w:t>
      </w:r>
      <w:r>
        <w:rPr>
          <w:rFonts w:hint="eastAsia" w:hAnsi="仿宋_GB2312" w:eastAsia="仿宋_GB2312" w:cs="仿宋_GB2312"/>
          <w:b w:val="0"/>
          <w:bCs/>
          <w:color w:val="auto"/>
          <w:highlight w:val="none"/>
        </w:rPr>
        <w:t>年</w:t>
      </w:r>
      <w:r>
        <w:rPr>
          <w:rFonts w:hint="eastAsia" w:hAnsi="仿宋_GB2312" w:eastAsia="仿宋_GB2312" w:cs="仿宋_GB2312"/>
          <w:b w:val="0"/>
          <w:bCs/>
          <w:color w:val="auto"/>
          <w:highlight w:val="none"/>
          <w:u w:val="single"/>
        </w:rPr>
        <w:t xml:space="preserve"> </w:t>
      </w:r>
      <w:r>
        <w:rPr>
          <w:rFonts w:hAnsi="仿宋_GB2312" w:eastAsia="仿宋_GB2312" w:cs="仿宋_GB2312"/>
          <w:b w:val="0"/>
          <w:bCs/>
          <w:color w:val="auto"/>
          <w:highlight w:val="none"/>
          <w:u w:val="single"/>
        </w:rPr>
        <w:t xml:space="preserve">   </w:t>
      </w:r>
      <w:r>
        <w:rPr>
          <w:rFonts w:hint="eastAsia" w:hAnsi="仿宋_GB2312" w:eastAsia="仿宋_GB2312" w:cs="仿宋_GB2312"/>
          <w:b w:val="0"/>
          <w:bCs/>
          <w:color w:val="auto"/>
          <w:highlight w:val="none"/>
        </w:rPr>
        <w:t>月份广州市建设工程价格信息及有关计价办法的通知》的前述材料价格</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8.1.2.6由于承包人原因未在约定的工期内竣工的，则对原约定竣工日期后继续施工的工程， 在使用第8.1.2.5目价格调整公式时，采用原约定竣工日期与实际竣工日期的两个价格指数中较大低的一个作为现行价格指数。</w:t>
      </w:r>
    </w:p>
    <w:p>
      <w:pPr>
        <w:pStyle w:val="59"/>
        <w:numPr>
          <w:ilvl w:val="0"/>
          <w:numId w:val="0"/>
        </w:numPr>
        <w:rPr>
          <w:rFonts w:hAnsi="仿宋_GB2312" w:eastAsia="仿宋_GB2312" w:cs="仿宋_GB2312"/>
          <w:b w:val="0"/>
          <w:bCs/>
          <w:color w:val="auto"/>
          <w:highlight w:val="none"/>
        </w:rPr>
      </w:pPr>
      <w:r>
        <w:rPr>
          <w:rFonts w:hint="eastAsia" w:hAnsi="仿宋_GB2312" w:eastAsia="仿宋_GB2312" w:cs="仿宋_GB2312"/>
          <w:b w:val="0"/>
          <w:bCs/>
          <w:color w:val="auto"/>
          <w:highlight w:val="none"/>
        </w:rPr>
        <w:t>8.1.2.7前述材料的调整金额为分部分项工程费，措施项目费、其他项目费、规费及税金按相关规定调整。</w:t>
      </w:r>
    </w:p>
    <w:p>
      <w:pPr>
        <w:pStyle w:val="59"/>
        <w:rPr>
          <w:rStyle w:val="66"/>
          <w:rFonts w:ascii="仿宋_GB2312" w:eastAsia="黑体"/>
          <w:color w:val="auto"/>
          <w:highlight w:val="none"/>
        </w:rPr>
      </w:pPr>
      <w:r>
        <w:rPr>
          <w:rFonts w:hint="eastAsia"/>
          <w:color w:val="auto"/>
          <w:highlight w:val="none"/>
        </w:rPr>
        <w:t>计量结算方式</w:t>
      </w:r>
    </w:p>
    <w:p>
      <w:pPr>
        <w:pStyle w:val="62"/>
        <w:numPr>
          <w:ilvl w:val="2"/>
          <w:numId w:val="0"/>
        </w:numPr>
        <w:jc w:val="both"/>
        <w:rPr>
          <w:rFonts w:hAnsi="仿宋_GB2312" w:cs="仿宋_GB2312"/>
          <w:bCs/>
          <w:color w:val="auto"/>
          <w:spacing w:val="-6"/>
          <w:highlight w:val="none"/>
        </w:rPr>
      </w:pPr>
      <w:r>
        <w:rPr>
          <w:rFonts w:hint="eastAsia" w:hAnsi="仿宋_GB2312" w:cs="仿宋_GB2312"/>
          <w:bCs/>
          <w:color w:val="auto"/>
          <w:highlight w:val="none"/>
        </w:rPr>
        <w:t>9.1本项目采用分部分项工程和单价措施项目综合单价包干，总价（按系数计算）措施项目费按实结算，工程量按实结算的方式，结算时承包人需提供经发包人确认的</w:t>
      </w:r>
      <w:r>
        <w:rPr>
          <w:rFonts w:hint="eastAsia"/>
          <w:color w:val="auto"/>
          <w:highlight w:val="none"/>
        </w:rPr>
        <w:t>施工图（或施工方案）、完</w:t>
      </w:r>
      <w:r>
        <w:rPr>
          <w:rFonts w:hint="eastAsia"/>
          <w:color w:val="auto"/>
          <w:spacing w:val="-2"/>
          <w:highlight w:val="none"/>
        </w:rPr>
        <w:t>整、真实的竣工图</w:t>
      </w:r>
      <w:r>
        <w:rPr>
          <w:rFonts w:hint="eastAsia" w:hAnsi="仿宋_GB2312" w:cs="仿宋_GB2312"/>
          <w:bCs/>
          <w:color w:val="auto"/>
          <w:highlight w:val="none"/>
        </w:rPr>
        <w:t>、签证及其他现场资料，以上资料可根据项目实际情况及发包人的要求按需提供</w:t>
      </w:r>
      <w:r>
        <w:rPr>
          <w:rFonts w:hint="eastAsia" w:hAnsi="仿宋_GB2312" w:cs="仿宋_GB2312"/>
          <w:bCs/>
          <w:color w:val="auto"/>
          <w:spacing w:val="-6"/>
          <w:highlight w:val="none"/>
        </w:rPr>
        <w:t>。</w:t>
      </w:r>
    </w:p>
    <w:p>
      <w:pPr>
        <w:pStyle w:val="62"/>
        <w:numPr>
          <w:ilvl w:val="2"/>
          <w:numId w:val="0"/>
        </w:numPr>
        <w:jc w:val="both"/>
        <w:rPr>
          <w:rFonts w:hAnsi="仿宋_GB2312" w:cs="仿宋_GB2312"/>
          <w:bCs/>
          <w:color w:val="auto"/>
          <w:highlight w:val="none"/>
        </w:rPr>
      </w:pPr>
      <w:r>
        <w:rPr>
          <w:rFonts w:hint="eastAsia" w:hAnsi="仿宋_GB2312" w:cs="仿宋_GB2312"/>
          <w:bCs/>
          <w:color w:val="auto"/>
          <w:spacing w:val="-6"/>
          <w:highlight w:val="none"/>
        </w:rPr>
        <w:t>9.2</w:t>
      </w:r>
      <w:r>
        <w:rPr>
          <w:rFonts w:hint="eastAsia" w:hAnsi="仿宋_GB2312" w:cs="仿宋_GB2312"/>
          <w:bCs/>
          <w:color w:val="auto"/>
          <w:kern w:val="2"/>
          <w:sz w:val="24"/>
          <w:szCs w:val="24"/>
          <w:highlight w:val="none"/>
          <w:lang w:val="en-US" w:eastAsia="zh-CN" w:bidi="ar-SA"/>
        </w:rPr>
        <w:t>中标总价即为暂定合同总价，该清单项目的中标单价为该项目的结算单价</w:t>
      </w:r>
      <w:r>
        <w:rPr>
          <w:rFonts w:hint="eastAsia" w:hAnsi="仿宋_GB2312" w:cs="仿宋_GB2312"/>
          <w:bCs/>
          <w:color w:val="auto"/>
          <w:kern w:val="2"/>
          <w:sz w:val="24"/>
          <w:szCs w:val="24"/>
          <w:highlight w:val="none"/>
          <w:lang w:val="en-US" w:eastAsia="zh-CN" w:bidi="ar-SA"/>
        </w:rPr>
        <w:t>（</w:t>
      </w:r>
      <w:r>
        <w:rPr>
          <w:rFonts w:hint="eastAsia" w:hAnsi="仿宋_GB2312" w:cs="仿宋_GB2312"/>
          <w:bCs/>
          <w:color w:val="auto"/>
          <w:highlight w:val="none"/>
          <w:lang w:val="en-US" w:eastAsia="zh-CN"/>
        </w:rPr>
        <w:t>其中</w:t>
      </w:r>
      <w:r>
        <w:rPr>
          <w:rFonts w:hint="eastAsia" w:hAnsi="仿宋_GB2312" w:cs="仿宋_GB2312"/>
          <w:bCs/>
          <w:strike w:val="0"/>
          <w:dstrike w:val="0"/>
          <w:color w:val="auto"/>
          <w:kern w:val="2"/>
          <w:sz w:val="24"/>
          <w:szCs w:val="24"/>
          <w:highlight w:val="none"/>
          <w:lang w:val="en-US" w:eastAsia="zh-CN" w:bidi="ar-SA"/>
        </w:rPr>
        <w:t>应急、抢险、抢修项目不作下浮，其结算单价按该清单项目的招标控制价单价限价结算）</w:t>
      </w:r>
      <w:r>
        <w:rPr>
          <w:rFonts w:hint="eastAsia" w:hAnsi="仿宋_GB2312" w:cs="仿宋_GB2312"/>
          <w:bCs/>
          <w:color w:val="auto"/>
          <w:kern w:val="2"/>
          <w:sz w:val="24"/>
          <w:szCs w:val="24"/>
          <w:highlight w:val="none"/>
          <w:lang w:val="en-US" w:eastAsia="zh-CN" w:bidi="ar-SA"/>
        </w:rPr>
        <w:t>，若清单项目中所使用的主要材料的质量及品牌与招标文件中确定的质量及品牌在同一档次（或更高）的情况下，清单项目单价不变，若发包人指定清单项目的主要材料的质量和品牌档次高于（或承包人进场材料的质量和品牌档次低于）招标文件要求的质量及品牌档次，则仅按实调整该清单项目的主材价格，主材价差的调整基数为该项目招标控制价综合单价中的主材价格，其它不变，</w:t>
      </w:r>
      <w:r>
        <w:rPr>
          <w:rFonts w:hint="eastAsia" w:hAnsi="仿宋_GB2312" w:cs="仿宋_GB2312"/>
          <w:bCs/>
          <w:color w:val="auto"/>
          <w:kern w:val="2"/>
          <w:sz w:val="24"/>
          <w:szCs w:val="24"/>
          <w:highlight w:val="none"/>
          <w:lang w:val="en-US" w:eastAsia="zh-CN" w:bidi="ar-SA"/>
        </w:rPr>
        <w:t>即调整后的结算单价=中标单价（</w:t>
      </w:r>
      <w:r>
        <w:rPr>
          <w:rFonts w:hint="eastAsia" w:hAnsi="仿宋_GB2312" w:cs="仿宋_GB2312"/>
          <w:bCs/>
          <w:strike w:val="0"/>
          <w:dstrike w:val="0"/>
          <w:color w:val="auto"/>
          <w:kern w:val="2"/>
          <w:sz w:val="24"/>
          <w:szCs w:val="24"/>
          <w:highlight w:val="none"/>
          <w:lang w:val="en-US" w:eastAsia="zh-CN" w:bidi="ar-SA"/>
        </w:rPr>
        <w:t>应急、抢险、抢修项目为</w:t>
      </w:r>
      <w:r>
        <w:rPr>
          <w:rFonts w:hint="eastAsia" w:hAnsi="仿宋_GB2312" w:cs="仿宋_GB2312"/>
          <w:bCs/>
          <w:color w:val="auto"/>
          <w:kern w:val="2"/>
          <w:sz w:val="24"/>
          <w:szCs w:val="24"/>
          <w:highlight w:val="none"/>
          <w:lang w:val="en-US" w:eastAsia="zh-CN" w:bidi="ar-SA"/>
        </w:rPr>
        <w:t>招标控制价单价限价）+材料价差*（1-投标下浮率）[投标下浮率=（招标控制价总价-投标报价总价）/招标控制价总价×100%]计算</w:t>
      </w:r>
      <w:r>
        <w:rPr>
          <w:rFonts w:hint="eastAsia" w:hAnsi="仿宋_GB2312" w:cs="仿宋_GB2312"/>
          <w:bCs/>
          <w:color w:val="auto"/>
          <w:kern w:val="2"/>
          <w:sz w:val="24"/>
          <w:szCs w:val="24"/>
          <w:highlight w:val="none"/>
          <w:lang w:val="en-US" w:eastAsia="zh-CN" w:bidi="ar-SA"/>
        </w:rPr>
        <w:t>；工程量按经发包人确认的</w:t>
      </w:r>
      <w:r>
        <w:rPr>
          <w:rFonts w:hint="eastAsia"/>
          <w:color w:val="auto"/>
          <w:highlight w:val="none"/>
        </w:rPr>
        <w:t>施工方案、施工图</w:t>
      </w:r>
      <w:r>
        <w:rPr>
          <w:rFonts w:hint="eastAsia" w:hAnsi="仿宋_GB2312" w:cs="仿宋_GB2312"/>
          <w:bCs/>
          <w:color w:val="auto"/>
          <w:kern w:val="2"/>
          <w:sz w:val="24"/>
          <w:szCs w:val="24"/>
          <w:highlight w:val="none"/>
          <w:lang w:val="en-US" w:eastAsia="zh-CN" w:bidi="ar-SA"/>
        </w:rPr>
        <w:t>、竣工图、签证及其他现场资料计算。项目工程量清单实际数量乘以项目结算单价为该项目的结算价</w:t>
      </w:r>
      <w:r>
        <w:rPr>
          <w:rFonts w:hint="eastAsia" w:hAnsi="仿宋_GB2312" w:cs="仿宋_GB2312"/>
          <w:bCs/>
          <w:color w:val="auto"/>
          <w:highlight w:val="none"/>
        </w:rPr>
        <w:t>。</w:t>
      </w:r>
    </w:p>
    <w:p>
      <w:pPr>
        <w:pStyle w:val="62"/>
        <w:numPr>
          <w:ilvl w:val="2"/>
          <w:numId w:val="0"/>
        </w:numPr>
        <w:jc w:val="both"/>
        <w:rPr>
          <w:rFonts w:hAnsi="仿宋_GB2312" w:cs="仿宋_GB2312"/>
          <w:bCs/>
          <w:color w:val="auto"/>
          <w:highlight w:val="none"/>
        </w:rPr>
      </w:pPr>
      <w:r>
        <w:rPr>
          <w:rFonts w:hint="eastAsia" w:hAnsi="仿宋_GB2312" w:cs="仿宋_GB2312"/>
          <w:bCs/>
          <w:color w:val="auto"/>
          <w:highlight w:val="none"/>
        </w:rPr>
        <w:t>9.3中标的投标文件工程量清单中已有类似项目，只是项目主要材料发生变化的，则按类似项目的综合单价只对项目的主要材料价格进行调整换算，主材价差的调整基数为该项目招标控制价中的主材单价，其它费用不变，即调整后的结算单价=中标单价</w:t>
      </w:r>
      <w:r>
        <w:rPr>
          <w:rFonts w:hint="eastAsia" w:hAnsi="仿宋_GB2312" w:cs="仿宋_GB2312"/>
          <w:bCs/>
          <w:color w:val="auto"/>
          <w:kern w:val="2"/>
          <w:sz w:val="24"/>
          <w:szCs w:val="24"/>
          <w:highlight w:val="none"/>
          <w:lang w:val="en-US" w:eastAsia="zh-CN" w:bidi="ar-SA"/>
        </w:rPr>
        <w:t>（</w:t>
      </w:r>
      <w:r>
        <w:rPr>
          <w:rFonts w:hint="eastAsia" w:hAnsi="仿宋_GB2312" w:cs="仿宋_GB2312"/>
          <w:bCs/>
          <w:strike w:val="0"/>
          <w:dstrike w:val="0"/>
          <w:color w:val="auto"/>
          <w:kern w:val="2"/>
          <w:sz w:val="24"/>
          <w:szCs w:val="24"/>
          <w:highlight w:val="none"/>
          <w:lang w:val="en-US" w:eastAsia="zh-CN" w:bidi="ar-SA"/>
        </w:rPr>
        <w:t>应急、抢险、抢修项目为</w:t>
      </w:r>
      <w:r>
        <w:rPr>
          <w:rFonts w:hint="eastAsia" w:hAnsi="仿宋_GB2312" w:cs="仿宋_GB2312"/>
          <w:bCs/>
          <w:color w:val="auto"/>
          <w:kern w:val="2"/>
          <w:sz w:val="24"/>
          <w:szCs w:val="24"/>
          <w:highlight w:val="none"/>
          <w:lang w:val="en-US" w:eastAsia="zh-CN" w:bidi="ar-SA"/>
        </w:rPr>
        <w:t>招标控制价单价限价）</w:t>
      </w:r>
      <w:r>
        <w:rPr>
          <w:rFonts w:hint="eastAsia" w:hAnsi="仿宋_GB2312" w:cs="仿宋_GB2312"/>
          <w:bCs/>
          <w:color w:val="auto"/>
          <w:highlight w:val="none"/>
        </w:rPr>
        <w:t>+材料价差*（1-中标下浮率）[中标下浮率=（招标控制价总价-投标报价总价）/招标控制价总价×100%]计算。如中标的投标文件工程量清单中类似项目的综合单价有两个以上，则按消耗量最少、管理费和利润取费最低的优先顺序选择类似项目综合单价进行换算。如换算时出现主材表中没有的材料，其单价则按施工期广州地区材料市场该项材料的实际价格予以调整。中标的投标文件工程量清单中没有相同项目或类似项目的，其新增项目综合单价根据土建工程、安装工程、市政工程、园林绿化工程、装饰装修工程、房屋建筑和市政修缮工程等专业相应执行同期（施工期）省、市行政主管部门及造价管理机构颁布的综合定额及相关计价文件编制再乘以（1-专业下浮率）*（1-投标下浮率）确定（专业下浮率及投标下浮率详见第9.4款），综合定额包括但不限于《广东省房屋建筑与装饰工程综合定额（2018年）》、《广东省通用安装工程综合定额（2018年）》、《广东省市政工</w:t>
      </w:r>
      <w:bookmarkStart w:id="13" w:name="_GoBack"/>
      <w:bookmarkEnd w:id="13"/>
      <w:r>
        <w:rPr>
          <w:rFonts w:hint="eastAsia" w:hAnsi="仿宋_GB2312" w:cs="仿宋_GB2312"/>
          <w:bCs/>
          <w:color w:val="auto"/>
          <w:highlight w:val="none"/>
        </w:rPr>
        <w:t>程综合定额（2018年）》、《广州市市政工程补充综合定额(2019)》、《广东省园林绿化工程综合定额（2018年）》、</w:t>
      </w:r>
      <w:r>
        <w:rPr>
          <w:rFonts w:hint="eastAsia" w:hAnsi="仿宋_GB2312" w:cs="仿宋_GB2312"/>
          <w:bCs/>
          <w:color w:val="auto"/>
          <w:highlight w:val="none"/>
        </w:rPr>
        <w:t>《广东省房屋建筑和市政修缮工程综合定额（2012）》（其中市政修缮部分采用《广东省市政工程综合定额（2018）》第8册“市政设施养护维修工程”）、《广东省排水管道非开挖修复更新工程预算定额（2019）》</w:t>
      </w:r>
      <w:r>
        <w:rPr>
          <w:rFonts w:hint="eastAsia" w:hAnsi="仿宋_GB2312" w:cs="仿宋_GB2312"/>
          <w:bCs/>
          <w:color w:val="auto"/>
          <w:highlight w:val="none"/>
        </w:rPr>
        <w:t>等，新增项目的人工、材料、机械价格按广州市造价管理站同期（施工期）《广州地区建设工程常用材料税前综合价格》予以调整，《广州地区建设工程常用材料税前综合价格》没有的材料单价，则参考同期（施工期）该材料的市场价格，最终以发包人核准后确定，结算时承包人须提供相应材料的合格证、订货合同、发票。</w:t>
      </w:r>
    </w:p>
    <w:p>
      <w:pPr>
        <w:pStyle w:val="62"/>
        <w:numPr>
          <w:ilvl w:val="2"/>
          <w:numId w:val="0"/>
        </w:numPr>
        <w:jc w:val="both"/>
        <w:rPr>
          <w:rFonts w:hAnsi="仿宋_GB2312" w:cs="仿宋_GB2312"/>
          <w:bCs/>
          <w:color w:val="auto"/>
          <w:highlight w:val="none"/>
        </w:rPr>
      </w:pPr>
      <w:r>
        <w:rPr>
          <w:rFonts w:hint="eastAsia" w:hAnsi="仿宋_GB2312" w:cs="仿宋_GB2312"/>
          <w:bCs/>
          <w:color w:val="auto"/>
          <w:highlight w:val="none"/>
        </w:rPr>
        <w:t>9.4投标下浮率=（招标控制价总价-投标报价总价）/招标控制价总价×100%，</w:t>
      </w:r>
      <w:r>
        <w:rPr>
          <w:rFonts w:hint="eastAsia" w:hAnsi="仿宋_GB2312" w:cs="仿宋_GB2312"/>
          <w:bCs/>
          <w:color w:val="auto"/>
          <w:kern w:val="2"/>
          <w:sz w:val="24"/>
          <w:szCs w:val="24"/>
          <w:highlight w:val="none"/>
          <w:lang w:val="en-US" w:eastAsia="zh-CN" w:bidi="ar-SA"/>
        </w:rPr>
        <w:t>对于投标下浮率，</w:t>
      </w:r>
      <w:r>
        <w:rPr>
          <w:rFonts w:hint="eastAsia" w:hAnsi="仿宋_GB2312" w:cs="仿宋_GB2312"/>
          <w:bCs/>
          <w:color w:val="auto"/>
          <w:highlight w:val="none"/>
        </w:rPr>
        <w:t>应急、抢险、抢修等项目不作下浮</w:t>
      </w:r>
      <w:r>
        <w:rPr>
          <w:rFonts w:hint="eastAsia" w:hAnsi="仿宋_GB2312" w:cs="仿宋_GB2312"/>
          <w:bCs/>
          <w:color w:val="auto"/>
          <w:highlight w:val="none"/>
        </w:rPr>
        <w:t>。专业下浮率是指各专业针对不同的定额而产生对应的下浮率，具体分以下几种情况：</w:t>
      </w:r>
    </w:p>
    <w:p>
      <w:pPr>
        <w:pStyle w:val="62"/>
        <w:numPr>
          <w:ilvl w:val="2"/>
          <w:numId w:val="0"/>
        </w:numPr>
        <w:ind w:firstLine="480" w:firstLineChars="200"/>
        <w:jc w:val="both"/>
        <w:rPr>
          <w:rFonts w:hAnsi="仿宋_GB2312" w:cs="仿宋_GB2312"/>
          <w:bCs/>
          <w:color w:val="auto"/>
          <w:highlight w:val="none"/>
        </w:rPr>
      </w:pPr>
      <w:r>
        <w:rPr>
          <w:rFonts w:hint="eastAsia" w:hAnsi="仿宋_GB2312" w:cs="仿宋_GB2312"/>
          <w:bCs/>
          <w:color w:val="auto"/>
          <w:highlight w:val="none"/>
        </w:rPr>
        <w:t>（1）采用省、市行政主管部门及造价管理机构颁布定额进行计价的，建筑、装修、安装专业下浮率为3%，市政、园林绿化专业下浮率为5%；</w:t>
      </w:r>
    </w:p>
    <w:p>
      <w:pPr>
        <w:pStyle w:val="62"/>
        <w:numPr>
          <w:ilvl w:val="2"/>
          <w:numId w:val="0"/>
        </w:numPr>
        <w:ind w:firstLine="480" w:firstLineChars="200"/>
        <w:jc w:val="both"/>
        <w:rPr>
          <w:rFonts w:hAnsi="仿宋_GB2312" w:cs="仿宋_GB2312"/>
          <w:bCs/>
          <w:color w:val="auto"/>
          <w:highlight w:val="none"/>
        </w:rPr>
      </w:pPr>
      <w:r>
        <w:rPr>
          <w:rFonts w:hint="eastAsia" w:hAnsi="仿宋_GB2312" w:cs="仿宋_GB2312"/>
          <w:bCs/>
          <w:color w:val="auto"/>
          <w:highlight w:val="none"/>
        </w:rPr>
        <w:t>（2）</w:t>
      </w:r>
      <w:r>
        <w:rPr>
          <w:rFonts w:hint="eastAsia" w:hAnsi="仿宋_GB2312" w:cs="仿宋_GB2312"/>
          <w:bCs/>
          <w:color w:val="auto"/>
          <w:highlight w:val="none"/>
        </w:rPr>
        <w:t>采用行业协会定额进行计价的专业下浮率不低于10%，其中采用广东省非开挖技术协会发布的《广东省排水管道非开挖修复更新工程预算定额（2019）》的专业下浮率为20%，该专业下浮率不适用于《广东省排水管道非开挖修复更新工程预算定额（2019）》的补充定额，如《排水管渠水下机器人清淤定额（2022）》、《排水管渠空气潜水作业台班单价（2022）》等，以上补充定额及行业协会颁布的其他定额的专业下浮率由发包人根据市场具体情况确定</w:t>
      </w:r>
      <w:r>
        <w:rPr>
          <w:rFonts w:hint="eastAsia" w:hAnsi="仿宋_GB2312" w:cs="仿宋_GB2312"/>
          <w:bCs/>
          <w:color w:val="auto"/>
          <w:highlight w:val="none"/>
        </w:rPr>
        <w:t>。</w:t>
      </w:r>
    </w:p>
    <w:p>
      <w:pPr>
        <w:pStyle w:val="62"/>
        <w:numPr>
          <w:ilvl w:val="2"/>
          <w:numId w:val="0"/>
        </w:numPr>
        <w:jc w:val="both"/>
        <w:rPr>
          <w:rFonts w:hAnsi="仿宋_GB2312" w:cs="仿宋_GB2312"/>
          <w:bCs/>
          <w:color w:val="auto"/>
          <w:highlight w:val="none"/>
        </w:rPr>
      </w:pPr>
      <w:r>
        <w:rPr>
          <w:rFonts w:hint="eastAsia" w:hAnsi="仿宋_GB2312" w:cs="仿宋_GB2312"/>
          <w:bCs/>
          <w:color w:val="auto"/>
          <w:highlight w:val="none"/>
        </w:rPr>
        <w:t>9.5绿色施工安全防护措施费等非竞争性项目不参与竞争报价，该部分只需要考虑专业下浮率，不需要考虑投标下浮率。</w:t>
      </w:r>
    </w:p>
    <w:p>
      <w:pPr>
        <w:pStyle w:val="62"/>
        <w:numPr>
          <w:ilvl w:val="2"/>
          <w:numId w:val="0"/>
        </w:numPr>
        <w:jc w:val="both"/>
        <w:rPr>
          <w:rFonts w:hAnsi="仿宋_GB2312" w:cs="仿宋_GB2312"/>
          <w:bCs/>
          <w:color w:val="auto"/>
          <w:highlight w:val="none"/>
        </w:rPr>
      </w:pPr>
      <w:r>
        <w:rPr>
          <w:rFonts w:hint="eastAsia" w:hAnsi="仿宋_GB2312" w:cs="仿宋_GB2312"/>
          <w:bCs/>
          <w:color w:val="auto"/>
          <w:highlight w:val="none"/>
        </w:rPr>
        <w:t>9.6本工程优先采用省、市行政主管部门及造价管理机构颁布的综合定额及相关计价文件，行业协会定额与行政主管部门、造价管理机构颁布的定额有重复的，计价时以行政主管部门及造价管理机构颁布的定额为准。其中，市政专业原则上套用省、市行政主管部门及造价管理机构颁布</w:t>
      </w:r>
      <w:r>
        <w:rPr>
          <w:rFonts w:hint="eastAsia" w:hAnsi="仿宋_GB2312" w:cs="仿宋_GB2312"/>
          <w:bCs/>
          <w:color w:val="auto"/>
          <w:highlight w:val="none"/>
        </w:rPr>
        <w:t>《广东省市政工程综合定额（2018）》、《广州市市政工程补充综合定额(2019)》、《广东省房屋建筑和市政修缮工程综合定额（2012）》（其中市政修缮部分采用《广东省市政工程综合定额（2018）》第8册“市政设施养护维修工程”）及广东省非开挖技术协会发布的《广东省排水管道非开挖修复更新工程预算定额（2019）》，广东省非开挖协会针对《广东省排水管道非开挖修复更新工程预算定额（2019）》发布的补充定额和其他定额须经过发包人同意后方可使用</w:t>
      </w:r>
      <w:r>
        <w:rPr>
          <w:rFonts w:hint="eastAsia" w:hAnsi="仿宋_GB2312" w:cs="仿宋_GB2312"/>
          <w:bCs/>
          <w:color w:val="auto"/>
          <w:highlight w:val="none"/>
        </w:rPr>
        <w:t>。当省、市行政主管部门及造价管理机构颁布的定额有更新时，以最新颁布的定额为准，其他部门及协会颁布的定额有更新时须经过发包人同意后方可使用。</w:t>
      </w:r>
    </w:p>
    <w:p>
      <w:pPr>
        <w:pStyle w:val="62"/>
        <w:numPr>
          <w:ilvl w:val="2"/>
          <w:numId w:val="0"/>
        </w:numPr>
        <w:jc w:val="both"/>
        <w:rPr>
          <w:rFonts w:hAnsi="仿宋_GB2312" w:cs="仿宋_GB2312"/>
          <w:bCs/>
          <w:color w:val="auto"/>
          <w:highlight w:val="none"/>
        </w:rPr>
      </w:pPr>
      <w:r>
        <w:rPr>
          <w:rFonts w:hint="eastAsia" w:hAnsi="仿宋_GB2312" w:cs="仿宋_GB2312"/>
          <w:bCs/>
          <w:color w:val="auto"/>
          <w:highlight w:val="none"/>
        </w:rPr>
        <w:t>9.7单价措施项目综合单价包干、总价（按系数计算）措施项目费按实结算。</w:t>
      </w:r>
    </w:p>
    <w:p>
      <w:pPr>
        <w:pStyle w:val="62"/>
        <w:numPr>
          <w:ilvl w:val="2"/>
          <w:numId w:val="0"/>
        </w:numPr>
        <w:jc w:val="both"/>
        <w:rPr>
          <w:rFonts w:hAnsi="仿宋_GB2312" w:cs="仿宋_GB2312"/>
          <w:bCs/>
          <w:color w:val="auto"/>
          <w:highlight w:val="none"/>
        </w:rPr>
      </w:pPr>
      <w:r>
        <w:rPr>
          <w:rFonts w:hint="eastAsia" w:hAnsi="仿宋_GB2312" w:cs="仿宋_GB2312"/>
          <w:bCs/>
          <w:color w:val="auto"/>
          <w:highlight w:val="none"/>
        </w:rPr>
        <w:t>9.</w:t>
      </w:r>
      <w:r>
        <w:rPr>
          <w:rFonts w:hint="eastAsia" w:hAnsi="仿宋_GB2312" w:cs="仿宋_GB2312"/>
          <w:bCs/>
          <w:color w:val="auto"/>
          <w:highlight w:val="none"/>
          <w:lang w:val="en-US" w:eastAsia="zh-CN"/>
        </w:rPr>
        <w:t>8</w:t>
      </w:r>
      <w:r>
        <w:rPr>
          <w:rFonts w:hint="eastAsia" w:hAnsi="仿宋_GB2312" w:cs="仿宋_GB2312"/>
          <w:bCs/>
          <w:color w:val="auto"/>
          <w:highlight w:val="none"/>
          <w:lang w:val="en-US" w:eastAsia="zh-CN"/>
        </w:rPr>
        <w:t>本工程结算造价最终以财政部门或发包人指定的第三方咨询机构审定为准。对属于《广州市财政投资评审管理办法》评审范围的财政性资金投资项目，财政投资评审结果作为该项目结算的依据</w:t>
      </w:r>
      <w:r>
        <w:rPr>
          <w:rFonts w:hint="eastAsia" w:hAnsi="仿宋_GB2312" w:cs="仿宋_GB2312"/>
          <w:bCs/>
          <w:color w:val="auto"/>
          <w:highlight w:val="none"/>
        </w:rPr>
        <w:t>。</w:t>
      </w:r>
    </w:p>
    <w:p>
      <w:pPr>
        <w:pStyle w:val="62"/>
        <w:numPr>
          <w:ilvl w:val="2"/>
          <w:numId w:val="0"/>
        </w:numPr>
        <w:jc w:val="both"/>
        <w:rPr>
          <w:rFonts w:hAnsi="仿宋_GB2312" w:cs="仿宋_GB2312"/>
          <w:bCs/>
          <w:color w:val="auto"/>
          <w:highlight w:val="none"/>
        </w:rPr>
      </w:pPr>
      <w:r>
        <w:rPr>
          <w:rFonts w:hint="eastAsia" w:hAnsi="仿宋_GB2312" w:cs="仿宋_GB2312"/>
          <w:bCs/>
          <w:color w:val="auto"/>
          <w:highlight w:val="none"/>
        </w:rPr>
        <w:t>9.</w:t>
      </w:r>
      <w:r>
        <w:rPr>
          <w:rFonts w:hint="eastAsia" w:hAnsi="仿宋_GB2312" w:cs="仿宋_GB2312"/>
          <w:bCs/>
          <w:color w:val="auto"/>
          <w:highlight w:val="none"/>
          <w:lang w:val="en-US" w:eastAsia="zh-CN"/>
        </w:rPr>
        <w:t>9</w:t>
      </w:r>
      <w:r>
        <w:rPr>
          <w:rFonts w:hint="eastAsia" w:hAnsi="仿宋_GB2312" w:cs="仿宋_GB2312"/>
          <w:bCs/>
          <w:color w:val="auto"/>
          <w:highlight w:val="none"/>
        </w:rPr>
        <w:t>本项目每个修复任务单完成后即可进行结算，结算资料送发包人审核及结算（如有监理单位，结算资料须送监理单位审核后再送发包人审核及结算）。</w:t>
      </w:r>
    </w:p>
    <w:p>
      <w:pPr>
        <w:pStyle w:val="62"/>
        <w:numPr>
          <w:ilvl w:val="2"/>
          <w:numId w:val="0"/>
        </w:numPr>
        <w:jc w:val="both"/>
        <w:rPr>
          <w:rFonts w:hAnsi="仿宋_GB2312" w:cs="仿宋_GB2312"/>
          <w:bCs/>
          <w:color w:val="auto"/>
          <w:highlight w:val="none"/>
        </w:rPr>
      </w:pPr>
      <w:r>
        <w:rPr>
          <w:rFonts w:hint="eastAsia" w:hAnsi="仿宋_GB2312" w:cs="仿宋_GB2312"/>
          <w:bCs/>
          <w:color w:val="auto"/>
          <w:highlight w:val="none"/>
        </w:rPr>
        <w:t>9.1</w:t>
      </w:r>
      <w:r>
        <w:rPr>
          <w:rFonts w:hint="eastAsia" w:hAnsi="仿宋_GB2312" w:cs="仿宋_GB2312"/>
          <w:bCs/>
          <w:color w:val="auto"/>
          <w:highlight w:val="none"/>
          <w:lang w:val="en-US" w:eastAsia="zh-CN"/>
        </w:rPr>
        <w:t>0</w:t>
      </w:r>
      <w:r>
        <w:rPr>
          <w:rFonts w:hint="eastAsia" w:hAnsi="仿宋_GB2312" w:cs="仿宋_GB2312"/>
          <w:bCs/>
          <w:color w:val="auto"/>
          <w:highlight w:val="none"/>
        </w:rPr>
        <w:t>项目实施过程中发包人有权对具体实施项目进行调整，并按照上述办法结算。减少的项目无论有无替代，发包人都不予补偿。</w:t>
      </w:r>
    </w:p>
    <w:p>
      <w:pPr>
        <w:pStyle w:val="59"/>
        <w:rPr>
          <w:color w:val="auto"/>
          <w:highlight w:val="none"/>
        </w:rPr>
      </w:pPr>
      <w:r>
        <w:rPr>
          <w:rFonts w:hint="eastAsia"/>
          <w:color w:val="auto"/>
          <w:highlight w:val="none"/>
        </w:rPr>
        <w:t>材料及设备供应</w:t>
      </w:r>
    </w:p>
    <w:p>
      <w:pPr>
        <w:pStyle w:val="36"/>
        <w:numPr>
          <w:ilvl w:val="0"/>
          <w:numId w:val="10"/>
        </w:numPr>
        <w:spacing w:line="360" w:lineRule="auto"/>
        <w:ind w:firstLineChars="0"/>
        <w:jc w:val="left"/>
        <w:rPr>
          <w:rFonts w:ascii="仿宋_GB2312" w:hAnsi="仿宋_GB2312" w:eastAsia="仿宋_GB2312" w:cs="仿宋_GB2312"/>
          <w:bCs/>
          <w:vanish/>
          <w:color w:val="auto"/>
          <w:sz w:val="24"/>
          <w:highlight w:val="none"/>
        </w:rPr>
      </w:pPr>
    </w:p>
    <w:p>
      <w:pPr>
        <w:pStyle w:val="60"/>
        <w:jc w:val="both"/>
        <w:rPr>
          <w:rFonts w:hAnsi="仿宋_GB2312" w:cs="仿宋_GB2312"/>
          <w:bCs/>
          <w:color w:val="auto"/>
          <w:highlight w:val="none"/>
        </w:rPr>
      </w:pPr>
      <w:r>
        <w:rPr>
          <w:rFonts w:hint="eastAsia" w:hAnsi="仿宋_GB2312" w:cs="仿宋_GB2312"/>
          <w:bCs/>
          <w:color w:val="auto"/>
          <w:highlight w:val="none"/>
        </w:rPr>
        <w:t>本项目所承包范围内所需的一切设备材料、成品、未成品等工程材料设备以及完成本项目各项工作所需的设备、器具和其他物品等施工设备均由承包人负责提供，发包人不提供任何材料。工程材料设备的运输、保管、质量等责任均由承包人承担。</w:t>
      </w:r>
    </w:p>
    <w:p>
      <w:pPr>
        <w:pStyle w:val="60"/>
        <w:rPr>
          <w:rFonts w:hAnsi="仿宋_GB2312" w:cs="仿宋_GB2312"/>
          <w:bCs/>
          <w:color w:val="auto"/>
          <w:highlight w:val="none"/>
        </w:rPr>
      </w:pPr>
      <w:r>
        <w:rPr>
          <w:rFonts w:hint="eastAsia" w:hAnsi="仿宋_GB2312" w:cs="仿宋_GB2312"/>
          <w:bCs/>
          <w:color w:val="auto"/>
          <w:highlight w:val="none"/>
        </w:rPr>
        <w:t>承包人采购供应的材料设备，其名称、品种、型号、规格、质量等，均应符合国家、地方及行业有关规范与本工程图纸等技术文件和合同其他要求。</w:t>
      </w:r>
    </w:p>
    <w:p>
      <w:pPr>
        <w:pStyle w:val="60"/>
        <w:rPr>
          <w:rFonts w:hAnsi="仿宋_GB2312" w:cs="仿宋_GB2312"/>
          <w:bCs/>
          <w:color w:val="auto"/>
          <w:highlight w:val="none"/>
        </w:rPr>
      </w:pPr>
      <w:r>
        <w:rPr>
          <w:rFonts w:hint="eastAsia" w:hAnsi="仿宋_GB2312" w:cs="仿宋_GB2312"/>
          <w:bCs/>
          <w:color w:val="auto"/>
          <w:highlight w:val="none"/>
        </w:rPr>
        <w:t>工程主要材料的检验均要求按《广州市水务投资集团有限公司基本建设项目工程原材料管理办法》执行。</w:t>
      </w:r>
    </w:p>
    <w:p>
      <w:pPr>
        <w:pStyle w:val="60"/>
        <w:rPr>
          <w:rFonts w:hAnsi="仿宋_GB2312" w:cs="仿宋_GB2312"/>
          <w:bCs/>
          <w:color w:val="auto"/>
          <w:highlight w:val="none"/>
        </w:rPr>
      </w:pPr>
      <w:r>
        <w:rPr>
          <w:rFonts w:hint="eastAsia" w:hAnsi="仿宋_GB2312" w:cs="仿宋_GB2312"/>
          <w:bCs/>
          <w:color w:val="auto"/>
          <w:highlight w:val="none"/>
        </w:rPr>
        <w:t>由于承包人未按设计图纸要求提供工程主要材料或进场前未按程序将工程主要材料向发包人或监理人（如有）进行书面报备确认的，发包人有权要求对主要材料品牌进行更换，由此而导致的一切损失、事故及后果，均由承包人负责，包括但不限于更换所有已施工的不合格材料、拆除不符合要求的工程并重新施工等。</w:t>
      </w:r>
    </w:p>
    <w:p>
      <w:pPr>
        <w:pStyle w:val="60"/>
        <w:rPr>
          <w:rFonts w:hAnsi="仿宋_GB2312" w:cs="仿宋_GB2312"/>
          <w:bCs/>
          <w:color w:val="auto"/>
          <w:highlight w:val="none"/>
        </w:rPr>
      </w:pPr>
      <w:r>
        <w:rPr>
          <w:rFonts w:hint="eastAsia" w:hAnsi="仿宋_GB2312" w:cs="仿宋_GB2312"/>
          <w:bCs/>
          <w:color w:val="auto"/>
          <w:highlight w:val="none"/>
        </w:rPr>
        <w:t>若承包人使用的标准在工程预算书等技术要求的规定外，承包人应明确说明用于替代的标准或使用规范，并提供所使用的标准，该标准必须是国际公认的同等或更高级的标准，如承包人所使用的标准低于上述标准，发包人将有权不予接受。</w:t>
      </w:r>
    </w:p>
    <w:p>
      <w:pPr>
        <w:pStyle w:val="60"/>
        <w:jc w:val="both"/>
        <w:rPr>
          <w:rFonts w:hAnsi="仿宋_GB2312" w:cs="仿宋_GB2312"/>
          <w:bCs/>
          <w:color w:val="auto"/>
          <w:highlight w:val="none"/>
        </w:rPr>
      </w:pPr>
      <w:r>
        <w:rPr>
          <w:rFonts w:hint="eastAsia" w:hAnsi="仿宋_GB2312" w:cs="仿宋_GB2312"/>
          <w:bCs/>
          <w:color w:val="auto"/>
          <w:highlight w:val="none"/>
        </w:rPr>
        <w:t>承包人必须根据工程预算书等上主要材料的明细（包括厂家、规格、品质等级等）提供材料。工程实施时，如发生与工程预算书等不一致时，发包人有权拒用，造成损失由承包人承担，且承包人应更换成符合要求的材料并承担由此发生的一切费用。</w:t>
      </w:r>
    </w:p>
    <w:p>
      <w:pPr>
        <w:pStyle w:val="60"/>
        <w:rPr>
          <w:rFonts w:hAnsi="仿宋_GB2312" w:cs="仿宋_GB2312"/>
          <w:bCs/>
          <w:color w:val="auto"/>
          <w:highlight w:val="none"/>
        </w:rPr>
      </w:pPr>
      <w:r>
        <w:rPr>
          <w:rFonts w:hint="eastAsia" w:hAnsi="仿宋_GB2312" w:cs="仿宋_GB2312"/>
          <w:bCs/>
          <w:color w:val="auto"/>
          <w:highlight w:val="none"/>
        </w:rPr>
        <w:t>发包人保留对本工程使用之主要材料品质确认审查的权利及保留另行委托专业队伍对本工程进行独立检测的权利，发生的相关检测费用由承包人负责承担。</w:t>
      </w:r>
    </w:p>
    <w:p>
      <w:pPr>
        <w:pStyle w:val="60"/>
        <w:rPr>
          <w:rFonts w:hAnsi="仿宋_GB2312" w:cs="仿宋_GB2312"/>
          <w:bCs/>
          <w:color w:val="auto"/>
          <w:highlight w:val="none"/>
        </w:rPr>
      </w:pPr>
      <w:r>
        <w:rPr>
          <w:rFonts w:hint="eastAsia" w:hAnsi="仿宋_GB2312" w:cs="仿宋_GB2312"/>
          <w:bCs/>
          <w:color w:val="auto"/>
          <w:highlight w:val="none"/>
        </w:rPr>
        <w:t>《建设工程质量检测管理办法》（建设部令第141号）第十二条规定的建设工程质量安全监测业务应由建设单位委托具有相应资质的检测机构进行检测的工作内容不列入本合同范围内。</w:t>
      </w:r>
    </w:p>
    <w:p>
      <w:pPr>
        <w:pStyle w:val="59"/>
        <w:rPr>
          <w:color w:val="auto"/>
          <w:highlight w:val="none"/>
        </w:rPr>
      </w:pPr>
      <w:r>
        <w:rPr>
          <w:rFonts w:hint="eastAsia"/>
          <w:color w:val="auto"/>
          <w:highlight w:val="none"/>
        </w:rPr>
        <w:t>其他说明</w:t>
      </w:r>
    </w:p>
    <w:p>
      <w:pPr>
        <w:pStyle w:val="36"/>
        <w:numPr>
          <w:ilvl w:val="0"/>
          <w:numId w:val="10"/>
        </w:numPr>
        <w:spacing w:line="360" w:lineRule="auto"/>
        <w:ind w:firstLineChars="0"/>
        <w:jc w:val="left"/>
        <w:rPr>
          <w:rFonts w:ascii="仿宋_GB2312" w:hAnsi="仿宋_GB2312" w:eastAsia="仿宋_GB2312" w:cs="仿宋_GB2312"/>
          <w:bCs/>
          <w:vanish/>
          <w:color w:val="auto"/>
          <w:sz w:val="24"/>
          <w:highlight w:val="none"/>
        </w:rPr>
      </w:pPr>
    </w:p>
    <w:p>
      <w:pPr>
        <w:pStyle w:val="60"/>
        <w:jc w:val="both"/>
        <w:rPr>
          <w:rFonts w:hAnsi="仿宋_GB2312" w:cs="仿宋_GB2312"/>
          <w:bCs/>
          <w:color w:val="auto"/>
          <w:highlight w:val="none"/>
        </w:rPr>
      </w:pPr>
      <w:r>
        <w:rPr>
          <w:rFonts w:hint="eastAsia" w:hAnsi="仿宋_GB2312" w:cs="仿宋_GB2312"/>
          <w:bCs/>
          <w:color w:val="auto"/>
          <w:highlight w:val="none"/>
          <w:lang w:val="en-US" w:eastAsia="zh-CN"/>
        </w:rPr>
        <w:t>合同约定的项目负责人须全程跟进整个项目始终，</w:t>
      </w:r>
      <w:r>
        <w:rPr>
          <w:rFonts w:hint="eastAsia" w:hAnsi="仿宋_GB2312" w:cs="仿宋_GB2312"/>
          <w:bCs/>
          <w:color w:val="auto"/>
          <w:highlight w:val="none"/>
        </w:rPr>
        <w:t>承包人不许随意更换合同内约定的项目负责人，如确须更换，则事前须征得发包人书面同意，如有违反，一经发现发包人有权单方解除本合同，追究承包人的违约责任，且承包人应赔偿由此给发包人造成的一切损失(包含质量安全事故、拖延工期、增加投资等损失)。</w:t>
      </w:r>
    </w:p>
    <w:p>
      <w:pPr>
        <w:pStyle w:val="60"/>
        <w:rPr>
          <w:rFonts w:hAnsi="仿宋_GB2312" w:cs="仿宋_GB2312"/>
          <w:bCs/>
          <w:color w:val="auto"/>
          <w:highlight w:val="none"/>
        </w:rPr>
      </w:pPr>
      <w:r>
        <w:rPr>
          <w:rFonts w:hint="eastAsia" w:hAnsi="仿宋_GB2312" w:cs="仿宋_GB2312"/>
          <w:bCs/>
          <w:color w:val="auto"/>
          <w:highlight w:val="none"/>
        </w:rPr>
        <w:t>在工程进行中，承包人要注意保护场内的各种管线和设施。若有任何损坏，须立即通知有关部门和发包人，并由造成损坏的责任方承担损失和修复费用。</w:t>
      </w:r>
    </w:p>
    <w:p>
      <w:pPr>
        <w:pStyle w:val="60"/>
        <w:rPr>
          <w:rFonts w:hAnsi="仿宋_GB2312" w:cs="仿宋_GB2312"/>
          <w:bCs/>
          <w:color w:val="auto"/>
          <w:highlight w:val="none"/>
        </w:rPr>
      </w:pPr>
      <w:r>
        <w:rPr>
          <w:rFonts w:hint="eastAsia" w:hAnsi="仿宋_GB2312" w:cs="仿宋_GB2312"/>
          <w:bCs/>
          <w:color w:val="auto"/>
          <w:highlight w:val="none"/>
        </w:rPr>
        <w:t>发生重大伤亡及其他安全事故，承包人应按有关规定立即上报有关部门并通知发包人，同时按政府有关部门要求处理，由事故责任方承担发生的费用。发包人、承包人对事故责任有争议时，应按政府有关部门的认定处理。</w:t>
      </w:r>
    </w:p>
    <w:p>
      <w:pPr>
        <w:pStyle w:val="60"/>
        <w:rPr>
          <w:rFonts w:hAnsi="仿宋_GB2312" w:cs="仿宋_GB2312"/>
          <w:bCs/>
          <w:color w:val="auto"/>
          <w:highlight w:val="none"/>
        </w:rPr>
      </w:pPr>
      <w:r>
        <w:rPr>
          <w:rFonts w:hint="eastAsia" w:hAnsi="仿宋_GB2312" w:cs="仿宋_GB2312"/>
          <w:bCs/>
          <w:color w:val="auto"/>
          <w:highlight w:val="none"/>
        </w:rPr>
        <w:t>承包人不得拖欠农民工工资。</w:t>
      </w:r>
    </w:p>
    <w:p>
      <w:pPr>
        <w:pStyle w:val="60"/>
        <w:numPr>
          <w:ilvl w:val="0"/>
          <w:numId w:val="0"/>
        </w:numPr>
        <w:rPr>
          <w:rFonts w:hAnsi="仿宋_GB2312" w:cs="仿宋_GB2312"/>
          <w:bCs/>
          <w:color w:val="auto"/>
          <w:highlight w:val="none"/>
        </w:rPr>
      </w:pPr>
    </w:p>
    <w:p>
      <w:pPr>
        <w:pStyle w:val="59"/>
        <w:rPr>
          <w:color w:val="auto"/>
          <w:highlight w:val="none"/>
        </w:rPr>
      </w:pPr>
      <w:r>
        <w:rPr>
          <w:rFonts w:hint="eastAsia"/>
          <w:color w:val="auto"/>
          <w:highlight w:val="none"/>
        </w:rPr>
        <w:t>竣工验收</w:t>
      </w:r>
    </w:p>
    <w:p>
      <w:pPr>
        <w:pStyle w:val="36"/>
        <w:numPr>
          <w:ilvl w:val="0"/>
          <w:numId w:val="10"/>
        </w:numPr>
        <w:spacing w:line="360" w:lineRule="auto"/>
        <w:ind w:firstLineChars="0"/>
        <w:jc w:val="left"/>
        <w:rPr>
          <w:rFonts w:ascii="仿宋_GB2312" w:hAnsi="仿宋_GB2312" w:eastAsia="仿宋_GB2312" w:cs="仿宋_GB2312"/>
          <w:bCs/>
          <w:vanish/>
          <w:color w:val="auto"/>
          <w:sz w:val="24"/>
          <w:highlight w:val="none"/>
        </w:rPr>
      </w:pPr>
    </w:p>
    <w:p>
      <w:pPr>
        <w:pStyle w:val="60"/>
        <w:jc w:val="both"/>
        <w:rPr>
          <w:rFonts w:hAnsi="仿宋_GB2312" w:cs="仿宋_GB2312"/>
          <w:bCs/>
          <w:color w:val="auto"/>
          <w:highlight w:val="none"/>
        </w:rPr>
      </w:pPr>
      <w:r>
        <w:rPr>
          <w:rFonts w:hint="eastAsia" w:hAnsi="仿宋_GB2312" w:cs="仿宋_GB2312"/>
          <w:bCs/>
          <w:color w:val="auto"/>
          <w:highlight w:val="none"/>
        </w:rPr>
        <w:t>在工程完工后</w:t>
      </w:r>
      <w:r>
        <w:rPr>
          <w:rFonts w:hint="eastAsia" w:hAnsi="仿宋_GB2312" w:cs="仿宋_GB2312"/>
          <w:bCs/>
          <w:color w:val="auto"/>
          <w:highlight w:val="none"/>
          <w:u w:val="single"/>
          <w:lang w:val="en-US" w:eastAsia="zh-CN"/>
        </w:rPr>
        <w:t>30</w:t>
      </w:r>
      <w:r>
        <w:rPr>
          <w:rFonts w:hint="eastAsia" w:hAnsi="仿宋_GB2312" w:cs="仿宋_GB2312"/>
          <w:bCs/>
          <w:color w:val="auto"/>
          <w:highlight w:val="none"/>
          <w:u w:val="none"/>
          <w:lang w:val="en-US" w:eastAsia="zh-CN"/>
        </w:rPr>
        <w:t>天</w:t>
      </w:r>
      <w:r>
        <w:rPr>
          <w:rFonts w:hint="eastAsia" w:hAnsi="仿宋_GB2312" w:cs="仿宋_GB2312"/>
          <w:bCs/>
          <w:color w:val="auto"/>
          <w:highlight w:val="none"/>
        </w:rPr>
        <w:t>内承包人应将经发包人审核通过的完整竣工资料和竣工</w:t>
      </w:r>
      <w:r>
        <w:rPr>
          <w:rFonts w:hint="eastAsia" w:hAnsi="仿宋_GB2312" w:cs="仿宋_GB2312"/>
          <w:bCs/>
          <w:color w:val="auto"/>
          <w:highlight w:val="none"/>
          <w:lang w:val="en-US" w:eastAsia="zh-CN"/>
        </w:rPr>
        <w:t>验收</w:t>
      </w:r>
      <w:r>
        <w:rPr>
          <w:rFonts w:hint="eastAsia" w:hAnsi="仿宋_GB2312" w:cs="仿宋_GB2312"/>
          <w:bCs/>
          <w:color w:val="auto"/>
          <w:highlight w:val="none"/>
        </w:rPr>
        <w:t>报告各一式四份交给发包人。</w:t>
      </w:r>
    </w:p>
    <w:p>
      <w:pPr>
        <w:pStyle w:val="60"/>
        <w:jc w:val="both"/>
        <w:rPr>
          <w:rFonts w:hAnsi="仿宋_GB2312" w:cs="仿宋_GB2312"/>
          <w:bCs/>
          <w:color w:val="auto"/>
          <w:highlight w:val="none"/>
        </w:rPr>
      </w:pPr>
      <w:r>
        <w:rPr>
          <w:rFonts w:hint="eastAsia" w:hAnsi="仿宋_GB2312" w:cs="仿宋_GB2312"/>
          <w:bCs/>
          <w:color w:val="auto"/>
          <w:highlight w:val="none"/>
        </w:rPr>
        <w:t>发包人收到完整的竣工验收资料和竣工报告后</w:t>
      </w:r>
      <w:r>
        <w:rPr>
          <w:rFonts w:hint="eastAsia" w:hAnsi="仿宋_GB2312" w:cs="仿宋_GB2312"/>
          <w:bCs/>
          <w:color w:val="auto"/>
          <w:highlight w:val="none"/>
          <w:u w:val="single"/>
          <w:lang w:val="en-US" w:eastAsia="zh-CN"/>
        </w:rPr>
        <w:t>20</w:t>
      </w:r>
      <w:r>
        <w:rPr>
          <w:rFonts w:hint="eastAsia" w:hAnsi="仿宋_GB2312" w:cs="仿宋_GB2312"/>
          <w:bCs/>
          <w:color w:val="auto"/>
          <w:highlight w:val="none"/>
          <w:u w:val="none"/>
          <w:lang w:val="en-US" w:eastAsia="zh-CN"/>
        </w:rPr>
        <w:t>天</w:t>
      </w:r>
      <w:r>
        <w:rPr>
          <w:rFonts w:hint="eastAsia" w:hAnsi="仿宋_GB2312" w:cs="仿宋_GB2312"/>
          <w:bCs/>
          <w:color w:val="auto"/>
          <w:highlight w:val="none"/>
        </w:rPr>
        <w:t>内组织有关单位进行验收，工程竣工验收严格按国家、省、市、部门有关文件执行，发包人在组织验收后</w:t>
      </w:r>
      <w:r>
        <w:rPr>
          <w:rFonts w:hint="eastAsia" w:hAnsi="仿宋_GB2312" w:cs="仿宋_GB2312"/>
          <w:bCs/>
          <w:color w:val="auto"/>
          <w:highlight w:val="none"/>
          <w:u w:val="single"/>
        </w:rPr>
        <w:t>10</w:t>
      </w:r>
      <w:r>
        <w:rPr>
          <w:rFonts w:hint="eastAsia" w:hAnsi="仿宋_GB2312" w:cs="仿宋_GB2312"/>
          <w:bCs/>
          <w:color w:val="auto"/>
          <w:highlight w:val="none"/>
          <w:lang w:val="en-US" w:eastAsia="zh-CN"/>
        </w:rPr>
        <w:t>天</w:t>
      </w:r>
      <w:r>
        <w:rPr>
          <w:rFonts w:hint="eastAsia" w:hAnsi="仿宋_GB2312" w:cs="仿宋_GB2312"/>
          <w:bCs/>
          <w:color w:val="auto"/>
          <w:highlight w:val="none"/>
        </w:rPr>
        <w:t>内给予认可或提出修改意见。承包人按要求修改，并承担由自身原因造成修改的费用。</w:t>
      </w:r>
    </w:p>
    <w:p>
      <w:pPr>
        <w:pStyle w:val="60"/>
        <w:jc w:val="both"/>
        <w:rPr>
          <w:rFonts w:hAnsi="仿宋_GB2312" w:cs="仿宋_GB2312"/>
          <w:bCs/>
          <w:color w:val="auto"/>
          <w:highlight w:val="none"/>
        </w:rPr>
      </w:pPr>
      <w:r>
        <w:rPr>
          <w:rFonts w:hint="eastAsia" w:hAnsi="仿宋_GB2312" w:cs="仿宋_GB2312"/>
          <w:bCs/>
          <w:color w:val="auto"/>
          <w:highlight w:val="none"/>
        </w:rPr>
        <w:t>承包人送交完整的竣工验收资料和竣工验收报告，且通过工程竣工验收的日期为实际竣工日期。工程按发包人要求修改后通过竣工验收的，实际竣工日期为承包人修改后提请发包人验收的日期。</w:t>
      </w:r>
    </w:p>
    <w:p>
      <w:pPr>
        <w:pStyle w:val="60"/>
        <w:jc w:val="both"/>
        <w:rPr>
          <w:rFonts w:hAnsi="仿宋_GB2312" w:cs="仿宋_GB2312"/>
          <w:bCs/>
          <w:color w:val="auto"/>
          <w:highlight w:val="none"/>
        </w:rPr>
      </w:pPr>
      <w:r>
        <w:rPr>
          <w:rFonts w:hint="eastAsia" w:hAnsi="仿宋_GB2312" w:cs="仿宋_GB2312"/>
          <w:bCs/>
          <w:color w:val="auto"/>
          <w:highlight w:val="none"/>
        </w:rPr>
        <w:t>竣工验收通过后20个工作日内，承包人应将完整的结算资料送交发包人审核。</w:t>
      </w:r>
    </w:p>
    <w:p>
      <w:pPr>
        <w:pStyle w:val="60"/>
        <w:jc w:val="both"/>
        <w:rPr>
          <w:rFonts w:hAnsi="仿宋_GB2312" w:cs="仿宋_GB2312"/>
          <w:bCs/>
          <w:color w:val="auto"/>
          <w:highlight w:val="none"/>
        </w:rPr>
      </w:pPr>
      <w:r>
        <w:rPr>
          <w:rFonts w:hint="eastAsia" w:hAnsi="仿宋_GB2312" w:cs="仿宋_GB2312"/>
          <w:bCs/>
          <w:color w:val="auto"/>
          <w:highlight w:val="none"/>
        </w:rPr>
        <w:t>承包人应按照国家《城市建设档案管理规定》、《广州市城市建设档案管理办法》和发包人有关整理工程档案的要求，在工程施工期间及时收集、汇总、整理、编制竣工档案，并于工程竣工验收后按广州市建设工程档案整理与移交办法向发包人完整移交如下竣工档案：</w:t>
      </w:r>
    </w:p>
    <w:p>
      <w:pPr>
        <w:pStyle w:val="47"/>
        <w:numPr>
          <w:ilvl w:val="0"/>
          <w:numId w:val="11"/>
        </w:numPr>
        <w:ind w:firstLineChars="0"/>
        <w:rPr>
          <w:rFonts w:ascii="仿宋_GB2312" w:hAnsi="仿宋_GB2312" w:cs="仿宋_GB2312"/>
          <w:bCs/>
          <w:color w:val="auto"/>
          <w:highlight w:val="none"/>
        </w:rPr>
      </w:pPr>
      <w:r>
        <w:rPr>
          <w:rFonts w:hint="eastAsia" w:ascii="仿宋_GB2312" w:hAnsi="仿宋_GB2312" w:cs="仿宋_GB2312"/>
          <w:bCs/>
          <w:color w:val="auto"/>
          <w:highlight w:val="none"/>
        </w:rPr>
        <w:t>竣工文件资料、（原件）各一式四份；</w:t>
      </w:r>
    </w:p>
    <w:p>
      <w:pPr>
        <w:pStyle w:val="47"/>
        <w:numPr>
          <w:ilvl w:val="0"/>
          <w:numId w:val="11"/>
        </w:numPr>
        <w:ind w:firstLineChars="0"/>
        <w:rPr>
          <w:rFonts w:ascii="仿宋_GB2312" w:hAnsi="仿宋_GB2312" w:cs="仿宋_GB2312"/>
          <w:bCs/>
          <w:color w:val="auto"/>
          <w:highlight w:val="none"/>
        </w:rPr>
      </w:pPr>
      <w:r>
        <w:rPr>
          <w:rFonts w:hint="eastAsia" w:ascii="仿宋_GB2312" w:hAnsi="仿宋_GB2312" w:cs="仿宋_GB2312"/>
          <w:bCs/>
          <w:color w:val="auto"/>
          <w:highlight w:val="none"/>
        </w:rPr>
        <w:t>与本款（1）项内容相同的电子版档案一式二份；</w:t>
      </w:r>
    </w:p>
    <w:p>
      <w:pPr>
        <w:pStyle w:val="60"/>
        <w:jc w:val="both"/>
        <w:rPr>
          <w:rFonts w:hAnsi="仿宋_GB2312" w:cs="仿宋_GB2312"/>
          <w:bCs/>
          <w:color w:val="auto"/>
          <w:highlight w:val="none"/>
        </w:rPr>
      </w:pPr>
      <w:r>
        <w:rPr>
          <w:rFonts w:hint="eastAsia" w:hAnsi="仿宋_GB2312" w:cs="仿宋_GB2312"/>
          <w:bCs/>
          <w:color w:val="auto"/>
          <w:highlight w:val="none"/>
        </w:rPr>
        <w:t>承包人移交竣工档案的时限：承包人应于工程竣工验收通过后</w:t>
      </w:r>
      <w:r>
        <w:rPr>
          <w:rFonts w:hint="eastAsia" w:hAnsi="仿宋_GB2312" w:cs="仿宋_GB2312"/>
          <w:bCs/>
          <w:color w:val="auto"/>
          <w:highlight w:val="none"/>
          <w:u w:val="single"/>
          <w:lang w:val="en-US" w:eastAsia="zh-CN"/>
        </w:rPr>
        <w:t>30</w:t>
      </w:r>
      <w:r>
        <w:rPr>
          <w:rFonts w:hint="eastAsia" w:hAnsi="仿宋_GB2312" w:cs="仿宋_GB2312"/>
          <w:bCs/>
          <w:color w:val="auto"/>
          <w:highlight w:val="none"/>
          <w:u w:val="none"/>
          <w:lang w:val="en-US" w:eastAsia="zh-CN"/>
        </w:rPr>
        <w:t>天</w:t>
      </w:r>
      <w:r>
        <w:rPr>
          <w:rFonts w:hint="eastAsia" w:hAnsi="仿宋_GB2312" w:cs="仿宋_GB2312"/>
          <w:bCs/>
          <w:color w:val="auto"/>
          <w:highlight w:val="none"/>
        </w:rPr>
        <w:t>内将竣工档案提交发包人签认，发包人应当收到竣工档案后</w:t>
      </w:r>
      <w:r>
        <w:rPr>
          <w:rFonts w:hint="eastAsia" w:hAnsi="仿宋_GB2312" w:cs="仿宋_GB2312"/>
          <w:bCs/>
          <w:color w:val="auto"/>
          <w:highlight w:val="none"/>
          <w:u w:val="single"/>
          <w:lang w:val="en-US" w:eastAsia="zh-CN"/>
        </w:rPr>
        <w:t>20</w:t>
      </w:r>
      <w:r>
        <w:rPr>
          <w:rFonts w:hint="eastAsia" w:hAnsi="仿宋_GB2312" w:cs="仿宋_GB2312"/>
          <w:bCs/>
          <w:color w:val="auto"/>
          <w:highlight w:val="none"/>
          <w:u w:val="none"/>
          <w:lang w:val="en-US" w:eastAsia="zh-CN"/>
        </w:rPr>
        <w:t>天</w:t>
      </w:r>
      <w:r>
        <w:rPr>
          <w:rFonts w:hint="eastAsia" w:hAnsi="仿宋_GB2312" w:cs="仿宋_GB2312"/>
          <w:bCs/>
          <w:color w:val="auto"/>
          <w:highlight w:val="none"/>
        </w:rPr>
        <w:t>内签认。经发包人签认后，承包人应及时将竣工档案移交给发包人归档并同时移交有关归档的证明文件。发包人经审查合格的，应在收到竣工档案后</w:t>
      </w:r>
      <w:r>
        <w:rPr>
          <w:rFonts w:hint="eastAsia" w:hAnsi="仿宋_GB2312" w:cs="仿宋_GB2312"/>
          <w:bCs/>
          <w:color w:val="auto"/>
          <w:highlight w:val="none"/>
          <w:u w:val="single"/>
        </w:rPr>
        <w:t>10</w:t>
      </w:r>
      <w:r>
        <w:rPr>
          <w:rFonts w:hint="eastAsia" w:hAnsi="仿宋_GB2312" w:cs="仿宋_GB2312"/>
          <w:bCs/>
          <w:color w:val="auto"/>
          <w:highlight w:val="none"/>
          <w:u w:val="none"/>
          <w:lang w:val="en-US" w:eastAsia="zh-CN"/>
        </w:rPr>
        <w:t>天</w:t>
      </w:r>
      <w:r>
        <w:rPr>
          <w:rFonts w:hint="eastAsia" w:hAnsi="仿宋_GB2312" w:cs="仿宋_GB2312"/>
          <w:bCs/>
          <w:color w:val="auto"/>
          <w:highlight w:val="none"/>
        </w:rPr>
        <w:t>内签署档案验收意见；不合格的，要求承包人限期补正，直至合格为止。</w:t>
      </w:r>
    </w:p>
    <w:p>
      <w:pPr>
        <w:pStyle w:val="60"/>
        <w:jc w:val="both"/>
        <w:rPr>
          <w:rFonts w:hAnsi="仿宋_GB2312" w:cs="仿宋_GB2312"/>
          <w:bCs/>
          <w:color w:val="auto"/>
          <w:highlight w:val="none"/>
        </w:rPr>
      </w:pPr>
      <w:r>
        <w:rPr>
          <w:rFonts w:hint="eastAsia" w:hAnsi="仿宋_GB2312" w:cs="仿宋_GB2312"/>
          <w:bCs/>
          <w:color w:val="auto"/>
          <w:highlight w:val="none"/>
        </w:rPr>
        <w:t>竣工验收资料的知识产权归属发包人所有，非经发包人书面许可，承包人不得以任何方式复制、备份、转让和利用。否则，由此引起的任何纠纷和责任由承包人承担，给发包人造成损失的由承包人赔偿。</w:t>
      </w:r>
    </w:p>
    <w:p>
      <w:pPr>
        <w:pStyle w:val="60"/>
        <w:numPr>
          <w:ilvl w:val="0"/>
          <w:numId w:val="0"/>
        </w:numPr>
        <w:rPr>
          <w:rFonts w:hAnsi="仿宋_GB2312" w:cs="仿宋_GB2312"/>
          <w:bCs/>
          <w:color w:val="auto"/>
          <w:highlight w:val="none"/>
        </w:rPr>
      </w:pPr>
    </w:p>
    <w:p>
      <w:pPr>
        <w:pStyle w:val="59"/>
        <w:rPr>
          <w:rFonts w:hint="default" w:hAnsi="仿宋_GB2312" w:eastAsia="仿宋_GB2312" w:cs="仿宋_GB2312"/>
          <w:bCs/>
          <w:color w:val="auto"/>
          <w:highlight w:val="none"/>
          <w:lang w:val="en-US" w:eastAsia="zh-CN"/>
        </w:rPr>
      </w:pPr>
      <w:r>
        <w:rPr>
          <w:rFonts w:hint="eastAsia"/>
          <w:color w:val="auto"/>
          <w:highlight w:val="none"/>
        </w:rPr>
        <w:t>违约责任</w:t>
      </w:r>
      <w:bookmarkStart w:id="3" w:name="_Hlk67577711"/>
    </w:p>
    <w:p>
      <w:pPr>
        <w:pStyle w:val="60"/>
        <w:jc w:val="both"/>
        <w:rPr>
          <w:rFonts w:hAnsi="仿宋_GB2312" w:cs="仿宋_GB2312"/>
          <w:bCs/>
          <w:color w:val="auto"/>
          <w:highlight w:val="none"/>
        </w:rPr>
      </w:pPr>
      <w:r>
        <w:rPr>
          <w:rFonts w:hint="eastAsia" w:hAnsi="仿宋_GB2312" w:cs="仿宋_GB2312"/>
          <w:bCs/>
          <w:color w:val="auto"/>
          <w:highlight w:val="none"/>
          <w:lang w:val="en-US" w:eastAsia="zh-CN"/>
        </w:rPr>
        <w:t>原则上，发包人派发的任务单承包人应积极响应，如承包人确有特殊原因不能承接该任务，须书面回复原因，如无正当理由，出现一次拒接任务扣除合同金额0.1%，</w:t>
      </w:r>
      <w:r>
        <w:rPr>
          <w:rFonts w:hint="eastAsia" w:hAnsi="仿宋_GB2312" w:cs="仿宋_GB2312"/>
          <w:bCs/>
          <w:color w:val="auto"/>
          <w:highlight w:val="none"/>
        </w:rPr>
        <w:t>发包人有权优先在应付未付合同款、质量保证金中扣除。由此造成的环境影响或人财物损失由承包人承担责任。</w:t>
      </w:r>
    </w:p>
    <w:p>
      <w:pPr>
        <w:pStyle w:val="60"/>
        <w:jc w:val="both"/>
        <w:rPr>
          <w:rFonts w:hAnsi="仿宋_GB2312" w:cs="仿宋_GB2312"/>
          <w:bCs/>
          <w:color w:val="auto"/>
          <w:highlight w:val="none"/>
        </w:rPr>
      </w:pPr>
      <w:r>
        <w:rPr>
          <w:rFonts w:hint="eastAsia" w:hAnsi="仿宋_GB2312" w:cs="仿宋_GB2312"/>
          <w:bCs/>
          <w:color w:val="auto"/>
          <w:highlight w:val="none"/>
        </w:rPr>
        <w:t>承包人未按投标文件承诺书要求配置施工机具的，出现一次扣除合同金额0.1%，发包人有权优先在应付未付合同款、质量保证金中扣除。由此造成的环境影响或人财物损失由承包人承担责任。</w:t>
      </w:r>
    </w:p>
    <w:p>
      <w:pPr>
        <w:pStyle w:val="60"/>
        <w:jc w:val="both"/>
        <w:rPr>
          <w:rFonts w:hAnsi="仿宋_GB2312" w:cs="仿宋_GB2312"/>
          <w:bCs/>
          <w:color w:val="auto"/>
          <w:highlight w:val="none"/>
        </w:rPr>
      </w:pPr>
      <w:r>
        <w:rPr>
          <w:rFonts w:hint="eastAsia" w:hAnsi="仿宋_GB2312" w:cs="仿宋_GB2312"/>
          <w:bCs/>
          <w:color w:val="auto"/>
          <w:highlight w:val="none"/>
        </w:rPr>
        <w:t>由于承包人原因，延误了完工时间，每延误—天，发包人有权扣除该子项目立项估算价的</w:t>
      </w:r>
      <w:r>
        <w:rPr>
          <w:rFonts w:hint="eastAsia" w:hAnsi="仿宋_GB2312" w:cs="仿宋_GB2312"/>
          <w:bCs/>
          <w:color w:val="auto"/>
          <w:highlight w:val="none"/>
          <w:lang w:val="en-US" w:eastAsia="zh-CN"/>
        </w:rPr>
        <w:t>1</w:t>
      </w:r>
      <w:r>
        <w:rPr>
          <w:rFonts w:hint="eastAsia" w:hAnsi="仿宋_GB2312" w:cs="仿宋_GB2312"/>
          <w:bCs/>
          <w:color w:val="auto"/>
          <w:highlight w:val="none"/>
        </w:rPr>
        <w:t>%。未征得发包人同意，逾期超过7天，发包人有权单方解除或部分解除合同，另行委托第三方完成剩余工程，承包人须向发包人返还已支付的款项并支付该单个子项目立项金额</w:t>
      </w:r>
      <w:r>
        <w:rPr>
          <w:rFonts w:hint="eastAsia" w:hAnsi="仿宋_GB2312" w:cs="仿宋_GB2312"/>
          <w:bCs/>
          <w:color w:val="auto"/>
          <w:highlight w:val="none"/>
          <w:lang w:val="en-US" w:eastAsia="zh-CN"/>
        </w:rPr>
        <w:t>5</w:t>
      </w:r>
      <w:r>
        <w:rPr>
          <w:rFonts w:hint="eastAsia" w:hAnsi="仿宋_GB2312" w:cs="仿宋_GB2312"/>
          <w:bCs/>
          <w:color w:val="auto"/>
          <w:highlight w:val="none"/>
        </w:rPr>
        <w:t>%的违约金，造成损失的，还应承担所有赔偿责任。</w:t>
      </w:r>
    </w:p>
    <w:p>
      <w:pPr>
        <w:pStyle w:val="60"/>
        <w:jc w:val="both"/>
        <w:rPr>
          <w:rFonts w:hAnsi="仿宋_GB2312" w:cs="仿宋_GB2312"/>
          <w:bCs/>
          <w:color w:val="auto"/>
          <w:highlight w:val="none"/>
        </w:rPr>
      </w:pPr>
      <w:r>
        <w:rPr>
          <w:rFonts w:hint="eastAsia" w:hAnsi="仿宋_GB2312" w:cs="仿宋_GB2312"/>
          <w:bCs/>
          <w:color w:val="auto"/>
          <w:highlight w:val="none"/>
        </w:rPr>
        <w:t>由于承包人不按时报送工程竣工资料等原因，在工程完工后延误了竣工时间的，每延误—天，发包人有权扣除该子项目立项价的</w:t>
      </w:r>
      <w:r>
        <w:rPr>
          <w:rFonts w:hint="eastAsia" w:hAnsi="仿宋_GB2312" w:cs="仿宋_GB2312"/>
          <w:bCs/>
          <w:color w:val="auto"/>
          <w:highlight w:val="none"/>
          <w:lang w:val="en-US" w:eastAsia="zh-CN"/>
        </w:rPr>
        <w:t>0.1</w:t>
      </w:r>
      <w:r>
        <w:rPr>
          <w:rFonts w:hint="eastAsia" w:hAnsi="仿宋_GB2312" w:cs="仿宋_GB2312"/>
          <w:bCs/>
          <w:color w:val="auto"/>
          <w:highlight w:val="none"/>
        </w:rPr>
        <w:t>%。延误超过</w:t>
      </w:r>
      <w:r>
        <w:rPr>
          <w:rFonts w:hint="eastAsia" w:hAnsi="仿宋_GB2312" w:cs="仿宋_GB2312"/>
          <w:bCs/>
          <w:color w:val="auto"/>
          <w:highlight w:val="none"/>
          <w:u w:val="single"/>
        </w:rPr>
        <w:t>7</w:t>
      </w:r>
      <w:r>
        <w:rPr>
          <w:rFonts w:hint="eastAsia" w:hAnsi="仿宋_GB2312" w:cs="仿宋_GB2312"/>
          <w:bCs/>
          <w:color w:val="auto"/>
          <w:highlight w:val="none"/>
        </w:rPr>
        <w:t>天的，发包人除有权扣减相应合同款外，承包人还应向发包人支付该单个子项目金额5%的违约金。</w:t>
      </w:r>
      <w:bookmarkStart w:id="4" w:name="_Hlk62828059"/>
      <w:r>
        <w:rPr>
          <w:rFonts w:hint="eastAsia" w:hAnsi="仿宋_GB2312" w:cs="仿宋_GB2312"/>
          <w:bCs/>
          <w:color w:val="auto"/>
          <w:highlight w:val="none"/>
        </w:rPr>
        <w:t>承包人支付违约金后，不免除承包人继续完成工程及修补缺漏的义务以及赔偿因此给发包人造成损失的责任。</w:t>
      </w:r>
      <w:bookmarkEnd w:id="4"/>
      <w:r>
        <w:rPr>
          <w:rFonts w:hint="eastAsia" w:hAnsi="仿宋_GB2312" w:cs="仿宋_GB2312"/>
          <w:bCs/>
          <w:color w:val="auto"/>
          <w:highlight w:val="none"/>
        </w:rPr>
        <w:t>延误竣工时间达到</w:t>
      </w:r>
      <w:r>
        <w:rPr>
          <w:rFonts w:hint="eastAsia" w:hAnsi="仿宋_GB2312" w:cs="仿宋_GB2312"/>
          <w:bCs/>
          <w:color w:val="auto"/>
          <w:highlight w:val="none"/>
          <w:u w:val="single"/>
        </w:rPr>
        <w:t>30</w:t>
      </w:r>
      <w:r>
        <w:rPr>
          <w:rFonts w:hint="eastAsia" w:hAnsi="仿宋_GB2312" w:cs="仿宋_GB2312"/>
          <w:bCs/>
          <w:color w:val="auto"/>
          <w:highlight w:val="none"/>
        </w:rPr>
        <w:t>天的，发包人有权单方解除或部分解除合同，另行委托第三方完成剩余工程。</w:t>
      </w:r>
      <w:bookmarkEnd w:id="3"/>
    </w:p>
    <w:p>
      <w:pPr>
        <w:pStyle w:val="60"/>
        <w:jc w:val="both"/>
        <w:rPr>
          <w:rFonts w:hAnsi="仿宋_GB2312" w:cs="仿宋_GB2312"/>
          <w:bCs/>
          <w:color w:val="auto"/>
          <w:highlight w:val="none"/>
        </w:rPr>
      </w:pPr>
      <w:r>
        <w:rPr>
          <w:rFonts w:hint="eastAsia" w:hAnsi="仿宋_GB2312" w:cs="仿宋_GB2312"/>
          <w:bCs/>
          <w:color w:val="auto"/>
          <w:highlight w:val="none"/>
          <w:lang w:val="en-US" w:eastAsia="zh-CN"/>
        </w:rPr>
        <w:t>由于承包人原因，</w:t>
      </w:r>
      <w:r>
        <w:rPr>
          <w:rFonts w:hint="eastAsia" w:hAnsi="仿宋_GB2312" w:cs="仿宋_GB2312"/>
          <w:bCs/>
          <w:color w:val="auto"/>
          <w:highlight w:val="none"/>
        </w:rPr>
        <w:t>子项目竣工验收通过后超过2个月承包人仍未送交完整结算资料的，发包人有权扣除该子项目立项价的</w:t>
      </w:r>
      <w:r>
        <w:rPr>
          <w:rFonts w:hint="eastAsia" w:hAnsi="仿宋_GB2312" w:cs="仿宋_GB2312"/>
          <w:bCs/>
          <w:color w:val="auto"/>
          <w:highlight w:val="none"/>
          <w:lang w:val="en-US" w:eastAsia="zh-CN"/>
        </w:rPr>
        <w:t>5</w:t>
      </w:r>
      <w:r>
        <w:rPr>
          <w:rFonts w:hint="eastAsia" w:hAnsi="仿宋_GB2312" w:cs="仿宋_GB2312"/>
          <w:bCs/>
          <w:color w:val="auto"/>
          <w:highlight w:val="none"/>
        </w:rPr>
        <w:t>%，超过3个月的，发包人有权单方面按照发包人确认的工作量对子项目进行结算。</w:t>
      </w:r>
    </w:p>
    <w:p>
      <w:pPr>
        <w:pStyle w:val="60"/>
        <w:jc w:val="both"/>
        <w:rPr>
          <w:rFonts w:hAnsi="仿宋_GB2312" w:cs="仿宋_GB2312"/>
          <w:bCs/>
          <w:color w:val="auto"/>
          <w:highlight w:val="none"/>
        </w:rPr>
      </w:pPr>
      <w:r>
        <w:rPr>
          <w:rFonts w:hint="eastAsia" w:hAnsi="仿宋_GB2312" w:cs="仿宋_GB2312"/>
          <w:bCs/>
          <w:color w:val="auto"/>
          <w:highlight w:val="none"/>
        </w:rPr>
        <w:t>承包人的施工作业、工程质量或提供的材料设备不符合合同约定，发包人有权要求承包人整改、返修或更换，费用由承包人承担，工期不予延长。承包人未按发包人要求进行整改、返修、更换或整改、返修、更换后仍达不到要求的，发包人</w:t>
      </w:r>
      <w:r>
        <w:rPr>
          <w:rFonts w:hint="eastAsia" w:hAnsi="仿宋_GB2312" w:cs="仿宋_GB2312"/>
          <w:bCs/>
          <w:color w:val="auto"/>
          <w:spacing w:val="-4"/>
          <w:highlight w:val="none"/>
        </w:rPr>
        <w:t>可单方面减少本合同约定的承包人该部分或全部工作内容，自行组织实施、整改、</w:t>
      </w:r>
      <w:r>
        <w:rPr>
          <w:rFonts w:hint="eastAsia" w:hAnsi="仿宋_GB2312" w:cs="仿宋_GB2312"/>
          <w:bCs/>
          <w:color w:val="auto"/>
          <w:highlight w:val="none"/>
        </w:rPr>
        <w:t>返修、更换或委托第三方实施、整改、返修、更换，减少的工作内容不进入承包人的合同结算价款，对于超付的工程款，承包人必须无条件退还，并向发包人支付该单个子项目金额5%的违约金，并赔偿发包人因此造成的损失，由此所造成差价及因此导致的工期延误责任，均应由承</w:t>
      </w:r>
      <w:r>
        <w:rPr>
          <w:rFonts w:hint="eastAsia" w:hAnsi="仿宋_GB2312" w:cs="仿宋_GB2312"/>
          <w:bCs/>
          <w:color w:val="auto"/>
          <w:spacing w:val="-6"/>
          <w:highlight w:val="none"/>
        </w:rPr>
        <w:t>包人承担，无需通知承包人或征得承包人同意</w:t>
      </w:r>
      <w:r>
        <w:rPr>
          <w:rFonts w:hint="eastAsia" w:hAnsi="仿宋_GB2312" w:cs="仿宋_GB2312"/>
          <w:bCs/>
          <w:color w:val="auto"/>
          <w:highlight w:val="none"/>
        </w:rPr>
        <w:t>。</w:t>
      </w:r>
    </w:p>
    <w:p>
      <w:pPr>
        <w:pStyle w:val="60"/>
        <w:jc w:val="both"/>
        <w:rPr>
          <w:rFonts w:hAnsi="仿宋_GB2312" w:cs="仿宋_GB2312"/>
          <w:bCs/>
          <w:color w:val="auto"/>
          <w:highlight w:val="none"/>
        </w:rPr>
      </w:pPr>
      <w:r>
        <w:rPr>
          <w:rFonts w:hint="eastAsia" w:hAnsi="仿宋_GB2312" w:cs="仿宋_GB2312"/>
          <w:bCs/>
          <w:color w:val="auto"/>
          <w:highlight w:val="none"/>
        </w:rPr>
        <w:t>在缺陷责任期及保修期内，承包人未按发包人要求对工程缺陷进行修复，或未按发包人通知按时履行保修责任的，每逾期一天，</w:t>
      </w:r>
      <w:bookmarkStart w:id="5" w:name="_Hlk48207591"/>
      <w:r>
        <w:rPr>
          <w:rFonts w:hint="eastAsia" w:hAnsi="仿宋_GB2312" w:cs="仿宋_GB2312"/>
          <w:bCs/>
          <w:color w:val="auto"/>
          <w:highlight w:val="none"/>
        </w:rPr>
        <w:t>承包人应向发包人支付该单个子项目金额1%的违约金，发包人有权在应付合同款中扣除。</w:t>
      </w:r>
      <w:bookmarkEnd w:id="5"/>
      <w:r>
        <w:rPr>
          <w:rFonts w:hint="eastAsia" w:hAnsi="仿宋_GB2312" w:cs="仿宋_GB2312"/>
          <w:bCs/>
          <w:color w:val="auto"/>
          <w:highlight w:val="none"/>
        </w:rPr>
        <w:t>发包人有权委托第三方维修单位进行维修，所支出的费用由承包人承担，发包人有权优先在应付未付合同款、质量保证金中扣除。</w:t>
      </w:r>
    </w:p>
    <w:p>
      <w:pPr>
        <w:pStyle w:val="60"/>
        <w:jc w:val="both"/>
        <w:rPr>
          <w:rFonts w:hAnsi="仿宋_GB2312" w:cs="仿宋_GB2312"/>
          <w:bCs/>
          <w:color w:val="auto"/>
          <w:highlight w:val="none"/>
        </w:rPr>
      </w:pPr>
      <w:r>
        <w:rPr>
          <w:rFonts w:hint="eastAsia" w:hAnsi="仿宋_GB2312" w:cs="仿宋_GB2312"/>
          <w:bCs/>
          <w:color w:val="auto"/>
          <w:highlight w:val="none"/>
        </w:rPr>
        <w:t>由于承包人不文明施工或工程质量出现缺陷等原因造成不良社会影响并被媒体披露的，发包人有权立即单方解除本合同。承包人必须退还除已完工并验收合格工程价款外的已付工程款（如有），并向发包人支付合同暂定价10%的违约金。</w:t>
      </w:r>
    </w:p>
    <w:p>
      <w:pPr>
        <w:pStyle w:val="60"/>
        <w:jc w:val="both"/>
        <w:rPr>
          <w:rFonts w:hAnsi="仿宋_GB2312" w:cs="仿宋_GB2312"/>
          <w:bCs/>
          <w:color w:val="auto"/>
          <w:highlight w:val="none"/>
        </w:rPr>
      </w:pPr>
      <w:r>
        <w:rPr>
          <w:rFonts w:hint="eastAsia" w:hAnsi="仿宋_GB2312" w:cs="仿宋_GB2312"/>
          <w:bCs/>
          <w:color w:val="auto"/>
          <w:highlight w:val="none"/>
        </w:rPr>
        <w:t>本合同签订后，承包人提出终止合同的，必须退还除已完工并验收合格工程价款外的已付工程款（如有），并向发包人支付合同暂定价10%的违约金。</w:t>
      </w:r>
    </w:p>
    <w:p>
      <w:pPr>
        <w:pStyle w:val="60"/>
        <w:jc w:val="both"/>
        <w:rPr>
          <w:rFonts w:hAnsi="仿宋_GB2312" w:cs="仿宋_GB2312"/>
          <w:bCs/>
          <w:color w:val="auto"/>
          <w:highlight w:val="none"/>
        </w:rPr>
      </w:pPr>
      <w:r>
        <w:rPr>
          <w:rFonts w:hint="eastAsia" w:hAnsi="仿宋_GB2312" w:cs="仿宋_GB2312"/>
          <w:bCs/>
          <w:color w:val="auto"/>
          <w:highlight w:val="none"/>
        </w:rPr>
        <w:t>承包人</w:t>
      </w:r>
      <w:r>
        <w:rPr>
          <w:rFonts w:hint="eastAsia" w:hAnsi="仿宋_GB2312" w:cs="仿宋_GB2312"/>
          <w:bCs/>
          <w:color w:val="auto"/>
          <w:highlight w:val="none"/>
          <w:lang w:val="en-US" w:eastAsia="zh-CN"/>
        </w:rPr>
        <w:t>项目负责人，须</w:t>
      </w:r>
      <w:r>
        <w:rPr>
          <w:rFonts w:hint="eastAsia" w:hAnsi="仿宋_GB2312" w:cs="仿宋_GB2312"/>
          <w:bCs/>
          <w:color w:val="auto"/>
          <w:highlight w:val="none"/>
        </w:rPr>
        <w:t>在本项目合同期内均服务于本项目，不得在其他项目中任职</w:t>
      </w:r>
      <w:r>
        <w:rPr>
          <w:rFonts w:hint="eastAsia" w:hAnsi="仿宋_GB2312" w:cs="仿宋_GB2312"/>
          <w:bCs/>
          <w:color w:val="auto"/>
          <w:highlight w:val="none"/>
          <w:lang w:eastAsia="zh-CN"/>
        </w:rPr>
        <w:t>，</w:t>
      </w:r>
      <w:r>
        <w:rPr>
          <w:rFonts w:hint="eastAsia" w:hAnsi="仿宋_GB2312" w:cs="仿宋_GB2312"/>
          <w:bCs/>
          <w:color w:val="auto"/>
          <w:highlight w:val="none"/>
        </w:rPr>
        <w:t>在施工过程中，发包人不定时对承包人</w:t>
      </w:r>
      <w:r>
        <w:rPr>
          <w:rFonts w:hint="eastAsia" w:hAnsi="仿宋_GB2312" w:cs="仿宋_GB2312"/>
          <w:bCs/>
          <w:color w:val="auto"/>
          <w:highlight w:val="none"/>
          <w:lang w:val="en-US" w:eastAsia="zh-CN"/>
        </w:rPr>
        <w:t>投入人员进行抽查考核，抽查</w:t>
      </w:r>
      <w:r>
        <w:rPr>
          <w:rFonts w:hint="eastAsia" w:hAnsi="仿宋_GB2312" w:cs="仿宋_GB2312"/>
          <w:bCs/>
          <w:color w:val="auto"/>
          <w:highlight w:val="none"/>
        </w:rPr>
        <w:t>考核过程中发现若项目负责人不到位，每发生一次则扣除50万，若技术负责人</w:t>
      </w:r>
      <w:r>
        <w:rPr>
          <w:rFonts w:hint="eastAsia" w:hAnsi="仿宋_GB2312" w:cs="仿宋_GB2312"/>
          <w:bCs/>
          <w:color w:val="auto"/>
          <w:highlight w:val="none"/>
          <w:lang w:val="en-US" w:eastAsia="zh-CN"/>
        </w:rPr>
        <w:t>或安全员</w:t>
      </w:r>
      <w:r>
        <w:rPr>
          <w:rFonts w:hint="eastAsia" w:hAnsi="仿宋_GB2312" w:cs="仿宋_GB2312"/>
          <w:bCs/>
          <w:color w:val="auto"/>
          <w:highlight w:val="none"/>
        </w:rPr>
        <w:t>不到位，每发生一次则扣除10万，若施工人</w:t>
      </w:r>
      <w:r>
        <w:rPr>
          <w:rFonts w:hint="eastAsia" w:hAnsi="仿宋_GB2312" w:cs="仿宋_GB2312"/>
          <w:bCs/>
          <w:color w:val="auto"/>
          <w:highlight w:val="none"/>
          <w:lang w:val="en-US" w:eastAsia="zh-CN"/>
        </w:rPr>
        <w:t>员</w:t>
      </w:r>
      <w:r>
        <w:rPr>
          <w:rFonts w:hint="eastAsia" w:hAnsi="仿宋_GB2312" w:cs="仿宋_GB2312"/>
          <w:bCs/>
          <w:color w:val="auto"/>
          <w:highlight w:val="none"/>
        </w:rPr>
        <w:t>如不到位，每发生一次则扣除5万。</w:t>
      </w:r>
    </w:p>
    <w:p>
      <w:pPr>
        <w:pStyle w:val="60"/>
        <w:jc w:val="both"/>
        <w:rPr>
          <w:rFonts w:hAnsi="仿宋_GB2312" w:cs="仿宋_GB2312"/>
          <w:bCs/>
          <w:color w:val="auto"/>
          <w:highlight w:val="none"/>
        </w:rPr>
      </w:pPr>
      <w:r>
        <w:rPr>
          <w:rFonts w:hint="eastAsia" w:hAnsi="仿宋_GB2312" w:cs="仿宋_GB2312"/>
          <w:bCs/>
          <w:color w:val="auto"/>
          <w:highlight w:val="none"/>
        </w:rPr>
        <w:t>承包人违反本合同其他约定，经发包人要求整改后拒不整改或整改后仍不符合发包人要求的，发包人有权单方解除合同，承包人必须退还所有已付合同款（如有），并向发包人支付合同暂定价10%的违约金。</w:t>
      </w:r>
    </w:p>
    <w:p>
      <w:pPr>
        <w:pStyle w:val="60"/>
        <w:jc w:val="both"/>
        <w:rPr>
          <w:rFonts w:hAnsi="仿宋_GB2312" w:cs="仿宋_GB2312"/>
          <w:bCs/>
          <w:color w:val="auto"/>
          <w:highlight w:val="none"/>
        </w:rPr>
      </w:pPr>
      <w:r>
        <w:rPr>
          <w:rFonts w:hint="eastAsia" w:hAnsi="仿宋_GB2312" w:cs="仿宋_GB2312"/>
          <w:bCs/>
          <w:color w:val="auto"/>
          <w:highlight w:val="none"/>
        </w:rPr>
        <w:t>本合同约定的扣减合同款、支付违约金等事项，不能弥补因承包人违约而给发包人造成的损失的，发包人有权进一步要求承包人赔偿。</w:t>
      </w:r>
    </w:p>
    <w:p>
      <w:pPr>
        <w:pStyle w:val="60"/>
        <w:jc w:val="both"/>
        <w:rPr>
          <w:rFonts w:hAnsi="仿宋_GB2312" w:cs="仿宋_GB2312"/>
          <w:bCs/>
          <w:color w:val="auto"/>
          <w:highlight w:val="none"/>
        </w:rPr>
      </w:pPr>
      <w:r>
        <w:rPr>
          <w:rFonts w:hint="eastAsia" w:hAnsi="仿宋_GB2312" w:cs="仿宋_GB2312"/>
          <w:bCs/>
          <w:color w:val="auto"/>
          <w:highlight w:val="none"/>
        </w:rPr>
        <w:t>本合同约定的违约金、损失赔偿款等，发包人有权在应付未付款项、质量保证金、履约保证金（如有）中优先扣除。</w:t>
      </w:r>
    </w:p>
    <w:p>
      <w:pPr>
        <w:pStyle w:val="60"/>
        <w:jc w:val="both"/>
        <w:rPr>
          <w:rFonts w:hAnsi="仿宋_GB2312" w:cs="仿宋_GB2312"/>
          <w:bCs/>
          <w:color w:val="auto"/>
          <w:highlight w:val="none"/>
        </w:rPr>
      </w:pPr>
      <w:r>
        <w:rPr>
          <w:rFonts w:hint="eastAsia" w:hAnsi="仿宋_GB2312" w:cs="仿宋_GB2312"/>
          <w:bCs/>
          <w:color w:val="auto"/>
          <w:highlight w:val="none"/>
        </w:rPr>
        <w:t>承包人未满足本合同第5条服务期及要求中5.2至5.4款内容要求的，每发生一次，扣除当期</w:t>
      </w:r>
      <w:r>
        <w:rPr>
          <w:rFonts w:hint="eastAsia" w:hAnsi="仿宋_GB2312" w:cs="仿宋_GB2312"/>
          <w:bCs/>
          <w:color w:val="auto"/>
          <w:highlight w:val="none"/>
          <w:lang w:val="en-US" w:eastAsia="zh-CN"/>
        </w:rPr>
        <w:t>申请款项5</w:t>
      </w:r>
      <w:r>
        <w:rPr>
          <w:rFonts w:hint="eastAsia" w:hAnsi="仿宋_GB2312" w:cs="仿宋_GB2312"/>
          <w:bCs/>
          <w:color w:val="auto"/>
          <w:highlight w:val="none"/>
        </w:rPr>
        <w:t>万，记一次一般违约责任，三次一般违约责任为一次重大违约责任，累计三次重大违约责任的，发包人有权单方解除或部分解除合同，另行委托第三方完成剩余工程。</w:t>
      </w:r>
    </w:p>
    <w:p>
      <w:pPr>
        <w:pStyle w:val="60"/>
        <w:numPr>
          <w:ilvl w:val="0"/>
          <w:numId w:val="0"/>
        </w:numPr>
        <w:rPr>
          <w:rFonts w:hAnsi="仿宋_GB2312" w:cs="仿宋_GB2312"/>
          <w:bCs/>
          <w:color w:val="auto"/>
          <w:highlight w:val="none"/>
        </w:rPr>
      </w:pPr>
    </w:p>
    <w:p>
      <w:pPr>
        <w:pStyle w:val="59"/>
        <w:rPr>
          <w:color w:val="auto"/>
          <w:highlight w:val="none"/>
        </w:rPr>
      </w:pPr>
      <w:r>
        <w:rPr>
          <w:rFonts w:hint="eastAsia"/>
          <w:color w:val="auto"/>
          <w:highlight w:val="none"/>
        </w:rPr>
        <w:t>争议解决</w:t>
      </w:r>
    </w:p>
    <w:p>
      <w:pPr>
        <w:pStyle w:val="47"/>
        <w:ind w:firstLine="480"/>
        <w:rPr>
          <w:rFonts w:ascii="仿宋_GB2312" w:hAnsi="仿宋_GB2312" w:cs="仿宋_GB2312"/>
          <w:bCs/>
          <w:color w:val="auto"/>
          <w:highlight w:val="none"/>
        </w:rPr>
      </w:pPr>
      <w:r>
        <w:rPr>
          <w:rFonts w:hint="eastAsia" w:ascii="仿宋_GB2312" w:hAnsi="仿宋_GB2312" w:cs="仿宋_GB2312"/>
          <w:bCs/>
          <w:color w:val="auto"/>
          <w:highlight w:val="none"/>
        </w:rPr>
        <w:t>本合同在履行过程中发生的争议，由双方当事人协商解决，协商不成的，向甲方所在地人民法院提起诉讼。</w:t>
      </w:r>
    </w:p>
    <w:p>
      <w:pPr>
        <w:pStyle w:val="59"/>
        <w:rPr>
          <w:color w:val="auto"/>
          <w:highlight w:val="none"/>
        </w:rPr>
      </w:pPr>
      <w:r>
        <w:rPr>
          <w:rFonts w:hint="eastAsia"/>
          <w:color w:val="auto"/>
          <w:highlight w:val="none"/>
        </w:rPr>
        <w:t>其他</w:t>
      </w:r>
    </w:p>
    <w:p>
      <w:pPr>
        <w:pStyle w:val="36"/>
        <w:numPr>
          <w:ilvl w:val="0"/>
          <w:numId w:val="10"/>
        </w:numPr>
        <w:spacing w:line="360" w:lineRule="auto"/>
        <w:ind w:firstLineChars="0"/>
        <w:jc w:val="left"/>
        <w:rPr>
          <w:rFonts w:ascii="仿宋_GB2312" w:hAnsi="仿宋_GB2312" w:eastAsia="仿宋_GB2312" w:cs="仿宋_GB2312"/>
          <w:bCs/>
          <w:vanish/>
          <w:color w:val="auto"/>
          <w:sz w:val="24"/>
          <w:highlight w:val="none"/>
        </w:rPr>
      </w:pPr>
    </w:p>
    <w:p>
      <w:pPr>
        <w:pStyle w:val="36"/>
        <w:numPr>
          <w:ilvl w:val="0"/>
          <w:numId w:val="10"/>
        </w:numPr>
        <w:spacing w:line="360" w:lineRule="auto"/>
        <w:ind w:firstLineChars="0"/>
        <w:jc w:val="left"/>
        <w:rPr>
          <w:rFonts w:ascii="仿宋_GB2312" w:hAnsi="仿宋_GB2312" w:eastAsia="仿宋_GB2312" w:cs="仿宋_GB2312"/>
          <w:bCs/>
          <w:vanish/>
          <w:color w:val="auto"/>
          <w:sz w:val="24"/>
          <w:highlight w:val="none"/>
        </w:rPr>
      </w:pPr>
    </w:p>
    <w:p>
      <w:pPr>
        <w:pStyle w:val="60"/>
        <w:jc w:val="both"/>
        <w:rPr>
          <w:rFonts w:hAnsi="仿宋_GB2312" w:cs="仿宋_GB2312"/>
          <w:bCs/>
          <w:color w:val="auto"/>
          <w:highlight w:val="none"/>
        </w:rPr>
      </w:pPr>
      <w:r>
        <w:rPr>
          <w:rFonts w:hint="eastAsia" w:hAnsi="仿宋_GB2312" w:cs="仿宋_GB2312"/>
          <w:bCs/>
          <w:color w:val="auto"/>
          <w:highlight w:val="none"/>
        </w:rPr>
        <w:t>本协议正本与副本具有同等法律效力。当正本与副本不一致时，以正本为准。合同正本一式</w:t>
      </w:r>
      <w:r>
        <w:rPr>
          <w:rFonts w:hint="eastAsia" w:hAnsi="仿宋_GB2312" w:cs="仿宋_GB2312"/>
          <w:bCs/>
          <w:color w:val="auto"/>
          <w:highlight w:val="none"/>
          <w:u w:val="single"/>
          <w:lang w:val="en-US" w:eastAsia="zh-CN"/>
        </w:rPr>
        <w:t xml:space="preserve">  </w:t>
      </w:r>
      <w:r>
        <w:rPr>
          <w:rFonts w:hint="eastAsia" w:hAnsi="仿宋_GB2312" w:cs="仿宋_GB2312"/>
          <w:bCs/>
          <w:color w:val="auto"/>
          <w:highlight w:val="none"/>
        </w:rPr>
        <w:t>份，发包人执</w:t>
      </w:r>
      <w:r>
        <w:rPr>
          <w:rFonts w:hint="eastAsia" w:hAnsi="仿宋_GB2312" w:cs="仿宋_GB2312"/>
          <w:bCs/>
          <w:color w:val="auto"/>
          <w:highlight w:val="none"/>
          <w:u w:val="single"/>
          <w:lang w:val="en-US" w:eastAsia="zh-CN"/>
        </w:rPr>
        <w:t xml:space="preserve">  </w:t>
      </w:r>
      <w:r>
        <w:rPr>
          <w:rFonts w:hint="eastAsia" w:hAnsi="仿宋_GB2312" w:cs="仿宋_GB2312"/>
          <w:bCs/>
          <w:color w:val="auto"/>
          <w:highlight w:val="none"/>
        </w:rPr>
        <w:t>份，承包人</w:t>
      </w:r>
      <w:r>
        <w:rPr>
          <w:rFonts w:hint="eastAsia" w:hAnsi="仿宋_GB2312" w:cs="仿宋_GB2312"/>
          <w:bCs/>
          <w:color w:val="auto"/>
          <w:highlight w:val="none"/>
          <w:u w:val="single"/>
          <w:lang w:val="en-US" w:eastAsia="zh-CN"/>
        </w:rPr>
        <w:t xml:space="preserve">  </w:t>
      </w:r>
      <w:r>
        <w:rPr>
          <w:rFonts w:hint="eastAsia" w:hAnsi="仿宋_GB2312" w:cs="仿宋_GB2312"/>
          <w:bCs/>
          <w:color w:val="auto"/>
          <w:highlight w:val="none"/>
        </w:rPr>
        <w:t>份。合同副本</w:t>
      </w:r>
      <w:r>
        <w:rPr>
          <w:rFonts w:hint="eastAsia" w:hAnsi="仿宋_GB2312" w:cs="仿宋_GB2312"/>
          <w:bCs/>
          <w:color w:val="auto"/>
          <w:highlight w:val="none"/>
          <w:u w:val="single"/>
          <w:lang w:val="en-US" w:eastAsia="zh-CN"/>
        </w:rPr>
        <w:t xml:space="preserve">  </w:t>
      </w:r>
      <w:r>
        <w:rPr>
          <w:rFonts w:hint="eastAsia" w:hAnsi="仿宋_GB2312" w:cs="仿宋_GB2312"/>
          <w:bCs/>
          <w:color w:val="auto"/>
          <w:highlight w:val="none"/>
        </w:rPr>
        <w:t>份，其中发包人</w:t>
      </w:r>
      <w:r>
        <w:rPr>
          <w:rFonts w:hint="eastAsia" w:hAnsi="仿宋_GB2312" w:cs="仿宋_GB2312"/>
          <w:bCs/>
          <w:color w:val="auto"/>
          <w:highlight w:val="none"/>
          <w:u w:val="single"/>
          <w:lang w:val="en-US" w:eastAsia="zh-CN"/>
        </w:rPr>
        <w:t xml:space="preserve">  </w:t>
      </w:r>
      <w:r>
        <w:rPr>
          <w:rFonts w:hint="eastAsia" w:hAnsi="仿宋_GB2312" w:cs="仿宋_GB2312"/>
          <w:bCs/>
          <w:color w:val="auto"/>
          <w:highlight w:val="none"/>
        </w:rPr>
        <w:t>份，承包人</w:t>
      </w:r>
      <w:r>
        <w:rPr>
          <w:rFonts w:hint="eastAsia" w:hAnsi="仿宋_GB2312" w:cs="仿宋_GB2312"/>
          <w:bCs/>
          <w:color w:val="auto"/>
          <w:highlight w:val="none"/>
          <w:u w:val="single"/>
          <w:lang w:val="en-US" w:eastAsia="zh-CN"/>
        </w:rPr>
        <w:t xml:space="preserve">  </w:t>
      </w:r>
      <w:r>
        <w:rPr>
          <w:rFonts w:hint="eastAsia" w:hAnsi="仿宋_GB2312" w:cs="仿宋_GB2312"/>
          <w:bCs/>
          <w:color w:val="auto"/>
          <w:highlight w:val="none"/>
        </w:rPr>
        <w:t>份。</w:t>
      </w:r>
    </w:p>
    <w:p>
      <w:pPr>
        <w:pStyle w:val="60"/>
        <w:rPr>
          <w:rFonts w:hAnsi="仿宋_GB2312" w:cs="仿宋_GB2312"/>
          <w:bCs/>
          <w:color w:val="auto"/>
          <w:highlight w:val="none"/>
        </w:rPr>
      </w:pPr>
      <w:r>
        <w:rPr>
          <w:rFonts w:hint="eastAsia" w:hAnsi="仿宋_GB2312" w:cs="仿宋_GB2312"/>
          <w:bCs/>
          <w:color w:val="auto"/>
          <w:highlight w:val="none"/>
        </w:rPr>
        <w:t>本合同自双方签字盖章之日起生效。</w:t>
      </w:r>
    </w:p>
    <w:p>
      <w:pPr>
        <w:pStyle w:val="60"/>
        <w:rPr>
          <w:rFonts w:hAnsi="仿宋_GB2312" w:cs="仿宋_GB2312"/>
          <w:bCs/>
          <w:color w:val="auto"/>
          <w:highlight w:val="none"/>
        </w:rPr>
      </w:pPr>
      <w:r>
        <w:rPr>
          <w:rFonts w:hint="eastAsia" w:hAnsi="仿宋_GB2312" w:cs="仿宋_GB2312"/>
          <w:bCs/>
          <w:color w:val="auto"/>
          <w:highlight w:val="none"/>
        </w:rPr>
        <w:t>合同附件：</w:t>
      </w:r>
    </w:p>
    <w:p>
      <w:pPr>
        <w:spacing w:line="5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附件</w:t>
      </w: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rPr>
        <w:t xml:space="preserve">  排水设施</w:t>
      </w:r>
      <w:r>
        <w:rPr>
          <w:rFonts w:hint="eastAsia" w:ascii="仿宋_GB2312" w:hAnsi="仿宋_GB2312" w:eastAsia="仿宋_GB2312" w:cs="仿宋_GB2312"/>
          <w:bCs/>
          <w:color w:val="auto"/>
          <w:sz w:val="24"/>
          <w:highlight w:val="none"/>
          <w:lang w:val="en-US" w:eastAsia="zh-CN"/>
        </w:rPr>
        <w:t>大中修及技改</w:t>
      </w:r>
      <w:r>
        <w:rPr>
          <w:rFonts w:hint="eastAsia" w:ascii="仿宋_GB2312" w:hAnsi="仿宋_GB2312" w:eastAsia="仿宋_GB2312" w:cs="仿宋_GB2312"/>
          <w:bCs/>
          <w:color w:val="auto"/>
          <w:sz w:val="24"/>
          <w:highlight w:val="none"/>
        </w:rPr>
        <w:t xml:space="preserve">项目施工任务单 </w:t>
      </w:r>
    </w:p>
    <w:p>
      <w:pPr>
        <w:spacing w:line="5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附件</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 xml:space="preserve">  履约银行保函（格式）</w:t>
      </w:r>
    </w:p>
    <w:p>
      <w:pPr>
        <w:spacing w:line="5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附件</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 xml:space="preserve">  安全生产管理协议书</w:t>
      </w:r>
    </w:p>
    <w:p>
      <w:pPr>
        <w:spacing w:line="5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附件</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 xml:space="preserve">  工程质量保修书</w:t>
      </w:r>
    </w:p>
    <w:p>
      <w:pPr>
        <w:spacing w:line="5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附件</w:t>
      </w:r>
      <w:r>
        <w:rPr>
          <w:rFonts w:hint="eastAsia" w:ascii="仿宋_GB2312" w:hAnsi="仿宋_GB2312" w:eastAsia="仿宋_GB2312" w:cs="仿宋_GB2312"/>
          <w:bCs/>
          <w:color w:val="auto"/>
          <w:sz w:val="24"/>
          <w:highlight w:val="none"/>
          <w:lang w:val="en-US" w:eastAsia="zh-CN"/>
        </w:rPr>
        <w:t>5</w:t>
      </w:r>
      <w:r>
        <w:rPr>
          <w:rFonts w:hint="eastAsia" w:ascii="仿宋_GB2312" w:hAnsi="仿宋_GB2312" w:eastAsia="仿宋_GB2312" w:cs="仿宋_GB2312"/>
          <w:bCs/>
          <w:color w:val="auto"/>
          <w:sz w:val="24"/>
          <w:highlight w:val="none"/>
        </w:rPr>
        <w:t xml:space="preserve">  廉洁责任书</w:t>
      </w:r>
    </w:p>
    <w:p>
      <w:pPr>
        <w:spacing w:line="5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附件</w:t>
      </w:r>
      <w:r>
        <w:rPr>
          <w:rFonts w:hint="eastAsia" w:ascii="仿宋_GB2312" w:hAnsi="仿宋_GB2312" w:eastAsia="仿宋_GB2312" w:cs="仿宋_GB2312"/>
          <w:bCs/>
          <w:color w:val="auto"/>
          <w:sz w:val="24"/>
          <w:highlight w:val="none"/>
          <w:lang w:val="en-US" w:eastAsia="zh-CN"/>
        </w:rPr>
        <w:t>6</w:t>
      </w:r>
      <w:r>
        <w:rPr>
          <w:rFonts w:hint="eastAsia" w:ascii="仿宋_GB2312" w:hAnsi="仿宋_GB2312" w:eastAsia="仿宋_GB2312" w:cs="仿宋_GB2312"/>
          <w:bCs/>
          <w:color w:val="auto"/>
          <w:sz w:val="24"/>
          <w:highlight w:val="none"/>
        </w:rPr>
        <w:t xml:space="preserve">  承包人投入主要施工管理及技术人员汇总表</w:t>
      </w:r>
    </w:p>
    <w:p>
      <w:pPr>
        <w:spacing w:line="56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附件</w:t>
      </w:r>
      <w:r>
        <w:rPr>
          <w:rFonts w:hint="eastAsia" w:ascii="仿宋_GB2312" w:hAnsi="仿宋_GB2312" w:eastAsia="仿宋_GB2312" w:cs="仿宋_GB2312"/>
          <w:bCs/>
          <w:color w:val="auto"/>
          <w:sz w:val="24"/>
          <w:highlight w:val="none"/>
          <w:lang w:val="en-US" w:eastAsia="zh-CN"/>
        </w:rPr>
        <w:t>7</w:t>
      </w:r>
      <w:r>
        <w:rPr>
          <w:rFonts w:hint="eastAsia" w:ascii="仿宋_GB2312" w:hAnsi="仿宋_GB2312" w:eastAsia="仿宋_GB2312" w:cs="仿宋_GB2312"/>
          <w:bCs/>
          <w:color w:val="auto"/>
          <w:sz w:val="24"/>
          <w:highlight w:val="none"/>
        </w:rPr>
        <w:t xml:space="preserve">  法定代表人证明书和授权委托书</w:t>
      </w:r>
    </w:p>
    <w:p>
      <w:pPr>
        <w:spacing w:line="5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附件</w:t>
      </w:r>
      <w:r>
        <w:rPr>
          <w:rFonts w:hint="eastAsia" w:ascii="仿宋_GB2312" w:hAnsi="仿宋_GB2312" w:eastAsia="仿宋_GB2312" w:cs="仿宋_GB2312"/>
          <w:bCs/>
          <w:color w:val="auto"/>
          <w:sz w:val="24"/>
          <w:highlight w:val="none"/>
          <w:lang w:val="en-US" w:eastAsia="zh-CN"/>
        </w:rPr>
        <w:t>8</w:t>
      </w:r>
      <w:r>
        <w:rPr>
          <w:rFonts w:hint="eastAsia" w:ascii="仿宋_GB2312" w:hAnsi="仿宋_GB2312" w:eastAsia="仿宋_GB2312" w:cs="仿宋_GB2312"/>
          <w:bCs/>
          <w:color w:val="auto"/>
          <w:sz w:val="24"/>
          <w:highlight w:val="none"/>
        </w:rPr>
        <w:t xml:space="preserve">  资质证明书</w:t>
      </w:r>
    </w:p>
    <w:p>
      <w:pPr>
        <w:spacing w:line="5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附件</w:t>
      </w:r>
      <w:r>
        <w:rPr>
          <w:rFonts w:hint="eastAsia" w:ascii="仿宋_GB2312" w:hAnsi="仿宋_GB2312" w:eastAsia="仿宋_GB2312" w:cs="仿宋_GB2312"/>
          <w:bCs/>
          <w:color w:val="auto"/>
          <w:sz w:val="24"/>
          <w:highlight w:val="none"/>
          <w:lang w:val="en-US" w:eastAsia="zh-CN"/>
        </w:rPr>
        <w:t>9</w:t>
      </w:r>
      <w:r>
        <w:rPr>
          <w:rFonts w:hint="eastAsia" w:ascii="仿宋_GB2312" w:hAnsi="仿宋_GB2312" w:eastAsia="仿宋_GB2312" w:cs="仿宋_GB2312"/>
          <w:bCs/>
          <w:color w:val="auto"/>
          <w:sz w:val="24"/>
          <w:highlight w:val="none"/>
        </w:rPr>
        <w:t xml:space="preserve">  企业安全生产许可证</w:t>
      </w:r>
    </w:p>
    <w:p>
      <w:pPr>
        <w:spacing w:line="5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附件</w:t>
      </w:r>
      <w:r>
        <w:rPr>
          <w:rFonts w:hint="eastAsia" w:ascii="仿宋_GB2312" w:hAnsi="仿宋_GB2312" w:eastAsia="仿宋_GB2312" w:cs="仿宋_GB2312"/>
          <w:bCs/>
          <w:color w:val="auto"/>
          <w:sz w:val="24"/>
          <w:highlight w:val="none"/>
          <w:lang w:val="en-US" w:eastAsia="zh-CN"/>
        </w:rPr>
        <w:t>10</w:t>
      </w:r>
      <w:r>
        <w:rPr>
          <w:rFonts w:hint="eastAsia" w:ascii="仿宋_GB2312" w:hAnsi="仿宋_GB2312" w:eastAsia="仿宋_GB2312" w:cs="仿宋_GB2312"/>
          <w:bCs/>
          <w:color w:val="auto"/>
          <w:sz w:val="24"/>
          <w:highlight w:val="none"/>
        </w:rPr>
        <w:t xml:space="preserve">  中标通知书</w:t>
      </w:r>
    </w:p>
    <w:p>
      <w:pPr>
        <w:widowControl/>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br w:type="page"/>
      </w:r>
      <w:r>
        <w:rPr>
          <w:rFonts w:hint="eastAsia" w:ascii="仿宋_GB2312" w:hAnsi="仿宋_GB2312" w:eastAsia="仿宋_GB2312" w:cs="仿宋_GB2312"/>
          <w:bCs/>
          <w:color w:val="auto"/>
          <w:sz w:val="24"/>
          <w:highlight w:val="none"/>
        </w:rPr>
        <w:t>（合同签署页）</w:t>
      </w:r>
    </w:p>
    <w:p>
      <w:pPr>
        <w:spacing w:line="36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（合同编号：</w:t>
      </w:r>
      <w:r>
        <w:rPr>
          <w:rFonts w:hint="eastAsia" w:ascii="仿宋_GB2312" w:hAnsi="仿宋_GB2312" w:eastAsia="仿宋_GB2312" w:cs="仿宋_GB2312"/>
          <w:bCs/>
          <w:color w:val="auto"/>
          <w:sz w:val="24"/>
          <w:highlight w:val="none"/>
          <w:u w:val="single"/>
          <w:lang w:val="en-US" w:eastAsia="zh-CN"/>
        </w:rPr>
        <w:t xml:space="preserve">                   </w:t>
      </w:r>
      <w:r>
        <w:rPr>
          <w:rFonts w:hint="eastAsia" w:ascii="仿宋_GB2312" w:hAnsi="仿宋_GB2312" w:eastAsia="仿宋_GB2312" w:cs="仿宋_GB2312"/>
          <w:bCs/>
          <w:color w:val="auto"/>
          <w:sz w:val="24"/>
          <w:highlight w:val="none"/>
        </w:rPr>
        <w:t>）</w:t>
      </w:r>
    </w:p>
    <w:p>
      <w:pPr>
        <w:spacing w:line="360" w:lineRule="auto"/>
        <w:ind w:firstLine="425"/>
        <w:rPr>
          <w:rFonts w:ascii="仿宋_GB2312" w:hAnsi="仿宋_GB2312" w:eastAsia="仿宋_GB2312" w:cs="仿宋_GB2312"/>
          <w:bCs/>
          <w:color w:val="auto"/>
          <w:sz w:val="24"/>
          <w:highlight w:val="none"/>
        </w:rPr>
      </w:pPr>
    </w:p>
    <w:p>
      <w:pPr>
        <w:spacing w:line="360" w:lineRule="auto"/>
        <w:ind w:firstLine="425"/>
        <w:rPr>
          <w:rFonts w:ascii="仿宋_GB2312" w:hAnsi="仿宋_GB2312" w:eastAsia="仿宋_GB2312" w:cs="仿宋_GB2312"/>
          <w:bCs/>
          <w:color w:val="auto"/>
          <w:sz w:val="24"/>
          <w:highlight w:val="none"/>
        </w:rPr>
      </w:pPr>
    </w:p>
    <w:tbl>
      <w:tblPr>
        <w:tblStyle w:val="22"/>
        <w:tblpPr w:leftFromText="180" w:rightFromText="180" w:vertAnchor="text" w:horzAnchor="margin" w:tblpY="201"/>
        <w:tblW w:w="90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1"/>
        <w:gridCol w:w="4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61" w:type="dxa"/>
          </w:tcPr>
          <w:p>
            <w:pPr>
              <w:spacing w:line="48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发包人（盖章）：   </w:t>
            </w:r>
          </w:p>
        </w:tc>
        <w:tc>
          <w:tcPr>
            <w:tcW w:w="4355" w:type="dxa"/>
          </w:tcPr>
          <w:p>
            <w:pPr>
              <w:spacing w:line="480" w:lineRule="auto"/>
              <w:ind w:left="1680" w:hanging="1680" w:hangingChars="7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承包人（盖章）：</w:t>
            </w:r>
          </w:p>
          <w:p>
            <w:pPr>
              <w:spacing w:line="480" w:lineRule="auto"/>
              <w:rPr>
                <w:rFonts w:ascii="仿宋_GB2312" w:hAnsi="仿宋_GB2312" w:eastAsia="仿宋_GB2312" w:cs="仿宋_GB2312"/>
                <w:bCs/>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61" w:type="dxa"/>
          </w:tcPr>
          <w:p>
            <w:pPr>
              <w:spacing w:line="480" w:lineRule="auto"/>
              <w:ind w:right="11"/>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法定代表人              </w:t>
            </w:r>
          </w:p>
        </w:tc>
        <w:tc>
          <w:tcPr>
            <w:tcW w:w="4355" w:type="dxa"/>
          </w:tcPr>
          <w:p>
            <w:pPr>
              <w:spacing w:line="480" w:lineRule="auto"/>
              <w:ind w:right="11"/>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61" w:type="dxa"/>
          </w:tcPr>
          <w:p>
            <w:pPr>
              <w:spacing w:line="480" w:lineRule="auto"/>
              <w:ind w:right="11"/>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或授权代表（签章）：</w:t>
            </w:r>
          </w:p>
        </w:tc>
        <w:tc>
          <w:tcPr>
            <w:tcW w:w="4355" w:type="dxa"/>
          </w:tcPr>
          <w:p>
            <w:pPr>
              <w:spacing w:line="480" w:lineRule="auto"/>
              <w:ind w:right="11"/>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或授权代表（签章）：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61" w:type="dxa"/>
          </w:tcPr>
          <w:p>
            <w:pPr>
              <w:spacing w:line="480" w:lineRule="auto"/>
              <w:ind w:right="11"/>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经办人：                                </w:t>
            </w:r>
          </w:p>
        </w:tc>
        <w:tc>
          <w:tcPr>
            <w:tcW w:w="4355" w:type="dxa"/>
          </w:tcPr>
          <w:p>
            <w:pPr>
              <w:spacing w:line="480" w:lineRule="auto"/>
              <w:ind w:right="11"/>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经办人：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61" w:type="dxa"/>
          </w:tcPr>
          <w:p>
            <w:pPr>
              <w:spacing w:line="480" w:lineRule="auto"/>
              <w:ind w:right="11"/>
              <w:rPr>
                <w:rFonts w:ascii="仿宋_GB2312" w:hAnsi="仿宋_GB2312" w:eastAsia="仿宋_GB2312" w:cs="仿宋_GB2312"/>
                <w:bCs/>
                <w:color w:val="auto"/>
                <w:kern w:val="18"/>
                <w:sz w:val="24"/>
                <w:highlight w:val="none"/>
              </w:rPr>
            </w:pPr>
            <w:r>
              <w:rPr>
                <w:rFonts w:hint="eastAsia" w:ascii="仿宋_GB2312" w:hAnsi="仿宋_GB2312" w:eastAsia="仿宋_GB2312" w:cs="仿宋_GB2312"/>
                <w:bCs/>
                <w:color w:val="auto"/>
                <w:kern w:val="18"/>
                <w:sz w:val="24"/>
                <w:highlight w:val="none"/>
              </w:rPr>
              <w:t xml:space="preserve">联系电话：                              </w:t>
            </w:r>
          </w:p>
        </w:tc>
        <w:tc>
          <w:tcPr>
            <w:tcW w:w="4355" w:type="dxa"/>
          </w:tcPr>
          <w:p>
            <w:pPr>
              <w:spacing w:line="480" w:lineRule="auto"/>
              <w:ind w:right="11"/>
              <w:rPr>
                <w:rFonts w:ascii="仿宋_GB2312" w:hAnsi="仿宋_GB2312" w:eastAsia="仿宋_GB2312" w:cs="仿宋_GB2312"/>
                <w:bCs/>
                <w:color w:val="auto"/>
                <w:kern w:val="18"/>
                <w:sz w:val="24"/>
                <w:highlight w:val="none"/>
              </w:rPr>
            </w:pPr>
            <w:r>
              <w:rPr>
                <w:rFonts w:hint="eastAsia" w:ascii="仿宋_GB2312" w:hAnsi="仿宋_GB2312" w:eastAsia="仿宋_GB2312" w:cs="仿宋_GB2312"/>
                <w:bCs/>
                <w:color w:val="auto"/>
                <w:kern w:val="18"/>
                <w:sz w:val="24"/>
                <w:highlight w:val="none"/>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61" w:type="dxa"/>
          </w:tcPr>
          <w:p>
            <w:pPr>
              <w:spacing w:line="48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开户名称：                             </w:t>
            </w:r>
          </w:p>
        </w:tc>
        <w:tc>
          <w:tcPr>
            <w:tcW w:w="4355" w:type="dxa"/>
          </w:tcPr>
          <w:p>
            <w:pPr>
              <w:spacing w:line="48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开户名称：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61" w:type="dxa"/>
          </w:tcPr>
          <w:p>
            <w:pPr>
              <w:spacing w:line="48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纳税人识别号：</w:t>
            </w:r>
          </w:p>
        </w:tc>
        <w:tc>
          <w:tcPr>
            <w:tcW w:w="4355" w:type="dxa"/>
          </w:tcPr>
          <w:p>
            <w:pPr>
              <w:spacing w:line="48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纳税人识别号：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61" w:type="dxa"/>
          </w:tcPr>
          <w:p>
            <w:pPr>
              <w:spacing w:line="360" w:lineRule="auto"/>
              <w:ind w:right="11"/>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开户银行：                             </w:t>
            </w:r>
          </w:p>
        </w:tc>
        <w:tc>
          <w:tcPr>
            <w:tcW w:w="4355" w:type="dxa"/>
          </w:tcPr>
          <w:p>
            <w:pPr>
              <w:spacing w:line="480" w:lineRule="auto"/>
              <w:ind w:right="11"/>
              <w:rPr>
                <w:rFonts w:ascii="仿宋_GB2312" w:hAnsi="仿宋_GB2312" w:eastAsia="仿宋_GB2312" w:cs="仿宋_GB2312"/>
                <w:bCs/>
                <w:color w:val="auto"/>
                <w:sz w:val="24"/>
                <w:highlight w:val="none"/>
                <w:u w:val="single"/>
              </w:rPr>
            </w:pPr>
            <w:r>
              <w:rPr>
                <w:rFonts w:hint="eastAsia" w:ascii="仿宋_GB2312" w:hAnsi="仿宋_GB2312" w:eastAsia="仿宋_GB2312" w:cs="仿宋_GB2312"/>
                <w:bCs/>
                <w:color w:val="auto"/>
                <w:sz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61" w:type="dxa"/>
          </w:tcPr>
          <w:p>
            <w:pPr>
              <w:spacing w:line="48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帐    号：                             </w:t>
            </w:r>
          </w:p>
        </w:tc>
        <w:tc>
          <w:tcPr>
            <w:tcW w:w="4355" w:type="dxa"/>
          </w:tcPr>
          <w:p>
            <w:pPr>
              <w:spacing w:line="480" w:lineRule="auto"/>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24"/>
                <w:highlight w:val="none"/>
              </w:rPr>
              <w:t>帐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61" w:type="dxa"/>
          </w:tcPr>
          <w:p>
            <w:pPr>
              <w:spacing w:line="48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签订日期：</w:t>
            </w:r>
          </w:p>
        </w:tc>
        <w:tc>
          <w:tcPr>
            <w:tcW w:w="4355" w:type="dxa"/>
          </w:tcPr>
          <w:p>
            <w:pPr>
              <w:spacing w:line="48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签订日期：</w:t>
            </w:r>
          </w:p>
        </w:tc>
      </w:tr>
    </w:tbl>
    <w:p>
      <w:pPr>
        <w:spacing w:line="276" w:lineRule="auto"/>
        <w:ind w:firstLine="425"/>
        <w:rPr>
          <w:rFonts w:ascii="仿宋_GB2312" w:hAnsi="仿宋_GB2312" w:eastAsia="仿宋_GB2312" w:cs="仿宋_GB2312"/>
          <w:bCs/>
          <w:color w:val="auto"/>
          <w:sz w:val="24"/>
          <w:highlight w:val="none"/>
        </w:rPr>
      </w:pPr>
    </w:p>
    <w:p>
      <w:pPr>
        <w:spacing w:line="276" w:lineRule="auto"/>
        <w:ind w:firstLine="425"/>
        <w:rPr>
          <w:rFonts w:ascii="仿宋_GB2312" w:hAnsi="仿宋_GB2312" w:eastAsia="仿宋_GB2312" w:cs="仿宋_GB2312"/>
          <w:bCs/>
          <w:color w:val="auto"/>
          <w:sz w:val="24"/>
          <w:highlight w:val="none"/>
        </w:rPr>
      </w:pPr>
    </w:p>
    <w:p>
      <w:pPr>
        <w:widowControl/>
        <w:jc w:val="left"/>
        <w:rPr>
          <w:rFonts w:ascii="仿宋_GB2312" w:hAnsi="仿宋_GB2312" w:eastAsia="仿宋_GB2312" w:cs="仿宋_GB2312"/>
          <w:bCs/>
          <w:color w:val="auto"/>
          <w:sz w:val="24"/>
          <w:highlight w:val="none"/>
        </w:rPr>
        <w:sectPr>
          <w:footerReference r:id="rId3" w:type="default"/>
          <w:pgSz w:w="11906" w:h="16838"/>
          <w:pgMar w:top="1797" w:right="1440" w:bottom="1797" w:left="1440" w:header="851" w:footer="992" w:gutter="0"/>
          <w:pgNumType w:start="1"/>
          <w:cols w:space="425" w:num="1"/>
          <w:titlePg/>
          <w:docGrid w:type="lines" w:linePitch="312" w:charSpace="0"/>
        </w:sectPr>
      </w:pPr>
      <w:r>
        <w:rPr>
          <w:rFonts w:hint="eastAsia" w:ascii="仿宋_GB2312" w:hAnsi="仿宋_GB2312" w:eastAsia="仿宋_GB2312" w:cs="仿宋_GB2312"/>
          <w:bCs/>
          <w:color w:val="auto"/>
          <w:sz w:val="24"/>
          <w:highlight w:val="none"/>
        </w:rPr>
        <w:br w:type="page"/>
      </w:r>
    </w:p>
    <w:p>
      <w:pPr>
        <w:widowControl/>
        <w:textAlignment w:val="center"/>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附件</w:t>
      </w:r>
      <w:r>
        <w:rPr>
          <w:rFonts w:hint="eastAsia" w:ascii="仿宋_GB2312" w:hAnsi="仿宋_GB2312" w:eastAsia="仿宋_GB2312" w:cs="仿宋_GB2312"/>
          <w:bCs/>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rPr>
        <w:t xml:space="preserve">   </w:t>
      </w:r>
    </w:p>
    <w:p>
      <w:pPr>
        <w:widowControl/>
        <w:jc w:val="center"/>
        <w:textAlignment w:val="center"/>
        <w:rPr>
          <w:rFonts w:ascii="仿宋" w:hAnsi="仿宋" w:eastAsia="仿宋" w:cs="仿宋"/>
          <w:color w:val="auto"/>
          <w:kern w:val="0"/>
          <w:sz w:val="36"/>
          <w:szCs w:val="36"/>
          <w:highlight w:val="none"/>
          <w:lang w:bidi="ar"/>
        </w:rPr>
      </w:pPr>
      <w:bookmarkStart w:id="6" w:name="_Toc528663601"/>
      <w:r>
        <w:rPr>
          <w:rFonts w:hint="eastAsia" w:ascii="仿宋" w:hAnsi="仿宋" w:eastAsia="仿宋" w:cs="仿宋"/>
          <w:color w:val="auto"/>
          <w:kern w:val="0"/>
          <w:sz w:val="36"/>
          <w:szCs w:val="36"/>
          <w:highlight w:val="none"/>
          <w:lang w:bidi="ar"/>
        </w:rPr>
        <w:t>排水设施</w:t>
      </w:r>
      <w:r>
        <w:rPr>
          <w:rFonts w:hint="eastAsia" w:ascii="仿宋" w:hAnsi="仿宋" w:eastAsia="仿宋" w:cs="仿宋"/>
          <w:color w:val="auto"/>
          <w:kern w:val="0"/>
          <w:sz w:val="36"/>
          <w:szCs w:val="36"/>
          <w:highlight w:val="none"/>
          <w:lang w:val="en-US" w:eastAsia="zh-CN" w:bidi="ar"/>
        </w:rPr>
        <w:t>大中修及技改</w:t>
      </w:r>
      <w:r>
        <w:rPr>
          <w:rFonts w:hint="eastAsia" w:ascii="仿宋" w:hAnsi="仿宋" w:eastAsia="仿宋" w:cs="仿宋"/>
          <w:color w:val="auto"/>
          <w:kern w:val="0"/>
          <w:sz w:val="36"/>
          <w:szCs w:val="36"/>
          <w:highlight w:val="none"/>
          <w:lang w:bidi="ar"/>
        </w:rPr>
        <w:t>项目施工任务单</w:t>
      </w:r>
    </w:p>
    <w:p>
      <w:pPr>
        <w:widowControl/>
        <w:spacing w:line="400" w:lineRule="exact"/>
        <w:jc w:val="left"/>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派单编号：</w:t>
      </w:r>
      <w:r>
        <w:rPr>
          <w:rFonts w:ascii="仿宋" w:hAnsi="仿宋" w:eastAsia="仿宋" w:cs="仿宋"/>
          <w:color w:val="auto"/>
          <w:kern w:val="0"/>
          <w:sz w:val="28"/>
          <w:szCs w:val="28"/>
          <w:highlight w:val="none"/>
          <w:lang w:bidi="ar"/>
        </w:rPr>
        <w:t xml:space="preserve">  </w:t>
      </w:r>
      <w:r>
        <w:rPr>
          <w:rFonts w:hint="eastAsia" w:ascii="仿宋" w:hAnsi="仿宋" w:eastAsia="仿宋" w:cs="仿宋"/>
          <w:color w:val="auto"/>
          <w:kern w:val="0"/>
          <w:sz w:val="28"/>
          <w:szCs w:val="28"/>
          <w:highlight w:val="none"/>
          <w:lang w:bidi="ar"/>
        </w:rPr>
        <w:t xml:space="preserve">                               日期：</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年   月  </w:t>
      </w:r>
      <w:r>
        <w:rPr>
          <w:rFonts w:ascii="仿宋" w:hAnsi="仿宋" w:eastAsia="仿宋" w:cs="仿宋"/>
          <w:color w:val="auto"/>
          <w:kern w:val="0"/>
          <w:sz w:val="28"/>
          <w:szCs w:val="28"/>
          <w:highlight w:val="none"/>
          <w:lang w:bidi="ar"/>
        </w:rPr>
        <w:t xml:space="preserve"> </w:t>
      </w:r>
      <w:r>
        <w:rPr>
          <w:rFonts w:hint="eastAsia" w:ascii="仿宋" w:hAnsi="仿宋" w:eastAsia="仿宋" w:cs="仿宋"/>
          <w:color w:val="auto"/>
          <w:kern w:val="0"/>
          <w:sz w:val="28"/>
          <w:szCs w:val="28"/>
          <w:highlight w:val="none"/>
          <w:lang w:bidi="ar"/>
        </w:rPr>
        <w:t>日</w:t>
      </w:r>
    </w:p>
    <w:tbl>
      <w:tblPr>
        <w:tblStyle w:val="21"/>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34"/>
        <w:gridCol w:w="2969"/>
        <w:gridCol w:w="1984"/>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18" w:type="dxa"/>
            <w:shd w:val="clear" w:color="auto" w:fill="auto"/>
            <w:vAlign w:val="center"/>
          </w:tcPr>
          <w:p>
            <w:pPr>
              <w:widowControl/>
              <w:spacing w:line="500" w:lineRule="exact"/>
              <w:jc w:val="center"/>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合同名称</w:t>
            </w:r>
          </w:p>
        </w:tc>
        <w:tc>
          <w:tcPr>
            <w:tcW w:w="3803" w:type="dxa"/>
            <w:gridSpan w:val="2"/>
            <w:shd w:val="clear" w:color="auto" w:fill="auto"/>
            <w:vAlign w:val="center"/>
          </w:tcPr>
          <w:p>
            <w:pPr>
              <w:widowControl/>
              <w:spacing w:line="500" w:lineRule="exact"/>
              <w:jc w:val="center"/>
              <w:textAlignment w:val="center"/>
              <w:rPr>
                <w:rFonts w:ascii="仿宋" w:hAnsi="仿宋" w:eastAsia="仿宋" w:cs="仿宋"/>
                <w:color w:val="auto"/>
                <w:kern w:val="0"/>
                <w:sz w:val="28"/>
                <w:szCs w:val="28"/>
                <w:highlight w:val="none"/>
                <w:lang w:bidi="ar"/>
              </w:rPr>
            </w:pPr>
          </w:p>
        </w:tc>
        <w:tc>
          <w:tcPr>
            <w:tcW w:w="1984" w:type="dxa"/>
            <w:shd w:val="clear" w:color="auto" w:fill="auto"/>
            <w:vAlign w:val="center"/>
          </w:tcPr>
          <w:p>
            <w:pPr>
              <w:widowControl/>
              <w:spacing w:line="500" w:lineRule="exact"/>
              <w:jc w:val="center"/>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合同编号</w:t>
            </w:r>
          </w:p>
        </w:tc>
        <w:tc>
          <w:tcPr>
            <w:tcW w:w="2860" w:type="dxa"/>
            <w:shd w:val="clear" w:color="auto" w:fill="auto"/>
            <w:vAlign w:val="center"/>
          </w:tcPr>
          <w:p>
            <w:pPr>
              <w:widowControl/>
              <w:spacing w:line="500" w:lineRule="exact"/>
              <w:jc w:val="center"/>
              <w:textAlignment w:val="center"/>
              <w:rPr>
                <w:rFonts w:ascii="仿宋" w:hAnsi="仿宋" w:eastAsia="仿宋" w:cs="仿宋"/>
                <w:color w:val="auto"/>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065" w:type="dxa"/>
            <w:gridSpan w:val="5"/>
            <w:shd w:val="clear" w:color="auto" w:fill="auto"/>
            <w:vAlign w:val="center"/>
          </w:tcPr>
          <w:p>
            <w:pPr>
              <w:widowControl/>
              <w:spacing w:line="500" w:lineRule="exact"/>
              <w:jc w:val="left"/>
              <w:textAlignment w:val="center"/>
              <w:rPr>
                <w:rFonts w:hint="default"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065" w:type="dxa"/>
            <w:gridSpan w:val="5"/>
            <w:shd w:val="clear" w:color="auto" w:fill="auto"/>
            <w:vAlign w:val="center"/>
          </w:tcPr>
          <w:p>
            <w:pPr>
              <w:widowControl/>
              <w:spacing w:line="500" w:lineRule="exact"/>
              <w:jc w:val="left"/>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项目名称</w:t>
            </w:r>
            <w:r>
              <w:rPr>
                <w:rFonts w:hint="eastAsia" w:ascii="仿宋" w:hAnsi="仿宋" w:eastAsia="仿宋" w:cs="仿宋"/>
                <w:color w:val="auto"/>
                <w:kern w:val="0"/>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221" w:type="dxa"/>
            <w:gridSpan w:val="3"/>
            <w:shd w:val="clear" w:color="auto" w:fill="auto"/>
            <w:vAlign w:val="center"/>
          </w:tcPr>
          <w:p>
            <w:pPr>
              <w:widowControl/>
              <w:spacing w:line="500" w:lineRule="exact"/>
              <w:jc w:val="left"/>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val="en-US" w:eastAsia="zh-CN" w:bidi="ar"/>
              </w:rPr>
              <w:t>项目编号</w:t>
            </w:r>
            <w:r>
              <w:rPr>
                <w:rFonts w:hint="eastAsia" w:ascii="仿宋" w:hAnsi="仿宋" w:eastAsia="仿宋" w:cs="仿宋"/>
                <w:color w:val="auto"/>
                <w:kern w:val="0"/>
                <w:sz w:val="28"/>
                <w:szCs w:val="28"/>
                <w:highlight w:val="none"/>
                <w:lang w:bidi="ar"/>
              </w:rPr>
              <w:t>：</w:t>
            </w:r>
          </w:p>
        </w:tc>
        <w:tc>
          <w:tcPr>
            <w:tcW w:w="1984" w:type="dxa"/>
            <w:shd w:val="clear" w:color="auto" w:fill="auto"/>
            <w:vAlign w:val="center"/>
          </w:tcPr>
          <w:p>
            <w:pPr>
              <w:widowControl/>
              <w:spacing w:line="500" w:lineRule="exact"/>
              <w:jc w:val="center"/>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投资估算</w:t>
            </w:r>
          </w:p>
          <w:p>
            <w:pPr>
              <w:widowControl/>
              <w:spacing w:line="500" w:lineRule="exact"/>
              <w:jc w:val="center"/>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（建安费）</w:t>
            </w:r>
          </w:p>
        </w:tc>
        <w:tc>
          <w:tcPr>
            <w:tcW w:w="2860" w:type="dxa"/>
            <w:shd w:val="clear" w:color="auto" w:fill="auto"/>
            <w:vAlign w:val="center"/>
          </w:tcPr>
          <w:p>
            <w:pPr>
              <w:widowControl/>
              <w:spacing w:line="500" w:lineRule="exact"/>
              <w:jc w:val="right"/>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10065" w:type="dxa"/>
            <w:gridSpan w:val="5"/>
            <w:shd w:val="clear" w:color="auto" w:fill="auto"/>
            <w:vAlign w:val="top"/>
          </w:tcPr>
          <w:p>
            <w:pPr>
              <w:widowControl/>
              <w:spacing w:line="500" w:lineRule="exact"/>
              <w:jc w:val="both"/>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项目实施内容：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52" w:type="dxa"/>
            <w:gridSpan w:val="2"/>
            <w:shd w:val="clear" w:color="auto" w:fill="auto"/>
            <w:vAlign w:val="center"/>
          </w:tcPr>
          <w:p>
            <w:pPr>
              <w:widowControl/>
              <w:spacing w:line="500" w:lineRule="exact"/>
              <w:jc w:val="center"/>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计划进场时间</w:t>
            </w:r>
          </w:p>
        </w:tc>
        <w:tc>
          <w:tcPr>
            <w:tcW w:w="2969" w:type="dxa"/>
            <w:shd w:val="clear" w:color="auto" w:fill="auto"/>
            <w:vAlign w:val="center"/>
          </w:tcPr>
          <w:p>
            <w:pPr>
              <w:widowControl/>
              <w:spacing w:line="500" w:lineRule="exact"/>
              <w:jc w:val="right"/>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年  </w:t>
            </w:r>
            <w:r>
              <w:rPr>
                <w:rFonts w:ascii="仿宋" w:hAnsi="仿宋" w:eastAsia="仿宋" w:cs="仿宋"/>
                <w:color w:val="auto"/>
                <w:kern w:val="0"/>
                <w:sz w:val="28"/>
                <w:szCs w:val="28"/>
                <w:highlight w:val="none"/>
                <w:lang w:bidi="ar"/>
              </w:rPr>
              <w:t xml:space="preserve"> </w:t>
            </w:r>
            <w:r>
              <w:rPr>
                <w:rFonts w:hint="eastAsia" w:ascii="仿宋" w:hAnsi="仿宋" w:eastAsia="仿宋" w:cs="仿宋"/>
                <w:color w:val="auto"/>
                <w:kern w:val="0"/>
                <w:sz w:val="28"/>
                <w:szCs w:val="28"/>
                <w:highlight w:val="none"/>
                <w:lang w:bidi="ar"/>
              </w:rPr>
              <w:t xml:space="preserve">月  </w:t>
            </w:r>
            <w:r>
              <w:rPr>
                <w:rFonts w:ascii="仿宋" w:hAnsi="仿宋" w:eastAsia="仿宋" w:cs="仿宋"/>
                <w:color w:val="auto"/>
                <w:kern w:val="0"/>
                <w:sz w:val="28"/>
                <w:szCs w:val="28"/>
                <w:highlight w:val="none"/>
                <w:lang w:bidi="ar"/>
              </w:rPr>
              <w:t xml:space="preserve"> </w:t>
            </w:r>
            <w:r>
              <w:rPr>
                <w:rFonts w:hint="eastAsia" w:ascii="仿宋" w:hAnsi="仿宋" w:eastAsia="仿宋" w:cs="仿宋"/>
                <w:color w:val="auto"/>
                <w:kern w:val="0"/>
                <w:sz w:val="28"/>
                <w:szCs w:val="28"/>
                <w:highlight w:val="none"/>
                <w:lang w:bidi="ar"/>
              </w:rPr>
              <w:t>日</w:t>
            </w:r>
          </w:p>
        </w:tc>
        <w:tc>
          <w:tcPr>
            <w:tcW w:w="1984" w:type="dxa"/>
            <w:shd w:val="clear" w:color="auto" w:fill="auto"/>
            <w:vAlign w:val="center"/>
          </w:tcPr>
          <w:p>
            <w:pPr>
              <w:widowControl/>
              <w:spacing w:line="500" w:lineRule="exact"/>
              <w:jc w:val="center"/>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计划完工时间</w:t>
            </w:r>
          </w:p>
        </w:tc>
        <w:tc>
          <w:tcPr>
            <w:tcW w:w="2860" w:type="dxa"/>
            <w:shd w:val="clear" w:color="auto" w:fill="auto"/>
            <w:vAlign w:val="center"/>
          </w:tcPr>
          <w:p>
            <w:pPr>
              <w:widowControl/>
              <w:spacing w:line="500" w:lineRule="exact"/>
              <w:ind w:firstLine="560" w:firstLineChars="200"/>
              <w:jc w:val="right"/>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年   月  </w:t>
            </w:r>
            <w:r>
              <w:rPr>
                <w:rFonts w:ascii="仿宋" w:hAnsi="仿宋" w:eastAsia="仿宋" w:cs="仿宋"/>
                <w:color w:val="auto"/>
                <w:kern w:val="0"/>
                <w:sz w:val="28"/>
                <w:szCs w:val="28"/>
                <w:highlight w:val="none"/>
                <w:lang w:bidi="ar"/>
              </w:rPr>
              <w:t xml:space="preserve"> </w:t>
            </w:r>
            <w:r>
              <w:rPr>
                <w:rFonts w:hint="eastAsia" w:ascii="仿宋" w:hAnsi="仿宋" w:eastAsia="仿宋" w:cs="仿宋"/>
                <w:color w:val="auto"/>
                <w:kern w:val="0"/>
                <w:sz w:val="28"/>
                <w:szCs w:val="28"/>
                <w:highlight w:val="none"/>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0065" w:type="dxa"/>
            <w:gridSpan w:val="5"/>
            <w:shd w:val="clear" w:color="auto" w:fill="auto"/>
            <w:vAlign w:val="top"/>
          </w:tcPr>
          <w:p>
            <w:pPr>
              <w:widowControl/>
              <w:spacing w:line="500" w:lineRule="exact"/>
              <w:jc w:val="both"/>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其他事项说明：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0065" w:type="dxa"/>
            <w:gridSpan w:val="5"/>
            <w:shd w:val="clear" w:color="auto" w:fill="auto"/>
            <w:vAlign w:val="center"/>
          </w:tcPr>
          <w:p>
            <w:pPr>
              <w:widowControl/>
              <w:spacing w:line="500" w:lineRule="exact"/>
              <w:jc w:val="left"/>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本任务单发包单位联系人：                </w:t>
            </w:r>
            <w:r>
              <w:rPr>
                <w:rFonts w:ascii="仿宋" w:hAnsi="仿宋" w:eastAsia="仿宋" w:cs="仿宋"/>
                <w:color w:val="auto"/>
                <w:kern w:val="0"/>
                <w:sz w:val="28"/>
                <w:szCs w:val="28"/>
                <w:highlight w:val="none"/>
                <w:lang w:bidi="ar"/>
              </w:rPr>
              <w:t xml:space="preserve">     </w:t>
            </w:r>
            <w:r>
              <w:rPr>
                <w:rFonts w:hint="eastAsia" w:ascii="仿宋" w:hAnsi="仿宋" w:eastAsia="仿宋" w:cs="仿宋"/>
                <w:color w:val="auto"/>
                <w:kern w:val="0"/>
                <w:sz w:val="28"/>
                <w:szCs w:val="28"/>
                <w:highlight w:val="none"/>
                <w:lang w:bidi="ar"/>
              </w:rPr>
              <w:t>日期：</w:t>
            </w:r>
          </w:p>
          <w:p>
            <w:pPr>
              <w:widowControl/>
              <w:spacing w:line="500" w:lineRule="exact"/>
              <w:ind w:firstLine="280" w:firstLineChars="100"/>
              <w:jc w:val="left"/>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发包单位分公司联系人：</w:t>
            </w:r>
            <w:r>
              <w:rPr>
                <w:rFonts w:ascii="仿宋" w:hAnsi="仿宋" w:eastAsia="仿宋" w:cs="仿宋"/>
                <w:color w:val="auto"/>
                <w:kern w:val="0"/>
                <w:sz w:val="28"/>
                <w:szCs w:val="28"/>
                <w:highlight w:val="none"/>
                <w:lang w:bidi="ar"/>
              </w:rPr>
              <w:t xml:space="preserve">                     </w:t>
            </w:r>
            <w:r>
              <w:rPr>
                <w:rFonts w:hint="eastAsia" w:ascii="仿宋" w:hAnsi="仿宋" w:eastAsia="仿宋" w:cs="仿宋"/>
                <w:color w:val="auto"/>
                <w:kern w:val="0"/>
                <w:sz w:val="28"/>
                <w:szCs w:val="28"/>
                <w:highlight w:val="none"/>
                <w:lang w:bidi="ar"/>
              </w:rPr>
              <w:t>日期：</w:t>
            </w:r>
          </w:p>
          <w:p>
            <w:pPr>
              <w:widowControl/>
              <w:spacing w:line="500" w:lineRule="exact"/>
              <w:ind w:firstLine="7560" w:firstLineChars="2700"/>
              <w:jc w:val="center"/>
              <w:textAlignment w:val="center"/>
              <w:rPr>
                <w:rFonts w:ascii="仿宋" w:hAnsi="仿宋" w:eastAsia="仿宋" w:cs="仿宋"/>
                <w:color w:val="auto"/>
                <w:kern w:val="0"/>
                <w:sz w:val="28"/>
                <w:szCs w:val="28"/>
                <w:highlight w:val="none"/>
                <w:lang w:bidi="ar"/>
              </w:rPr>
            </w:pPr>
          </w:p>
          <w:p>
            <w:pPr>
              <w:widowControl/>
              <w:spacing w:line="500" w:lineRule="exact"/>
              <w:jc w:val="left"/>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发包单位（盖章）：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0065" w:type="dxa"/>
            <w:gridSpan w:val="5"/>
            <w:shd w:val="clear" w:color="auto" w:fill="auto"/>
            <w:vAlign w:val="center"/>
          </w:tcPr>
          <w:p>
            <w:pPr>
              <w:widowControl/>
              <w:spacing w:line="500" w:lineRule="exact"/>
              <w:jc w:val="left"/>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项目负责人签收：              </w:t>
            </w:r>
            <w:r>
              <w:rPr>
                <w:rFonts w:ascii="仿宋" w:hAnsi="仿宋" w:eastAsia="仿宋" w:cs="仿宋"/>
                <w:color w:val="auto"/>
                <w:kern w:val="0"/>
                <w:sz w:val="28"/>
                <w:szCs w:val="28"/>
                <w:highlight w:val="none"/>
                <w:lang w:bidi="ar"/>
              </w:rPr>
              <w:t xml:space="preserve">                     </w:t>
            </w:r>
            <w:r>
              <w:rPr>
                <w:rFonts w:hint="eastAsia" w:ascii="仿宋" w:hAnsi="仿宋" w:eastAsia="仿宋" w:cs="仿宋"/>
                <w:color w:val="auto"/>
                <w:kern w:val="0"/>
                <w:sz w:val="28"/>
                <w:szCs w:val="28"/>
                <w:highlight w:val="none"/>
                <w:lang w:bidi="ar"/>
              </w:rPr>
              <w:t>日期：</w:t>
            </w:r>
          </w:p>
          <w:p>
            <w:pPr>
              <w:widowControl/>
              <w:spacing w:line="500" w:lineRule="exact"/>
              <w:jc w:val="center"/>
              <w:textAlignment w:val="center"/>
              <w:rPr>
                <w:rFonts w:ascii="仿宋" w:hAnsi="仿宋" w:eastAsia="仿宋" w:cs="仿宋"/>
                <w:color w:val="auto"/>
                <w:kern w:val="0"/>
                <w:sz w:val="28"/>
                <w:szCs w:val="28"/>
                <w:highlight w:val="none"/>
                <w:lang w:bidi="ar"/>
              </w:rPr>
            </w:pPr>
          </w:p>
          <w:p>
            <w:pPr>
              <w:widowControl/>
              <w:spacing w:line="500" w:lineRule="exact"/>
              <w:jc w:val="left"/>
              <w:textAlignment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承包单位（盖章）：</w:t>
            </w:r>
          </w:p>
        </w:tc>
      </w:tr>
    </w:tbl>
    <w:p>
      <w:pPr>
        <w:widowControl/>
        <w:spacing w:line="400" w:lineRule="exact"/>
        <w:ind w:left="720" w:leftChars="-135" w:right="-764" w:rightChars="-364" w:hanging="1003" w:hangingChars="418"/>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说明：1</w:t>
      </w:r>
      <w:r>
        <w:rPr>
          <w:rFonts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t>本任务单作为承包单位开展工作的依据，派单编号由发包单位负责填写。</w:t>
      </w:r>
    </w:p>
    <w:p>
      <w:pPr>
        <w:widowControl/>
        <w:spacing w:line="400" w:lineRule="exact"/>
        <w:ind w:left="664" w:leftChars="202" w:right="-764" w:rightChars="-364" w:hanging="240" w:hangingChars="100"/>
        <w:jc w:val="left"/>
        <w:textAlignment w:val="center"/>
        <w:rPr>
          <w:rFonts w:ascii="仿宋" w:hAnsi="仿宋" w:eastAsia="仿宋" w:cs="仿宋"/>
          <w:color w:val="auto"/>
          <w:kern w:val="0"/>
          <w:sz w:val="24"/>
          <w:highlight w:val="none"/>
          <w:lang w:bidi="ar"/>
        </w:rPr>
      </w:pPr>
      <w:r>
        <w:rPr>
          <w:rFonts w:ascii="仿宋" w:hAnsi="仿宋" w:eastAsia="仿宋" w:cs="仿宋"/>
          <w:color w:val="auto"/>
          <w:kern w:val="0"/>
          <w:sz w:val="24"/>
          <w:highlight w:val="none"/>
          <w:lang w:bidi="ar"/>
        </w:rPr>
        <w:t>2</w:t>
      </w:r>
      <w:r>
        <w:rPr>
          <w:rFonts w:hint="eastAsia" w:ascii="仿宋" w:hAnsi="仿宋" w:eastAsia="仿宋" w:cs="仿宋"/>
          <w:color w:val="auto"/>
          <w:kern w:val="0"/>
          <w:sz w:val="24"/>
          <w:highlight w:val="none"/>
          <w:lang w:bidi="ar"/>
        </w:rPr>
        <w:t>.本任务单由发包单位盖章后交承包单位签名盖章，双方盖章后，任务单随即生效。</w:t>
      </w:r>
    </w:p>
    <w:p>
      <w:pPr>
        <w:widowControl/>
        <w:spacing w:line="400" w:lineRule="exact"/>
        <w:ind w:left="664" w:leftChars="202" w:right="-764" w:rightChars="-364" w:hanging="240" w:hangingChars="100"/>
        <w:jc w:val="left"/>
        <w:textAlignment w:val="center"/>
        <w:rPr>
          <w:rFonts w:ascii="仿宋" w:hAnsi="仿宋" w:eastAsia="仿宋" w:cs="仿宋"/>
          <w:color w:val="auto"/>
          <w:kern w:val="0"/>
          <w:sz w:val="24"/>
          <w:highlight w:val="none"/>
          <w:lang w:bidi="ar"/>
        </w:rPr>
      </w:pPr>
      <w:r>
        <w:rPr>
          <w:rFonts w:ascii="仿宋" w:hAnsi="仿宋" w:eastAsia="仿宋" w:cs="仿宋"/>
          <w:color w:val="auto"/>
          <w:kern w:val="0"/>
          <w:sz w:val="24"/>
          <w:highlight w:val="none"/>
          <w:lang w:bidi="ar"/>
        </w:rPr>
        <w:t>3.</w:t>
      </w:r>
      <w:r>
        <w:rPr>
          <w:rFonts w:hint="eastAsia" w:ascii="仿宋" w:hAnsi="仿宋" w:eastAsia="仿宋" w:cs="仿宋"/>
          <w:color w:val="auto"/>
          <w:kern w:val="0"/>
          <w:sz w:val="24"/>
          <w:highlight w:val="none"/>
          <w:lang w:bidi="ar"/>
        </w:rPr>
        <w:t>承包单位严格按照发包单位核准的施工图及施工方案进行施工,否则发包单位有权不予进行单项工程竣工验收。</w:t>
      </w:r>
    </w:p>
    <w:p>
      <w:pPr>
        <w:widowControl/>
        <w:spacing w:line="400" w:lineRule="exact"/>
        <w:ind w:left="664" w:leftChars="202" w:right="-483" w:rightChars="-230" w:hanging="240" w:hangingChars="100"/>
        <w:jc w:val="left"/>
        <w:textAlignment w:val="center"/>
        <w:rPr>
          <w:rFonts w:ascii="仿宋" w:hAnsi="仿宋" w:eastAsia="仿宋" w:cs="仿宋"/>
          <w:color w:val="auto"/>
          <w:kern w:val="0"/>
          <w:sz w:val="24"/>
          <w:highlight w:val="none"/>
          <w:lang w:bidi="ar"/>
        </w:rPr>
      </w:pPr>
      <w:r>
        <w:rPr>
          <w:rFonts w:ascii="仿宋" w:hAnsi="仿宋" w:eastAsia="仿宋" w:cs="仿宋"/>
          <w:color w:val="auto"/>
          <w:kern w:val="0"/>
          <w:sz w:val="24"/>
          <w:highlight w:val="none"/>
          <w:lang w:bidi="ar"/>
        </w:rPr>
        <w:t>4</w:t>
      </w:r>
      <w:r>
        <w:rPr>
          <w:rFonts w:hint="eastAsia" w:ascii="仿宋" w:hAnsi="仿宋" w:eastAsia="仿宋" w:cs="仿宋"/>
          <w:color w:val="auto"/>
          <w:kern w:val="0"/>
          <w:sz w:val="24"/>
          <w:highlight w:val="none"/>
          <w:lang w:bidi="ar"/>
        </w:rPr>
        <w:t>.本任务单一式两份，发包单位一份，承包单位一份。</w:t>
      </w:r>
    </w:p>
    <w:p>
      <w:pPr>
        <w:pStyle w:val="4"/>
        <w:spacing w:line="480" w:lineRule="exact"/>
        <w:rPr>
          <w:rFonts w:hint="eastAsia" w:ascii="仿宋_GB2312" w:hAnsi="仿宋_GB2312" w:eastAsia="仿宋_GB2312" w:cs="仿宋_GB2312"/>
          <w:b w:val="0"/>
          <w:color w:val="auto"/>
          <w:highlight w:val="none"/>
          <w:lang w:val="en-US" w:eastAsia="zh-CN"/>
        </w:rPr>
      </w:pPr>
      <w:r>
        <w:rPr>
          <w:rFonts w:hint="eastAsia" w:ascii="仿宋_GB2312" w:hAnsi="仿宋_GB2312" w:eastAsia="仿宋_GB2312" w:cs="仿宋_GB2312"/>
          <w:b w:val="0"/>
          <w:color w:val="auto"/>
          <w:highlight w:val="none"/>
        </w:rPr>
        <w:t>附件</w:t>
      </w:r>
      <w:r>
        <w:rPr>
          <w:rFonts w:hint="eastAsia" w:ascii="仿宋_GB2312" w:hAnsi="仿宋_GB2312" w:eastAsia="仿宋_GB2312" w:cs="仿宋_GB2312"/>
          <w:b w:val="0"/>
          <w:color w:val="auto"/>
          <w:highlight w:val="none"/>
          <w:lang w:val="en-US" w:eastAsia="zh-CN"/>
        </w:rPr>
        <w:t>2</w:t>
      </w:r>
    </w:p>
    <w:p>
      <w:pPr>
        <w:spacing w:after="120" w:afterLines="50"/>
        <w:ind w:left="119"/>
        <w:jc w:val="center"/>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履约银行保函（格式）</w:t>
      </w:r>
    </w:p>
    <w:p>
      <w:pPr>
        <w:spacing w:line="360" w:lineRule="auto"/>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致：</w:t>
      </w:r>
      <w:r>
        <w:rPr>
          <w:rFonts w:hint="eastAsia" w:ascii="仿宋_GB2312" w:hAnsi="仿宋_GB2312" w:eastAsia="仿宋_GB2312" w:cs="仿宋_GB2312"/>
          <w:bCs/>
          <w:color w:val="auto"/>
          <w:sz w:val="24"/>
          <w:szCs w:val="32"/>
          <w:highlight w:val="none"/>
          <w:u w:val="single"/>
        </w:rPr>
        <w:t xml:space="preserve">   （发包人全称）</w:t>
      </w:r>
    </w:p>
    <w:p>
      <w:pPr>
        <w:spacing w:line="360" w:lineRule="auto"/>
        <w:ind w:firstLine="480" w:firstLineChars="200"/>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鉴于</w:t>
      </w:r>
      <w:r>
        <w:rPr>
          <w:rFonts w:hint="eastAsia" w:ascii="仿宋_GB2312" w:hAnsi="仿宋_GB2312" w:eastAsia="仿宋_GB2312" w:cs="仿宋_GB2312"/>
          <w:bCs/>
          <w:color w:val="auto"/>
          <w:sz w:val="24"/>
          <w:szCs w:val="32"/>
          <w:highlight w:val="none"/>
          <w:u w:val="single"/>
        </w:rPr>
        <w:t xml:space="preserve">（承包人全称） </w:t>
      </w:r>
      <w:r>
        <w:rPr>
          <w:rFonts w:hint="eastAsia" w:ascii="仿宋_GB2312" w:hAnsi="仿宋_GB2312" w:eastAsia="仿宋_GB2312" w:cs="仿宋_GB2312"/>
          <w:bCs/>
          <w:color w:val="auto"/>
          <w:sz w:val="24"/>
          <w:szCs w:val="32"/>
          <w:highlight w:val="none"/>
        </w:rPr>
        <w:t>（下称“承包人”）参与</w:t>
      </w:r>
      <w:r>
        <w:rPr>
          <w:rFonts w:hint="eastAsia" w:ascii="仿宋_GB2312" w:hAnsi="仿宋_GB2312" w:eastAsia="仿宋_GB2312" w:cs="仿宋_GB2312"/>
          <w:bCs/>
          <w:color w:val="auto"/>
          <w:sz w:val="24"/>
          <w:szCs w:val="32"/>
          <w:highlight w:val="none"/>
          <w:u w:val="single"/>
        </w:rPr>
        <w:tab/>
      </w:r>
      <w:r>
        <w:rPr>
          <w:rFonts w:hint="eastAsia" w:ascii="仿宋_GB2312" w:hAnsi="仿宋_GB2312" w:eastAsia="仿宋_GB2312" w:cs="仿宋_GB2312"/>
          <w:bCs/>
          <w:color w:val="auto"/>
          <w:sz w:val="24"/>
          <w:szCs w:val="32"/>
          <w:highlight w:val="none"/>
          <w:u w:val="single"/>
        </w:rPr>
        <w:t xml:space="preserve">（发包人全称） </w:t>
      </w:r>
      <w:r>
        <w:rPr>
          <w:rFonts w:hint="eastAsia" w:ascii="仿宋_GB2312" w:hAnsi="仿宋_GB2312" w:eastAsia="仿宋_GB2312" w:cs="仿宋_GB2312"/>
          <w:bCs/>
          <w:color w:val="auto"/>
          <w:sz w:val="24"/>
          <w:szCs w:val="32"/>
          <w:highlight w:val="none"/>
        </w:rPr>
        <w:t>（以下简称“发包人”）</w:t>
      </w:r>
      <w:r>
        <w:rPr>
          <w:rFonts w:hint="eastAsia" w:ascii="仿宋_GB2312" w:hAnsi="仿宋_GB2312" w:eastAsia="仿宋_GB2312" w:cs="仿宋_GB2312"/>
          <w:bCs/>
          <w:color w:val="auto"/>
          <w:sz w:val="24"/>
          <w:szCs w:val="32"/>
          <w:highlight w:val="none"/>
          <w:u w:val="single"/>
        </w:rPr>
        <w:tab/>
      </w:r>
      <w:r>
        <w:rPr>
          <w:rFonts w:hint="eastAsia" w:ascii="仿宋_GB2312" w:hAnsi="仿宋_GB2312" w:eastAsia="仿宋_GB2312" w:cs="仿宋_GB2312"/>
          <w:bCs/>
          <w:color w:val="auto"/>
          <w:sz w:val="24"/>
          <w:szCs w:val="32"/>
          <w:highlight w:val="none"/>
          <w:u w:val="single"/>
        </w:rPr>
        <w:t>（项目名称）</w:t>
      </w:r>
      <w:r>
        <w:rPr>
          <w:rFonts w:hint="eastAsia" w:ascii="仿宋_GB2312" w:hAnsi="仿宋_GB2312" w:eastAsia="仿宋_GB2312" w:cs="仿宋_GB2312"/>
          <w:bCs/>
          <w:color w:val="auto"/>
          <w:sz w:val="24"/>
          <w:szCs w:val="32"/>
          <w:highlight w:val="none"/>
          <w:u w:val="single"/>
        </w:rPr>
        <w:tab/>
      </w:r>
      <w:r>
        <w:rPr>
          <w:rFonts w:hint="eastAsia" w:ascii="仿宋_GB2312" w:hAnsi="仿宋_GB2312" w:eastAsia="仿宋_GB2312" w:cs="仿宋_GB2312"/>
          <w:bCs/>
          <w:color w:val="auto"/>
          <w:sz w:val="24"/>
          <w:szCs w:val="32"/>
          <w:highlight w:val="none"/>
        </w:rPr>
        <w:t>的投标，发包人接受其投标并发出中标通知书（中标通知书编号：</w:t>
      </w:r>
      <w:r>
        <w:rPr>
          <w:rFonts w:hint="eastAsia" w:ascii="仿宋_GB2312" w:hAnsi="仿宋_GB2312" w:eastAsia="仿宋_GB2312" w:cs="仿宋_GB2312"/>
          <w:bCs/>
          <w:color w:val="auto"/>
          <w:sz w:val="24"/>
          <w:szCs w:val="32"/>
          <w:highlight w:val="none"/>
          <w:u w:val="single"/>
        </w:rPr>
        <w:t xml:space="preserve">       </w:t>
      </w:r>
      <w:r>
        <w:rPr>
          <w:rFonts w:hint="eastAsia" w:ascii="仿宋_GB2312" w:hAnsi="仿宋_GB2312" w:eastAsia="仿宋_GB2312" w:cs="仿宋_GB2312"/>
          <w:bCs/>
          <w:color w:val="auto"/>
          <w:sz w:val="24"/>
          <w:szCs w:val="32"/>
          <w:highlight w:val="none"/>
        </w:rPr>
        <w:t>，于</w:t>
      </w:r>
      <w:r>
        <w:rPr>
          <w:rFonts w:hint="eastAsia" w:ascii="仿宋_GB2312" w:hAnsi="仿宋_GB2312" w:eastAsia="仿宋_GB2312" w:cs="仿宋_GB2312"/>
          <w:bCs/>
          <w:color w:val="auto"/>
          <w:sz w:val="24"/>
          <w:szCs w:val="32"/>
          <w:highlight w:val="none"/>
          <w:u w:val="single"/>
        </w:rPr>
        <w:t xml:space="preserve">  </w:t>
      </w:r>
      <w:r>
        <w:rPr>
          <w:rFonts w:hint="eastAsia" w:ascii="仿宋_GB2312" w:hAnsi="仿宋_GB2312" w:eastAsia="仿宋_GB2312" w:cs="仿宋_GB2312"/>
          <w:bCs/>
          <w:color w:val="auto"/>
          <w:sz w:val="24"/>
          <w:szCs w:val="32"/>
          <w:highlight w:val="none"/>
        </w:rPr>
        <w:t>年</w:t>
      </w:r>
      <w:r>
        <w:rPr>
          <w:rFonts w:hint="eastAsia" w:ascii="仿宋_GB2312" w:hAnsi="仿宋_GB2312" w:eastAsia="仿宋_GB2312" w:cs="仿宋_GB2312"/>
          <w:bCs/>
          <w:color w:val="auto"/>
          <w:sz w:val="24"/>
          <w:szCs w:val="32"/>
          <w:highlight w:val="none"/>
          <w:u w:val="single"/>
        </w:rPr>
        <w:t xml:space="preserve">  </w:t>
      </w:r>
      <w:r>
        <w:rPr>
          <w:rFonts w:hint="eastAsia" w:ascii="仿宋_GB2312" w:hAnsi="仿宋_GB2312" w:eastAsia="仿宋_GB2312" w:cs="仿宋_GB2312"/>
          <w:bCs/>
          <w:color w:val="auto"/>
          <w:sz w:val="24"/>
          <w:szCs w:val="32"/>
          <w:highlight w:val="none"/>
        </w:rPr>
        <w:t>月</w:t>
      </w:r>
      <w:r>
        <w:rPr>
          <w:rFonts w:hint="eastAsia" w:ascii="仿宋_GB2312" w:hAnsi="仿宋_GB2312" w:eastAsia="仿宋_GB2312" w:cs="仿宋_GB2312"/>
          <w:bCs/>
          <w:color w:val="auto"/>
          <w:sz w:val="24"/>
          <w:szCs w:val="32"/>
          <w:highlight w:val="none"/>
          <w:u w:val="single"/>
        </w:rPr>
        <w:t xml:space="preserve">  </w:t>
      </w:r>
      <w:r>
        <w:rPr>
          <w:rFonts w:hint="eastAsia" w:ascii="仿宋_GB2312" w:hAnsi="仿宋_GB2312" w:eastAsia="仿宋_GB2312" w:cs="仿宋_GB2312"/>
          <w:bCs/>
          <w:color w:val="auto"/>
          <w:sz w:val="24"/>
          <w:szCs w:val="32"/>
          <w:highlight w:val="none"/>
        </w:rPr>
        <w:t>日发出）。鉴于各方拟签订</w:t>
      </w:r>
      <w:r>
        <w:rPr>
          <w:rFonts w:hint="eastAsia" w:ascii="仿宋_GB2312" w:hAnsi="仿宋_GB2312" w:eastAsia="仿宋_GB2312" w:cs="仿宋_GB2312"/>
          <w:bCs/>
          <w:color w:val="auto"/>
          <w:sz w:val="24"/>
          <w:szCs w:val="32"/>
          <w:highlight w:val="none"/>
        </w:rPr>
        <w:t>施工</w:t>
      </w:r>
      <w:r>
        <w:rPr>
          <w:rFonts w:hint="eastAsia" w:ascii="仿宋_GB2312" w:hAnsi="仿宋_GB2312" w:eastAsia="仿宋_GB2312" w:cs="仿宋_GB2312"/>
          <w:bCs/>
          <w:color w:val="auto"/>
          <w:sz w:val="24"/>
          <w:szCs w:val="32"/>
          <w:highlight w:val="none"/>
        </w:rPr>
        <w:t xml:space="preserve">总承包合同，根据招标文件的规定，且承包人在投标文件中承诺按合同规定承担该工程的实施和完成，我行愿意出具保函为承包人担保，担保金额为人民币（大写）    </w:t>
      </w:r>
      <w:r>
        <w:rPr>
          <w:rFonts w:hint="eastAsia" w:ascii="仿宋_GB2312" w:hAnsi="仿宋_GB2312" w:eastAsia="仿宋_GB2312" w:cs="仿宋_GB2312"/>
          <w:bCs/>
          <w:color w:val="auto"/>
          <w:sz w:val="24"/>
          <w:szCs w:val="32"/>
          <w:highlight w:val="none"/>
          <w:u w:val="single"/>
        </w:rPr>
        <w:t xml:space="preserve"> </w:t>
      </w:r>
      <w:r>
        <w:rPr>
          <w:rFonts w:hint="eastAsia" w:ascii="仿宋_GB2312" w:hAnsi="仿宋_GB2312" w:eastAsia="仿宋_GB2312" w:cs="仿宋_GB2312"/>
          <w:bCs/>
          <w:color w:val="auto"/>
          <w:sz w:val="24"/>
          <w:szCs w:val="32"/>
          <w:highlight w:val="none"/>
        </w:rPr>
        <w:t xml:space="preserve">元（￥    </w:t>
      </w:r>
      <w:r>
        <w:rPr>
          <w:rFonts w:hint="eastAsia" w:ascii="仿宋_GB2312" w:hAnsi="仿宋_GB2312" w:eastAsia="仿宋_GB2312" w:cs="仿宋_GB2312"/>
          <w:bCs/>
          <w:color w:val="auto"/>
          <w:sz w:val="24"/>
          <w:szCs w:val="32"/>
          <w:highlight w:val="none"/>
          <w:u w:val="single"/>
        </w:rPr>
        <w:tab/>
      </w:r>
      <w:r>
        <w:rPr>
          <w:rFonts w:hint="eastAsia" w:ascii="仿宋_GB2312" w:hAnsi="仿宋_GB2312" w:eastAsia="仿宋_GB2312" w:cs="仿宋_GB2312"/>
          <w:bCs/>
          <w:color w:val="auto"/>
          <w:sz w:val="24"/>
          <w:szCs w:val="32"/>
          <w:highlight w:val="none"/>
        </w:rPr>
        <w:t>元）。</w:t>
      </w:r>
    </w:p>
    <w:p>
      <w:pPr>
        <w:spacing w:line="360" w:lineRule="auto"/>
        <w:ind w:firstLine="480" w:firstLineChars="200"/>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 xml:space="preserve">本保函的义务是：我行在接到发包人提出的因承包人在履行合同过程中未能履约或违背合同规定的责任和义务而要求索赔的书面通知和付款凭证后的 7 天内，在上述担保金额的限额内向发包人或代建单位支付任何数额的款项，无须发包人或代建单位出具证明或陈述理由。 </w:t>
      </w:r>
    </w:p>
    <w:p>
      <w:pPr>
        <w:spacing w:line="360" w:lineRule="auto"/>
        <w:ind w:firstLine="480" w:firstLineChars="200"/>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在向我行提出要求前，我行将不坚持要求发包人应首先向承包人索要上述款项。我们还同意，任何对合同条款所作的修改或补充都不能免除我行按本保函所应承担的义务。</w:t>
      </w:r>
    </w:p>
    <w:p>
      <w:pPr>
        <w:spacing w:line="360" w:lineRule="auto"/>
        <w:ind w:firstLine="480" w:firstLineChars="200"/>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本保函在工程竣工验收、且工程完成结算、工程档案通过发包人验收后的二十八天内保持有效。</w:t>
      </w:r>
    </w:p>
    <w:p>
      <w:pPr>
        <w:rPr>
          <w:rFonts w:ascii="仿宋_GB2312" w:hAnsi="仿宋_GB2312" w:eastAsia="仿宋_GB2312" w:cs="仿宋_GB2312"/>
          <w:bCs/>
          <w:color w:val="auto"/>
          <w:sz w:val="24"/>
          <w:szCs w:val="32"/>
          <w:highlight w:val="none"/>
        </w:rPr>
      </w:pPr>
    </w:p>
    <w:p>
      <w:pPr>
        <w:rPr>
          <w:rFonts w:ascii="仿宋_GB2312" w:hAnsi="仿宋_GB2312" w:eastAsia="仿宋_GB2312" w:cs="仿宋_GB2312"/>
          <w:bCs/>
          <w:color w:val="auto"/>
          <w:sz w:val="24"/>
          <w:szCs w:val="32"/>
          <w:highlight w:val="none"/>
        </w:rPr>
      </w:pPr>
    </w:p>
    <w:p>
      <w:pPr>
        <w:ind w:right="840"/>
        <w:jc w:val="right"/>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担保银行：（银行全称）</w:t>
      </w:r>
      <w:r>
        <w:rPr>
          <w:rFonts w:hint="eastAsia" w:ascii="仿宋_GB2312" w:hAnsi="仿宋_GB2312" w:eastAsia="仿宋_GB2312" w:cs="仿宋_GB2312"/>
          <w:bCs/>
          <w:color w:val="auto"/>
          <w:sz w:val="24"/>
          <w:szCs w:val="32"/>
          <w:highlight w:val="none"/>
        </w:rPr>
        <w:tab/>
      </w:r>
      <w:r>
        <w:rPr>
          <w:rFonts w:hint="eastAsia" w:ascii="仿宋_GB2312" w:hAnsi="仿宋_GB2312" w:eastAsia="仿宋_GB2312" w:cs="仿宋_GB2312"/>
          <w:bCs/>
          <w:color w:val="auto"/>
          <w:sz w:val="24"/>
          <w:szCs w:val="32"/>
          <w:highlight w:val="none"/>
        </w:rPr>
        <w:t>（盖章）</w:t>
      </w:r>
    </w:p>
    <w:p>
      <w:pPr>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 xml:space="preserve">                                    法 定 代 表 人：</w:t>
      </w:r>
    </w:p>
    <w:p>
      <w:pPr>
        <w:ind w:right="840"/>
        <w:jc w:val="center"/>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 xml:space="preserve">                             </w:t>
      </w:r>
      <w:r>
        <w:rPr>
          <w:rFonts w:hint="eastAsia" w:ascii="仿宋_GB2312" w:hAnsi="仿宋_GB2312" w:eastAsia="仿宋_GB2312" w:cs="仿宋_GB2312"/>
          <w:bCs/>
          <w:color w:val="auto"/>
          <w:sz w:val="24"/>
          <w:szCs w:val="32"/>
          <w:highlight w:val="none"/>
          <w:lang w:val="en-US" w:eastAsia="zh-CN"/>
        </w:rPr>
        <w:t xml:space="preserve"> </w:t>
      </w:r>
      <w:r>
        <w:rPr>
          <w:rFonts w:hint="eastAsia" w:ascii="仿宋_GB2312" w:hAnsi="仿宋_GB2312" w:eastAsia="仿宋_GB2312" w:cs="仿宋_GB2312"/>
          <w:bCs/>
          <w:color w:val="auto"/>
          <w:sz w:val="24"/>
          <w:szCs w:val="32"/>
          <w:highlight w:val="none"/>
        </w:rPr>
        <w:t>或其授权的代理人：（职务）</w:t>
      </w:r>
    </w:p>
    <w:p>
      <w:pPr>
        <w:ind w:firstLine="6480" w:firstLineChars="2700"/>
        <w:jc w:val="both"/>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（姓名）</w:t>
      </w:r>
    </w:p>
    <w:p>
      <w:pPr>
        <w:ind w:firstLine="6720" w:firstLineChars="2800"/>
        <w:jc w:val="center"/>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（盖章）</w:t>
      </w:r>
    </w:p>
    <w:p>
      <w:pPr>
        <w:ind w:right="840"/>
        <w:jc w:val="center"/>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 xml:space="preserve">                                                  年</w:t>
      </w:r>
      <w:r>
        <w:rPr>
          <w:rFonts w:hint="eastAsia" w:ascii="仿宋_GB2312" w:hAnsi="仿宋_GB2312" w:eastAsia="仿宋_GB2312" w:cs="仿宋_GB2312"/>
          <w:bCs/>
          <w:color w:val="auto"/>
          <w:sz w:val="24"/>
          <w:szCs w:val="32"/>
          <w:highlight w:val="none"/>
        </w:rPr>
        <w:tab/>
      </w:r>
      <w:r>
        <w:rPr>
          <w:rFonts w:hint="eastAsia" w:ascii="仿宋_GB2312" w:hAnsi="仿宋_GB2312" w:eastAsia="仿宋_GB2312" w:cs="仿宋_GB2312"/>
          <w:bCs/>
          <w:color w:val="auto"/>
          <w:sz w:val="24"/>
          <w:szCs w:val="32"/>
          <w:highlight w:val="none"/>
        </w:rPr>
        <w:t>月</w:t>
      </w:r>
      <w:r>
        <w:rPr>
          <w:rFonts w:hint="eastAsia" w:ascii="仿宋_GB2312" w:hAnsi="仿宋_GB2312" w:eastAsia="仿宋_GB2312" w:cs="仿宋_GB2312"/>
          <w:bCs/>
          <w:color w:val="auto"/>
          <w:sz w:val="24"/>
          <w:szCs w:val="32"/>
          <w:highlight w:val="none"/>
        </w:rPr>
        <w:tab/>
      </w:r>
      <w:r>
        <w:rPr>
          <w:rFonts w:hint="eastAsia" w:ascii="仿宋_GB2312" w:hAnsi="仿宋_GB2312" w:eastAsia="仿宋_GB2312" w:cs="仿宋_GB2312"/>
          <w:bCs/>
          <w:color w:val="auto"/>
          <w:sz w:val="24"/>
          <w:szCs w:val="32"/>
          <w:highlight w:val="none"/>
        </w:rPr>
        <w:t>日</w:t>
      </w:r>
    </w:p>
    <w:p>
      <w:pPr>
        <w:ind w:firstLine="7080" w:firstLineChars="2950"/>
        <w:rPr>
          <w:rFonts w:ascii="仿宋_GB2312" w:hAnsi="仿宋_GB2312" w:eastAsia="仿宋_GB2312" w:cs="仿宋_GB2312"/>
          <w:bCs/>
          <w:color w:val="auto"/>
          <w:sz w:val="24"/>
          <w:szCs w:val="32"/>
          <w:highlight w:val="none"/>
        </w:rPr>
      </w:pPr>
    </w:p>
    <w:p>
      <w:pPr>
        <w:ind w:firstLine="7080" w:firstLineChars="2950"/>
        <w:rPr>
          <w:rFonts w:ascii="仿宋_GB2312" w:hAnsi="仿宋_GB2312" w:eastAsia="仿宋_GB2312" w:cs="仿宋_GB2312"/>
          <w:bCs/>
          <w:color w:val="auto"/>
          <w:sz w:val="24"/>
          <w:szCs w:val="32"/>
          <w:highlight w:val="none"/>
        </w:rPr>
      </w:pPr>
    </w:p>
    <w:p>
      <w:pPr>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 xml:space="preserve">联系方式 </w:t>
      </w:r>
    </w:p>
    <w:p>
      <w:pPr>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 xml:space="preserve">电 话： </w:t>
      </w:r>
    </w:p>
    <w:p>
      <w:pPr>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 xml:space="preserve">传 真： </w:t>
      </w:r>
    </w:p>
    <w:p>
      <w:pPr>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 xml:space="preserve">邮 件： </w:t>
      </w:r>
    </w:p>
    <w:p>
      <w:pPr>
        <w:rPr>
          <w:rFonts w:ascii="仿宋_GB2312" w:hAnsi="仿宋_GB2312" w:eastAsia="仿宋_GB2312" w:cs="仿宋_GB2312"/>
          <w:bCs/>
          <w:color w:val="auto"/>
          <w:sz w:val="24"/>
          <w:szCs w:val="32"/>
          <w:highlight w:val="none"/>
        </w:rPr>
      </w:pPr>
      <w:r>
        <w:rPr>
          <w:rFonts w:hint="eastAsia" w:ascii="仿宋_GB2312" w:hAnsi="仿宋_GB2312" w:eastAsia="仿宋_GB2312" w:cs="仿宋_GB2312"/>
          <w:bCs/>
          <w:color w:val="auto"/>
          <w:sz w:val="24"/>
          <w:szCs w:val="32"/>
          <w:highlight w:val="none"/>
        </w:rPr>
        <w:t>地 址：</w:t>
      </w:r>
    </w:p>
    <w:p>
      <w:pPr>
        <w:rPr>
          <w:rFonts w:ascii="仿宋_GB2312" w:hAnsi="仿宋_GB2312" w:eastAsia="仿宋_GB2312" w:cs="仿宋_GB2312"/>
          <w:bCs/>
          <w:color w:val="auto"/>
          <w:sz w:val="24"/>
          <w:szCs w:val="32"/>
          <w:highlight w:val="none"/>
        </w:rPr>
      </w:pPr>
    </w:p>
    <w:p>
      <w:pPr>
        <w:spacing w:line="309" w:lineRule="exact"/>
        <w:ind w:left="12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pacing w:val="2"/>
          <w:sz w:val="24"/>
          <w:szCs w:val="24"/>
          <w:highlight w:val="none"/>
        </w:rPr>
        <w:t>备</w:t>
      </w:r>
      <w:r>
        <w:rPr>
          <w:rFonts w:hint="eastAsia" w:ascii="仿宋_GB2312" w:hAnsi="仿宋_GB2312" w:eastAsia="仿宋_GB2312" w:cs="仿宋_GB2312"/>
          <w:bCs/>
          <w:color w:val="auto"/>
          <w:spacing w:val="-1"/>
          <w:sz w:val="24"/>
          <w:szCs w:val="24"/>
          <w:highlight w:val="none"/>
        </w:rPr>
        <w:t>注</w:t>
      </w:r>
      <w:r>
        <w:rPr>
          <w:rFonts w:hint="eastAsia" w:ascii="仿宋_GB2312" w:hAnsi="仿宋_GB2312" w:eastAsia="仿宋_GB2312" w:cs="仿宋_GB2312"/>
          <w:bCs/>
          <w:color w:val="auto"/>
          <w:spacing w:val="2"/>
          <w:sz w:val="24"/>
          <w:szCs w:val="24"/>
          <w:highlight w:val="none"/>
        </w:rPr>
        <w:t>：本</w:t>
      </w:r>
      <w:r>
        <w:rPr>
          <w:rFonts w:hint="eastAsia" w:ascii="仿宋_GB2312" w:hAnsi="仿宋_GB2312" w:eastAsia="仿宋_GB2312" w:cs="仿宋_GB2312"/>
          <w:bCs/>
          <w:color w:val="auto"/>
          <w:spacing w:val="-1"/>
          <w:sz w:val="24"/>
          <w:szCs w:val="24"/>
          <w:highlight w:val="none"/>
        </w:rPr>
        <w:t>履</w:t>
      </w:r>
      <w:r>
        <w:rPr>
          <w:rFonts w:hint="eastAsia" w:ascii="仿宋_GB2312" w:hAnsi="仿宋_GB2312" w:eastAsia="仿宋_GB2312" w:cs="仿宋_GB2312"/>
          <w:bCs/>
          <w:color w:val="auto"/>
          <w:spacing w:val="2"/>
          <w:sz w:val="24"/>
          <w:szCs w:val="24"/>
          <w:highlight w:val="none"/>
        </w:rPr>
        <w:t>约</w:t>
      </w:r>
      <w:r>
        <w:rPr>
          <w:rFonts w:hint="eastAsia" w:ascii="仿宋_GB2312" w:hAnsi="仿宋_GB2312" w:eastAsia="仿宋_GB2312" w:cs="仿宋_GB2312"/>
          <w:bCs/>
          <w:color w:val="auto"/>
          <w:spacing w:val="-1"/>
          <w:sz w:val="24"/>
          <w:szCs w:val="24"/>
          <w:highlight w:val="none"/>
        </w:rPr>
        <w:t>担</w:t>
      </w:r>
      <w:r>
        <w:rPr>
          <w:rFonts w:hint="eastAsia" w:ascii="仿宋_GB2312" w:hAnsi="仿宋_GB2312" w:eastAsia="仿宋_GB2312" w:cs="仿宋_GB2312"/>
          <w:bCs/>
          <w:color w:val="auto"/>
          <w:spacing w:val="2"/>
          <w:sz w:val="24"/>
          <w:szCs w:val="24"/>
          <w:highlight w:val="none"/>
        </w:rPr>
        <w:t>保</w:t>
      </w:r>
      <w:r>
        <w:rPr>
          <w:rFonts w:hint="eastAsia" w:ascii="仿宋_GB2312" w:hAnsi="仿宋_GB2312" w:eastAsia="仿宋_GB2312" w:cs="仿宋_GB2312"/>
          <w:bCs/>
          <w:color w:val="auto"/>
          <w:spacing w:val="-1"/>
          <w:sz w:val="24"/>
          <w:szCs w:val="24"/>
          <w:highlight w:val="none"/>
        </w:rPr>
        <w:t>格</w:t>
      </w:r>
      <w:r>
        <w:rPr>
          <w:rFonts w:hint="eastAsia" w:ascii="仿宋_GB2312" w:hAnsi="仿宋_GB2312" w:eastAsia="仿宋_GB2312" w:cs="仿宋_GB2312"/>
          <w:bCs/>
          <w:color w:val="auto"/>
          <w:spacing w:val="2"/>
          <w:sz w:val="24"/>
          <w:szCs w:val="24"/>
          <w:highlight w:val="none"/>
        </w:rPr>
        <w:t>式</w:t>
      </w:r>
      <w:r>
        <w:rPr>
          <w:rFonts w:hint="eastAsia" w:ascii="仿宋_GB2312" w:hAnsi="仿宋_GB2312" w:eastAsia="仿宋_GB2312" w:cs="仿宋_GB2312"/>
          <w:bCs/>
          <w:color w:val="auto"/>
          <w:spacing w:val="-1"/>
          <w:sz w:val="24"/>
          <w:szCs w:val="24"/>
          <w:highlight w:val="none"/>
        </w:rPr>
        <w:t>可</w:t>
      </w:r>
      <w:r>
        <w:rPr>
          <w:rFonts w:hint="eastAsia" w:ascii="仿宋_GB2312" w:hAnsi="仿宋_GB2312" w:eastAsia="仿宋_GB2312" w:cs="仿宋_GB2312"/>
          <w:bCs/>
          <w:color w:val="auto"/>
          <w:spacing w:val="2"/>
          <w:sz w:val="24"/>
          <w:szCs w:val="24"/>
          <w:highlight w:val="none"/>
        </w:rPr>
        <w:t>以</w:t>
      </w:r>
      <w:r>
        <w:rPr>
          <w:rFonts w:hint="eastAsia" w:ascii="仿宋_GB2312" w:hAnsi="仿宋_GB2312" w:eastAsia="仿宋_GB2312" w:cs="仿宋_GB2312"/>
          <w:bCs/>
          <w:color w:val="auto"/>
          <w:spacing w:val="-1"/>
          <w:sz w:val="24"/>
          <w:szCs w:val="24"/>
          <w:highlight w:val="none"/>
        </w:rPr>
        <w:t>采</w:t>
      </w:r>
      <w:r>
        <w:rPr>
          <w:rFonts w:hint="eastAsia" w:ascii="仿宋_GB2312" w:hAnsi="仿宋_GB2312" w:eastAsia="仿宋_GB2312" w:cs="仿宋_GB2312"/>
          <w:bCs/>
          <w:color w:val="auto"/>
          <w:spacing w:val="2"/>
          <w:sz w:val="24"/>
          <w:szCs w:val="24"/>
          <w:highlight w:val="none"/>
        </w:rPr>
        <w:t>用</w:t>
      </w:r>
      <w:r>
        <w:rPr>
          <w:rFonts w:hint="eastAsia" w:ascii="仿宋_GB2312" w:hAnsi="仿宋_GB2312" w:eastAsia="仿宋_GB2312" w:cs="仿宋_GB2312"/>
          <w:bCs/>
          <w:color w:val="auto"/>
          <w:spacing w:val="-1"/>
          <w:sz w:val="24"/>
          <w:szCs w:val="24"/>
          <w:highlight w:val="none"/>
        </w:rPr>
        <w:t>经</w:t>
      </w:r>
      <w:r>
        <w:rPr>
          <w:rFonts w:hint="eastAsia" w:ascii="仿宋_GB2312" w:hAnsi="仿宋_GB2312" w:eastAsia="仿宋_GB2312" w:cs="仿宋_GB2312"/>
          <w:bCs/>
          <w:color w:val="auto"/>
          <w:spacing w:val="2"/>
          <w:sz w:val="24"/>
          <w:szCs w:val="24"/>
          <w:highlight w:val="none"/>
        </w:rPr>
        <w:t>发</w:t>
      </w:r>
      <w:r>
        <w:rPr>
          <w:rFonts w:hint="eastAsia" w:ascii="仿宋_GB2312" w:hAnsi="仿宋_GB2312" w:eastAsia="仿宋_GB2312" w:cs="仿宋_GB2312"/>
          <w:bCs/>
          <w:color w:val="auto"/>
          <w:spacing w:val="-1"/>
          <w:sz w:val="24"/>
          <w:szCs w:val="24"/>
          <w:highlight w:val="none"/>
        </w:rPr>
        <w:t>包</w:t>
      </w:r>
      <w:r>
        <w:rPr>
          <w:rFonts w:hint="eastAsia" w:ascii="仿宋_GB2312" w:hAnsi="仿宋_GB2312" w:eastAsia="仿宋_GB2312" w:cs="仿宋_GB2312"/>
          <w:bCs/>
          <w:color w:val="auto"/>
          <w:spacing w:val="2"/>
          <w:sz w:val="24"/>
          <w:szCs w:val="24"/>
          <w:highlight w:val="none"/>
        </w:rPr>
        <w:t>人</w:t>
      </w:r>
      <w:r>
        <w:rPr>
          <w:rFonts w:hint="eastAsia" w:ascii="仿宋_GB2312" w:hAnsi="仿宋_GB2312" w:eastAsia="仿宋_GB2312" w:cs="仿宋_GB2312"/>
          <w:bCs/>
          <w:color w:val="auto"/>
          <w:spacing w:val="-1"/>
          <w:sz w:val="24"/>
          <w:szCs w:val="24"/>
          <w:highlight w:val="none"/>
        </w:rPr>
        <w:t>同</w:t>
      </w:r>
      <w:r>
        <w:rPr>
          <w:rFonts w:hint="eastAsia" w:ascii="仿宋_GB2312" w:hAnsi="仿宋_GB2312" w:eastAsia="仿宋_GB2312" w:cs="仿宋_GB2312"/>
          <w:bCs/>
          <w:color w:val="auto"/>
          <w:spacing w:val="2"/>
          <w:sz w:val="24"/>
          <w:szCs w:val="24"/>
          <w:highlight w:val="none"/>
        </w:rPr>
        <w:t>意</w:t>
      </w:r>
      <w:r>
        <w:rPr>
          <w:rFonts w:hint="eastAsia" w:ascii="仿宋_GB2312" w:hAnsi="仿宋_GB2312" w:eastAsia="仿宋_GB2312" w:cs="仿宋_GB2312"/>
          <w:bCs/>
          <w:color w:val="auto"/>
          <w:spacing w:val="-1"/>
          <w:sz w:val="24"/>
          <w:szCs w:val="24"/>
          <w:highlight w:val="none"/>
        </w:rPr>
        <w:t>的</w:t>
      </w:r>
      <w:r>
        <w:rPr>
          <w:rFonts w:hint="eastAsia" w:ascii="仿宋_GB2312" w:hAnsi="仿宋_GB2312" w:eastAsia="仿宋_GB2312" w:cs="仿宋_GB2312"/>
          <w:bCs/>
          <w:color w:val="auto"/>
          <w:spacing w:val="2"/>
          <w:sz w:val="24"/>
          <w:szCs w:val="24"/>
          <w:highlight w:val="none"/>
        </w:rPr>
        <w:t>其</w:t>
      </w:r>
      <w:r>
        <w:rPr>
          <w:rFonts w:hint="eastAsia" w:ascii="仿宋_GB2312" w:hAnsi="仿宋_GB2312" w:eastAsia="仿宋_GB2312" w:cs="仿宋_GB2312"/>
          <w:bCs/>
          <w:color w:val="auto"/>
          <w:spacing w:val="-1"/>
          <w:sz w:val="24"/>
          <w:szCs w:val="24"/>
          <w:highlight w:val="none"/>
        </w:rPr>
        <w:t>他</w:t>
      </w:r>
      <w:r>
        <w:rPr>
          <w:rFonts w:hint="eastAsia" w:ascii="仿宋_GB2312" w:hAnsi="仿宋_GB2312" w:eastAsia="仿宋_GB2312" w:cs="仿宋_GB2312"/>
          <w:bCs/>
          <w:color w:val="auto"/>
          <w:spacing w:val="2"/>
          <w:sz w:val="24"/>
          <w:szCs w:val="24"/>
          <w:highlight w:val="none"/>
        </w:rPr>
        <w:t>格</w:t>
      </w:r>
      <w:r>
        <w:rPr>
          <w:rFonts w:hint="eastAsia" w:ascii="仿宋_GB2312" w:hAnsi="仿宋_GB2312" w:eastAsia="仿宋_GB2312" w:cs="仿宋_GB2312"/>
          <w:bCs/>
          <w:color w:val="auto"/>
          <w:spacing w:val="-1"/>
          <w:sz w:val="24"/>
          <w:szCs w:val="24"/>
          <w:highlight w:val="none"/>
        </w:rPr>
        <w:t>式</w:t>
      </w:r>
      <w:r>
        <w:rPr>
          <w:rFonts w:hint="eastAsia" w:ascii="仿宋_GB2312" w:hAnsi="仿宋_GB2312" w:eastAsia="仿宋_GB2312" w:cs="仿宋_GB2312"/>
          <w:bCs/>
          <w:color w:val="auto"/>
          <w:spacing w:val="2"/>
          <w:sz w:val="24"/>
          <w:szCs w:val="24"/>
          <w:highlight w:val="none"/>
        </w:rPr>
        <w:t>，但</w:t>
      </w:r>
      <w:r>
        <w:rPr>
          <w:rFonts w:hint="eastAsia" w:ascii="仿宋_GB2312" w:hAnsi="仿宋_GB2312" w:eastAsia="仿宋_GB2312" w:cs="仿宋_GB2312"/>
          <w:bCs/>
          <w:color w:val="auto"/>
          <w:spacing w:val="-1"/>
          <w:sz w:val="24"/>
          <w:szCs w:val="24"/>
          <w:highlight w:val="none"/>
        </w:rPr>
        <w:t>相</w:t>
      </w:r>
      <w:r>
        <w:rPr>
          <w:rFonts w:hint="eastAsia" w:ascii="仿宋_GB2312" w:hAnsi="仿宋_GB2312" w:eastAsia="仿宋_GB2312" w:cs="仿宋_GB2312"/>
          <w:bCs/>
          <w:color w:val="auto"/>
          <w:spacing w:val="2"/>
          <w:sz w:val="24"/>
          <w:szCs w:val="24"/>
          <w:highlight w:val="none"/>
        </w:rPr>
        <w:t>关</w:t>
      </w:r>
      <w:r>
        <w:rPr>
          <w:rFonts w:hint="eastAsia" w:ascii="仿宋_GB2312" w:hAnsi="仿宋_GB2312" w:eastAsia="仿宋_GB2312" w:cs="仿宋_GB2312"/>
          <w:bCs/>
          <w:color w:val="auto"/>
          <w:spacing w:val="-1"/>
          <w:sz w:val="24"/>
          <w:szCs w:val="24"/>
          <w:highlight w:val="none"/>
        </w:rPr>
        <w:t>内</w:t>
      </w:r>
      <w:r>
        <w:rPr>
          <w:rFonts w:hint="eastAsia" w:ascii="仿宋_GB2312" w:hAnsi="仿宋_GB2312" w:eastAsia="仿宋_GB2312" w:cs="仿宋_GB2312"/>
          <w:bCs/>
          <w:color w:val="auto"/>
          <w:spacing w:val="2"/>
          <w:sz w:val="24"/>
          <w:szCs w:val="24"/>
          <w:highlight w:val="none"/>
        </w:rPr>
        <w:t>容</w:t>
      </w:r>
      <w:r>
        <w:rPr>
          <w:rFonts w:hint="eastAsia" w:ascii="仿宋_GB2312" w:hAnsi="仿宋_GB2312" w:eastAsia="仿宋_GB2312" w:cs="仿宋_GB2312"/>
          <w:bCs/>
          <w:color w:val="auto"/>
          <w:spacing w:val="-1"/>
          <w:sz w:val="24"/>
          <w:szCs w:val="24"/>
          <w:highlight w:val="none"/>
        </w:rPr>
        <w:t>不</w:t>
      </w:r>
      <w:r>
        <w:rPr>
          <w:rFonts w:hint="eastAsia" w:ascii="仿宋_GB2312" w:hAnsi="仿宋_GB2312" w:eastAsia="仿宋_GB2312" w:cs="仿宋_GB2312"/>
          <w:bCs/>
          <w:color w:val="auto"/>
          <w:spacing w:val="2"/>
          <w:sz w:val="24"/>
          <w:szCs w:val="24"/>
          <w:highlight w:val="none"/>
        </w:rPr>
        <w:t>得</w:t>
      </w:r>
      <w:r>
        <w:rPr>
          <w:rFonts w:hint="eastAsia" w:ascii="仿宋_GB2312" w:hAnsi="仿宋_GB2312" w:eastAsia="仿宋_GB2312" w:cs="仿宋_GB2312"/>
          <w:bCs/>
          <w:color w:val="auto"/>
          <w:spacing w:val="-1"/>
          <w:sz w:val="24"/>
          <w:szCs w:val="24"/>
          <w:highlight w:val="none"/>
        </w:rPr>
        <w:t>违</w:t>
      </w:r>
      <w:r>
        <w:rPr>
          <w:rFonts w:hint="eastAsia" w:ascii="仿宋_GB2312" w:hAnsi="仿宋_GB2312" w:eastAsia="仿宋_GB2312" w:cs="仿宋_GB2312"/>
          <w:bCs/>
          <w:color w:val="auto"/>
          <w:spacing w:val="2"/>
          <w:sz w:val="24"/>
          <w:szCs w:val="24"/>
          <w:highlight w:val="none"/>
        </w:rPr>
        <w:t>背</w:t>
      </w:r>
      <w:r>
        <w:rPr>
          <w:rFonts w:hint="eastAsia" w:ascii="仿宋_GB2312" w:hAnsi="仿宋_GB2312" w:eastAsia="仿宋_GB2312" w:cs="仿宋_GB2312"/>
          <w:bCs/>
          <w:color w:val="auto"/>
          <w:spacing w:val="-1"/>
          <w:sz w:val="24"/>
          <w:szCs w:val="24"/>
          <w:highlight w:val="none"/>
        </w:rPr>
        <w:t>合</w:t>
      </w:r>
      <w:r>
        <w:rPr>
          <w:rFonts w:hint="eastAsia" w:ascii="仿宋_GB2312" w:hAnsi="仿宋_GB2312" w:eastAsia="仿宋_GB2312" w:cs="仿宋_GB2312"/>
          <w:bCs/>
          <w:color w:val="auto"/>
          <w:spacing w:val="2"/>
          <w:sz w:val="24"/>
          <w:szCs w:val="24"/>
          <w:highlight w:val="none"/>
        </w:rPr>
        <w:t>同</w:t>
      </w:r>
      <w:r>
        <w:rPr>
          <w:rFonts w:hint="eastAsia" w:ascii="仿宋_GB2312" w:hAnsi="仿宋_GB2312" w:eastAsia="仿宋_GB2312" w:cs="仿宋_GB2312"/>
          <w:bCs/>
          <w:color w:val="auto"/>
          <w:spacing w:val="-1"/>
          <w:sz w:val="24"/>
          <w:szCs w:val="24"/>
          <w:highlight w:val="none"/>
        </w:rPr>
        <w:t>约</w:t>
      </w:r>
      <w:r>
        <w:rPr>
          <w:rFonts w:hint="eastAsia" w:ascii="仿宋_GB2312" w:hAnsi="仿宋_GB2312" w:eastAsia="仿宋_GB2312" w:cs="仿宋_GB2312"/>
          <w:bCs/>
          <w:color w:val="auto"/>
          <w:spacing w:val="2"/>
          <w:sz w:val="24"/>
          <w:szCs w:val="24"/>
          <w:highlight w:val="none"/>
        </w:rPr>
        <w:t>定</w:t>
      </w:r>
      <w:r>
        <w:rPr>
          <w:rFonts w:hint="eastAsia" w:ascii="仿宋_GB2312" w:hAnsi="仿宋_GB2312" w:eastAsia="仿宋_GB2312" w:cs="仿宋_GB2312"/>
          <w:bCs/>
          <w:color w:val="auto"/>
          <w:spacing w:val="-1"/>
          <w:sz w:val="24"/>
          <w:szCs w:val="24"/>
          <w:highlight w:val="none"/>
        </w:rPr>
        <w:t>的</w:t>
      </w:r>
      <w:r>
        <w:rPr>
          <w:rFonts w:hint="eastAsia" w:ascii="仿宋_GB2312" w:hAnsi="仿宋_GB2312" w:eastAsia="仿宋_GB2312" w:cs="仿宋_GB2312"/>
          <w:bCs/>
          <w:color w:val="auto"/>
          <w:spacing w:val="2"/>
          <w:sz w:val="24"/>
          <w:szCs w:val="24"/>
          <w:highlight w:val="none"/>
        </w:rPr>
        <w:t>实</w:t>
      </w:r>
      <w:r>
        <w:rPr>
          <w:rFonts w:hint="eastAsia" w:ascii="仿宋_GB2312" w:hAnsi="仿宋_GB2312" w:eastAsia="仿宋_GB2312" w:cs="仿宋_GB2312"/>
          <w:bCs/>
          <w:color w:val="auto"/>
          <w:sz w:val="24"/>
          <w:szCs w:val="24"/>
          <w:highlight w:val="none"/>
        </w:rPr>
        <w:t>质</w:t>
      </w:r>
      <w:r>
        <w:rPr>
          <w:rFonts w:hint="eastAsia" w:ascii="仿宋_GB2312" w:hAnsi="仿宋_GB2312" w:eastAsia="仿宋_GB2312" w:cs="仿宋_GB2312"/>
          <w:bCs/>
          <w:color w:val="auto"/>
          <w:spacing w:val="-1"/>
          <w:sz w:val="24"/>
          <w:szCs w:val="24"/>
          <w:highlight w:val="none"/>
        </w:rPr>
        <w:t>性</w:t>
      </w:r>
      <w:r>
        <w:rPr>
          <w:rFonts w:hint="eastAsia" w:ascii="仿宋_GB2312" w:hAnsi="仿宋_GB2312" w:eastAsia="仿宋_GB2312" w:cs="仿宋_GB2312"/>
          <w:bCs/>
          <w:color w:val="auto"/>
          <w:spacing w:val="2"/>
          <w:sz w:val="24"/>
          <w:szCs w:val="24"/>
          <w:highlight w:val="none"/>
        </w:rPr>
        <w:t>内</w:t>
      </w:r>
      <w:r>
        <w:rPr>
          <w:rFonts w:hint="eastAsia" w:ascii="仿宋_GB2312" w:hAnsi="仿宋_GB2312" w:eastAsia="仿宋_GB2312" w:cs="仿宋_GB2312"/>
          <w:bCs/>
          <w:color w:val="auto"/>
          <w:spacing w:val="-1"/>
          <w:sz w:val="24"/>
          <w:szCs w:val="24"/>
          <w:highlight w:val="none"/>
        </w:rPr>
        <w:t>容</w:t>
      </w:r>
      <w:r>
        <w:rPr>
          <w:rFonts w:hint="eastAsia" w:ascii="仿宋_GB2312" w:hAnsi="仿宋_GB2312" w:eastAsia="仿宋_GB2312" w:cs="仿宋_GB2312"/>
          <w:bCs/>
          <w:color w:val="auto"/>
          <w:sz w:val="24"/>
          <w:szCs w:val="24"/>
          <w:highlight w:val="none"/>
        </w:rPr>
        <w:t>。</w:t>
      </w:r>
    </w:p>
    <w:p>
      <w:pPr>
        <w:rPr>
          <w:rFonts w:ascii="仿宋_GB2312" w:hAnsi="仿宋_GB2312" w:eastAsia="仿宋_GB2312" w:cs="仿宋_GB2312"/>
          <w:bCs/>
          <w:color w:val="auto"/>
          <w:highlight w:val="none"/>
        </w:rPr>
      </w:pPr>
    </w:p>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br w:type="page"/>
      </w:r>
    </w:p>
    <w:p>
      <w:pPr>
        <w:pStyle w:val="4"/>
        <w:spacing w:line="480" w:lineRule="exact"/>
        <w:rPr>
          <w:rFonts w:hint="eastAsia" w:ascii="仿宋_GB2312" w:hAnsi="仿宋_GB2312" w:eastAsia="仿宋_GB2312" w:cs="仿宋_GB2312"/>
          <w:b w:val="0"/>
          <w:color w:val="auto"/>
          <w:highlight w:val="none"/>
          <w:lang w:eastAsia="zh-CN"/>
        </w:rPr>
      </w:pPr>
      <w:r>
        <w:rPr>
          <w:rFonts w:hint="eastAsia" w:ascii="仿宋_GB2312" w:hAnsi="仿宋_GB2312" w:eastAsia="仿宋_GB2312" w:cs="仿宋_GB2312"/>
          <w:b w:val="0"/>
          <w:color w:val="auto"/>
          <w:highlight w:val="none"/>
        </w:rPr>
        <w:t>附件</w:t>
      </w:r>
      <w:r>
        <w:rPr>
          <w:rFonts w:hint="eastAsia" w:ascii="仿宋_GB2312" w:hAnsi="仿宋_GB2312" w:eastAsia="仿宋_GB2312" w:cs="仿宋_GB2312"/>
          <w:b w:val="0"/>
          <w:color w:val="auto"/>
          <w:highlight w:val="none"/>
          <w:lang w:val="en-US" w:eastAsia="zh-CN"/>
        </w:rPr>
        <w:t>3</w:t>
      </w:r>
    </w:p>
    <w:p>
      <w:pPr>
        <w:spacing w:after="120" w:afterLines="50"/>
        <w:ind w:left="119"/>
        <w:jc w:val="center"/>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安全生产管理协议书</w:t>
      </w:r>
    </w:p>
    <w:p>
      <w:pPr>
        <w:spacing w:line="400" w:lineRule="exact"/>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rPr>
        <w:t>发包人：</w:t>
      </w:r>
      <w:r>
        <w:rPr>
          <w:rFonts w:hint="eastAsia" w:ascii="仿宋_GB2312" w:hAnsi="仿宋_GB2312" w:eastAsia="仿宋_GB2312" w:cs="仿宋_GB2312"/>
          <w:bCs/>
          <w:color w:val="auto"/>
          <w:sz w:val="24"/>
          <w:highlight w:val="none"/>
          <w:u w:val="single"/>
          <w:lang w:val="en-US" w:eastAsia="zh-CN"/>
        </w:rPr>
        <w:t xml:space="preserve">                      </w:t>
      </w:r>
    </w:p>
    <w:p>
      <w:pPr>
        <w:spacing w:line="400" w:lineRule="exact"/>
        <w:rPr>
          <w:rFonts w:hint="default" w:ascii="仿宋_GB2312" w:hAnsi="仿宋_GB2312" w:eastAsia="仿宋_GB2312" w:cs="仿宋_GB2312"/>
          <w:bCs/>
          <w:color w:val="auto"/>
          <w:sz w:val="24"/>
          <w:highlight w:val="none"/>
          <w:u w:val="single"/>
          <w:lang w:val="en-US" w:eastAsia="zh-CN"/>
        </w:rPr>
      </w:pPr>
      <w:r>
        <w:rPr>
          <w:rFonts w:hint="eastAsia" w:ascii="仿宋_GB2312" w:hAnsi="仿宋_GB2312" w:eastAsia="仿宋_GB2312" w:cs="仿宋_GB2312"/>
          <w:bCs/>
          <w:color w:val="auto"/>
          <w:sz w:val="24"/>
          <w:highlight w:val="none"/>
        </w:rPr>
        <w:t>承包人：</w:t>
      </w:r>
      <w:r>
        <w:rPr>
          <w:rFonts w:hint="eastAsia" w:ascii="仿宋_GB2312" w:hAnsi="仿宋_GB2312" w:eastAsia="仿宋_GB2312" w:cs="仿宋_GB2312"/>
          <w:bCs/>
          <w:color w:val="auto"/>
          <w:sz w:val="24"/>
          <w:highlight w:val="none"/>
          <w:u w:val="single"/>
          <w:lang w:val="en-US" w:eastAsia="zh-CN"/>
        </w:rPr>
        <w:t xml:space="preserve">                       </w:t>
      </w:r>
    </w:p>
    <w:p>
      <w:pPr>
        <w:spacing w:line="400" w:lineRule="exact"/>
        <w:rPr>
          <w:rFonts w:ascii="仿宋_GB2312" w:hAnsi="仿宋_GB2312" w:eastAsia="仿宋_GB2312" w:cs="仿宋_GB2312"/>
          <w:bCs/>
          <w:color w:val="auto"/>
          <w:sz w:val="24"/>
          <w:highlight w:val="none"/>
          <w:u w:val="single"/>
        </w:rPr>
      </w:pPr>
      <w:r>
        <w:rPr>
          <w:rFonts w:hint="eastAsia" w:ascii="仿宋_GB2312" w:hAnsi="仿宋_GB2312" w:eastAsia="仿宋_GB2312" w:cs="仿宋_GB2312"/>
          <w:bCs/>
          <w:color w:val="auto"/>
          <w:sz w:val="24"/>
          <w:highlight w:val="none"/>
        </w:rPr>
        <w:t>项目名称：</w:t>
      </w:r>
      <w:sdt>
        <w:sdtPr>
          <w:rPr>
            <w:rFonts w:hint="eastAsia" w:ascii="仿宋_GB2312" w:hAnsi="仿宋_GB2312" w:eastAsia="仿宋_GB2312" w:cs="仿宋_GB2312"/>
            <w:bCs/>
            <w:color w:val="auto"/>
            <w:sz w:val="24"/>
            <w:highlight w:val="none"/>
            <w:u w:val="single" w:color="FF0000"/>
          </w:rPr>
          <w:id w:val="1726017968"/>
          <w:placeholder>
            <w:docPart w:val="{e23298bc-e009-4cda-8db0-829c013a27fa}"/>
          </w:placeholder>
        </w:sdtPr>
        <w:sdtEndPr>
          <w:rPr>
            <w:rFonts w:hint="eastAsia" w:ascii="仿宋_GB2312" w:hAnsi="仿宋_GB2312" w:eastAsia="仿宋_GB2312" w:cs="仿宋_GB2312"/>
            <w:bCs/>
            <w:color w:val="auto"/>
            <w:sz w:val="24"/>
            <w:highlight w:val="none"/>
            <w:u w:val="single" w:color="FF0000"/>
          </w:rPr>
        </w:sdtEndPr>
        <w:sdtContent>
          <w:r>
            <w:rPr>
              <w:rFonts w:hint="eastAsia" w:ascii="仿宋_GB2312" w:hAnsi="仿宋_GB2312" w:eastAsia="仿宋_GB2312" w:cs="仿宋_GB2312"/>
              <w:bCs/>
              <w:color w:val="auto"/>
              <w:sz w:val="24"/>
              <w:highlight w:val="none"/>
              <w:u w:val="single"/>
              <w:lang w:val="en-US" w:eastAsia="zh-CN"/>
            </w:rPr>
            <w:t xml:space="preserve">                             </w:t>
          </w:r>
        </w:sdtContent>
      </w:sdt>
    </w:p>
    <w:p>
      <w:pPr>
        <w:spacing w:line="400" w:lineRule="exact"/>
        <w:rPr>
          <w:rFonts w:ascii="仿宋_GB2312" w:hAnsi="仿宋_GB2312" w:eastAsia="仿宋_GB2312" w:cs="仿宋_GB2312"/>
          <w:bCs/>
          <w:color w:val="auto"/>
          <w:sz w:val="24"/>
          <w:highlight w:val="none"/>
          <w:u w:val="single"/>
        </w:rPr>
      </w:pPr>
      <w:r>
        <w:rPr>
          <w:rFonts w:hint="eastAsia" w:ascii="仿宋_GB2312" w:hAnsi="仿宋_GB2312" w:eastAsia="仿宋_GB2312" w:cs="仿宋_GB2312"/>
          <w:bCs/>
          <w:color w:val="auto"/>
          <w:sz w:val="24"/>
          <w:highlight w:val="none"/>
        </w:rPr>
        <w:t>项目编号：</w:t>
      </w:r>
      <w:r>
        <w:rPr>
          <w:rFonts w:hint="eastAsia" w:ascii="仿宋_GB2312" w:hAnsi="仿宋_GB2312" w:eastAsia="仿宋_GB2312" w:cs="仿宋_GB2312"/>
          <w:bCs/>
          <w:color w:val="auto"/>
          <w:sz w:val="24"/>
          <w:highlight w:val="none"/>
          <w:u w:val="single"/>
        </w:rPr>
        <w:t xml:space="preserve">                     </w:t>
      </w:r>
    </w:p>
    <w:p>
      <w:pPr>
        <w:spacing w:line="400" w:lineRule="exact"/>
        <w:rPr>
          <w:rFonts w:ascii="仿宋_GB2312" w:hAnsi="仿宋_GB2312" w:eastAsia="仿宋_GB2312" w:cs="仿宋_GB2312"/>
          <w:bCs/>
          <w:color w:val="auto"/>
          <w:sz w:val="24"/>
          <w:highlight w:val="none"/>
        </w:rPr>
      </w:pPr>
    </w:p>
    <w:p>
      <w:pPr>
        <w:pStyle w:val="47"/>
        <w:ind w:firstLine="480"/>
        <w:rPr>
          <w:rFonts w:ascii="仿宋_GB2312" w:hAnsi="仿宋_GB2312" w:cs="仿宋_GB2312"/>
          <w:bCs/>
          <w:color w:val="auto"/>
          <w:highlight w:val="none"/>
        </w:rPr>
      </w:pPr>
      <w:r>
        <w:rPr>
          <w:rFonts w:hint="eastAsia" w:ascii="仿宋_GB2312" w:hAnsi="仿宋_GB2312" w:cs="仿宋_GB2312"/>
          <w:bCs/>
          <w:color w:val="auto"/>
          <w:highlight w:val="none"/>
        </w:rPr>
        <w:t>根据《中华人民共和国安全生产法》、《中华人民共和国建筑法》、《建设工程安全生产管理条例》、《生产安全事故报告和调查处理条例》和《广州市安全生产条例》等有关安全生产法律法规，经双方协商，签订本协议书，以明确各自的安全生产（含文明施工、职业健康、消防安全等）责任并共同遵守。</w:t>
      </w:r>
    </w:p>
    <w:p>
      <w:pPr>
        <w:pStyle w:val="59"/>
        <w:numPr>
          <w:ilvl w:val="0"/>
          <w:numId w:val="12"/>
        </w:numPr>
        <w:rPr>
          <w:color w:val="auto"/>
          <w:highlight w:val="none"/>
        </w:rPr>
      </w:pPr>
      <w:r>
        <w:rPr>
          <w:rFonts w:hint="eastAsia"/>
          <w:color w:val="auto"/>
          <w:highlight w:val="none"/>
        </w:rPr>
        <w:t>承包人管理架构</w:t>
      </w:r>
    </w:p>
    <w:p>
      <w:pPr>
        <w:widowControl/>
        <w:spacing w:line="400" w:lineRule="exact"/>
        <w:ind w:firstLine="480" w:firstLineChars="200"/>
        <w:rPr>
          <w:rFonts w:ascii="仿宋_GB2312" w:hAnsi="仿宋_GB2312" w:eastAsia="仿宋_GB2312" w:cs="仿宋_GB2312"/>
          <w:bCs/>
          <w:color w:val="auto"/>
          <w:kern w:val="0"/>
          <w:sz w:val="24"/>
          <w:highlight w:val="none"/>
        </w:rPr>
      </w:pPr>
      <w:r>
        <w:rPr>
          <w:rFonts w:hint="eastAsia" w:ascii="仿宋_GB2312" w:hAnsi="仿宋_GB2312" w:eastAsia="仿宋_GB2312" w:cs="仿宋_GB2312"/>
          <w:bCs/>
          <w:color w:val="auto"/>
          <w:kern w:val="0"/>
          <w:sz w:val="24"/>
          <w:highlight w:val="none"/>
        </w:rPr>
        <w:t>承包人任命</w:t>
      </w:r>
      <w:r>
        <w:rPr>
          <w:rFonts w:hint="eastAsia" w:ascii="仿宋_GB2312" w:hAnsi="仿宋_GB2312" w:eastAsia="仿宋_GB2312" w:cs="仿宋_GB2312"/>
          <w:bCs/>
          <w:color w:val="auto"/>
          <w:kern w:val="0"/>
          <w:sz w:val="24"/>
          <w:highlight w:val="none"/>
          <w:u w:val="single"/>
          <w:lang w:val="en-US" w:eastAsia="zh-CN"/>
        </w:rPr>
        <w:t xml:space="preserve">       </w:t>
      </w:r>
      <w:r>
        <w:rPr>
          <w:rFonts w:hint="eastAsia" w:ascii="仿宋_GB2312" w:hAnsi="仿宋_GB2312" w:eastAsia="仿宋_GB2312" w:cs="仿宋_GB2312"/>
          <w:bCs/>
          <w:color w:val="auto"/>
          <w:kern w:val="0"/>
          <w:sz w:val="24"/>
          <w:highlight w:val="none"/>
        </w:rPr>
        <w:t>为该项目负责人，全面负责该项目项目管理；任命</w:t>
      </w:r>
      <w:r>
        <w:rPr>
          <w:rFonts w:hint="eastAsia" w:ascii="仿宋_GB2312" w:hAnsi="仿宋_GB2312" w:eastAsia="仿宋_GB2312" w:cs="仿宋_GB2312"/>
          <w:bCs/>
          <w:color w:val="auto"/>
          <w:kern w:val="0"/>
          <w:sz w:val="24"/>
          <w:highlight w:val="none"/>
          <w:u w:val="single"/>
          <w:lang w:val="en-US" w:eastAsia="zh-CN"/>
        </w:rPr>
        <w:t xml:space="preserve">       </w:t>
      </w:r>
      <w:r>
        <w:rPr>
          <w:rFonts w:hint="eastAsia" w:ascii="仿宋_GB2312" w:hAnsi="仿宋_GB2312" w:eastAsia="仿宋_GB2312" w:cs="仿宋_GB2312"/>
          <w:bCs/>
          <w:color w:val="auto"/>
          <w:kern w:val="0"/>
          <w:sz w:val="24"/>
          <w:highlight w:val="none"/>
        </w:rPr>
        <w:t>为该项目安全员，负责该项目安全管理。</w:t>
      </w:r>
    </w:p>
    <w:p>
      <w:pPr>
        <w:pStyle w:val="59"/>
        <w:rPr>
          <w:color w:val="auto"/>
          <w:highlight w:val="none"/>
        </w:rPr>
      </w:pPr>
      <w:r>
        <w:rPr>
          <w:rFonts w:hint="eastAsia"/>
          <w:color w:val="auto"/>
          <w:highlight w:val="none"/>
        </w:rPr>
        <w:t>发包人的责任、权利及义务</w:t>
      </w:r>
    </w:p>
    <w:p>
      <w:pPr>
        <w:pStyle w:val="36"/>
        <w:numPr>
          <w:ilvl w:val="0"/>
          <w:numId w:val="13"/>
        </w:numPr>
        <w:spacing w:line="360" w:lineRule="auto"/>
        <w:ind w:firstLineChars="0"/>
        <w:rPr>
          <w:rFonts w:ascii="仿宋_GB2312" w:hAnsi="仿宋_GB2312" w:eastAsia="仿宋_GB2312" w:cs="仿宋_GB2312"/>
          <w:bCs/>
          <w:vanish/>
          <w:color w:val="auto"/>
          <w:sz w:val="24"/>
          <w:highlight w:val="none"/>
        </w:rPr>
      </w:pPr>
    </w:p>
    <w:p>
      <w:pPr>
        <w:pStyle w:val="36"/>
        <w:numPr>
          <w:ilvl w:val="0"/>
          <w:numId w:val="14"/>
        </w:numPr>
        <w:spacing w:line="360" w:lineRule="auto"/>
        <w:ind w:firstLineChars="0"/>
        <w:rPr>
          <w:rFonts w:ascii="仿宋_GB2312" w:hAnsi="仿宋_GB2312" w:eastAsia="仿宋_GB2312" w:cs="仿宋_GB2312"/>
          <w:bCs/>
          <w:vanish/>
          <w:color w:val="auto"/>
          <w:sz w:val="24"/>
          <w:highlight w:val="none"/>
        </w:rPr>
      </w:pPr>
    </w:p>
    <w:p>
      <w:pPr>
        <w:pStyle w:val="36"/>
        <w:numPr>
          <w:ilvl w:val="0"/>
          <w:numId w:val="14"/>
        </w:numPr>
        <w:spacing w:line="360" w:lineRule="auto"/>
        <w:ind w:firstLineChars="0"/>
        <w:rPr>
          <w:rFonts w:ascii="仿宋_GB2312" w:hAnsi="仿宋_GB2312" w:eastAsia="仿宋_GB2312" w:cs="仿宋_GB2312"/>
          <w:bCs/>
          <w:vanish/>
          <w:color w:val="auto"/>
          <w:sz w:val="24"/>
          <w:highlight w:val="none"/>
        </w:rPr>
      </w:pP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对承包人安全生产工作进行监督、指导、检查，对发现的问题及薄弱环节，督促承包人限期整改。</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有权制止承包人的违规作业，对于安全管理不到位、存在重大安全隐患或发生安全事故的，有权责令承包人停工整顿、限期退场，或单方解除工程委托、合同及相关协议（以下统称“合同”）。</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有权责令安全素质差、不服从安全生产指挥的承包人人员限期退场，承包人应当自接到发包人退场通知之日起1个日历天内进行人员更换。否则，发包人有权责令承包人停工直至解除合同。由此造成发包人损失的，承包人应予赔偿。</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对于承包人的违法违规、违约行为，有权追究承包人的法律责任。</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按合同约定支付安全生产措施费。</w:t>
      </w:r>
    </w:p>
    <w:p>
      <w:pPr>
        <w:pStyle w:val="59"/>
        <w:rPr>
          <w:color w:val="auto"/>
          <w:highlight w:val="none"/>
        </w:rPr>
      </w:pPr>
      <w:r>
        <w:rPr>
          <w:rFonts w:hint="eastAsia"/>
          <w:color w:val="auto"/>
          <w:highlight w:val="none"/>
        </w:rPr>
        <w:t>承包人的责任、权利及义务</w:t>
      </w:r>
    </w:p>
    <w:p>
      <w:pPr>
        <w:pStyle w:val="36"/>
        <w:numPr>
          <w:ilvl w:val="0"/>
          <w:numId w:val="13"/>
        </w:numPr>
        <w:spacing w:line="360" w:lineRule="auto"/>
        <w:ind w:firstLineChars="0"/>
        <w:rPr>
          <w:rFonts w:ascii="仿宋_GB2312" w:hAnsi="仿宋_GB2312" w:eastAsia="仿宋_GB2312" w:cs="仿宋_GB2312"/>
          <w:bCs/>
          <w:vanish/>
          <w:color w:val="auto"/>
          <w:sz w:val="24"/>
          <w:highlight w:val="none"/>
        </w:rPr>
      </w:pPr>
    </w:p>
    <w:p>
      <w:pPr>
        <w:pStyle w:val="36"/>
        <w:numPr>
          <w:ilvl w:val="0"/>
          <w:numId w:val="14"/>
        </w:numPr>
        <w:spacing w:line="360" w:lineRule="auto"/>
        <w:ind w:firstLineChars="0"/>
        <w:rPr>
          <w:rFonts w:ascii="仿宋_GB2312" w:hAnsi="仿宋_GB2312" w:eastAsia="仿宋_GB2312" w:cs="仿宋_GB2312"/>
          <w:bCs/>
          <w:vanish/>
          <w:color w:val="auto"/>
          <w:sz w:val="24"/>
          <w:highlight w:val="none"/>
        </w:rPr>
      </w:pP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依法对所施工的项目安全生产工作全面负责。</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应建立健全安全生产责任制度和安全教育培训制度，制定安全生产规章制度和操作规程，保证安全生产条件所需资金的投入，对项目进行定期、不定期和专项安全检查，检查中发现隐患或违规作业应及时停业整改。如有较大安全隐患必须及时向安全管理部门汇报，制定措施，按照“三定原则”落实（确定整改措施，确定整改时限，确定整改人员尤其是责任人）。</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认真贯彻执行国家、省、市有关安全生产法律、法规，建立安全生产领导小组，健全安全生产管理网络，按照行业标准及规范组织实施。随项目进度各项安全防护设施及时到位。</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必须在施工现场建立消防安全责任制度，确定消防安全责任人，制定用火、用电、使用易燃易爆材料等各项消防安全管理制度和操作规程，设置消防水源、配备消防设施和灭火器材，并在施工现场入口处设置明显标志。</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安排上岗的人员的身体素质、技术水平、安全意识均应符合要求。项目负责人、技术负责人、专职安全员、特殊工种人员均应具备相应资格，持证上岗。设置一名兼职安全员，负责参与安全生产活动，同步建立安全台帐。</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针对重大危险源，开展应急演练，并及时建立安全台帐。</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有限空间作业必须严格按照有限空间操作规范执行强制通风、检测及监护。</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应有保障施工等人员安全施工的、完整齐全的安全防护设施。购置的安全防护用品必须具有生产许可证、产品备案证，各项指标均应达到国家或行业的合格标准，严禁不合格防护用品进入施工现场。建立劳动防护用品储存、发放台帐，督促、教育进场人员按照使用规则佩戴、使用。</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应对进场人员进行安全技术交底和教育培训，开展安全检查和安全学习活动，保证从业人员具备安全生产知识，熟悉安全生产规章制度和安全操作规程，掌握本岗位的安全操作技能，未经安全生产教育培训合格的人员不得上岗作业。</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不得违规指挥，或强令工人冒险作业，也不得强迫工人长时间连续作业，做好劳动保护工作同时做好季节性的安全防护工作。</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对危险较大的作业场所和有关设施、设备要设置明显的安全警示标志。</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主动接受发包人各级、各类安全检查，并积极配合，不得拒绝、阻挠或拖延，并应在检查记录上签字。</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定期自查自纠安全隐患及违反安全管理规定的因素，保证项目安全顺利进行。</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使用的施工工具(包括电器用具)要符合安全要求,委托方检查中若发现有不符合安全要求的，有权禁止承包方使用;同时应做好防盗工作。</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油类、化学物品等易燃、易爆及有毒物品应指定专人管理, 不得露天存放,防止因泄漏或雨水冲刷污染环境。</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在施工过程中, 除考虑采用先进的施工设备、先进的施工方法外,特别应调整好(如:打桩、搅拌、灌浆等) 作业时间，防止和减轻粉尘、噪声、震动等对周围环境的污染和危害。在运输施工材料或土石、泥浆时,应采用防泄漏容器或加盖篷罩,防止粉尘飞扬或泄漏污染环境。</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施工过程中的废油、废水、固废不得随意排放，应集中妥善处理。</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事故发生后，应立即保护事故现场，采取有效措施抢救人员和财产；对事故现场进行拍照或录像；同时在半小时内向发包人报告事故详情，在两小时内向行政主管部门及当地政府报告事故详情。</w:t>
      </w:r>
    </w:p>
    <w:p>
      <w:pPr>
        <w:pStyle w:val="59"/>
        <w:rPr>
          <w:color w:val="auto"/>
          <w:highlight w:val="none"/>
        </w:rPr>
      </w:pPr>
      <w:r>
        <w:rPr>
          <w:rFonts w:hint="eastAsia"/>
          <w:color w:val="auto"/>
          <w:highlight w:val="none"/>
        </w:rPr>
        <w:t>违约责任</w:t>
      </w:r>
    </w:p>
    <w:p>
      <w:pPr>
        <w:pStyle w:val="36"/>
        <w:numPr>
          <w:ilvl w:val="0"/>
          <w:numId w:val="14"/>
        </w:numPr>
        <w:spacing w:line="360" w:lineRule="auto"/>
        <w:ind w:firstLineChars="0"/>
        <w:rPr>
          <w:rFonts w:ascii="仿宋_GB2312" w:hAnsi="仿宋_GB2312" w:eastAsia="仿宋_GB2312" w:cs="仿宋_GB2312"/>
          <w:bCs/>
          <w:vanish/>
          <w:color w:val="auto"/>
          <w:sz w:val="24"/>
          <w:highlight w:val="none"/>
        </w:rPr>
      </w:pP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承包人未尽到安全责任而发生安全事故的，一切责任由承包人承担，给发包人造成损失的，承包人应予赔偿。</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发生安全事故重伤一人以上（含一人）的扣除承包人合同金额的5%／次／人，发生安全事故死亡一人以上（含一人）的扣除承包人合同金额10%／次／人，且任一情形下发包人均有权单方解除合同。</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承包人安排未持证人员从事特种作业的，发包人有权责令无证照人员立即退场，并按500元/人次对承包人扣除。超过3人次的，发包人有权单方解除合同。承包人应按合同暂定价的1%向发包人支付违约金。</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承包人进场人员未按要求佩戴安全防护用品的，发包人有权要求整改，并按200元／人次对承包人扣除。超过3人次的，发包人有权单方解除合同。承包人应按合同暂定价的1%向发包人支付违约金。</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承包人未按要求设置安全警示标志或对施工场所进行围蔽的，发包人有权要求整改，并按500元／次对承包人扣除 。超过3次的，发包人有权单方解除合同。承包人应按合同暂定价的1%向发包人支付违约金。</w:t>
      </w:r>
    </w:p>
    <w:p>
      <w:pPr>
        <w:pStyle w:val="36"/>
        <w:numPr>
          <w:ilvl w:val="1"/>
          <w:numId w:val="14"/>
        </w:numPr>
        <w:spacing w:line="360" w:lineRule="auto"/>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sz w:val="24"/>
          <w:highlight w:val="none"/>
        </w:rPr>
        <w:t>项目负责人如不到位，每发生一次则扣除合同暂定价的2%。技术负责人、安全员、施工员未到岗履职，记违约一次，发包人有权每次以每人次1000元进行扣除违约金。超过3次的，发包人有权要求承包人更换相应人员且更换人员的资质不得低于前者。</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除上述约定外，承包人未按约定履行相应义务的，每违反一次，发包人有权按合同暂定价的1%进行扣除或要求承包人支付违约金。经发包人要求整改后不予整改或未按要求整改，或累计违反次数达3次的，发包人有权单方解除合同，承包人应按合同暂定价的2%向发包人支付违约金。</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如上述约定的违约金不能弥补因承包人违约而给发包人造成的损失的，发包人有权进一步要求承包人赔偿。</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上述提及的扣除款、违约金等，发包人有权在应付款、履约保证金（如有）中优先扣除。</w:t>
      </w:r>
    </w:p>
    <w:p>
      <w:pPr>
        <w:pStyle w:val="60"/>
        <w:numPr>
          <w:ilvl w:val="1"/>
          <w:numId w:val="14"/>
        </w:numPr>
        <w:jc w:val="both"/>
        <w:rPr>
          <w:rFonts w:hAnsi="仿宋_GB2312" w:cs="仿宋_GB2312"/>
          <w:bCs/>
          <w:color w:val="auto"/>
          <w:highlight w:val="none"/>
        </w:rPr>
      </w:pPr>
      <w:r>
        <w:rPr>
          <w:rFonts w:hint="eastAsia" w:hAnsi="仿宋_GB2312" w:cs="仿宋_GB2312"/>
          <w:bCs/>
          <w:color w:val="auto"/>
          <w:highlight w:val="none"/>
        </w:rPr>
        <w:t>本协议作为主合同组成部分，与主合同具有同等法律效力。本协议有效期为双方盖章之日起至项目完成(验收合格)时。</w:t>
      </w:r>
    </w:p>
    <w:p>
      <w:pPr>
        <w:widowControl/>
        <w:spacing w:line="600" w:lineRule="exact"/>
        <w:jc w:val="left"/>
        <w:rPr>
          <w:rFonts w:ascii="仿宋_GB2312" w:hAnsi="仿宋_GB2312" w:eastAsia="仿宋_GB2312" w:cs="仿宋_GB2312"/>
          <w:bCs/>
          <w:color w:val="auto"/>
          <w:kern w:val="0"/>
          <w:szCs w:val="21"/>
          <w:highlight w:val="none"/>
        </w:rPr>
      </w:pPr>
    </w:p>
    <w:p>
      <w:pPr>
        <w:widowControl/>
        <w:spacing w:line="600" w:lineRule="exact"/>
        <w:jc w:val="left"/>
        <w:rPr>
          <w:rFonts w:ascii="仿宋_GB2312" w:hAnsi="仿宋_GB2312" w:eastAsia="仿宋_GB2312" w:cs="仿宋_GB2312"/>
          <w:bCs/>
          <w:color w:val="auto"/>
          <w:kern w:val="0"/>
          <w:szCs w:val="21"/>
          <w:highlight w:val="none"/>
        </w:rPr>
      </w:pPr>
    </w:p>
    <w:tbl>
      <w:tblPr>
        <w:tblStyle w:val="22"/>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6"/>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4536" w:type="dxa"/>
          </w:tcPr>
          <w:p>
            <w:pPr>
              <w:widowControl/>
              <w:spacing w:line="360" w:lineRule="auto"/>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发包人：（盖章）                    </w:t>
            </w:r>
          </w:p>
        </w:tc>
        <w:tc>
          <w:tcPr>
            <w:tcW w:w="4531" w:type="dxa"/>
          </w:tcPr>
          <w:p>
            <w:pPr>
              <w:widowControl/>
              <w:spacing w:line="360" w:lineRule="auto"/>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承包人：（盖章）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4536" w:type="dxa"/>
          </w:tcPr>
          <w:p>
            <w:pPr>
              <w:widowControl/>
              <w:spacing w:line="360" w:lineRule="auto"/>
              <w:jc w:val="left"/>
              <w:rPr>
                <w:rFonts w:hint="eastAsia" w:ascii="仿宋_GB2312" w:hAnsi="仿宋_GB2312" w:eastAsia="仿宋_GB2312" w:cs="仿宋_GB2312"/>
                <w:bCs/>
                <w:color w:val="auto"/>
                <w:sz w:val="24"/>
                <w:highlight w:val="none"/>
                <w:lang w:eastAsia="zh-CN"/>
              </w:rPr>
            </w:pPr>
            <w:bookmarkStart w:id="7" w:name="_Hlk65070262"/>
            <w:r>
              <w:rPr>
                <w:rFonts w:hint="eastAsia" w:ascii="仿宋_GB2312" w:hAnsi="仿宋_GB2312" w:eastAsia="仿宋_GB2312" w:cs="仿宋_GB2312"/>
                <w:bCs/>
                <w:color w:val="auto"/>
                <w:sz w:val="24"/>
                <w:highlight w:val="none"/>
              </w:rPr>
              <w:t>签订日期：</w:t>
            </w:r>
            <w:r>
              <w:rPr>
                <w:rFonts w:hint="eastAsia" w:ascii="仿宋_GB2312" w:hAnsi="仿宋_GB2312" w:eastAsia="仿宋_GB2312" w:cs="仿宋_GB2312"/>
                <w:bCs/>
                <w:color w:val="auto"/>
                <w:sz w:val="24"/>
                <w:highlight w:val="none"/>
                <w:lang w:val="en-US" w:eastAsia="zh-CN"/>
              </w:rPr>
              <w:t xml:space="preserve"> </w:t>
            </w:r>
          </w:p>
        </w:tc>
        <w:tc>
          <w:tcPr>
            <w:tcW w:w="4531" w:type="dxa"/>
          </w:tcPr>
          <w:p>
            <w:pPr>
              <w:widowControl/>
              <w:spacing w:line="360" w:lineRule="auto"/>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签订日期：</w:t>
            </w:r>
            <w:r>
              <w:rPr>
                <w:rFonts w:hint="eastAsia" w:ascii="仿宋_GB2312" w:hAnsi="仿宋_GB2312" w:eastAsia="仿宋_GB2312" w:cs="仿宋_GB2312"/>
                <w:bCs/>
                <w:color w:val="auto"/>
                <w:sz w:val="24"/>
                <w:highlight w:val="none"/>
                <w:lang w:val="en-US" w:eastAsia="zh-CN"/>
              </w:rPr>
              <w:t xml:space="preserve"> </w:t>
            </w:r>
          </w:p>
          <w:bookmarkEnd w:id="7"/>
        </w:tc>
      </w:tr>
    </w:tbl>
    <w:p>
      <w:pPr>
        <w:ind w:firstLine="420" w:firstLineChars="200"/>
        <w:rPr>
          <w:rFonts w:ascii="仿宋_GB2312" w:hAnsi="仿宋_GB2312" w:eastAsia="仿宋_GB2312" w:cs="仿宋_GB2312"/>
          <w:bCs/>
          <w:color w:val="auto"/>
          <w:kern w:val="0"/>
          <w:szCs w:val="21"/>
          <w:highlight w:val="none"/>
        </w:rPr>
      </w:pPr>
    </w:p>
    <w:p>
      <w:pPr>
        <w:rPr>
          <w:rFonts w:ascii="仿宋_GB2312" w:hAnsi="仿宋_GB2312" w:eastAsia="仿宋_GB2312" w:cs="仿宋_GB2312"/>
          <w:bCs/>
          <w:color w:val="auto"/>
          <w:kern w:val="0"/>
          <w:szCs w:val="21"/>
          <w:highlight w:val="none"/>
        </w:rPr>
      </w:pPr>
    </w:p>
    <w:p>
      <w:pPr>
        <w:widowControl/>
        <w:jc w:val="left"/>
        <w:rPr>
          <w:rFonts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br w:type="page"/>
      </w:r>
    </w:p>
    <w:p>
      <w:pPr>
        <w:pStyle w:val="2"/>
        <w:spacing w:line="240" w:lineRule="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8"/>
          <w:szCs w:val="28"/>
          <w:highlight w:val="none"/>
        </w:rPr>
        <w:t>附件</w:t>
      </w:r>
      <w:bookmarkEnd w:id="6"/>
      <w:r>
        <w:rPr>
          <w:rFonts w:hint="eastAsia" w:ascii="仿宋_GB2312" w:hAnsi="仿宋_GB2312" w:eastAsia="仿宋_GB2312" w:cs="仿宋_GB2312"/>
          <w:b w:val="0"/>
          <w:color w:val="auto"/>
          <w:sz w:val="28"/>
          <w:szCs w:val="28"/>
          <w:highlight w:val="none"/>
          <w:lang w:val="en-US" w:eastAsia="zh-CN"/>
        </w:rPr>
        <w:t>4</w:t>
      </w:r>
    </w:p>
    <w:p>
      <w:pPr>
        <w:spacing w:after="120" w:afterLines="50"/>
        <w:ind w:left="119"/>
        <w:jc w:val="center"/>
        <w:rPr>
          <w:rFonts w:ascii="仿宋_GB2312" w:hAnsi="仿宋_GB2312" w:eastAsia="仿宋_GB2312" w:cs="仿宋_GB2312"/>
          <w:bCs/>
          <w:color w:val="auto"/>
          <w:sz w:val="32"/>
          <w:szCs w:val="32"/>
          <w:highlight w:val="none"/>
        </w:rPr>
      </w:pPr>
      <w:bookmarkStart w:id="8" w:name="_Hlk526080546"/>
      <w:r>
        <w:rPr>
          <w:rFonts w:hint="eastAsia" w:ascii="仿宋_GB2312" w:hAnsi="仿宋_GB2312" w:eastAsia="仿宋_GB2312" w:cs="仿宋_GB2312"/>
          <w:bCs/>
          <w:color w:val="auto"/>
          <w:sz w:val="32"/>
          <w:szCs w:val="32"/>
          <w:highlight w:val="none"/>
        </w:rPr>
        <w:t>工程质量保修书</w:t>
      </w:r>
      <w:bookmarkEnd w:id="8"/>
    </w:p>
    <w:p>
      <w:pPr>
        <w:spacing w:line="30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发包人（全称）：</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 xml:space="preserve">                          </w:t>
      </w:r>
    </w:p>
    <w:p>
      <w:pPr>
        <w:spacing w:line="300" w:lineRule="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承包人（全称）：</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 xml:space="preserve"> </w:t>
      </w:r>
    </w:p>
    <w:p>
      <w:pPr>
        <w:ind w:left="119" w:firstLine="480" w:firstLineChars="200"/>
        <w:rPr>
          <w:rFonts w:ascii="仿宋_GB2312" w:hAnsi="仿宋_GB2312" w:eastAsia="仿宋_GB2312" w:cs="仿宋_GB2312"/>
          <w:bCs/>
          <w:color w:val="auto"/>
          <w:sz w:val="24"/>
          <w:highlight w:val="none"/>
        </w:rPr>
      </w:pPr>
    </w:p>
    <w:p>
      <w:pPr>
        <w:ind w:left="119"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为保证工程在合理使用期限内正常使用，发包人、承包人协商一致签订工程质量保修书。承包人在缺陷责任期和质量保修期内按照有关管理规定及双方约定承担工程质量保修责任。</w:t>
      </w:r>
    </w:p>
    <w:p>
      <w:pPr>
        <w:pStyle w:val="59"/>
        <w:numPr>
          <w:ilvl w:val="0"/>
          <w:numId w:val="15"/>
        </w:numPr>
        <w:rPr>
          <w:color w:val="auto"/>
          <w:highlight w:val="none"/>
        </w:rPr>
      </w:pPr>
      <w:r>
        <w:rPr>
          <w:rFonts w:hint="eastAsia"/>
          <w:color w:val="auto"/>
          <w:highlight w:val="none"/>
        </w:rPr>
        <w:t>工程质量保修范围和内容</w:t>
      </w:r>
    </w:p>
    <w:p>
      <w:pPr>
        <w:ind w:left="119"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工程质量保修范围：具体保修的内容，双方约定如下：</w:t>
      </w:r>
      <w:r>
        <w:rPr>
          <w:rFonts w:hint="eastAsia" w:ascii="仿宋_GB2312" w:hAnsi="仿宋_GB2312" w:eastAsia="仿宋_GB2312" w:cs="仿宋_GB2312"/>
          <w:bCs/>
          <w:color w:val="auto"/>
          <w:sz w:val="24"/>
          <w:highlight w:val="none"/>
          <w:u w:val="single"/>
        </w:rPr>
        <w:t>符合国家有关质量验收标准及本项目的技术规定和数据标准。</w:t>
      </w:r>
    </w:p>
    <w:p>
      <w:pPr>
        <w:pStyle w:val="59"/>
        <w:rPr>
          <w:color w:val="auto"/>
          <w:highlight w:val="none"/>
        </w:rPr>
      </w:pPr>
      <w:r>
        <w:rPr>
          <w:rFonts w:hint="eastAsia"/>
          <w:color w:val="auto"/>
          <w:highlight w:val="none"/>
        </w:rPr>
        <w:t>缺陷责任与保修</w:t>
      </w:r>
    </w:p>
    <w:p>
      <w:pPr>
        <w:pStyle w:val="60"/>
        <w:rPr>
          <w:color w:val="auto"/>
          <w:highlight w:val="none"/>
        </w:rPr>
      </w:pPr>
      <w:r>
        <w:rPr>
          <w:rFonts w:hint="eastAsia"/>
          <w:color w:val="auto"/>
          <w:highlight w:val="none"/>
        </w:rPr>
        <w:t>缺陷责任期和保修期均从工程竣工验收合格之日算起。分单项竣工验收的工程，按单项工程分别计算。</w:t>
      </w:r>
    </w:p>
    <w:p>
      <w:pPr>
        <w:pStyle w:val="60"/>
        <w:rPr>
          <w:color w:val="auto"/>
          <w:highlight w:val="none"/>
        </w:rPr>
      </w:pPr>
      <w:r>
        <w:rPr>
          <w:rFonts w:hint="eastAsia"/>
          <w:color w:val="auto"/>
          <w:highlight w:val="none"/>
        </w:rPr>
        <w:t>双方协商一致，该项目工程缺陷责任期为1年；缺陷责任期内，由承包人原因造成的缺陷，承包人应负责维修，并承担鉴定及维修费用。如承包人不维修也不承担费用，发包人可按合同约定从工程质量保证金中扣除，费用超出保证金额的，发包人可按合同约定向承包人进行索赔。承包人维修并承担相应费用后，不免除对工程的损失赔偿责任。由他人原因造成的缺陷，发包人负责组织维修，承包人不承担费用，且发包人不得从保证金中扣除费用。</w:t>
      </w:r>
    </w:p>
    <w:p>
      <w:pPr>
        <w:pStyle w:val="60"/>
        <w:rPr>
          <w:color w:val="auto"/>
          <w:highlight w:val="none"/>
        </w:rPr>
      </w:pPr>
      <w:r>
        <w:rPr>
          <w:rFonts w:hint="eastAsia"/>
          <w:color w:val="auto"/>
          <w:highlight w:val="none"/>
        </w:rPr>
        <w:t>双方根据国家有关规定，结合具体工程约定本工程的质量保修期如下：</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（1）地基基础工程、主体结构工程为设计文件规定的合理使用年限；</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（2）屋面防水工程、有防水要求的卫生间、房间和外墙面的防渗漏，为5年；</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（3）供热与供冷系统，为2个采暖期、供冷期；</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（4）电气管线、给排水管道、设备安装和装修工程，为2年；</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（5）交通（标志标线等）工程为2年；</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（6）绿化工程保养期为1年；</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（7）路桥工程，为2年；</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（8）排水工程，为1年；</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（9）照明工程，为2年；</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（10）隧道工程，为2年；</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（11）沥青工程，为1年。</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12）其他项目的保修期限由双方另行约定：工程竣工验收合格后进入绿化管养期承包人同时提交符合规范、管养级别的管养书；绿化管养期为1年；管养期满最终验收合格移交发包人。因发包人原因导致超期管养，管养费用由发包人承担。</w:t>
      </w:r>
    </w:p>
    <w:p>
      <w:pPr>
        <w:pStyle w:val="59"/>
        <w:rPr>
          <w:color w:val="auto"/>
          <w:highlight w:val="none"/>
        </w:rPr>
      </w:pPr>
      <w:r>
        <w:rPr>
          <w:rFonts w:hint="eastAsia"/>
          <w:color w:val="auto"/>
          <w:highlight w:val="none"/>
        </w:rPr>
        <w:t>工程保修责任</w:t>
      </w:r>
    </w:p>
    <w:p>
      <w:pPr>
        <w:pStyle w:val="60"/>
        <w:rPr>
          <w:color w:val="auto"/>
          <w:highlight w:val="none"/>
        </w:rPr>
      </w:pPr>
      <w:r>
        <w:rPr>
          <w:rFonts w:hint="eastAsia"/>
          <w:color w:val="auto"/>
          <w:highlight w:val="none"/>
        </w:rPr>
        <w:t>属于保修范围、内容的项目，承包人应当在接到保修通知之日起7天内派人修理。承包人不在约定期限内派人修理，发包人可以委托其他人员修理，保修费用从工程质量保证金内扣除。</w:t>
      </w:r>
    </w:p>
    <w:p>
      <w:pPr>
        <w:pStyle w:val="60"/>
        <w:rPr>
          <w:color w:val="auto"/>
          <w:highlight w:val="none"/>
        </w:rPr>
      </w:pPr>
      <w:r>
        <w:rPr>
          <w:rFonts w:hint="eastAsia"/>
          <w:color w:val="auto"/>
          <w:highlight w:val="none"/>
        </w:rPr>
        <w:t>发生紧急抢修事故的（如上水跑水、暖气漏水漏气、燃气漏气等），承包人在接到事故通知后，应当立即到达事故现场抢修。非承包人设计或施工质量引起的事故，抢修费用由发包人承担。</w:t>
      </w:r>
    </w:p>
    <w:p>
      <w:pPr>
        <w:pStyle w:val="60"/>
        <w:rPr>
          <w:color w:val="auto"/>
          <w:highlight w:val="none"/>
        </w:rPr>
      </w:pPr>
      <w:r>
        <w:rPr>
          <w:rFonts w:hint="eastAsia"/>
          <w:color w:val="auto"/>
          <w:highlight w:val="none"/>
        </w:rPr>
        <w:t>在国家规定的工程合理使用期限内，承包人确保地基基础工程和主体结构的质量。因承包人原因致使工程在合理使用期限内造成人身和财产损害的，承包人应承担损害赔偿责任。</w:t>
      </w:r>
    </w:p>
    <w:p>
      <w:pPr>
        <w:pStyle w:val="60"/>
        <w:rPr>
          <w:color w:val="auto"/>
          <w:highlight w:val="none"/>
        </w:rPr>
      </w:pPr>
      <w:r>
        <w:rPr>
          <w:rFonts w:hint="eastAsia"/>
          <w:color w:val="auto"/>
          <w:highlight w:val="none"/>
        </w:rPr>
        <w:t xml:space="preserve">工程保修完成后，由发包人组织验收。   </w:t>
      </w:r>
    </w:p>
    <w:p>
      <w:pPr>
        <w:pStyle w:val="59"/>
        <w:rPr>
          <w:color w:val="auto"/>
          <w:highlight w:val="none"/>
        </w:rPr>
      </w:pPr>
      <w:r>
        <w:rPr>
          <w:rFonts w:hint="eastAsia"/>
          <w:color w:val="auto"/>
          <w:highlight w:val="none"/>
        </w:rPr>
        <w:t>质量保证金的支付</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工程质量保证金一般不超过结算价款的3％，本工程约定的工程质量保证金为结算价款的3％。 </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本工程质量保证金支付方式按合同约定。质量保证金银行利率为</w:t>
      </w:r>
      <w:r>
        <w:rPr>
          <w:rFonts w:hint="eastAsia" w:ascii="仿宋_GB2312" w:hAnsi="仿宋_GB2312" w:eastAsia="仿宋_GB2312" w:cs="仿宋_GB2312"/>
          <w:bCs/>
          <w:color w:val="auto"/>
          <w:sz w:val="24"/>
          <w:highlight w:val="none"/>
          <w:u w:val="single"/>
        </w:rPr>
        <w:t xml:space="preserve"> 零 </w:t>
      </w:r>
      <w:r>
        <w:rPr>
          <w:rFonts w:hint="eastAsia" w:ascii="仿宋_GB2312" w:hAnsi="仿宋_GB2312" w:eastAsia="仿宋_GB2312" w:cs="仿宋_GB2312"/>
          <w:bCs/>
          <w:color w:val="auto"/>
          <w:sz w:val="24"/>
          <w:highlight w:val="none"/>
        </w:rPr>
        <w:t>。</w:t>
      </w:r>
    </w:p>
    <w:p>
      <w:pPr>
        <w:pStyle w:val="59"/>
        <w:rPr>
          <w:color w:val="auto"/>
          <w:highlight w:val="none"/>
        </w:rPr>
      </w:pPr>
      <w:r>
        <w:rPr>
          <w:rFonts w:hint="eastAsia"/>
          <w:color w:val="auto"/>
          <w:highlight w:val="none"/>
        </w:rPr>
        <w:t>质量保证金的返还</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发包人在单项工程竣工验收合格之日起计一年后无息返还保证金的50%；在最后一项修复工程的缺陷责任期满后28天内，将剩余保证金返还承包人（无息）。</w:t>
      </w:r>
    </w:p>
    <w:p>
      <w:pPr>
        <w:pStyle w:val="59"/>
        <w:rPr>
          <w:color w:val="auto"/>
          <w:highlight w:val="none"/>
        </w:rPr>
      </w:pPr>
      <w:r>
        <w:rPr>
          <w:rFonts w:hint="eastAsia"/>
          <w:color w:val="auto"/>
          <w:highlight w:val="none"/>
        </w:rPr>
        <w:t>其他</w:t>
      </w:r>
    </w:p>
    <w:p>
      <w:pPr>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本工程质量保修书作为总承包合同附件，由发包人、承包人双方共同签署。</w:t>
      </w:r>
    </w:p>
    <w:p>
      <w:pPr>
        <w:spacing w:line="360" w:lineRule="exact"/>
        <w:ind w:left="119"/>
        <w:rPr>
          <w:rFonts w:ascii="仿宋_GB2312" w:hAnsi="仿宋_GB2312" w:eastAsia="仿宋_GB2312" w:cs="仿宋_GB2312"/>
          <w:bCs/>
          <w:color w:val="auto"/>
          <w:sz w:val="24"/>
          <w:highlight w:val="none"/>
        </w:rPr>
      </w:pPr>
    </w:p>
    <w:p>
      <w:pPr>
        <w:spacing w:line="360" w:lineRule="exact"/>
        <w:ind w:left="119"/>
        <w:rPr>
          <w:rFonts w:ascii="仿宋_GB2312" w:hAnsi="仿宋_GB2312" w:eastAsia="仿宋_GB2312" w:cs="仿宋_GB2312"/>
          <w:bCs/>
          <w:color w:val="auto"/>
          <w:sz w:val="24"/>
          <w:highlight w:val="none"/>
        </w:rPr>
      </w:pPr>
    </w:p>
    <w:p>
      <w:pPr>
        <w:spacing w:line="360" w:lineRule="exact"/>
        <w:ind w:left="119"/>
        <w:rPr>
          <w:rFonts w:ascii="仿宋_GB2312" w:hAnsi="仿宋_GB2312" w:eastAsia="仿宋_GB2312" w:cs="仿宋_GB2312"/>
          <w:bCs/>
          <w:color w:val="auto"/>
          <w:sz w:val="24"/>
          <w:highlight w:val="none"/>
        </w:rPr>
      </w:pPr>
    </w:p>
    <w:p>
      <w:pPr>
        <w:spacing w:line="360" w:lineRule="exact"/>
        <w:ind w:left="119"/>
        <w:rPr>
          <w:rFonts w:ascii="仿宋_GB2312" w:hAnsi="仿宋_GB2312" w:eastAsia="仿宋_GB2312" w:cs="仿宋_GB2312"/>
          <w:bCs/>
          <w:color w:val="auto"/>
          <w:sz w:val="24"/>
          <w:highlight w:val="none"/>
        </w:rPr>
      </w:pPr>
    </w:p>
    <w:p>
      <w:pPr>
        <w:spacing w:line="360" w:lineRule="exact"/>
        <w:ind w:left="119"/>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发包人：                             承包人：</w:t>
      </w:r>
    </w:p>
    <w:p>
      <w:pPr>
        <w:spacing w:line="360" w:lineRule="exact"/>
        <w:ind w:left="119"/>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                                </w:t>
      </w:r>
    </w:p>
    <w:p>
      <w:pPr>
        <w:spacing w:line="360" w:lineRule="exact"/>
        <w:ind w:left="119"/>
        <w:rPr>
          <w:rFonts w:ascii="仿宋_GB2312" w:hAnsi="仿宋_GB2312" w:eastAsia="仿宋_GB2312" w:cs="仿宋_GB2312"/>
          <w:bCs/>
          <w:color w:val="auto"/>
          <w:sz w:val="24"/>
          <w:highlight w:val="none"/>
        </w:rPr>
      </w:pPr>
    </w:p>
    <w:p>
      <w:pPr>
        <w:pStyle w:val="14"/>
        <w:spacing w:line="360" w:lineRule="exact"/>
        <w:ind w:firstLine="120" w:firstLineChars="5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szCs w:val="24"/>
          <w:highlight w:val="none"/>
        </w:rPr>
        <w:t>签订日期：</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 xml:space="preserve">            </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签订日期：</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8"/>
          <w:szCs w:val="28"/>
          <w:highlight w:val="none"/>
        </w:rPr>
        <w:br w:type="page"/>
      </w:r>
    </w:p>
    <w:p>
      <w:pPr>
        <w:snapToGrid w:val="0"/>
        <w:spacing w:line="480" w:lineRule="exact"/>
        <w:jc w:val="left"/>
        <w:rPr>
          <w:rFonts w:hint="eastAsia" w:ascii="仿宋_GB2312" w:hAnsi="仿宋_GB2312" w:eastAsia="仿宋_GB2312" w:cs="仿宋_GB2312"/>
          <w:bCs/>
          <w:color w:val="auto"/>
          <w:w w:val="97"/>
          <w:sz w:val="28"/>
          <w:szCs w:val="28"/>
          <w:highlight w:val="none"/>
          <w:lang w:eastAsia="zh-CN"/>
        </w:rPr>
      </w:pPr>
      <w:bookmarkStart w:id="9" w:name="_Toc528663602"/>
      <w:r>
        <w:rPr>
          <w:rFonts w:hint="eastAsia" w:ascii="仿宋_GB2312" w:hAnsi="仿宋_GB2312" w:eastAsia="仿宋_GB2312" w:cs="仿宋_GB2312"/>
          <w:bCs/>
          <w:color w:val="auto"/>
          <w:w w:val="97"/>
          <w:sz w:val="28"/>
          <w:szCs w:val="28"/>
          <w:highlight w:val="none"/>
        </w:rPr>
        <w:t>附件</w:t>
      </w:r>
      <w:r>
        <w:rPr>
          <w:rFonts w:hint="eastAsia" w:ascii="仿宋_GB2312" w:hAnsi="仿宋_GB2312" w:eastAsia="仿宋_GB2312" w:cs="仿宋_GB2312"/>
          <w:bCs/>
          <w:color w:val="auto"/>
          <w:w w:val="97"/>
          <w:sz w:val="28"/>
          <w:szCs w:val="28"/>
          <w:highlight w:val="none"/>
          <w:lang w:val="en-US" w:eastAsia="zh-CN"/>
        </w:rPr>
        <w:t>5</w:t>
      </w:r>
    </w:p>
    <w:p>
      <w:pPr>
        <w:tabs>
          <w:tab w:val="left" w:pos="709"/>
        </w:tabs>
        <w:jc w:val="center"/>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廉洁责任书</w:t>
      </w:r>
    </w:p>
    <w:p>
      <w:pPr>
        <w:widowControl/>
        <w:spacing w:line="500" w:lineRule="exact"/>
        <w:jc w:val="left"/>
        <w:rPr>
          <w:rFonts w:ascii="仿宋_GB2312" w:hAnsi="仿宋_GB2312" w:eastAsia="仿宋_GB2312" w:cs="仿宋_GB2312"/>
          <w:bCs/>
          <w:color w:val="auto"/>
          <w:sz w:val="32"/>
          <w:szCs w:val="32"/>
          <w:highlight w:val="none"/>
        </w:rPr>
      </w:pPr>
    </w:p>
    <w:p>
      <w:pPr>
        <w:widowControl/>
        <w:spacing w:line="360" w:lineRule="auto"/>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发包人：</w:t>
      </w:r>
      <w:r>
        <w:rPr>
          <w:rFonts w:hint="eastAsia" w:ascii="仿宋_GB2312" w:hAnsi="仿宋_GB2312" w:eastAsia="仿宋_GB2312" w:cs="仿宋_GB2312"/>
          <w:bCs/>
          <w:color w:val="auto"/>
          <w:sz w:val="24"/>
          <w:highlight w:val="none"/>
          <w:u w:val="single"/>
          <w:lang w:val="en-US" w:eastAsia="zh-CN"/>
        </w:rPr>
        <w:t xml:space="preserve">                      </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 xml:space="preserve">              </w:t>
      </w:r>
    </w:p>
    <w:p>
      <w:pPr>
        <w:widowControl/>
        <w:spacing w:line="360" w:lineRule="auto"/>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承包人：</w:t>
      </w:r>
      <w:r>
        <w:rPr>
          <w:rFonts w:hint="eastAsia" w:ascii="仿宋_GB2312" w:hAnsi="仿宋_GB2312" w:eastAsia="仿宋_GB2312" w:cs="仿宋_GB2312"/>
          <w:bCs/>
          <w:color w:val="auto"/>
          <w:sz w:val="24"/>
          <w:highlight w:val="none"/>
          <w:u w:val="single"/>
          <w:lang w:val="en-US" w:eastAsia="zh-CN"/>
        </w:rPr>
        <w:t xml:space="preserve">                        </w:t>
      </w:r>
      <w:r>
        <w:rPr>
          <w:rFonts w:hint="eastAsia" w:ascii="仿宋_GB2312" w:hAnsi="仿宋_GB2312" w:eastAsia="仿宋_GB2312" w:cs="仿宋_GB2312"/>
          <w:bCs/>
          <w:color w:val="auto"/>
          <w:sz w:val="24"/>
          <w:highlight w:val="none"/>
          <w:u w:val="single"/>
        </w:rPr>
        <w:t xml:space="preserve"> </w:t>
      </w:r>
    </w:p>
    <w:p>
      <w:pPr>
        <w:pStyle w:val="47"/>
        <w:ind w:firstLine="480"/>
        <w:rPr>
          <w:rFonts w:ascii="仿宋_GB2312" w:hAnsi="仿宋_GB2312" w:cs="仿宋_GB2312"/>
          <w:bCs/>
          <w:color w:val="auto"/>
          <w:highlight w:val="none"/>
        </w:rPr>
      </w:pPr>
      <w:r>
        <w:rPr>
          <w:rFonts w:hint="eastAsia" w:ascii="仿宋_GB2312" w:hAnsi="仿宋_GB2312" w:cs="仿宋_GB2312"/>
          <w:bCs/>
          <w:color w:val="auto"/>
          <w:highlight w:val="none"/>
        </w:rPr>
        <w:t>为加强廉洁建设，防止主合同履约过程中发生各种谋取不正当利益的违法违纪行为，发包人、承包人双方经共同协商，在双方签订的</w:t>
      </w:r>
      <w:sdt>
        <w:sdtPr>
          <w:rPr>
            <w:rFonts w:hint="eastAsia" w:ascii="仿宋_GB2312" w:hAnsi="仿宋_GB2312" w:cs="仿宋_GB2312"/>
            <w:bCs/>
            <w:color w:val="auto"/>
            <w:highlight w:val="none"/>
            <w:u w:val="single" w:color="FF0000"/>
          </w:rPr>
          <w:id w:val="1083260882"/>
          <w:placeholder>
            <w:docPart w:val="{ba4ee37f-18b9-4136-9072-32c4c2ff921b}"/>
          </w:placeholder>
        </w:sdtPr>
        <w:sdtEndPr>
          <w:rPr>
            <w:rFonts w:hint="eastAsia" w:ascii="仿宋_GB2312" w:hAnsi="仿宋_GB2312" w:cs="仿宋_GB2312"/>
            <w:bCs/>
            <w:color w:val="auto"/>
            <w:highlight w:val="none"/>
            <w:u w:val="single" w:color="FF0000"/>
          </w:rPr>
        </w:sdtEndPr>
        <w:sdtContent>
          <w:r>
            <w:rPr>
              <w:rFonts w:hint="eastAsia" w:ascii="仿宋_GB2312" w:hAnsi="仿宋_GB2312" w:cs="仿宋_GB2312"/>
              <w:bCs/>
              <w:color w:val="auto"/>
              <w:highlight w:val="none"/>
              <w:u w:val="single"/>
              <w:lang w:val="en-US" w:eastAsia="zh-CN"/>
            </w:rPr>
            <w:t xml:space="preserve">                               </w:t>
          </w:r>
        </w:sdtContent>
      </w:sdt>
      <w:r>
        <w:rPr>
          <w:rFonts w:hint="eastAsia" w:ascii="仿宋_GB2312" w:hAnsi="仿宋_GB2312" w:cs="仿宋_GB2312"/>
          <w:bCs/>
          <w:color w:val="auto"/>
          <w:highlight w:val="none"/>
        </w:rPr>
        <w:t>项目（以下简称“本项目”）合同（合同编号：</w:t>
      </w:r>
      <w:r>
        <w:rPr>
          <w:rFonts w:hint="eastAsia" w:ascii="仿宋_GB2312" w:hAnsi="仿宋_GB2312" w:cs="仿宋_GB2312"/>
          <w:bCs/>
          <w:color w:val="auto"/>
          <w:highlight w:val="none"/>
          <w:u w:val="single"/>
          <w:lang w:val="en-US" w:eastAsia="zh-CN"/>
        </w:rPr>
        <w:t xml:space="preserve">                     </w:t>
      </w:r>
      <w:r>
        <w:rPr>
          <w:rFonts w:hint="eastAsia" w:ascii="仿宋_GB2312" w:hAnsi="仿宋_GB2312" w:cs="仿宋_GB2312"/>
          <w:bCs/>
          <w:color w:val="auto"/>
          <w:highlight w:val="none"/>
        </w:rPr>
        <w:t>，以下简称“主合同”）约定条款的基础上，根据国家有关法律法规和廉政建设的有关规定，特订立本廉洁责任书，以资共同遵守。</w:t>
      </w:r>
    </w:p>
    <w:p>
      <w:pPr>
        <w:pStyle w:val="59"/>
        <w:numPr>
          <w:ilvl w:val="0"/>
          <w:numId w:val="16"/>
        </w:numPr>
        <w:rPr>
          <w:color w:val="auto"/>
          <w:highlight w:val="none"/>
        </w:rPr>
      </w:pPr>
      <w:r>
        <w:rPr>
          <w:rFonts w:hint="eastAsia"/>
          <w:color w:val="auto"/>
          <w:highlight w:val="none"/>
        </w:rPr>
        <w:t>双方的责任</w:t>
      </w:r>
    </w:p>
    <w:p>
      <w:pPr>
        <w:pStyle w:val="60"/>
        <w:numPr>
          <w:ilvl w:val="1"/>
          <w:numId w:val="17"/>
        </w:numPr>
        <w:rPr>
          <w:rFonts w:hAnsi="仿宋_GB2312" w:cs="仿宋_GB2312"/>
          <w:bCs/>
          <w:color w:val="auto"/>
          <w:highlight w:val="none"/>
        </w:rPr>
      </w:pPr>
      <w:r>
        <w:rPr>
          <w:rFonts w:hint="eastAsia" w:hAnsi="仿宋_GB2312" w:cs="仿宋_GB2312"/>
          <w:bCs/>
          <w:color w:val="auto"/>
          <w:highlight w:val="none"/>
        </w:rPr>
        <w:t>严格遵守国家关于</w:t>
      </w:r>
      <w:sdt>
        <w:sdtPr>
          <w:rPr>
            <w:rFonts w:hint="eastAsia" w:hAnsi="仿宋_GB2312" w:cs="仿宋_GB2312"/>
            <w:bCs/>
            <w:color w:val="auto"/>
            <w:highlight w:val="none"/>
          </w:rPr>
          <w:id w:val="-1329674404"/>
          <w14:checkbox>
            <w14:checked w14:val="1"/>
            <w14:checkedState w14:val="00FE" w14:font="Wingdings"/>
            <w14:uncheckedState w14:val="2610" w14:font="MS Gothic"/>
          </w14:checkbox>
        </w:sdtPr>
        <w:sdtEndPr>
          <w:rPr>
            <w:rFonts w:hint="eastAsia" w:hAnsi="仿宋_GB2312" w:cs="仿宋_GB2312"/>
            <w:bCs/>
            <w:color w:val="auto"/>
            <w:highlight w:val="none"/>
          </w:rPr>
        </w:sdtEndPr>
        <w:sdtContent>
          <w:r>
            <w:rPr>
              <w:rFonts w:hint="eastAsia" w:hAnsi="仿宋_GB2312" w:cs="仿宋_GB2312"/>
              <w:bCs/>
              <w:color w:val="auto"/>
              <w:highlight w:val="none"/>
            </w:rPr>
            <w:sym w:font="Wingdings" w:char="F0FE"/>
          </w:r>
        </w:sdtContent>
      </w:sdt>
      <w:r>
        <w:rPr>
          <w:rFonts w:hint="eastAsia" w:hAnsi="仿宋_GB2312" w:cs="仿宋_GB2312"/>
          <w:bCs/>
          <w:color w:val="auto"/>
          <w:highlight w:val="none"/>
        </w:rPr>
        <w:t>建设工程、</w:t>
      </w:r>
      <w:sdt>
        <w:sdtPr>
          <w:rPr>
            <w:rFonts w:hint="eastAsia" w:hAnsi="仿宋_GB2312" w:cs="仿宋_GB2312"/>
            <w:bCs/>
            <w:color w:val="auto"/>
            <w:highlight w:val="none"/>
          </w:rPr>
          <w:id w:val="-2114189881"/>
          <w14:checkbox>
            <w14:checked w14:val="0"/>
            <w14:checkedState w14:val="00FE" w14:font="Wingdings"/>
            <w14:uncheckedState w14:val="2610" w14:font="MS Gothic"/>
          </w14:checkbox>
        </w:sdtPr>
        <w:sdtEndPr>
          <w:rPr>
            <w:rFonts w:hint="eastAsia" w:hAnsi="仿宋_GB2312" w:cs="仿宋_GB2312"/>
            <w:bCs/>
            <w:color w:val="auto"/>
            <w:highlight w:val="none"/>
          </w:rPr>
        </w:sdtEndPr>
        <w:sdtContent>
          <w:r>
            <w:rPr>
              <w:rFonts w:hint="eastAsia" w:hAnsi="仿宋_GB2312" w:cs="仿宋_GB2312"/>
              <w:bCs/>
              <w:color w:val="auto"/>
              <w:highlight w:val="none"/>
            </w:rPr>
            <w:t>☐</w:t>
          </w:r>
        </w:sdtContent>
      </w:sdt>
      <w:r>
        <w:rPr>
          <w:rFonts w:hint="eastAsia" w:hAnsi="仿宋_GB2312" w:cs="仿宋_GB2312"/>
          <w:bCs/>
          <w:color w:val="auto"/>
          <w:highlight w:val="none"/>
        </w:rPr>
        <w:t>物资采购、</w:t>
      </w:r>
      <w:sdt>
        <w:sdtPr>
          <w:rPr>
            <w:rFonts w:hint="eastAsia" w:hAnsi="仿宋_GB2312" w:cs="仿宋_GB2312"/>
            <w:bCs/>
            <w:color w:val="auto"/>
            <w:highlight w:val="none"/>
          </w:rPr>
          <w:id w:val="-53168388"/>
          <w14:checkbox>
            <w14:checked w14:val="0"/>
            <w14:checkedState w14:val="00FE" w14:font="Wingdings"/>
            <w14:uncheckedState w14:val="2610" w14:font="MS Gothic"/>
          </w14:checkbox>
        </w:sdtPr>
        <w:sdtEndPr>
          <w:rPr>
            <w:rFonts w:hint="eastAsia" w:hAnsi="仿宋_GB2312" w:cs="仿宋_GB2312"/>
            <w:bCs/>
            <w:color w:val="auto"/>
            <w:highlight w:val="none"/>
          </w:rPr>
        </w:sdtEndPr>
        <w:sdtContent>
          <w:r>
            <w:rPr>
              <w:rFonts w:hint="eastAsia" w:hAnsi="仿宋_GB2312" w:cs="仿宋_GB2312"/>
              <w:bCs/>
              <w:color w:val="auto"/>
              <w:highlight w:val="none"/>
            </w:rPr>
            <w:t>☐</w:t>
          </w:r>
        </w:sdtContent>
      </w:sdt>
      <w:r>
        <w:rPr>
          <w:rFonts w:hint="eastAsia" w:hAnsi="仿宋_GB2312" w:cs="仿宋_GB2312"/>
          <w:bCs/>
          <w:color w:val="auto"/>
          <w:highlight w:val="none"/>
        </w:rPr>
        <w:t>服务等有关法律法规、相关政策以及廉政建设的各项规定。</w:t>
      </w:r>
    </w:p>
    <w:p>
      <w:pPr>
        <w:pStyle w:val="60"/>
        <w:numPr>
          <w:ilvl w:val="1"/>
          <w:numId w:val="17"/>
        </w:numPr>
        <w:rPr>
          <w:rFonts w:hAnsi="仿宋_GB2312" w:cs="仿宋_GB2312"/>
          <w:bCs/>
          <w:color w:val="auto"/>
          <w:highlight w:val="none"/>
        </w:rPr>
      </w:pPr>
      <w:r>
        <w:rPr>
          <w:rFonts w:hint="eastAsia" w:hAnsi="仿宋_GB2312" w:cs="仿宋_GB2312"/>
          <w:bCs/>
          <w:color w:val="auto"/>
          <w:highlight w:val="none"/>
        </w:rPr>
        <w:t>严格执行主合同条款，自觉按合同办事。</w:t>
      </w:r>
    </w:p>
    <w:p>
      <w:pPr>
        <w:pStyle w:val="60"/>
        <w:numPr>
          <w:ilvl w:val="1"/>
          <w:numId w:val="17"/>
        </w:numPr>
        <w:rPr>
          <w:rFonts w:hAnsi="仿宋_GB2312" w:cs="仿宋_GB2312"/>
          <w:bCs/>
          <w:color w:val="auto"/>
          <w:highlight w:val="none"/>
        </w:rPr>
      </w:pPr>
      <w:r>
        <w:rPr>
          <w:rFonts w:hint="eastAsia" w:hAnsi="仿宋_GB2312" w:cs="仿宋_GB2312"/>
          <w:bCs/>
          <w:color w:val="auto"/>
          <w:highlight w:val="none"/>
        </w:rPr>
        <w:t>业务活动必须坚持公开、公平、公正、诚信的原则，不得为获取不正当利益，损害国家、集体和对方利益，不得违反建设工程、☒物资采购、☒服务管理的规章制度。</w:t>
      </w:r>
    </w:p>
    <w:p>
      <w:pPr>
        <w:pStyle w:val="60"/>
        <w:numPr>
          <w:ilvl w:val="1"/>
          <w:numId w:val="17"/>
        </w:numPr>
        <w:rPr>
          <w:rFonts w:hAnsi="仿宋_GB2312" w:cs="仿宋_GB2312"/>
          <w:bCs/>
          <w:color w:val="auto"/>
          <w:highlight w:val="none"/>
        </w:rPr>
      </w:pPr>
      <w:r>
        <w:rPr>
          <w:rFonts w:hint="eastAsia" w:hAnsi="仿宋_GB2312" w:cs="仿宋_GB2312"/>
          <w:bCs/>
          <w:color w:val="auto"/>
          <w:highlight w:val="none"/>
        </w:rPr>
        <w:t>在业务活动中任何一方如发现单位或人员有违规、违纪、违法行为的，均有义务向其上级主管部门或纪检监察、司法等机关举报。</w:t>
      </w:r>
    </w:p>
    <w:p>
      <w:pPr>
        <w:pStyle w:val="59"/>
        <w:numPr>
          <w:ilvl w:val="0"/>
          <w:numId w:val="18"/>
        </w:numPr>
        <w:rPr>
          <w:color w:val="auto"/>
          <w:highlight w:val="none"/>
        </w:rPr>
      </w:pPr>
      <w:r>
        <w:rPr>
          <w:rFonts w:hint="eastAsia"/>
          <w:color w:val="auto"/>
          <w:highlight w:val="none"/>
        </w:rPr>
        <w:t xml:space="preserve">发包人责任 </w:t>
      </w:r>
    </w:p>
    <w:p>
      <w:pPr>
        <w:pStyle w:val="36"/>
        <w:numPr>
          <w:ilvl w:val="0"/>
          <w:numId w:val="17"/>
        </w:numPr>
        <w:spacing w:line="360" w:lineRule="auto"/>
        <w:ind w:firstLineChars="0"/>
        <w:jc w:val="left"/>
        <w:rPr>
          <w:rFonts w:ascii="仿宋_GB2312" w:hAnsi="仿宋_GB2312" w:eastAsia="仿宋_GB2312" w:cs="仿宋_GB2312"/>
          <w:bCs/>
          <w:vanish/>
          <w:color w:val="auto"/>
          <w:sz w:val="24"/>
          <w:highlight w:val="none"/>
        </w:rPr>
      </w:pPr>
    </w:p>
    <w:p>
      <w:pPr>
        <w:pStyle w:val="60"/>
        <w:numPr>
          <w:ilvl w:val="1"/>
          <w:numId w:val="17"/>
        </w:numPr>
        <w:rPr>
          <w:rFonts w:hAnsi="仿宋_GB2312" w:cs="仿宋_GB2312"/>
          <w:bCs/>
          <w:color w:val="auto"/>
          <w:highlight w:val="none"/>
        </w:rPr>
      </w:pPr>
      <w:r>
        <w:rPr>
          <w:rFonts w:hint="eastAsia" w:hAnsi="仿宋_GB2312" w:cs="仿宋_GB2312"/>
          <w:bCs/>
          <w:color w:val="auto"/>
          <w:highlight w:val="none"/>
        </w:rPr>
        <w:t>发包人须向承包人介绍本单位有关廉政建设的各项制度和规定，并有权监督承包人履行主合同的廉洁情况。</w:t>
      </w:r>
    </w:p>
    <w:p>
      <w:pPr>
        <w:pStyle w:val="60"/>
        <w:numPr>
          <w:ilvl w:val="1"/>
          <w:numId w:val="17"/>
        </w:numPr>
        <w:rPr>
          <w:rFonts w:hAnsi="仿宋_GB2312" w:cs="仿宋_GB2312"/>
          <w:bCs/>
          <w:color w:val="auto"/>
          <w:highlight w:val="none"/>
        </w:rPr>
      </w:pPr>
      <w:r>
        <w:rPr>
          <w:rFonts w:hint="eastAsia" w:hAnsi="仿宋_GB2312" w:cs="仿宋_GB2312"/>
          <w:bCs/>
          <w:color w:val="auto"/>
          <w:highlight w:val="none"/>
        </w:rPr>
        <w:t>发包人须对本单位工作人员开展廉洁教育,督促本单位从业人员遵守以下规定：</w:t>
      </w:r>
    </w:p>
    <w:p>
      <w:pPr>
        <w:pStyle w:val="36"/>
        <w:widowControl/>
        <w:numPr>
          <w:ilvl w:val="0"/>
          <w:numId w:val="19"/>
        </w:numPr>
        <w:spacing w:line="360" w:lineRule="auto"/>
        <w:ind w:firstLineChars="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不得向承包人索要或接受回扣、礼金、有价证券、贵重物品等。</w:t>
      </w:r>
    </w:p>
    <w:p>
      <w:pPr>
        <w:pStyle w:val="36"/>
        <w:widowControl/>
        <w:numPr>
          <w:ilvl w:val="0"/>
          <w:numId w:val="19"/>
        </w:numPr>
        <w:spacing w:line="360" w:lineRule="auto"/>
        <w:ind w:firstLineChars="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不得要求承包人报销任何应由发包人或其工作人员支付的费用。</w:t>
      </w:r>
    </w:p>
    <w:p>
      <w:pPr>
        <w:pStyle w:val="36"/>
        <w:widowControl/>
        <w:numPr>
          <w:ilvl w:val="0"/>
          <w:numId w:val="19"/>
        </w:numPr>
        <w:spacing w:line="360" w:lineRule="auto"/>
        <w:ind w:firstLineChars="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不得要求、暗示或接受承包人为发包人工作人员的住房装修、婚丧嫁娶、配偶子女工作安排以及出国（境）、旅游等事项提供方便。</w:t>
      </w:r>
    </w:p>
    <w:p>
      <w:pPr>
        <w:pStyle w:val="36"/>
        <w:widowControl/>
        <w:numPr>
          <w:ilvl w:val="0"/>
          <w:numId w:val="19"/>
        </w:numPr>
        <w:spacing w:line="360" w:lineRule="auto"/>
        <w:ind w:firstLineChars="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不得参加有可能影响公正履行岗位职责的承包人安排的宴请、健身、娱乐等活动。</w:t>
      </w:r>
    </w:p>
    <w:p>
      <w:pPr>
        <w:pStyle w:val="36"/>
        <w:widowControl/>
        <w:numPr>
          <w:ilvl w:val="0"/>
          <w:numId w:val="19"/>
        </w:numPr>
        <w:spacing w:line="360" w:lineRule="auto"/>
        <w:ind w:firstLineChars="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不得向承包人推荐与主合同有关的劳务分包单位。</w:t>
      </w:r>
    </w:p>
    <w:p>
      <w:pPr>
        <w:pStyle w:val="36"/>
        <w:widowControl/>
        <w:numPr>
          <w:ilvl w:val="0"/>
          <w:numId w:val="19"/>
        </w:numPr>
        <w:spacing w:line="360" w:lineRule="auto"/>
        <w:ind w:firstLineChars="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不得向承包人推荐发包人工作人员的配偶、子女、亲属参与主合同的设备材料、劳务分包等经济活动。</w:t>
      </w:r>
    </w:p>
    <w:p>
      <w:pPr>
        <w:pStyle w:val="36"/>
        <w:widowControl/>
        <w:numPr>
          <w:ilvl w:val="0"/>
          <w:numId w:val="19"/>
        </w:numPr>
        <w:spacing w:line="360" w:lineRule="auto"/>
        <w:ind w:firstLineChars="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不得有其他可能影响公正履行岗位职责的行为。</w:t>
      </w:r>
    </w:p>
    <w:p>
      <w:pPr>
        <w:pStyle w:val="59"/>
        <w:numPr>
          <w:ilvl w:val="0"/>
          <w:numId w:val="20"/>
        </w:numPr>
        <w:rPr>
          <w:color w:val="auto"/>
          <w:highlight w:val="none"/>
        </w:rPr>
      </w:pPr>
      <w:r>
        <w:rPr>
          <w:rFonts w:hint="eastAsia"/>
          <w:color w:val="auto"/>
          <w:highlight w:val="none"/>
        </w:rPr>
        <w:t>承包人责任</w:t>
      </w:r>
    </w:p>
    <w:p>
      <w:pPr>
        <w:pStyle w:val="36"/>
        <w:numPr>
          <w:ilvl w:val="0"/>
          <w:numId w:val="17"/>
        </w:numPr>
        <w:spacing w:line="360" w:lineRule="auto"/>
        <w:ind w:firstLineChars="0"/>
        <w:jc w:val="left"/>
        <w:rPr>
          <w:rFonts w:ascii="仿宋_GB2312" w:hAnsi="仿宋_GB2312" w:eastAsia="仿宋_GB2312" w:cs="仿宋_GB2312"/>
          <w:bCs/>
          <w:vanish/>
          <w:color w:val="auto"/>
          <w:sz w:val="24"/>
          <w:highlight w:val="none"/>
        </w:rPr>
      </w:pPr>
    </w:p>
    <w:p>
      <w:pPr>
        <w:pStyle w:val="60"/>
        <w:numPr>
          <w:ilvl w:val="1"/>
          <w:numId w:val="17"/>
        </w:numPr>
        <w:rPr>
          <w:rFonts w:hAnsi="仿宋_GB2312" w:cs="仿宋_GB2312"/>
          <w:bCs/>
          <w:color w:val="auto"/>
          <w:highlight w:val="none"/>
        </w:rPr>
      </w:pPr>
      <w:r>
        <w:rPr>
          <w:rFonts w:hint="eastAsia" w:hAnsi="仿宋_GB2312" w:cs="仿宋_GB2312"/>
          <w:bCs/>
          <w:color w:val="auto"/>
          <w:highlight w:val="none"/>
        </w:rPr>
        <w:t>承包人应了解并支持执行发包人有关廉政建设的各项制度和规定。</w:t>
      </w:r>
    </w:p>
    <w:p>
      <w:pPr>
        <w:pStyle w:val="60"/>
        <w:numPr>
          <w:ilvl w:val="1"/>
          <w:numId w:val="17"/>
        </w:numPr>
        <w:rPr>
          <w:rFonts w:hAnsi="仿宋_GB2312" w:cs="仿宋_GB2312"/>
          <w:bCs/>
          <w:color w:val="auto"/>
          <w:highlight w:val="none"/>
        </w:rPr>
      </w:pPr>
      <w:r>
        <w:rPr>
          <w:rFonts w:hint="eastAsia" w:hAnsi="仿宋_GB2312" w:cs="仿宋_GB2312"/>
          <w:bCs/>
          <w:color w:val="auto"/>
          <w:highlight w:val="none"/>
        </w:rPr>
        <w:t>承包人应对本单位工作人员开展廉洁教育（包括发包人制定的有关廉政建设方面的各项制度和规定），按时出席发包人召集的有关会议。</w:t>
      </w:r>
    </w:p>
    <w:p>
      <w:pPr>
        <w:pStyle w:val="60"/>
        <w:numPr>
          <w:ilvl w:val="1"/>
          <w:numId w:val="17"/>
        </w:numPr>
        <w:rPr>
          <w:rFonts w:hAnsi="仿宋_GB2312" w:cs="仿宋_GB2312"/>
          <w:bCs/>
          <w:color w:val="auto"/>
          <w:highlight w:val="none"/>
        </w:rPr>
      </w:pPr>
      <w:r>
        <w:rPr>
          <w:rFonts w:hint="eastAsia" w:hAnsi="仿宋_GB2312" w:cs="仿宋_GB2312"/>
          <w:bCs/>
          <w:color w:val="auto"/>
          <w:highlight w:val="none"/>
        </w:rPr>
        <w:t>承包人应与发包人保持正常的业务交往，按照有关法律法规和程序开展业务工作，严格执行有关政策规定，并遵守以下规定：</w:t>
      </w:r>
    </w:p>
    <w:p>
      <w:pPr>
        <w:pStyle w:val="36"/>
        <w:widowControl/>
        <w:numPr>
          <w:ilvl w:val="0"/>
          <w:numId w:val="21"/>
        </w:numPr>
        <w:spacing w:line="360" w:lineRule="auto"/>
        <w:ind w:firstLineChars="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不得向发包人及其工作人员赠送回扣、礼金、有价证券、贵重物品等。</w:t>
      </w:r>
    </w:p>
    <w:p>
      <w:pPr>
        <w:pStyle w:val="36"/>
        <w:widowControl/>
        <w:numPr>
          <w:ilvl w:val="0"/>
          <w:numId w:val="21"/>
        </w:numPr>
        <w:spacing w:line="360" w:lineRule="auto"/>
        <w:ind w:firstLineChars="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不得为发包人报销应由发包人或其工作人员支付的费用。</w:t>
      </w:r>
    </w:p>
    <w:p>
      <w:pPr>
        <w:pStyle w:val="36"/>
        <w:widowControl/>
        <w:numPr>
          <w:ilvl w:val="0"/>
          <w:numId w:val="21"/>
        </w:numPr>
        <w:spacing w:line="360" w:lineRule="auto"/>
        <w:ind w:firstLineChars="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不得为发包人工作人员的住房装修、婚丧嫁娶、配偶子女工作安排以及出国（境）、旅游等事项提供方便。</w:t>
      </w:r>
    </w:p>
    <w:p>
      <w:pPr>
        <w:pStyle w:val="36"/>
        <w:widowControl/>
        <w:numPr>
          <w:ilvl w:val="0"/>
          <w:numId w:val="21"/>
        </w:numPr>
        <w:spacing w:line="360" w:lineRule="auto"/>
        <w:ind w:firstLineChars="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不得为发包人及其工作人员安排、组织有可能影响公正履行岗位职责的宴请、健身、娱乐等活动。</w:t>
      </w:r>
    </w:p>
    <w:p>
      <w:pPr>
        <w:pStyle w:val="36"/>
        <w:widowControl/>
        <w:numPr>
          <w:ilvl w:val="0"/>
          <w:numId w:val="21"/>
        </w:numPr>
        <w:spacing w:line="360" w:lineRule="auto"/>
        <w:ind w:firstLineChars="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不得接受发包人推荐的与主合同有关的劳务分包单位。</w:t>
      </w:r>
    </w:p>
    <w:p>
      <w:pPr>
        <w:pStyle w:val="36"/>
        <w:widowControl/>
        <w:numPr>
          <w:ilvl w:val="0"/>
          <w:numId w:val="21"/>
        </w:numPr>
        <w:spacing w:line="360" w:lineRule="auto"/>
        <w:ind w:firstLineChars="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不得接受发包人工作人员推荐其配偶、子女、亲属参与主合同的设备材料、劳务分包等经济活动。</w:t>
      </w:r>
    </w:p>
    <w:p>
      <w:pPr>
        <w:pStyle w:val="36"/>
        <w:widowControl/>
        <w:numPr>
          <w:ilvl w:val="0"/>
          <w:numId w:val="21"/>
        </w:numPr>
        <w:spacing w:line="360" w:lineRule="auto"/>
        <w:ind w:firstLineChars="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不得有其他可能影响发包人工作人员公正履行岗位职责的行为。</w:t>
      </w:r>
    </w:p>
    <w:p>
      <w:pPr>
        <w:pStyle w:val="59"/>
        <w:rPr>
          <w:color w:val="auto"/>
          <w:highlight w:val="none"/>
        </w:rPr>
      </w:pPr>
      <w:r>
        <w:rPr>
          <w:rFonts w:hint="eastAsia"/>
          <w:color w:val="auto"/>
          <w:highlight w:val="none"/>
        </w:rPr>
        <w:t>违约责任及处理</w:t>
      </w:r>
    </w:p>
    <w:p>
      <w:pPr>
        <w:pStyle w:val="36"/>
        <w:numPr>
          <w:ilvl w:val="0"/>
          <w:numId w:val="1"/>
        </w:numPr>
        <w:spacing w:line="480" w:lineRule="auto"/>
        <w:ind w:firstLineChars="0"/>
        <w:jc w:val="left"/>
        <w:rPr>
          <w:rFonts w:ascii="仿宋_GB2312" w:hAnsi="仿宋_GB2312" w:eastAsia="仿宋_GB2312" w:cs="仿宋_GB2312"/>
          <w:bCs/>
          <w:vanish/>
          <w:color w:val="auto"/>
          <w:sz w:val="24"/>
          <w:highlight w:val="none"/>
        </w:rPr>
      </w:pPr>
    </w:p>
    <w:p>
      <w:pPr>
        <w:pStyle w:val="36"/>
        <w:numPr>
          <w:ilvl w:val="0"/>
          <w:numId w:val="1"/>
        </w:numPr>
        <w:spacing w:line="480" w:lineRule="auto"/>
        <w:ind w:firstLineChars="0"/>
        <w:jc w:val="left"/>
        <w:rPr>
          <w:rFonts w:ascii="仿宋_GB2312" w:hAnsi="仿宋_GB2312" w:eastAsia="仿宋_GB2312" w:cs="仿宋_GB2312"/>
          <w:bCs/>
          <w:vanish/>
          <w:color w:val="auto"/>
          <w:sz w:val="24"/>
          <w:highlight w:val="none"/>
        </w:rPr>
      </w:pPr>
    </w:p>
    <w:p>
      <w:pPr>
        <w:pStyle w:val="36"/>
        <w:numPr>
          <w:ilvl w:val="0"/>
          <w:numId w:val="1"/>
        </w:numPr>
        <w:spacing w:line="480" w:lineRule="auto"/>
        <w:ind w:firstLineChars="0"/>
        <w:jc w:val="left"/>
        <w:rPr>
          <w:rFonts w:ascii="仿宋_GB2312" w:hAnsi="仿宋_GB2312" w:eastAsia="仿宋_GB2312" w:cs="仿宋_GB2312"/>
          <w:bCs/>
          <w:vanish/>
          <w:color w:val="auto"/>
          <w:sz w:val="24"/>
          <w:highlight w:val="none"/>
        </w:rPr>
      </w:pPr>
    </w:p>
    <w:p>
      <w:pPr>
        <w:pStyle w:val="36"/>
        <w:numPr>
          <w:ilvl w:val="0"/>
          <w:numId w:val="1"/>
        </w:numPr>
        <w:spacing w:line="480" w:lineRule="auto"/>
        <w:ind w:firstLineChars="0"/>
        <w:jc w:val="left"/>
        <w:rPr>
          <w:rFonts w:ascii="仿宋_GB2312" w:hAnsi="仿宋_GB2312" w:eastAsia="仿宋_GB2312" w:cs="仿宋_GB2312"/>
          <w:bCs/>
          <w:vanish/>
          <w:color w:val="auto"/>
          <w:sz w:val="24"/>
          <w:highlight w:val="none"/>
        </w:rPr>
      </w:pPr>
    </w:p>
    <w:p>
      <w:pPr>
        <w:pStyle w:val="36"/>
        <w:numPr>
          <w:ilvl w:val="0"/>
          <w:numId w:val="22"/>
        </w:numPr>
        <w:tabs>
          <w:tab w:val="left" w:pos="510"/>
        </w:tabs>
        <w:spacing w:after="120" w:line="360" w:lineRule="auto"/>
        <w:ind w:firstLineChars="0"/>
        <w:jc w:val="left"/>
        <w:rPr>
          <w:rFonts w:ascii="仿宋_GB2312" w:hAnsi="仿宋_GB2312" w:eastAsia="仿宋_GB2312" w:cs="仿宋_GB2312"/>
          <w:bCs/>
          <w:vanish/>
          <w:color w:val="auto"/>
          <w:sz w:val="24"/>
          <w:highlight w:val="none"/>
        </w:rPr>
      </w:pPr>
    </w:p>
    <w:p>
      <w:pPr>
        <w:pStyle w:val="36"/>
        <w:numPr>
          <w:ilvl w:val="0"/>
          <w:numId w:val="22"/>
        </w:numPr>
        <w:tabs>
          <w:tab w:val="left" w:pos="510"/>
        </w:tabs>
        <w:spacing w:after="120" w:line="360" w:lineRule="auto"/>
        <w:ind w:firstLineChars="0"/>
        <w:jc w:val="left"/>
        <w:rPr>
          <w:rFonts w:ascii="仿宋_GB2312" w:hAnsi="仿宋_GB2312" w:eastAsia="仿宋_GB2312" w:cs="仿宋_GB2312"/>
          <w:bCs/>
          <w:vanish/>
          <w:color w:val="auto"/>
          <w:sz w:val="24"/>
          <w:highlight w:val="none"/>
        </w:rPr>
      </w:pPr>
    </w:p>
    <w:p>
      <w:pPr>
        <w:pStyle w:val="36"/>
        <w:numPr>
          <w:ilvl w:val="0"/>
          <w:numId w:val="22"/>
        </w:numPr>
        <w:tabs>
          <w:tab w:val="left" w:pos="510"/>
        </w:tabs>
        <w:spacing w:after="120" w:line="360" w:lineRule="auto"/>
        <w:ind w:firstLineChars="0"/>
        <w:jc w:val="left"/>
        <w:rPr>
          <w:rFonts w:ascii="仿宋_GB2312" w:hAnsi="仿宋_GB2312" w:eastAsia="仿宋_GB2312" w:cs="仿宋_GB2312"/>
          <w:bCs/>
          <w:vanish/>
          <w:color w:val="auto"/>
          <w:sz w:val="24"/>
          <w:highlight w:val="none"/>
        </w:rPr>
      </w:pPr>
    </w:p>
    <w:p>
      <w:pPr>
        <w:pStyle w:val="36"/>
        <w:numPr>
          <w:ilvl w:val="0"/>
          <w:numId w:val="22"/>
        </w:numPr>
        <w:tabs>
          <w:tab w:val="left" w:pos="510"/>
        </w:tabs>
        <w:spacing w:after="120" w:line="360" w:lineRule="auto"/>
        <w:ind w:firstLineChars="0"/>
        <w:jc w:val="left"/>
        <w:rPr>
          <w:rFonts w:ascii="仿宋_GB2312" w:hAnsi="仿宋_GB2312" w:eastAsia="仿宋_GB2312" w:cs="仿宋_GB2312"/>
          <w:bCs/>
          <w:vanish/>
          <w:color w:val="auto"/>
          <w:sz w:val="24"/>
          <w:highlight w:val="none"/>
        </w:rPr>
      </w:pPr>
    </w:p>
    <w:p>
      <w:pPr>
        <w:pStyle w:val="43"/>
        <w:numPr>
          <w:ilvl w:val="1"/>
          <w:numId w:val="22"/>
        </w:numPr>
        <w:rPr>
          <w:rFonts w:hAnsi="仿宋_GB2312" w:cs="仿宋_GB2312"/>
          <w:bCs/>
          <w:color w:val="auto"/>
          <w:highlight w:val="none"/>
        </w:rPr>
      </w:pPr>
      <w:r>
        <w:rPr>
          <w:rFonts w:hint="eastAsia" w:hAnsi="仿宋_GB2312" w:cs="仿宋_GB2312"/>
          <w:bCs/>
          <w:color w:val="auto"/>
          <w:highlight w:val="none"/>
        </w:rPr>
        <w:t>发包人工作人员有违反本责任书“1”“2”条约定的，视情节轻重，依据有关法律法规和发包人相关制度规定给予组织处理、党纪政纪处分等。</w:t>
      </w:r>
    </w:p>
    <w:p>
      <w:pPr>
        <w:pStyle w:val="43"/>
        <w:numPr>
          <w:ilvl w:val="1"/>
          <w:numId w:val="22"/>
        </w:numPr>
        <w:rPr>
          <w:rFonts w:hAnsi="仿宋_GB2312" w:cs="仿宋_GB2312"/>
          <w:bCs/>
          <w:color w:val="auto"/>
          <w:highlight w:val="none"/>
        </w:rPr>
      </w:pPr>
      <w:r>
        <w:rPr>
          <w:rFonts w:hint="eastAsia" w:hAnsi="仿宋_GB2312" w:cs="仿宋_GB2312"/>
          <w:bCs/>
          <w:color w:val="auto"/>
          <w:highlight w:val="none"/>
        </w:rPr>
        <w:t>承包人工作人员有违反本责任书“1”“3”条约定的，发包人有权向承包人单位上级纪检监察部门、有关行政管理部门等提出对承包人进行责任追究和处罚；涉嫌犯罪的，移送司法机关追究刑事责任。</w:t>
      </w:r>
    </w:p>
    <w:p>
      <w:pPr>
        <w:pStyle w:val="43"/>
        <w:numPr>
          <w:ilvl w:val="1"/>
          <w:numId w:val="22"/>
        </w:numPr>
        <w:rPr>
          <w:rFonts w:hAnsi="仿宋_GB2312" w:cs="仿宋_GB2312"/>
          <w:bCs/>
          <w:color w:val="auto"/>
          <w:highlight w:val="none"/>
        </w:rPr>
      </w:pPr>
      <w:r>
        <w:rPr>
          <w:rFonts w:hint="eastAsia" w:hAnsi="仿宋_GB2312" w:cs="仿宋_GB2312"/>
          <w:bCs/>
          <w:color w:val="auto"/>
          <w:highlight w:val="none"/>
        </w:rPr>
        <w:t>承包人应严格执行有关勘察设计、建筑施工安装的强制性标准和规范，以及监理法规，根据广州市及发包人关于水务工程勘察设计、施工和监理企业诚信评价的有关规定，如承包人存在被纪检监察部门认定有行贿行为、被法院判决犯有行贿罪记录等违反廉政规定的，发包人书面提请水务行政主管部门处理。（工程建设项目适用）</w:t>
      </w:r>
    </w:p>
    <w:p>
      <w:pPr>
        <w:pStyle w:val="59"/>
        <w:rPr>
          <w:color w:val="auto"/>
          <w:highlight w:val="none"/>
        </w:rPr>
      </w:pPr>
      <w:r>
        <w:rPr>
          <w:rFonts w:hint="eastAsia"/>
          <w:color w:val="auto"/>
          <w:highlight w:val="none"/>
        </w:rPr>
        <w:t>责任书有效期</w:t>
      </w:r>
    </w:p>
    <w:p>
      <w:pPr>
        <w:pStyle w:val="36"/>
        <w:numPr>
          <w:ilvl w:val="0"/>
          <w:numId w:val="17"/>
        </w:numPr>
        <w:spacing w:line="360" w:lineRule="auto"/>
        <w:ind w:firstLineChars="0"/>
        <w:jc w:val="left"/>
        <w:rPr>
          <w:rFonts w:ascii="仿宋_GB2312" w:hAnsi="仿宋_GB2312" w:eastAsia="仿宋_GB2312" w:cs="仿宋_GB2312"/>
          <w:bCs/>
          <w:vanish/>
          <w:color w:val="auto"/>
          <w:sz w:val="24"/>
          <w:highlight w:val="none"/>
        </w:rPr>
      </w:pPr>
    </w:p>
    <w:p>
      <w:pPr>
        <w:pStyle w:val="36"/>
        <w:numPr>
          <w:ilvl w:val="0"/>
          <w:numId w:val="17"/>
        </w:numPr>
        <w:spacing w:line="360" w:lineRule="auto"/>
        <w:ind w:firstLineChars="0"/>
        <w:jc w:val="left"/>
        <w:rPr>
          <w:rFonts w:ascii="仿宋_GB2312" w:hAnsi="仿宋_GB2312" w:eastAsia="仿宋_GB2312" w:cs="仿宋_GB2312"/>
          <w:bCs/>
          <w:vanish/>
          <w:color w:val="auto"/>
          <w:sz w:val="24"/>
          <w:highlight w:val="none"/>
        </w:rPr>
      </w:pPr>
    </w:p>
    <w:p>
      <w:pPr>
        <w:pStyle w:val="60"/>
        <w:numPr>
          <w:ilvl w:val="1"/>
          <w:numId w:val="17"/>
        </w:numPr>
        <w:rPr>
          <w:rFonts w:hAnsi="仿宋_GB2312" w:cs="仿宋_GB2312"/>
          <w:bCs/>
          <w:color w:val="auto"/>
          <w:highlight w:val="none"/>
        </w:rPr>
      </w:pPr>
      <w:r>
        <w:rPr>
          <w:rFonts w:hint="eastAsia" w:hAnsi="仿宋_GB2312" w:cs="仿宋_GB2312"/>
          <w:bCs/>
          <w:color w:val="auto"/>
          <w:highlight w:val="none"/>
        </w:rPr>
        <w:t>本责任书作为主合同组成部分，与主合同具有同等法律效力。经双方签署后立即生效。</w:t>
      </w:r>
    </w:p>
    <w:p>
      <w:pPr>
        <w:pStyle w:val="60"/>
        <w:numPr>
          <w:ilvl w:val="1"/>
          <w:numId w:val="17"/>
        </w:numPr>
        <w:rPr>
          <w:rFonts w:hAnsi="仿宋_GB2312" w:cs="仿宋_GB2312"/>
          <w:bCs/>
          <w:color w:val="auto"/>
          <w:highlight w:val="none"/>
        </w:rPr>
      </w:pPr>
      <w:r>
        <w:rPr>
          <w:rFonts w:hint="eastAsia" w:hAnsi="仿宋_GB2312" w:cs="仿宋_GB2312"/>
          <w:bCs/>
          <w:color w:val="auto"/>
          <w:highlight w:val="none"/>
        </w:rPr>
        <w:t>本责任书的有效期为合同生效之日起至主合同履约结束时止。</w:t>
      </w:r>
    </w:p>
    <w:p>
      <w:pPr>
        <w:widowControl/>
        <w:spacing w:line="360" w:lineRule="auto"/>
        <w:jc w:val="left"/>
        <w:rPr>
          <w:rFonts w:ascii="仿宋_GB2312" w:hAnsi="仿宋_GB2312" w:eastAsia="仿宋_GB2312" w:cs="仿宋_GB2312"/>
          <w:bCs/>
          <w:color w:val="auto"/>
          <w:sz w:val="24"/>
          <w:highlight w:val="none"/>
        </w:rPr>
      </w:pPr>
    </w:p>
    <w:p>
      <w:pPr>
        <w:widowControl/>
        <w:spacing w:line="360" w:lineRule="auto"/>
        <w:jc w:val="left"/>
        <w:rPr>
          <w:rFonts w:ascii="仿宋_GB2312" w:hAnsi="仿宋_GB2312" w:eastAsia="仿宋_GB2312" w:cs="仿宋_GB2312"/>
          <w:bCs/>
          <w:color w:val="auto"/>
          <w:sz w:val="24"/>
          <w:highlight w:val="none"/>
        </w:rPr>
      </w:pPr>
    </w:p>
    <w:p>
      <w:pPr>
        <w:widowControl/>
        <w:spacing w:line="360" w:lineRule="auto"/>
        <w:jc w:val="left"/>
        <w:rPr>
          <w:rFonts w:ascii="仿宋_GB2312" w:hAnsi="仿宋_GB2312" w:eastAsia="仿宋_GB2312" w:cs="仿宋_GB2312"/>
          <w:bCs/>
          <w:color w:val="auto"/>
          <w:sz w:val="24"/>
          <w:highlight w:val="none"/>
        </w:rPr>
      </w:pPr>
    </w:p>
    <w:tbl>
      <w:tblPr>
        <w:tblStyle w:val="22"/>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6"/>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4536" w:type="dxa"/>
          </w:tcPr>
          <w:p>
            <w:pPr>
              <w:widowControl/>
              <w:spacing w:line="360" w:lineRule="auto"/>
              <w:jc w:val="left"/>
              <w:rPr>
                <w:rFonts w:ascii="仿宋_GB2312" w:hAnsi="仿宋_GB2312" w:eastAsia="仿宋_GB2312" w:cs="仿宋_GB2312"/>
                <w:bCs/>
                <w:color w:val="auto"/>
                <w:sz w:val="24"/>
                <w:highlight w:val="none"/>
              </w:rPr>
            </w:pPr>
            <w:bookmarkStart w:id="10" w:name="_Hlk54184763"/>
            <w:r>
              <w:rPr>
                <w:rFonts w:hint="eastAsia" w:ascii="仿宋_GB2312" w:hAnsi="仿宋_GB2312" w:eastAsia="仿宋_GB2312" w:cs="仿宋_GB2312"/>
                <w:bCs/>
                <w:color w:val="auto"/>
                <w:sz w:val="24"/>
                <w:highlight w:val="none"/>
              </w:rPr>
              <w:t xml:space="preserve">发包人：（盖章）                    </w:t>
            </w:r>
          </w:p>
        </w:tc>
        <w:tc>
          <w:tcPr>
            <w:tcW w:w="4531" w:type="dxa"/>
          </w:tcPr>
          <w:p>
            <w:pPr>
              <w:widowControl/>
              <w:spacing w:line="360" w:lineRule="auto"/>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承包人：（盖章）</w:t>
            </w:r>
          </w:p>
          <w:bookmarkEnd w:id="10"/>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4536" w:type="dxa"/>
          </w:tcPr>
          <w:p>
            <w:pPr>
              <w:widowControl/>
              <w:spacing w:line="360" w:lineRule="auto"/>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签订日期：</w:t>
            </w:r>
            <w:r>
              <w:rPr>
                <w:rFonts w:hint="eastAsia" w:ascii="仿宋_GB2312" w:hAnsi="仿宋_GB2312" w:eastAsia="仿宋_GB2312" w:cs="仿宋_GB2312"/>
                <w:bCs/>
                <w:color w:val="auto"/>
                <w:sz w:val="24"/>
                <w:highlight w:val="none"/>
                <w:lang w:val="en-US" w:eastAsia="zh-CN"/>
              </w:rPr>
              <w:t xml:space="preserve"> </w:t>
            </w:r>
          </w:p>
        </w:tc>
        <w:tc>
          <w:tcPr>
            <w:tcW w:w="4531" w:type="dxa"/>
          </w:tcPr>
          <w:p>
            <w:pPr>
              <w:widowControl/>
              <w:spacing w:line="360" w:lineRule="auto"/>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签订日期：</w:t>
            </w:r>
            <w:r>
              <w:rPr>
                <w:rFonts w:hint="eastAsia" w:ascii="仿宋_GB2312" w:hAnsi="仿宋_GB2312" w:eastAsia="仿宋_GB2312" w:cs="仿宋_GB2312"/>
                <w:bCs/>
                <w:color w:val="auto"/>
                <w:sz w:val="24"/>
                <w:highlight w:val="none"/>
                <w:lang w:val="en-US" w:eastAsia="zh-CN"/>
              </w:rPr>
              <w:t xml:space="preserve"> </w:t>
            </w:r>
          </w:p>
        </w:tc>
      </w:tr>
    </w:tbl>
    <w:p>
      <w:pPr>
        <w:widowControl/>
        <w:spacing w:line="500" w:lineRule="exact"/>
        <w:ind w:firstLine="1920" w:firstLineChars="800"/>
        <w:jc w:val="left"/>
        <w:rPr>
          <w:rFonts w:ascii="仿宋_GB2312" w:hAnsi="仿宋_GB2312" w:eastAsia="仿宋_GB2312" w:cs="仿宋_GB2312"/>
          <w:bCs/>
          <w:color w:val="auto"/>
          <w:kern w:val="0"/>
          <w:sz w:val="24"/>
          <w:highlight w:val="none"/>
        </w:rPr>
      </w:pPr>
    </w:p>
    <w:p>
      <w:pPr>
        <w:snapToGrid w:val="0"/>
        <w:spacing w:line="480" w:lineRule="exact"/>
        <w:jc w:val="left"/>
        <w:rPr>
          <w:rFonts w:ascii="仿宋_GB2312" w:hAnsi="仿宋_GB2312" w:eastAsia="仿宋_GB2312" w:cs="仿宋_GB2312"/>
          <w:bCs/>
          <w:color w:val="auto"/>
          <w:kern w:val="44"/>
          <w:sz w:val="28"/>
          <w:szCs w:val="28"/>
          <w:highlight w:val="none"/>
        </w:rPr>
      </w:pPr>
    </w:p>
    <w:p>
      <w:pPr>
        <w:snapToGrid w:val="0"/>
        <w:spacing w:line="480" w:lineRule="exact"/>
        <w:jc w:val="left"/>
        <w:rPr>
          <w:rFonts w:ascii="仿宋_GB2312" w:hAnsi="仿宋_GB2312" w:eastAsia="仿宋_GB2312" w:cs="仿宋_GB2312"/>
          <w:bCs/>
          <w:color w:val="auto"/>
          <w:kern w:val="44"/>
          <w:sz w:val="28"/>
          <w:szCs w:val="28"/>
          <w:highlight w:val="none"/>
        </w:rPr>
      </w:pPr>
    </w:p>
    <w:p>
      <w:pPr>
        <w:rPr>
          <w:rFonts w:ascii="仿宋_GB2312" w:hAnsi="仿宋_GB2312" w:eastAsia="仿宋_GB2312" w:cs="仿宋_GB2312"/>
          <w:bCs/>
          <w:color w:val="auto"/>
          <w:kern w:val="44"/>
          <w:sz w:val="28"/>
          <w:szCs w:val="28"/>
          <w:highlight w:val="none"/>
        </w:rPr>
      </w:pPr>
      <w:r>
        <w:rPr>
          <w:rFonts w:hint="eastAsia" w:ascii="仿宋_GB2312" w:hAnsi="仿宋_GB2312" w:eastAsia="仿宋_GB2312" w:cs="仿宋_GB2312"/>
          <w:bCs/>
          <w:color w:val="auto"/>
          <w:kern w:val="44"/>
          <w:sz w:val="28"/>
          <w:szCs w:val="28"/>
          <w:highlight w:val="none"/>
        </w:rPr>
        <w:br w:type="page"/>
      </w:r>
    </w:p>
    <w:p>
      <w:pPr>
        <w:snapToGrid w:val="0"/>
        <w:spacing w:line="48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kern w:val="44"/>
          <w:sz w:val="28"/>
          <w:szCs w:val="28"/>
          <w:highlight w:val="none"/>
        </w:rPr>
        <w:t>附件</w:t>
      </w:r>
      <w:r>
        <w:rPr>
          <w:rFonts w:hint="eastAsia" w:ascii="仿宋_GB2312" w:hAnsi="仿宋_GB2312" w:eastAsia="仿宋_GB2312" w:cs="仿宋_GB2312"/>
          <w:bCs/>
          <w:color w:val="auto"/>
          <w:kern w:val="44"/>
          <w:sz w:val="28"/>
          <w:szCs w:val="28"/>
          <w:highlight w:val="none"/>
          <w:lang w:val="en-US" w:eastAsia="zh-CN"/>
        </w:rPr>
        <w:t>6</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bCs/>
          <w:color w:val="auto"/>
          <w:sz w:val="24"/>
          <w:highlight w:val="none"/>
        </w:rPr>
        <w:t xml:space="preserve">  </w:t>
      </w:r>
    </w:p>
    <w:p>
      <w:pPr>
        <w:snapToGrid w:val="0"/>
        <w:spacing w:line="480" w:lineRule="exact"/>
        <w:jc w:val="center"/>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kern w:val="0"/>
          <w:sz w:val="32"/>
          <w:szCs w:val="32"/>
          <w:highlight w:val="none"/>
        </w:rPr>
        <w:t>承包人投入主要施工管理及技术人员汇总表</w:t>
      </w:r>
    </w:p>
    <w:tbl>
      <w:tblPr>
        <w:tblStyle w:val="21"/>
        <w:tblpPr w:leftFromText="180" w:rightFromText="180" w:vertAnchor="text" w:horzAnchor="page" w:tblpXSpec="center" w:tblpY="832"/>
        <w:tblOverlap w:val="never"/>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995"/>
        <w:gridCol w:w="723"/>
        <w:gridCol w:w="941"/>
        <w:gridCol w:w="1459"/>
        <w:gridCol w:w="1705"/>
        <w:gridCol w:w="2634"/>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2"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序号</w:t>
            </w:r>
          </w:p>
        </w:tc>
        <w:tc>
          <w:tcPr>
            <w:tcW w:w="99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姓名</w:t>
            </w:r>
          </w:p>
        </w:tc>
        <w:tc>
          <w:tcPr>
            <w:tcW w:w="723"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年龄</w:t>
            </w:r>
          </w:p>
        </w:tc>
        <w:tc>
          <w:tcPr>
            <w:tcW w:w="941"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职称</w:t>
            </w:r>
          </w:p>
        </w:tc>
        <w:tc>
          <w:tcPr>
            <w:tcW w:w="1459"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职务</w:t>
            </w: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在本项目任职</w:t>
            </w:r>
          </w:p>
        </w:tc>
        <w:tc>
          <w:tcPr>
            <w:tcW w:w="2634"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职称或执业或上岗（或岗位）证号</w:t>
            </w:r>
          </w:p>
        </w:tc>
        <w:tc>
          <w:tcPr>
            <w:tcW w:w="9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732" w:type="dxa"/>
            <w:vAlign w:val="center"/>
          </w:tcPr>
          <w:p>
            <w:pPr>
              <w:jc w:val="center"/>
              <w:rPr>
                <w:rFonts w:ascii="宋体" w:hAnsi="宋体" w:cs="仿宋_GB2312"/>
                <w:bCs/>
                <w:color w:val="auto"/>
                <w:sz w:val="24"/>
                <w:highlight w:val="none"/>
              </w:rPr>
            </w:pPr>
          </w:p>
        </w:tc>
        <w:tc>
          <w:tcPr>
            <w:tcW w:w="995" w:type="dxa"/>
            <w:vAlign w:val="center"/>
          </w:tcPr>
          <w:p>
            <w:pPr>
              <w:jc w:val="center"/>
              <w:rPr>
                <w:rFonts w:ascii="仿宋_GB2312" w:hAnsi="宋体" w:eastAsia="仿宋_GB2312" w:cs="仿宋_GB2312"/>
                <w:bCs/>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项目负责人</w:t>
            </w:r>
          </w:p>
        </w:tc>
        <w:tc>
          <w:tcPr>
            <w:tcW w:w="2634" w:type="dxa"/>
            <w:vAlign w:val="center"/>
          </w:tcPr>
          <w:p>
            <w:pPr>
              <w:jc w:val="center"/>
              <w:rPr>
                <w:rFonts w:ascii="仿宋_GB2312" w:hAnsi="宋体" w:eastAsia="仿宋_GB2312" w:cs="仿宋_GB2312"/>
                <w:bCs/>
                <w:color w:val="auto"/>
                <w:sz w:val="24"/>
                <w:highlight w:val="none"/>
              </w:rPr>
            </w:pPr>
          </w:p>
        </w:tc>
        <w:tc>
          <w:tcPr>
            <w:tcW w:w="905" w:type="dxa"/>
            <w:vAlign w:val="center"/>
          </w:tcPr>
          <w:p>
            <w:pPr>
              <w:jc w:val="left"/>
              <w:rPr>
                <w:rFonts w:ascii="仿宋_GB2312" w:hAnsi="宋体" w:eastAsia="仿宋_GB2312" w:cs="仿宋_GB2312"/>
                <w:bCs/>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32" w:type="dxa"/>
            <w:vAlign w:val="center"/>
          </w:tcPr>
          <w:p>
            <w:pPr>
              <w:jc w:val="center"/>
              <w:rPr>
                <w:rFonts w:ascii="宋体" w:hAnsi="宋体" w:cs="仿宋_GB2312"/>
                <w:bCs/>
                <w:color w:val="auto"/>
                <w:sz w:val="24"/>
                <w:highlight w:val="none"/>
              </w:rPr>
            </w:pPr>
          </w:p>
        </w:tc>
        <w:tc>
          <w:tcPr>
            <w:tcW w:w="995" w:type="dxa"/>
            <w:vAlign w:val="center"/>
          </w:tcPr>
          <w:p>
            <w:pPr>
              <w:jc w:val="center"/>
              <w:rPr>
                <w:rFonts w:ascii="仿宋_GB2312" w:hAnsi="宋体" w:eastAsia="仿宋_GB2312" w:cs="仿宋_GB2312"/>
                <w:bCs/>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技术负责人</w:t>
            </w:r>
          </w:p>
        </w:tc>
        <w:tc>
          <w:tcPr>
            <w:tcW w:w="2634" w:type="dxa"/>
            <w:vAlign w:val="center"/>
          </w:tcPr>
          <w:p>
            <w:pPr>
              <w:jc w:val="center"/>
              <w:rPr>
                <w:rFonts w:ascii="仿宋_GB2312" w:hAnsi="宋体" w:eastAsia="仿宋_GB2312" w:cs="仿宋_GB2312"/>
                <w:bCs/>
                <w:color w:val="auto"/>
                <w:sz w:val="24"/>
                <w:highlight w:val="none"/>
              </w:rPr>
            </w:pPr>
          </w:p>
        </w:tc>
        <w:tc>
          <w:tcPr>
            <w:tcW w:w="905" w:type="dxa"/>
            <w:vAlign w:val="center"/>
          </w:tcPr>
          <w:p>
            <w:pPr>
              <w:jc w:val="left"/>
              <w:rPr>
                <w:rFonts w:ascii="仿宋_GB2312" w:hAnsi="宋体" w:eastAsia="仿宋_GB2312" w:cs="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732" w:type="dxa"/>
            <w:vAlign w:val="center"/>
          </w:tcPr>
          <w:p>
            <w:pPr>
              <w:jc w:val="center"/>
              <w:rPr>
                <w:rFonts w:ascii="宋体" w:hAnsi="宋体" w:cs="仿宋_GB2312"/>
                <w:bCs/>
                <w:color w:val="auto"/>
                <w:sz w:val="24"/>
                <w:highlight w:val="none"/>
              </w:rPr>
            </w:pPr>
          </w:p>
        </w:tc>
        <w:tc>
          <w:tcPr>
            <w:tcW w:w="995" w:type="dxa"/>
            <w:vAlign w:val="center"/>
          </w:tcPr>
          <w:p>
            <w:pPr>
              <w:jc w:val="center"/>
              <w:rPr>
                <w:rFonts w:ascii="仿宋_GB2312" w:hAnsi="宋体" w:eastAsia="仿宋_GB2312" w:cs="仿宋_GB2312"/>
                <w:bCs/>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专职安全员</w:t>
            </w:r>
          </w:p>
        </w:tc>
        <w:tc>
          <w:tcPr>
            <w:tcW w:w="2634" w:type="dxa"/>
            <w:vAlign w:val="center"/>
          </w:tcPr>
          <w:p>
            <w:pPr>
              <w:jc w:val="center"/>
              <w:rPr>
                <w:rFonts w:ascii="仿宋_GB2312" w:hAnsi="宋体" w:eastAsia="仿宋_GB2312" w:cs="仿宋_GB2312"/>
                <w:bCs/>
                <w:color w:val="auto"/>
                <w:sz w:val="24"/>
                <w:highlight w:val="none"/>
              </w:rPr>
            </w:pPr>
          </w:p>
        </w:tc>
        <w:tc>
          <w:tcPr>
            <w:tcW w:w="905" w:type="dxa"/>
            <w:vAlign w:val="center"/>
          </w:tcPr>
          <w:p>
            <w:pPr>
              <w:jc w:val="left"/>
              <w:rPr>
                <w:rFonts w:ascii="仿宋_GB2312" w:hAnsi="宋体" w:eastAsia="仿宋_GB2312" w:cs="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732" w:type="dxa"/>
            <w:vAlign w:val="center"/>
          </w:tcPr>
          <w:p>
            <w:pPr>
              <w:jc w:val="center"/>
              <w:rPr>
                <w:rFonts w:ascii="宋体" w:hAnsi="宋体" w:cs="仿宋_GB2312"/>
                <w:bCs/>
                <w:color w:val="auto"/>
                <w:sz w:val="24"/>
                <w:highlight w:val="none"/>
              </w:rPr>
            </w:pPr>
          </w:p>
        </w:tc>
        <w:tc>
          <w:tcPr>
            <w:tcW w:w="995" w:type="dxa"/>
            <w:vAlign w:val="center"/>
          </w:tcPr>
          <w:p>
            <w:pPr>
              <w:jc w:val="center"/>
              <w:rPr>
                <w:rFonts w:ascii="仿宋_GB2312" w:hAnsi="宋体" w:eastAsia="仿宋_GB2312" w:cs="仿宋_GB2312"/>
                <w:bCs/>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排水专业技术负责人</w:t>
            </w:r>
          </w:p>
        </w:tc>
        <w:tc>
          <w:tcPr>
            <w:tcW w:w="2634" w:type="dxa"/>
            <w:vAlign w:val="center"/>
          </w:tcPr>
          <w:p>
            <w:pPr>
              <w:jc w:val="center"/>
              <w:rPr>
                <w:rFonts w:ascii="仿宋_GB2312" w:hAnsi="宋体" w:eastAsia="仿宋_GB2312" w:cs="仿宋_GB2312"/>
                <w:bCs/>
                <w:color w:val="auto"/>
                <w:sz w:val="24"/>
                <w:highlight w:val="none"/>
              </w:rPr>
            </w:pPr>
          </w:p>
        </w:tc>
        <w:tc>
          <w:tcPr>
            <w:tcW w:w="905" w:type="dxa"/>
            <w:vMerge w:val="restart"/>
            <w:vAlign w:val="center"/>
          </w:tcPr>
          <w:p>
            <w:pPr>
              <w:jc w:val="left"/>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班组1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732" w:type="dxa"/>
            <w:vAlign w:val="center"/>
          </w:tcPr>
          <w:p>
            <w:pPr>
              <w:widowControl/>
              <w:jc w:val="center"/>
              <w:textAlignment w:val="center"/>
              <w:rPr>
                <w:rFonts w:ascii="宋体" w:hAnsi="宋体" w:cs="仿宋_GB2312"/>
                <w:bCs/>
                <w:color w:val="auto"/>
                <w:sz w:val="24"/>
                <w:highlight w:val="none"/>
              </w:rPr>
            </w:pPr>
          </w:p>
        </w:tc>
        <w:tc>
          <w:tcPr>
            <w:tcW w:w="995" w:type="dxa"/>
            <w:vAlign w:val="center"/>
          </w:tcPr>
          <w:p>
            <w:pPr>
              <w:widowControl/>
              <w:jc w:val="center"/>
              <w:textAlignment w:val="center"/>
              <w:rPr>
                <w:rFonts w:ascii="仿宋_GB2312" w:hAnsi="宋体" w:eastAsia="仿宋_GB2312" w:cs="宋体"/>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安全员</w:t>
            </w:r>
          </w:p>
        </w:tc>
        <w:tc>
          <w:tcPr>
            <w:tcW w:w="2634" w:type="dxa"/>
            <w:vAlign w:val="center"/>
          </w:tcPr>
          <w:p>
            <w:pPr>
              <w:jc w:val="center"/>
              <w:rPr>
                <w:rFonts w:ascii="仿宋_GB2312" w:hAnsi="宋体" w:eastAsia="仿宋_GB2312" w:cs="仿宋_GB2312"/>
                <w:bCs/>
                <w:color w:val="auto"/>
                <w:sz w:val="24"/>
                <w:highlight w:val="none"/>
              </w:rPr>
            </w:pPr>
          </w:p>
        </w:tc>
        <w:tc>
          <w:tcPr>
            <w:tcW w:w="905" w:type="dxa"/>
            <w:vMerge w:val="continue"/>
            <w:vAlign w:val="center"/>
          </w:tcPr>
          <w:p>
            <w:pPr>
              <w:jc w:val="left"/>
              <w:rPr>
                <w:rFonts w:ascii="仿宋_GB2312" w:hAnsi="宋体" w:eastAsia="仿宋_GB2312" w:cs="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732" w:type="dxa"/>
            <w:vAlign w:val="center"/>
          </w:tcPr>
          <w:p>
            <w:pPr>
              <w:widowControl/>
              <w:jc w:val="center"/>
              <w:textAlignment w:val="center"/>
              <w:rPr>
                <w:rFonts w:ascii="宋体" w:hAnsi="宋体" w:cs="仿宋_GB2312"/>
                <w:bCs/>
                <w:color w:val="auto"/>
                <w:sz w:val="24"/>
                <w:highlight w:val="none"/>
              </w:rPr>
            </w:pPr>
          </w:p>
        </w:tc>
        <w:tc>
          <w:tcPr>
            <w:tcW w:w="995" w:type="dxa"/>
            <w:vAlign w:val="center"/>
          </w:tcPr>
          <w:p>
            <w:pPr>
              <w:jc w:val="center"/>
              <w:rPr>
                <w:rFonts w:ascii="仿宋_GB2312" w:hAnsi="宋体" w:eastAsia="仿宋_GB2312" w:cs="仿宋_GB2312"/>
                <w:bCs/>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排水专业技术负责人</w:t>
            </w:r>
          </w:p>
        </w:tc>
        <w:tc>
          <w:tcPr>
            <w:tcW w:w="2634" w:type="dxa"/>
            <w:vAlign w:val="center"/>
          </w:tcPr>
          <w:p>
            <w:pPr>
              <w:jc w:val="center"/>
              <w:rPr>
                <w:rFonts w:ascii="仿宋_GB2312" w:hAnsi="宋体" w:eastAsia="仿宋_GB2312" w:cs="仿宋_GB2312"/>
                <w:bCs/>
                <w:color w:val="auto"/>
                <w:sz w:val="24"/>
                <w:highlight w:val="none"/>
              </w:rPr>
            </w:pPr>
          </w:p>
        </w:tc>
        <w:tc>
          <w:tcPr>
            <w:tcW w:w="905" w:type="dxa"/>
            <w:vMerge w:val="restart"/>
            <w:vAlign w:val="center"/>
          </w:tcPr>
          <w:p>
            <w:pPr>
              <w:jc w:val="both"/>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班组2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732" w:type="dxa"/>
            <w:vAlign w:val="center"/>
          </w:tcPr>
          <w:p>
            <w:pPr>
              <w:widowControl/>
              <w:jc w:val="center"/>
              <w:textAlignment w:val="center"/>
              <w:rPr>
                <w:rFonts w:ascii="宋体" w:hAnsi="宋体" w:cs="仿宋_GB2312"/>
                <w:bCs/>
                <w:color w:val="auto"/>
                <w:sz w:val="24"/>
                <w:highlight w:val="none"/>
              </w:rPr>
            </w:pPr>
          </w:p>
        </w:tc>
        <w:tc>
          <w:tcPr>
            <w:tcW w:w="995" w:type="dxa"/>
            <w:vAlign w:val="center"/>
          </w:tcPr>
          <w:p>
            <w:pPr>
              <w:jc w:val="center"/>
              <w:rPr>
                <w:rFonts w:ascii="仿宋_GB2312" w:hAnsi="宋体" w:eastAsia="仿宋_GB2312" w:cs="仿宋_GB2312"/>
                <w:bCs/>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安全员</w:t>
            </w:r>
          </w:p>
        </w:tc>
        <w:tc>
          <w:tcPr>
            <w:tcW w:w="2634" w:type="dxa"/>
            <w:vAlign w:val="center"/>
          </w:tcPr>
          <w:p>
            <w:pPr>
              <w:jc w:val="center"/>
              <w:rPr>
                <w:rFonts w:ascii="仿宋_GB2312" w:hAnsi="宋体" w:eastAsia="仿宋_GB2312" w:cs="仿宋_GB2312"/>
                <w:bCs/>
                <w:color w:val="auto"/>
                <w:sz w:val="24"/>
                <w:highlight w:val="none"/>
              </w:rPr>
            </w:pPr>
          </w:p>
        </w:tc>
        <w:tc>
          <w:tcPr>
            <w:tcW w:w="905" w:type="dxa"/>
            <w:vMerge w:val="continue"/>
            <w:vAlign w:val="center"/>
          </w:tcPr>
          <w:p>
            <w:pPr>
              <w:jc w:val="left"/>
              <w:rPr>
                <w:rFonts w:ascii="仿宋_GB2312" w:hAnsi="宋体" w:eastAsia="仿宋_GB2312" w:cs="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732" w:type="dxa"/>
            <w:vAlign w:val="center"/>
          </w:tcPr>
          <w:p>
            <w:pPr>
              <w:widowControl/>
              <w:jc w:val="center"/>
              <w:textAlignment w:val="center"/>
              <w:rPr>
                <w:rFonts w:ascii="宋体" w:hAnsi="宋体" w:cs="仿宋_GB2312"/>
                <w:bCs/>
                <w:color w:val="auto"/>
                <w:sz w:val="24"/>
                <w:highlight w:val="none"/>
              </w:rPr>
            </w:pPr>
          </w:p>
        </w:tc>
        <w:tc>
          <w:tcPr>
            <w:tcW w:w="995" w:type="dxa"/>
            <w:vAlign w:val="center"/>
          </w:tcPr>
          <w:p>
            <w:pPr>
              <w:jc w:val="center"/>
              <w:rPr>
                <w:rFonts w:ascii="仿宋_GB2312" w:hAnsi="宋体" w:eastAsia="仿宋_GB2312" w:cs="仿宋_GB2312"/>
                <w:bCs/>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排水专业技术负责人</w:t>
            </w:r>
          </w:p>
        </w:tc>
        <w:tc>
          <w:tcPr>
            <w:tcW w:w="2634" w:type="dxa"/>
            <w:vAlign w:val="center"/>
          </w:tcPr>
          <w:p>
            <w:pPr>
              <w:jc w:val="center"/>
              <w:rPr>
                <w:rFonts w:ascii="仿宋_GB2312" w:hAnsi="宋体" w:eastAsia="仿宋_GB2312" w:cs="仿宋_GB2312"/>
                <w:bCs/>
                <w:color w:val="auto"/>
                <w:sz w:val="24"/>
                <w:highlight w:val="none"/>
              </w:rPr>
            </w:pPr>
          </w:p>
        </w:tc>
        <w:tc>
          <w:tcPr>
            <w:tcW w:w="905" w:type="dxa"/>
            <w:vMerge w:val="restart"/>
            <w:vAlign w:val="center"/>
          </w:tcPr>
          <w:p>
            <w:pPr>
              <w:jc w:val="left"/>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班组3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732" w:type="dxa"/>
            <w:vAlign w:val="center"/>
          </w:tcPr>
          <w:p>
            <w:pPr>
              <w:widowControl/>
              <w:jc w:val="center"/>
              <w:textAlignment w:val="center"/>
              <w:rPr>
                <w:rFonts w:ascii="宋体" w:hAnsi="宋体" w:cs="仿宋_GB2312"/>
                <w:bCs/>
                <w:color w:val="auto"/>
                <w:sz w:val="24"/>
                <w:highlight w:val="none"/>
              </w:rPr>
            </w:pPr>
          </w:p>
        </w:tc>
        <w:tc>
          <w:tcPr>
            <w:tcW w:w="995" w:type="dxa"/>
            <w:vAlign w:val="center"/>
          </w:tcPr>
          <w:p>
            <w:pPr>
              <w:jc w:val="center"/>
              <w:rPr>
                <w:rFonts w:ascii="仿宋_GB2312" w:hAnsi="宋体" w:eastAsia="仿宋_GB2312" w:cs="仿宋_GB2312"/>
                <w:bCs/>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安全员</w:t>
            </w:r>
          </w:p>
        </w:tc>
        <w:tc>
          <w:tcPr>
            <w:tcW w:w="2634" w:type="dxa"/>
            <w:vAlign w:val="center"/>
          </w:tcPr>
          <w:p>
            <w:pPr>
              <w:jc w:val="center"/>
              <w:rPr>
                <w:rFonts w:ascii="仿宋_GB2312" w:hAnsi="宋体" w:eastAsia="仿宋_GB2312" w:cs="仿宋_GB2312"/>
                <w:bCs/>
                <w:color w:val="auto"/>
                <w:sz w:val="24"/>
                <w:highlight w:val="none"/>
              </w:rPr>
            </w:pPr>
          </w:p>
        </w:tc>
        <w:tc>
          <w:tcPr>
            <w:tcW w:w="905" w:type="dxa"/>
            <w:vMerge w:val="continue"/>
            <w:vAlign w:val="center"/>
          </w:tcPr>
          <w:p>
            <w:pPr>
              <w:jc w:val="left"/>
              <w:rPr>
                <w:rFonts w:ascii="仿宋_GB2312" w:hAnsi="宋体" w:eastAsia="仿宋_GB2312" w:cs="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732" w:type="dxa"/>
            <w:vAlign w:val="center"/>
          </w:tcPr>
          <w:p>
            <w:pPr>
              <w:widowControl/>
              <w:jc w:val="center"/>
              <w:textAlignment w:val="center"/>
              <w:rPr>
                <w:rFonts w:ascii="宋体" w:hAnsi="宋体" w:cs="仿宋_GB2312"/>
                <w:bCs/>
                <w:color w:val="auto"/>
                <w:sz w:val="24"/>
                <w:highlight w:val="none"/>
              </w:rPr>
            </w:pPr>
          </w:p>
        </w:tc>
        <w:tc>
          <w:tcPr>
            <w:tcW w:w="995" w:type="dxa"/>
            <w:vAlign w:val="center"/>
          </w:tcPr>
          <w:p>
            <w:pPr>
              <w:jc w:val="center"/>
              <w:rPr>
                <w:rFonts w:ascii="仿宋_GB2312" w:hAnsi="宋体" w:eastAsia="仿宋_GB2312" w:cs="仿宋_GB2312"/>
                <w:bCs/>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排水专业技术负责人</w:t>
            </w:r>
          </w:p>
        </w:tc>
        <w:tc>
          <w:tcPr>
            <w:tcW w:w="2634" w:type="dxa"/>
            <w:vAlign w:val="center"/>
          </w:tcPr>
          <w:p>
            <w:pPr>
              <w:jc w:val="center"/>
              <w:rPr>
                <w:rFonts w:ascii="仿宋_GB2312" w:hAnsi="宋体" w:eastAsia="仿宋_GB2312" w:cs="仿宋_GB2312"/>
                <w:bCs/>
                <w:color w:val="auto"/>
                <w:sz w:val="24"/>
                <w:highlight w:val="none"/>
              </w:rPr>
            </w:pPr>
          </w:p>
        </w:tc>
        <w:tc>
          <w:tcPr>
            <w:tcW w:w="905" w:type="dxa"/>
            <w:vMerge w:val="restart"/>
            <w:vAlign w:val="center"/>
          </w:tcPr>
          <w:p>
            <w:pPr>
              <w:jc w:val="left"/>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班组4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732" w:type="dxa"/>
            <w:vAlign w:val="center"/>
          </w:tcPr>
          <w:p>
            <w:pPr>
              <w:widowControl/>
              <w:jc w:val="center"/>
              <w:textAlignment w:val="center"/>
              <w:rPr>
                <w:rFonts w:ascii="宋体" w:hAnsi="宋体" w:cs="仿宋_GB2312"/>
                <w:bCs/>
                <w:color w:val="auto"/>
                <w:sz w:val="24"/>
                <w:highlight w:val="none"/>
              </w:rPr>
            </w:pPr>
          </w:p>
        </w:tc>
        <w:tc>
          <w:tcPr>
            <w:tcW w:w="995" w:type="dxa"/>
            <w:vAlign w:val="center"/>
          </w:tcPr>
          <w:p>
            <w:pPr>
              <w:jc w:val="center"/>
              <w:rPr>
                <w:rFonts w:ascii="仿宋_GB2312" w:hAnsi="宋体" w:eastAsia="仿宋_GB2312" w:cs="仿宋_GB2312"/>
                <w:bCs/>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安全员</w:t>
            </w:r>
          </w:p>
        </w:tc>
        <w:tc>
          <w:tcPr>
            <w:tcW w:w="2634" w:type="dxa"/>
            <w:vAlign w:val="center"/>
          </w:tcPr>
          <w:p>
            <w:pPr>
              <w:jc w:val="center"/>
              <w:rPr>
                <w:rFonts w:ascii="仿宋_GB2312" w:hAnsi="宋体" w:eastAsia="仿宋_GB2312" w:cs="仿宋_GB2312"/>
                <w:bCs/>
                <w:color w:val="auto"/>
                <w:sz w:val="24"/>
                <w:highlight w:val="none"/>
              </w:rPr>
            </w:pPr>
          </w:p>
        </w:tc>
        <w:tc>
          <w:tcPr>
            <w:tcW w:w="905" w:type="dxa"/>
            <w:vMerge w:val="continue"/>
            <w:vAlign w:val="center"/>
          </w:tcPr>
          <w:p>
            <w:pPr>
              <w:jc w:val="left"/>
              <w:rPr>
                <w:rFonts w:ascii="仿宋_GB2312" w:hAnsi="宋体" w:eastAsia="仿宋_GB2312" w:cs="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732" w:type="dxa"/>
            <w:vAlign w:val="center"/>
          </w:tcPr>
          <w:p>
            <w:pPr>
              <w:widowControl/>
              <w:jc w:val="center"/>
              <w:textAlignment w:val="center"/>
              <w:rPr>
                <w:rFonts w:ascii="宋体" w:hAnsi="宋体" w:cs="仿宋_GB2312"/>
                <w:bCs/>
                <w:color w:val="auto"/>
                <w:sz w:val="24"/>
                <w:highlight w:val="none"/>
              </w:rPr>
            </w:pPr>
          </w:p>
        </w:tc>
        <w:tc>
          <w:tcPr>
            <w:tcW w:w="995" w:type="dxa"/>
            <w:vAlign w:val="center"/>
          </w:tcPr>
          <w:p>
            <w:pPr>
              <w:jc w:val="center"/>
              <w:rPr>
                <w:rFonts w:ascii="仿宋_GB2312" w:hAnsi="宋体" w:eastAsia="仿宋_GB2312" w:cs="仿宋_GB2312"/>
                <w:bCs/>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排水专业技术负责人</w:t>
            </w:r>
          </w:p>
        </w:tc>
        <w:tc>
          <w:tcPr>
            <w:tcW w:w="2634" w:type="dxa"/>
            <w:vAlign w:val="center"/>
          </w:tcPr>
          <w:p>
            <w:pPr>
              <w:jc w:val="center"/>
              <w:rPr>
                <w:rFonts w:ascii="仿宋_GB2312" w:hAnsi="宋体" w:eastAsia="仿宋_GB2312" w:cs="仿宋_GB2312"/>
                <w:bCs/>
                <w:color w:val="auto"/>
                <w:sz w:val="24"/>
                <w:highlight w:val="none"/>
              </w:rPr>
            </w:pPr>
          </w:p>
        </w:tc>
        <w:tc>
          <w:tcPr>
            <w:tcW w:w="905" w:type="dxa"/>
            <w:vMerge w:val="restart"/>
            <w:vAlign w:val="center"/>
          </w:tcPr>
          <w:p>
            <w:pPr>
              <w:jc w:val="left"/>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班组5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732" w:type="dxa"/>
            <w:vAlign w:val="center"/>
          </w:tcPr>
          <w:p>
            <w:pPr>
              <w:widowControl/>
              <w:jc w:val="center"/>
              <w:textAlignment w:val="center"/>
              <w:rPr>
                <w:rFonts w:ascii="宋体" w:hAnsi="宋体" w:cs="仿宋_GB2312"/>
                <w:bCs/>
                <w:color w:val="auto"/>
                <w:sz w:val="24"/>
                <w:highlight w:val="none"/>
              </w:rPr>
            </w:pPr>
          </w:p>
        </w:tc>
        <w:tc>
          <w:tcPr>
            <w:tcW w:w="995" w:type="dxa"/>
            <w:vAlign w:val="center"/>
          </w:tcPr>
          <w:p>
            <w:pPr>
              <w:jc w:val="center"/>
              <w:rPr>
                <w:rFonts w:ascii="仿宋_GB2312" w:hAnsi="宋体" w:eastAsia="仿宋_GB2312" w:cs="仿宋_GB2312"/>
                <w:bCs/>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安全员</w:t>
            </w:r>
          </w:p>
        </w:tc>
        <w:tc>
          <w:tcPr>
            <w:tcW w:w="2634" w:type="dxa"/>
            <w:vAlign w:val="center"/>
          </w:tcPr>
          <w:p>
            <w:pPr>
              <w:jc w:val="center"/>
              <w:rPr>
                <w:rFonts w:ascii="仿宋_GB2312" w:hAnsi="宋体" w:eastAsia="仿宋_GB2312" w:cs="仿宋_GB2312"/>
                <w:bCs/>
                <w:color w:val="auto"/>
                <w:sz w:val="24"/>
                <w:highlight w:val="none"/>
              </w:rPr>
            </w:pPr>
          </w:p>
        </w:tc>
        <w:tc>
          <w:tcPr>
            <w:tcW w:w="905" w:type="dxa"/>
            <w:vMerge w:val="continue"/>
            <w:vAlign w:val="center"/>
          </w:tcPr>
          <w:p>
            <w:pPr>
              <w:jc w:val="left"/>
              <w:rPr>
                <w:rFonts w:ascii="仿宋_GB2312" w:hAnsi="宋体" w:eastAsia="仿宋_GB2312" w:cs="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732" w:type="dxa"/>
            <w:vAlign w:val="center"/>
          </w:tcPr>
          <w:p>
            <w:pPr>
              <w:widowControl/>
              <w:jc w:val="center"/>
              <w:textAlignment w:val="center"/>
              <w:rPr>
                <w:rFonts w:ascii="宋体" w:hAnsi="宋体" w:cs="仿宋_GB2312"/>
                <w:bCs/>
                <w:color w:val="auto"/>
                <w:sz w:val="24"/>
                <w:highlight w:val="none"/>
              </w:rPr>
            </w:pPr>
          </w:p>
        </w:tc>
        <w:tc>
          <w:tcPr>
            <w:tcW w:w="995" w:type="dxa"/>
            <w:vAlign w:val="center"/>
          </w:tcPr>
          <w:p>
            <w:pPr>
              <w:jc w:val="center"/>
              <w:rPr>
                <w:rFonts w:ascii="仿宋_GB2312" w:hAnsi="宋体" w:eastAsia="仿宋_GB2312" w:cs="仿宋_GB2312"/>
                <w:bCs/>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排水专业技术负责人</w:t>
            </w:r>
          </w:p>
        </w:tc>
        <w:tc>
          <w:tcPr>
            <w:tcW w:w="2634" w:type="dxa"/>
            <w:vAlign w:val="center"/>
          </w:tcPr>
          <w:p>
            <w:pPr>
              <w:jc w:val="center"/>
              <w:rPr>
                <w:rFonts w:ascii="仿宋_GB2312" w:hAnsi="宋体" w:eastAsia="仿宋_GB2312" w:cs="仿宋_GB2312"/>
                <w:bCs/>
                <w:color w:val="auto"/>
                <w:sz w:val="24"/>
                <w:highlight w:val="none"/>
              </w:rPr>
            </w:pPr>
          </w:p>
        </w:tc>
        <w:tc>
          <w:tcPr>
            <w:tcW w:w="905" w:type="dxa"/>
            <w:vMerge w:val="restart"/>
            <w:vAlign w:val="center"/>
          </w:tcPr>
          <w:p>
            <w:pPr>
              <w:jc w:val="left"/>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班组6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732" w:type="dxa"/>
            <w:vAlign w:val="center"/>
          </w:tcPr>
          <w:p>
            <w:pPr>
              <w:widowControl/>
              <w:jc w:val="center"/>
              <w:textAlignment w:val="center"/>
              <w:rPr>
                <w:rFonts w:ascii="宋体" w:hAnsi="宋体" w:cs="仿宋_GB2312"/>
                <w:bCs/>
                <w:color w:val="auto"/>
                <w:sz w:val="24"/>
                <w:highlight w:val="none"/>
              </w:rPr>
            </w:pPr>
          </w:p>
        </w:tc>
        <w:tc>
          <w:tcPr>
            <w:tcW w:w="995" w:type="dxa"/>
            <w:vAlign w:val="center"/>
          </w:tcPr>
          <w:p>
            <w:pPr>
              <w:jc w:val="center"/>
              <w:rPr>
                <w:rFonts w:ascii="仿宋_GB2312" w:hAnsi="宋体" w:eastAsia="仿宋_GB2312" w:cs="仿宋_GB2312"/>
                <w:bCs/>
                <w:color w:val="auto"/>
                <w:sz w:val="24"/>
                <w:highlight w:val="none"/>
              </w:rPr>
            </w:pPr>
          </w:p>
        </w:tc>
        <w:tc>
          <w:tcPr>
            <w:tcW w:w="723" w:type="dxa"/>
            <w:vAlign w:val="center"/>
          </w:tcPr>
          <w:p>
            <w:pPr>
              <w:jc w:val="center"/>
              <w:rPr>
                <w:rFonts w:ascii="仿宋_GB2312" w:hAnsi="宋体" w:eastAsia="仿宋_GB2312" w:cs="仿宋_GB2312"/>
                <w:bCs/>
                <w:color w:val="auto"/>
                <w:sz w:val="24"/>
                <w:highlight w:val="none"/>
              </w:rPr>
            </w:pPr>
          </w:p>
        </w:tc>
        <w:tc>
          <w:tcPr>
            <w:tcW w:w="941" w:type="dxa"/>
            <w:vAlign w:val="center"/>
          </w:tcPr>
          <w:p>
            <w:pPr>
              <w:jc w:val="center"/>
              <w:rPr>
                <w:rFonts w:ascii="仿宋_GB2312" w:hAnsi="宋体" w:eastAsia="仿宋_GB2312" w:cs="仿宋_GB2312"/>
                <w:bCs/>
                <w:color w:val="auto"/>
                <w:sz w:val="24"/>
                <w:highlight w:val="none"/>
              </w:rPr>
            </w:pPr>
          </w:p>
        </w:tc>
        <w:tc>
          <w:tcPr>
            <w:tcW w:w="1459" w:type="dxa"/>
            <w:vAlign w:val="center"/>
          </w:tcPr>
          <w:p>
            <w:pPr>
              <w:jc w:val="center"/>
              <w:rPr>
                <w:rFonts w:ascii="仿宋_GB2312" w:hAnsi="宋体" w:eastAsia="仿宋_GB2312" w:cs="仿宋_GB2312"/>
                <w:bCs/>
                <w:color w:val="auto"/>
                <w:sz w:val="24"/>
                <w:highlight w:val="none"/>
              </w:rPr>
            </w:pPr>
          </w:p>
        </w:tc>
        <w:tc>
          <w:tcPr>
            <w:tcW w:w="1705" w:type="dxa"/>
            <w:vAlign w:val="center"/>
          </w:tcPr>
          <w:p>
            <w:pPr>
              <w:jc w:val="center"/>
              <w:rPr>
                <w:rFonts w:ascii="仿宋_GB2312" w:hAnsi="宋体" w:eastAsia="仿宋_GB2312" w:cs="仿宋_GB2312"/>
                <w:bCs/>
                <w:color w:val="auto"/>
                <w:sz w:val="24"/>
                <w:highlight w:val="none"/>
              </w:rPr>
            </w:pPr>
            <w:r>
              <w:rPr>
                <w:rFonts w:hint="eastAsia" w:ascii="仿宋_GB2312" w:hAnsi="宋体" w:eastAsia="仿宋_GB2312" w:cs="仿宋_GB2312"/>
                <w:bCs/>
                <w:color w:val="auto"/>
                <w:sz w:val="24"/>
                <w:highlight w:val="none"/>
              </w:rPr>
              <w:t>安全员</w:t>
            </w:r>
          </w:p>
        </w:tc>
        <w:tc>
          <w:tcPr>
            <w:tcW w:w="2634" w:type="dxa"/>
            <w:vAlign w:val="center"/>
          </w:tcPr>
          <w:p>
            <w:pPr>
              <w:jc w:val="center"/>
              <w:rPr>
                <w:rFonts w:ascii="仿宋_GB2312" w:hAnsi="宋体" w:eastAsia="仿宋_GB2312" w:cs="仿宋_GB2312"/>
                <w:bCs/>
                <w:color w:val="auto"/>
                <w:sz w:val="24"/>
                <w:highlight w:val="none"/>
              </w:rPr>
            </w:pPr>
          </w:p>
        </w:tc>
        <w:tc>
          <w:tcPr>
            <w:tcW w:w="905" w:type="dxa"/>
            <w:vMerge w:val="continue"/>
            <w:vAlign w:val="center"/>
          </w:tcPr>
          <w:p>
            <w:pPr>
              <w:jc w:val="left"/>
              <w:rPr>
                <w:rFonts w:ascii="宋体" w:hAnsi="宋体" w:cs="仿宋_GB2312"/>
                <w:bCs/>
                <w:color w:val="auto"/>
                <w:sz w:val="24"/>
                <w:highlight w:val="none"/>
              </w:rPr>
            </w:pPr>
          </w:p>
        </w:tc>
      </w:tr>
      <w:bookmarkEnd w:id="9"/>
    </w:tbl>
    <w:p>
      <w:pPr>
        <w:rPr>
          <w:rFonts w:hint="eastAsia" w:ascii="仿宋_GB2312" w:hAnsi="仿宋_GB2312" w:eastAsia="仿宋_GB2312" w:cs="仿宋_GB2312"/>
          <w:b w:val="0"/>
          <w:color w:val="auto"/>
          <w:sz w:val="32"/>
          <w:szCs w:val="32"/>
          <w:highlight w:val="none"/>
        </w:rPr>
      </w:pPr>
      <w:bookmarkStart w:id="11" w:name="_Toc528663605"/>
      <w:r>
        <w:rPr>
          <w:rFonts w:hint="eastAsia" w:ascii="仿宋_GB2312" w:hAnsi="仿宋_GB2312" w:eastAsia="仿宋_GB2312" w:cs="仿宋_GB2312"/>
          <w:b w:val="0"/>
          <w:color w:val="auto"/>
          <w:sz w:val="32"/>
          <w:szCs w:val="32"/>
          <w:highlight w:val="none"/>
        </w:rPr>
        <w:br w:type="page"/>
      </w:r>
    </w:p>
    <w:p>
      <w:pPr>
        <w:pStyle w:val="2"/>
        <w:spacing w:line="100" w:lineRule="atLeast"/>
        <w:rPr>
          <w:rFonts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附件</w:t>
      </w:r>
      <w:r>
        <w:rPr>
          <w:rFonts w:hint="eastAsia" w:ascii="仿宋_GB2312" w:hAnsi="仿宋_GB2312" w:eastAsia="仿宋_GB2312" w:cs="仿宋_GB2312"/>
          <w:b w:val="0"/>
          <w:color w:val="auto"/>
          <w:sz w:val="32"/>
          <w:szCs w:val="32"/>
          <w:highlight w:val="none"/>
          <w:lang w:val="en-US" w:eastAsia="zh-CN"/>
        </w:rPr>
        <w:t>7</w:t>
      </w:r>
      <w:r>
        <w:rPr>
          <w:rFonts w:hint="eastAsia" w:ascii="仿宋_GB2312" w:hAnsi="仿宋_GB2312" w:eastAsia="仿宋_GB2312" w:cs="仿宋_GB2312"/>
          <w:b w:val="0"/>
          <w:color w:val="auto"/>
          <w:sz w:val="32"/>
          <w:szCs w:val="32"/>
          <w:highlight w:val="none"/>
        </w:rPr>
        <w:t xml:space="preserve">  </w:t>
      </w:r>
    </w:p>
    <w:p>
      <w:pPr>
        <w:pStyle w:val="2"/>
        <w:spacing w:line="240" w:lineRule="atLeast"/>
        <w:jc w:val="center"/>
        <w:rPr>
          <w:rFonts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法定代表人证明书和授权委托书</w:t>
      </w:r>
      <w:bookmarkEnd w:id="11"/>
    </w:p>
    <w:p>
      <w:pPr>
        <w:spacing w:line="240" w:lineRule="atLeast"/>
        <w:ind w:firstLine="496"/>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（1）法定代表人证明书</w:t>
      </w:r>
    </w:p>
    <w:p>
      <w:pPr>
        <w:wordWrap w:val="0"/>
        <w:ind w:right="420"/>
        <w:jc w:val="righ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190500</wp:posOffset>
                </wp:positionV>
                <wp:extent cx="5878830" cy="3126105"/>
                <wp:effectExtent l="0" t="0" r="26670" b="17780"/>
                <wp:wrapNone/>
                <wp:docPr id="23" name="文本框 23"/>
                <wp:cNvGraphicFramePr/>
                <a:graphic xmlns:a="http://schemas.openxmlformats.org/drawingml/2006/main">
                  <a:graphicData uri="http://schemas.microsoft.com/office/word/2010/wordprocessingShape">
                    <wps:wsp>
                      <wps:cNvSpPr txBox="1"/>
                      <wps:spPr>
                        <a:xfrm>
                          <a:off x="0" y="0"/>
                          <a:ext cx="5878830" cy="312597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8"/>
                              </w:rPr>
                            </w:pPr>
                          </w:p>
                          <w:p>
                            <w:pPr>
                              <w:spacing w:line="360" w:lineRule="auto"/>
                              <w:rPr>
                                <w:rFonts w:ascii="仿宋_GB2312" w:eastAsia="仿宋_GB2312"/>
                                <w:sz w:val="24"/>
                              </w:rPr>
                            </w:pPr>
                            <w:r>
                              <w:rPr>
                                <w:rFonts w:hint="eastAsia"/>
                                <w:szCs w:val="28"/>
                              </w:rPr>
                              <w:t>　　</w:t>
                            </w:r>
                            <w:r>
                              <w:rPr>
                                <w:rFonts w:hint="eastAsia" w:ascii="仿宋_GB2312" w:eastAsia="仿宋_GB2312"/>
                                <w:szCs w:val="28"/>
                                <w:u w:val="single"/>
                                <w:lang w:val="en-US" w:eastAsia="zh-CN"/>
                              </w:rPr>
                              <w:t xml:space="preserve">         </w:t>
                            </w:r>
                            <w:r>
                              <w:rPr>
                                <w:rFonts w:hint="eastAsia" w:ascii="仿宋_GB2312" w:eastAsia="仿宋_GB2312"/>
                                <w:szCs w:val="28"/>
                                <w:u w:val="single"/>
                              </w:rPr>
                              <w:t xml:space="preserve"> </w:t>
                            </w:r>
                            <w:r>
                              <w:rPr>
                                <w:rFonts w:hint="eastAsia" w:ascii="仿宋_GB2312" w:eastAsia="仿宋_GB2312"/>
                                <w:sz w:val="24"/>
                              </w:rPr>
                              <w:t>现任我单位</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职务，为法定代表人（负责人），</w:t>
                            </w:r>
                          </w:p>
                          <w:p>
                            <w:pPr>
                              <w:spacing w:line="360" w:lineRule="auto"/>
                              <w:rPr>
                                <w:rFonts w:ascii="仿宋_GB2312" w:eastAsia="仿宋_GB2312"/>
                                <w:sz w:val="24"/>
                              </w:rPr>
                            </w:pPr>
                            <w:r>
                              <w:rPr>
                                <w:rFonts w:hint="eastAsia" w:ascii="仿宋_GB2312" w:eastAsia="仿宋_GB2312"/>
                                <w:sz w:val="24"/>
                              </w:rPr>
                              <w:t>特此证明。</w:t>
                            </w:r>
                          </w:p>
                          <w:p>
                            <w:pPr>
                              <w:spacing w:line="360" w:lineRule="auto"/>
                              <w:rPr>
                                <w:rFonts w:ascii="仿宋_GB2312" w:eastAsia="仿宋_GB2312"/>
                                <w:sz w:val="24"/>
                              </w:rPr>
                            </w:pPr>
                            <w:r>
                              <w:rPr>
                                <w:rFonts w:hint="eastAsia" w:ascii="仿宋_GB2312" w:eastAsia="仿宋_GB2312"/>
                                <w:sz w:val="24"/>
                              </w:rPr>
                              <w:t>有效期限：</w:t>
                            </w:r>
                            <w:r>
                              <w:rPr>
                                <w:rFonts w:hint="eastAsia" w:ascii="仿宋_GB2312" w:eastAsia="仿宋_GB2312"/>
                                <w:sz w:val="24"/>
                                <w:u w:val="single"/>
                                <w:lang w:val="en-US" w:eastAsia="zh-CN"/>
                              </w:rPr>
                              <w:t xml:space="preserve">     </w:t>
                            </w:r>
                            <w:r>
                              <w:rPr>
                                <w:rFonts w:hint="eastAsia" w:ascii="仿宋_GB2312" w:eastAsia="仿宋_GB2312"/>
                                <w:sz w:val="24"/>
                                <w:u w:val="single"/>
                              </w:rPr>
                              <w:t>年</w:t>
                            </w:r>
                            <w:r>
                              <w:rPr>
                                <w:rFonts w:hint="eastAsia" w:ascii="仿宋_GB2312" w:eastAsia="仿宋_GB2312"/>
                                <w:sz w:val="24"/>
                                <w:u w:val="single"/>
                                <w:lang w:val="en-US" w:eastAsia="zh-CN"/>
                              </w:rPr>
                              <w:t xml:space="preserve">  </w:t>
                            </w:r>
                            <w:r>
                              <w:rPr>
                                <w:rFonts w:hint="eastAsia" w:ascii="仿宋_GB2312" w:eastAsia="仿宋_GB2312"/>
                                <w:sz w:val="24"/>
                                <w:u w:val="single"/>
                              </w:rPr>
                              <w:t>月</w:t>
                            </w:r>
                            <w:r>
                              <w:rPr>
                                <w:rFonts w:hint="eastAsia" w:ascii="仿宋_GB2312" w:eastAsia="仿宋_GB2312"/>
                                <w:sz w:val="24"/>
                                <w:u w:val="single"/>
                                <w:lang w:val="en-US" w:eastAsia="zh-CN"/>
                              </w:rPr>
                              <w:t xml:space="preserve">  </w:t>
                            </w:r>
                            <w:r>
                              <w:rPr>
                                <w:rFonts w:hint="eastAsia" w:ascii="仿宋_GB2312" w:eastAsia="仿宋_GB2312"/>
                                <w:sz w:val="24"/>
                                <w:u w:val="single"/>
                              </w:rPr>
                              <w:t>日至</w:t>
                            </w:r>
                            <w:r>
                              <w:rPr>
                                <w:rFonts w:hint="eastAsia" w:ascii="仿宋_GB2312" w:eastAsia="仿宋_GB2312"/>
                                <w:sz w:val="24"/>
                                <w:u w:val="single"/>
                                <w:lang w:val="en-US" w:eastAsia="zh-CN"/>
                              </w:rPr>
                              <w:t xml:space="preserve">      </w:t>
                            </w:r>
                            <w:r>
                              <w:rPr>
                                <w:rFonts w:hint="eastAsia" w:ascii="仿宋_GB2312" w:eastAsia="仿宋_GB2312"/>
                                <w:sz w:val="24"/>
                                <w:u w:val="single"/>
                              </w:rPr>
                              <w:t>年</w:t>
                            </w:r>
                            <w:r>
                              <w:rPr>
                                <w:rFonts w:hint="eastAsia" w:ascii="仿宋_GB2312" w:eastAsia="仿宋_GB2312"/>
                                <w:sz w:val="24"/>
                                <w:u w:val="single"/>
                                <w:lang w:val="en-US" w:eastAsia="zh-CN"/>
                              </w:rPr>
                              <w:t xml:space="preserve">   </w:t>
                            </w:r>
                            <w:r>
                              <w:rPr>
                                <w:rFonts w:hint="eastAsia" w:ascii="仿宋_GB2312" w:eastAsia="仿宋_GB2312"/>
                                <w:sz w:val="24"/>
                                <w:u w:val="single"/>
                              </w:rPr>
                              <w:t>月</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日 </w:t>
                            </w:r>
                          </w:p>
                          <w:p>
                            <w:pPr>
                              <w:spacing w:line="360" w:lineRule="auto"/>
                              <w:rPr>
                                <w:rFonts w:ascii="仿宋_GB2312" w:eastAsia="仿宋_GB2312"/>
                                <w:sz w:val="24"/>
                              </w:rPr>
                            </w:pPr>
                            <w:r>
                              <w:rPr>
                                <w:rFonts w:hint="eastAsia" w:ascii="仿宋_GB2312" w:eastAsia="仿宋_GB2312"/>
                                <w:sz w:val="24"/>
                              </w:rPr>
                              <w:t>附：法定代表人：</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 xml:space="preserve"> 性别：</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 xml:space="preserve"> 年龄：</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岁 </w:t>
                            </w:r>
                            <w:r>
                              <w:rPr>
                                <w:rFonts w:hint="eastAsia" w:ascii="仿宋_GB2312" w:eastAsia="仿宋_GB2312"/>
                                <w:sz w:val="24"/>
                              </w:rPr>
                              <w:t xml:space="preserve"> 身份证号码：</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z w:val="24"/>
                                <w:u w:val="single"/>
                              </w:rPr>
                              <w:t xml:space="preserve">  </w:t>
                            </w:r>
                          </w:p>
                          <w:p>
                            <w:pPr>
                              <w:spacing w:line="360" w:lineRule="auto"/>
                              <w:rPr>
                                <w:rFonts w:hint="default" w:ascii="仿宋_GB2312" w:eastAsia="仿宋_GB2312"/>
                                <w:sz w:val="24"/>
                                <w:lang w:val="en-US" w:eastAsia="zh-CN"/>
                              </w:rPr>
                            </w:pPr>
                            <w:r>
                              <w:rPr>
                                <w:rFonts w:hint="eastAsia" w:ascii="仿宋_GB2312" w:eastAsia="仿宋_GB2312"/>
                                <w:sz w:val="24"/>
                              </w:rPr>
                              <w:t>注册号码：</w:t>
                            </w:r>
                            <w:r>
                              <w:rPr>
                                <w:rFonts w:hint="eastAsia" w:ascii="仿宋_GB2312" w:eastAsia="仿宋_GB2312"/>
                                <w:sz w:val="24"/>
                                <w:u w:val="single"/>
                                <w:lang w:val="en-US" w:eastAsia="zh-CN"/>
                              </w:rPr>
                              <w:t xml:space="preserve">                   </w:t>
                            </w:r>
                            <w:r>
                              <w:rPr>
                                <w:rFonts w:hint="eastAsia" w:ascii="仿宋_GB2312" w:hAnsi="宋体" w:eastAsia="仿宋_GB2312"/>
                                <w:sz w:val="24"/>
                              </w:rPr>
                              <w:t xml:space="preserve">  </w:t>
                            </w:r>
                            <w:r>
                              <w:rPr>
                                <w:rFonts w:hint="eastAsia" w:ascii="仿宋_GB2312" w:eastAsia="仿宋_GB2312"/>
                                <w:sz w:val="24"/>
                              </w:rPr>
                              <w:t>企业类型：</w:t>
                            </w:r>
                            <w:r>
                              <w:rPr>
                                <w:rFonts w:hint="eastAsia" w:ascii="仿宋_GB2312" w:eastAsia="仿宋_GB2312"/>
                                <w:sz w:val="24"/>
                                <w:u w:val="single"/>
                                <w:lang w:val="en-US" w:eastAsia="zh-CN"/>
                              </w:rPr>
                              <w:t xml:space="preserve">            </w:t>
                            </w:r>
                          </w:p>
                          <w:p>
                            <w:pPr>
                              <w:spacing w:line="360" w:lineRule="auto"/>
                              <w:rPr>
                                <w:rFonts w:ascii="仿宋_GB2312" w:eastAsia="仿宋_GB2312"/>
                                <w:sz w:val="24"/>
                              </w:rPr>
                            </w:pPr>
                            <w:r>
                              <w:rPr>
                                <w:rFonts w:hint="eastAsia" w:ascii="仿宋_GB2312" w:eastAsia="仿宋_GB2312"/>
                                <w:sz w:val="24"/>
                              </w:rPr>
                              <w:t xml:space="preserve">经营范围：房屋建筑工程施工总承包、市政公用工程施工总承包、建筑装修装饰工程专业承包、机电设备安装工程专业承包、钢结构工程专业承包、城市及道路照明工程专业承包。 </w:t>
                            </w:r>
                          </w:p>
                          <w:p>
                            <w:pPr>
                              <w:spacing w:line="360" w:lineRule="auto"/>
                              <w:rPr>
                                <w:rFonts w:ascii="仿宋_GB2312" w:eastAsia="仿宋_GB2312"/>
                                <w:sz w:val="24"/>
                              </w:rPr>
                            </w:pPr>
                            <w:r>
                              <w:rPr>
                                <w:rFonts w:hint="eastAsia" w:ascii="仿宋_GB2312" w:eastAsia="仿宋_GB2312"/>
                                <w:sz w:val="24"/>
                              </w:rPr>
                              <w:t>单位：</w:t>
                            </w:r>
                            <w:r>
                              <w:rPr>
                                <w:rFonts w:hint="eastAsia" w:ascii="仿宋_GB2312" w:eastAsia="仿宋_GB2312"/>
                                <w:sz w:val="24"/>
                                <w:u w:val="single"/>
                                <w:lang w:val="en-US" w:eastAsia="zh-CN"/>
                              </w:rPr>
                              <w:t xml:space="preserve">                   </w:t>
                            </w:r>
                            <w:r>
                              <w:rPr>
                                <w:rFonts w:hint="eastAsia" w:ascii="仿宋_GB2312" w:eastAsia="仿宋_GB2312"/>
                                <w:sz w:val="24"/>
                              </w:rPr>
                              <w:t>（盖章）</w:t>
                            </w:r>
                          </w:p>
                          <w:p>
                            <w:pPr>
                              <w:spacing w:line="360" w:lineRule="auto"/>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日</w:t>
                            </w:r>
                          </w:p>
                        </w:txbxContent>
                      </wps:txbx>
                      <wps:bodyPr upright="1">
                        <a:noAutofit/>
                      </wps:bodyPr>
                    </wps:wsp>
                  </a:graphicData>
                </a:graphic>
              </wp:anchor>
            </w:drawing>
          </mc:Choice>
          <mc:Fallback>
            <w:pict>
              <v:shape id="_x0000_s1026" o:spid="_x0000_s1026" o:spt="202" type="#_x0000_t202" style="position:absolute;left:0pt;margin-left:-7.55pt;margin-top:15pt;height:246.15pt;width:462.9pt;z-index:251659264;mso-width-relative:page;mso-height-relative:page;" fillcolor="#FFFFFF" filled="t" stroked="t" coordsize="21600,21600" o:gfxdata="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rzvktoAAAAK&#10;AQAADwAAAAAAAAABACAAAAAiAAAAZHJzL2Rvd25yZXYueG1sUEsBAhQAFAAAAAgAh07iQERQRzca&#10;AgAAUwQAAA4AAAAAAAAAAQAgAAAAKQEAAGRycy9lMm9Eb2MueG1sUEsFBgAAAAAGAAYAWQEAALUF&#10;AAAAAA==&#10;">
                <v:fill on="t" focussize="0,0"/>
                <v:stroke color="#000000" joinstyle="miter"/>
                <v:imagedata o:title=""/>
                <o:lock v:ext="edit" aspectratio="f"/>
                <v:textbox>
                  <w:txbxContent>
                    <w:p>
                      <w:pPr>
                        <w:rPr>
                          <w:szCs w:val="28"/>
                        </w:rPr>
                      </w:pPr>
                    </w:p>
                    <w:p>
                      <w:pPr>
                        <w:spacing w:line="360" w:lineRule="auto"/>
                        <w:rPr>
                          <w:rFonts w:ascii="仿宋_GB2312" w:eastAsia="仿宋_GB2312"/>
                          <w:sz w:val="24"/>
                        </w:rPr>
                      </w:pPr>
                      <w:r>
                        <w:rPr>
                          <w:rFonts w:hint="eastAsia"/>
                          <w:szCs w:val="28"/>
                        </w:rPr>
                        <w:t>　　</w:t>
                      </w:r>
                      <w:r>
                        <w:rPr>
                          <w:rFonts w:hint="eastAsia" w:ascii="仿宋_GB2312" w:eastAsia="仿宋_GB2312"/>
                          <w:szCs w:val="28"/>
                          <w:u w:val="single"/>
                          <w:lang w:val="en-US" w:eastAsia="zh-CN"/>
                        </w:rPr>
                        <w:t xml:space="preserve">         </w:t>
                      </w:r>
                      <w:r>
                        <w:rPr>
                          <w:rFonts w:hint="eastAsia" w:ascii="仿宋_GB2312" w:eastAsia="仿宋_GB2312"/>
                          <w:szCs w:val="28"/>
                          <w:u w:val="single"/>
                        </w:rPr>
                        <w:t xml:space="preserve"> </w:t>
                      </w:r>
                      <w:r>
                        <w:rPr>
                          <w:rFonts w:hint="eastAsia" w:ascii="仿宋_GB2312" w:eastAsia="仿宋_GB2312"/>
                          <w:sz w:val="24"/>
                        </w:rPr>
                        <w:t>现任我单位</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职务，为法定代表人（负责人），</w:t>
                      </w:r>
                    </w:p>
                    <w:p>
                      <w:pPr>
                        <w:spacing w:line="360" w:lineRule="auto"/>
                        <w:rPr>
                          <w:rFonts w:ascii="仿宋_GB2312" w:eastAsia="仿宋_GB2312"/>
                          <w:sz w:val="24"/>
                        </w:rPr>
                      </w:pPr>
                      <w:r>
                        <w:rPr>
                          <w:rFonts w:hint="eastAsia" w:ascii="仿宋_GB2312" w:eastAsia="仿宋_GB2312"/>
                          <w:sz w:val="24"/>
                        </w:rPr>
                        <w:t>特此证明。</w:t>
                      </w:r>
                    </w:p>
                    <w:p>
                      <w:pPr>
                        <w:spacing w:line="360" w:lineRule="auto"/>
                        <w:rPr>
                          <w:rFonts w:ascii="仿宋_GB2312" w:eastAsia="仿宋_GB2312"/>
                          <w:sz w:val="24"/>
                        </w:rPr>
                      </w:pPr>
                      <w:r>
                        <w:rPr>
                          <w:rFonts w:hint="eastAsia" w:ascii="仿宋_GB2312" w:eastAsia="仿宋_GB2312"/>
                          <w:sz w:val="24"/>
                        </w:rPr>
                        <w:t>有效期限：</w:t>
                      </w:r>
                      <w:r>
                        <w:rPr>
                          <w:rFonts w:hint="eastAsia" w:ascii="仿宋_GB2312" w:eastAsia="仿宋_GB2312"/>
                          <w:sz w:val="24"/>
                          <w:u w:val="single"/>
                          <w:lang w:val="en-US" w:eastAsia="zh-CN"/>
                        </w:rPr>
                        <w:t xml:space="preserve">     </w:t>
                      </w:r>
                      <w:r>
                        <w:rPr>
                          <w:rFonts w:hint="eastAsia" w:ascii="仿宋_GB2312" w:eastAsia="仿宋_GB2312"/>
                          <w:sz w:val="24"/>
                          <w:u w:val="single"/>
                        </w:rPr>
                        <w:t>年</w:t>
                      </w:r>
                      <w:r>
                        <w:rPr>
                          <w:rFonts w:hint="eastAsia" w:ascii="仿宋_GB2312" w:eastAsia="仿宋_GB2312"/>
                          <w:sz w:val="24"/>
                          <w:u w:val="single"/>
                          <w:lang w:val="en-US" w:eastAsia="zh-CN"/>
                        </w:rPr>
                        <w:t xml:space="preserve">  </w:t>
                      </w:r>
                      <w:r>
                        <w:rPr>
                          <w:rFonts w:hint="eastAsia" w:ascii="仿宋_GB2312" w:eastAsia="仿宋_GB2312"/>
                          <w:sz w:val="24"/>
                          <w:u w:val="single"/>
                        </w:rPr>
                        <w:t>月</w:t>
                      </w:r>
                      <w:r>
                        <w:rPr>
                          <w:rFonts w:hint="eastAsia" w:ascii="仿宋_GB2312" w:eastAsia="仿宋_GB2312"/>
                          <w:sz w:val="24"/>
                          <w:u w:val="single"/>
                          <w:lang w:val="en-US" w:eastAsia="zh-CN"/>
                        </w:rPr>
                        <w:t xml:space="preserve">  </w:t>
                      </w:r>
                      <w:r>
                        <w:rPr>
                          <w:rFonts w:hint="eastAsia" w:ascii="仿宋_GB2312" w:eastAsia="仿宋_GB2312"/>
                          <w:sz w:val="24"/>
                          <w:u w:val="single"/>
                        </w:rPr>
                        <w:t>日至</w:t>
                      </w:r>
                      <w:r>
                        <w:rPr>
                          <w:rFonts w:hint="eastAsia" w:ascii="仿宋_GB2312" w:eastAsia="仿宋_GB2312"/>
                          <w:sz w:val="24"/>
                          <w:u w:val="single"/>
                          <w:lang w:val="en-US" w:eastAsia="zh-CN"/>
                        </w:rPr>
                        <w:t xml:space="preserve">      </w:t>
                      </w:r>
                      <w:r>
                        <w:rPr>
                          <w:rFonts w:hint="eastAsia" w:ascii="仿宋_GB2312" w:eastAsia="仿宋_GB2312"/>
                          <w:sz w:val="24"/>
                          <w:u w:val="single"/>
                        </w:rPr>
                        <w:t>年</w:t>
                      </w:r>
                      <w:r>
                        <w:rPr>
                          <w:rFonts w:hint="eastAsia" w:ascii="仿宋_GB2312" w:eastAsia="仿宋_GB2312"/>
                          <w:sz w:val="24"/>
                          <w:u w:val="single"/>
                          <w:lang w:val="en-US" w:eastAsia="zh-CN"/>
                        </w:rPr>
                        <w:t xml:space="preserve">   </w:t>
                      </w:r>
                      <w:r>
                        <w:rPr>
                          <w:rFonts w:hint="eastAsia" w:ascii="仿宋_GB2312" w:eastAsia="仿宋_GB2312"/>
                          <w:sz w:val="24"/>
                          <w:u w:val="single"/>
                        </w:rPr>
                        <w:t>月</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日 </w:t>
                      </w:r>
                    </w:p>
                    <w:p>
                      <w:pPr>
                        <w:spacing w:line="360" w:lineRule="auto"/>
                        <w:rPr>
                          <w:rFonts w:ascii="仿宋_GB2312" w:eastAsia="仿宋_GB2312"/>
                          <w:sz w:val="24"/>
                        </w:rPr>
                      </w:pPr>
                      <w:r>
                        <w:rPr>
                          <w:rFonts w:hint="eastAsia" w:ascii="仿宋_GB2312" w:eastAsia="仿宋_GB2312"/>
                          <w:sz w:val="24"/>
                        </w:rPr>
                        <w:t>附：法定代表人：</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 xml:space="preserve"> 性别：</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 xml:space="preserve"> 年龄：</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岁 </w:t>
                      </w:r>
                      <w:r>
                        <w:rPr>
                          <w:rFonts w:hint="eastAsia" w:ascii="仿宋_GB2312" w:eastAsia="仿宋_GB2312"/>
                          <w:sz w:val="24"/>
                        </w:rPr>
                        <w:t xml:space="preserve"> 身份证号码：</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z w:val="24"/>
                          <w:u w:val="single"/>
                        </w:rPr>
                        <w:t xml:space="preserve">  </w:t>
                      </w:r>
                    </w:p>
                    <w:p>
                      <w:pPr>
                        <w:spacing w:line="360" w:lineRule="auto"/>
                        <w:rPr>
                          <w:rFonts w:hint="default" w:ascii="仿宋_GB2312" w:eastAsia="仿宋_GB2312"/>
                          <w:sz w:val="24"/>
                          <w:lang w:val="en-US" w:eastAsia="zh-CN"/>
                        </w:rPr>
                      </w:pPr>
                      <w:r>
                        <w:rPr>
                          <w:rFonts w:hint="eastAsia" w:ascii="仿宋_GB2312" w:eastAsia="仿宋_GB2312"/>
                          <w:sz w:val="24"/>
                        </w:rPr>
                        <w:t>注册号码：</w:t>
                      </w:r>
                      <w:r>
                        <w:rPr>
                          <w:rFonts w:hint="eastAsia" w:ascii="仿宋_GB2312" w:eastAsia="仿宋_GB2312"/>
                          <w:sz w:val="24"/>
                          <w:u w:val="single"/>
                          <w:lang w:val="en-US" w:eastAsia="zh-CN"/>
                        </w:rPr>
                        <w:t xml:space="preserve">                   </w:t>
                      </w:r>
                      <w:r>
                        <w:rPr>
                          <w:rFonts w:hint="eastAsia" w:ascii="仿宋_GB2312" w:hAnsi="宋体" w:eastAsia="仿宋_GB2312"/>
                          <w:sz w:val="24"/>
                        </w:rPr>
                        <w:t xml:space="preserve">  </w:t>
                      </w:r>
                      <w:r>
                        <w:rPr>
                          <w:rFonts w:hint="eastAsia" w:ascii="仿宋_GB2312" w:eastAsia="仿宋_GB2312"/>
                          <w:sz w:val="24"/>
                        </w:rPr>
                        <w:t>企业类型：</w:t>
                      </w:r>
                      <w:r>
                        <w:rPr>
                          <w:rFonts w:hint="eastAsia" w:ascii="仿宋_GB2312" w:eastAsia="仿宋_GB2312"/>
                          <w:sz w:val="24"/>
                          <w:u w:val="single"/>
                          <w:lang w:val="en-US" w:eastAsia="zh-CN"/>
                        </w:rPr>
                        <w:t xml:space="preserve">            </w:t>
                      </w:r>
                    </w:p>
                    <w:p>
                      <w:pPr>
                        <w:spacing w:line="360" w:lineRule="auto"/>
                        <w:rPr>
                          <w:rFonts w:ascii="仿宋_GB2312" w:eastAsia="仿宋_GB2312"/>
                          <w:sz w:val="24"/>
                        </w:rPr>
                      </w:pPr>
                      <w:r>
                        <w:rPr>
                          <w:rFonts w:hint="eastAsia" w:ascii="仿宋_GB2312" w:eastAsia="仿宋_GB2312"/>
                          <w:sz w:val="24"/>
                        </w:rPr>
                        <w:t xml:space="preserve">经营范围：房屋建筑工程施工总承包、市政公用工程施工总承包、建筑装修装饰工程专业承包、机电设备安装工程专业承包、钢结构工程专业承包、城市及道路照明工程专业承包。 </w:t>
                      </w:r>
                    </w:p>
                    <w:p>
                      <w:pPr>
                        <w:spacing w:line="360" w:lineRule="auto"/>
                        <w:rPr>
                          <w:rFonts w:ascii="仿宋_GB2312" w:eastAsia="仿宋_GB2312"/>
                          <w:sz w:val="24"/>
                        </w:rPr>
                      </w:pPr>
                      <w:r>
                        <w:rPr>
                          <w:rFonts w:hint="eastAsia" w:ascii="仿宋_GB2312" w:eastAsia="仿宋_GB2312"/>
                          <w:sz w:val="24"/>
                        </w:rPr>
                        <w:t>单位：</w:t>
                      </w:r>
                      <w:r>
                        <w:rPr>
                          <w:rFonts w:hint="eastAsia" w:ascii="仿宋_GB2312" w:eastAsia="仿宋_GB2312"/>
                          <w:sz w:val="24"/>
                          <w:u w:val="single"/>
                          <w:lang w:val="en-US" w:eastAsia="zh-CN"/>
                        </w:rPr>
                        <w:t xml:space="preserve">                   </w:t>
                      </w:r>
                      <w:r>
                        <w:rPr>
                          <w:rFonts w:hint="eastAsia" w:ascii="仿宋_GB2312" w:eastAsia="仿宋_GB2312"/>
                          <w:sz w:val="24"/>
                        </w:rPr>
                        <w:t>（盖章）</w:t>
                      </w:r>
                    </w:p>
                    <w:p>
                      <w:pPr>
                        <w:spacing w:line="360" w:lineRule="auto"/>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日</w:t>
                      </w:r>
                    </w:p>
                  </w:txbxContent>
                </v:textbox>
              </v:shape>
            </w:pict>
          </mc:Fallback>
        </mc:AlternateContent>
      </w:r>
      <w:r>
        <w:rPr>
          <w:rFonts w:hint="eastAsia" w:ascii="仿宋_GB2312" w:hAnsi="仿宋_GB2312" w:eastAsia="仿宋_GB2312" w:cs="仿宋_GB2312"/>
          <w:bCs/>
          <w:color w:val="auto"/>
          <w:sz w:val="24"/>
          <w:highlight w:val="none"/>
        </w:rPr>
        <w:t>第</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号</w:t>
      </w: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      </w:t>
      </w:r>
    </w:p>
    <w:p>
      <w:pPr>
        <w:ind w:firstLine="496"/>
        <w:rPr>
          <w:rFonts w:ascii="仿宋_GB2312" w:hAnsi="仿宋_GB2312" w:eastAsia="仿宋_GB2312" w:cs="仿宋_GB2312"/>
          <w:bCs/>
          <w:color w:val="auto"/>
          <w:sz w:val="24"/>
          <w:highlight w:val="none"/>
        </w:rPr>
      </w:pPr>
    </w:p>
    <w:p>
      <w:pPr>
        <w:ind w:firstLine="480"/>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p>
    <w:p>
      <w:pPr>
        <w:ind w:firstLine="496"/>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（2）法定代表人授权委托书</w:t>
      </w:r>
    </w:p>
    <w:p>
      <w:pPr>
        <w:jc w:val="center"/>
        <w:rPr>
          <w:rFonts w:ascii="仿宋_GB2312" w:hAnsi="仿宋_GB2312" w:eastAsia="仿宋_GB2312" w:cs="仿宋_GB2312"/>
          <w:bCs/>
          <w:color w:val="auto"/>
          <w:sz w:val="24"/>
          <w:highlight w:val="none"/>
        </w:rPr>
        <w:sectPr>
          <w:footerReference r:id="rId4" w:type="default"/>
          <w:footerReference r:id="rId5" w:type="even"/>
          <w:pgSz w:w="11907" w:h="16840"/>
          <w:pgMar w:top="1304" w:right="1418" w:bottom="1304" w:left="1474" w:header="851" w:footer="992" w:gutter="0"/>
          <w:cols w:space="720" w:num="1"/>
          <w:docGrid w:linePitch="312" w:charSpace="0"/>
        </w:sectPr>
      </w:pPr>
      <w:r>
        <w:rPr>
          <w:rFonts w:hint="eastAsia" w:ascii="仿宋_GB2312" w:hAnsi="仿宋_GB2312" w:eastAsia="仿宋_GB2312" w:cs="仿宋_GB2312"/>
          <w:bCs/>
          <w:color w:val="auto"/>
          <w:sz w:val="24"/>
          <w:highlight w:val="none"/>
        </w:rPr>
        <w:t xml:space="preserve">                                            </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第</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号</w:t>
      </w:r>
    </w:p>
    <w:p>
      <w:pPr>
        <w:rPr>
          <w:rFonts w:ascii="仿宋_GB2312" w:hAnsi="仿宋_GB2312" w:eastAsia="仿宋_GB2312" w:cs="仿宋_GB2312"/>
          <w:bCs/>
          <w:color w:val="auto"/>
          <w:highlight w:val="none"/>
        </w:rPr>
        <w:sectPr>
          <w:footerReference r:id="rId6" w:type="default"/>
          <w:footerReference r:id="rId7" w:type="even"/>
          <w:type w:val="continuous"/>
          <w:pgSz w:w="11907" w:h="16840"/>
          <w:pgMar w:top="1304" w:right="1418" w:bottom="1304" w:left="1474" w:header="851" w:footer="992" w:gutter="0"/>
          <w:cols w:space="720" w:num="1"/>
          <w:docGrid w:linePitch="312" w:charSpace="0"/>
        </w:sectPr>
      </w:pPr>
      <w:r>
        <w:rPr>
          <w:rFonts w:hint="eastAsia" w:ascii="仿宋_GB2312" w:hAnsi="仿宋_GB2312" w:eastAsia="仿宋_GB2312" w:cs="仿宋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-75565</wp:posOffset>
                </wp:positionH>
                <wp:positionV relativeFrom="paragraph">
                  <wp:posOffset>71120</wp:posOffset>
                </wp:positionV>
                <wp:extent cx="5835650" cy="3249930"/>
                <wp:effectExtent l="0" t="0" r="12700" b="26670"/>
                <wp:wrapNone/>
                <wp:docPr id="22" name="文本框 22"/>
                <wp:cNvGraphicFramePr/>
                <a:graphic xmlns:a="http://schemas.openxmlformats.org/drawingml/2006/main">
                  <a:graphicData uri="http://schemas.microsoft.com/office/word/2010/wordprocessingShape">
                    <wps:wsp>
                      <wps:cNvSpPr txBox="1"/>
                      <wps:spPr>
                        <a:xfrm>
                          <a:off x="0" y="0"/>
                          <a:ext cx="5835917" cy="325003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ind w:firstLine="480" w:firstLineChars="200"/>
                              <w:rPr>
                                <w:rFonts w:hint="default" w:ascii="仿宋_GB2312" w:eastAsia="仿宋_GB2312"/>
                                <w:sz w:val="24"/>
                                <w:u w:val="single"/>
                                <w:lang w:val="en-US"/>
                              </w:rPr>
                            </w:pPr>
                            <w:r>
                              <w:rPr>
                                <w:rFonts w:hint="eastAsia" w:ascii="仿宋_GB2312" w:eastAsia="仿宋_GB2312"/>
                                <w:sz w:val="24"/>
                              </w:rPr>
                              <w:t>兹授权</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为我方委托代理人，其权限是：</w:t>
                            </w:r>
                            <w:r>
                              <w:rPr>
                                <w:rFonts w:hint="eastAsia" w:ascii="仿宋_GB2312" w:eastAsia="仿宋_GB2312"/>
                                <w:sz w:val="24"/>
                                <w:u w:val="single"/>
                                <w:lang w:val="en-US" w:eastAsia="zh-CN"/>
                              </w:rPr>
                              <w:t xml:space="preserve">                          </w:t>
                            </w:r>
                          </w:p>
                          <w:p>
                            <w:pPr>
                              <w:spacing w:line="360" w:lineRule="auto"/>
                              <w:rPr>
                                <w:rFonts w:ascii="仿宋_GB2312" w:eastAsia="仿宋_GB2312"/>
                                <w:sz w:val="24"/>
                              </w:rPr>
                            </w:pPr>
                            <w:r>
                              <w:rPr>
                                <w:rFonts w:hint="eastAsia" w:ascii="仿宋_GB2312" w:eastAsia="仿宋_GB2312"/>
                                <w:sz w:val="24"/>
                              </w:rPr>
                              <w:t>有效期限：</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年</w:t>
                            </w:r>
                            <w:r>
                              <w:rPr>
                                <w:rFonts w:hint="eastAsia" w:ascii="仿宋_GB2312" w:eastAsia="仿宋_GB2312"/>
                                <w:sz w:val="24"/>
                                <w:u w:val="single"/>
                                <w:lang w:val="en-US" w:eastAsia="zh-CN"/>
                              </w:rPr>
                              <w:t xml:space="preserve">   </w:t>
                            </w:r>
                            <w:r>
                              <w:rPr>
                                <w:rFonts w:hint="eastAsia" w:ascii="仿宋_GB2312" w:eastAsia="仿宋_GB2312"/>
                                <w:sz w:val="24"/>
                                <w:u w:val="single"/>
                              </w:rPr>
                              <w:t>月</w:t>
                            </w:r>
                            <w:r>
                              <w:rPr>
                                <w:rFonts w:hint="eastAsia" w:ascii="仿宋_GB2312" w:eastAsia="仿宋_GB2312"/>
                                <w:sz w:val="24"/>
                                <w:u w:val="single"/>
                                <w:lang w:val="en-US" w:eastAsia="zh-CN"/>
                              </w:rPr>
                              <w:t xml:space="preserve">  </w:t>
                            </w:r>
                            <w:r>
                              <w:rPr>
                                <w:rFonts w:hint="eastAsia" w:ascii="仿宋_GB2312" w:eastAsia="仿宋_GB2312"/>
                                <w:sz w:val="24"/>
                                <w:u w:val="single"/>
                              </w:rPr>
                              <w:t>日至</w:t>
                            </w:r>
                            <w:r>
                              <w:rPr>
                                <w:rFonts w:hint="eastAsia" w:ascii="仿宋_GB2312" w:eastAsia="仿宋_GB2312"/>
                                <w:sz w:val="24"/>
                                <w:u w:val="single"/>
                                <w:lang w:val="en-US" w:eastAsia="zh-CN"/>
                              </w:rPr>
                              <w:t xml:space="preserve">      </w:t>
                            </w:r>
                            <w:r>
                              <w:rPr>
                                <w:rFonts w:hint="eastAsia" w:ascii="仿宋_GB2312" w:eastAsia="仿宋_GB2312"/>
                                <w:sz w:val="24"/>
                                <w:u w:val="single"/>
                              </w:rPr>
                              <w:t>年</w:t>
                            </w:r>
                            <w:r>
                              <w:rPr>
                                <w:rFonts w:hint="eastAsia" w:ascii="仿宋_GB2312" w:eastAsia="仿宋_GB2312"/>
                                <w:sz w:val="24"/>
                                <w:u w:val="single"/>
                                <w:lang w:val="en-US" w:eastAsia="zh-CN"/>
                              </w:rPr>
                              <w:t xml:space="preserve">   </w:t>
                            </w:r>
                            <w:r>
                              <w:rPr>
                                <w:rFonts w:hint="eastAsia" w:ascii="仿宋_GB2312" w:eastAsia="仿宋_GB2312"/>
                                <w:sz w:val="24"/>
                                <w:u w:val="single"/>
                              </w:rPr>
                              <w:t>月</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日 </w:t>
                            </w:r>
                          </w:p>
                          <w:p>
                            <w:pPr>
                              <w:spacing w:line="360" w:lineRule="auto"/>
                              <w:rPr>
                                <w:rFonts w:hint="default" w:ascii="仿宋_GB2312" w:eastAsia="仿宋_GB2312"/>
                                <w:sz w:val="24"/>
                                <w:lang w:val="en-US" w:eastAsia="zh-CN"/>
                              </w:rPr>
                            </w:pPr>
                            <w:r>
                              <w:rPr>
                                <w:rFonts w:hint="eastAsia" w:ascii="仿宋_GB2312" w:eastAsia="仿宋_GB2312"/>
                                <w:sz w:val="24"/>
                              </w:rPr>
                              <w:t>附：代理人：</w:t>
                            </w:r>
                            <w:r>
                              <w:rPr>
                                <w:rFonts w:hint="eastAsia" w:ascii="仿宋_GB2312" w:eastAsia="仿宋_GB2312"/>
                                <w:sz w:val="24"/>
                                <w:u w:val="single"/>
                                <w:lang w:val="en-US" w:eastAsia="zh-CN"/>
                              </w:rPr>
                              <w:t xml:space="preserve">      </w:t>
                            </w:r>
                            <w:r>
                              <w:rPr>
                                <w:rFonts w:hint="eastAsia" w:ascii="仿宋_GB2312" w:eastAsia="仿宋_GB2312"/>
                                <w:sz w:val="24"/>
                              </w:rPr>
                              <w:t xml:space="preserve"> 性别：</w:t>
                            </w:r>
                            <w:r>
                              <w:rPr>
                                <w:rFonts w:hint="eastAsia" w:ascii="仿宋_GB2312" w:eastAsia="仿宋_GB2312"/>
                                <w:sz w:val="24"/>
                                <w:u w:val="single"/>
                                <w:lang w:val="en-US" w:eastAsia="zh-CN"/>
                              </w:rPr>
                              <w:t xml:space="preserve">     </w:t>
                            </w:r>
                            <w:r>
                              <w:rPr>
                                <w:rFonts w:hint="eastAsia" w:ascii="仿宋_GB2312" w:eastAsia="仿宋_GB2312"/>
                                <w:sz w:val="24"/>
                              </w:rPr>
                              <w:t xml:space="preserve"> 年龄：</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岁 </w:t>
                            </w:r>
                            <w:r>
                              <w:rPr>
                                <w:rFonts w:hint="eastAsia" w:ascii="仿宋_GB2312" w:eastAsia="仿宋_GB2312"/>
                                <w:sz w:val="24"/>
                              </w:rPr>
                              <w:t xml:space="preserve">  身份证号码：</w:t>
                            </w:r>
                            <w:r>
                              <w:rPr>
                                <w:rFonts w:hint="eastAsia" w:ascii="仿宋_GB2312" w:eastAsia="仿宋_GB2312"/>
                                <w:sz w:val="24"/>
                                <w:u w:val="single"/>
                                <w:lang w:val="en-US" w:eastAsia="zh-CN"/>
                              </w:rPr>
                              <w:t xml:space="preserve">               </w:t>
                            </w:r>
                          </w:p>
                          <w:p>
                            <w:pPr>
                              <w:spacing w:line="360" w:lineRule="auto"/>
                              <w:rPr>
                                <w:rFonts w:hint="default" w:ascii="仿宋_GB2312" w:eastAsia="仿宋_GB2312"/>
                                <w:sz w:val="24"/>
                                <w:u w:val="single"/>
                                <w:lang w:val="en-US" w:eastAsia="zh-CN"/>
                              </w:rPr>
                            </w:pPr>
                            <w:r>
                              <w:rPr>
                                <w:rFonts w:hint="eastAsia" w:ascii="仿宋_GB2312" w:eastAsia="仿宋_GB2312"/>
                                <w:sz w:val="24"/>
                              </w:rPr>
                              <w:t>注册号码：</w:t>
                            </w:r>
                            <w:r>
                              <w:rPr>
                                <w:rFonts w:hint="eastAsia" w:ascii="仿宋_GB2312" w:eastAsia="仿宋_GB2312"/>
                                <w:sz w:val="24"/>
                                <w:u w:val="single"/>
                                <w:lang w:val="en-US" w:eastAsia="zh-CN"/>
                              </w:rPr>
                              <w:t xml:space="preserve">               </w:t>
                            </w:r>
                            <w:r>
                              <w:rPr>
                                <w:rFonts w:hint="eastAsia" w:ascii="仿宋_GB2312" w:hAnsi="宋体" w:eastAsia="仿宋_GB2312"/>
                                <w:sz w:val="24"/>
                              </w:rPr>
                              <w:t xml:space="preserve">  </w:t>
                            </w:r>
                            <w:r>
                              <w:rPr>
                                <w:rFonts w:hint="eastAsia" w:ascii="仿宋_GB2312" w:eastAsia="仿宋_GB2312"/>
                                <w:sz w:val="24"/>
                              </w:rPr>
                              <w:t>企业类型：</w:t>
                            </w:r>
                            <w:r>
                              <w:rPr>
                                <w:rFonts w:hint="eastAsia" w:ascii="仿宋_GB2312" w:eastAsia="仿宋_GB2312"/>
                                <w:sz w:val="24"/>
                                <w:u w:val="single"/>
                                <w:lang w:val="en-US" w:eastAsia="zh-CN"/>
                              </w:rPr>
                              <w:t xml:space="preserve">              </w:t>
                            </w:r>
                          </w:p>
                          <w:p>
                            <w:pPr>
                              <w:spacing w:line="360" w:lineRule="auto"/>
                              <w:rPr>
                                <w:rFonts w:hint="eastAsia" w:ascii="仿宋_GB2312" w:eastAsia="仿宋_GB2312"/>
                                <w:sz w:val="24"/>
                              </w:rPr>
                            </w:pPr>
                            <w:r>
                              <w:rPr>
                                <w:rFonts w:hint="eastAsia" w:ascii="仿宋_GB2312" w:eastAsia="仿宋_GB2312"/>
                                <w:sz w:val="24"/>
                              </w:rPr>
                              <w:t>经营范围：</w:t>
                            </w:r>
                          </w:p>
                          <w:p>
                            <w:pPr>
                              <w:spacing w:line="360" w:lineRule="auto"/>
                              <w:rPr>
                                <w:rFonts w:hint="eastAsia" w:ascii="仿宋_GB2312" w:eastAsia="仿宋_GB2312"/>
                                <w:sz w:val="24"/>
                              </w:rPr>
                            </w:pPr>
                          </w:p>
                          <w:p>
                            <w:pPr>
                              <w:spacing w:line="360" w:lineRule="auto"/>
                              <w:rPr>
                                <w:rFonts w:ascii="仿宋_GB2312" w:eastAsia="仿宋_GB2312"/>
                                <w:sz w:val="24"/>
                              </w:rPr>
                            </w:pPr>
                            <w:r>
                              <w:rPr>
                                <w:rFonts w:hint="eastAsia" w:ascii="仿宋_GB2312" w:eastAsia="仿宋_GB2312"/>
                                <w:sz w:val="24"/>
                              </w:rPr>
                              <w:t>法定代表人（负责人）：</w:t>
                            </w:r>
                            <w:r>
                              <w:rPr>
                                <w:rFonts w:hint="eastAsia" w:ascii="仿宋_GB2312" w:eastAsia="仿宋_GB2312"/>
                                <w:sz w:val="24"/>
                                <w:u w:val="single"/>
                              </w:rPr>
                              <w:t xml:space="preserve">                 </w:t>
                            </w:r>
                            <w:r>
                              <w:rPr>
                                <w:rFonts w:hint="eastAsia" w:ascii="仿宋_GB2312" w:eastAsia="仿宋_GB2312"/>
                                <w:sz w:val="24"/>
                              </w:rPr>
                              <w:t>（签名或盖章）</w:t>
                            </w:r>
                          </w:p>
                          <w:p>
                            <w:pPr>
                              <w:spacing w:line="360" w:lineRule="auto"/>
                              <w:rPr>
                                <w:rFonts w:ascii="仿宋_GB2312" w:hAnsi="宋体" w:eastAsia="仿宋_GB2312" w:cs="宋体"/>
                                <w:sz w:val="24"/>
                              </w:rPr>
                            </w:pPr>
                            <w:r>
                              <w:rPr>
                                <w:rFonts w:hint="eastAsia" w:ascii="仿宋_GB2312" w:eastAsia="仿宋_GB2312"/>
                                <w:sz w:val="24"/>
                              </w:rPr>
                              <w:t>单位：</w:t>
                            </w:r>
                            <w:r>
                              <w:rPr>
                                <w:rFonts w:hint="eastAsia" w:ascii="仿宋_GB2312" w:eastAsia="仿宋_GB2312"/>
                                <w:sz w:val="24"/>
                                <w:lang w:val="en-US" w:eastAsia="zh-CN"/>
                              </w:rPr>
                              <w:t xml:space="preserve">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w:t>
                            </w:r>
                            <w:r>
                              <w:rPr>
                                <w:rFonts w:hint="eastAsia" w:ascii="仿宋_GB2312" w:eastAsia="仿宋_GB2312"/>
                                <w:sz w:val="24"/>
                              </w:rPr>
                              <w:t>（盖章）</w:t>
                            </w:r>
                          </w:p>
                          <w:p>
                            <w:pPr>
                              <w:spacing w:line="360" w:lineRule="auto"/>
                              <w:rPr>
                                <w:rFonts w:ascii="仿宋_GB2312" w:hAnsi="宋体" w:eastAsia="仿宋_GB2312" w:cs="宋体"/>
                                <w:sz w:val="24"/>
                              </w:rPr>
                            </w:pPr>
                            <w:r>
                              <w:rPr>
                                <w:rFonts w:hint="eastAsia" w:ascii="仿宋_GB2312" w:eastAsia="仿宋_GB2312"/>
                                <w:sz w:val="24"/>
                              </w:rPr>
                              <w:t xml:space="preserve">　　　　　　　　　　　　　　　　　　　　　    </w:t>
                            </w:r>
                            <w:r>
                              <w:rPr>
                                <w:rFonts w:hint="eastAsia" w:ascii="仿宋_GB2312" w:hAnsi="宋体" w:eastAsia="仿宋_GB2312" w:cs="宋体"/>
                                <w:sz w:val="24"/>
                              </w:rPr>
                              <w:t xml:space="preserve"> </w:t>
                            </w:r>
                            <w:r>
                              <w:rPr>
                                <w:rFonts w:hint="eastAsia" w:ascii="仿宋_GB2312" w:hAnsi="宋体" w:eastAsia="仿宋_GB2312" w:cs="宋体"/>
                                <w:sz w:val="24"/>
                                <w:lang w:val="en-US" w:eastAsia="zh-CN"/>
                              </w:rPr>
                              <w:t xml:space="preserve">      </w:t>
                            </w:r>
                            <w:r>
                              <w:rPr>
                                <w:rFonts w:hint="eastAsia" w:ascii="仿宋_GB2312" w:eastAsia="仿宋_GB2312"/>
                                <w:sz w:val="24"/>
                              </w:rPr>
                              <w:t>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日</w:t>
                            </w:r>
                          </w:p>
                          <w:p>
                            <w:pPr>
                              <w:spacing w:line="360" w:lineRule="auto"/>
                            </w:pPr>
                          </w:p>
                        </w:txbxContent>
                      </wps:txbx>
                      <wps:bodyPr wrap="square" upright="1">
                        <a:noAutofit/>
                      </wps:bodyPr>
                    </wps:wsp>
                  </a:graphicData>
                </a:graphic>
              </wp:anchor>
            </w:drawing>
          </mc:Choice>
          <mc:Fallback>
            <w:pict>
              <v:shape id="_x0000_s1026" o:spid="_x0000_s1026" o:spt="202" type="#_x0000_t202" style="position:absolute;left:0pt;margin-left:-5.95pt;margin-top:5.6pt;height:255.9pt;width:459.5pt;z-index:251660288;mso-width-relative:page;mso-height-relative:page;" fillcolor="#FFFFFF" filled="t" stroked="t" coordsize="21600,21600" o:gfxdata="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T&#10;Ht5t2QAAAAoBAAAPAAAAAAAAAAEAIAAAACIAAABkcnMvZG93bnJldi54bWxQSwECFAAUAAAACACH&#10;TuJAK8QUPCMCAABhBAAADgAAAAAAAAABACAAAAAoAQAAZHJzL2Uyb0RvYy54bWxQSwUGAAAAAAYA&#10;BgBZAQAAvQUAAAAA&#10;">
                <v:fill on="t" focussize="0,0"/>
                <v:stroke color="#000000" joinstyle="miter"/>
                <v:imagedata o:title=""/>
                <o:lock v:ext="edit" aspectratio="f"/>
                <v:textbox>
                  <w:txbxContent>
                    <w:p>
                      <w:pPr>
                        <w:spacing w:line="360" w:lineRule="auto"/>
                        <w:ind w:firstLine="480" w:firstLineChars="200"/>
                        <w:rPr>
                          <w:rFonts w:hint="default" w:ascii="仿宋_GB2312" w:eastAsia="仿宋_GB2312"/>
                          <w:sz w:val="24"/>
                          <w:u w:val="single"/>
                          <w:lang w:val="en-US"/>
                        </w:rPr>
                      </w:pPr>
                      <w:r>
                        <w:rPr>
                          <w:rFonts w:hint="eastAsia" w:ascii="仿宋_GB2312" w:eastAsia="仿宋_GB2312"/>
                          <w:sz w:val="24"/>
                        </w:rPr>
                        <w:t>兹授权</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为我方委托代理人，其权限是：</w:t>
                      </w:r>
                      <w:r>
                        <w:rPr>
                          <w:rFonts w:hint="eastAsia" w:ascii="仿宋_GB2312" w:eastAsia="仿宋_GB2312"/>
                          <w:sz w:val="24"/>
                          <w:u w:val="single"/>
                          <w:lang w:val="en-US" w:eastAsia="zh-CN"/>
                        </w:rPr>
                        <w:t xml:space="preserve">                          </w:t>
                      </w:r>
                    </w:p>
                    <w:p>
                      <w:pPr>
                        <w:spacing w:line="360" w:lineRule="auto"/>
                        <w:rPr>
                          <w:rFonts w:ascii="仿宋_GB2312" w:eastAsia="仿宋_GB2312"/>
                          <w:sz w:val="24"/>
                        </w:rPr>
                      </w:pPr>
                      <w:r>
                        <w:rPr>
                          <w:rFonts w:hint="eastAsia" w:ascii="仿宋_GB2312" w:eastAsia="仿宋_GB2312"/>
                          <w:sz w:val="24"/>
                        </w:rPr>
                        <w:t>有效期限：</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年</w:t>
                      </w:r>
                      <w:r>
                        <w:rPr>
                          <w:rFonts w:hint="eastAsia" w:ascii="仿宋_GB2312" w:eastAsia="仿宋_GB2312"/>
                          <w:sz w:val="24"/>
                          <w:u w:val="single"/>
                          <w:lang w:val="en-US" w:eastAsia="zh-CN"/>
                        </w:rPr>
                        <w:t xml:space="preserve">   </w:t>
                      </w:r>
                      <w:r>
                        <w:rPr>
                          <w:rFonts w:hint="eastAsia" w:ascii="仿宋_GB2312" w:eastAsia="仿宋_GB2312"/>
                          <w:sz w:val="24"/>
                          <w:u w:val="single"/>
                        </w:rPr>
                        <w:t>月</w:t>
                      </w:r>
                      <w:r>
                        <w:rPr>
                          <w:rFonts w:hint="eastAsia" w:ascii="仿宋_GB2312" w:eastAsia="仿宋_GB2312"/>
                          <w:sz w:val="24"/>
                          <w:u w:val="single"/>
                          <w:lang w:val="en-US" w:eastAsia="zh-CN"/>
                        </w:rPr>
                        <w:t xml:space="preserve">  </w:t>
                      </w:r>
                      <w:r>
                        <w:rPr>
                          <w:rFonts w:hint="eastAsia" w:ascii="仿宋_GB2312" w:eastAsia="仿宋_GB2312"/>
                          <w:sz w:val="24"/>
                          <w:u w:val="single"/>
                        </w:rPr>
                        <w:t>日至</w:t>
                      </w:r>
                      <w:r>
                        <w:rPr>
                          <w:rFonts w:hint="eastAsia" w:ascii="仿宋_GB2312" w:eastAsia="仿宋_GB2312"/>
                          <w:sz w:val="24"/>
                          <w:u w:val="single"/>
                          <w:lang w:val="en-US" w:eastAsia="zh-CN"/>
                        </w:rPr>
                        <w:t xml:space="preserve">      </w:t>
                      </w:r>
                      <w:r>
                        <w:rPr>
                          <w:rFonts w:hint="eastAsia" w:ascii="仿宋_GB2312" w:eastAsia="仿宋_GB2312"/>
                          <w:sz w:val="24"/>
                          <w:u w:val="single"/>
                        </w:rPr>
                        <w:t>年</w:t>
                      </w:r>
                      <w:r>
                        <w:rPr>
                          <w:rFonts w:hint="eastAsia" w:ascii="仿宋_GB2312" w:eastAsia="仿宋_GB2312"/>
                          <w:sz w:val="24"/>
                          <w:u w:val="single"/>
                          <w:lang w:val="en-US" w:eastAsia="zh-CN"/>
                        </w:rPr>
                        <w:t xml:space="preserve">   </w:t>
                      </w:r>
                      <w:r>
                        <w:rPr>
                          <w:rFonts w:hint="eastAsia" w:ascii="仿宋_GB2312" w:eastAsia="仿宋_GB2312"/>
                          <w:sz w:val="24"/>
                          <w:u w:val="single"/>
                        </w:rPr>
                        <w:t>月</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日 </w:t>
                      </w:r>
                    </w:p>
                    <w:p>
                      <w:pPr>
                        <w:spacing w:line="360" w:lineRule="auto"/>
                        <w:rPr>
                          <w:rFonts w:hint="default" w:ascii="仿宋_GB2312" w:eastAsia="仿宋_GB2312"/>
                          <w:sz w:val="24"/>
                          <w:lang w:val="en-US" w:eastAsia="zh-CN"/>
                        </w:rPr>
                      </w:pPr>
                      <w:r>
                        <w:rPr>
                          <w:rFonts w:hint="eastAsia" w:ascii="仿宋_GB2312" w:eastAsia="仿宋_GB2312"/>
                          <w:sz w:val="24"/>
                        </w:rPr>
                        <w:t>附：代理人：</w:t>
                      </w:r>
                      <w:r>
                        <w:rPr>
                          <w:rFonts w:hint="eastAsia" w:ascii="仿宋_GB2312" w:eastAsia="仿宋_GB2312"/>
                          <w:sz w:val="24"/>
                          <w:u w:val="single"/>
                          <w:lang w:val="en-US" w:eastAsia="zh-CN"/>
                        </w:rPr>
                        <w:t xml:space="preserve">      </w:t>
                      </w:r>
                      <w:r>
                        <w:rPr>
                          <w:rFonts w:hint="eastAsia" w:ascii="仿宋_GB2312" w:eastAsia="仿宋_GB2312"/>
                          <w:sz w:val="24"/>
                        </w:rPr>
                        <w:t xml:space="preserve"> 性别：</w:t>
                      </w:r>
                      <w:r>
                        <w:rPr>
                          <w:rFonts w:hint="eastAsia" w:ascii="仿宋_GB2312" w:eastAsia="仿宋_GB2312"/>
                          <w:sz w:val="24"/>
                          <w:u w:val="single"/>
                          <w:lang w:val="en-US" w:eastAsia="zh-CN"/>
                        </w:rPr>
                        <w:t xml:space="preserve">     </w:t>
                      </w:r>
                      <w:r>
                        <w:rPr>
                          <w:rFonts w:hint="eastAsia" w:ascii="仿宋_GB2312" w:eastAsia="仿宋_GB2312"/>
                          <w:sz w:val="24"/>
                        </w:rPr>
                        <w:t xml:space="preserve"> 年龄：</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岁 </w:t>
                      </w:r>
                      <w:r>
                        <w:rPr>
                          <w:rFonts w:hint="eastAsia" w:ascii="仿宋_GB2312" w:eastAsia="仿宋_GB2312"/>
                          <w:sz w:val="24"/>
                        </w:rPr>
                        <w:t xml:space="preserve">  身份证号码：</w:t>
                      </w:r>
                      <w:r>
                        <w:rPr>
                          <w:rFonts w:hint="eastAsia" w:ascii="仿宋_GB2312" w:eastAsia="仿宋_GB2312"/>
                          <w:sz w:val="24"/>
                          <w:u w:val="single"/>
                          <w:lang w:val="en-US" w:eastAsia="zh-CN"/>
                        </w:rPr>
                        <w:t xml:space="preserve">               </w:t>
                      </w:r>
                    </w:p>
                    <w:p>
                      <w:pPr>
                        <w:spacing w:line="360" w:lineRule="auto"/>
                        <w:rPr>
                          <w:rFonts w:hint="default" w:ascii="仿宋_GB2312" w:eastAsia="仿宋_GB2312"/>
                          <w:sz w:val="24"/>
                          <w:u w:val="single"/>
                          <w:lang w:val="en-US" w:eastAsia="zh-CN"/>
                        </w:rPr>
                      </w:pPr>
                      <w:r>
                        <w:rPr>
                          <w:rFonts w:hint="eastAsia" w:ascii="仿宋_GB2312" w:eastAsia="仿宋_GB2312"/>
                          <w:sz w:val="24"/>
                        </w:rPr>
                        <w:t>注册号码：</w:t>
                      </w:r>
                      <w:r>
                        <w:rPr>
                          <w:rFonts w:hint="eastAsia" w:ascii="仿宋_GB2312" w:eastAsia="仿宋_GB2312"/>
                          <w:sz w:val="24"/>
                          <w:u w:val="single"/>
                          <w:lang w:val="en-US" w:eastAsia="zh-CN"/>
                        </w:rPr>
                        <w:t xml:space="preserve">               </w:t>
                      </w:r>
                      <w:r>
                        <w:rPr>
                          <w:rFonts w:hint="eastAsia" w:ascii="仿宋_GB2312" w:hAnsi="宋体" w:eastAsia="仿宋_GB2312"/>
                          <w:sz w:val="24"/>
                        </w:rPr>
                        <w:t xml:space="preserve">  </w:t>
                      </w:r>
                      <w:r>
                        <w:rPr>
                          <w:rFonts w:hint="eastAsia" w:ascii="仿宋_GB2312" w:eastAsia="仿宋_GB2312"/>
                          <w:sz w:val="24"/>
                        </w:rPr>
                        <w:t>企业类型：</w:t>
                      </w:r>
                      <w:r>
                        <w:rPr>
                          <w:rFonts w:hint="eastAsia" w:ascii="仿宋_GB2312" w:eastAsia="仿宋_GB2312"/>
                          <w:sz w:val="24"/>
                          <w:u w:val="single"/>
                          <w:lang w:val="en-US" w:eastAsia="zh-CN"/>
                        </w:rPr>
                        <w:t xml:space="preserve">              </w:t>
                      </w:r>
                    </w:p>
                    <w:p>
                      <w:pPr>
                        <w:spacing w:line="360" w:lineRule="auto"/>
                        <w:rPr>
                          <w:rFonts w:hint="eastAsia" w:ascii="仿宋_GB2312" w:eastAsia="仿宋_GB2312"/>
                          <w:sz w:val="24"/>
                        </w:rPr>
                      </w:pPr>
                      <w:r>
                        <w:rPr>
                          <w:rFonts w:hint="eastAsia" w:ascii="仿宋_GB2312" w:eastAsia="仿宋_GB2312"/>
                          <w:sz w:val="24"/>
                        </w:rPr>
                        <w:t>经营范围：</w:t>
                      </w:r>
                    </w:p>
                    <w:p>
                      <w:pPr>
                        <w:spacing w:line="360" w:lineRule="auto"/>
                        <w:rPr>
                          <w:rFonts w:hint="eastAsia" w:ascii="仿宋_GB2312" w:eastAsia="仿宋_GB2312"/>
                          <w:sz w:val="24"/>
                        </w:rPr>
                      </w:pPr>
                    </w:p>
                    <w:p>
                      <w:pPr>
                        <w:spacing w:line="360" w:lineRule="auto"/>
                        <w:rPr>
                          <w:rFonts w:ascii="仿宋_GB2312" w:eastAsia="仿宋_GB2312"/>
                          <w:sz w:val="24"/>
                        </w:rPr>
                      </w:pPr>
                      <w:r>
                        <w:rPr>
                          <w:rFonts w:hint="eastAsia" w:ascii="仿宋_GB2312" w:eastAsia="仿宋_GB2312"/>
                          <w:sz w:val="24"/>
                        </w:rPr>
                        <w:t>法定代表人（负责人）：</w:t>
                      </w:r>
                      <w:r>
                        <w:rPr>
                          <w:rFonts w:hint="eastAsia" w:ascii="仿宋_GB2312" w:eastAsia="仿宋_GB2312"/>
                          <w:sz w:val="24"/>
                          <w:u w:val="single"/>
                        </w:rPr>
                        <w:t xml:space="preserve">                 </w:t>
                      </w:r>
                      <w:r>
                        <w:rPr>
                          <w:rFonts w:hint="eastAsia" w:ascii="仿宋_GB2312" w:eastAsia="仿宋_GB2312"/>
                          <w:sz w:val="24"/>
                        </w:rPr>
                        <w:t>（签名或盖章）</w:t>
                      </w:r>
                    </w:p>
                    <w:p>
                      <w:pPr>
                        <w:spacing w:line="360" w:lineRule="auto"/>
                        <w:rPr>
                          <w:rFonts w:ascii="仿宋_GB2312" w:hAnsi="宋体" w:eastAsia="仿宋_GB2312" w:cs="宋体"/>
                          <w:sz w:val="24"/>
                        </w:rPr>
                      </w:pPr>
                      <w:r>
                        <w:rPr>
                          <w:rFonts w:hint="eastAsia" w:ascii="仿宋_GB2312" w:eastAsia="仿宋_GB2312"/>
                          <w:sz w:val="24"/>
                        </w:rPr>
                        <w:t>单位：</w:t>
                      </w:r>
                      <w:r>
                        <w:rPr>
                          <w:rFonts w:hint="eastAsia" w:ascii="仿宋_GB2312" w:eastAsia="仿宋_GB2312"/>
                          <w:sz w:val="24"/>
                          <w:lang w:val="en-US" w:eastAsia="zh-CN"/>
                        </w:rPr>
                        <w:t xml:space="preserve">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w:t>
                      </w:r>
                      <w:r>
                        <w:rPr>
                          <w:rFonts w:hint="eastAsia" w:ascii="仿宋_GB2312" w:eastAsia="仿宋_GB2312"/>
                          <w:sz w:val="24"/>
                        </w:rPr>
                        <w:t>（盖章）</w:t>
                      </w:r>
                    </w:p>
                    <w:p>
                      <w:pPr>
                        <w:spacing w:line="360" w:lineRule="auto"/>
                        <w:rPr>
                          <w:rFonts w:ascii="仿宋_GB2312" w:hAnsi="宋体" w:eastAsia="仿宋_GB2312" w:cs="宋体"/>
                          <w:sz w:val="24"/>
                        </w:rPr>
                      </w:pPr>
                      <w:r>
                        <w:rPr>
                          <w:rFonts w:hint="eastAsia" w:ascii="仿宋_GB2312" w:eastAsia="仿宋_GB2312"/>
                          <w:sz w:val="24"/>
                        </w:rPr>
                        <w:t xml:space="preserve">　　　　　　　　　　　　　　　　　　　　　    </w:t>
                      </w:r>
                      <w:r>
                        <w:rPr>
                          <w:rFonts w:hint="eastAsia" w:ascii="仿宋_GB2312" w:hAnsi="宋体" w:eastAsia="仿宋_GB2312" w:cs="宋体"/>
                          <w:sz w:val="24"/>
                        </w:rPr>
                        <w:t xml:space="preserve"> </w:t>
                      </w:r>
                      <w:r>
                        <w:rPr>
                          <w:rFonts w:hint="eastAsia" w:ascii="仿宋_GB2312" w:hAnsi="宋体" w:eastAsia="仿宋_GB2312" w:cs="宋体"/>
                          <w:sz w:val="24"/>
                          <w:lang w:val="en-US" w:eastAsia="zh-CN"/>
                        </w:rPr>
                        <w:t xml:space="preserve">      </w:t>
                      </w:r>
                      <w:r>
                        <w:rPr>
                          <w:rFonts w:hint="eastAsia" w:ascii="仿宋_GB2312" w:eastAsia="仿宋_GB2312"/>
                          <w:sz w:val="24"/>
                        </w:rPr>
                        <w:t>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日</w:t>
                      </w:r>
                    </w:p>
                    <w:p>
                      <w:pPr>
                        <w:spacing w:line="360" w:lineRule="auto"/>
                      </w:pPr>
                    </w:p>
                  </w:txbxContent>
                </v:textbox>
              </v:shape>
            </w:pict>
          </mc:Fallback>
        </mc:AlternateContent>
      </w:r>
    </w:p>
    <w:p>
      <w:pPr>
        <w:pStyle w:val="2"/>
        <w:spacing w:line="100" w:lineRule="atLeast"/>
        <w:rPr>
          <w:rFonts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附件</w:t>
      </w:r>
      <w:r>
        <w:rPr>
          <w:rFonts w:hint="eastAsia" w:ascii="仿宋_GB2312" w:hAnsi="仿宋_GB2312" w:eastAsia="仿宋_GB2312" w:cs="仿宋_GB2312"/>
          <w:b w:val="0"/>
          <w:color w:val="auto"/>
          <w:sz w:val="32"/>
          <w:szCs w:val="32"/>
          <w:highlight w:val="none"/>
          <w:lang w:val="en-US" w:eastAsia="zh-CN"/>
        </w:rPr>
        <w:t>8</w:t>
      </w:r>
      <w:r>
        <w:rPr>
          <w:rFonts w:hint="eastAsia" w:ascii="仿宋_GB2312" w:hAnsi="仿宋_GB2312" w:eastAsia="仿宋_GB2312" w:cs="仿宋_GB2312"/>
          <w:b w:val="0"/>
          <w:color w:val="auto"/>
          <w:sz w:val="32"/>
          <w:szCs w:val="32"/>
          <w:highlight w:val="none"/>
        </w:rPr>
        <w:t xml:space="preserve"> 资质证明书</w:t>
      </w:r>
    </w:p>
    <w:p>
      <w:pPr>
        <w:rPr>
          <w:rFonts w:ascii="仿宋_GB2312" w:hAnsi="仿宋_GB2312" w:eastAsia="仿宋_GB2312" w:cs="仿宋_GB2312"/>
          <w:bCs/>
          <w:color w:val="auto"/>
          <w:highlight w:val="none"/>
        </w:rPr>
        <w:sectPr>
          <w:pgSz w:w="11907" w:h="16840"/>
          <w:pgMar w:top="1304" w:right="1418" w:bottom="1304" w:left="1474" w:header="851" w:footer="992" w:gutter="0"/>
          <w:cols w:space="720" w:num="1"/>
          <w:docGrid w:linePitch="312" w:charSpace="0"/>
        </w:sectPr>
      </w:pPr>
    </w:p>
    <w:p>
      <w:pPr>
        <w:rPr>
          <w:rFonts w:ascii="仿宋_GB2312" w:hAnsi="仿宋_GB2312" w:eastAsia="仿宋_GB2312" w:cs="仿宋_GB2312"/>
          <w:bCs/>
          <w:color w:val="auto"/>
          <w:sz w:val="32"/>
          <w:szCs w:val="32"/>
          <w:highlight w:val="none"/>
        </w:rPr>
      </w:pPr>
      <w:bookmarkStart w:id="12" w:name="_Toc528663607"/>
      <w:r>
        <w:rPr>
          <w:rFonts w:hint="eastAsia" w:ascii="仿宋_GB2312" w:hAnsi="仿宋_GB2312" w:eastAsia="仿宋_GB2312" w:cs="仿宋_GB2312"/>
          <w:bCs/>
          <w:color w:val="auto"/>
          <w:sz w:val="32"/>
          <w:szCs w:val="32"/>
          <w:highlight w:val="none"/>
        </w:rPr>
        <w:t>附件</w:t>
      </w:r>
      <w:r>
        <w:rPr>
          <w:rFonts w:hint="eastAsia" w:ascii="仿宋_GB2312" w:hAnsi="仿宋_GB2312" w:eastAsia="仿宋_GB2312" w:cs="仿宋_GB2312"/>
          <w:bCs/>
          <w:color w:val="auto"/>
          <w:sz w:val="32"/>
          <w:szCs w:val="32"/>
          <w:highlight w:val="none"/>
          <w:lang w:val="en-US" w:eastAsia="zh-CN"/>
        </w:rPr>
        <w:t>9</w:t>
      </w:r>
      <w:r>
        <w:rPr>
          <w:rFonts w:hint="eastAsia" w:ascii="仿宋_GB2312" w:hAnsi="仿宋_GB2312" w:eastAsia="仿宋_GB2312" w:cs="仿宋_GB2312"/>
          <w:bCs/>
          <w:color w:val="auto"/>
          <w:sz w:val="32"/>
          <w:szCs w:val="32"/>
          <w:highlight w:val="none"/>
        </w:rPr>
        <w:t xml:space="preserve">  企业安全生产许可证</w:t>
      </w:r>
      <w:bookmarkEnd w:id="12"/>
    </w:p>
    <w:p>
      <w:pPr>
        <w:rPr>
          <w:rFonts w:ascii="仿宋_GB2312" w:hAnsi="仿宋_GB2312" w:eastAsia="仿宋_GB2312" w:cs="仿宋_GB2312"/>
          <w:bCs/>
          <w:color w:val="auto"/>
          <w:highlight w:val="none"/>
        </w:rPr>
      </w:pPr>
    </w:p>
    <w:p>
      <w:pPr>
        <w:rPr>
          <w:rFonts w:ascii="仿宋_GB2312" w:hAnsi="仿宋_GB2312" w:eastAsia="仿宋_GB2312" w:cs="仿宋_GB2312"/>
          <w:bCs/>
          <w:color w:val="auto"/>
          <w:sz w:val="32"/>
          <w:szCs w:val="32"/>
          <w:highlight w:val="none"/>
        </w:rPr>
      </w:pPr>
    </w:p>
    <w:p>
      <w:pP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br w:type="page"/>
      </w:r>
    </w:p>
    <w:p>
      <w:pPr>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附件</w:t>
      </w:r>
      <w:r>
        <w:rPr>
          <w:rFonts w:hint="eastAsia" w:ascii="仿宋_GB2312" w:hAnsi="仿宋_GB2312" w:eastAsia="仿宋_GB2312" w:cs="仿宋_GB2312"/>
          <w:bCs/>
          <w:color w:val="auto"/>
          <w:sz w:val="32"/>
          <w:szCs w:val="32"/>
          <w:highlight w:val="none"/>
          <w:lang w:val="en-US" w:eastAsia="zh-CN"/>
        </w:rPr>
        <w:t>10</w:t>
      </w:r>
      <w:r>
        <w:rPr>
          <w:rFonts w:hint="eastAsia" w:ascii="仿宋_GB2312" w:hAnsi="仿宋_GB2312" w:eastAsia="仿宋_GB2312" w:cs="仿宋_GB2312"/>
          <w:bCs/>
          <w:color w:val="auto"/>
          <w:sz w:val="32"/>
          <w:szCs w:val="32"/>
          <w:highlight w:val="none"/>
        </w:rPr>
        <w:t xml:space="preserve"> 中标通知书</w:t>
      </w:r>
    </w:p>
    <w:p>
      <w:pPr>
        <w:rPr>
          <w:rFonts w:ascii="仿宋_GB2312" w:hAnsi="仿宋_GB2312" w:eastAsia="仿宋_GB2312" w:cs="仿宋_GB2312"/>
          <w:bCs/>
          <w:color w:val="auto"/>
          <w:highlight w:val="none"/>
        </w:rPr>
      </w:pPr>
    </w:p>
    <w:p>
      <w:pPr>
        <w:rPr>
          <w:rFonts w:ascii="仿宋_GB2312" w:hAnsi="仿宋_GB2312" w:eastAsia="仿宋_GB2312" w:cs="仿宋_GB2312"/>
          <w:bCs/>
          <w:color w:val="auto"/>
          <w:szCs w:val="21"/>
          <w:highlight w:val="none"/>
        </w:rPr>
      </w:pPr>
    </w:p>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86"/>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6484196"/>
      <w:docPartObj>
        <w:docPartGallery w:val="autotext"/>
      </w:docPartObj>
    </w:sdtPr>
    <w:sdtContent>
      <w:p>
        <w:pPr>
          <w:pStyle w:val="16"/>
          <w:jc w:val="center"/>
        </w:pPr>
        <w:r>
          <w:fldChar w:fldCharType="begin"/>
        </w:r>
        <w:r>
          <w:instrText xml:space="preserve">PAGE   \* MERGEFORMAT</w:instrText>
        </w:r>
        <w:r>
          <w:fldChar w:fldCharType="separate"/>
        </w:r>
        <w:r>
          <w:rPr>
            <w:lang w:val="zh-CN"/>
          </w:rPr>
          <w:t>18</w:t>
        </w:r>
        <w:r>
          <w:fldChar w:fldCharType="end"/>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h="597" w:hRule="exact" w:wrap="around" w:vAnchor="text" w:hAnchor="margin" w:xAlign="center" w:y="112"/>
      <w:rPr>
        <w:rStyle w:val="24"/>
        <w:rFonts w:ascii="Times New Roman" w:hAnsi="Times New Roman"/>
        <w:sz w:val="18"/>
      </w:rPr>
    </w:pPr>
    <w:r>
      <w:fldChar w:fldCharType="begin"/>
    </w:r>
    <w:r>
      <w:rPr>
        <w:rStyle w:val="24"/>
        <w:rFonts w:ascii="Times New Roman" w:hAnsi="Times New Roman"/>
        <w:sz w:val="18"/>
      </w:rPr>
      <w:instrText xml:space="preserve">PAGE  </w:instrText>
    </w:r>
    <w:r>
      <w:fldChar w:fldCharType="separate"/>
    </w:r>
    <w:r>
      <w:rPr>
        <w:rStyle w:val="24"/>
        <w:rFonts w:ascii="Times New Roman" w:hAnsi="Times New Roman"/>
        <w:sz w:val="18"/>
      </w:rPr>
      <w:t>28</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separate"/>
    </w:r>
    <w:r>
      <w:rPr>
        <w:rStyle w:val="24"/>
      </w:rPr>
      <w:t>76</w: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h="597" w:hRule="exact" w:wrap="around" w:vAnchor="text" w:hAnchor="margin" w:xAlign="center" w:y="112"/>
      <w:rPr>
        <w:rStyle w:val="24"/>
        <w:rFonts w:ascii="Times New Roman" w:hAnsi="Times New Roman"/>
        <w:sz w:val="18"/>
      </w:rPr>
    </w:pPr>
    <w:r>
      <w:fldChar w:fldCharType="begin"/>
    </w:r>
    <w:r>
      <w:rPr>
        <w:rStyle w:val="24"/>
        <w:rFonts w:ascii="Times New Roman" w:hAnsi="Times New Roman"/>
        <w:sz w:val="18"/>
      </w:rPr>
      <w:instrText xml:space="preserve">PAGE  </w:instrText>
    </w:r>
    <w:r>
      <w:fldChar w:fldCharType="separate"/>
    </w:r>
    <w:r>
      <w:rPr>
        <w:rStyle w:val="24"/>
        <w:rFonts w:ascii="Times New Roman" w:hAnsi="Times New Roman"/>
        <w:sz w:val="18"/>
      </w:rPr>
      <w:t>34</w:t>
    </w:r>
    <w:r>
      <w:fldChar w:fldCharType="end"/>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separate"/>
    </w:r>
    <w:r>
      <w:rPr>
        <w:rStyle w:val="24"/>
      </w:rPr>
      <w:t>76</w:t>
    </w:r>
    <w:r>
      <w:fldChar w:fldCharType="end"/>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336234"/>
      <w:docPartObj>
        <w:docPartGallery w:val="autotext"/>
      </w:docPartObj>
    </w:sdtPr>
    <w:sdtEndPr>
      <w:rPr>
        <w:sz w:val="21"/>
        <w:szCs w:val="21"/>
      </w:rPr>
    </w:sdtEndPr>
    <w:sdtContent>
      <w:p>
        <w:pPr>
          <w:pStyle w:val="16"/>
          <w:jc w:val="center"/>
          <w:rPr>
            <w:sz w:val="21"/>
            <w:szCs w:val="21"/>
          </w:rPr>
        </w:pPr>
        <w:r>
          <w:fldChar w:fldCharType="begin"/>
        </w:r>
        <w:r>
          <w:instrText xml:space="preserve">PAGE   \* MERGEFORMAT</w:instrText>
        </w:r>
        <w:r>
          <w:fldChar w:fldCharType="separate"/>
        </w:r>
        <w:r>
          <w:rPr>
            <w:lang w:val="zh-CN"/>
          </w:rPr>
          <w:t>39</w:t>
        </w:r>
        <w:r>
          <w:fldChar w:fldCharType="end"/>
        </w:r>
      </w:p>
    </w:sdtContent>
  </w:sdt>
  <w:p>
    <w:pPr>
      <w:pStyle w:val="1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73E84"/>
    <w:multiLevelType w:val="multilevel"/>
    <w:tmpl w:val="09773E84"/>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ascii="仿宋_GB2312" w:eastAsia="仿宋_GB2312"/>
        <w:b w:val="0"/>
        <w:bCs w:val="0"/>
        <w:i w:val="0"/>
        <w:iCs w:val="0"/>
        <w:caps w:val="0"/>
        <w:smallCaps w:val="0"/>
        <w:strike w:val="0"/>
        <w:dstrike w:val="0"/>
        <w:vanish w:val="0"/>
        <w:spacing w:val="0"/>
        <w:positio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0A8B35B9"/>
    <w:multiLevelType w:val="multilevel"/>
    <w:tmpl w:val="0A8B35B9"/>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0CD45335"/>
    <w:multiLevelType w:val="multilevel"/>
    <w:tmpl w:val="0CD45335"/>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13E03448"/>
    <w:multiLevelType w:val="multilevel"/>
    <w:tmpl w:val="13E03448"/>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8836C3"/>
    <w:multiLevelType w:val="multilevel"/>
    <w:tmpl w:val="2B8836C3"/>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5">
    <w:nsid w:val="2D606D40"/>
    <w:multiLevelType w:val="multilevel"/>
    <w:tmpl w:val="2D606D40"/>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2220664"/>
    <w:multiLevelType w:val="multilevel"/>
    <w:tmpl w:val="32220664"/>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32CA27E1"/>
    <w:multiLevelType w:val="multilevel"/>
    <w:tmpl w:val="32CA27E1"/>
    <w:lvl w:ilvl="0" w:tentative="0">
      <w:start w:val="1"/>
      <w:numFmt w:val="decimal"/>
      <w:pStyle w:val="42"/>
      <w:lvlText w:val="%1"/>
      <w:lvlJc w:val="left"/>
      <w:pPr>
        <w:ind w:left="0" w:firstLine="0"/>
      </w:pPr>
      <w:rPr>
        <w:rFonts w:hint="eastAsia" w:eastAsia="黑体"/>
        <w:b/>
        <w:i w:val="0"/>
        <w:sz w:val="24"/>
      </w:rPr>
    </w:lvl>
    <w:lvl w:ilvl="1" w:tentative="0">
      <w:start w:val="1"/>
      <w:numFmt w:val="decimal"/>
      <w:lvlRestart w:val="0"/>
      <w:pStyle w:val="43"/>
      <w:isLgl/>
      <w:lvlText w:val="%1.%2"/>
      <w:lvlJc w:val="left"/>
      <w:pPr>
        <w:tabs>
          <w:tab w:val="left" w:pos="510"/>
        </w:tabs>
        <w:ind w:left="420" w:hanging="210"/>
      </w:pPr>
      <w:rPr>
        <w:rFonts w:hint="eastAsia"/>
      </w:rPr>
    </w:lvl>
    <w:lvl w:ilvl="2" w:tentative="0">
      <w:start w:val="1"/>
      <w:numFmt w:val="decimal"/>
      <w:isLgl/>
      <w:lvlText w:val="%1.%2.%3"/>
      <w:lvlJc w:val="left"/>
      <w:pPr>
        <w:ind w:left="397" w:firstLine="103"/>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36634056"/>
    <w:multiLevelType w:val="multilevel"/>
    <w:tmpl w:val="36634056"/>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suff w:val="nothing"/>
      <w:lvlText w:val="（%3）"/>
      <w:lvlJc w:val="left"/>
      <w:pPr>
        <w:ind w:left="737" w:hanging="737"/>
      </w:pPr>
      <w:rPr>
        <w:rFonts w:hint="eastAsia"/>
        <w:lang w:val="en-US"/>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463A5B55"/>
    <w:multiLevelType w:val="multilevel"/>
    <w:tmpl w:val="463A5B55"/>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
    <w:nsid w:val="487B4E65"/>
    <w:multiLevelType w:val="multilevel"/>
    <w:tmpl w:val="487B4E65"/>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1">
    <w:nsid w:val="4E264C24"/>
    <w:multiLevelType w:val="multilevel"/>
    <w:tmpl w:val="4E264C24"/>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2">
    <w:nsid w:val="54A048DD"/>
    <w:multiLevelType w:val="multilevel"/>
    <w:tmpl w:val="54A048DD"/>
    <w:lvl w:ilvl="0" w:tentative="0">
      <w:start w:val="1"/>
      <w:numFmt w:val="decimal"/>
      <w:pStyle w:val="59"/>
      <w:lvlText w:val="%1."/>
      <w:lvlJc w:val="left"/>
      <w:pPr>
        <w:ind w:left="0" w:firstLine="0"/>
      </w:pPr>
      <w:rPr>
        <w:rFonts w:hint="eastAsia"/>
      </w:rPr>
    </w:lvl>
    <w:lvl w:ilvl="1" w:tentative="0">
      <w:start w:val="1"/>
      <w:numFmt w:val="decimal"/>
      <w:pStyle w:val="60"/>
      <w:isLgl/>
      <w:suff w:val="space"/>
      <w:lvlText w:val="%1.%2."/>
      <w:lvlJc w:val="left"/>
      <w:pPr>
        <w:ind w:left="567" w:hanging="567"/>
      </w:pPr>
      <w:rPr>
        <w:rFonts w:hint="default"/>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62"/>
      <w:lvlText w:val="%1.%2.%3."/>
      <w:lvlJc w:val="left"/>
      <w:pPr>
        <w:ind w:left="737" w:hanging="737"/>
      </w:pPr>
      <w:rPr>
        <w:rFonts w:hint="eastAsia"/>
        <w:color w:val="auto"/>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600F654C"/>
    <w:multiLevelType w:val="multilevel"/>
    <w:tmpl w:val="600F654C"/>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6CD9070E"/>
    <w:multiLevelType w:val="multilevel"/>
    <w:tmpl w:val="6CD9070E"/>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5">
    <w:nsid w:val="75D001AD"/>
    <w:multiLevelType w:val="multilevel"/>
    <w:tmpl w:val="75D001AD"/>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6">
    <w:nsid w:val="7FBD41FA"/>
    <w:multiLevelType w:val="multilevel"/>
    <w:tmpl w:val="7FBD41F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12"/>
  </w:num>
  <w:num w:numId="3">
    <w:abstractNumId w:val="9"/>
    <w:lvlOverride w:ilvl="0">
      <w:lvl w:ilvl="0" w:tentative="1">
        <w:start w:val="1"/>
        <w:numFmt w:val="decimal"/>
        <w:lvlText w:val="%1."/>
        <w:lvlJc w:val="left"/>
        <w:pPr>
          <w:ind w:left="0" w:firstLine="0"/>
        </w:pPr>
        <w:rPr>
          <w:rFonts w:hint="eastAsia"/>
        </w:rPr>
      </w:lvl>
    </w:lvlOverride>
    <w:lvlOverride w:ilvl="1">
      <w:lvl w:ilvl="1" w:tentative="1">
        <w:start w:val="1"/>
        <w:numFmt w:val="decimal"/>
        <w:isLgl/>
        <w:suff w:val="nothing"/>
        <w:lvlText w:val="%1.%2."/>
        <w:lvlJc w:val="left"/>
        <w:pPr>
          <w:ind w:left="284" w:hanging="284"/>
        </w:pPr>
        <w:rPr>
          <w:rFonts w:hint="eastAsia"/>
        </w:rPr>
      </w:lvl>
    </w:lvlOverride>
    <w:lvlOverride w:ilvl="2">
      <w:lvl w:ilvl="2" w:tentative="1">
        <w:start w:val="1"/>
        <w:numFmt w:val="decimal"/>
        <w:isLgl/>
        <w:lvlText w:val="%1.%2.%3."/>
        <w:lvlJc w:val="left"/>
        <w:pPr>
          <w:ind w:left="709" w:hanging="709"/>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5"/>
  </w:num>
  <w:num w:numId="5">
    <w:abstractNumId w:val="14"/>
  </w:num>
  <w:num w:numId="6">
    <w:abstractNumId w:val="10"/>
  </w:num>
  <w:num w:numId="7">
    <w:abstractNumId w:val="4"/>
  </w:num>
  <w:num w:numId="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zOGJjNDllY2M1MGFiYWUwYzliMTQ1ZmI5MTFhMGIifQ=="/>
  </w:docVars>
  <w:rsids>
    <w:rsidRoot w:val="001E5C07"/>
    <w:rsid w:val="00003739"/>
    <w:rsid w:val="00007003"/>
    <w:rsid w:val="000077C2"/>
    <w:rsid w:val="0001373B"/>
    <w:rsid w:val="00015DDF"/>
    <w:rsid w:val="00017C26"/>
    <w:rsid w:val="0002146F"/>
    <w:rsid w:val="00027A8E"/>
    <w:rsid w:val="00036D8B"/>
    <w:rsid w:val="00040EC6"/>
    <w:rsid w:val="00042102"/>
    <w:rsid w:val="000631AF"/>
    <w:rsid w:val="00076E42"/>
    <w:rsid w:val="000854A1"/>
    <w:rsid w:val="000855C4"/>
    <w:rsid w:val="0008658B"/>
    <w:rsid w:val="000916C9"/>
    <w:rsid w:val="0009405B"/>
    <w:rsid w:val="000A011C"/>
    <w:rsid w:val="000B1809"/>
    <w:rsid w:val="000C10E9"/>
    <w:rsid w:val="000C3C81"/>
    <w:rsid w:val="000D27E8"/>
    <w:rsid w:val="000D5AE4"/>
    <w:rsid w:val="000E1350"/>
    <w:rsid w:val="000E4160"/>
    <w:rsid w:val="000E5D49"/>
    <w:rsid w:val="0010370E"/>
    <w:rsid w:val="00113A23"/>
    <w:rsid w:val="00114303"/>
    <w:rsid w:val="00116E1B"/>
    <w:rsid w:val="001179A9"/>
    <w:rsid w:val="001230AC"/>
    <w:rsid w:val="00126910"/>
    <w:rsid w:val="001314CA"/>
    <w:rsid w:val="0013286E"/>
    <w:rsid w:val="00135DB4"/>
    <w:rsid w:val="0014236E"/>
    <w:rsid w:val="00147D7F"/>
    <w:rsid w:val="00147F41"/>
    <w:rsid w:val="00151C1D"/>
    <w:rsid w:val="0015656D"/>
    <w:rsid w:val="00157A6D"/>
    <w:rsid w:val="00162168"/>
    <w:rsid w:val="00162870"/>
    <w:rsid w:val="00163575"/>
    <w:rsid w:val="0017534F"/>
    <w:rsid w:val="00182363"/>
    <w:rsid w:val="00184C7E"/>
    <w:rsid w:val="00196586"/>
    <w:rsid w:val="001A2F44"/>
    <w:rsid w:val="001B379B"/>
    <w:rsid w:val="001C4C1E"/>
    <w:rsid w:val="001C5866"/>
    <w:rsid w:val="001D06ED"/>
    <w:rsid w:val="001D0C50"/>
    <w:rsid w:val="001D2082"/>
    <w:rsid w:val="001D5EDC"/>
    <w:rsid w:val="001E01B9"/>
    <w:rsid w:val="001E3D2F"/>
    <w:rsid w:val="001E5C07"/>
    <w:rsid w:val="001E6829"/>
    <w:rsid w:val="0020210F"/>
    <w:rsid w:val="002044BC"/>
    <w:rsid w:val="002050DE"/>
    <w:rsid w:val="00206439"/>
    <w:rsid w:val="00211CBD"/>
    <w:rsid w:val="002135E6"/>
    <w:rsid w:val="00215487"/>
    <w:rsid w:val="00220EB1"/>
    <w:rsid w:val="00221F25"/>
    <w:rsid w:val="002300D7"/>
    <w:rsid w:val="0023214F"/>
    <w:rsid w:val="0023264F"/>
    <w:rsid w:val="0023646A"/>
    <w:rsid w:val="00237642"/>
    <w:rsid w:val="00240FCD"/>
    <w:rsid w:val="00242B4A"/>
    <w:rsid w:val="00250132"/>
    <w:rsid w:val="002512D6"/>
    <w:rsid w:val="00251453"/>
    <w:rsid w:val="00262004"/>
    <w:rsid w:val="00262E4E"/>
    <w:rsid w:val="00266001"/>
    <w:rsid w:val="002668D2"/>
    <w:rsid w:val="00270CD4"/>
    <w:rsid w:val="002727CB"/>
    <w:rsid w:val="00274E16"/>
    <w:rsid w:val="0028491C"/>
    <w:rsid w:val="002857AA"/>
    <w:rsid w:val="00295C44"/>
    <w:rsid w:val="002977DA"/>
    <w:rsid w:val="002A18D8"/>
    <w:rsid w:val="002A2C1B"/>
    <w:rsid w:val="002A68B8"/>
    <w:rsid w:val="002B0C76"/>
    <w:rsid w:val="002B2F72"/>
    <w:rsid w:val="002C6726"/>
    <w:rsid w:val="002C78BA"/>
    <w:rsid w:val="002C7CBB"/>
    <w:rsid w:val="002D357F"/>
    <w:rsid w:val="002E024B"/>
    <w:rsid w:val="002E0F30"/>
    <w:rsid w:val="002F112B"/>
    <w:rsid w:val="002F53FE"/>
    <w:rsid w:val="002F7E0E"/>
    <w:rsid w:val="00311674"/>
    <w:rsid w:val="003133EB"/>
    <w:rsid w:val="0031619B"/>
    <w:rsid w:val="00320E5A"/>
    <w:rsid w:val="0032338C"/>
    <w:rsid w:val="0032512D"/>
    <w:rsid w:val="00330182"/>
    <w:rsid w:val="0033301B"/>
    <w:rsid w:val="003350E6"/>
    <w:rsid w:val="0034079E"/>
    <w:rsid w:val="00343317"/>
    <w:rsid w:val="00350FA5"/>
    <w:rsid w:val="00363407"/>
    <w:rsid w:val="00364A06"/>
    <w:rsid w:val="00371998"/>
    <w:rsid w:val="003736C1"/>
    <w:rsid w:val="00374DD2"/>
    <w:rsid w:val="00381B0C"/>
    <w:rsid w:val="00384910"/>
    <w:rsid w:val="00394861"/>
    <w:rsid w:val="00396463"/>
    <w:rsid w:val="003B137C"/>
    <w:rsid w:val="003C31A5"/>
    <w:rsid w:val="003C6F86"/>
    <w:rsid w:val="003D37A0"/>
    <w:rsid w:val="003D4EDA"/>
    <w:rsid w:val="003D7A17"/>
    <w:rsid w:val="003E1C21"/>
    <w:rsid w:val="003E5048"/>
    <w:rsid w:val="003E75A5"/>
    <w:rsid w:val="003F23B9"/>
    <w:rsid w:val="003F4135"/>
    <w:rsid w:val="0040316A"/>
    <w:rsid w:val="004219DB"/>
    <w:rsid w:val="00422B05"/>
    <w:rsid w:val="00427A45"/>
    <w:rsid w:val="00427B64"/>
    <w:rsid w:val="00431F01"/>
    <w:rsid w:val="004337D5"/>
    <w:rsid w:val="00434717"/>
    <w:rsid w:val="004436EC"/>
    <w:rsid w:val="00443BE5"/>
    <w:rsid w:val="004505BB"/>
    <w:rsid w:val="004520AA"/>
    <w:rsid w:val="00452306"/>
    <w:rsid w:val="00457108"/>
    <w:rsid w:val="004611F2"/>
    <w:rsid w:val="004633A1"/>
    <w:rsid w:val="00472A26"/>
    <w:rsid w:val="00472A90"/>
    <w:rsid w:val="00472AB1"/>
    <w:rsid w:val="00484744"/>
    <w:rsid w:val="0048573C"/>
    <w:rsid w:val="004878C6"/>
    <w:rsid w:val="00487E4A"/>
    <w:rsid w:val="004975DD"/>
    <w:rsid w:val="004B4046"/>
    <w:rsid w:val="004B4C29"/>
    <w:rsid w:val="004C298A"/>
    <w:rsid w:val="004C5354"/>
    <w:rsid w:val="004D3D59"/>
    <w:rsid w:val="004D67D7"/>
    <w:rsid w:val="004E2A9B"/>
    <w:rsid w:val="004E779B"/>
    <w:rsid w:val="004F238E"/>
    <w:rsid w:val="004F6BC5"/>
    <w:rsid w:val="004F7718"/>
    <w:rsid w:val="00502F9C"/>
    <w:rsid w:val="005047D5"/>
    <w:rsid w:val="00512DE7"/>
    <w:rsid w:val="00515336"/>
    <w:rsid w:val="00516256"/>
    <w:rsid w:val="00520C89"/>
    <w:rsid w:val="005227A8"/>
    <w:rsid w:val="0052620F"/>
    <w:rsid w:val="00530351"/>
    <w:rsid w:val="00532E6F"/>
    <w:rsid w:val="00541FB6"/>
    <w:rsid w:val="005469A3"/>
    <w:rsid w:val="00554336"/>
    <w:rsid w:val="00556402"/>
    <w:rsid w:val="00560E55"/>
    <w:rsid w:val="0057545C"/>
    <w:rsid w:val="00584626"/>
    <w:rsid w:val="005874BE"/>
    <w:rsid w:val="005905C9"/>
    <w:rsid w:val="005A1B3E"/>
    <w:rsid w:val="005A27C9"/>
    <w:rsid w:val="005A331A"/>
    <w:rsid w:val="005A3971"/>
    <w:rsid w:val="005A6BD6"/>
    <w:rsid w:val="005B2249"/>
    <w:rsid w:val="005B4DAE"/>
    <w:rsid w:val="005B68CF"/>
    <w:rsid w:val="005C39D2"/>
    <w:rsid w:val="005C7F21"/>
    <w:rsid w:val="005D079F"/>
    <w:rsid w:val="005D2EAE"/>
    <w:rsid w:val="005D3CB6"/>
    <w:rsid w:val="005D6A61"/>
    <w:rsid w:val="005D79B6"/>
    <w:rsid w:val="005D7C96"/>
    <w:rsid w:val="005E0E34"/>
    <w:rsid w:val="005E2C34"/>
    <w:rsid w:val="005E3E0A"/>
    <w:rsid w:val="005E5EBA"/>
    <w:rsid w:val="005E63C2"/>
    <w:rsid w:val="005E75AF"/>
    <w:rsid w:val="005F49DE"/>
    <w:rsid w:val="005F5764"/>
    <w:rsid w:val="005F695A"/>
    <w:rsid w:val="005F7ED3"/>
    <w:rsid w:val="0060205E"/>
    <w:rsid w:val="00604149"/>
    <w:rsid w:val="0060545A"/>
    <w:rsid w:val="00606103"/>
    <w:rsid w:val="00607C3C"/>
    <w:rsid w:val="00610B54"/>
    <w:rsid w:val="006148BF"/>
    <w:rsid w:val="00616AC4"/>
    <w:rsid w:val="00623174"/>
    <w:rsid w:val="0062547D"/>
    <w:rsid w:val="00645742"/>
    <w:rsid w:val="0065588B"/>
    <w:rsid w:val="006645E6"/>
    <w:rsid w:val="00665975"/>
    <w:rsid w:val="00671B14"/>
    <w:rsid w:val="006746E2"/>
    <w:rsid w:val="00677370"/>
    <w:rsid w:val="00684367"/>
    <w:rsid w:val="00687DB7"/>
    <w:rsid w:val="00693F4D"/>
    <w:rsid w:val="00695B39"/>
    <w:rsid w:val="00697F08"/>
    <w:rsid w:val="006A0372"/>
    <w:rsid w:val="006A7A8F"/>
    <w:rsid w:val="006B2470"/>
    <w:rsid w:val="006B2632"/>
    <w:rsid w:val="006B2EB6"/>
    <w:rsid w:val="006B3310"/>
    <w:rsid w:val="006B4DD3"/>
    <w:rsid w:val="006C1339"/>
    <w:rsid w:val="006C6531"/>
    <w:rsid w:val="006C75FE"/>
    <w:rsid w:val="006C7815"/>
    <w:rsid w:val="006D00FE"/>
    <w:rsid w:val="006D0568"/>
    <w:rsid w:val="006D17F6"/>
    <w:rsid w:val="006D439B"/>
    <w:rsid w:val="006D7BC8"/>
    <w:rsid w:val="006F21CC"/>
    <w:rsid w:val="006F430C"/>
    <w:rsid w:val="007055AE"/>
    <w:rsid w:val="00712304"/>
    <w:rsid w:val="00714697"/>
    <w:rsid w:val="0071747E"/>
    <w:rsid w:val="0072733D"/>
    <w:rsid w:val="007310AF"/>
    <w:rsid w:val="00734FFE"/>
    <w:rsid w:val="0073692D"/>
    <w:rsid w:val="00743BC9"/>
    <w:rsid w:val="007447AF"/>
    <w:rsid w:val="00746B32"/>
    <w:rsid w:val="007531DF"/>
    <w:rsid w:val="0075522A"/>
    <w:rsid w:val="007603D9"/>
    <w:rsid w:val="007619CD"/>
    <w:rsid w:val="0077354C"/>
    <w:rsid w:val="00780CDB"/>
    <w:rsid w:val="00781C08"/>
    <w:rsid w:val="0078290B"/>
    <w:rsid w:val="0078437F"/>
    <w:rsid w:val="00790FF2"/>
    <w:rsid w:val="00796AE5"/>
    <w:rsid w:val="007B34D0"/>
    <w:rsid w:val="007B3B7F"/>
    <w:rsid w:val="007C4027"/>
    <w:rsid w:val="007C4C56"/>
    <w:rsid w:val="007D4A1F"/>
    <w:rsid w:val="007D676F"/>
    <w:rsid w:val="007E4685"/>
    <w:rsid w:val="007E57C7"/>
    <w:rsid w:val="007F7410"/>
    <w:rsid w:val="00800789"/>
    <w:rsid w:val="008008C0"/>
    <w:rsid w:val="0080304C"/>
    <w:rsid w:val="00804BE2"/>
    <w:rsid w:val="00804E30"/>
    <w:rsid w:val="008054B5"/>
    <w:rsid w:val="0080669F"/>
    <w:rsid w:val="008109BE"/>
    <w:rsid w:val="00814E9E"/>
    <w:rsid w:val="00815315"/>
    <w:rsid w:val="00830E7B"/>
    <w:rsid w:val="0083507E"/>
    <w:rsid w:val="00841A69"/>
    <w:rsid w:val="008475FB"/>
    <w:rsid w:val="00847AD8"/>
    <w:rsid w:val="0085259D"/>
    <w:rsid w:val="00877F53"/>
    <w:rsid w:val="00881389"/>
    <w:rsid w:val="00890ADC"/>
    <w:rsid w:val="008942D5"/>
    <w:rsid w:val="00895377"/>
    <w:rsid w:val="0089571F"/>
    <w:rsid w:val="00896BF6"/>
    <w:rsid w:val="008A0B58"/>
    <w:rsid w:val="008A1336"/>
    <w:rsid w:val="008B4A03"/>
    <w:rsid w:val="008B68C2"/>
    <w:rsid w:val="008B7CB8"/>
    <w:rsid w:val="008C1ED8"/>
    <w:rsid w:val="008C260A"/>
    <w:rsid w:val="008C33E9"/>
    <w:rsid w:val="008C5746"/>
    <w:rsid w:val="008D20B4"/>
    <w:rsid w:val="008D66D2"/>
    <w:rsid w:val="008E107C"/>
    <w:rsid w:val="008E1508"/>
    <w:rsid w:val="008E2449"/>
    <w:rsid w:val="008E50D5"/>
    <w:rsid w:val="009038B6"/>
    <w:rsid w:val="00915161"/>
    <w:rsid w:val="0091561D"/>
    <w:rsid w:val="009158E4"/>
    <w:rsid w:val="00917A6E"/>
    <w:rsid w:val="00917F03"/>
    <w:rsid w:val="00923DAC"/>
    <w:rsid w:val="00925A47"/>
    <w:rsid w:val="00925ECB"/>
    <w:rsid w:val="00930942"/>
    <w:rsid w:val="00931243"/>
    <w:rsid w:val="009339EA"/>
    <w:rsid w:val="0093691D"/>
    <w:rsid w:val="0093725D"/>
    <w:rsid w:val="00937286"/>
    <w:rsid w:val="009373F8"/>
    <w:rsid w:val="00941B22"/>
    <w:rsid w:val="00942E70"/>
    <w:rsid w:val="00943590"/>
    <w:rsid w:val="00944CD5"/>
    <w:rsid w:val="009458DA"/>
    <w:rsid w:val="00945D48"/>
    <w:rsid w:val="00946B49"/>
    <w:rsid w:val="00953D2E"/>
    <w:rsid w:val="00966071"/>
    <w:rsid w:val="009952BF"/>
    <w:rsid w:val="0099642C"/>
    <w:rsid w:val="00997814"/>
    <w:rsid w:val="009A37E5"/>
    <w:rsid w:val="009A3E44"/>
    <w:rsid w:val="009A6742"/>
    <w:rsid w:val="009B0459"/>
    <w:rsid w:val="009B1AB0"/>
    <w:rsid w:val="009B4A7D"/>
    <w:rsid w:val="009B52BF"/>
    <w:rsid w:val="009B6AB1"/>
    <w:rsid w:val="009C342E"/>
    <w:rsid w:val="009C6CE8"/>
    <w:rsid w:val="009D69A7"/>
    <w:rsid w:val="009D6C57"/>
    <w:rsid w:val="009E205E"/>
    <w:rsid w:val="009E2515"/>
    <w:rsid w:val="009F7F85"/>
    <w:rsid w:val="00A0180E"/>
    <w:rsid w:val="00A03D4E"/>
    <w:rsid w:val="00A102E4"/>
    <w:rsid w:val="00A151B1"/>
    <w:rsid w:val="00A16841"/>
    <w:rsid w:val="00A204E5"/>
    <w:rsid w:val="00A21487"/>
    <w:rsid w:val="00A22819"/>
    <w:rsid w:val="00A26D52"/>
    <w:rsid w:val="00A30BA3"/>
    <w:rsid w:val="00A335EA"/>
    <w:rsid w:val="00A511B8"/>
    <w:rsid w:val="00A562E0"/>
    <w:rsid w:val="00A5746D"/>
    <w:rsid w:val="00A60696"/>
    <w:rsid w:val="00A71690"/>
    <w:rsid w:val="00A734F4"/>
    <w:rsid w:val="00A7421D"/>
    <w:rsid w:val="00A744DF"/>
    <w:rsid w:val="00A76D3B"/>
    <w:rsid w:val="00A849A6"/>
    <w:rsid w:val="00A853BE"/>
    <w:rsid w:val="00A85B21"/>
    <w:rsid w:val="00A86F20"/>
    <w:rsid w:val="00A8736B"/>
    <w:rsid w:val="00A90583"/>
    <w:rsid w:val="00A928FF"/>
    <w:rsid w:val="00AB27EB"/>
    <w:rsid w:val="00AB3DD9"/>
    <w:rsid w:val="00AD2CAF"/>
    <w:rsid w:val="00AD2E9F"/>
    <w:rsid w:val="00AD3A95"/>
    <w:rsid w:val="00AD3B1B"/>
    <w:rsid w:val="00AD53D3"/>
    <w:rsid w:val="00AD6B44"/>
    <w:rsid w:val="00AD70B8"/>
    <w:rsid w:val="00AE0A47"/>
    <w:rsid w:val="00AE0DA9"/>
    <w:rsid w:val="00AE275A"/>
    <w:rsid w:val="00AE3ACD"/>
    <w:rsid w:val="00AE5F8B"/>
    <w:rsid w:val="00AF0F7E"/>
    <w:rsid w:val="00AF2175"/>
    <w:rsid w:val="00AF78F0"/>
    <w:rsid w:val="00B01484"/>
    <w:rsid w:val="00B10CDF"/>
    <w:rsid w:val="00B118A0"/>
    <w:rsid w:val="00B152DE"/>
    <w:rsid w:val="00B16610"/>
    <w:rsid w:val="00B1737D"/>
    <w:rsid w:val="00B26042"/>
    <w:rsid w:val="00B270BF"/>
    <w:rsid w:val="00B36586"/>
    <w:rsid w:val="00B473A0"/>
    <w:rsid w:val="00B5721D"/>
    <w:rsid w:val="00B57E9C"/>
    <w:rsid w:val="00B61D66"/>
    <w:rsid w:val="00B6600D"/>
    <w:rsid w:val="00B661F7"/>
    <w:rsid w:val="00B77803"/>
    <w:rsid w:val="00B80206"/>
    <w:rsid w:val="00B80A2D"/>
    <w:rsid w:val="00B80F27"/>
    <w:rsid w:val="00B818DD"/>
    <w:rsid w:val="00B83BCD"/>
    <w:rsid w:val="00B83F34"/>
    <w:rsid w:val="00B90490"/>
    <w:rsid w:val="00B94D59"/>
    <w:rsid w:val="00BA3ABC"/>
    <w:rsid w:val="00BA5F07"/>
    <w:rsid w:val="00BC3F15"/>
    <w:rsid w:val="00BC4881"/>
    <w:rsid w:val="00BC5060"/>
    <w:rsid w:val="00BD0620"/>
    <w:rsid w:val="00BD209C"/>
    <w:rsid w:val="00BD6925"/>
    <w:rsid w:val="00BE58C9"/>
    <w:rsid w:val="00BF3A5F"/>
    <w:rsid w:val="00BF768D"/>
    <w:rsid w:val="00BF7E81"/>
    <w:rsid w:val="00C062A4"/>
    <w:rsid w:val="00C070EC"/>
    <w:rsid w:val="00C14F2C"/>
    <w:rsid w:val="00C21725"/>
    <w:rsid w:val="00C324B3"/>
    <w:rsid w:val="00C34805"/>
    <w:rsid w:val="00C36DFD"/>
    <w:rsid w:val="00C4471B"/>
    <w:rsid w:val="00C4719B"/>
    <w:rsid w:val="00C47834"/>
    <w:rsid w:val="00C55B9A"/>
    <w:rsid w:val="00C62B0B"/>
    <w:rsid w:val="00C74B07"/>
    <w:rsid w:val="00C77F6B"/>
    <w:rsid w:val="00C8065A"/>
    <w:rsid w:val="00C80954"/>
    <w:rsid w:val="00C81D22"/>
    <w:rsid w:val="00C860B6"/>
    <w:rsid w:val="00C8767E"/>
    <w:rsid w:val="00C903D3"/>
    <w:rsid w:val="00CA0626"/>
    <w:rsid w:val="00CB2AE9"/>
    <w:rsid w:val="00CB540E"/>
    <w:rsid w:val="00CB6472"/>
    <w:rsid w:val="00CB6A6D"/>
    <w:rsid w:val="00CB6FDC"/>
    <w:rsid w:val="00CC3BF9"/>
    <w:rsid w:val="00CC3F62"/>
    <w:rsid w:val="00CC6D34"/>
    <w:rsid w:val="00CC6DAC"/>
    <w:rsid w:val="00CC6EC2"/>
    <w:rsid w:val="00CC721F"/>
    <w:rsid w:val="00CD2E18"/>
    <w:rsid w:val="00CD5816"/>
    <w:rsid w:val="00CE1CC8"/>
    <w:rsid w:val="00CE4BFA"/>
    <w:rsid w:val="00CE7178"/>
    <w:rsid w:val="00D00AE4"/>
    <w:rsid w:val="00D13505"/>
    <w:rsid w:val="00D13E80"/>
    <w:rsid w:val="00D14B58"/>
    <w:rsid w:val="00D17DB5"/>
    <w:rsid w:val="00D2157E"/>
    <w:rsid w:val="00D2328D"/>
    <w:rsid w:val="00D306F4"/>
    <w:rsid w:val="00D3120E"/>
    <w:rsid w:val="00D37C0E"/>
    <w:rsid w:val="00D43D0D"/>
    <w:rsid w:val="00D44DDE"/>
    <w:rsid w:val="00D56B2D"/>
    <w:rsid w:val="00D679AE"/>
    <w:rsid w:val="00D70756"/>
    <w:rsid w:val="00D736FC"/>
    <w:rsid w:val="00D862A4"/>
    <w:rsid w:val="00D87BF5"/>
    <w:rsid w:val="00D921C8"/>
    <w:rsid w:val="00D945CE"/>
    <w:rsid w:val="00DA265B"/>
    <w:rsid w:val="00DA7BFD"/>
    <w:rsid w:val="00DB6A6A"/>
    <w:rsid w:val="00DB7E15"/>
    <w:rsid w:val="00DC0E23"/>
    <w:rsid w:val="00DC49D7"/>
    <w:rsid w:val="00DC644D"/>
    <w:rsid w:val="00DD152D"/>
    <w:rsid w:val="00DE3B5C"/>
    <w:rsid w:val="00DE5754"/>
    <w:rsid w:val="00DE59D8"/>
    <w:rsid w:val="00DE6C48"/>
    <w:rsid w:val="00DF0D5D"/>
    <w:rsid w:val="00DF3582"/>
    <w:rsid w:val="00DF39B9"/>
    <w:rsid w:val="00DF7CE3"/>
    <w:rsid w:val="00E00B75"/>
    <w:rsid w:val="00E0651C"/>
    <w:rsid w:val="00E0662C"/>
    <w:rsid w:val="00E06A90"/>
    <w:rsid w:val="00E207AE"/>
    <w:rsid w:val="00E24C47"/>
    <w:rsid w:val="00E26462"/>
    <w:rsid w:val="00E317D5"/>
    <w:rsid w:val="00E31B06"/>
    <w:rsid w:val="00E31DDB"/>
    <w:rsid w:val="00E32A38"/>
    <w:rsid w:val="00E330E2"/>
    <w:rsid w:val="00E33C83"/>
    <w:rsid w:val="00E34A53"/>
    <w:rsid w:val="00E376B9"/>
    <w:rsid w:val="00E41118"/>
    <w:rsid w:val="00E43354"/>
    <w:rsid w:val="00E43A6B"/>
    <w:rsid w:val="00E50BAC"/>
    <w:rsid w:val="00E54070"/>
    <w:rsid w:val="00E55C40"/>
    <w:rsid w:val="00E642B8"/>
    <w:rsid w:val="00E6441E"/>
    <w:rsid w:val="00E737D3"/>
    <w:rsid w:val="00E742A5"/>
    <w:rsid w:val="00E74B4E"/>
    <w:rsid w:val="00E81DB9"/>
    <w:rsid w:val="00E823E5"/>
    <w:rsid w:val="00E85AD0"/>
    <w:rsid w:val="00E903D6"/>
    <w:rsid w:val="00E90427"/>
    <w:rsid w:val="00EA784E"/>
    <w:rsid w:val="00EB06BB"/>
    <w:rsid w:val="00EB4428"/>
    <w:rsid w:val="00EB5067"/>
    <w:rsid w:val="00EB5BB5"/>
    <w:rsid w:val="00EB6CB8"/>
    <w:rsid w:val="00EB7024"/>
    <w:rsid w:val="00EB7D1D"/>
    <w:rsid w:val="00EC2680"/>
    <w:rsid w:val="00ED20C7"/>
    <w:rsid w:val="00ED5FE9"/>
    <w:rsid w:val="00ED6D95"/>
    <w:rsid w:val="00ED6E54"/>
    <w:rsid w:val="00ED6EF2"/>
    <w:rsid w:val="00EE3ABF"/>
    <w:rsid w:val="00EE7697"/>
    <w:rsid w:val="00EE7EC5"/>
    <w:rsid w:val="00EF0082"/>
    <w:rsid w:val="00EF2571"/>
    <w:rsid w:val="00EF6FCE"/>
    <w:rsid w:val="00F03253"/>
    <w:rsid w:val="00F04DA8"/>
    <w:rsid w:val="00F059A6"/>
    <w:rsid w:val="00F05B9B"/>
    <w:rsid w:val="00F05E6B"/>
    <w:rsid w:val="00F20A14"/>
    <w:rsid w:val="00F25EA9"/>
    <w:rsid w:val="00F33343"/>
    <w:rsid w:val="00F34D9B"/>
    <w:rsid w:val="00F449F2"/>
    <w:rsid w:val="00F45D91"/>
    <w:rsid w:val="00F53DAF"/>
    <w:rsid w:val="00F55906"/>
    <w:rsid w:val="00F62167"/>
    <w:rsid w:val="00F74ABB"/>
    <w:rsid w:val="00F761E8"/>
    <w:rsid w:val="00F76A42"/>
    <w:rsid w:val="00F82995"/>
    <w:rsid w:val="00F83CAE"/>
    <w:rsid w:val="00F86431"/>
    <w:rsid w:val="00F868AE"/>
    <w:rsid w:val="00F91393"/>
    <w:rsid w:val="00F92C31"/>
    <w:rsid w:val="00F93EC9"/>
    <w:rsid w:val="00F96CDE"/>
    <w:rsid w:val="00FA047B"/>
    <w:rsid w:val="00FA1CA4"/>
    <w:rsid w:val="00FA4B8B"/>
    <w:rsid w:val="00FB0BEB"/>
    <w:rsid w:val="00FB0FB6"/>
    <w:rsid w:val="00FB2F17"/>
    <w:rsid w:val="00FC1187"/>
    <w:rsid w:val="00FC283B"/>
    <w:rsid w:val="00FD02E5"/>
    <w:rsid w:val="00FD0DA2"/>
    <w:rsid w:val="00FD0F2E"/>
    <w:rsid w:val="00FD1368"/>
    <w:rsid w:val="00FD4D2B"/>
    <w:rsid w:val="00FE14E1"/>
    <w:rsid w:val="00FE4D64"/>
    <w:rsid w:val="00FF003F"/>
    <w:rsid w:val="00FF1199"/>
    <w:rsid w:val="00FF6887"/>
    <w:rsid w:val="011B4459"/>
    <w:rsid w:val="012375FA"/>
    <w:rsid w:val="018D3255"/>
    <w:rsid w:val="02FC0453"/>
    <w:rsid w:val="044527DA"/>
    <w:rsid w:val="04714E0A"/>
    <w:rsid w:val="04B450B7"/>
    <w:rsid w:val="05B41169"/>
    <w:rsid w:val="060A22A8"/>
    <w:rsid w:val="074C2E0D"/>
    <w:rsid w:val="077677FA"/>
    <w:rsid w:val="08202AE5"/>
    <w:rsid w:val="09456A55"/>
    <w:rsid w:val="0A6767AA"/>
    <w:rsid w:val="0BCD5F61"/>
    <w:rsid w:val="0BFE4EEC"/>
    <w:rsid w:val="0CFB1818"/>
    <w:rsid w:val="0D6B76F2"/>
    <w:rsid w:val="0DAB0B66"/>
    <w:rsid w:val="0E272008"/>
    <w:rsid w:val="0E2A646C"/>
    <w:rsid w:val="0E3451E5"/>
    <w:rsid w:val="0EAD177A"/>
    <w:rsid w:val="0EFD18CC"/>
    <w:rsid w:val="0F131B55"/>
    <w:rsid w:val="0F1B5DB5"/>
    <w:rsid w:val="0F347BAE"/>
    <w:rsid w:val="0F4627D5"/>
    <w:rsid w:val="0F7F6343"/>
    <w:rsid w:val="10506181"/>
    <w:rsid w:val="106C1435"/>
    <w:rsid w:val="10F34D0A"/>
    <w:rsid w:val="116D7405"/>
    <w:rsid w:val="1184215F"/>
    <w:rsid w:val="11F14C6D"/>
    <w:rsid w:val="125627D9"/>
    <w:rsid w:val="13961EAE"/>
    <w:rsid w:val="14A66120"/>
    <w:rsid w:val="14BF1772"/>
    <w:rsid w:val="14C76F80"/>
    <w:rsid w:val="15B77F45"/>
    <w:rsid w:val="15E213DA"/>
    <w:rsid w:val="16AC7239"/>
    <w:rsid w:val="175A6A79"/>
    <w:rsid w:val="18A54CEF"/>
    <w:rsid w:val="18F96653"/>
    <w:rsid w:val="18FF22A3"/>
    <w:rsid w:val="1A085203"/>
    <w:rsid w:val="1B827018"/>
    <w:rsid w:val="1BB71ADC"/>
    <w:rsid w:val="1CE30939"/>
    <w:rsid w:val="1D4A4435"/>
    <w:rsid w:val="1D637CA7"/>
    <w:rsid w:val="1D7A45EE"/>
    <w:rsid w:val="1D835251"/>
    <w:rsid w:val="1E0D1F6D"/>
    <w:rsid w:val="1EFD0E7E"/>
    <w:rsid w:val="1FB042F7"/>
    <w:rsid w:val="200821CE"/>
    <w:rsid w:val="211A5A89"/>
    <w:rsid w:val="22DA5598"/>
    <w:rsid w:val="22EA5CE4"/>
    <w:rsid w:val="23A203FB"/>
    <w:rsid w:val="246A1D00"/>
    <w:rsid w:val="24745962"/>
    <w:rsid w:val="25AB7A3A"/>
    <w:rsid w:val="25F212E3"/>
    <w:rsid w:val="264C52DD"/>
    <w:rsid w:val="26B11081"/>
    <w:rsid w:val="26C47830"/>
    <w:rsid w:val="27857770"/>
    <w:rsid w:val="2795211C"/>
    <w:rsid w:val="285C5A5E"/>
    <w:rsid w:val="28610A9E"/>
    <w:rsid w:val="28936564"/>
    <w:rsid w:val="28BE7E3F"/>
    <w:rsid w:val="29B04285"/>
    <w:rsid w:val="29B4484C"/>
    <w:rsid w:val="29C70BBB"/>
    <w:rsid w:val="2A200085"/>
    <w:rsid w:val="2A6D4BE6"/>
    <w:rsid w:val="2AC30B3D"/>
    <w:rsid w:val="2B134E37"/>
    <w:rsid w:val="2B9E5305"/>
    <w:rsid w:val="2BBE006B"/>
    <w:rsid w:val="2C3312FB"/>
    <w:rsid w:val="2C88076A"/>
    <w:rsid w:val="2CD80972"/>
    <w:rsid w:val="2D095047"/>
    <w:rsid w:val="2D0A14EA"/>
    <w:rsid w:val="2D5029C5"/>
    <w:rsid w:val="2DD20D60"/>
    <w:rsid w:val="2DDD46E7"/>
    <w:rsid w:val="2E0C06FF"/>
    <w:rsid w:val="2E6E0D7A"/>
    <w:rsid w:val="2ED03881"/>
    <w:rsid w:val="2F097580"/>
    <w:rsid w:val="2F15026F"/>
    <w:rsid w:val="2F346400"/>
    <w:rsid w:val="2F3850C6"/>
    <w:rsid w:val="300002AC"/>
    <w:rsid w:val="304A7E50"/>
    <w:rsid w:val="308A28E8"/>
    <w:rsid w:val="309612E7"/>
    <w:rsid w:val="31451B20"/>
    <w:rsid w:val="317B1C43"/>
    <w:rsid w:val="31952AA2"/>
    <w:rsid w:val="31D763FC"/>
    <w:rsid w:val="31FE5DFA"/>
    <w:rsid w:val="32672096"/>
    <w:rsid w:val="32CE7FEF"/>
    <w:rsid w:val="32DD31FD"/>
    <w:rsid w:val="330340CC"/>
    <w:rsid w:val="3374651C"/>
    <w:rsid w:val="346A7523"/>
    <w:rsid w:val="34ED108D"/>
    <w:rsid w:val="35074561"/>
    <w:rsid w:val="362E6EA7"/>
    <w:rsid w:val="36435878"/>
    <w:rsid w:val="36D1487B"/>
    <w:rsid w:val="37C93D50"/>
    <w:rsid w:val="37F94635"/>
    <w:rsid w:val="38AF73EA"/>
    <w:rsid w:val="38BE5C64"/>
    <w:rsid w:val="3911109D"/>
    <w:rsid w:val="39481E14"/>
    <w:rsid w:val="396B2E28"/>
    <w:rsid w:val="39DB55CB"/>
    <w:rsid w:val="3AF85078"/>
    <w:rsid w:val="3B5E1178"/>
    <w:rsid w:val="3BDD45D9"/>
    <w:rsid w:val="3BFC2946"/>
    <w:rsid w:val="3C1E399C"/>
    <w:rsid w:val="3C7D1CAB"/>
    <w:rsid w:val="3D9B1718"/>
    <w:rsid w:val="3DD5344F"/>
    <w:rsid w:val="3FE43E1D"/>
    <w:rsid w:val="3FEB51AC"/>
    <w:rsid w:val="404D3498"/>
    <w:rsid w:val="40A36287"/>
    <w:rsid w:val="4112079B"/>
    <w:rsid w:val="415B1EBD"/>
    <w:rsid w:val="41A31E57"/>
    <w:rsid w:val="42881AA6"/>
    <w:rsid w:val="432B5AA2"/>
    <w:rsid w:val="43923B90"/>
    <w:rsid w:val="44EB79FC"/>
    <w:rsid w:val="46EE37D3"/>
    <w:rsid w:val="476C5142"/>
    <w:rsid w:val="47AD4C9A"/>
    <w:rsid w:val="47D34BBE"/>
    <w:rsid w:val="47F72214"/>
    <w:rsid w:val="486B3597"/>
    <w:rsid w:val="498E306C"/>
    <w:rsid w:val="49EC0B96"/>
    <w:rsid w:val="4A0F6345"/>
    <w:rsid w:val="4D297313"/>
    <w:rsid w:val="4D7930B6"/>
    <w:rsid w:val="4DA9553D"/>
    <w:rsid w:val="4DD3727F"/>
    <w:rsid w:val="4DDF79D2"/>
    <w:rsid w:val="4DEC236E"/>
    <w:rsid w:val="4DFE60AA"/>
    <w:rsid w:val="4E0A65A0"/>
    <w:rsid w:val="4E162EFC"/>
    <w:rsid w:val="4E40625E"/>
    <w:rsid w:val="4E7D727E"/>
    <w:rsid w:val="4EAC3D58"/>
    <w:rsid w:val="4EDB4D2B"/>
    <w:rsid w:val="4FAD3EC7"/>
    <w:rsid w:val="4FAF030A"/>
    <w:rsid w:val="509F2C53"/>
    <w:rsid w:val="51816421"/>
    <w:rsid w:val="51D27F79"/>
    <w:rsid w:val="54534C76"/>
    <w:rsid w:val="546E3834"/>
    <w:rsid w:val="54A26749"/>
    <w:rsid w:val="55676C2B"/>
    <w:rsid w:val="56905500"/>
    <w:rsid w:val="56B631D9"/>
    <w:rsid w:val="572B1EDA"/>
    <w:rsid w:val="57633422"/>
    <w:rsid w:val="58093434"/>
    <w:rsid w:val="58354DBE"/>
    <w:rsid w:val="593A0EDA"/>
    <w:rsid w:val="59962EAE"/>
    <w:rsid w:val="5A324C18"/>
    <w:rsid w:val="5AEF6656"/>
    <w:rsid w:val="5AF76978"/>
    <w:rsid w:val="5B1A070B"/>
    <w:rsid w:val="5BA74225"/>
    <w:rsid w:val="5C42086C"/>
    <w:rsid w:val="5D21471A"/>
    <w:rsid w:val="5E1450E3"/>
    <w:rsid w:val="5EB40887"/>
    <w:rsid w:val="5F002C5F"/>
    <w:rsid w:val="5F0E5E56"/>
    <w:rsid w:val="5F4B3F80"/>
    <w:rsid w:val="60D90BAB"/>
    <w:rsid w:val="60E23609"/>
    <w:rsid w:val="6124191F"/>
    <w:rsid w:val="620D680A"/>
    <w:rsid w:val="622A5268"/>
    <w:rsid w:val="629372B1"/>
    <w:rsid w:val="62D507AB"/>
    <w:rsid w:val="63304B00"/>
    <w:rsid w:val="63536A40"/>
    <w:rsid w:val="63CB3C77"/>
    <w:rsid w:val="6427666B"/>
    <w:rsid w:val="64C676BB"/>
    <w:rsid w:val="65CC749D"/>
    <w:rsid w:val="65EB7404"/>
    <w:rsid w:val="66C7577B"/>
    <w:rsid w:val="670B7925"/>
    <w:rsid w:val="683747EF"/>
    <w:rsid w:val="683975A7"/>
    <w:rsid w:val="68AA68D1"/>
    <w:rsid w:val="68B914D8"/>
    <w:rsid w:val="68D128E1"/>
    <w:rsid w:val="696C46E8"/>
    <w:rsid w:val="698B3C96"/>
    <w:rsid w:val="69C77840"/>
    <w:rsid w:val="69DB3767"/>
    <w:rsid w:val="6A612989"/>
    <w:rsid w:val="6AF428B7"/>
    <w:rsid w:val="6C2A625B"/>
    <w:rsid w:val="6CB94ED5"/>
    <w:rsid w:val="6CBA32DA"/>
    <w:rsid w:val="6CBD4F2A"/>
    <w:rsid w:val="6CCC54C8"/>
    <w:rsid w:val="6DF926B5"/>
    <w:rsid w:val="6E1200BD"/>
    <w:rsid w:val="6F2D45E9"/>
    <w:rsid w:val="6F3E2352"/>
    <w:rsid w:val="6F773AB6"/>
    <w:rsid w:val="6FBC04A5"/>
    <w:rsid w:val="710B2708"/>
    <w:rsid w:val="722A4E10"/>
    <w:rsid w:val="72885F4C"/>
    <w:rsid w:val="72C2773E"/>
    <w:rsid w:val="7399224D"/>
    <w:rsid w:val="73D24E49"/>
    <w:rsid w:val="74253884"/>
    <w:rsid w:val="74A37287"/>
    <w:rsid w:val="74AA42AA"/>
    <w:rsid w:val="753164B5"/>
    <w:rsid w:val="75363ACC"/>
    <w:rsid w:val="755C1784"/>
    <w:rsid w:val="75C612F4"/>
    <w:rsid w:val="77A8625B"/>
    <w:rsid w:val="78D15FE5"/>
    <w:rsid w:val="78EF3E8C"/>
    <w:rsid w:val="79207ACA"/>
    <w:rsid w:val="79425135"/>
    <w:rsid w:val="79923313"/>
    <w:rsid w:val="799E680F"/>
    <w:rsid w:val="79B048D8"/>
    <w:rsid w:val="7A4D5169"/>
    <w:rsid w:val="7A9667B8"/>
    <w:rsid w:val="7B6770D5"/>
    <w:rsid w:val="7BA11262"/>
    <w:rsid w:val="7BF2196F"/>
    <w:rsid w:val="7C961804"/>
    <w:rsid w:val="7C9804A0"/>
    <w:rsid w:val="7DB67EA0"/>
    <w:rsid w:val="7DDA593C"/>
    <w:rsid w:val="7E272D04"/>
    <w:rsid w:val="7E3B21DE"/>
    <w:rsid w:val="7F294949"/>
    <w:rsid w:val="7F7471EB"/>
    <w:rsid w:val="7FB65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1"/>
    <w:qFormat/>
    <w:uiPriority w:val="0"/>
    <w:pPr>
      <w:keepNext/>
      <w:keepLines/>
      <w:spacing w:before="260" w:after="260" w:line="413" w:lineRule="auto"/>
      <w:outlineLvl w:val="2"/>
    </w:pPr>
    <w:rPr>
      <w:rFonts w:ascii="Calibri" w:hAnsi="Calibri"/>
      <w:b/>
      <w:bCs/>
      <w:sz w:val="32"/>
      <w:szCs w:val="32"/>
    </w:rPr>
  </w:style>
  <w:style w:type="paragraph" w:styleId="5">
    <w:name w:val="heading 4"/>
    <w:basedOn w:val="1"/>
    <w:next w:val="1"/>
    <w:link w:val="52"/>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link w:val="53"/>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54"/>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55"/>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56"/>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57"/>
    <w:qFormat/>
    <w:uiPriority w:val="0"/>
    <w:pPr>
      <w:keepNext/>
      <w:keepLines/>
      <w:spacing w:before="240" w:after="64" w:line="317" w:lineRule="auto"/>
      <w:outlineLvl w:val="8"/>
    </w:pPr>
    <w:rPr>
      <w:rFonts w:ascii="Cambria" w:hAnsi="Cambria"/>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Calibri" w:hAnsi="Calibri"/>
      <w:kern w:val="0"/>
      <w:sz w:val="20"/>
      <w:szCs w:val="22"/>
    </w:rPr>
  </w:style>
  <w:style w:type="paragraph" w:styleId="12">
    <w:name w:val="annotation text"/>
    <w:basedOn w:val="1"/>
    <w:link w:val="39"/>
    <w:semiHidden/>
    <w:unhideWhenUsed/>
    <w:qFormat/>
    <w:uiPriority w:val="99"/>
    <w:pPr>
      <w:jc w:val="left"/>
    </w:pPr>
  </w:style>
  <w:style w:type="paragraph" w:styleId="13">
    <w:name w:val="Body Text"/>
    <w:basedOn w:val="1"/>
    <w:link w:val="103"/>
    <w:unhideWhenUsed/>
    <w:qFormat/>
    <w:uiPriority w:val="99"/>
    <w:pPr>
      <w:spacing w:after="120"/>
    </w:pPr>
    <w:rPr>
      <w:rFonts w:ascii="Calibri" w:hAnsi="Calibri"/>
      <w:kern w:val="0"/>
      <w:sz w:val="20"/>
      <w:szCs w:val="22"/>
    </w:rPr>
  </w:style>
  <w:style w:type="paragraph" w:styleId="14">
    <w:name w:val="Plain Text"/>
    <w:basedOn w:val="1"/>
    <w:link w:val="33"/>
    <w:qFormat/>
    <w:uiPriority w:val="0"/>
    <w:rPr>
      <w:rFonts w:ascii="宋体" w:hAnsi="Courier New" w:cs="Courier New"/>
      <w:szCs w:val="21"/>
    </w:rPr>
  </w:style>
  <w:style w:type="paragraph" w:styleId="15">
    <w:name w:val="Balloon Text"/>
    <w:basedOn w:val="1"/>
    <w:link w:val="41"/>
    <w:semiHidden/>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99"/>
    <w:rPr>
      <w:sz w:val="24"/>
    </w:rPr>
  </w:style>
  <w:style w:type="paragraph" w:styleId="19">
    <w:name w:val="Title"/>
    <w:basedOn w:val="1"/>
    <w:next w:val="1"/>
    <w:link w:val="67"/>
    <w:qFormat/>
    <w:uiPriority w:val="0"/>
    <w:pPr>
      <w:spacing w:before="240" w:after="60"/>
      <w:jc w:val="center"/>
      <w:outlineLvl w:val="0"/>
    </w:pPr>
    <w:rPr>
      <w:rFonts w:asciiTheme="majorHAnsi" w:hAnsiTheme="majorHAnsi" w:eastAsiaTheme="majorEastAsia" w:cstheme="majorBidi"/>
      <w:b/>
      <w:bCs/>
      <w:sz w:val="32"/>
      <w:szCs w:val="32"/>
    </w:rPr>
  </w:style>
  <w:style w:type="paragraph" w:styleId="20">
    <w:name w:val="annotation subject"/>
    <w:basedOn w:val="12"/>
    <w:next w:val="12"/>
    <w:link w:val="40"/>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rPr>
      <w:rFonts w:ascii="Arial" w:hAnsi="Arial" w:eastAsia="黑体" w:cs="Times New Roman"/>
      <w:kern w:val="2"/>
      <w:sz w:val="21"/>
      <w:lang w:val="en-US" w:eastAsia="zh-CN"/>
    </w:rPr>
  </w:style>
  <w:style w:type="character" w:styleId="25">
    <w:name w:val="FollowedHyperlink"/>
    <w:basedOn w:val="23"/>
    <w:semiHidden/>
    <w:unhideWhenUsed/>
    <w:qFormat/>
    <w:uiPriority w:val="99"/>
    <w:rPr>
      <w:color w:val="2490F8"/>
      <w:u w:val="none"/>
    </w:rPr>
  </w:style>
  <w:style w:type="character" w:styleId="26">
    <w:name w:val="Emphasis"/>
    <w:basedOn w:val="23"/>
    <w:qFormat/>
    <w:uiPriority w:val="20"/>
  </w:style>
  <w:style w:type="character" w:styleId="27">
    <w:name w:val="HTML Definition"/>
    <w:basedOn w:val="23"/>
    <w:semiHidden/>
    <w:unhideWhenUsed/>
    <w:qFormat/>
    <w:uiPriority w:val="99"/>
  </w:style>
  <w:style w:type="character" w:styleId="28">
    <w:name w:val="HTML Variable"/>
    <w:basedOn w:val="23"/>
    <w:semiHidden/>
    <w:unhideWhenUsed/>
    <w:qFormat/>
    <w:uiPriority w:val="99"/>
  </w:style>
  <w:style w:type="character" w:styleId="29">
    <w:name w:val="Hyperlink"/>
    <w:basedOn w:val="23"/>
    <w:semiHidden/>
    <w:unhideWhenUsed/>
    <w:qFormat/>
    <w:uiPriority w:val="99"/>
    <w:rPr>
      <w:color w:val="2490F8"/>
      <w:u w:val="none"/>
    </w:rPr>
  </w:style>
  <w:style w:type="character" w:styleId="30">
    <w:name w:val="HTML Code"/>
    <w:basedOn w:val="23"/>
    <w:semiHidden/>
    <w:unhideWhenUsed/>
    <w:qFormat/>
    <w:uiPriority w:val="99"/>
    <w:rPr>
      <w:rFonts w:ascii="微软雅黑" w:hAnsi="微软雅黑" w:eastAsia="微软雅黑" w:cs="微软雅黑"/>
      <w:sz w:val="20"/>
    </w:rPr>
  </w:style>
  <w:style w:type="character" w:styleId="31">
    <w:name w:val="annotation reference"/>
    <w:basedOn w:val="23"/>
    <w:semiHidden/>
    <w:unhideWhenUsed/>
    <w:qFormat/>
    <w:uiPriority w:val="99"/>
    <w:rPr>
      <w:sz w:val="21"/>
      <w:szCs w:val="21"/>
    </w:rPr>
  </w:style>
  <w:style w:type="character" w:styleId="32">
    <w:name w:val="HTML Cite"/>
    <w:basedOn w:val="23"/>
    <w:semiHidden/>
    <w:unhideWhenUsed/>
    <w:qFormat/>
    <w:uiPriority w:val="99"/>
  </w:style>
  <w:style w:type="character" w:customStyle="1" w:styleId="33">
    <w:name w:val="纯文本 Char"/>
    <w:link w:val="14"/>
    <w:qFormat/>
    <w:uiPriority w:val="0"/>
    <w:rPr>
      <w:rFonts w:ascii="宋体" w:hAnsi="Courier New" w:eastAsia="宋体" w:cs="Courier New"/>
      <w:szCs w:val="21"/>
    </w:rPr>
  </w:style>
  <w:style w:type="character" w:customStyle="1" w:styleId="34">
    <w:name w:val="纯文本 字符"/>
    <w:basedOn w:val="23"/>
    <w:semiHidden/>
    <w:qFormat/>
    <w:uiPriority w:val="99"/>
    <w:rPr>
      <w:rFonts w:hAnsi="Courier New" w:cs="Courier New" w:asciiTheme="minorEastAsia"/>
      <w:szCs w:val="24"/>
    </w:rPr>
  </w:style>
  <w:style w:type="paragraph" w:customStyle="1" w:styleId="35">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36">
    <w:name w:val="List Paragraph"/>
    <w:basedOn w:val="1"/>
    <w:qFormat/>
    <w:uiPriority w:val="34"/>
    <w:pPr>
      <w:ind w:firstLine="420" w:firstLineChars="200"/>
    </w:pPr>
  </w:style>
  <w:style w:type="character" w:customStyle="1" w:styleId="37">
    <w:name w:val="页眉 Char"/>
    <w:basedOn w:val="23"/>
    <w:link w:val="17"/>
    <w:qFormat/>
    <w:uiPriority w:val="99"/>
    <w:rPr>
      <w:rFonts w:ascii="Times New Roman" w:hAnsi="Times New Roman" w:eastAsia="宋体" w:cs="Times New Roman"/>
      <w:sz w:val="18"/>
      <w:szCs w:val="18"/>
    </w:rPr>
  </w:style>
  <w:style w:type="character" w:customStyle="1" w:styleId="38">
    <w:name w:val="页脚 Char"/>
    <w:basedOn w:val="23"/>
    <w:link w:val="16"/>
    <w:qFormat/>
    <w:uiPriority w:val="99"/>
    <w:rPr>
      <w:rFonts w:ascii="Times New Roman" w:hAnsi="Times New Roman" w:eastAsia="宋体" w:cs="Times New Roman"/>
      <w:sz w:val="18"/>
      <w:szCs w:val="18"/>
    </w:rPr>
  </w:style>
  <w:style w:type="character" w:customStyle="1" w:styleId="39">
    <w:name w:val="批注文字 Char"/>
    <w:basedOn w:val="23"/>
    <w:link w:val="12"/>
    <w:semiHidden/>
    <w:qFormat/>
    <w:uiPriority w:val="99"/>
    <w:rPr>
      <w:rFonts w:ascii="Times New Roman" w:hAnsi="Times New Roman" w:eastAsia="宋体" w:cs="Times New Roman"/>
      <w:szCs w:val="24"/>
    </w:rPr>
  </w:style>
  <w:style w:type="character" w:customStyle="1" w:styleId="40">
    <w:name w:val="批注主题 Char"/>
    <w:basedOn w:val="39"/>
    <w:link w:val="20"/>
    <w:semiHidden/>
    <w:qFormat/>
    <w:uiPriority w:val="99"/>
    <w:rPr>
      <w:rFonts w:ascii="Times New Roman" w:hAnsi="Times New Roman" w:eastAsia="宋体" w:cs="Times New Roman"/>
      <w:b/>
      <w:bCs/>
      <w:szCs w:val="24"/>
    </w:rPr>
  </w:style>
  <w:style w:type="character" w:customStyle="1" w:styleId="41">
    <w:name w:val="批注框文本 Char"/>
    <w:basedOn w:val="23"/>
    <w:link w:val="15"/>
    <w:semiHidden/>
    <w:qFormat/>
    <w:uiPriority w:val="99"/>
    <w:rPr>
      <w:rFonts w:ascii="Times New Roman" w:hAnsi="Times New Roman" w:eastAsia="宋体" w:cs="Times New Roman"/>
      <w:sz w:val="18"/>
      <w:szCs w:val="18"/>
    </w:rPr>
  </w:style>
  <w:style w:type="paragraph" w:customStyle="1" w:styleId="42">
    <w:name w:val="1.第一级"/>
    <w:basedOn w:val="1"/>
    <w:link w:val="44"/>
    <w:qFormat/>
    <w:uiPriority w:val="0"/>
    <w:pPr>
      <w:numPr>
        <w:ilvl w:val="0"/>
        <w:numId w:val="1"/>
      </w:numPr>
      <w:spacing w:line="480" w:lineRule="auto"/>
      <w:jc w:val="left"/>
    </w:pPr>
    <w:rPr>
      <w:rFonts w:ascii="仿宋_GB2312" w:eastAsia="黑体"/>
      <w:b/>
      <w:sz w:val="24"/>
    </w:rPr>
  </w:style>
  <w:style w:type="paragraph" w:customStyle="1" w:styleId="43">
    <w:name w:val="第二级"/>
    <w:basedOn w:val="1"/>
    <w:link w:val="46"/>
    <w:qFormat/>
    <w:uiPriority w:val="0"/>
    <w:pPr>
      <w:numPr>
        <w:ilvl w:val="1"/>
        <w:numId w:val="1"/>
      </w:numPr>
      <w:spacing w:after="120" w:line="360" w:lineRule="auto"/>
      <w:jc w:val="left"/>
    </w:pPr>
    <w:rPr>
      <w:rFonts w:ascii="仿宋_GB2312" w:eastAsia="仿宋_GB2312"/>
      <w:sz w:val="24"/>
    </w:rPr>
  </w:style>
  <w:style w:type="character" w:customStyle="1" w:styleId="44">
    <w:name w:val="1.第一级 字符"/>
    <w:basedOn w:val="23"/>
    <w:link w:val="42"/>
    <w:qFormat/>
    <w:uiPriority w:val="0"/>
    <w:rPr>
      <w:rFonts w:ascii="仿宋_GB2312" w:eastAsia="黑体"/>
      <w:b/>
      <w:kern w:val="2"/>
      <w:sz w:val="24"/>
      <w:szCs w:val="24"/>
    </w:rPr>
  </w:style>
  <w:style w:type="paragraph" w:customStyle="1" w:styleId="45">
    <w:name w:val="第三级"/>
    <w:basedOn w:val="43"/>
    <w:link w:val="48"/>
    <w:qFormat/>
    <w:uiPriority w:val="0"/>
  </w:style>
  <w:style w:type="character" w:customStyle="1" w:styleId="46">
    <w:name w:val="第二级 字符"/>
    <w:basedOn w:val="23"/>
    <w:link w:val="43"/>
    <w:qFormat/>
    <w:uiPriority w:val="0"/>
    <w:rPr>
      <w:rFonts w:ascii="仿宋_GB2312" w:eastAsia="仿宋_GB2312"/>
      <w:kern w:val="2"/>
      <w:sz w:val="24"/>
      <w:szCs w:val="24"/>
    </w:rPr>
  </w:style>
  <w:style w:type="paragraph" w:customStyle="1" w:styleId="47">
    <w:name w:val="仿宋GB正文小四"/>
    <w:basedOn w:val="1"/>
    <w:link w:val="50"/>
    <w:qFormat/>
    <w:uiPriority w:val="0"/>
    <w:pPr>
      <w:spacing w:line="360" w:lineRule="auto"/>
      <w:ind w:firstLine="200" w:firstLineChars="200"/>
    </w:pPr>
    <w:rPr>
      <w:rFonts w:eastAsia="仿宋_GB2312"/>
      <w:sz w:val="24"/>
    </w:rPr>
  </w:style>
  <w:style w:type="character" w:customStyle="1" w:styleId="48">
    <w:name w:val="第三级 字符"/>
    <w:basedOn w:val="46"/>
    <w:link w:val="45"/>
    <w:qFormat/>
    <w:uiPriority w:val="0"/>
    <w:rPr>
      <w:rFonts w:ascii="仿宋_GB2312" w:eastAsia="仿宋_GB2312"/>
      <w:kern w:val="2"/>
      <w:sz w:val="24"/>
      <w:szCs w:val="24"/>
    </w:rPr>
  </w:style>
  <w:style w:type="character" w:customStyle="1" w:styleId="49">
    <w:name w:val="标题 1 Char"/>
    <w:basedOn w:val="23"/>
    <w:link w:val="2"/>
    <w:qFormat/>
    <w:uiPriority w:val="9"/>
    <w:rPr>
      <w:rFonts w:ascii="Times New Roman" w:hAnsi="Times New Roman" w:eastAsia="宋体" w:cs="Times New Roman"/>
      <w:b/>
      <w:bCs/>
      <w:kern w:val="44"/>
      <w:sz w:val="44"/>
      <w:szCs w:val="44"/>
    </w:rPr>
  </w:style>
  <w:style w:type="character" w:customStyle="1" w:styleId="50">
    <w:name w:val="仿宋GB正文小四 字符"/>
    <w:basedOn w:val="23"/>
    <w:link w:val="47"/>
    <w:qFormat/>
    <w:uiPriority w:val="0"/>
    <w:rPr>
      <w:rFonts w:ascii="Times New Roman" w:hAnsi="Times New Roman" w:eastAsia="仿宋_GB2312" w:cs="Times New Roman"/>
      <w:kern w:val="2"/>
      <w:sz w:val="24"/>
      <w:szCs w:val="24"/>
    </w:rPr>
  </w:style>
  <w:style w:type="character" w:customStyle="1" w:styleId="51">
    <w:name w:val="标题 3 Char"/>
    <w:link w:val="4"/>
    <w:qFormat/>
    <w:uiPriority w:val="0"/>
    <w:rPr>
      <w:rFonts w:ascii="Calibri" w:hAnsi="Calibri" w:eastAsia="宋体" w:cs="Times New Roman"/>
      <w:b/>
      <w:bCs/>
      <w:kern w:val="2"/>
      <w:sz w:val="32"/>
      <w:szCs w:val="32"/>
    </w:rPr>
  </w:style>
  <w:style w:type="character" w:customStyle="1" w:styleId="52">
    <w:name w:val="标题 4 Char"/>
    <w:link w:val="5"/>
    <w:qFormat/>
    <w:uiPriority w:val="0"/>
    <w:rPr>
      <w:rFonts w:ascii="Cambria" w:hAnsi="Cambria" w:eastAsia="宋体" w:cs="Times New Roman"/>
      <w:b/>
      <w:bCs/>
      <w:kern w:val="2"/>
      <w:sz w:val="28"/>
      <w:szCs w:val="28"/>
    </w:rPr>
  </w:style>
  <w:style w:type="character" w:customStyle="1" w:styleId="53">
    <w:name w:val="标题 5 Char"/>
    <w:link w:val="6"/>
    <w:qFormat/>
    <w:uiPriority w:val="0"/>
    <w:rPr>
      <w:rFonts w:ascii="Calibri" w:hAnsi="Calibri" w:eastAsia="宋体" w:cs="Times New Roman"/>
      <w:b/>
      <w:bCs/>
      <w:kern w:val="2"/>
      <w:sz w:val="28"/>
      <w:szCs w:val="28"/>
    </w:rPr>
  </w:style>
  <w:style w:type="character" w:customStyle="1" w:styleId="54">
    <w:name w:val="标题 6 Char"/>
    <w:link w:val="7"/>
    <w:qFormat/>
    <w:uiPriority w:val="0"/>
    <w:rPr>
      <w:rFonts w:ascii="Cambria" w:hAnsi="Cambria" w:eastAsia="宋体" w:cs="Times New Roman"/>
      <w:b/>
      <w:bCs/>
      <w:kern w:val="2"/>
      <w:sz w:val="24"/>
      <w:szCs w:val="24"/>
    </w:rPr>
  </w:style>
  <w:style w:type="character" w:customStyle="1" w:styleId="55">
    <w:name w:val="标题 7 Char"/>
    <w:link w:val="8"/>
    <w:qFormat/>
    <w:uiPriority w:val="0"/>
    <w:rPr>
      <w:rFonts w:ascii="Calibri" w:hAnsi="Calibri" w:eastAsia="宋体" w:cs="Times New Roman"/>
      <w:b/>
      <w:bCs/>
      <w:kern w:val="2"/>
      <w:sz w:val="24"/>
      <w:szCs w:val="24"/>
    </w:rPr>
  </w:style>
  <w:style w:type="character" w:customStyle="1" w:styleId="56">
    <w:name w:val="标题 8 Char"/>
    <w:link w:val="9"/>
    <w:qFormat/>
    <w:uiPriority w:val="0"/>
    <w:rPr>
      <w:rFonts w:ascii="Cambria" w:hAnsi="Cambria" w:eastAsia="宋体" w:cs="Times New Roman"/>
      <w:kern w:val="2"/>
      <w:sz w:val="24"/>
      <w:szCs w:val="24"/>
    </w:rPr>
  </w:style>
  <w:style w:type="character" w:customStyle="1" w:styleId="57">
    <w:name w:val="标题 9 Char"/>
    <w:link w:val="10"/>
    <w:qFormat/>
    <w:uiPriority w:val="0"/>
    <w:rPr>
      <w:rFonts w:ascii="Cambria" w:hAnsi="Cambria" w:eastAsia="宋体" w:cs="Times New Roman"/>
      <w:kern w:val="2"/>
      <w:sz w:val="21"/>
      <w:szCs w:val="21"/>
    </w:rPr>
  </w:style>
  <w:style w:type="character" w:customStyle="1" w:styleId="58">
    <w:name w:val="标题 2 Char"/>
    <w:link w:val="3"/>
    <w:qFormat/>
    <w:uiPriority w:val="0"/>
    <w:rPr>
      <w:rFonts w:ascii="Cambria" w:hAnsi="Cambria" w:eastAsia="宋体" w:cs="Times New Roman"/>
      <w:b/>
      <w:bCs/>
      <w:kern w:val="2"/>
      <w:sz w:val="32"/>
      <w:szCs w:val="32"/>
    </w:rPr>
  </w:style>
  <w:style w:type="paragraph" w:customStyle="1" w:styleId="59">
    <w:name w:val="合同 1.标题"/>
    <w:basedOn w:val="42"/>
    <w:link w:val="61"/>
    <w:qFormat/>
    <w:uiPriority w:val="0"/>
    <w:pPr>
      <w:numPr>
        <w:numId w:val="2"/>
      </w:numPr>
      <w:spacing w:line="360" w:lineRule="auto"/>
    </w:pPr>
  </w:style>
  <w:style w:type="paragraph" w:customStyle="1" w:styleId="60">
    <w:name w:val="合同1.2标题"/>
    <w:basedOn w:val="59"/>
    <w:link w:val="63"/>
    <w:qFormat/>
    <w:uiPriority w:val="0"/>
    <w:pPr>
      <w:numPr>
        <w:ilvl w:val="1"/>
      </w:numPr>
    </w:pPr>
    <w:rPr>
      <w:rFonts w:eastAsia="仿宋_GB2312"/>
      <w:b w:val="0"/>
    </w:rPr>
  </w:style>
  <w:style w:type="character" w:customStyle="1" w:styleId="61">
    <w:name w:val="合同 1.标题 字符"/>
    <w:basedOn w:val="44"/>
    <w:link w:val="59"/>
    <w:qFormat/>
    <w:uiPriority w:val="0"/>
    <w:rPr>
      <w:rFonts w:ascii="仿宋_GB2312" w:eastAsia="黑体"/>
      <w:kern w:val="2"/>
      <w:sz w:val="24"/>
      <w:szCs w:val="24"/>
    </w:rPr>
  </w:style>
  <w:style w:type="paragraph" w:customStyle="1" w:styleId="62">
    <w:name w:val="合同1.3标题"/>
    <w:basedOn w:val="60"/>
    <w:link w:val="65"/>
    <w:qFormat/>
    <w:uiPriority w:val="0"/>
    <w:pPr>
      <w:numPr>
        <w:ilvl w:val="2"/>
      </w:numPr>
    </w:pPr>
  </w:style>
  <w:style w:type="character" w:customStyle="1" w:styleId="63">
    <w:name w:val="合同1.2标题 字符"/>
    <w:basedOn w:val="23"/>
    <w:link w:val="60"/>
    <w:qFormat/>
    <w:uiPriority w:val="0"/>
    <w:rPr>
      <w:rFonts w:ascii="仿宋_GB2312" w:eastAsia="仿宋_GB2312"/>
      <w:kern w:val="2"/>
      <w:sz w:val="24"/>
      <w:szCs w:val="24"/>
    </w:rPr>
  </w:style>
  <w:style w:type="paragraph" w:customStyle="1" w:styleId="64">
    <w:name w:val="选项样式"/>
    <w:basedOn w:val="47"/>
    <w:link w:val="66"/>
    <w:qFormat/>
    <w:uiPriority w:val="0"/>
    <w:pPr>
      <w:ind w:left="555" w:leftChars="150" w:hanging="240" w:hangingChars="100"/>
    </w:pPr>
  </w:style>
  <w:style w:type="character" w:customStyle="1" w:styleId="65">
    <w:name w:val="合同1.3标题 字符"/>
    <w:basedOn w:val="63"/>
    <w:link w:val="62"/>
    <w:qFormat/>
    <w:uiPriority w:val="0"/>
    <w:rPr>
      <w:rFonts w:ascii="仿宋_GB2312" w:eastAsia="仿宋_GB2312"/>
      <w:kern w:val="2"/>
      <w:sz w:val="24"/>
      <w:szCs w:val="24"/>
    </w:rPr>
  </w:style>
  <w:style w:type="character" w:customStyle="1" w:styleId="66">
    <w:name w:val="选项样式 字符"/>
    <w:basedOn w:val="50"/>
    <w:link w:val="64"/>
    <w:qFormat/>
    <w:uiPriority w:val="0"/>
    <w:rPr>
      <w:rFonts w:ascii="Times New Roman" w:hAnsi="Times New Roman" w:eastAsia="仿宋_GB2312" w:cs="Times New Roman"/>
      <w:kern w:val="2"/>
      <w:sz w:val="24"/>
      <w:szCs w:val="24"/>
    </w:rPr>
  </w:style>
  <w:style w:type="character" w:customStyle="1" w:styleId="67">
    <w:name w:val="标题 Char"/>
    <w:basedOn w:val="23"/>
    <w:link w:val="19"/>
    <w:qFormat/>
    <w:uiPriority w:val="10"/>
    <w:rPr>
      <w:rFonts w:asciiTheme="majorHAnsi" w:hAnsiTheme="majorHAnsi" w:eastAsiaTheme="majorEastAsia" w:cstheme="majorBidi"/>
      <w:b/>
      <w:bCs/>
      <w:kern w:val="2"/>
      <w:sz w:val="32"/>
      <w:szCs w:val="32"/>
    </w:rPr>
  </w:style>
  <w:style w:type="paragraph" w:customStyle="1" w:styleId="68">
    <w:name w:val="合同1.4标题"/>
    <w:basedOn w:val="62"/>
    <w:link w:val="69"/>
    <w:qFormat/>
    <w:uiPriority w:val="0"/>
    <w:pPr>
      <w:ind w:left="851" w:firstLine="0"/>
    </w:pPr>
  </w:style>
  <w:style w:type="character" w:customStyle="1" w:styleId="69">
    <w:name w:val="合同1.4标题 字符"/>
    <w:basedOn w:val="65"/>
    <w:link w:val="68"/>
    <w:qFormat/>
    <w:uiPriority w:val="0"/>
    <w:rPr>
      <w:rFonts w:ascii="仿宋_GB2312" w:eastAsia="仿宋_GB2312"/>
      <w:kern w:val="2"/>
      <w:sz w:val="24"/>
      <w:szCs w:val="24"/>
    </w:rPr>
  </w:style>
  <w:style w:type="paragraph" w:customStyle="1" w:styleId="7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1">
    <w:name w:val="icontext1"/>
    <w:basedOn w:val="23"/>
    <w:qFormat/>
    <w:uiPriority w:val="0"/>
  </w:style>
  <w:style w:type="character" w:customStyle="1" w:styleId="72">
    <w:name w:val="icontext11"/>
    <w:basedOn w:val="23"/>
    <w:qFormat/>
    <w:uiPriority w:val="0"/>
  </w:style>
  <w:style w:type="character" w:customStyle="1" w:styleId="73">
    <w:name w:val="cdropright"/>
    <w:basedOn w:val="23"/>
    <w:qFormat/>
    <w:uiPriority w:val="0"/>
  </w:style>
  <w:style w:type="character" w:customStyle="1" w:styleId="74">
    <w:name w:val="associateddata"/>
    <w:basedOn w:val="23"/>
    <w:qFormat/>
    <w:uiPriority w:val="0"/>
    <w:rPr>
      <w:shd w:val="clear" w:color="auto" w:fill="50A6F9"/>
    </w:rPr>
  </w:style>
  <w:style w:type="character" w:customStyle="1" w:styleId="75">
    <w:name w:val="cy"/>
    <w:basedOn w:val="23"/>
    <w:qFormat/>
    <w:uiPriority w:val="0"/>
  </w:style>
  <w:style w:type="character" w:customStyle="1" w:styleId="76">
    <w:name w:val="drapbtn"/>
    <w:basedOn w:val="23"/>
    <w:qFormat/>
    <w:uiPriority w:val="0"/>
  </w:style>
  <w:style w:type="character" w:customStyle="1" w:styleId="77">
    <w:name w:val="after"/>
    <w:basedOn w:val="23"/>
    <w:qFormat/>
    <w:uiPriority w:val="0"/>
    <w:rPr>
      <w:sz w:val="0"/>
      <w:szCs w:val="0"/>
    </w:rPr>
  </w:style>
  <w:style w:type="character" w:customStyle="1" w:styleId="78">
    <w:name w:val="pagechatarealistclose_box"/>
    <w:basedOn w:val="23"/>
    <w:qFormat/>
    <w:uiPriority w:val="0"/>
  </w:style>
  <w:style w:type="character" w:customStyle="1" w:styleId="79">
    <w:name w:val="pagechatarealistclose_box1"/>
    <w:basedOn w:val="23"/>
    <w:qFormat/>
    <w:uiPriority w:val="0"/>
  </w:style>
  <w:style w:type="character" w:customStyle="1" w:styleId="80">
    <w:name w:val="active5"/>
    <w:basedOn w:val="23"/>
    <w:qFormat/>
    <w:uiPriority w:val="0"/>
    <w:rPr>
      <w:color w:val="00FF00"/>
      <w:shd w:val="clear" w:color="auto" w:fill="111111"/>
    </w:rPr>
  </w:style>
  <w:style w:type="character" w:customStyle="1" w:styleId="81">
    <w:name w:val="hilite6"/>
    <w:basedOn w:val="23"/>
    <w:qFormat/>
    <w:uiPriority w:val="0"/>
    <w:rPr>
      <w:color w:val="FFFFFF"/>
      <w:shd w:val="clear" w:color="auto" w:fill="666666"/>
    </w:rPr>
  </w:style>
  <w:style w:type="character" w:customStyle="1" w:styleId="82">
    <w:name w:val="hover30"/>
    <w:basedOn w:val="23"/>
    <w:qFormat/>
    <w:uiPriority w:val="0"/>
    <w:rPr>
      <w:color w:val="FFFFFF"/>
    </w:rPr>
  </w:style>
  <w:style w:type="character" w:customStyle="1" w:styleId="83">
    <w:name w:val="icontext3"/>
    <w:basedOn w:val="23"/>
    <w:qFormat/>
    <w:uiPriority w:val="0"/>
  </w:style>
  <w:style w:type="character" w:customStyle="1" w:styleId="84">
    <w:name w:val="iconline2"/>
    <w:basedOn w:val="23"/>
    <w:qFormat/>
    <w:uiPriority w:val="0"/>
  </w:style>
  <w:style w:type="character" w:customStyle="1" w:styleId="85">
    <w:name w:val="iconline21"/>
    <w:basedOn w:val="23"/>
    <w:qFormat/>
    <w:uiPriority w:val="0"/>
  </w:style>
  <w:style w:type="character" w:customStyle="1" w:styleId="86">
    <w:name w:val="icontext2"/>
    <w:basedOn w:val="23"/>
    <w:qFormat/>
    <w:uiPriority w:val="0"/>
  </w:style>
  <w:style w:type="character" w:customStyle="1" w:styleId="87">
    <w:name w:val="layui-layer-tabnow"/>
    <w:basedOn w:val="23"/>
    <w:qFormat/>
    <w:uiPriority w:val="0"/>
    <w:rPr>
      <w:bdr w:val="single" w:color="CCCCCC" w:sz="6" w:space="0"/>
      <w:shd w:val="clear" w:color="auto" w:fill="FFFFFF"/>
    </w:rPr>
  </w:style>
  <w:style w:type="character" w:customStyle="1" w:styleId="88">
    <w:name w:val="first-child"/>
    <w:basedOn w:val="23"/>
    <w:qFormat/>
    <w:uiPriority w:val="0"/>
  </w:style>
  <w:style w:type="character" w:customStyle="1" w:styleId="89">
    <w:name w:val="cdropleft"/>
    <w:basedOn w:val="23"/>
    <w:qFormat/>
    <w:uiPriority w:val="0"/>
  </w:style>
  <w:style w:type="character" w:customStyle="1" w:styleId="90">
    <w:name w:val="tmpztreemove_arrow"/>
    <w:basedOn w:val="23"/>
    <w:qFormat/>
    <w:uiPriority w:val="0"/>
  </w:style>
  <w:style w:type="character" w:customStyle="1" w:styleId="91">
    <w:name w:val="choosename"/>
    <w:basedOn w:val="23"/>
    <w:qFormat/>
    <w:uiPriority w:val="0"/>
  </w:style>
  <w:style w:type="character" w:customStyle="1" w:styleId="92">
    <w:name w:val="ico1654"/>
    <w:basedOn w:val="23"/>
    <w:qFormat/>
    <w:uiPriority w:val="0"/>
  </w:style>
  <w:style w:type="character" w:customStyle="1" w:styleId="93">
    <w:name w:val="ico1655"/>
    <w:basedOn w:val="23"/>
    <w:qFormat/>
    <w:uiPriority w:val="0"/>
  </w:style>
  <w:style w:type="character" w:customStyle="1" w:styleId="94">
    <w:name w:val="w32"/>
    <w:basedOn w:val="23"/>
    <w:qFormat/>
    <w:uiPriority w:val="0"/>
  </w:style>
  <w:style w:type="character" w:customStyle="1" w:styleId="95">
    <w:name w:val="button3"/>
    <w:basedOn w:val="23"/>
    <w:qFormat/>
    <w:uiPriority w:val="0"/>
  </w:style>
  <w:style w:type="character" w:customStyle="1" w:styleId="96">
    <w:name w:val="hilite"/>
    <w:basedOn w:val="23"/>
    <w:qFormat/>
    <w:uiPriority w:val="0"/>
    <w:rPr>
      <w:color w:val="FFFFFF"/>
      <w:shd w:val="clear" w:color="auto" w:fill="666666"/>
    </w:rPr>
  </w:style>
  <w:style w:type="character" w:customStyle="1" w:styleId="97">
    <w:name w:val="button"/>
    <w:basedOn w:val="23"/>
    <w:qFormat/>
    <w:uiPriority w:val="0"/>
  </w:style>
  <w:style w:type="character" w:customStyle="1" w:styleId="98">
    <w:name w:val="active7"/>
    <w:basedOn w:val="23"/>
    <w:qFormat/>
    <w:uiPriority w:val="0"/>
    <w:rPr>
      <w:color w:val="00FF00"/>
      <w:shd w:val="clear" w:color="auto" w:fill="111111"/>
    </w:rPr>
  </w:style>
  <w:style w:type="character" w:customStyle="1" w:styleId="99">
    <w:name w:val="hover41"/>
    <w:basedOn w:val="23"/>
    <w:qFormat/>
    <w:uiPriority w:val="0"/>
    <w:rPr>
      <w:color w:val="FFFFFF"/>
    </w:rPr>
  </w:style>
  <w:style w:type="character" w:customStyle="1" w:styleId="100">
    <w:name w:val="icontext12"/>
    <w:basedOn w:val="23"/>
    <w:qFormat/>
    <w:uiPriority w:val="0"/>
  </w:style>
  <w:style w:type="character" w:styleId="101">
    <w:name w:val="Placeholder Text"/>
    <w:basedOn w:val="23"/>
    <w:semiHidden/>
    <w:qFormat/>
    <w:uiPriority w:val="99"/>
    <w:rPr>
      <w:color w:val="808080"/>
    </w:rPr>
  </w:style>
  <w:style w:type="character" w:customStyle="1" w:styleId="102">
    <w:name w:val="样式1"/>
    <w:basedOn w:val="23"/>
    <w:qFormat/>
    <w:uiPriority w:val="1"/>
  </w:style>
  <w:style w:type="character" w:customStyle="1" w:styleId="103">
    <w:name w:val="正文文本 Char"/>
    <w:basedOn w:val="23"/>
    <w:link w:val="13"/>
    <w:qFormat/>
    <w:uiPriority w:val="99"/>
    <w:rPr>
      <w:rFonts w:ascii="Calibri" w:hAnsi="Calibri"/>
      <w:szCs w:val="22"/>
    </w:rPr>
  </w:style>
  <w:style w:type="paragraph" w:customStyle="1" w:styleId="104">
    <w:name w:val="列出段落1"/>
    <w:basedOn w:val="1"/>
    <w:qFormat/>
    <w:uiPriority w:val="99"/>
    <w:rPr>
      <w:rFonts w:ascii="Calibri" w:hAnsi="Calibri"/>
      <w:sz w:val="20"/>
      <w:szCs w:val="20"/>
    </w:rPr>
  </w:style>
  <w:style w:type="paragraph" w:customStyle="1" w:styleId="105">
    <w:name w:val="标题 52"/>
    <w:basedOn w:val="1"/>
    <w:qFormat/>
    <w:uiPriority w:val="1"/>
    <w:pPr>
      <w:ind w:left="120"/>
      <w:jc w:val="left"/>
      <w:outlineLvl w:val="5"/>
    </w:pPr>
    <w:rPr>
      <w:rFonts w:ascii="仿宋" w:hAnsi="仿宋" w:eastAsia="仿宋"/>
      <w:kern w:val="0"/>
      <w:sz w:val="28"/>
      <w:szCs w:val="28"/>
      <w:lang w:eastAsia="en-US"/>
    </w:rPr>
  </w:style>
  <w:style w:type="paragraph" w:customStyle="1" w:styleId="106">
    <w:name w:val="正文 New New New New New New New New New"/>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7">
    <w:name w:val="标题 51"/>
    <w:basedOn w:val="1"/>
    <w:qFormat/>
    <w:uiPriority w:val="1"/>
    <w:pPr>
      <w:ind w:left="120"/>
      <w:jc w:val="left"/>
      <w:outlineLvl w:val="5"/>
    </w:pPr>
    <w:rPr>
      <w:rFonts w:ascii="仿宋" w:hAnsi="仿宋" w:eastAsia="仿宋"/>
      <w:kern w:val="0"/>
      <w:sz w:val="28"/>
      <w:szCs w:val="28"/>
      <w:lang w:eastAsia="en-US"/>
    </w:rPr>
  </w:style>
  <w:style w:type="paragraph" w:customStyle="1" w:styleId="108">
    <w:name w:val="正文_1"/>
    <w:qFormat/>
    <w:uiPriority w:val="0"/>
    <w:pPr>
      <w:widowControl w:val="0"/>
      <w:jc w:val="both"/>
    </w:pPr>
    <w:rPr>
      <w:rFonts w:ascii="Calibri" w:hAnsi="Calibri" w:eastAsia="楷体_GB2312" w:cs="Times New Roman"/>
      <w:kern w:val="2"/>
      <w:sz w:val="21"/>
      <w:szCs w:val="22"/>
      <w:lang w:val="en-US" w:eastAsia="zh-CN" w:bidi="ar-SA"/>
    </w:rPr>
  </w:style>
  <w:style w:type="paragraph" w:customStyle="1" w:styleId="109">
    <w:name w:val="p0"/>
    <w:basedOn w:val="1"/>
    <w:qFormat/>
    <w:uiPriority w:val="0"/>
    <w:pPr>
      <w:widowControl/>
    </w:pPr>
    <w:rPr>
      <w:kern w:val="0"/>
      <w:szCs w:val="21"/>
    </w:rPr>
  </w:style>
  <w:style w:type="paragraph" w:customStyle="1" w:styleId="110">
    <w:name w:val="正文样式"/>
    <w:basedOn w:val="1"/>
    <w:qFormat/>
    <w:uiPriority w:val="0"/>
    <w:pPr>
      <w:spacing w:line="480" w:lineRule="exact"/>
      <w:ind w:firstLine="480" w:firstLineChars="200"/>
    </w:pPr>
    <w:rPr>
      <w:rFonts w:ascii="Calibri" w:hAnsi="Calibri"/>
      <w:kern w:val="0"/>
      <w:sz w:val="24"/>
      <w:szCs w:val="22"/>
    </w:rPr>
  </w:style>
  <w:style w:type="paragraph" w:customStyle="1" w:styleId="111">
    <w:name w:val="“目录”"/>
    <w:basedOn w:val="110"/>
    <w:qFormat/>
    <w:uiPriority w:val="0"/>
    <w:pPr>
      <w:ind w:firstLine="0" w:firstLineChars="0"/>
      <w:jc w:val="center"/>
    </w:pPr>
    <w:rPr>
      <w:b/>
      <w:sz w:val="44"/>
    </w:rPr>
  </w:style>
  <w:style w:type="paragraph" w:customStyle="1" w:styleId="112">
    <w:name w:val="zw"/>
    <w:basedOn w:val="1"/>
    <w:qFormat/>
    <w:uiPriority w:val="0"/>
    <w:pPr>
      <w:widowControl/>
      <w:spacing w:before="30"/>
      <w:ind w:left="100" w:right="100"/>
    </w:pPr>
    <w:rPr>
      <w:rFonts w:ascii="方正书宋简体" w:hAnsi="宋体" w:eastAsia="方正书宋简体"/>
      <w:color w:val="000000"/>
      <w:kern w:val="0"/>
      <w:szCs w:val="21"/>
    </w:rPr>
  </w:style>
  <w:style w:type="character" w:customStyle="1" w:styleId="113">
    <w:name w:val="deleterow"/>
    <w:basedOn w:val="23"/>
    <w:qFormat/>
    <w:uiPriority w:val="0"/>
    <w:rPr>
      <w:color w:val="FF5E5E"/>
    </w:rPr>
  </w:style>
  <w:style w:type="character" w:customStyle="1" w:styleId="114">
    <w:name w:val="ico16"/>
    <w:basedOn w:val="23"/>
    <w:qFormat/>
    <w:uiPriority w:val="0"/>
  </w:style>
  <w:style w:type="character" w:customStyle="1" w:styleId="115">
    <w:name w:val="ico161"/>
    <w:basedOn w:val="23"/>
    <w:qFormat/>
    <w:uiPriority w:val="0"/>
  </w:style>
  <w:style w:type="character" w:customStyle="1" w:styleId="116">
    <w:name w:val="copyrow"/>
    <w:basedOn w:val="23"/>
    <w:qFormat/>
    <w:uiPriority w:val="0"/>
    <w:rPr>
      <w:color w:val="1F85EC"/>
    </w:rPr>
  </w:style>
  <w:style w:type="character" w:customStyle="1" w:styleId="117">
    <w:name w:val="active6"/>
    <w:basedOn w:val="23"/>
    <w:qFormat/>
    <w:uiPriority w:val="0"/>
    <w:rPr>
      <w:color w:val="00FF00"/>
      <w:shd w:val="clear" w:fill="111111"/>
    </w:rPr>
  </w:style>
  <w:style w:type="character" w:customStyle="1" w:styleId="118">
    <w:name w:val="insertrow"/>
    <w:basedOn w:val="23"/>
    <w:qFormat/>
    <w:uiPriority w:val="0"/>
    <w:rPr>
      <w:color w:val="1F85EC"/>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E21E5D97A5D4BD5B798F71EC12A7116"/>
        <w:style w:val=""/>
        <w:category>
          <w:name w:val="常规"/>
          <w:gallery w:val="placeholder"/>
        </w:category>
        <w:types>
          <w:type w:val="bbPlcHdr"/>
        </w:types>
        <w:behaviors>
          <w:behavior w:val="content"/>
        </w:behaviors>
        <w:description w:val=""/>
        <w:guid w:val="{F73D8F13-E55C-4D3F-AA53-34061B226940}"/>
      </w:docPartPr>
      <w:docPartBody>
        <w:p>
          <w:pPr>
            <w:pStyle w:val="5"/>
          </w:pPr>
          <w:r>
            <w:rPr>
              <w:rFonts w:hint="eastAsia" w:ascii="方正小标宋简体" w:eastAsia="方正小标宋简体"/>
              <w:b w:val="0"/>
              <w:sz w:val="44"/>
              <w:szCs w:val="48"/>
              <w:u w:val="single"/>
            </w:rPr>
            <w:t>选择</w:t>
          </w:r>
          <w:r>
            <w:rPr>
              <w:rFonts w:hint="eastAsia" w:ascii="方正小标宋简体" w:eastAsia="方正小标宋简体"/>
              <w:sz w:val="44"/>
              <w:szCs w:val="48"/>
              <w:u w:val="single"/>
            </w:rPr>
            <w:t>一项。</w:t>
          </w:r>
        </w:p>
      </w:docPartBody>
    </w:docPart>
    <w:docPart>
      <w:docPartPr>
        <w:name w:val="208D16B10ECA40B7ADCD728C8A3AD56F"/>
        <w:style w:val=""/>
        <w:category>
          <w:name w:val="常规"/>
          <w:gallery w:val="placeholder"/>
        </w:category>
        <w:types>
          <w:type w:val="bbPlcHdr"/>
        </w:types>
        <w:behaviors>
          <w:behavior w:val="content"/>
        </w:behaviors>
        <w:description w:val=""/>
        <w:guid w:val="{33B99772-0264-4033-BD2C-7D57DD7968CC}"/>
      </w:docPartPr>
      <w:docPartBody>
        <w:p>
          <w:pPr>
            <w:pStyle w:val="6"/>
          </w:pPr>
          <w:r>
            <w:rPr>
              <w:rFonts w:hint="eastAsia" w:ascii="仿宋_GB2312" w:eastAsia="仿宋_GB2312"/>
              <w:sz w:val="24"/>
              <w:u w:val="single" w:color="FF0000"/>
            </w:rPr>
            <w:t>选择一项。</w:t>
          </w:r>
        </w:p>
      </w:docPartBody>
    </w:docPart>
    <w:docPart>
      <w:docPartPr>
        <w:name w:val="77EBC40E322C473B8D77EDBA95158E32"/>
        <w:style w:val=""/>
        <w:category>
          <w:name w:val="常规"/>
          <w:gallery w:val="placeholder"/>
        </w:category>
        <w:types>
          <w:type w:val="bbPlcHdr"/>
        </w:types>
        <w:behaviors>
          <w:behavior w:val="content"/>
        </w:behaviors>
        <w:description w:val=""/>
        <w:guid w:val="{1C62C224-5B37-4B82-AA85-535301A53D60}"/>
      </w:docPartPr>
      <w:docPartBody>
        <w:p>
          <w:pPr>
            <w:pStyle w:val="7"/>
          </w:pPr>
          <w:r>
            <w:rPr>
              <w:rFonts w:hint="eastAsia" w:ascii="仿宋_GB2312" w:hAnsi="宋体" w:eastAsia="仿宋_GB2312"/>
              <w:b/>
              <w:sz w:val="30"/>
              <w:szCs w:val="30"/>
              <w:u w:val="single" w:color="FF0000"/>
            </w:rPr>
            <w:t>单击或点击此处输入项目名称</w:t>
          </w:r>
        </w:p>
      </w:docPartBody>
    </w:docPart>
    <w:docPart>
      <w:docPartPr>
        <w:name w:val="0BCAC0AA667341E0B6121D39FAF47F7A"/>
        <w:style w:val=""/>
        <w:category>
          <w:name w:val="常规"/>
          <w:gallery w:val="placeholder"/>
        </w:category>
        <w:types>
          <w:type w:val="bbPlcHdr"/>
        </w:types>
        <w:behaviors>
          <w:behavior w:val="content"/>
        </w:behaviors>
        <w:description w:val=""/>
        <w:guid w:val="{00CF3F81-3B2A-482F-8BAC-81D5D6ABF462}"/>
      </w:docPartPr>
      <w:docPartBody>
        <w:p>
          <w:pPr>
            <w:pStyle w:val="8"/>
          </w:pPr>
          <w:r>
            <w:rPr>
              <w:rFonts w:hint="eastAsia" w:ascii="仿宋_GB2312" w:eastAsia="仿宋_GB2312"/>
              <w:b/>
              <w:bCs/>
              <w:sz w:val="24"/>
              <w:u w:val="single" w:color="FF0000"/>
            </w:rPr>
            <w:t>单击或点击此处输入项目名称</w:t>
          </w:r>
        </w:p>
      </w:docPartBody>
    </w:docPart>
    <w:docPart>
      <w:docPartPr>
        <w:name w:val="{e23298bc-e009-4cda-8db0-829c013a27fa}"/>
        <w:style w:val=""/>
        <w:category>
          <w:name w:val="常规"/>
          <w:gallery w:val="placeholder"/>
        </w:category>
        <w:types>
          <w:type w:val="bbPlcHdr"/>
        </w:types>
        <w:behaviors>
          <w:behavior w:val="content"/>
        </w:behaviors>
        <w:description w:val=""/>
        <w:guid w:val="{E23298BC-E009-4CDA-8DB0-829C013A27FA}"/>
      </w:docPartPr>
      <w:docPartBody>
        <w:p>
          <w:pPr>
            <w:pStyle w:val="9"/>
          </w:pPr>
          <w:r>
            <w:rPr>
              <w:rFonts w:hint="eastAsia" w:ascii="仿宋_GB2312" w:eastAsia="仿宋_GB2312"/>
              <w:b/>
              <w:bCs/>
              <w:sz w:val="24"/>
              <w:u w:val="single" w:color="FF0000"/>
            </w:rPr>
            <w:t>单击或点击此处输入项目名称</w:t>
          </w:r>
        </w:p>
      </w:docPartBody>
    </w:docPart>
    <w:docPart>
      <w:docPartPr>
        <w:name w:val="{ba4ee37f-18b9-4136-9072-32c4c2ff921b}"/>
        <w:style w:val=""/>
        <w:category>
          <w:name w:val="常规"/>
          <w:gallery w:val="placeholder"/>
        </w:category>
        <w:types>
          <w:type w:val="bbPlcHdr"/>
        </w:types>
        <w:behaviors>
          <w:behavior w:val="content"/>
        </w:behaviors>
        <w:description w:val=""/>
        <w:guid w:val="{BA4EE37F-18B9-4136-9072-32C4C2FF921B}"/>
      </w:docPartPr>
      <w:docPartBody>
        <w:p>
          <w:pPr>
            <w:pStyle w:val="10"/>
            <w:ind w:firstLine="482"/>
          </w:pPr>
          <w:r>
            <w:rPr>
              <w:rFonts w:hint="eastAsia" w:ascii="仿宋_GB2312"/>
              <w:b/>
              <w:bCs/>
              <w:u w:val="single" w:color="FF0000"/>
            </w:rPr>
            <w:t>单击或点击此处输入项目名称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B6"/>
    <w:rsid w:val="00125DB6"/>
    <w:rsid w:val="001C12DD"/>
    <w:rsid w:val="002F6FE1"/>
    <w:rsid w:val="003F37FB"/>
    <w:rsid w:val="004A6A3F"/>
    <w:rsid w:val="00510291"/>
    <w:rsid w:val="00621A2B"/>
    <w:rsid w:val="00666949"/>
    <w:rsid w:val="006673B8"/>
    <w:rsid w:val="007213EC"/>
    <w:rsid w:val="007B7414"/>
    <w:rsid w:val="007E4D31"/>
    <w:rsid w:val="007E5D7D"/>
    <w:rsid w:val="00801A26"/>
    <w:rsid w:val="00805638"/>
    <w:rsid w:val="008A3687"/>
    <w:rsid w:val="008A411C"/>
    <w:rsid w:val="008E3569"/>
    <w:rsid w:val="00923829"/>
    <w:rsid w:val="00923ED9"/>
    <w:rsid w:val="0094118C"/>
    <w:rsid w:val="00946A0C"/>
    <w:rsid w:val="00990D84"/>
    <w:rsid w:val="009A7890"/>
    <w:rsid w:val="009F0652"/>
    <w:rsid w:val="00A32D7C"/>
    <w:rsid w:val="00A54488"/>
    <w:rsid w:val="00B01AB5"/>
    <w:rsid w:val="00B50B50"/>
    <w:rsid w:val="00C816CE"/>
    <w:rsid w:val="00CA47EB"/>
    <w:rsid w:val="00E530AE"/>
    <w:rsid w:val="00EC7902"/>
    <w:rsid w:val="00EE64BE"/>
    <w:rsid w:val="00F37E9C"/>
    <w:rsid w:val="00F77342"/>
    <w:rsid w:val="00FB0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E21E5D97A5D4BD5B798F71EC12A71161"/>
    <w:qFormat/>
    <w:uiPriority w:val="0"/>
    <w:pPr>
      <w:widowControl w:val="0"/>
      <w:spacing w:before="240" w:after="60"/>
      <w:jc w:val="center"/>
      <w:outlineLvl w:val="0"/>
    </w:pPr>
    <w:rPr>
      <w:rFonts w:asciiTheme="majorHAnsi" w:hAnsiTheme="majorHAnsi" w:eastAsiaTheme="majorEastAsia" w:cstheme="majorBidi"/>
      <w:b/>
      <w:bCs/>
      <w:kern w:val="2"/>
      <w:sz w:val="32"/>
      <w:szCs w:val="32"/>
      <w:lang w:val="en-US" w:eastAsia="zh-CN" w:bidi="ar-SA"/>
    </w:rPr>
  </w:style>
  <w:style w:type="paragraph" w:customStyle="1" w:styleId="6">
    <w:name w:val="208D16B10ECA40B7ADCD728C8A3AD56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77EBC40E322C473B8D77EDBA95158E3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0BCAC0AA667341E0B6121D39FAF47F7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C18C9D38BF7A479B9E0454FFC8B7960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E447A16E288543BCA3B508BEC3405C9E2"/>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7A691D-157D-4A87-ACFB-CC3284C407CE}">
  <ds:schemaRefs/>
</ds:datastoreItem>
</file>

<file path=docProps/app.xml><?xml version="1.0" encoding="utf-8"?>
<Properties xmlns="http://schemas.openxmlformats.org/officeDocument/2006/extended-properties" xmlns:vt="http://schemas.openxmlformats.org/officeDocument/2006/docPropsVTypes">
  <Template>Normal</Template>
  <Pages>39</Pages>
  <Words>3730</Words>
  <Characters>21261</Characters>
  <Lines>177</Lines>
  <Paragraphs>49</Paragraphs>
  <TotalTime>1</TotalTime>
  <ScaleCrop>false</ScaleCrop>
  <LinksUpToDate>false</LinksUpToDate>
  <CharactersWithSpaces>24942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2022-04-26T03:49:00Z</dcterms:created>
  <dc:creator>林 YT</dc:creator>
  <cp:lastModifiedBy>合约部</cp:lastModifiedBy>
  <cp:lastPrinted>2022-07-08T10:48:00Z</cp:lastPrinted>
  <dcterms:modified xsi:type="dcterms:W3CDTF">2023-02-21T08:47:08Z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933E25B174504EC991E318C97014DD35</vt:lpwstr>
  </property>
</Properties>
</file>