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5A736F">
      <w:pPr>
        <w:jc w:val="center"/>
        <w:rPr>
          <w:rFonts w:hint="eastAsia" w:ascii="宋体" w:hAnsi="宋体" w:eastAsia="宋体" w:cs="宋体"/>
          <w:color w:val="auto"/>
          <w:sz w:val="52"/>
          <w:szCs w:val="52"/>
          <w:highlight w:val="none"/>
          <w:lang w:val="en-US" w:eastAsia="zh-CN"/>
        </w:rPr>
      </w:pPr>
      <w:r>
        <w:rPr>
          <w:rFonts w:hint="eastAsia" w:ascii="宋体" w:hAnsi="宋体" w:eastAsia="宋体" w:cs="宋体"/>
          <w:b/>
          <w:bCs/>
          <w:color w:val="auto"/>
          <w:sz w:val="60"/>
          <w:szCs w:val="60"/>
          <w:highlight w:val="none"/>
          <w:lang w:val="en-US" w:eastAsia="zh-CN"/>
        </w:rPr>
        <w:t>设计任务书</w:t>
      </w:r>
    </w:p>
    <w:p w14:paraId="02769169">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0"/>
        <w:rPr>
          <w:rFonts w:hint="eastAsia" w:ascii="宋体" w:hAnsi="宋体" w:eastAsia="宋体" w:cs="宋体"/>
          <w:b/>
          <w:bCs/>
          <w:color w:val="auto"/>
          <w:sz w:val="28"/>
          <w:szCs w:val="28"/>
          <w:highlight w:val="none"/>
          <w:lang w:val="en-US" w:eastAsia="zh-CN"/>
        </w:rPr>
      </w:pPr>
    </w:p>
    <w:p w14:paraId="0235779A">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8"/>
          <w:szCs w:val="28"/>
          <w:highlight w:val="none"/>
          <w:lang w:val="en-US" w:eastAsia="zh-CN"/>
        </w:rPr>
        <w:t>一、项目概况</w:t>
      </w:r>
    </w:p>
    <w:p w14:paraId="279F9A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1．项目名称：石井河粤上白云间文旅项目。</w:t>
      </w:r>
      <w:bookmarkStart w:id="0" w:name="_GoBack"/>
      <w:bookmarkEnd w:id="0"/>
    </w:p>
    <w:p w14:paraId="012976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2．项目地点：本项目位于白云区石井河沿岸“文旅+”产城游生态综合提升首开区，由石井河海军桥至潭溪路河段，主要涉及白云区白云湖街道和石井街道，首开区河域长度2.5公里，河道宽度40至60米。</w:t>
      </w:r>
    </w:p>
    <w:p w14:paraId="6B7FF6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项目定位：项目建成后将成为广州市“生态治理+文旅体融合”的绿色水岸经济示范项目，不仅以艺术激活城市空间，打造了以健身运动、亲子游乐、极限挑战为主题的全天候活力运动休闲空间，还以“低碳运营”为核心，通过新能源游船、节能光影系统等低碳技术，打造可复制的城市滨水文旅样板。</w:t>
      </w:r>
    </w:p>
    <w:p w14:paraId="18038C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发展目标：通过丰富的运动设施和活动空间，营造出一个充满活力的桥下运动公园氛围，成为城市居民休闲、娱乐、运动的重要场所。通过项目建设及营运，发展绿色旅游，带动周边绿色就业岗位增长，并形成“碧道修复-文化活化-产业升级”的可持续发展闭环，为美丽中国建设提供“白云方案”，助力广东省“绿色水经济”发展。</w:t>
      </w:r>
    </w:p>
    <w:p w14:paraId="68908D96">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8"/>
          <w:szCs w:val="28"/>
          <w:highlight w:val="none"/>
          <w:lang w:val="en-US" w:eastAsia="zh-CN"/>
        </w:rPr>
        <w:t>二、建设内容与规模</w:t>
      </w:r>
    </w:p>
    <w:p w14:paraId="09C237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通过结合现代光影技术与表演艺术，打造广州首个“水岸沉浸式文旅商综合体”，构建两岸商业消费风情街区。项目将打造1条石井河精品水上主题游线，以石井河的历史商贸为主题规划2.5公里水上游船环线，结合码头空间设计沉浸式演出及船上文化展演项目，打造沉浸式光影体验，通过码头连接沿岸夜市、美食街、文创集市等，带动夜间消费新体验。</w:t>
      </w:r>
    </w:p>
    <w:p w14:paraId="4055F09B">
      <w:pPr>
        <w:adjustRightInd w:val="0"/>
        <w:snapToGrid w:val="0"/>
        <w:spacing w:line="360" w:lineRule="auto"/>
        <w:ind w:firstLine="564" w:firstLineChars="235"/>
        <w:rPr>
          <w:rFonts w:hint="eastAsia" w:ascii="宋体" w:hAnsi="宋体" w:eastAsia="宋体" w:cs="宋体"/>
          <w:color w:val="auto"/>
          <w:sz w:val="24"/>
          <w:szCs w:val="20"/>
          <w:highlight w:val="none"/>
          <w:u w:val="single"/>
          <w:lang w:val="zh-CN" w:eastAsia="zh-CN" w:bidi="ar-SA"/>
        </w:rPr>
      </w:pPr>
      <w:r>
        <w:rPr>
          <w:rFonts w:hint="eastAsia" w:ascii="宋体" w:hAnsi="宋体" w:eastAsia="宋体" w:cs="宋体"/>
          <w:color w:val="auto"/>
          <w:sz w:val="24"/>
          <w:szCs w:val="20"/>
          <w:highlight w:val="none"/>
          <w:u w:val="single"/>
          <w:lang w:val="zh-CN" w:eastAsia="zh-CN" w:bidi="ar-SA"/>
        </w:rPr>
        <w:t>石井河首开段（海军桥至潭溪路桥段水域）水上项目、石井河首开段周边物业投资建设经营。</w:t>
      </w:r>
    </w:p>
    <w:p w14:paraId="7910CA92">
      <w:pPr>
        <w:adjustRightInd w:val="0"/>
        <w:snapToGrid w:val="0"/>
        <w:spacing w:line="360" w:lineRule="auto"/>
        <w:ind w:firstLine="564" w:firstLineChars="235"/>
        <w:rPr>
          <w:rFonts w:hint="default" w:ascii="宋体" w:hAnsi="宋体" w:eastAsia="宋体" w:cs="宋体"/>
          <w:color w:val="auto"/>
          <w:sz w:val="24"/>
          <w:szCs w:val="20"/>
          <w:highlight w:val="none"/>
          <w:u w:val="none"/>
          <w:lang w:val="en-US" w:eastAsia="zh-CN" w:bidi="ar-SA"/>
        </w:rPr>
      </w:pPr>
      <w:r>
        <w:rPr>
          <w:rFonts w:hint="eastAsia" w:ascii="宋体" w:hAnsi="宋体" w:eastAsia="宋体" w:cs="宋体"/>
          <w:color w:val="auto"/>
          <w:sz w:val="24"/>
          <w:szCs w:val="20"/>
          <w:highlight w:val="none"/>
          <w:u w:val="none"/>
          <w:lang w:val="zh-CN" w:eastAsia="zh-CN" w:bidi="ar-SA"/>
        </w:rPr>
        <w:t>1、提升改造工程</w:t>
      </w:r>
      <w:r>
        <w:rPr>
          <w:rFonts w:hint="eastAsia" w:ascii="宋体" w:hAnsi="宋体" w:cs="宋体"/>
          <w:color w:val="auto"/>
          <w:sz w:val="24"/>
          <w:szCs w:val="20"/>
          <w:highlight w:val="none"/>
          <w:u w:val="none"/>
          <w:lang w:val="zh-CN" w:eastAsia="zh-CN" w:bidi="ar-SA"/>
        </w:rPr>
        <w:t>：</w:t>
      </w:r>
      <w:r>
        <w:rPr>
          <w:rFonts w:hint="eastAsia" w:ascii="宋体" w:hAnsi="宋体" w:eastAsia="宋体" w:cs="宋体"/>
          <w:color w:val="auto"/>
          <w:sz w:val="24"/>
          <w:szCs w:val="20"/>
          <w:highlight w:val="none"/>
          <w:u w:val="single"/>
          <w:lang w:val="zh-CN" w:eastAsia="zh-CN" w:bidi="ar-SA"/>
        </w:rPr>
        <w:t>商业用房装修改造</w:t>
      </w:r>
      <w:r>
        <w:rPr>
          <w:rFonts w:hint="eastAsia" w:ascii="宋体" w:hAnsi="宋体" w:cs="宋体"/>
          <w:color w:val="auto"/>
          <w:sz w:val="24"/>
          <w:szCs w:val="20"/>
          <w:highlight w:val="none"/>
          <w:u w:val="single"/>
          <w:lang w:val="zh-CN" w:eastAsia="zh-CN" w:bidi="ar-SA"/>
        </w:rPr>
        <w:t>（</w:t>
      </w:r>
      <w:r>
        <w:rPr>
          <w:rFonts w:hint="eastAsia" w:ascii="宋体" w:hAnsi="宋体" w:eastAsia="宋体" w:cs="宋体"/>
          <w:color w:val="auto"/>
          <w:sz w:val="24"/>
          <w:szCs w:val="20"/>
          <w:highlight w:val="none"/>
          <w:u w:val="single"/>
          <w:lang w:val="zh-CN" w:eastAsia="zh-CN" w:bidi="ar-SA"/>
        </w:rPr>
        <w:t>张村商铺</w:t>
      </w:r>
      <w:r>
        <w:rPr>
          <w:rFonts w:hint="eastAsia" w:ascii="宋体" w:hAnsi="宋体" w:cs="宋体"/>
          <w:color w:val="auto"/>
          <w:sz w:val="24"/>
          <w:szCs w:val="20"/>
          <w:highlight w:val="none"/>
          <w:u w:val="single"/>
          <w:lang w:val="zh-CN" w:eastAsia="zh-CN" w:bidi="ar-SA"/>
        </w:rPr>
        <w:t>、</w:t>
      </w:r>
      <w:r>
        <w:rPr>
          <w:rFonts w:hint="eastAsia" w:ascii="宋体" w:hAnsi="宋体" w:eastAsia="宋体" w:cs="宋体"/>
          <w:color w:val="auto"/>
          <w:sz w:val="24"/>
          <w:szCs w:val="20"/>
          <w:highlight w:val="none"/>
          <w:u w:val="single"/>
          <w:lang w:val="zh-CN" w:eastAsia="zh-CN" w:bidi="ar-SA"/>
        </w:rPr>
        <w:t>沿街商铺</w:t>
      </w:r>
      <w:r>
        <w:rPr>
          <w:rFonts w:hint="eastAsia" w:ascii="宋体" w:hAnsi="宋体" w:cs="宋体"/>
          <w:color w:val="auto"/>
          <w:sz w:val="24"/>
          <w:szCs w:val="20"/>
          <w:highlight w:val="none"/>
          <w:u w:val="single"/>
          <w:lang w:val="zh-CN" w:eastAsia="zh-CN" w:bidi="ar-SA"/>
        </w:rPr>
        <w:t>、</w:t>
      </w:r>
      <w:r>
        <w:rPr>
          <w:rFonts w:hint="eastAsia" w:ascii="宋体" w:hAnsi="宋体" w:eastAsia="宋体" w:cs="宋体"/>
          <w:color w:val="auto"/>
          <w:sz w:val="24"/>
          <w:szCs w:val="20"/>
          <w:highlight w:val="none"/>
          <w:u w:val="single"/>
          <w:lang w:val="zh-CN" w:eastAsia="zh-CN" w:bidi="ar-SA"/>
        </w:rPr>
        <w:t>办公室和总控室</w:t>
      </w:r>
      <w:r>
        <w:rPr>
          <w:rFonts w:hint="eastAsia" w:ascii="宋体" w:hAnsi="宋体" w:cs="宋体"/>
          <w:color w:val="auto"/>
          <w:sz w:val="24"/>
          <w:szCs w:val="20"/>
          <w:highlight w:val="none"/>
          <w:u w:val="single"/>
          <w:lang w:val="zh-CN" w:eastAsia="zh-CN" w:bidi="ar-SA"/>
        </w:rPr>
        <w:t>）、</w:t>
      </w:r>
      <w:r>
        <w:rPr>
          <w:rFonts w:hint="eastAsia" w:ascii="宋体" w:hAnsi="宋体" w:eastAsia="宋体" w:cs="宋体"/>
          <w:color w:val="auto"/>
          <w:sz w:val="24"/>
          <w:szCs w:val="20"/>
          <w:highlight w:val="none"/>
          <w:u w:val="single"/>
          <w:lang w:val="zh-CN" w:eastAsia="zh-CN" w:bidi="ar-SA"/>
        </w:rPr>
        <w:t>升平社学装修改造</w:t>
      </w:r>
      <w:r>
        <w:rPr>
          <w:rFonts w:hint="eastAsia" w:ascii="宋体" w:hAnsi="宋体" w:cs="宋体"/>
          <w:color w:val="auto"/>
          <w:sz w:val="24"/>
          <w:szCs w:val="20"/>
          <w:highlight w:val="none"/>
          <w:u w:val="single"/>
          <w:lang w:val="zh-CN" w:eastAsia="zh-CN" w:bidi="ar-SA"/>
        </w:rPr>
        <w:t>、</w:t>
      </w:r>
      <w:r>
        <w:rPr>
          <w:rFonts w:hint="eastAsia" w:ascii="宋体" w:hAnsi="宋体" w:eastAsia="宋体" w:cs="宋体"/>
          <w:color w:val="auto"/>
          <w:sz w:val="24"/>
          <w:szCs w:val="20"/>
          <w:highlight w:val="none"/>
          <w:u w:val="single"/>
          <w:lang w:val="zh-CN" w:eastAsia="zh-CN" w:bidi="ar-SA"/>
        </w:rPr>
        <w:t>游客中心装修改造</w:t>
      </w:r>
      <w:r>
        <w:rPr>
          <w:rFonts w:hint="eastAsia" w:ascii="宋体" w:hAnsi="宋体" w:cs="宋体"/>
          <w:color w:val="auto"/>
          <w:sz w:val="24"/>
          <w:szCs w:val="20"/>
          <w:highlight w:val="none"/>
          <w:u w:val="single"/>
          <w:lang w:val="zh-CN" w:eastAsia="zh-CN" w:bidi="ar-SA"/>
        </w:rPr>
        <w:t>、</w:t>
      </w:r>
      <w:r>
        <w:rPr>
          <w:rFonts w:hint="eastAsia" w:ascii="宋体" w:hAnsi="宋体" w:eastAsia="宋体" w:cs="宋体"/>
          <w:color w:val="auto"/>
          <w:sz w:val="24"/>
          <w:szCs w:val="20"/>
          <w:highlight w:val="none"/>
          <w:u w:val="single"/>
          <w:lang w:val="zh-CN" w:eastAsia="zh-CN" w:bidi="ar-SA"/>
        </w:rPr>
        <w:t>绿化恢复工程</w:t>
      </w:r>
      <w:r>
        <w:rPr>
          <w:rFonts w:hint="eastAsia" w:ascii="宋体" w:hAnsi="宋体" w:cs="宋体"/>
          <w:color w:val="auto"/>
          <w:sz w:val="24"/>
          <w:szCs w:val="20"/>
          <w:highlight w:val="none"/>
          <w:u w:val="single"/>
          <w:lang w:val="zh-CN" w:eastAsia="zh-CN" w:bidi="ar-SA"/>
        </w:rPr>
        <w:t>、</w:t>
      </w:r>
      <w:r>
        <w:rPr>
          <w:rFonts w:hint="eastAsia" w:ascii="宋体" w:hAnsi="宋体" w:eastAsia="宋体" w:cs="宋体"/>
          <w:color w:val="auto"/>
          <w:sz w:val="24"/>
          <w:szCs w:val="20"/>
          <w:highlight w:val="none"/>
          <w:u w:val="single"/>
          <w:lang w:val="zh-CN" w:eastAsia="zh-CN" w:bidi="ar-SA"/>
        </w:rPr>
        <w:t>供配电系统</w:t>
      </w:r>
      <w:r>
        <w:rPr>
          <w:rFonts w:hint="eastAsia" w:ascii="宋体" w:hAnsi="宋体" w:cs="宋体"/>
          <w:color w:val="auto"/>
          <w:sz w:val="24"/>
          <w:szCs w:val="20"/>
          <w:highlight w:val="none"/>
          <w:u w:val="single"/>
          <w:lang w:val="zh-CN" w:eastAsia="zh-CN" w:bidi="ar-SA"/>
        </w:rPr>
        <w:t>、</w:t>
      </w:r>
      <w:r>
        <w:rPr>
          <w:rFonts w:hint="eastAsia" w:ascii="宋体" w:hAnsi="宋体" w:eastAsia="宋体" w:cs="宋体"/>
          <w:color w:val="auto"/>
          <w:sz w:val="24"/>
          <w:szCs w:val="20"/>
          <w:highlight w:val="none"/>
          <w:u w:val="single"/>
          <w:lang w:val="zh-CN" w:eastAsia="zh-CN" w:bidi="ar-SA"/>
        </w:rPr>
        <w:t>电力箱变</w:t>
      </w:r>
      <w:r>
        <w:rPr>
          <w:rFonts w:hint="eastAsia" w:ascii="宋体" w:hAnsi="宋体" w:cs="宋体"/>
          <w:color w:val="auto"/>
          <w:sz w:val="24"/>
          <w:szCs w:val="20"/>
          <w:highlight w:val="none"/>
          <w:u w:val="single"/>
          <w:lang w:val="en-US" w:eastAsia="zh-CN" w:bidi="ar-SA"/>
        </w:rPr>
        <w:t>等。</w:t>
      </w:r>
      <w:r>
        <w:rPr>
          <w:rFonts w:hint="eastAsia" w:ascii="宋体" w:hAnsi="宋体" w:cs="宋体"/>
          <w:color w:val="auto"/>
          <w:sz w:val="24"/>
          <w:highlight w:val="none"/>
          <w:u w:val="single"/>
          <w:lang w:val="en-US" w:eastAsia="zh-CN"/>
        </w:rPr>
        <w:t>（最终建设规模及指标以控规批复方案为准）</w:t>
      </w:r>
    </w:p>
    <w:p w14:paraId="59330907">
      <w:pPr>
        <w:adjustRightInd w:val="0"/>
        <w:snapToGrid w:val="0"/>
        <w:spacing w:line="360" w:lineRule="auto"/>
        <w:ind w:firstLine="564" w:firstLineChars="235"/>
        <w:rPr>
          <w:rFonts w:hint="default" w:ascii="宋体" w:hAnsi="宋体" w:eastAsia="宋体" w:cs="宋体"/>
          <w:color w:val="auto"/>
          <w:sz w:val="24"/>
          <w:szCs w:val="20"/>
          <w:highlight w:val="none"/>
          <w:u w:val="none"/>
          <w:lang w:val="en-US" w:eastAsia="zh-CN" w:bidi="ar-SA"/>
        </w:rPr>
      </w:pPr>
      <w:r>
        <w:rPr>
          <w:rFonts w:hint="eastAsia" w:ascii="宋体" w:hAnsi="宋体" w:eastAsia="宋体" w:cs="宋体"/>
          <w:color w:val="auto"/>
          <w:sz w:val="24"/>
          <w:szCs w:val="20"/>
          <w:highlight w:val="none"/>
          <w:u w:val="none"/>
          <w:lang w:val="zh-CN" w:eastAsia="zh-CN" w:bidi="ar-SA"/>
        </w:rPr>
        <w:t>2、演艺工程</w:t>
      </w:r>
      <w:r>
        <w:rPr>
          <w:rFonts w:hint="eastAsia" w:ascii="宋体" w:hAnsi="宋体" w:cs="宋体"/>
          <w:color w:val="auto"/>
          <w:sz w:val="24"/>
          <w:szCs w:val="20"/>
          <w:highlight w:val="none"/>
          <w:u w:val="none"/>
          <w:lang w:val="zh-CN" w:eastAsia="zh-CN" w:bidi="ar-SA"/>
        </w:rPr>
        <w:t>：</w:t>
      </w:r>
      <w:r>
        <w:rPr>
          <w:rFonts w:hint="eastAsia" w:ascii="宋体" w:hAnsi="宋体" w:eastAsia="宋体" w:cs="宋体"/>
          <w:color w:val="auto"/>
          <w:sz w:val="24"/>
          <w:szCs w:val="20"/>
          <w:highlight w:val="none"/>
          <w:u w:val="single"/>
          <w:lang w:val="zh-CN" w:eastAsia="zh-CN" w:bidi="ar-SA"/>
        </w:rPr>
        <w:t>多媒体系统</w:t>
      </w:r>
      <w:r>
        <w:rPr>
          <w:rFonts w:hint="eastAsia" w:ascii="宋体" w:hAnsi="宋体" w:cs="宋体"/>
          <w:color w:val="auto"/>
          <w:sz w:val="24"/>
          <w:szCs w:val="20"/>
          <w:highlight w:val="none"/>
          <w:u w:val="single"/>
          <w:lang w:val="zh-CN" w:eastAsia="zh-CN" w:bidi="ar-SA"/>
        </w:rPr>
        <w:t>、</w:t>
      </w:r>
      <w:r>
        <w:rPr>
          <w:rFonts w:hint="eastAsia" w:ascii="宋体" w:hAnsi="宋体" w:eastAsia="宋体" w:cs="宋体"/>
          <w:color w:val="auto"/>
          <w:sz w:val="24"/>
          <w:szCs w:val="20"/>
          <w:highlight w:val="none"/>
          <w:u w:val="single"/>
          <w:lang w:val="zh-CN" w:eastAsia="zh-CN" w:bidi="ar-SA"/>
        </w:rPr>
        <w:t>演</w:t>
      </w:r>
      <w:r>
        <w:rPr>
          <w:rFonts w:hint="eastAsia" w:ascii="宋体" w:hAnsi="宋体" w:cs="宋体"/>
          <w:color w:val="auto"/>
          <w:sz w:val="24"/>
          <w:szCs w:val="20"/>
          <w:highlight w:val="none"/>
          <w:u w:val="single"/>
          <w:lang w:val="en-US" w:eastAsia="zh-CN" w:bidi="ar-SA"/>
        </w:rPr>
        <w:t>艺</w:t>
      </w:r>
      <w:r>
        <w:rPr>
          <w:rFonts w:hint="eastAsia" w:ascii="宋体" w:hAnsi="宋体" w:eastAsia="宋体" w:cs="宋体"/>
          <w:color w:val="auto"/>
          <w:sz w:val="24"/>
          <w:szCs w:val="20"/>
          <w:highlight w:val="none"/>
          <w:u w:val="single"/>
          <w:lang w:val="zh-CN" w:eastAsia="zh-CN" w:bidi="ar-SA"/>
        </w:rPr>
        <w:t>设备</w:t>
      </w:r>
      <w:r>
        <w:rPr>
          <w:rFonts w:hint="eastAsia" w:ascii="宋体" w:hAnsi="宋体" w:cs="宋体"/>
          <w:color w:val="auto"/>
          <w:sz w:val="24"/>
          <w:szCs w:val="20"/>
          <w:highlight w:val="none"/>
          <w:u w:val="single"/>
          <w:lang w:val="zh-CN" w:eastAsia="zh-CN" w:bidi="ar-SA"/>
        </w:rPr>
        <w:t>、</w:t>
      </w:r>
      <w:r>
        <w:rPr>
          <w:rFonts w:hint="eastAsia" w:ascii="宋体" w:hAnsi="宋体" w:eastAsia="宋体" w:cs="宋体"/>
          <w:color w:val="auto"/>
          <w:sz w:val="24"/>
          <w:szCs w:val="20"/>
          <w:highlight w:val="none"/>
          <w:u w:val="single"/>
          <w:lang w:val="zh-CN" w:eastAsia="zh-CN" w:bidi="ar-SA"/>
        </w:rPr>
        <w:t>音响设备</w:t>
      </w:r>
      <w:r>
        <w:rPr>
          <w:rFonts w:hint="eastAsia" w:ascii="宋体" w:hAnsi="宋体" w:cs="宋体"/>
          <w:color w:val="auto"/>
          <w:sz w:val="24"/>
          <w:szCs w:val="20"/>
          <w:highlight w:val="none"/>
          <w:u w:val="single"/>
          <w:lang w:val="zh-CN" w:eastAsia="zh-CN" w:bidi="ar-SA"/>
        </w:rPr>
        <w:t>、</w:t>
      </w:r>
      <w:r>
        <w:rPr>
          <w:rFonts w:hint="eastAsia" w:ascii="宋体" w:hAnsi="宋体" w:eastAsia="宋体" w:cs="宋体"/>
          <w:color w:val="auto"/>
          <w:sz w:val="24"/>
          <w:szCs w:val="20"/>
          <w:highlight w:val="none"/>
          <w:u w:val="single"/>
          <w:lang w:val="zh-CN" w:eastAsia="zh-CN" w:bidi="ar-SA"/>
        </w:rPr>
        <w:t>监控系统</w:t>
      </w:r>
      <w:r>
        <w:rPr>
          <w:rFonts w:hint="eastAsia" w:ascii="宋体" w:hAnsi="宋体" w:cs="宋体"/>
          <w:color w:val="auto"/>
          <w:sz w:val="24"/>
          <w:szCs w:val="20"/>
          <w:highlight w:val="none"/>
          <w:u w:val="single"/>
          <w:lang w:val="zh-CN" w:eastAsia="zh-CN" w:bidi="ar-SA"/>
        </w:rPr>
        <w:t>、</w:t>
      </w:r>
      <w:r>
        <w:rPr>
          <w:rFonts w:hint="eastAsia" w:ascii="宋体" w:hAnsi="宋体" w:eastAsia="宋体" w:cs="宋体"/>
          <w:color w:val="auto"/>
          <w:sz w:val="24"/>
          <w:szCs w:val="20"/>
          <w:highlight w:val="none"/>
          <w:u w:val="single"/>
          <w:lang w:val="zh-CN" w:eastAsia="zh-CN" w:bidi="ar-SA"/>
        </w:rPr>
        <w:t>总控系统</w:t>
      </w:r>
      <w:r>
        <w:rPr>
          <w:rFonts w:hint="eastAsia" w:ascii="宋体" w:hAnsi="宋体" w:cs="宋体"/>
          <w:color w:val="auto"/>
          <w:sz w:val="24"/>
          <w:szCs w:val="20"/>
          <w:highlight w:val="none"/>
          <w:u w:val="single"/>
          <w:lang w:val="zh-CN" w:eastAsia="zh-CN" w:bidi="ar-SA"/>
        </w:rPr>
        <w:t>、</w:t>
      </w:r>
      <w:r>
        <w:rPr>
          <w:rFonts w:hint="eastAsia" w:ascii="宋体" w:hAnsi="宋体" w:eastAsia="宋体" w:cs="宋体"/>
          <w:color w:val="auto"/>
          <w:sz w:val="24"/>
          <w:szCs w:val="20"/>
          <w:highlight w:val="none"/>
          <w:u w:val="single"/>
          <w:lang w:val="zh-CN" w:eastAsia="zh-CN" w:bidi="ar-SA"/>
        </w:rPr>
        <w:t>水系统</w:t>
      </w:r>
      <w:r>
        <w:rPr>
          <w:rFonts w:hint="eastAsia" w:ascii="宋体" w:hAnsi="宋体" w:cs="宋体"/>
          <w:color w:val="auto"/>
          <w:sz w:val="24"/>
          <w:szCs w:val="20"/>
          <w:highlight w:val="none"/>
          <w:u w:val="single"/>
          <w:lang w:val="zh-CN" w:eastAsia="zh-CN" w:bidi="ar-SA"/>
        </w:rPr>
        <w:t>、</w:t>
      </w:r>
      <w:r>
        <w:rPr>
          <w:rFonts w:hint="eastAsia" w:ascii="宋体" w:hAnsi="宋体" w:eastAsia="宋体" w:cs="宋体"/>
          <w:color w:val="auto"/>
          <w:sz w:val="24"/>
          <w:szCs w:val="20"/>
          <w:highlight w:val="none"/>
          <w:u w:val="single"/>
          <w:lang w:val="zh-CN" w:eastAsia="zh-CN" w:bidi="ar-SA"/>
        </w:rPr>
        <w:t>舞美机械装置</w:t>
      </w:r>
      <w:r>
        <w:rPr>
          <w:rFonts w:hint="eastAsia" w:ascii="宋体" w:hAnsi="宋体" w:cs="宋体"/>
          <w:color w:val="auto"/>
          <w:sz w:val="24"/>
          <w:szCs w:val="20"/>
          <w:highlight w:val="none"/>
          <w:u w:val="single"/>
          <w:lang w:val="zh-CN" w:eastAsia="zh-CN" w:bidi="ar-SA"/>
        </w:rPr>
        <w:t>、</w:t>
      </w:r>
      <w:r>
        <w:rPr>
          <w:rFonts w:hint="eastAsia" w:ascii="宋体" w:hAnsi="宋体" w:eastAsia="宋体" w:cs="宋体"/>
          <w:color w:val="auto"/>
          <w:sz w:val="24"/>
          <w:szCs w:val="20"/>
          <w:highlight w:val="none"/>
          <w:u w:val="single"/>
          <w:lang w:val="zh-CN" w:eastAsia="zh-CN" w:bidi="ar-SA"/>
        </w:rPr>
        <w:t>景观照明</w:t>
      </w:r>
      <w:r>
        <w:rPr>
          <w:rFonts w:hint="eastAsia" w:ascii="宋体" w:hAnsi="宋体" w:cs="宋体"/>
          <w:color w:val="auto"/>
          <w:sz w:val="24"/>
          <w:szCs w:val="20"/>
          <w:highlight w:val="none"/>
          <w:u w:val="single"/>
          <w:lang w:val="en-US" w:eastAsia="zh-CN" w:bidi="ar-SA"/>
        </w:rPr>
        <w:t>等。</w:t>
      </w:r>
      <w:r>
        <w:rPr>
          <w:rFonts w:hint="eastAsia" w:ascii="宋体" w:hAnsi="宋体" w:cs="宋体"/>
          <w:color w:val="auto"/>
          <w:sz w:val="24"/>
          <w:highlight w:val="none"/>
          <w:u w:val="single"/>
          <w:lang w:val="en-US" w:eastAsia="zh-CN"/>
        </w:rPr>
        <w:t>（最终建设规模及指标以控规批复方案为准）</w:t>
      </w:r>
    </w:p>
    <w:p w14:paraId="3D686DA0">
      <w:pPr>
        <w:adjustRightInd w:val="0"/>
        <w:snapToGrid w:val="0"/>
        <w:spacing w:line="360" w:lineRule="auto"/>
        <w:ind w:firstLine="564" w:firstLineChars="235"/>
        <w:rPr>
          <w:rFonts w:hint="eastAsia" w:ascii="宋体" w:hAnsi="宋体" w:eastAsia="宋体" w:cs="宋体"/>
          <w:color w:val="auto"/>
          <w:sz w:val="24"/>
          <w:szCs w:val="20"/>
          <w:highlight w:val="none"/>
          <w:u w:val="none"/>
          <w:lang w:val="zh-CN" w:eastAsia="zh-CN" w:bidi="ar-SA"/>
        </w:rPr>
      </w:pPr>
      <w:r>
        <w:rPr>
          <w:rFonts w:hint="eastAsia" w:ascii="宋体" w:hAnsi="宋体" w:cs="宋体"/>
          <w:color w:val="auto"/>
          <w:sz w:val="24"/>
          <w:szCs w:val="24"/>
          <w:highlight w:val="none"/>
          <w:lang w:val="en-US" w:eastAsia="zh-CN"/>
        </w:rPr>
        <w:t>3、设备及工器具购置工程</w:t>
      </w:r>
      <w:r>
        <w:rPr>
          <w:rFonts w:hint="eastAsia" w:ascii="宋体" w:hAnsi="宋体" w:cs="宋体"/>
          <w:color w:val="auto"/>
          <w:sz w:val="24"/>
          <w:szCs w:val="20"/>
          <w:highlight w:val="none"/>
          <w:u w:val="none"/>
          <w:lang w:val="zh-CN" w:eastAsia="zh-CN" w:bidi="ar-SA"/>
        </w:rPr>
        <w:t>：</w:t>
      </w:r>
      <w:r>
        <w:rPr>
          <w:rFonts w:hint="eastAsia" w:ascii="宋体" w:hAnsi="宋体" w:eastAsia="宋体" w:cs="宋体"/>
          <w:color w:val="auto"/>
          <w:sz w:val="24"/>
          <w:szCs w:val="20"/>
          <w:highlight w:val="none"/>
          <w:u w:val="single"/>
          <w:lang w:val="zh-CN" w:eastAsia="zh-CN" w:bidi="ar-SA"/>
        </w:rPr>
        <w:t>停车场设备</w:t>
      </w:r>
      <w:r>
        <w:rPr>
          <w:rFonts w:hint="eastAsia" w:ascii="宋体" w:hAnsi="宋体" w:cs="宋体"/>
          <w:color w:val="auto"/>
          <w:sz w:val="24"/>
          <w:szCs w:val="20"/>
          <w:highlight w:val="none"/>
          <w:u w:val="single"/>
          <w:lang w:val="zh-CN" w:eastAsia="zh-CN" w:bidi="ar-SA"/>
        </w:rPr>
        <w:t>、</w:t>
      </w:r>
      <w:r>
        <w:rPr>
          <w:rFonts w:hint="eastAsia" w:ascii="宋体" w:hAnsi="宋体" w:cs="宋体"/>
          <w:color w:val="auto"/>
          <w:sz w:val="24"/>
          <w:szCs w:val="20"/>
          <w:highlight w:val="none"/>
          <w:u w:val="single"/>
          <w:lang w:val="en-US" w:eastAsia="zh-CN" w:bidi="ar-SA"/>
        </w:rPr>
        <w:t>或与本项目相关的设备等</w:t>
      </w:r>
      <w:r>
        <w:rPr>
          <w:rFonts w:hint="eastAsia" w:ascii="宋体" w:hAnsi="宋体" w:cs="宋体"/>
          <w:color w:val="auto"/>
          <w:sz w:val="24"/>
          <w:szCs w:val="20"/>
          <w:highlight w:val="none"/>
          <w:u w:val="single"/>
          <w:lang w:val="zh-CN" w:eastAsia="zh-CN" w:bidi="ar-SA"/>
        </w:rPr>
        <w:t>。</w:t>
      </w:r>
      <w:r>
        <w:rPr>
          <w:rFonts w:hint="eastAsia" w:ascii="宋体" w:hAnsi="宋体" w:cs="宋体"/>
          <w:color w:val="auto"/>
          <w:sz w:val="24"/>
          <w:highlight w:val="none"/>
          <w:u w:val="single"/>
          <w:lang w:val="en-US" w:eastAsia="zh-CN"/>
        </w:rPr>
        <w:t>（最终建设规模及指标以控规批复方案为准）</w:t>
      </w:r>
    </w:p>
    <w:p w14:paraId="3C2C42D1">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8"/>
          <w:szCs w:val="28"/>
          <w:highlight w:val="none"/>
          <w:lang w:val="en-US" w:eastAsia="zh-CN"/>
        </w:rPr>
        <w:t>三、设计范围</w:t>
      </w:r>
    </w:p>
    <w:p w14:paraId="26E750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设计范围东至石槎路，西至石潭西路，南至欣凯创意园，北至黄石西路；涉及街道2个（石井街、白云湖街）、行政村5个（槎龙村、潭村、马岗村、张村、大冈村），涵盖石井河段长度2.5公里，河道宽度40-60米；涉及潭村城中村改造项目；沿线涉及省级文保单位2处（升平社学、石井桥）、区级文保单1处（潭村电动排涝站）。</w:t>
      </w:r>
    </w:p>
    <w:p w14:paraId="2E6711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color w:val="auto"/>
          <w:sz w:val="24"/>
          <w:szCs w:val="24"/>
          <w:highlight w:val="none"/>
        </w:rPr>
        <w:drawing>
          <wp:inline distT="0" distB="0" distL="114300" distR="114300">
            <wp:extent cx="5277485" cy="2355850"/>
            <wp:effectExtent l="0" t="0" r="1841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7485" cy="2355850"/>
                    </a:xfrm>
                    <a:prstGeom prst="rect">
                      <a:avLst/>
                    </a:prstGeom>
                    <a:noFill/>
                    <a:ln>
                      <a:noFill/>
                    </a:ln>
                  </pic:spPr>
                </pic:pic>
              </a:graphicData>
            </a:graphic>
          </wp:inline>
        </w:drawing>
      </w:r>
    </w:p>
    <w:p w14:paraId="70B0D95A">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8"/>
          <w:szCs w:val="28"/>
          <w:highlight w:val="none"/>
          <w:lang w:val="en-US" w:eastAsia="zh-CN"/>
        </w:rPr>
        <w:t>四、设计内容</w:t>
      </w:r>
    </w:p>
    <w:p w14:paraId="7CA2B3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对本项目的质量、造价、安全、工期、过程检测、竣工验收等实行全过程全面负责，包括建设项目的设计、采购、施工。设计范围包含本项目概念方案设计、初步设计、设计概算编制、施工图设计、动画片源制作；采购范围包含设计范围内所涉及的相关设备；施工范围包含施工图设计范围内的全部内容，直至竣工验收合格并整体移交达到使用功能要求，工程保修期内的缺陷修复和保修工作。</w:t>
      </w:r>
    </w:p>
    <w:p w14:paraId="6E46D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动画片源制作：演艺节目约15分钟动画的制作、调试，音乐50分钟。</w:t>
      </w:r>
    </w:p>
    <w:p w14:paraId="1BA243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概念方案设计：完成总体规划和方案设计，提供满足深度的方案设计图纸，并制作符合政府部门要求的规划意见书与设计方案报批文件，协助发包人进行报批工作。</w:t>
      </w:r>
    </w:p>
    <w:p w14:paraId="5432C0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初步设计：根据发包人提出的本项目设计阶段性模式要求，负责完成阶段性的初步设计文件（概算编制），设计内容和深度应满足政府相关规定；制作报政府相关部门进行初步设计审查的设计图纸，配合发包人进行各部门的报审工作，提供相关的工程用量参数，并负责有关解释和修改。</w:t>
      </w:r>
    </w:p>
    <w:p w14:paraId="0C5EFC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施工图设计：在初步设计基础上进行施工图设计、设计论证以及所有设计的后续服务。包括勘察、施工图设计、施工图报审、施工过程的设计变更等；施工图预算编制；</w:t>
      </w:r>
    </w:p>
    <w:p w14:paraId="7679F982">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0"/>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8"/>
          <w:szCs w:val="28"/>
          <w:highlight w:val="none"/>
          <w:lang w:val="en-US" w:eastAsia="zh-CN"/>
        </w:rPr>
        <w:t>五、设计原则</w:t>
      </w:r>
    </w:p>
    <w:p w14:paraId="67623B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设计单位应当按照《广东省建设工程设计管理条例》和相关标准开展设计工作，应当建立和健全设计质量保证体系加强设计全过程的质量控制，明确各阶段的责任人。</w:t>
      </w:r>
    </w:p>
    <w:p w14:paraId="3F860B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1.以人为本，创新提升</w:t>
      </w:r>
    </w:p>
    <w:p w14:paraId="08D380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坚持以人为本，遵循创新、协调、绿色、开放、共享发展理念，开展城市修补，完善小区功能，改善人居环境，营造干净整洁平安有序的城市环境，提升适宜居住、适宜创新创业的城市品质，打造“温暖、宜居”的居所。</w:t>
      </w:r>
    </w:p>
    <w:p w14:paraId="31B48D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2.绿色低碳，持续发展</w:t>
      </w:r>
    </w:p>
    <w:p w14:paraId="047B7D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以低碳绿色环保、地方特色、公众参与、保护城市历史文脉、可持续发展理念为指导，提升基础设施与公共服务设施建设，改善社区人居环境。</w:t>
      </w:r>
    </w:p>
    <w:p w14:paraId="7EB26B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3.因地制宜，特色设计</w:t>
      </w:r>
    </w:p>
    <w:p w14:paraId="603E3C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考虑建筑年代、街区肌理、居民意愿、文化、特色产业等因素进行设计。</w:t>
      </w:r>
    </w:p>
    <w:p w14:paraId="40F890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4.连接联通，便民利民。</w:t>
      </w:r>
    </w:p>
    <w:p w14:paraId="03AB1C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提升公共空间的基础上，促进连接联通社区医疗、教育、交通、商业服务网点等重要节点，以居民生活便利为导向。</w:t>
      </w:r>
    </w:p>
    <w:p w14:paraId="6CD1D0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5.建管并重，标本兼治。</w:t>
      </w:r>
    </w:p>
    <w:p w14:paraId="52C56A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实现自治管理和设施设备长效管养，巩固微改造成果。</w:t>
      </w:r>
    </w:p>
    <w:p w14:paraId="2B85FA4F">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0"/>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8"/>
          <w:szCs w:val="28"/>
          <w:highlight w:val="none"/>
          <w:lang w:val="en-US" w:eastAsia="zh-CN"/>
        </w:rPr>
        <w:t>六、设计成果及深度要求（包含但不限于）</w:t>
      </w:r>
    </w:p>
    <w:p w14:paraId="287FED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概念方案设计、初步设计、设计概算编制、施工图设计、各项专业设计、竣工图编制以及后续的配合服务（负责施工定位放线、任务书编写、技术规范书的编制、验收等协助完成 其他与工程设计相关的工作任务）且确保满足节能建筑要求，设计成果文件要求齐全、完整，内容、深度应符合规定，文字说明、图纸要准确清晰,各阶段设计应达到中华人民共和国建设部颁发的《建筑工程设计文件编制深度规定》设计阶段深度。</w:t>
      </w:r>
    </w:p>
    <w:p w14:paraId="64BBBB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设计成果文件要求齐全、完整，内容、深度应符合规定，文字说明、图纸要准确清晰,各阶段设计应达到中华人民共和国建设部颁发的《建筑工程设计文件编制深度规定》设计阶段深度。</w:t>
      </w:r>
    </w:p>
    <w:p w14:paraId="32437A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1.规划与方案设计阶段</w:t>
      </w:r>
    </w:p>
    <w:p w14:paraId="643C11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①现状分析图</w:t>
      </w:r>
    </w:p>
    <w:p w14:paraId="7D754A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②总体平面图</w:t>
      </w:r>
    </w:p>
    <w:p w14:paraId="593F27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③建筑及楼道改造效果图</w:t>
      </w:r>
    </w:p>
    <w:p w14:paraId="0EAB5B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 社区公共部分重要景观节点总平面图及效果图</w:t>
      </w:r>
    </w:p>
    <w:p w14:paraId="2635F6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⑤铺装、装修、照明、运动器具、公共与市政服务设施等设计意向图</w:t>
      </w:r>
    </w:p>
    <w:p w14:paraId="36CF03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 设计说明书</w:t>
      </w:r>
    </w:p>
    <w:p w14:paraId="7D655E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2.初步设计阶段</w:t>
      </w:r>
    </w:p>
    <w:p w14:paraId="1E0BA6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①初步设计说明</w:t>
      </w:r>
    </w:p>
    <w:p w14:paraId="60A4FF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②初步设计图纸，主要包括：建筑、结构、给排水、电气及智能化、景观、市政道路、市政管线等专业。</w:t>
      </w:r>
    </w:p>
    <w:p w14:paraId="69BD4D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③项目概算</w:t>
      </w:r>
    </w:p>
    <w:p w14:paraId="5CA5E6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④其它专项设计（如需要）</w:t>
      </w:r>
    </w:p>
    <w:p w14:paraId="4605B5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⑤效果图及透视图</w:t>
      </w:r>
    </w:p>
    <w:p w14:paraId="159CA1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⑥有关电子文档（含效果图、方案设计说明及图纸和概算等）</w:t>
      </w:r>
    </w:p>
    <w:p w14:paraId="725A2F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⑦主要材料样板</w:t>
      </w:r>
    </w:p>
    <w:p w14:paraId="5B44DB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3.施工图设计阶段</w:t>
      </w:r>
    </w:p>
    <w:p w14:paraId="3E5B87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①施工报建图：总平面图、平、立、剖面图，构造和主要材料说明，综合管线图等。</w:t>
      </w:r>
    </w:p>
    <w:p w14:paraId="1E099B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②各专业图纸，主要包括：建筑、结构、给排水、电气及智能化、景观、市政道路、市政管线专业及各专项设计等。</w:t>
      </w:r>
    </w:p>
    <w:p w14:paraId="3E4236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③设备材料表以及满足招投标要求的技术规格书。</w:t>
      </w:r>
    </w:p>
    <w:p w14:paraId="31AB72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④管线综合图。</w:t>
      </w:r>
    </w:p>
    <w:p w14:paraId="4A8291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⑤完整版施工图。</w:t>
      </w:r>
    </w:p>
    <w:p w14:paraId="6748ED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⑥有关电子文档。</w:t>
      </w:r>
    </w:p>
    <w:p w14:paraId="47C940BC">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8"/>
          <w:szCs w:val="28"/>
          <w:highlight w:val="none"/>
          <w:lang w:val="en-US" w:eastAsia="zh-CN"/>
        </w:rPr>
        <w:t>七、设计要求</w:t>
      </w:r>
    </w:p>
    <w:p w14:paraId="1D71AC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设计标准和规范依据</w:t>
      </w:r>
      <w:r>
        <w:rPr>
          <w:rFonts w:hint="eastAsia" w:ascii="宋体" w:hAnsi="宋体" w:eastAsia="宋体" w:cs="宋体"/>
          <w:color w:val="auto"/>
          <w:sz w:val="24"/>
          <w:szCs w:val="24"/>
          <w:highlight w:val="none"/>
          <w:lang w:val="en-US" w:eastAsia="zh-CN"/>
        </w:rPr>
        <w:t>：</w:t>
      </w:r>
    </w:p>
    <w:p w14:paraId="6371D7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1.《广州市城市总体规划（2017-2035）》；</w:t>
      </w:r>
    </w:p>
    <w:p w14:paraId="5D364F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2.《广州市城市环境总体规划（2014-2030年）》；</w:t>
      </w:r>
    </w:p>
    <w:p w14:paraId="027B3A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3.《广州市旧城更新改造规划纲要》； </w:t>
      </w:r>
    </w:p>
    <w:p w14:paraId="3582E2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4.《公园设计规范》（CJJ48-92）；</w:t>
      </w:r>
    </w:p>
    <w:p w14:paraId="5631A6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5.《城市绿地设计规范》（GB50420-2007）；</w:t>
      </w:r>
    </w:p>
    <w:p w14:paraId="66E8DB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6.《城市道路绿化规划与设计规划》（CJJ75-97）；</w:t>
      </w:r>
    </w:p>
    <w:p w14:paraId="3888F2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7.《城市道路照明设计标准》（CJJ45-2006）；</w:t>
      </w:r>
    </w:p>
    <w:p w14:paraId="298F5E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8.《建筑与小区雨水利用工程技术规范》（GB50400-2006）；</w:t>
      </w:r>
    </w:p>
    <w:p w14:paraId="41B0E1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9.《室外给水设计规范》（GB50013-2006）；</w:t>
      </w:r>
    </w:p>
    <w:p w14:paraId="2A5CC8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10.《室外排水设计规范》（GB50014-2006）（2014年版）；</w:t>
      </w:r>
    </w:p>
    <w:p w14:paraId="5311BE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11.《民用建筑节水设计标准》（GB50555-2010）；</w:t>
      </w:r>
    </w:p>
    <w:p w14:paraId="7C5687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12.《城市电力规划规范》（GB50293-2014）；</w:t>
      </w:r>
    </w:p>
    <w:p w14:paraId="7D6902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13.《民用建筑电气设计标准》 (GB 51348-2019 );</w:t>
      </w:r>
    </w:p>
    <w:p w14:paraId="4311BD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14.《无障碍设计规范》（GB50763-2012）；</w:t>
      </w:r>
    </w:p>
    <w:p w14:paraId="1E174B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15.《城市公园规划及设计规范》（DBJ440100/T23-2009）；</w:t>
      </w:r>
    </w:p>
    <w:p w14:paraId="118BE7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16.《广东省城市绿化条例》(1999年)；</w:t>
      </w:r>
    </w:p>
    <w:p w14:paraId="18B60D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17.《广州市公园管理条例》（1997年）；</w:t>
      </w:r>
    </w:p>
    <w:p w14:paraId="719F5F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18.《广州市海绵城市建设指标体系的通知》（穗水[2017]16号）</w:t>
      </w:r>
    </w:p>
    <w:p w14:paraId="081F5E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19.《城市古树名木保护管理办法》（2000）；</w:t>
      </w:r>
    </w:p>
    <w:p w14:paraId="7348E3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20.《广州市城市家具建设操作手册》；</w:t>
      </w:r>
    </w:p>
    <w:p w14:paraId="6E6FC0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21.《广州市既有建筑外立面空调机罩整治指引》；</w:t>
      </w:r>
    </w:p>
    <w:p w14:paraId="703813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22.《建筑工程设计文件编制深度规定》(2016 版)  </w:t>
      </w:r>
    </w:p>
    <w:p w14:paraId="46C4BC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23.《中华人民共和国文物保护法》(2024年)</w:t>
      </w:r>
    </w:p>
    <w:p w14:paraId="3122BA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24.《中华人民共和国文物保护法实施条例》(2017年)</w:t>
      </w:r>
    </w:p>
    <w:p w14:paraId="0AEC4F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25.《中国文物古迹保护准则》(2015年)</w:t>
      </w:r>
    </w:p>
    <w:p w14:paraId="7A621F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26.《文物保护工程管理办法》(2003年)</w:t>
      </w:r>
    </w:p>
    <w:p w14:paraId="5E788A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27.《广州市文物保护规定》(2013年)</w:t>
      </w:r>
    </w:p>
    <w:p w14:paraId="2C41E0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28.《古建筑木结构维护与加固技术标准》(GB/T50165-2020)</w:t>
      </w:r>
    </w:p>
    <w:p w14:paraId="78276D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29.《木结构工程施工及验收规范》(GB50206-2002)</w:t>
      </w:r>
    </w:p>
    <w:p w14:paraId="044C1A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30.《砌体工程施工及验收规范》(GB50203-2002)</w:t>
      </w:r>
    </w:p>
    <w:p w14:paraId="7A99D8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31《古建筑修建工程质量检验评定标准(南方地区)》(CJ70-96)</w:t>
      </w:r>
    </w:p>
    <w:p w14:paraId="463964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32.《文物建筑防火设计导则》(试行国家文物局 2015年)</w:t>
      </w:r>
    </w:p>
    <w:p w14:paraId="540365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33.《中国古代建筑的保护与维修》文物出版社</w:t>
      </w:r>
    </w:p>
    <w:p w14:paraId="3AF04C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34《广州市文物局关于加强文物保护单位周边建设工程监管通知》(穗文物【2018】807号)</w:t>
      </w:r>
    </w:p>
    <w:p w14:paraId="22E849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35.《文物保护工程设计文件编制深度要求（试行）》</w:t>
      </w:r>
    </w:p>
    <w:p w14:paraId="05A3D7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36.其他国家、省、市的相关政策、法规及规定等；</w:t>
      </w:r>
    </w:p>
    <w:p w14:paraId="40EEE5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37.其他相关设计规范；</w:t>
      </w:r>
    </w:p>
    <w:p w14:paraId="283DCE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38.建设单位提交的基础资料等；</w:t>
      </w:r>
    </w:p>
    <w:p w14:paraId="600907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39.</w:t>
      </w:r>
      <w:r>
        <w:rPr>
          <w:rFonts w:hint="eastAsia" w:ascii="宋体" w:hAnsi="宋体" w:eastAsia="宋体" w:cs="宋体"/>
          <w:color w:val="auto"/>
          <w:sz w:val="24"/>
          <w:szCs w:val="24"/>
          <w:highlight w:val="none"/>
          <w:lang w:val="en-US" w:eastAsia="zh-CN"/>
        </w:rPr>
        <w:t>本项目</w:t>
      </w:r>
      <w:r>
        <w:rPr>
          <w:rFonts w:hint="default" w:ascii="宋体" w:hAnsi="宋体" w:eastAsia="宋体" w:cs="宋体"/>
          <w:color w:val="auto"/>
          <w:sz w:val="24"/>
          <w:szCs w:val="24"/>
          <w:highlight w:val="none"/>
          <w:lang w:val="en-US" w:eastAsia="zh-CN"/>
        </w:rPr>
        <w:t>设计任务书。</w:t>
      </w:r>
    </w:p>
    <w:p w14:paraId="4BE185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审批通过的本项目前期成果文件及其它现行的国家及地方有关规范、标准、规程、规定。</w:t>
      </w:r>
    </w:p>
    <w:p w14:paraId="5CF9CC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（二）总体设计要求</w:t>
      </w:r>
    </w:p>
    <w:p w14:paraId="784C62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（1）设计定位准确，准确认知石井河在</w:t>
      </w:r>
      <w:r>
        <w:rPr>
          <w:rFonts w:hint="eastAsia" w:ascii="宋体" w:hAnsi="宋体" w:eastAsia="宋体" w:cs="宋体"/>
          <w:color w:val="auto"/>
          <w:sz w:val="24"/>
          <w:szCs w:val="24"/>
          <w:highlight w:val="none"/>
          <w:lang w:val="en-US" w:eastAsia="zh-CN"/>
        </w:rPr>
        <w:t>广州</w:t>
      </w:r>
      <w:r>
        <w:rPr>
          <w:rFonts w:hint="default" w:ascii="宋体" w:hAnsi="宋体" w:eastAsia="宋体" w:cs="宋体"/>
          <w:color w:val="auto"/>
          <w:sz w:val="24"/>
          <w:szCs w:val="24"/>
          <w:highlight w:val="none"/>
          <w:lang w:val="en-US" w:eastAsia="zh-CN"/>
        </w:rPr>
        <w:t>区域的城市定位，</w:t>
      </w:r>
      <w:r>
        <w:rPr>
          <w:rFonts w:hint="eastAsia" w:ascii="宋体" w:hAnsi="宋体" w:eastAsia="宋体" w:cs="宋体"/>
          <w:color w:val="auto"/>
          <w:sz w:val="24"/>
          <w:szCs w:val="24"/>
          <w:highlight w:val="none"/>
          <w:lang w:val="en-US" w:eastAsia="zh-CN"/>
        </w:rPr>
        <w:t>要</w:t>
      </w:r>
      <w:r>
        <w:rPr>
          <w:rFonts w:hint="default" w:ascii="宋体" w:hAnsi="宋体" w:eastAsia="宋体" w:cs="宋体"/>
          <w:color w:val="auto"/>
          <w:sz w:val="24"/>
          <w:szCs w:val="24"/>
          <w:highlight w:val="none"/>
          <w:lang w:val="en-US" w:eastAsia="zh-CN"/>
        </w:rPr>
        <w:t>精准对接“绿美广东”生态建设与广州打造“美丽城市”样板的战略部署。</w:t>
      </w:r>
    </w:p>
    <w:p w14:paraId="7AA0EB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（2）项目立足于深入挖掘和活化石井河沿线的非遗、古建筑、民俗等文化资源，推动商旅文产业的深度融合，与《白云区打造美丽中国城区样板工作方案》中保护石井河水生态环境、</w:t>
      </w:r>
      <w:r>
        <w:rPr>
          <w:rFonts w:hint="eastAsia" w:ascii="宋体" w:hAnsi="宋体" w:eastAsia="宋体" w:cs="宋体"/>
          <w:color w:val="auto"/>
          <w:sz w:val="24"/>
          <w:szCs w:val="24"/>
          <w:highlight w:val="none"/>
          <w:lang w:val="en-US" w:eastAsia="zh-CN"/>
        </w:rPr>
        <w:t>为</w:t>
      </w:r>
      <w:r>
        <w:rPr>
          <w:rFonts w:hint="default" w:ascii="宋体" w:hAnsi="宋体" w:eastAsia="宋体" w:cs="宋体"/>
          <w:color w:val="auto"/>
          <w:sz w:val="24"/>
          <w:szCs w:val="24"/>
          <w:highlight w:val="none"/>
          <w:lang w:val="en-US" w:eastAsia="zh-CN"/>
        </w:rPr>
        <w:t>构建宜居的岭南水乡</w:t>
      </w:r>
      <w:r>
        <w:rPr>
          <w:rFonts w:hint="eastAsia" w:ascii="宋体" w:hAnsi="宋体" w:eastAsia="宋体" w:cs="宋体"/>
          <w:color w:val="auto"/>
          <w:sz w:val="24"/>
          <w:szCs w:val="24"/>
          <w:highlight w:val="none"/>
          <w:lang w:val="en-US" w:eastAsia="zh-CN"/>
        </w:rPr>
        <w:t>添砖加瓦</w:t>
      </w:r>
      <w:r>
        <w:rPr>
          <w:rFonts w:hint="default" w:ascii="宋体" w:hAnsi="宋体" w:eastAsia="宋体" w:cs="宋体"/>
          <w:color w:val="auto"/>
          <w:sz w:val="24"/>
          <w:szCs w:val="24"/>
          <w:highlight w:val="none"/>
          <w:lang w:val="en-US" w:eastAsia="zh-CN"/>
        </w:rPr>
        <w:t>。</w:t>
      </w:r>
    </w:p>
    <w:p w14:paraId="6374C3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（3）以观众为基本进行设计，充分考虑多层次参与的心理。设计要融入体验性、互动性，使用数字化展示技术，让数字产业发展成果“看得见、摸得着”。</w:t>
      </w:r>
    </w:p>
    <w:p w14:paraId="07EE02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（4）在展示文化创新的</w:t>
      </w:r>
      <w:r>
        <w:rPr>
          <w:rFonts w:hint="eastAsia" w:ascii="宋体" w:hAnsi="宋体" w:eastAsia="宋体" w:cs="宋体"/>
          <w:color w:val="auto"/>
          <w:sz w:val="24"/>
          <w:szCs w:val="24"/>
          <w:highlight w:val="none"/>
          <w:lang w:val="en-US" w:eastAsia="zh-CN"/>
        </w:rPr>
        <w:t>广州</w:t>
      </w:r>
      <w:r>
        <w:rPr>
          <w:rFonts w:hint="default" w:ascii="宋体" w:hAnsi="宋体" w:eastAsia="宋体" w:cs="宋体"/>
          <w:color w:val="auto"/>
          <w:sz w:val="24"/>
          <w:szCs w:val="24"/>
          <w:highlight w:val="none"/>
          <w:lang w:val="en-US" w:eastAsia="zh-CN"/>
        </w:rPr>
        <w:t>底蕴的同时，增</w:t>
      </w:r>
      <w:r>
        <w:rPr>
          <w:rFonts w:hint="eastAsia" w:ascii="宋体" w:hAnsi="宋体" w:eastAsia="宋体" w:cs="宋体"/>
          <w:color w:val="auto"/>
          <w:sz w:val="24"/>
          <w:szCs w:val="24"/>
          <w:highlight w:val="none"/>
          <w:lang w:val="en-US" w:eastAsia="zh-CN"/>
        </w:rPr>
        <w:t>强</w:t>
      </w:r>
      <w:r>
        <w:rPr>
          <w:rFonts w:hint="default" w:ascii="宋体" w:hAnsi="宋体" w:eastAsia="宋体" w:cs="宋体"/>
          <w:color w:val="auto"/>
          <w:sz w:val="24"/>
          <w:szCs w:val="24"/>
          <w:highlight w:val="none"/>
          <w:lang w:val="en-US" w:eastAsia="zh-CN"/>
        </w:rPr>
        <w:t>对</w:t>
      </w:r>
      <w:r>
        <w:rPr>
          <w:rFonts w:hint="eastAsia" w:ascii="宋体" w:hAnsi="宋体" w:eastAsia="宋体" w:cs="宋体"/>
          <w:color w:val="auto"/>
          <w:sz w:val="24"/>
          <w:szCs w:val="24"/>
          <w:highlight w:val="none"/>
          <w:lang w:val="en-US" w:eastAsia="zh-CN"/>
        </w:rPr>
        <w:t>广州</w:t>
      </w:r>
      <w:r>
        <w:rPr>
          <w:rFonts w:hint="default" w:ascii="宋体" w:hAnsi="宋体" w:eastAsia="宋体" w:cs="宋体"/>
          <w:color w:val="auto"/>
          <w:sz w:val="24"/>
          <w:szCs w:val="24"/>
          <w:highlight w:val="none"/>
          <w:lang w:val="en-US" w:eastAsia="zh-CN"/>
        </w:rPr>
        <w:t>高品质夜间消费场景</w:t>
      </w:r>
      <w:r>
        <w:rPr>
          <w:rFonts w:hint="eastAsia" w:ascii="宋体" w:hAnsi="宋体" w:eastAsia="宋体" w:cs="宋体"/>
          <w:color w:val="auto"/>
          <w:sz w:val="24"/>
          <w:szCs w:val="24"/>
          <w:highlight w:val="none"/>
          <w:lang w:val="en-US" w:eastAsia="zh-CN"/>
        </w:rPr>
        <w:t>的</w:t>
      </w:r>
      <w:r>
        <w:rPr>
          <w:rFonts w:hint="default" w:ascii="宋体" w:hAnsi="宋体" w:eastAsia="宋体" w:cs="宋体"/>
          <w:color w:val="auto"/>
          <w:sz w:val="24"/>
          <w:szCs w:val="24"/>
          <w:highlight w:val="none"/>
          <w:lang w:val="en-US" w:eastAsia="zh-CN"/>
        </w:rPr>
        <w:t>开发以及</w:t>
      </w:r>
      <w:r>
        <w:rPr>
          <w:rFonts w:hint="eastAsia" w:ascii="宋体" w:hAnsi="宋体" w:eastAsia="宋体" w:cs="宋体"/>
          <w:color w:val="auto"/>
          <w:sz w:val="24"/>
          <w:szCs w:val="24"/>
          <w:highlight w:val="none"/>
          <w:lang w:val="en-US" w:eastAsia="zh-CN"/>
        </w:rPr>
        <w:t>可持续发展</w:t>
      </w:r>
      <w:r>
        <w:rPr>
          <w:rFonts w:hint="default" w:ascii="宋体" w:hAnsi="宋体" w:eastAsia="宋体" w:cs="宋体"/>
          <w:color w:val="auto"/>
          <w:sz w:val="24"/>
          <w:szCs w:val="24"/>
          <w:highlight w:val="none"/>
          <w:lang w:val="en-US" w:eastAsia="zh-CN"/>
        </w:rPr>
        <w:t>等内容的设计。</w:t>
      </w:r>
    </w:p>
    <w:p w14:paraId="563C6B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default" w:ascii="宋体" w:hAnsi="宋体" w:eastAsia="宋体" w:cs="宋体"/>
          <w:color w:val="auto"/>
          <w:sz w:val="24"/>
          <w:szCs w:val="24"/>
          <w:highlight w:val="none"/>
          <w:lang w:val="en-US" w:eastAsia="zh-CN"/>
        </w:rPr>
        <w:t xml:space="preserve"> 设计单位在其方案中要恰到好处的运用适当的夜游技术手法，通过水上游船行进、桥体光影互动、岸上夜景联动与休闲商业空间打造、码头提升等方式进行衔接整合</w:t>
      </w:r>
      <w:r>
        <w:rPr>
          <w:rFonts w:hint="eastAsia" w:ascii="宋体" w:hAnsi="宋体" w:eastAsia="宋体" w:cs="宋体"/>
          <w:color w:val="auto"/>
          <w:sz w:val="24"/>
          <w:szCs w:val="24"/>
          <w:highlight w:val="none"/>
          <w:lang w:val="en-US" w:eastAsia="zh-CN"/>
        </w:rPr>
        <w:t>。</w:t>
      </w:r>
    </w:p>
    <w:p w14:paraId="49750D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default" w:ascii="宋体" w:hAnsi="宋体" w:eastAsia="宋体" w:cs="宋体"/>
          <w:color w:val="auto"/>
          <w:sz w:val="24"/>
          <w:szCs w:val="24"/>
          <w:highlight w:val="none"/>
          <w:lang w:val="en-US" w:eastAsia="zh-CN"/>
        </w:rPr>
        <w:t>借助现代光影艺术与实景表演艺术的有机融合，打造互动体验突出、文化内涵丰富、消费场景多元、水岸有机联动、全年全时运营的游船行浸式夜游体系。</w:t>
      </w:r>
    </w:p>
    <w:p w14:paraId="1DB899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7</w:t>
      </w:r>
      <w:r>
        <w:rPr>
          <w:rFonts w:hint="default" w:ascii="宋体" w:hAnsi="宋体" w:eastAsia="宋体" w:cs="宋体"/>
          <w:color w:val="auto"/>
          <w:sz w:val="24"/>
          <w:szCs w:val="24"/>
          <w:highlight w:val="none"/>
          <w:lang w:val="en-US" w:eastAsia="zh-CN"/>
        </w:rPr>
        <w:t xml:space="preserve">）设计要满足未来功能变化发展的要求，同时便于公众参与。 </w:t>
      </w:r>
    </w:p>
    <w:p w14:paraId="5D25C3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8</w:t>
      </w:r>
      <w:r>
        <w:rPr>
          <w:rFonts w:hint="default" w:ascii="宋体" w:hAnsi="宋体" w:eastAsia="宋体" w:cs="宋体"/>
          <w:color w:val="auto"/>
          <w:sz w:val="24"/>
          <w:szCs w:val="24"/>
          <w:highlight w:val="none"/>
          <w:lang w:val="en-US" w:eastAsia="zh-CN"/>
        </w:rPr>
        <w:t xml:space="preserve">）演艺功能分区要做到有机整合，各区域既相互独立，又紧密联系，空间舒适大气，保证参观、运营流线组织合理。 </w:t>
      </w:r>
    </w:p>
    <w:p w14:paraId="7F2289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9</w:t>
      </w:r>
      <w:r>
        <w:rPr>
          <w:rFonts w:hint="default" w:ascii="宋体" w:hAnsi="宋体" w:eastAsia="宋体" w:cs="宋体"/>
          <w:color w:val="auto"/>
          <w:sz w:val="24"/>
          <w:szCs w:val="24"/>
          <w:highlight w:val="none"/>
          <w:lang w:val="en-US" w:eastAsia="zh-CN"/>
        </w:rPr>
        <w:t>）须采用先进技术，且实施必须具备可操作性，便于日常维护和更新。</w:t>
      </w:r>
    </w:p>
    <w:p w14:paraId="046782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10</w:t>
      </w:r>
      <w:r>
        <w:rPr>
          <w:rFonts w:hint="default" w:ascii="宋体" w:hAnsi="宋体" w:eastAsia="宋体" w:cs="宋体"/>
          <w:color w:val="auto"/>
          <w:sz w:val="24"/>
          <w:szCs w:val="24"/>
          <w:highlight w:val="none"/>
          <w:lang w:val="en-US" w:eastAsia="zh-CN"/>
        </w:rPr>
        <w:t xml:space="preserve">）充分考虑安全性，符合公共场所安全、消防规范等要求。 </w:t>
      </w:r>
    </w:p>
    <w:p w14:paraId="3B3CF1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11</w:t>
      </w:r>
      <w:r>
        <w:rPr>
          <w:rFonts w:hint="default" w:ascii="宋体" w:hAnsi="宋体" w:eastAsia="宋体" w:cs="宋体"/>
          <w:color w:val="auto"/>
          <w:sz w:val="24"/>
          <w:szCs w:val="24"/>
          <w:highlight w:val="none"/>
          <w:lang w:val="en-US" w:eastAsia="zh-CN"/>
        </w:rPr>
        <w:t>）要求节能、低碳、新颖、创新。</w:t>
      </w:r>
    </w:p>
    <w:p w14:paraId="72624C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2</w:t>
      </w:r>
      <w:r>
        <w:rPr>
          <w:rFonts w:hint="default"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投标人</w:t>
      </w:r>
      <w:r>
        <w:rPr>
          <w:rFonts w:hint="default" w:ascii="宋体" w:hAnsi="宋体" w:eastAsia="宋体" w:cs="宋体"/>
          <w:color w:val="auto"/>
          <w:sz w:val="24"/>
          <w:szCs w:val="24"/>
          <w:highlight w:val="none"/>
          <w:lang w:val="en-US" w:eastAsia="zh-CN"/>
        </w:rPr>
        <w:t>的设计必须在限额范围内进行设计；</w:t>
      </w:r>
    </w:p>
    <w:p w14:paraId="0A9213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3</w:t>
      </w:r>
      <w:r>
        <w:rPr>
          <w:rFonts w:hint="default"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投标人</w:t>
      </w:r>
      <w:r>
        <w:rPr>
          <w:rFonts w:hint="default" w:ascii="宋体" w:hAnsi="宋体" w:eastAsia="宋体" w:cs="宋体"/>
          <w:color w:val="auto"/>
          <w:sz w:val="24"/>
          <w:szCs w:val="24"/>
          <w:highlight w:val="none"/>
          <w:lang w:val="en-US" w:eastAsia="zh-CN"/>
        </w:rPr>
        <w:t>的设计必须符合国家、地方的相关规范、规章及现行标准；</w:t>
      </w:r>
    </w:p>
    <w:p w14:paraId="16771C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4</w:t>
      </w:r>
      <w:r>
        <w:rPr>
          <w:rFonts w:hint="default"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投标人</w:t>
      </w:r>
      <w:r>
        <w:rPr>
          <w:rFonts w:hint="default" w:ascii="宋体" w:hAnsi="宋体" w:eastAsia="宋体" w:cs="宋体"/>
          <w:color w:val="auto"/>
          <w:sz w:val="24"/>
          <w:szCs w:val="24"/>
          <w:highlight w:val="none"/>
          <w:lang w:val="en-US" w:eastAsia="zh-CN"/>
        </w:rPr>
        <w:t>必须按时间计划准时完成每个阶段的任务；</w:t>
      </w:r>
    </w:p>
    <w:p w14:paraId="44AD3C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r>
        <w:rPr>
          <w:rFonts w:hint="default" w:ascii="宋体" w:hAnsi="宋体" w:eastAsia="宋体" w:cs="宋体"/>
          <w:color w:val="auto"/>
          <w:sz w:val="24"/>
          <w:szCs w:val="24"/>
          <w:highlight w:val="none"/>
          <w:lang w:val="en-US" w:eastAsia="zh-CN"/>
        </w:rPr>
        <w:t>严格遵循限额设计要求，确保工程概算不得超出经批复的项目投资估算以及确保施工图预算不得超出经批复的工程概算相应金额。</w:t>
      </w:r>
    </w:p>
    <w:p w14:paraId="475DBB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r>
        <w:rPr>
          <w:rFonts w:hint="default" w:ascii="宋体" w:hAnsi="宋体" w:eastAsia="宋体" w:cs="宋体"/>
          <w:color w:val="auto"/>
          <w:sz w:val="24"/>
          <w:szCs w:val="24"/>
          <w:highlight w:val="none"/>
          <w:lang w:val="en-US" w:eastAsia="zh-CN"/>
        </w:rPr>
        <w:t>满足规范、标准的要求，并按地块现场实际情况开展设计</w:t>
      </w:r>
    </w:p>
    <w:p w14:paraId="1F2C2F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应参考相关规范的要求，并满足现行国家相关设计的规范标准的要求及设计行业相关技术规范条文的要求，严格执行国家工程建设标准强制性条文等。应复核地块的现场情况，是否临近地铁，重要基础设施管线，与周边建筑物的关系等问题。</w:t>
      </w:r>
    </w:p>
    <w:p w14:paraId="6B4081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r>
        <w:rPr>
          <w:rFonts w:hint="default" w:ascii="宋体" w:hAnsi="宋体" w:eastAsia="宋体" w:cs="宋体"/>
          <w:color w:val="auto"/>
          <w:sz w:val="24"/>
          <w:szCs w:val="24"/>
          <w:highlight w:val="none"/>
          <w:lang w:val="en-US" w:eastAsia="zh-CN"/>
        </w:rPr>
        <w:t>经济合理绿色美观原则</w:t>
      </w:r>
    </w:p>
    <w:p w14:paraId="2BE22C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在保证方案的可实施和可操作性前提下，设计中需要定量分析的设计内容应通过计算，用数据说明其技术经济的合理性。同时应提供各阶段技术经济分析，以力求各阶段设计成果能充分体现设计优化的原则。</w:t>
      </w:r>
    </w:p>
    <w:p w14:paraId="270D36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（三）设备及安装要求</w:t>
      </w:r>
    </w:p>
    <w:p w14:paraId="45DAC2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（1）根据技术指标进行选材，所有材料、设备要求采用在行业内有一定知名度的品牌，并符合环保要求。</w:t>
      </w:r>
    </w:p>
    <w:p w14:paraId="7CD825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（2）设备产品应满足使用寿命长；须采用先进技术，具备可操作性，便于日常维护和更新。</w:t>
      </w:r>
    </w:p>
    <w:p w14:paraId="5A889B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（3）展示内容的策划与制作必须结合整体的设计方案，达到主题鲜明、具有视觉的冲击力，可逆性的修改，满足采购人的需求等； </w:t>
      </w:r>
    </w:p>
    <w:p w14:paraId="6445CC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（4）多媒体及数字化设备选配科学、合理，用材适当，应与陈列环境相协调，且不易损坏，经久耐用。声、光、电效果设计科学、合理，并富有创意。 </w:t>
      </w:r>
    </w:p>
    <w:p w14:paraId="566408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（5）综合布线系统电源、防护及接地的设计要符合国家的最新规定； </w:t>
      </w:r>
    </w:p>
    <w:p w14:paraId="78B791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（6）线路、管道敷设要求美观整齐、合理，原则暗敷，明敷塑料导线应穿管或加线槽板保护，吊顶内的导线应穿金属管保护，导线不得裸露。</w:t>
      </w:r>
    </w:p>
    <w:p w14:paraId="0A8917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（7）在免费保修期内，供应商对有缺陷的部位必须无偿地给予修理与更换，并承担一切由此引起的对采购人或第三者的直接损失。</w:t>
      </w:r>
    </w:p>
    <w:p w14:paraId="77F7A4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（8）所有项目实施单位的现场管理工作由供应商负责，相关责任由供应商承担；</w:t>
      </w:r>
    </w:p>
    <w:p w14:paraId="0B72DE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（9）项目实施中必须严格按项目所在地的规定执行。</w:t>
      </w:r>
    </w:p>
    <w:p w14:paraId="623E2C2F">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0"/>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8"/>
          <w:szCs w:val="28"/>
          <w:highlight w:val="none"/>
          <w:lang w:val="en-US" w:eastAsia="zh-CN"/>
        </w:rPr>
        <w:t>八</w:t>
      </w:r>
      <w:r>
        <w:rPr>
          <w:rFonts w:hint="default" w:ascii="宋体" w:hAnsi="宋体" w:eastAsia="宋体" w:cs="宋体"/>
          <w:b/>
          <w:bCs/>
          <w:color w:val="auto"/>
          <w:sz w:val="28"/>
          <w:szCs w:val="28"/>
          <w:highlight w:val="none"/>
          <w:lang w:val="en-US" w:eastAsia="zh-CN"/>
        </w:rPr>
        <w:t>、设计周期</w:t>
      </w:r>
      <w:r>
        <w:rPr>
          <w:rFonts w:hint="eastAsia" w:ascii="宋体" w:hAnsi="宋体" w:eastAsia="宋体" w:cs="宋体"/>
          <w:b/>
          <w:bCs/>
          <w:color w:val="auto"/>
          <w:sz w:val="28"/>
          <w:szCs w:val="28"/>
          <w:highlight w:val="none"/>
          <w:lang w:val="en-US" w:eastAsia="zh-CN"/>
        </w:rPr>
        <w:t>：60天。（具体详见招标公告及招标文件）</w:t>
      </w:r>
    </w:p>
    <w:p w14:paraId="72084DB4">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0"/>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8"/>
          <w:szCs w:val="28"/>
          <w:highlight w:val="none"/>
          <w:lang w:val="en-US" w:eastAsia="zh-CN"/>
        </w:rPr>
        <w:t>九</w:t>
      </w:r>
      <w:r>
        <w:rPr>
          <w:rFonts w:hint="default" w:ascii="宋体" w:hAnsi="宋体" w:eastAsia="宋体" w:cs="宋体"/>
          <w:b/>
          <w:bCs/>
          <w:color w:val="auto"/>
          <w:sz w:val="28"/>
          <w:szCs w:val="28"/>
          <w:highlight w:val="none"/>
          <w:lang w:val="en-US" w:eastAsia="zh-CN"/>
        </w:rPr>
        <w:t>、发包人</w:t>
      </w:r>
      <w:r>
        <w:rPr>
          <w:rFonts w:hint="eastAsia" w:ascii="宋体" w:hAnsi="宋体" w:eastAsia="宋体" w:cs="宋体"/>
          <w:b/>
          <w:bCs/>
          <w:color w:val="auto"/>
          <w:sz w:val="28"/>
          <w:szCs w:val="28"/>
          <w:highlight w:val="none"/>
          <w:lang w:val="en-US" w:eastAsia="zh-CN"/>
        </w:rPr>
        <w:t>实施要求</w:t>
      </w:r>
    </w:p>
    <w:p w14:paraId="6373C4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演艺设备系统</w:t>
      </w:r>
      <w:r>
        <w:rPr>
          <w:rFonts w:hint="eastAsia" w:ascii="宋体" w:hAnsi="宋体" w:eastAsia="宋体" w:cs="宋体"/>
          <w:color w:val="auto"/>
          <w:sz w:val="24"/>
          <w:szCs w:val="24"/>
          <w:highlight w:val="none"/>
          <w:lang w:val="en-US" w:eastAsia="zh-CN"/>
        </w:rPr>
        <w:t>要求</w:t>
      </w:r>
    </w:p>
    <w:p w14:paraId="7C0EDE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default" w:ascii="宋体" w:hAnsi="宋体" w:eastAsia="宋体" w:cs="宋体"/>
          <w:color w:val="auto"/>
          <w:sz w:val="24"/>
          <w:szCs w:val="24"/>
          <w:highlight w:val="none"/>
          <w:lang w:val="en-US" w:eastAsia="zh-CN"/>
        </w:rPr>
        <w:t>所有供电线路和控制线路必须按设计规范要求穿管（线槽）敷设，严禁出现裸导线的情况，严禁把供电线路和控制线路直接埋在地面或墙体内；</w:t>
      </w:r>
    </w:p>
    <w:p w14:paraId="1C46EF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default" w:ascii="宋体" w:hAnsi="宋体" w:eastAsia="宋体" w:cs="宋体"/>
          <w:color w:val="auto"/>
          <w:sz w:val="24"/>
          <w:szCs w:val="24"/>
          <w:highlight w:val="none"/>
          <w:lang w:val="en-US" w:eastAsia="zh-CN"/>
        </w:rPr>
        <w:t>所有电缆在线槽内或穿管敷设，主干线埋设部分采用高密度聚乙烯碳素纤维HDPE电力波纹管或过路位置采用厚壁热镀锌钢管，户外明配钢管采用厚壁热镀锌SC管，绿地景观电线支线回路穿厚壁PE管埋地敷设。</w:t>
      </w:r>
    </w:p>
    <w:p w14:paraId="31B3F4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default" w:ascii="宋体" w:hAnsi="宋体" w:eastAsia="宋体" w:cs="宋体"/>
          <w:color w:val="auto"/>
          <w:sz w:val="24"/>
          <w:szCs w:val="24"/>
          <w:highlight w:val="none"/>
          <w:lang w:val="en-US" w:eastAsia="zh-CN"/>
        </w:rPr>
        <w:t xml:space="preserve">管线集中处采用铝合金线槽，板厚按国标执行；强、弱电电缆共槽时应用金属隔板隔离，电线、电缆在金属线槽内不应有接头；灯头线保护管户外穿防水可挠金属软管（或可挠金属电线保护管）敷设； </w:t>
      </w:r>
    </w:p>
    <w:p w14:paraId="42A084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default" w:ascii="宋体" w:hAnsi="宋体" w:eastAsia="宋体" w:cs="宋体"/>
          <w:color w:val="auto"/>
          <w:sz w:val="24"/>
          <w:szCs w:val="24"/>
          <w:highlight w:val="none"/>
          <w:lang w:val="en-US" w:eastAsia="zh-CN"/>
        </w:rPr>
        <w:t>本项目建筑物内电气管线、线槽在穿越防火分区楼板、隔墙时，其空隙应采用相当于建筑构件耐火极限的不燃烧材料填塞密实。施工时管线出户需要穿墙或出屋顶时，应做好防水及密封，穿幕墙的地方需要提前与幕墙沟通配合，预留好安装条件。</w:t>
      </w:r>
    </w:p>
    <w:p w14:paraId="3E958A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default" w:ascii="宋体" w:hAnsi="宋体" w:eastAsia="宋体" w:cs="宋体"/>
          <w:color w:val="auto"/>
          <w:sz w:val="24"/>
          <w:szCs w:val="24"/>
          <w:highlight w:val="none"/>
          <w:lang w:val="en-US" w:eastAsia="zh-CN"/>
        </w:rPr>
        <w:t>沿建筑物表面或在支架上敷设的刚性塑料导管，宜在线路直线段部分每隔30m加装伸缩接头或其他温度补偿装置。</w:t>
      </w:r>
    </w:p>
    <w:p w14:paraId="376651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default" w:ascii="宋体" w:hAnsi="宋体" w:eastAsia="宋体" w:cs="宋体"/>
          <w:color w:val="auto"/>
          <w:sz w:val="24"/>
          <w:szCs w:val="24"/>
          <w:highlight w:val="none"/>
          <w:lang w:val="en-US" w:eastAsia="zh-CN"/>
        </w:rPr>
        <w:t>照明设备所有带电部分应采用绝缘、遮拦或外护物保护，距地面 2.8m 以下的照明设备应使用工具才能打开外壳进行光源维护；</w:t>
      </w:r>
    </w:p>
    <w:p w14:paraId="14BE18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r>
        <w:rPr>
          <w:rFonts w:hint="default" w:ascii="宋体" w:hAnsi="宋体" w:eastAsia="宋体" w:cs="宋体"/>
          <w:color w:val="auto"/>
          <w:sz w:val="24"/>
          <w:szCs w:val="24"/>
          <w:highlight w:val="none"/>
          <w:lang w:val="en-US" w:eastAsia="zh-CN"/>
        </w:rPr>
        <w:t>室外安装照明配电箱、开关电源箱与控制箱等应采用防水、防尘型，防护等级不应低于 IP54,室内不应低于 IP40，落地安装时箱底距地不小于 300mm；</w:t>
      </w:r>
    </w:p>
    <w:p w14:paraId="10DA5F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r>
        <w:rPr>
          <w:rFonts w:hint="default" w:ascii="宋体" w:hAnsi="宋体" w:eastAsia="宋体" w:cs="宋体"/>
          <w:color w:val="auto"/>
          <w:sz w:val="24"/>
          <w:szCs w:val="24"/>
          <w:highlight w:val="none"/>
          <w:lang w:val="en-US" w:eastAsia="zh-CN"/>
        </w:rPr>
        <w:t>人体可触及的灯具宜选用 III 类灯具，室外灯具的防护等级不应低于 IP65，埋地灯具的防护等级不应低于IP67；</w:t>
      </w:r>
    </w:p>
    <w:p w14:paraId="79BCCC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r>
        <w:rPr>
          <w:rFonts w:hint="default" w:ascii="宋体" w:hAnsi="宋体" w:eastAsia="宋体" w:cs="宋体"/>
          <w:color w:val="auto"/>
          <w:sz w:val="24"/>
          <w:szCs w:val="24"/>
          <w:highlight w:val="none"/>
          <w:lang w:val="en-US" w:eastAsia="zh-CN"/>
        </w:rPr>
        <w:t>室外配电箱内元器件还应考虑室外环境温度的影响，距地面 2.5m 以下的电气设备应借助于钥匙或工具才能开启；</w:t>
      </w:r>
    </w:p>
    <w:p w14:paraId="787E9C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r>
        <w:rPr>
          <w:rFonts w:hint="default" w:ascii="宋体" w:hAnsi="宋体" w:eastAsia="宋体" w:cs="宋体"/>
          <w:color w:val="auto"/>
          <w:sz w:val="24"/>
          <w:szCs w:val="24"/>
          <w:highlight w:val="none"/>
          <w:lang w:val="en-US" w:eastAsia="zh-CN"/>
        </w:rPr>
        <w:t>LED灯具应选用专用开关电源，具有主动式PFC功能，LED 灯具输入电压应与开关电源输出电压一致；</w:t>
      </w:r>
    </w:p>
    <w:p w14:paraId="388739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在正常视角范围内的光源可直视灯具，必须采取有效防眩光措施，应将照明的光线严格控制在被照区域内，限制灯具产生的干扰光，超出被照区域的溢散光不应超过15%；</w:t>
      </w:r>
    </w:p>
    <w:p w14:paraId="761048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对人员可触及的照明设备，当表面高于 70℃时，必须采用隔离保护措施；</w:t>
      </w:r>
    </w:p>
    <w:p w14:paraId="184CA1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为保证不影响电源启动和照明效果，末端灯光电压偏差允许值为+5%~-10%，分支回路的线路走向可根据现场实际情况做适当调整。</w:t>
      </w:r>
    </w:p>
    <w:p w14:paraId="40E6C3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2、景观照明</w:t>
      </w:r>
      <w:r>
        <w:rPr>
          <w:rFonts w:hint="default" w:ascii="宋体" w:hAnsi="宋体" w:eastAsia="宋体" w:cs="宋体"/>
          <w:color w:val="auto"/>
          <w:sz w:val="24"/>
          <w:szCs w:val="24"/>
          <w:highlight w:val="none"/>
          <w:lang w:val="en-US" w:eastAsia="zh-CN"/>
        </w:rPr>
        <w:t>要求</w:t>
      </w:r>
    </w:p>
    <w:p w14:paraId="441330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default" w:ascii="宋体" w:hAnsi="宋体" w:eastAsia="宋体" w:cs="宋体"/>
          <w:color w:val="auto"/>
          <w:sz w:val="24"/>
          <w:szCs w:val="24"/>
          <w:highlight w:val="none"/>
          <w:lang w:val="en-US" w:eastAsia="zh-CN"/>
        </w:rPr>
        <w:t>夜景照明灯具及配套电器、开关电源、控制器等电气设备禁止安装在可燃材料表面；</w:t>
      </w:r>
    </w:p>
    <w:p w14:paraId="7691A0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default" w:ascii="宋体" w:hAnsi="宋体" w:eastAsia="宋体" w:cs="宋体"/>
          <w:color w:val="auto"/>
          <w:sz w:val="24"/>
          <w:szCs w:val="24"/>
          <w:highlight w:val="none"/>
          <w:lang w:val="en-US" w:eastAsia="zh-CN"/>
        </w:rPr>
        <w:t>各种控制器必须按照施工设计规范要求安装在金属外壳的箱体内，不得埋在地面和墙体内；</w:t>
      </w:r>
    </w:p>
    <w:p w14:paraId="69701E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default" w:ascii="宋体" w:hAnsi="宋体" w:eastAsia="宋体" w:cs="宋体"/>
          <w:color w:val="auto"/>
          <w:sz w:val="24"/>
          <w:szCs w:val="24"/>
          <w:highlight w:val="none"/>
          <w:lang w:val="en-US" w:eastAsia="zh-CN"/>
        </w:rPr>
        <w:t>灯具的电缆电线接头应端子连接或涮锡连接、并做防水处理；</w:t>
      </w:r>
    </w:p>
    <w:p w14:paraId="297DE9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default" w:ascii="宋体" w:hAnsi="宋体" w:eastAsia="宋体" w:cs="宋体"/>
          <w:color w:val="auto"/>
          <w:sz w:val="24"/>
          <w:szCs w:val="24"/>
          <w:highlight w:val="none"/>
          <w:lang w:val="en-US" w:eastAsia="zh-CN"/>
        </w:rPr>
        <w:t>为了保证安装强度和防止雨水腐蚀，灯具安装固定螺丝应全部为304不锈钢材质；</w:t>
      </w:r>
    </w:p>
    <w:p w14:paraId="105174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default" w:ascii="宋体" w:hAnsi="宋体" w:eastAsia="宋体" w:cs="宋体"/>
          <w:color w:val="auto"/>
          <w:sz w:val="24"/>
          <w:szCs w:val="24"/>
          <w:highlight w:val="none"/>
          <w:lang w:val="en-US" w:eastAsia="zh-CN"/>
        </w:rPr>
        <w:t>刚性导管经柔性导管与电气设备、器具连接时，柔性导管的长度不大于1.2m，连接采用专用接头，连接处密封良好，防液覆盖层完整；</w:t>
      </w:r>
    </w:p>
    <w:p w14:paraId="7B510C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default" w:ascii="宋体" w:hAnsi="宋体" w:eastAsia="宋体" w:cs="宋体"/>
          <w:color w:val="auto"/>
          <w:sz w:val="24"/>
          <w:szCs w:val="24"/>
          <w:highlight w:val="none"/>
          <w:lang w:val="en-US" w:eastAsia="zh-CN"/>
        </w:rPr>
        <w:t>可挠性金属导管和金属柔性导管不能做接地（PE）的接续导体。</w:t>
      </w:r>
    </w:p>
    <w:p w14:paraId="7F3A4B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r>
        <w:rPr>
          <w:rFonts w:hint="default" w:ascii="宋体" w:hAnsi="宋体" w:eastAsia="宋体" w:cs="宋体"/>
          <w:color w:val="auto"/>
          <w:sz w:val="24"/>
          <w:szCs w:val="24"/>
          <w:highlight w:val="none"/>
          <w:lang w:val="en-US" w:eastAsia="zh-CN"/>
        </w:rPr>
        <w:t>照明光源：选用高效节能、寿命长的照明光源，开关电源按光源要求配置，并满足相关能效标准的要求；</w:t>
      </w:r>
    </w:p>
    <w:p w14:paraId="5F5CA0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r>
        <w:rPr>
          <w:rFonts w:hint="default" w:ascii="宋体" w:hAnsi="宋体" w:eastAsia="宋体" w:cs="宋体"/>
          <w:color w:val="auto"/>
          <w:sz w:val="24"/>
          <w:szCs w:val="24"/>
          <w:highlight w:val="none"/>
          <w:lang w:val="en-US" w:eastAsia="zh-CN"/>
        </w:rPr>
        <w:t>照明灯具：选用功率因数不小于0.9的灯具（若灯具功率因数小于0.9，应就地补偿），灯具效率大于70%；</w:t>
      </w:r>
    </w:p>
    <w:p w14:paraId="35DD2E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r>
        <w:rPr>
          <w:rFonts w:hint="default" w:ascii="宋体" w:hAnsi="宋体" w:eastAsia="宋体" w:cs="宋体"/>
          <w:color w:val="auto"/>
          <w:sz w:val="24"/>
          <w:szCs w:val="24"/>
          <w:highlight w:val="none"/>
          <w:lang w:val="en-US" w:eastAsia="zh-CN"/>
        </w:rPr>
        <w:t>本项目环境区域为E3、E4区，建筑物外立面夜景照明的照明功率密度值（按基础模式计算）达到规范要求。</w:t>
      </w:r>
    </w:p>
    <w:p w14:paraId="33013F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3、视频系统要求</w:t>
      </w:r>
    </w:p>
    <w:p w14:paraId="3F8AF7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视频系统可以是投影设备、全息投影技术或相关多设备组合。</w:t>
      </w:r>
    </w:p>
    <w:p w14:paraId="627EE3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4、水秀系统要求</w:t>
      </w:r>
    </w:p>
    <w:p w14:paraId="397436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（1）水秀喷头全部采用304不锈钢产品。喷头流量、扬程、喷高满足效果相关要求；喷头进出口径满足要求并配有整流设备；喷头符合 CJ/T209-2005 相关标准。</w:t>
      </w:r>
    </w:p>
    <w:p w14:paraId="6BB50B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（2）水泵采用精密铸造技术，泵的效率≥75%。每台水泵的效率曲线、流量扬程曲线和功率曲线有较宽的高效区，从设计点上升到关闭点，任何条件下水泵均能稳定运行。 每台泵的进口端自带有不锈钢过滤器，可以防止大颗粒沙粒和杂物进入泵体，防止堵塞水泵入口。采用抗沙的机械密封系统。水泵可以减少由于沙粒沉积在泵内加速水泵的磨损，从而延长水泵的寿命。电机为全封闭屏蔽式水冷马达。电机防护等级等参数符合潜水电机国际或国家相关标准。</w:t>
      </w:r>
    </w:p>
    <w:p w14:paraId="72503B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5、音响系统要求</w:t>
      </w:r>
    </w:p>
    <w:p w14:paraId="0E5906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（1）视听音响系统需根据需要在节点处配置音箱。</w:t>
      </w:r>
    </w:p>
    <w:p w14:paraId="403A9C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（2）系统应具有扬声器、数字讯号处理器、通道数字功率放大器电源时序器、专业机柜、音箱线缆等设备组成。</w:t>
      </w:r>
    </w:p>
    <w:p w14:paraId="6510F1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（3）音响设备选型应依据品质好、经济上合理、使用上安全可靠、维护上便利快捷的原则。</w:t>
      </w:r>
    </w:p>
    <w:p w14:paraId="406846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多媒体</w:t>
      </w:r>
      <w:r>
        <w:rPr>
          <w:rFonts w:hint="default" w:ascii="宋体" w:hAnsi="宋体" w:eastAsia="宋体" w:cs="宋体"/>
          <w:color w:val="auto"/>
          <w:sz w:val="24"/>
          <w:szCs w:val="24"/>
          <w:highlight w:val="none"/>
          <w:lang w:val="en-US" w:eastAsia="zh-CN"/>
        </w:rPr>
        <w:t>系统要求</w:t>
      </w:r>
    </w:p>
    <w:p w14:paraId="2C5385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（1）成像投影技术先进、图像清晰、色彩绚丽，整个投影画面具有立体、清晰、逼真的效果，并能使用各种不同的信号源，配合灯光效果展现出不同的显示效果；</w:t>
      </w:r>
    </w:p>
    <w:p w14:paraId="68298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（2）要求产品具有高对比度和亮度，能显示画面均匀、色彩锐利的高品质无缝图像，避免画面中间亮四周暗的现象；</w:t>
      </w:r>
    </w:p>
    <w:p w14:paraId="480ECA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（3）投影单元的亮度均匀、色彩均匀，色彩还原好，无烧坏死现象；</w:t>
      </w:r>
    </w:p>
    <w:p w14:paraId="383127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（4）产品具有高可靠性，连续工作时间长，性能稳定；</w:t>
      </w:r>
    </w:p>
    <w:p w14:paraId="0D2D7E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（5）必须能输入多种信号源，使用、管理、维护方便；</w:t>
      </w:r>
    </w:p>
    <w:p w14:paraId="206BB3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（6）要求投影单元占用体积小，光损耗少；</w:t>
      </w:r>
    </w:p>
    <w:p w14:paraId="3B1CEE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7、控制系统要求</w:t>
      </w:r>
    </w:p>
    <w:p w14:paraId="794807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（1）控制室应具有控制演艺灯光、照明、音频、视频、水秀、激光、舞台机械以及实时监控等受控设备的功能。</w:t>
      </w:r>
    </w:p>
    <w:p w14:paraId="1588F2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多媒体集中控制系统：表演集中控制系统应具有高容错、高性能开源分布式系统，支持远程控制、管理、无缝维护，支持在线无缝热拔插；支持自动时钟同步功能，支持时间轴多线程事件编辑功能，和自备份功能。</w:t>
      </w:r>
    </w:p>
    <w:p w14:paraId="0C08F8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（3）远程控制：集成中央控制、无线远程控制为一体，自动程序,一键操控， 在固定应用场合可实现远程控制，方便管理维护，不受场地和距离的限制，达到完美的创意效果。控制系统网络通信协议使用 TCP/IP 或 UDP 数据传输方式，控制系统采用标准 DMX512 控制协议。</w:t>
      </w:r>
    </w:p>
    <w:p w14:paraId="33A19C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（4）主控制器具备≥200万像素（RGB）控制能力，软硬件设备具备连接强电系统的接口和控制水景表演、音响等第三方设备的接口；</w:t>
      </w:r>
    </w:p>
    <w:p w14:paraId="10A68A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（5）主控系统支持双机热备份功能。主控制器支持SD卡存储，能离线运行。主控制器设置密码锁，防止随意篡改程序。</w:t>
      </w:r>
    </w:p>
    <w:p w14:paraId="25AACA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（6）所有动态变化方式可以在总控进行编辑，可在非开灯时间进行下载传输。</w:t>
      </w:r>
    </w:p>
    <w:p w14:paraId="20969C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（7）软件系统具有断网工作能力，在无网络信号的情况下可脱机工作。</w:t>
      </w:r>
    </w:p>
    <w:p w14:paraId="59AF36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（8）硬件设备要求工作温度温度-20～60℃，相对湿度0％～80％。支持防雷及POE，光电隔离浪涌抑制保护的功能。</w:t>
      </w:r>
    </w:p>
    <w:p w14:paraId="03E0CB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8、舞美装置要求</w:t>
      </w:r>
    </w:p>
    <w:p w14:paraId="60A426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default" w:ascii="宋体" w:hAnsi="宋体" w:eastAsia="宋体" w:cs="宋体"/>
          <w:color w:val="auto"/>
          <w:sz w:val="24"/>
          <w:szCs w:val="24"/>
          <w:highlight w:val="none"/>
          <w:lang w:val="en-US" w:eastAsia="zh-CN"/>
        </w:rPr>
        <w:t>表演装置形式可根据演艺的需要由投标人合理选择，要求造型优美独特， 体现</w:t>
      </w:r>
      <w:r>
        <w:rPr>
          <w:rFonts w:hint="eastAsia" w:ascii="宋体" w:hAnsi="宋体" w:eastAsia="宋体" w:cs="宋体"/>
          <w:color w:val="auto"/>
          <w:sz w:val="24"/>
          <w:szCs w:val="24"/>
          <w:highlight w:val="none"/>
          <w:lang w:val="en-US" w:eastAsia="zh-CN"/>
        </w:rPr>
        <w:t>白云区</w:t>
      </w:r>
      <w:r>
        <w:rPr>
          <w:rFonts w:hint="default" w:ascii="宋体" w:hAnsi="宋体" w:eastAsia="宋体" w:cs="宋体"/>
          <w:color w:val="auto"/>
          <w:sz w:val="24"/>
          <w:szCs w:val="24"/>
          <w:highlight w:val="none"/>
          <w:lang w:val="en-US" w:eastAsia="zh-CN"/>
        </w:rPr>
        <w:t>文化特征和主题意境，配合 LED 灯光演艺互动。</w:t>
      </w:r>
    </w:p>
    <w:p w14:paraId="2BDB86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default" w:ascii="宋体" w:hAnsi="宋体" w:eastAsia="宋体" w:cs="宋体"/>
          <w:color w:val="auto"/>
          <w:sz w:val="24"/>
          <w:szCs w:val="24"/>
          <w:highlight w:val="none"/>
          <w:lang w:val="en-US" w:eastAsia="zh-CN"/>
        </w:rPr>
        <w:t>装置系统结合投标清单设计，照明实现手法可以是演艺灯光或投影技术等。布置在岸上的表演装置必须做好外形装饰，不影响白天景观；</w:t>
      </w:r>
    </w:p>
    <w:p w14:paraId="266582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default" w:ascii="宋体" w:hAnsi="宋体" w:eastAsia="宋体" w:cs="宋体"/>
          <w:color w:val="auto"/>
          <w:sz w:val="24"/>
          <w:szCs w:val="24"/>
          <w:highlight w:val="none"/>
          <w:lang w:val="en-US" w:eastAsia="zh-CN"/>
        </w:rPr>
        <w:t>布置在水面的必须是移动的装置，不影响白天正常航运，具体由投标人根据需要设定。</w:t>
      </w:r>
    </w:p>
    <w:p w14:paraId="24EBCF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default" w:ascii="宋体" w:hAnsi="宋体" w:eastAsia="宋体" w:cs="宋体"/>
          <w:color w:val="auto"/>
          <w:sz w:val="24"/>
          <w:szCs w:val="24"/>
          <w:highlight w:val="none"/>
          <w:lang w:val="en-US" w:eastAsia="zh-CN"/>
        </w:rPr>
        <w:t>整体结构以及其它连接件、控制器、电源系统等按照投标清单设计。钢结构构筑物以及其它要求均应符合国家有关规范标准或行业标准，保证质量安全。</w:t>
      </w:r>
    </w:p>
    <w:p w14:paraId="56C646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9、装饰装修要求</w:t>
      </w:r>
    </w:p>
    <w:p w14:paraId="10A81A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default" w:ascii="宋体" w:hAnsi="宋体" w:eastAsia="宋体" w:cs="宋体"/>
          <w:color w:val="auto"/>
          <w:sz w:val="24"/>
          <w:szCs w:val="24"/>
          <w:highlight w:val="none"/>
          <w:lang w:val="en-US" w:eastAsia="zh-CN"/>
        </w:rPr>
        <w:t>装饰装修工程则围绕沿街商铺立面与内部空间升级、游客服务中心改造及绿化景观提升，融合岭南商贸文化和非遗元素，塑造集休闲、观演与文化展示于一体的滨水文旅新地标。</w:t>
      </w:r>
    </w:p>
    <w:p w14:paraId="51690D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（2）对河道两岸原有沿街建筑进行外立面整治改造。拆除更新破损陈旧的门头和招牌，统一外立面风格和色彩，使街区形象整洁美观。</w:t>
      </w:r>
    </w:p>
    <w:p w14:paraId="6869B0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（3）改造过程中采用防水耐候材料，优化照明和招牌设计，提升夜间观感和商业氛围。所有沿街改造工程将配合城市照明规范，避免视觉冲突，打造岭南商贸文化特色的街区面貌。</w:t>
      </w:r>
    </w:p>
    <w:p w14:paraId="33B3DF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default" w:ascii="宋体" w:hAnsi="宋体" w:eastAsia="宋体" w:cs="宋体"/>
          <w:color w:val="auto"/>
          <w:sz w:val="24"/>
          <w:szCs w:val="24"/>
          <w:highlight w:val="none"/>
          <w:lang w:val="en-US" w:eastAsia="zh-CN"/>
        </w:rPr>
        <w:t>施工期间在土建装修配合下完成电源线、信号线与接插件敷设，并依序安装调光设备与灯具，安装过程要注意保护墙体与地面，开槽开洞后及时修复，预留孔洞需封堵并防火处理。</w:t>
      </w:r>
    </w:p>
    <w:p w14:paraId="5C39A4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10、其他</w:t>
      </w:r>
      <w:r>
        <w:rPr>
          <w:rFonts w:hint="default" w:ascii="宋体" w:hAnsi="宋体" w:eastAsia="宋体" w:cs="宋体"/>
          <w:color w:val="auto"/>
          <w:sz w:val="24"/>
          <w:szCs w:val="24"/>
          <w:highlight w:val="none"/>
          <w:lang w:val="en-US" w:eastAsia="zh-CN"/>
        </w:rPr>
        <w:t>要求</w:t>
      </w:r>
    </w:p>
    <w:p w14:paraId="654700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default" w:ascii="宋体" w:hAnsi="宋体" w:eastAsia="宋体" w:cs="宋体"/>
          <w:color w:val="auto"/>
          <w:sz w:val="24"/>
          <w:szCs w:val="24"/>
          <w:highlight w:val="none"/>
          <w:lang w:val="en-US" w:eastAsia="zh-CN"/>
        </w:rPr>
        <w:t>投标人应保证货物是全新、未使用过的原装合格正品，并完全符合招标文件及本项目合同规定的质量、规格和性能的要求。</w:t>
      </w:r>
    </w:p>
    <w:p w14:paraId="078ABF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default" w:ascii="宋体" w:hAnsi="宋体" w:eastAsia="宋体" w:cs="宋体"/>
          <w:color w:val="auto"/>
          <w:sz w:val="24"/>
          <w:szCs w:val="24"/>
          <w:highlight w:val="none"/>
          <w:lang w:val="en-US" w:eastAsia="zh-CN"/>
        </w:rPr>
        <w:t>投标产品的技术标准按国家标准执行，无国家标准的，按行业标准执行，无国家和行业标准的，按企业标准执行；但在招标文件中有特别要求的，按招标文件中规定的要求执行，并且符合相关法律、法规规定的要求。</w:t>
      </w:r>
    </w:p>
    <w:p w14:paraId="03A48E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default" w:ascii="宋体" w:hAnsi="宋体" w:eastAsia="宋体" w:cs="宋体"/>
          <w:color w:val="auto"/>
          <w:sz w:val="24"/>
          <w:szCs w:val="24"/>
          <w:highlight w:val="none"/>
          <w:lang w:val="en-US" w:eastAsia="zh-CN"/>
        </w:rPr>
        <w:t>游船备部件及随船所有设备、附（配）件应具备该类产品的功能要求，无瑕疵和缺陷，质量为合格产品，同时有明确的生产厂商</w:t>
      </w:r>
      <w:r>
        <w:rPr>
          <w:rFonts w:hint="eastAsia" w:ascii="宋体" w:hAnsi="宋体" w:eastAsia="宋体" w:cs="宋体"/>
          <w:color w:val="auto"/>
          <w:sz w:val="24"/>
          <w:szCs w:val="24"/>
          <w:highlight w:val="none"/>
          <w:lang w:val="en-US" w:eastAsia="zh-CN"/>
        </w:rPr>
        <w:t>。</w:t>
      </w:r>
    </w:p>
    <w:p w14:paraId="616C65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default" w:ascii="宋体" w:hAnsi="宋体" w:eastAsia="宋体" w:cs="宋体"/>
          <w:color w:val="auto"/>
          <w:sz w:val="24"/>
          <w:szCs w:val="24"/>
          <w:highlight w:val="none"/>
          <w:lang w:val="en-US" w:eastAsia="zh-CN"/>
        </w:rPr>
        <w:t>投标人应保证提供的产品不得侵犯第三方专利权、商标权和工业设计权、版权等。否则，中标人应负全部责任，并承担由此引起的一切后果。</w:t>
      </w:r>
    </w:p>
    <w:p w14:paraId="5899F3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default" w:ascii="宋体" w:hAnsi="宋体" w:eastAsia="宋体" w:cs="宋体"/>
          <w:color w:val="auto"/>
          <w:sz w:val="24"/>
          <w:szCs w:val="24"/>
          <w:highlight w:val="none"/>
          <w:lang w:val="en-US" w:eastAsia="zh-CN"/>
        </w:rPr>
        <w:t>投标人应保证其货物在正确安装、正常使用下，在其使用寿命期内应具有满意的性能。</w:t>
      </w:r>
    </w:p>
    <w:p w14:paraId="7D1D64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default" w:ascii="宋体" w:hAnsi="宋体" w:eastAsia="宋体" w:cs="宋体"/>
          <w:color w:val="auto"/>
          <w:sz w:val="24"/>
          <w:szCs w:val="24"/>
          <w:highlight w:val="none"/>
          <w:lang w:val="en-US" w:eastAsia="zh-CN"/>
        </w:rPr>
        <w:t>投标人应采取必要的安全措施保证货物的运输及安装的安全，并承担货物的运输及安装过程中产生的风险。</w:t>
      </w:r>
    </w:p>
    <w:p w14:paraId="3004BE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r>
        <w:rPr>
          <w:rFonts w:hint="default" w:ascii="宋体" w:hAnsi="宋体" w:eastAsia="宋体" w:cs="宋体"/>
          <w:color w:val="auto"/>
          <w:sz w:val="24"/>
          <w:szCs w:val="24"/>
          <w:highlight w:val="none"/>
          <w:lang w:val="en-US" w:eastAsia="zh-CN"/>
        </w:rPr>
        <w:t>缺陷保修：如果游船交付使用后，缺陷多次反复出现，中标人必须提出分析报告和解决方案，直到最后纠正缺陷、中标人提供的质保从纠正之日起重新计算质保期。</w:t>
      </w:r>
    </w:p>
    <w:p w14:paraId="55FC45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p>
    <w:sectPr>
      <w:pgSz w:w="11906" w:h="16838"/>
      <w:pgMar w:top="1134" w:right="1020" w:bottom="1134" w:left="10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07796E"/>
    <w:rsid w:val="03B562A5"/>
    <w:rsid w:val="08B46BC8"/>
    <w:rsid w:val="0F6B527E"/>
    <w:rsid w:val="10B565D2"/>
    <w:rsid w:val="11A57A3C"/>
    <w:rsid w:val="1307796E"/>
    <w:rsid w:val="181D2B9D"/>
    <w:rsid w:val="1AD82542"/>
    <w:rsid w:val="1BAE1D60"/>
    <w:rsid w:val="21AA1E6F"/>
    <w:rsid w:val="21B06830"/>
    <w:rsid w:val="2EEA0C77"/>
    <w:rsid w:val="356B689E"/>
    <w:rsid w:val="35A16764"/>
    <w:rsid w:val="35ED5203"/>
    <w:rsid w:val="3B1B626D"/>
    <w:rsid w:val="3C253963"/>
    <w:rsid w:val="3C9E0BF2"/>
    <w:rsid w:val="3CCF5DC2"/>
    <w:rsid w:val="499B7670"/>
    <w:rsid w:val="4BB23136"/>
    <w:rsid w:val="4F674123"/>
    <w:rsid w:val="50814FDF"/>
    <w:rsid w:val="51C518B1"/>
    <w:rsid w:val="56F60245"/>
    <w:rsid w:val="5B710F66"/>
    <w:rsid w:val="5BAF6C35"/>
    <w:rsid w:val="604A1040"/>
    <w:rsid w:val="606074F6"/>
    <w:rsid w:val="644A7E43"/>
    <w:rsid w:val="64CE2822"/>
    <w:rsid w:val="6567306B"/>
    <w:rsid w:val="76AA1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Plain Text"/>
    <w:basedOn w:val="1"/>
    <w:next w:val="1"/>
    <w:qFormat/>
    <w:uiPriority w:val="0"/>
    <w:rPr>
      <w:rFonts w:ascii="宋体" w:hAnsi="宋体" w:cs="Courier New"/>
      <w:sz w:val="20"/>
      <w:szCs w:val="20"/>
      <w:lang w:val="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8125</Words>
  <Characters>8573</Characters>
  <Lines>0</Lines>
  <Paragraphs>0</Paragraphs>
  <TotalTime>1</TotalTime>
  <ScaleCrop>false</ScaleCrop>
  <LinksUpToDate>false</LinksUpToDate>
  <CharactersWithSpaces>8617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2025-09-05T13:42:00Z</dcterms:created>
  <dc:creator>7890</dc:creator>
  <cp:lastModifiedBy>Tyr White</cp:lastModifiedBy>
  <dcterms:modified xsi:type="dcterms:W3CDTF">2025-11-04T09:55:44Z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716CC9B974C340EBABD4D691FD588300_13</vt:lpwstr>
  </property>
  <property fmtid="{D5CDD505-2E9C-101B-9397-08002B2CF9AE}" pid="4" name="KSOTemplateDocerSaveRecord">
    <vt:lpwstr>eyJoZGlkIjoiMWU1OWI2NmFlOTlhMGM1NzI2MDJhYjQ1ZDY0NTM2YzEiLCJ1c2VySWQiOiI0NDI0ODYyODUifQ==</vt:lpwstr>
  </property>
</Properties>
</file>