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F1681">
      <w:pPr>
        <w:spacing w:before="81" w:line="219" w:lineRule="auto"/>
        <w:jc w:val="left"/>
        <w:rPr>
          <w:rFonts w:hint="default" w:ascii="宋体" w:hAnsi="宋体" w:eastAsia="宋体" w:cs="宋体"/>
          <w:spacing w:val="19"/>
          <w:sz w:val="25"/>
          <w:szCs w:val="25"/>
          <w:highlight w:val="none"/>
          <w:lang w:val="en-US" w:eastAsia="zh-CN"/>
        </w:rPr>
      </w:pPr>
      <w:r>
        <w:rPr>
          <w:rFonts w:hint="eastAsia" w:ascii="宋体" w:hAnsi="宋体" w:eastAsia="宋体" w:cs="宋体"/>
          <w:spacing w:val="19"/>
          <w:sz w:val="25"/>
          <w:szCs w:val="25"/>
          <w:highlight w:val="none"/>
        </w:rPr>
        <w:t>附件</w:t>
      </w:r>
      <w:r>
        <w:rPr>
          <w:rFonts w:hint="eastAsia" w:ascii="宋体" w:hAnsi="宋体" w:eastAsia="宋体" w:cs="宋体"/>
          <w:spacing w:val="19"/>
          <w:sz w:val="25"/>
          <w:szCs w:val="25"/>
          <w:highlight w:val="none"/>
          <w:lang w:val="en-US" w:eastAsia="zh-CN"/>
        </w:rPr>
        <w:t>9</w:t>
      </w:r>
    </w:p>
    <w:p w14:paraId="65FF468D">
      <w:pPr>
        <w:pStyle w:val="4"/>
        <w:spacing w:line="245" w:lineRule="auto"/>
        <w:rPr>
          <w:highlight w:val="none"/>
          <w:lang w:eastAsia="zh-CN"/>
        </w:rPr>
      </w:pPr>
    </w:p>
    <w:p w14:paraId="0D427A73">
      <w:pPr>
        <w:pStyle w:val="4"/>
        <w:spacing w:line="245" w:lineRule="auto"/>
        <w:rPr>
          <w:sz w:val="44"/>
          <w:szCs w:val="44"/>
          <w:highlight w:val="none"/>
          <w:lang w:eastAsia="zh-CN"/>
        </w:rPr>
      </w:pPr>
    </w:p>
    <w:p w14:paraId="4A603E7B">
      <w:pPr>
        <w:pStyle w:val="4"/>
        <w:spacing w:line="246" w:lineRule="auto"/>
        <w:jc w:val="center"/>
        <w:outlineLvl w:val="0"/>
        <w:rPr>
          <w:rFonts w:hint="eastAsia" w:ascii="方正小标宋简体" w:hAnsi="方正小标宋简体" w:eastAsia="方正小标宋简体" w:cs="方正小标宋简体"/>
          <w:sz w:val="44"/>
          <w:szCs w:val="44"/>
          <w:highlight w:val="none"/>
          <w:lang w:eastAsia="zh-CN"/>
        </w:rPr>
      </w:pPr>
      <w:bookmarkStart w:id="0" w:name="_Toc27411"/>
      <w:r>
        <w:rPr>
          <w:rFonts w:hint="eastAsia" w:ascii="方正小标宋简体" w:hAnsi="方正小标宋简体" w:eastAsia="方正小标宋简体" w:cs="方正小标宋简体"/>
          <w:sz w:val="44"/>
          <w:szCs w:val="44"/>
          <w:highlight w:val="none"/>
          <w:lang w:eastAsia="zh-CN"/>
        </w:rPr>
        <w:t>白云区石井河粤上白云间项目</w:t>
      </w:r>
      <w:bookmarkEnd w:id="0"/>
    </w:p>
    <w:p w14:paraId="6949D111">
      <w:pPr>
        <w:spacing w:before="101" w:line="220" w:lineRule="auto"/>
        <w:jc w:val="center"/>
        <w:outlineLvl w:val="0"/>
        <w:rPr>
          <w:rFonts w:hint="eastAsia" w:ascii="方正小标宋简体" w:hAnsi="方正小标宋简体" w:eastAsia="方正小标宋简体" w:cs="方正小标宋简体"/>
          <w:sz w:val="72"/>
          <w:szCs w:val="72"/>
          <w:highlight w:val="none"/>
        </w:rPr>
      </w:pPr>
      <w:bookmarkStart w:id="1" w:name="_Toc26527"/>
      <w:r>
        <w:rPr>
          <w:rFonts w:hint="eastAsia" w:ascii="方正小标宋简体" w:hAnsi="方正小标宋简体" w:eastAsia="方正小标宋简体" w:cs="方正小标宋简体"/>
          <w:b/>
          <w:bCs/>
          <w:spacing w:val="-3"/>
          <w:sz w:val="72"/>
          <w:szCs w:val="72"/>
          <w:highlight w:val="none"/>
        </w:rPr>
        <w:t>投资运营合作协议</w:t>
      </w:r>
      <w:bookmarkEnd w:id="1"/>
    </w:p>
    <w:p w14:paraId="4FE677F4">
      <w:pPr>
        <w:pStyle w:val="4"/>
        <w:spacing w:line="252" w:lineRule="auto"/>
        <w:rPr>
          <w:highlight w:val="none"/>
          <w:lang w:eastAsia="zh-CN"/>
        </w:rPr>
      </w:pPr>
    </w:p>
    <w:p w14:paraId="5794B25E">
      <w:pPr>
        <w:pStyle w:val="4"/>
        <w:spacing w:line="252" w:lineRule="auto"/>
        <w:rPr>
          <w:highlight w:val="none"/>
          <w:lang w:eastAsia="zh-CN"/>
        </w:rPr>
      </w:pPr>
    </w:p>
    <w:p w14:paraId="7E8B9B1C">
      <w:pPr>
        <w:pStyle w:val="4"/>
        <w:spacing w:line="253" w:lineRule="auto"/>
        <w:rPr>
          <w:highlight w:val="none"/>
          <w:lang w:eastAsia="zh-CN"/>
        </w:rPr>
      </w:pPr>
    </w:p>
    <w:p w14:paraId="4CCA6EA4">
      <w:pPr>
        <w:pStyle w:val="4"/>
        <w:spacing w:line="253" w:lineRule="auto"/>
        <w:rPr>
          <w:highlight w:val="none"/>
          <w:lang w:eastAsia="zh-CN"/>
        </w:rPr>
      </w:pPr>
    </w:p>
    <w:p w14:paraId="0D0371F5">
      <w:pPr>
        <w:pStyle w:val="4"/>
        <w:spacing w:line="253" w:lineRule="auto"/>
        <w:rPr>
          <w:highlight w:val="none"/>
          <w:lang w:eastAsia="zh-CN"/>
        </w:rPr>
      </w:pPr>
    </w:p>
    <w:p w14:paraId="58377874">
      <w:pPr>
        <w:spacing w:before="1" w:line="2370" w:lineRule="exact"/>
        <w:ind w:firstLine="9043"/>
        <w:rPr>
          <w:highlight w:val="none"/>
        </w:rPr>
      </w:pPr>
    </w:p>
    <w:p w14:paraId="6314D9AC">
      <w:pPr>
        <w:spacing w:line="360" w:lineRule="auto"/>
        <w:rPr>
          <w:rFonts w:eastAsia="宋体"/>
          <w:sz w:val="32"/>
          <w:szCs w:val="32"/>
          <w:highlight w:val="none"/>
        </w:rPr>
      </w:pPr>
      <w:bookmarkStart w:id="2" w:name="_Toc37917046"/>
      <w:r>
        <w:rPr>
          <w:rFonts w:hint="eastAsia" w:eastAsia="宋体"/>
          <w:sz w:val="32"/>
          <w:szCs w:val="32"/>
          <w:highlight w:val="none"/>
        </w:rPr>
        <w:t>甲方：</w:t>
      </w:r>
      <w:bookmarkEnd w:id="2"/>
      <w:r>
        <w:rPr>
          <w:rFonts w:hint="eastAsia" w:eastAsia="宋体"/>
          <w:sz w:val="32"/>
          <w:szCs w:val="32"/>
          <w:highlight w:val="none"/>
        </w:rPr>
        <w:t>广州白云文化投资有限公司</w:t>
      </w:r>
    </w:p>
    <w:p w14:paraId="31EF8C07">
      <w:pPr>
        <w:spacing w:line="360" w:lineRule="auto"/>
        <w:rPr>
          <w:rFonts w:eastAsia="宋体"/>
          <w:sz w:val="32"/>
          <w:szCs w:val="32"/>
          <w:highlight w:val="none"/>
        </w:rPr>
      </w:pPr>
      <w:bookmarkStart w:id="3" w:name="_Toc37917047"/>
      <w:r>
        <w:rPr>
          <w:rFonts w:hint="eastAsia" w:eastAsia="宋体"/>
          <w:sz w:val="32"/>
          <w:szCs w:val="32"/>
          <w:highlight w:val="none"/>
        </w:rPr>
        <w:t>乙方：</w:t>
      </w:r>
      <w:bookmarkEnd w:id="3"/>
      <w:r>
        <w:rPr>
          <w:rFonts w:hint="eastAsia" w:eastAsia="宋体"/>
          <w:sz w:val="32"/>
          <w:szCs w:val="32"/>
          <w:highlight w:val="none"/>
        </w:rPr>
        <w:t xml:space="preserve"> </w:t>
      </w:r>
    </w:p>
    <w:p w14:paraId="4DDBBBA3">
      <w:pPr>
        <w:spacing w:line="360" w:lineRule="auto"/>
        <w:rPr>
          <w:highlight w:val="none"/>
        </w:rPr>
      </w:pPr>
    </w:p>
    <w:p w14:paraId="01BA46EB">
      <w:pPr>
        <w:spacing w:line="360" w:lineRule="auto"/>
        <w:rPr>
          <w:rFonts w:eastAsia="宋体"/>
          <w:sz w:val="32"/>
          <w:szCs w:val="32"/>
          <w:highlight w:val="none"/>
        </w:rPr>
      </w:pPr>
    </w:p>
    <w:p w14:paraId="623F4BA8">
      <w:pPr>
        <w:pStyle w:val="18"/>
        <w:rPr>
          <w:rFonts w:eastAsia="宋体"/>
          <w:sz w:val="32"/>
          <w:szCs w:val="32"/>
          <w:highlight w:val="none"/>
        </w:rPr>
      </w:pPr>
    </w:p>
    <w:p w14:paraId="31466545">
      <w:pPr>
        <w:pStyle w:val="18"/>
        <w:rPr>
          <w:rFonts w:eastAsia="宋体"/>
          <w:sz w:val="32"/>
          <w:szCs w:val="32"/>
          <w:highlight w:val="none"/>
        </w:rPr>
      </w:pPr>
    </w:p>
    <w:p w14:paraId="74A7CE7F">
      <w:pPr>
        <w:spacing w:line="360" w:lineRule="auto"/>
        <w:rPr>
          <w:rFonts w:eastAsia="宋体"/>
          <w:sz w:val="32"/>
          <w:szCs w:val="32"/>
          <w:highlight w:val="none"/>
        </w:rPr>
      </w:pPr>
      <w:r>
        <w:rPr>
          <w:rFonts w:hint="eastAsia" w:eastAsia="宋体"/>
          <w:sz w:val="32"/>
          <w:szCs w:val="32"/>
          <w:highlight w:val="none"/>
        </w:rPr>
        <w:t>签约地点：广东省广州市白云区</w:t>
      </w:r>
    </w:p>
    <w:p w14:paraId="64A9D472">
      <w:pPr>
        <w:spacing w:line="360" w:lineRule="auto"/>
        <w:rPr>
          <w:rFonts w:eastAsia="宋体"/>
          <w:sz w:val="32"/>
          <w:szCs w:val="32"/>
          <w:highlight w:val="none"/>
        </w:rPr>
        <w:sectPr>
          <w:footerReference r:id="rId3" w:type="default"/>
          <w:pgSz w:w="11906" w:h="16838"/>
          <w:pgMar w:top="1418" w:right="1588" w:bottom="1418" w:left="1588" w:header="851" w:footer="992" w:gutter="113"/>
          <w:cols w:space="720" w:num="1"/>
          <w:docGrid w:type="lines" w:linePitch="312" w:charSpace="0"/>
        </w:sectPr>
      </w:pPr>
      <w:r>
        <w:rPr>
          <w:rFonts w:hint="eastAsia" w:eastAsia="宋体"/>
          <w:sz w:val="32"/>
          <w:szCs w:val="32"/>
          <w:highlight w:val="none"/>
        </w:rPr>
        <w:t xml:space="preserve">签约日期：二〇二五年 </w:t>
      </w:r>
      <w:r>
        <w:rPr>
          <w:rFonts w:eastAsia="宋体"/>
          <w:sz w:val="32"/>
          <w:szCs w:val="32"/>
          <w:highlight w:val="none"/>
        </w:rPr>
        <w:t xml:space="preserve">  </w:t>
      </w:r>
      <w:r>
        <w:rPr>
          <w:rFonts w:hint="eastAsia" w:eastAsia="宋体"/>
          <w:sz w:val="32"/>
          <w:szCs w:val="32"/>
          <w:highlight w:val="none"/>
        </w:rPr>
        <w:t>月</w:t>
      </w:r>
    </w:p>
    <w:p w14:paraId="6248126C">
      <w:pPr>
        <w:rPr>
          <w:highlight w:val="none"/>
        </w:rPr>
      </w:pPr>
    </w:p>
    <w:sdt>
      <w:sdtPr>
        <w:rPr>
          <w:rFonts w:ascii="宋体" w:hAnsi="宋体" w:eastAsia="宋体"/>
          <w:highlight w:val="none"/>
        </w:rPr>
        <w:id w:val="147469052"/>
        <w15:color w:val="DBDBDB"/>
        <w:docPartObj>
          <w:docPartGallery w:val="Table of Contents"/>
          <w:docPartUnique/>
        </w:docPartObj>
      </w:sdtPr>
      <w:sdtEndPr>
        <w:rPr>
          <w:rFonts w:ascii="宋体" w:hAnsi="宋体" w:eastAsia="宋体"/>
          <w:highlight w:val="none"/>
        </w:rPr>
      </w:sdtEndPr>
      <w:sdtContent>
        <w:p w14:paraId="01F7A07D">
          <w:pPr>
            <w:jc w:val="center"/>
            <w:rPr>
              <w:highlight w:val="none"/>
            </w:rPr>
          </w:pPr>
          <w:r>
            <w:rPr>
              <w:rFonts w:ascii="宋体" w:hAnsi="宋体" w:eastAsia="宋体"/>
              <w:highlight w:val="none"/>
            </w:rPr>
            <w:t>目录</w:t>
          </w:r>
        </w:p>
        <w:p w14:paraId="13D49A6E">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TOC \o "1-1" \h \u </w:instrText>
          </w:r>
          <w:r>
            <w:rPr>
              <w:highlight w:val="none"/>
            </w:rPr>
            <w:fldChar w:fldCharType="separate"/>
          </w:r>
        </w:p>
        <w:p w14:paraId="5E351839">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"_Toc25808" </w:instrText>
          </w:r>
          <w:r>
            <w:rPr>
              <w:highlight w:val="none"/>
            </w:rPr>
            <w:fldChar w:fldCharType="separate"/>
          </w:r>
          <w:r>
            <w:rPr>
              <w:rFonts w:hint="eastAsia" w:ascii="宋体" w:hAnsi="宋体" w:eastAsia="宋体" w:cs="宋体"/>
              <w:bCs/>
              <w:highlight w:val="none"/>
            </w:rPr>
            <w:t>第1章 定义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_Toc25808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5EF1E45">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"_Toc25137" </w:instrText>
          </w:r>
          <w:r>
            <w:rPr>
              <w:highlight w:val="none"/>
            </w:rPr>
            <w:fldChar w:fldCharType="separate"/>
          </w:r>
          <w:r>
            <w:rPr>
              <w:rFonts w:hint="eastAsia" w:ascii="宋体" w:hAnsi="宋体" w:eastAsia="宋体" w:cs="宋体"/>
              <w:highlight w:val="none"/>
            </w:rPr>
            <w:t>第1.1条 定义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_Toc25137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169158F">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"_Toc25319" </w:instrText>
          </w:r>
          <w:r>
            <w:rPr>
              <w:highlight w:val="none"/>
            </w:rPr>
            <w:fldChar w:fldCharType="separate"/>
          </w:r>
          <w:r>
            <w:rPr>
              <w:rFonts w:hint="eastAsia" w:ascii="宋体" w:hAnsi="宋体" w:eastAsia="宋体" w:cs="宋体"/>
              <w:highlight w:val="none"/>
            </w:rPr>
            <w:t>第1.1条关于部分术语的定义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_Toc25319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76CD648">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"_Toc12072" </w:instrText>
          </w:r>
          <w:r>
            <w:rPr>
              <w:highlight w:val="none"/>
            </w:rPr>
            <w:fldChar w:fldCharType="separate"/>
          </w:r>
          <w:r>
            <w:rPr>
              <w:rFonts w:hint="eastAsia" w:ascii="宋体" w:hAnsi="宋体" w:eastAsia="宋体" w:cs="宋体"/>
              <w:highlight w:val="none"/>
            </w:rPr>
            <w:t>第1.2条 语言文字</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_Toc12072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5655F00">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"_Toc29803" </w:instrText>
          </w:r>
          <w:r>
            <w:rPr>
              <w:highlight w:val="none"/>
            </w:rPr>
            <w:fldChar w:fldCharType="separate"/>
          </w:r>
          <w:r>
            <w:rPr>
              <w:rFonts w:hint="eastAsia" w:ascii="宋体" w:hAnsi="宋体" w:eastAsia="宋体" w:cs="宋体"/>
              <w:highlight w:val="none"/>
            </w:rPr>
            <w:t>第1.2条解释和解释规则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_Toc29803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CFA4A7B">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"_Toc9985" </w:instrText>
          </w:r>
          <w:r>
            <w:rPr>
              <w:highlight w:val="none"/>
            </w:rPr>
            <w:fldChar w:fldCharType="separate"/>
          </w:r>
          <w:r>
            <w:rPr>
              <w:rFonts w:hint="eastAsia" w:ascii="宋体" w:hAnsi="宋体" w:eastAsia="宋体" w:cs="宋体"/>
              <w:bCs/>
              <w:highlight w:val="none"/>
            </w:rPr>
            <w:t>第2章投资合作</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_Toc9985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9083576">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"_Toc18128" </w:instrText>
          </w:r>
          <w:r>
            <w:rPr>
              <w:highlight w:val="none"/>
            </w:rPr>
            <w:fldChar w:fldCharType="separate"/>
          </w:r>
          <w:r>
            <w:rPr>
              <w:rFonts w:hint="eastAsia" w:ascii="宋体" w:hAnsi="宋体" w:eastAsia="宋体" w:cs="宋体"/>
              <w:highlight w:val="none"/>
            </w:rPr>
            <w:t>第2.1条合作内容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_Toc18128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AF7D58C">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"_Toc17570" </w:instrText>
          </w:r>
          <w:r>
            <w:rPr>
              <w:highlight w:val="none"/>
            </w:rPr>
            <w:fldChar w:fldCharType="separate"/>
          </w:r>
          <w:r>
            <w:rPr>
              <w:rFonts w:hint="eastAsia" w:ascii="宋体" w:hAnsi="宋体" w:eastAsia="宋体" w:cs="宋体"/>
              <w:szCs w:val="21"/>
              <w:highlight w:val="none"/>
            </w:rPr>
            <w:t>第2.2条合作模式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_Toc17570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0C821FF">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"_Toc26524" </w:instrText>
          </w:r>
          <w:r>
            <w:rPr>
              <w:highlight w:val="none"/>
            </w:rPr>
            <w:fldChar w:fldCharType="separate"/>
          </w:r>
          <w:r>
            <w:rPr>
              <w:rFonts w:hint="eastAsia" w:ascii="宋体" w:hAnsi="宋体" w:eastAsia="宋体" w:cs="宋体"/>
              <w:szCs w:val="21"/>
              <w:highlight w:val="none"/>
            </w:rPr>
            <w:t>第2.3条 合作流程</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_Toc26524 \h </w:instrText>
          </w:r>
          <w:r>
            <w:rPr>
              <w:rFonts w:hint="eastAsia" w:ascii="宋体" w:hAnsi="宋体" w:eastAsia="宋体" w:cs="宋体"/>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8CCE7B7">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"_Toc19657" </w:instrText>
          </w:r>
          <w:r>
            <w:rPr>
              <w:highlight w:val="none"/>
            </w:rPr>
            <w:fldChar w:fldCharType="separate"/>
          </w:r>
          <w:r>
            <w:rPr>
              <w:rFonts w:hint="eastAsia" w:ascii="宋体" w:hAnsi="宋体" w:eastAsia="宋体" w:cs="宋体"/>
              <w:szCs w:val="21"/>
              <w:highlight w:val="none"/>
            </w:rPr>
            <w:t>第2.4条合作期限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_Toc19657 \h </w:instrText>
          </w:r>
          <w:r>
            <w:rPr>
              <w:rFonts w:hint="eastAsia" w:ascii="宋体" w:hAnsi="宋体" w:eastAsia="宋体" w:cs="宋体"/>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7E2142D">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"_Toc2213" </w:instrText>
          </w:r>
          <w:r>
            <w:rPr>
              <w:highlight w:val="none"/>
            </w:rPr>
            <w:fldChar w:fldCharType="separate"/>
          </w:r>
          <w:r>
            <w:rPr>
              <w:rFonts w:hint="eastAsia" w:ascii="宋体" w:hAnsi="宋体" w:eastAsia="宋体" w:cs="宋体"/>
              <w:szCs w:val="21"/>
              <w:highlight w:val="none"/>
            </w:rPr>
            <w:t>第2.5条实施主体</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_Toc2213 \h </w:instrText>
          </w:r>
          <w:r>
            <w:rPr>
              <w:rFonts w:hint="eastAsia" w:ascii="宋体" w:hAnsi="宋体" w:eastAsia="宋体" w:cs="宋体"/>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72CC646">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"_Toc20953" </w:instrText>
          </w:r>
          <w:r>
            <w:rPr>
              <w:highlight w:val="none"/>
            </w:rPr>
            <w:fldChar w:fldCharType="separate"/>
          </w:r>
          <w:r>
            <w:rPr>
              <w:rFonts w:hint="eastAsia" w:ascii="宋体" w:hAnsi="宋体" w:eastAsia="宋体" w:cs="宋体"/>
              <w:szCs w:val="21"/>
              <w:highlight w:val="none"/>
            </w:rPr>
            <w:t>第2.6条项目投资额</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_Toc20953 \h </w:instrText>
          </w:r>
          <w:r>
            <w:rPr>
              <w:rFonts w:hint="eastAsia" w:ascii="宋体" w:hAnsi="宋体" w:eastAsia="宋体" w:cs="宋体"/>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BBF24F0">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"_Toc791" </w:instrText>
          </w:r>
          <w:r>
            <w:rPr>
              <w:highlight w:val="none"/>
            </w:rPr>
            <w:fldChar w:fldCharType="separate"/>
          </w:r>
          <w:r>
            <w:rPr>
              <w:rFonts w:hint="eastAsia" w:ascii="宋体" w:hAnsi="宋体" w:eastAsia="宋体" w:cs="宋体"/>
              <w:szCs w:val="21"/>
              <w:highlight w:val="none"/>
            </w:rPr>
            <w:t>第2.7条 持股比例</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_Toc791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EF8E18B">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"_Toc32573" </w:instrText>
          </w:r>
          <w:r>
            <w:rPr>
              <w:highlight w:val="none"/>
            </w:rPr>
            <w:fldChar w:fldCharType="separate"/>
          </w:r>
          <w:r>
            <w:rPr>
              <w:rFonts w:hint="eastAsia" w:ascii="宋体" w:hAnsi="宋体" w:eastAsia="宋体" w:cs="宋体"/>
              <w:highlight w:val="none"/>
            </w:rPr>
            <w:t>第2.8条出资金额</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_Toc32573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CF16544">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"_Toc30684" </w:instrText>
          </w:r>
          <w:r>
            <w:rPr>
              <w:highlight w:val="none"/>
            </w:rPr>
            <w:fldChar w:fldCharType="separate"/>
          </w:r>
          <w:r>
            <w:rPr>
              <w:rFonts w:hint="eastAsia" w:ascii="宋体" w:hAnsi="宋体" w:eastAsia="宋体" w:cs="宋体"/>
              <w:highlight w:val="none"/>
            </w:rPr>
            <w:t>第2.9条出资时间</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_Toc30684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3C6BE64">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"_Toc12474" </w:instrText>
          </w:r>
          <w:r>
            <w:rPr>
              <w:highlight w:val="none"/>
            </w:rPr>
            <w:fldChar w:fldCharType="separate"/>
          </w:r>
          <w:r>
            <w:rPr>
              <w:rFonts w:hint="eastAsia" w:ascii="宋体" w:hAnsi="宋体" w:eastAsia="宋体" w:cs="宋体"/>
              <w:bCs/>
              <w:highlight w:val="none"/>
            </w:rPr>
            <w:t>第3章合资公司概况</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_Toc12474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A82D041">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"_Toc15711" </w:instrText>
          </w:r>
          <w:r>
            <w:rPr>
              <w:highlight w:val="none"/>
            </w:rPr>
            <w:fldChar w:fldCharType="separate"/>
          </w:r>
          <w:r>
            <w:rPr>
              <w:rFonts w:hint="eastAsia" w:ascii="宋体" w:hAnsi="宋体" w:eastAsia="宋体" w:cs="宋体"/>
              <w:highlight w:val="none"/>
            </w:rPr>
            <w:t>第3. 1条公司基本情况</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_Toc15711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77C23DC">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"_Toc14078" </w:instrText>
          </w:r>
          <w:r>
            <w:rPr>
              <w:highlight w:val="none"/>
            </w:rPr>
            <w:fldChar w:fldCharType="separate"/>
          </w:r>
          <w:r>
            <w:rPr>
              <w:rFonts w:hint="eastAsia" w:ascii="宋体" w:hAnsi="宋体" w:eastAsia="宋体" w:cs="宋体"/>
              <w:highlight w:val="none"/>
            </w:rPr>
            <w:t>第3.2条合资公司经营范围</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_Toc14078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0786506">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"_Toc23293" </w:instrText>
          </w:r>
          <w:r>
            <w:rPr>
              <w:highlight w:val="none"/>
            </w:rPr>
            <w:fldChar w:fldCharType="separate"/>
          </w:r>
          <w:r>
            <w:rPr>
              <w:rFonts w:hint="eastAsia" w:ascii="宋体" w:hAnsi="宋体" w:eastAsia="宋体" w:cs="宋体"/>
              <w:highlight w:val="none"/>
            </w:rPr>
            <w:t>第3.3条公司登记</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_Toc23293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5C85032">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"_Toc28064" </w:instrText>
          </w:r>
          <w:r>
            <w:rPr>
              <w:highlight w:val="none"/>
            </w:rPr>
            <w:fldChar w:fldCharType="separate"/>
          </w:r>
          <w:r>
            <w:rPr>
              <w:rFonts w:hint="eastAsia" w:ascii="宋体" w:hAnsi="宋体" w:eastAsia="宋体" w:cs="宋体"/>
              <w:bCs/>
              <w:highlight w:val="none"/>
            </w:rPr>
            <w:t>第四章声明和保证</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_Toc28064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0B99723">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"_Toc26181" </w:instrText>
          </w:r>
          <w:r>
            <w:rPr>
              <w:highlight w:val="none"/>
            </w:rPr>
            <w:fldChar w:fldCharType="separate"/>
          </w:r>
          <w:r>
            <w:rPr>
              <w:rFonts w:hint="eastAsia" w:ascii="宋体" w:hAnsi="宋体" w:eastAsia="宋体" w:cs="宋体"/>
              <w:highlight w:val="none"/>
            </w:rPr>
            <w:t>第4.1条甲乙双方的声明和保证</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_Toc26181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AE7CEB1">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"_Toc9560" </w:instrText>
          </w:r>
          <w:r>
            <w:rPr>
              <w:highlight w:val="none"/>
            </w:rPr>
            <w:fldChar w:fldCharType="separate"/>
          </w:r>
          <w:r>
            <w:rPr>
              <w:rFonts w:hint="eastAsia" w:ascii="宋体" w:hAnsi="宋体" w:eastAsia="宋体" w:cs="宋体"/>
              <w:highlight w:val="none"/>
            </w:rPr>
            <w:t>第4.2条乙方的声明和保证</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_Toc9560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9F11FE2">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"_Toc32007" </w:instrText>
          </w:r>
          <w:r>
            <w:rPr>
              <w:highlight w:val="none"/>
            </w:rPr>
            <w:fldChar w:fldCharType="separate"/>
          </w:r>
          <w:r>
            <w:rPr>
              <w:rFonts w:hint="eastAsia" w:ascii="宋体" w:hAnsi="宋体" w:eastAsia="宋体" w:cs="宋体"/>
              <w:bCs/>
              <w:highlight w:val="none"/>
            </w:rPr>
            <w:t>第五章公司治理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_Toc32007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2611B29">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"_Toc18296" </w:instrText>
          </w:r>
          <w:r>
            <w:rPr>
              <w:highlight w:val="none"/>
            </w:rPr>
            <w:fldChar w:fldCharType="separate"/>
          </w:r>
          <w:r>
            <w:rPr>
              <w:rFonts w:hint="eastAsia" w:ascii="宋体" w:hAnsi="宋体" w:eastAsia="宋体" w:cs="宋体"/>
              <w:highlight w:val="none"/>
            </w:rPr>
            <w:t>第5.1条公司治理结构与运营机制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_Toc18296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25BC9B0">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"_Toc797" </w:instrText>
          </w:r>
          <w:r>
            <w:rPr>
              <w:highlight w:val="none"/>
            </w:rPr>
            <w:fldChar w:fldCharType="separate"/>
          </w:r>
          <w:r>
            <w:rPr>
              <w:rFonts w:hint="eastAsia" w:ascii="宋体" w:hAnsi="宋体" w:eastAsia="宋体" w:cs="宋体"/>
              <w:highlight w:val="none"/>
            </w:rPr>
            <w:t>第5.2条总经理、高管及员工的用工管理与薪酬机制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_Toc797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6553DF4">
          <w:pPr>
            <w:pStyle w:val="9"/>
            <w:tabs>
              <w:tab w:val="right" w:leader="dot" w:pos="8306"/>
            </w:tabs>
            <w:rPr>
              <w:rFonts w:hint="eastAsia" w:ascii="宋体" w:hAnsi="宋体" w:eastAsia="宋体" w:cs="宋体"/>
              <w:highlight w:val="none"/>
            </w:rPr>
          </w:pPr>
          <w:r>
            <w:rPr>
              <w:highlight w:val="none"/>
            </w:rPr>
            <w:fldChar w:fldCharType="begin"/>
          </w:r>
          <w:r>
            <w:rPr>
              <w:highlight w:val="none"/>
            </w:rPr>
            <w:instrText xml:space="preserve"> HYPERLINK \l "_Toc4340" </w:instrText>
          </w:r>
          <w:r>
            <w:rPr>
              <w:highlight w:val="none"/>
            </w:rPr>
            <w:fldChar w:fldCharType="separate"/>
          </w:r>
          <w:r>
            <w:rPr>
              <w:rFonts w:hint="eastAsia" w:ascii="宋体" w:hAnsi="宋体" w:eastAsia="宋体" w:cs="宋体"/>
              <w:highlight w:val="none"/>
            </w:rPr>
            <w:t>第5.3条公司基本治理结构</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_Toc4340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F368B64">
          <w:pPr>
            <w:pStyle w:val="9"/>
            <w:tabs>
              <w:tab w:val="right" w:leader="dot" w:pos="8306"/>
            </w:tabs>
            <w:rPr>
              <w:highlight w:val="none"/>
            </w:rPr>
          </w:pPr>
          <w:r>
            <w:rPr>
              <w:highlight w:val="none"/>
            </w:rPr>
            <w:fldChar w:fldCharType="begin"/>
          </w:r>
          <w:r>
            <w:rPr>
              <w:highlight w:val="none"/>
            </w:rPr>
            <w:instrText xml:space="preserve"> HYPERLINK \l "_Toc12302" </w:instrText>
          </w:r>
          <w:r>
            <w:rPr>
              <w:highlight w:val="none"/>
            </w:rPr>
            <w:fldChar w:fldCharType="separate"/>
          </w:r>
          <w:r>
            <w:rPr>
              <w:rFonts w:hint="eastAsia" w:ascii="宋体" w:hAnsi="宋体" w:eastAsia="宋体" w:cs="宋体"/>
              <w:highlight w:val="none"/>
            </w:rPr>
            <w:t>第5.4条 股权转让与股权担保限制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_Toc12302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A8E3552">
          <w:pPr>
            <w:pStyle w:val="9"/>
            <w:tabs>
              <w:tab w:val="right" w:leader="dot" w:pos="8306"/>
            </w:tabs>
            <w:rPr>
              <w:highlight w:val="none"/>
            </w:rPr>
          </w:pPr>
          <w:r>
            <w:rPr>
              <w:highlight w:val="none"/>
            </w:rPr>
            <w:fldChar w:fldCharType="begin"/>
          </w:r>
          <w:r>
            <w:rPr>
              <w:highlight w:val="none"/>
            </w:rPr>
            <w:instrText xml:space="preserve"> HYPERLINK \l "_Toc6165" </w:instrText>
          </w:r>
          <w:r>
            <w:rPr>
              <w:highlight w:val="none"/>
            </w:rPr>
            <w:fldChar w:fldCharType="separate"/>
          </w:r>
          <w:r>
            <w:rPr>
              <w:rFonts w:hint="eastAsia" w:ascii="宋体" w:eastAsia="宋体"/>
              <w:highlight w:val="none"/>
            </w:rPr>
            <w:t>第5.5条 利润分配</w:t>
          </w:r>
          <w:r>
            <w:rPr>
              <w:highlight w:val="none"/>
            </w:rPr>
            <w:tab/>
          </w:r>
          <w:r>
            <w:rPr>
              <w:highlight w:val="none"/>
            </w:rPr>
            <w:fldChar w:fldCharType="begin"/>
          </w:r>
          <w:r>
            <w:rPr>
              <w:highlight w:val="none"/>
            </w:rPr>
            <w:instrText xml:space="preserve"> PAGEREF _Toc6165 \h </w:instrText>
          </w:r>
          <w:r>
            <w:rPr>
              <w:highlight w:val="none"/>
            </w:rPr>
            <w:fldChar w:fldCharType="separate"/>
          </w:r>
          <w:r>
            <w:rPr>
              <w:highlight w:val="none"/>
            </w:rPr>
            <w:t>16</w:t>
          </w:r>
          <w:r>
            <w:rPr>
              <w:highlight w:val="none"/>
            </w:rPr>
            <w:fldChar w:fldCharType="end"/>
          </w:r>
          <w:r>
            <w:rPr>
              <w:highlight w:val="none"/>
            </w:rPr>
            <w:fldChar w:fldCharType="end"/>
          </w:r>
        </w:p>
        <w:p w14:paraId="1CA07B42">
          <w:pPr>
            <w:pStyle w:val="9"/>
            <w:tabs>
              <w:tab w:val="right" w:leader="dot" w:pos="8306"/>
            </w:tabs>
            <w:rPr>
              <w:highlight w:val="none"/>
            </w:rPr>
          </w:pPr>
          <w:r>
            <w:rPr>
              <w:highlight w:val="none"/>
            </w:rPr>
            <w:fldChar w:fldCharType="begin"/>
          </w:r>
          <w:r>
            <w:rPr>
              <w:highlight w:val="none"/>
            </w:rPr>
            <w:instrText xml:space="preserve"> HYPERLINK \l "_Toc29294" </w:instrText>
          </w:r>
          <w:r>
            <w:rPr>
              <w:highlight w:val="none"/>
            </w:rPr>
            <w:fldChar w:fldCharType="separate"/>
          </w:r>
          <w:r>
            <w:rPr>
              <w:rFonts w:hint="eastAsia" w:ascii="宋体" w:eastAsia="宋体"/>
              <w:bCs/>
              <w:highlight w:val="none"/>
            </w:rPr>
            <w:t>第六章 协议各方的权利义务</w:t>
          </w:r>
          <w:r>
            <w:rPr>
              <w:highlight w:val="none"/>
            </w:rPr>
            <w:tab/>
          </w:r>
          <w:r>
            <w:rPr>
              <w:highlight w:val="none"/>
            </w:rPr>
            <w:fldChar w:fldCharType="begin"/>
          </w:r>
          <w:r>
            <w:rPr>
              <w:highlight w:val="none"/>
            </w:rPr>
            <w:instrText xml:space="preserve"> PAGEREF _Toc29294 \h </w:instrText>
          </w:r>
          <w:r>
            <w:rPr>
              <w:highlight w:val="none"/>
            </w:rPr>
            <w:fldChar w:fldCharType="separate"/>
          </w:r>
          <w:r>
            <w:rPr>
              <w:highlight w:val="none"/>
            </w:rPr>
            <w:t>16</w:t>
          </w:r>
          <w:r>
            <w:rPr>
              <w:highlight w:val="none"/>
            </w:rPr>
            <w:fldChar w:fldCharType="end"/>
          </w:r>
          <w:r>
            <w:rPr>
              <w:highlight w:val="none"/>
            </w:rPr>
            <w:fldChar w:fldCharType="end"/>
          </w:r>
        </w:p>
        <w:p w14:paraId="53A55F1A">
          <w:pPr>
            <w:pStyle w:val="9"/>
            <w:tabs>
              <w:tab w:val="right" w:leader="dot" w:pos="8306"/>
            </w:tabs>
            <w:rPr>
              <w:highlight w:val="none"/>
            </w:rPr>
          </w:pPr>
          <w:r>
            <w:rPr>
              <w:highlight w:val="none"/>
            </w:rPr>
            <w:fldChar w:fldCharType="begin"/>
          </w:r>
          <w:r>
            <w:rPr>
              <w:highlight w:val="none"/>
            </w:rPr>
            <w:instrText xml:space="preserve"> HYPERLINK \l "_Toc17607" </w:instrText>
          </w:r>
          <w:r>
            <w:rPr>
              <w:highlight w:val="none"/>
            </w:rPr>
            <w:fldChar w:fldCharType="separate"/>
          </w:r>
          <w:r>
            <w:rPr>
              <w:rFonts w:hint="eastAsia" w:ascii="宋体" w:eastAsia="宋体"/>
              <w:highlight w:val="none"/>
            </w:rPr>
            <w:t>第6.1条 甲方的权利</w:t>
          </w:r>
          <w:r>
            <w:rPr>
              <w:highlight w:val="none"/>
            </w:rPr>
            <w:tab/>
          </w:r>
          <w:r>
            <w:rPr>
              <w:highlight w:val="none"/>
            </w:rPr>
            <w:fldChar w:fldCharType="begin"/>
          </w:r>
          <w:r>
            <w:rPr>
              <w:highlight w:val="none"/>
            </w:rPr>
            <w:instrText xml:space="preserve"> PAGEREF _Toc17607 \h </w:instrText>
          </w:r>
          <w:r>
            <w:rPr>
              <w:highlight w:val="none"/>
            </w:rPr>
            <w:fldChar w:fldCharType="separate"/>
          </w:r>
          <w:r>
            <w:rPr>
              <w:highlight w:val="none"/>
            </w:rPr>
            <w:t>16</w:t>
          </w:r>
          <w:r>
            <w:rPr>
              <w:highlight w:val="none"/>
            </w:rPr>
            <w:fldChar w:fldCharType="end"/>
          </w:r>
          <w:r>
            <w:rPr>
              <w:highlight w:val="none"/>
            </w:rPr>
            <w:fldChar w:fldCharType="end"/>
          </w:r>
        </w:p>
        <w:p w14:paraId="0A3E5745">
          <w:pPr>
            <w:pStyle w:val="9"/>
            <w:tabs>
              <w:tab w:val="right" w:leader="dot" w:pos="8306"/>
            </w:tabs>
            <w:rPr>
              <w:highlight w:val="none"/>
            </w:rPr>
          </w:pPr>
          <w:r>
            <w:rPr>
              <w:highlight w:val="none"/>
            </w:rPr>
            <w:fldChar w:fldCharType="begin"/>
          </w:r>
          <w:r>
            <w:rPr>
              <w:highlight w:val="none"/>
            </w:rPr>
            <w:instrText xml:space="preserve"> HYPERLINK \l "_Toc8062" </w:instrText>
          </w:r>
          <w:r>
            <w:rPr>
              <w:highlight w:val="none"/>
            </w:rPr>
            <w:fldChar w:fldCharType="separate"/>
          </w:r>
          <w:r>
            <w:rPr>
              <w:rFonts w:hint="eastAsia" w:ascii="宋体" w:eastAsia="宋体"/>
              <w:highlight w:val="none"/>
            </w:rPr>
            <w:t>第6.2条 甲方的义务</w:t>
          </w:r>
          <w:r>
            <w:rPr>
              <w:highlight w:val="none"/>
            </w:rPr>
            <w:tab/>
          </w:r>
          <w:r>
            <w:rPr>
              <w:highlight w:val="none"/>
            </w:rPr>
            <w:fldChar w:fldCharType="begin"/>
          </w:r>
          <w:r>
            <w:rPr>
              <w:highlight w:val="none"/>
            </w:rPr>
            <w:instrText xml:space="preserve"> PAGEREF _Toc8062 \h </w:instrText>
          </w:r>
          <w:r>
            <w:rPr>
              <w:highlight w:val="none"/>
            </w:rPr>
            <w:fldChar w:fldCharType="separate"/>
          </w:r>
          <w:r>
            <w:rPr>
              <w:highlight w:val="none"/>
            </w:rPr>
            <w:t>16</w:t>
          </w:r>
          <w:r>
            <w:rPr>
              <w:highlight w:val="none"/>
            </w:rPr>
            <w:fldChar w:fldCharType="end"/>
          </w:r>
          <w:r>
            <w:rPr>
              <w:highlight w:val="none"/>
            </w:rPr>
            <w:fldChar w:fldCharType="end"/>
          </w:r>
        </w:p>
        <w:p w14:paraId="14A697FC">
          <w:pPr>
            <w:pStyle w:val="9"/>
            <w:tabs>
              <w:tab w:val="right" w:leader="dot" w:pos="8306"/>
            </w:tabs>
            <w:rPr>
              <w:highlight w:val="none"/>
            </w:rPr>
          </w:pPr>
          <w:r>
            <w:rPr>
              <w:highlight w:val="none"/>
            </w:rPr>
            <w:fldChar w:fldCharType="begin"/>
          </w:r>
          <w:r>
            <w:rPr>
              <w:highlight w:val="none"/>
            </w:rPr>
            <w:instrText xml:space="preserve"> HYPERLINK \l "_Toc30788" </w:instrText>
          </w:r>
          <w:r>
            <w:rPr>
              <w:highlight w:val="none"/>
            </w:rPr>
            <w:fldChar w:fldCharType="separate"/>
          </w:r>
          <w:r>
            <w:rPr>
              <w:rFonts w:hint="eastAsia" w:ascii="宋体" w:eastAsia="宋体"/>
              <w:highlight w:val="none"/>
            </w:rPr>
            <w:t>第6.3条 乙方的权利</w:t>
          </w:r>
          <w:r>
            <w:rPr>
              <w:highlight w:val="none"/>
            </w:rPr>
            <w:tab/>
          </w:r>
          <w:r>
            <w:rPr>
              <w:highlight w:val="none"/>
            </w:rPr>
            <w:fldChar w:fldCharType="begin"/>
          </w:r>
          <w:r>
            <w:rPr>
              <w:highlight w:val="none"/>
            </w:rPr>
            <w:instrText xml:space="preserve"> PAGEREF _Toc30788 \h </w:instrText>
          </w:r>
          <w:r>
            <w:rPr>
              <w:highlight w:val="none"/>
            </w:rPr>
            <w:fldChar w:fldCharType="separate"/>
          </w:r>
          <w:r>
            <w:rPr>
              <w:highlight w:val="none"/>
            </w:rPr>
            <w:t>17</w:t>
          </w:r>
          <w:r>
            <w:rPr>
              <w:highlight w:val="none"/>
            </w:rPr>
            <w:fldChar w:fldCharType="end"/>
          </w:r>
          <w:r>
            <w:rPr>
              <w:highlight w:val="none"/>
            </w:rPr>
            <w:fldChar w:fldCharType="end"/>
          </w:r>
        </w:p>
        <w:p w14:paraId="56214E93">
          <w:pPr>
            <w:pStyle w:val="9"/>
            <w:tabs>
              <w:tab w:val="right" w:leader="dot" w:pos="8306"/>
            </w:tabs>
            <w:rPr>
              <w:highlight w:val="none"/>
            </w:rPr>
          </w:pPr>
          <w:r>
            <w:rPr>
              <w:highlight w:val="none"/>
            </w:rPr>
            <w:fldChar w:fldCharType="begin"/>
          </w:r>
          <w:r>
            <w:rPr>
              <w:highlight w:val="none"/>
            </w:rPr>
            <w:instrText xml:space="preserve"> HYPERLINK \l "_Toc22689" </w:instrText>
          </w:r>
          <w:r>
            <w:rPr>
              <w:highlight w:val="none"/>
            </w:rPr>
            <w:fldChar w:fldCharType="separate"/>
          </w:r>
          <w:r>
            <w:rPr>
              <w:rFonts w:hint="eastAsia" w:ascii="宋体" w:eastAsia="宋体"/>
              <w:highlight w:val="none"/>
            </w:rPr>
            <w:t>第6.4条 乙方义务</w:t>
          </w:r>
          <w:r>
            <w:rPr>
              <w:highlight w:val="none"/>
            </w:rPr>
            <w:tab/>
          </w:r>
          <w:r>
            <w:rPr>
              <w:highlight w:val="none"/>
            </w:rPr>
            <w:fldChar w:fldCharType="begin"/>
          </w:r>
          <w:r>
            <w:rPr>
              <w:highlight w:val="none"/>
            </w:rPr>
            <w:instrText xml:space="preserve"> PAGEREF _Toc22689 \h </w:instrText>
          </w:r>
          <w:r>
            <w:rPr>
              <w:highlight w:val="none"/>
            </w:rPr>
            <w:fldChar w:fldCharType="separate"/>
          </w:r>
          <w:r>
            <w:rPr>
              <w:highlight w:val="none"/>
            </w:rPr>
            <w:t>17</w:t>
          </w:r>
          <w:r>
            <w:rPr>
              <w:highlight w:val="none"/>
            </w:rPr>
            <w:fldChar w:fldCharType="end"/>
          </w:r>
          <w:r>
            <w:rPr>
              <w:highlight w:val="none"/>
            </w:rPr>
            <w:fldChar w:fldCharType="end"/>
          </w:r>
        </w:p>
        <w:p w14:paraId="56D047CD">
          <w:pPr>
            <w:pStyle w:val="9"/>
            <w:tabs>
              <w:tab w:val="right" w:leader="dot" w:pos="8306"/>
            </w:tabs>
            <w:rPr>
              <w:highlight w:val="none"/>
            </w:rPr>
          </w:pPr>
          <w:r>
            <w:rPr>
              <w:highlight w:val="none"/>
            </w:rPr>
            <w:fldChar w:fldCharType="begin"/>
          </w:r>
          <w:r>
            <w:rPr>
              <w:highlight w:val="none"/>
            </w:rPr>
            <w:instrText xml:space="preserve"> HYPERLINK \l "_Toc18220" </w:instrText>
          </w:r>
          <w:r>
            <w:rPr>
              <w:highlight w:val="none"/>
            </w:rPr>
            <w:fldChar w:fldCharType="separate"/>
          </w:r>
          <w:r>
            <w:rPr>
              <w:rFonts w:hint="eastAsia" w:ascii="宋体" w:eastAsia="宋体"/>
              <w:highlight w:val="none"/>
            </w:rPr>
            <w:t>第6.5条 合资公司权利</w:t>
          </w:r>
          <w:r>
            <w:rPr>
              <w:highlight w:val="none"/>
            </w:rPr>
            <w:tab/>
          </w:r>
          <w:r>
            <w:rPr>
              <w:highlight w:val="none"/>
            </w:rPr>
            <w:fldChar w:fldCharType="begin"/>
          </w:r>
          <w:r>
            <w:rPr>
              <w:highlight w:val="none"/>
            </w:rPr>
            <w:instrText xml:space="preserve"> PAGEREF _Toc18220 \h </w:instrText>
          </w:r>
          <w:r>
            <w:rPr>
              <w:highlight w:val="none"/>
            </w:rPr>
            <w:fldChar w:fldCharType="separate"/>
          </w:r>
          <w:r>
            <w:rPr>
              <w:highlight w:val="none"/>
            </w:rPr>
            <w:t>17</w:t>
          </w:r>
          <w:r>
            <w:rPr>
              <w:highlight w:val="none"/>
            </w:rPr>
            <w:fldChar w:fldCharType="end"/>
          </w:r>
          <w:r>
            <w:rPr>
              <w:highlight w:val="none"/>
            </w:rPr>
            <w:fldChar w:fldCharType="end"/>
          </w:r>
        </w:p>
        <w:p w14:paraId="0F5F5A9E">
          <w:pPr>
            <w:pStyle w:val="9"/>
            <w:tabs>
              <w:tab w:val="right" w:leader="dot" w:pos="8306"/>
            </w:tabs>
            <w:rPr>
              <w:highlight w:val="none"/>
            </w:rPr>
          </w:pPr>
          <w:r>
            <w:rPr>
              <w:highlight w:val="none"/>
            </w:rPr>
            <w:fldChar w:fldCharType="begin"/>
          </w:r>
          <w:r>
            <w:rPr>
              <w:highlight w:val="none"/>
            </w:rPr>
            <w:instrText xml:space="preserve"> HYPERLINK \l "_Toc7579" </w:instrText>
          </w:r>
          <w:r>
            <w:rPr>
              <w:highlight w:val="none"/>
            </w:rPr>
            <w:fldChar w:fldCharType="separate"/>
          </w:r>
          <w:r>
            <w:rPr>
              <w:rFonts w:hint="eastAsia" w:ascii="宋体" w:eastAsia="宋体"/>
              <w:highlight w:val="none"/>
            </w:rPr>
            <w:t>第6.6条 合资公司义务</w:t>
          </w:r>
          <w:r>
            <w:rPr>
              <w:highlight w:val="none"/>
            </w:rPr>
            <w:tab/>
          </w:r>
          <w:r>
            <w:rPr>
              <w:highlight w:val="none"/>
            </w:rPr>
            <w:fldChar w:fldCharType="begin"/>
          </w:r>
          <w:r>
            <w:rPr>
              <w:highlight w:val="none"/>
            </w:rPr>
            <w:instrText xml:space="preserve"> PAGEREF _Toc7579 \h </w:instrText>
          </w:r>
          <w:r>
            <w:rPr>
              <w:highlight w:val="none"/>
            </w:rPr>
            <w:fldChar w:fldCharType="separate"/>
          </w:r>
          <w:r>
            <w:rPr>
              <w:highlight w:val="none"/>
            </w:rPr>
            <w:t>17</w:t>
          </w:r>
          <w:r>
            <w:rPr>
              <w:highlight w:val="none"/>
            </w:rPr>
            <w:fldChar w:fldCharType="end"/>
          </w:r>
          <w:r>
            <w:rPr>
              <w:highlight w:val="none"/>
            </w:rPr>
            <w:fldChar w:fldCharType="end"/>
          </w:r>
        </w:p>
        <w:p w14:paraId="58241C64">
          <w:pPr>
            <w:pStyle w:val="9"/>
            <w:tabs>
              <w:tab w:val="right" w:leader="dot" w:pos="8306"/>
            </w:tabs>
            <w:rPr>
              <w:highlight w:val="none"/>
            </w:rPr>
          </w:pPr>
          <w:r>
            <w:rPr>
              <w:highlight w:val="none"/>
            </w:rPr>
            <w:fldChar w:fldCharType="begin"/>
          </w:r>
          <w:r>
            <w:rPr>
              <w:highlight w:val="none"/>
            </w:rPr>
            <w:instrText xml:space="preserve"> HYPERLINK \l "_Toc328" </w:instrText>
          </w:r>
          <w:r>
            <w:rPr>
              <w:highlight w:val="none"/>
            </w:rPr>
            <w:fldChar w:fldCharType="separate"/>
          </w:r>
          <w:r>
            <w:rPr>
              <w:rFonts w:hint="eastAsia" w:ascii="宋体" w:eastAsia="宋体"/>
              <w:highlight w:val="none"/>
            </w:rPr>
            <w:t>第6.7条 各方保密义务</w:t>
          </w:r>
          <w:r>
            <w:rPr>
              <w:highlight w:val="none"/>
            </w:rPr>
            <w:tab/>
          </w:r>
          <w:r>
            <w:rPr>
              <w:highlight w:val="none"/>
            </w:rPr>
            <w:fldChar w:fldCharType="begin"/>
          </w:r>
          <w:r>
            <w:rPr>
              <w:highlight w:val="none"/>
            </w:rPr>
            <w:instrText xml:space="preserve"> PAGEREF _Toc328 \h </w:instrText>
          </w:r>
          <w:r>
            <w:rPr>
              <w:highlight w:val="none"/>
            </w:rPr>
            <w:fldChar w:fldCharType="separate"/>
          </w:r>
          <w:r>
            <w:rPr>
              <w:highlight w:val="none"/>
            </w:rPr>
            <w:t>18</w:t>
          </w:r>
          <w:r>
            <w:rPr>
              <w:highlight w:val="none"/>
            </w:rPr>
            <w:fldChar w:fldCharType="end"/>
          </w:r>
          <w:r>
            <w:rPr>
              <w:highlight w:val="none"/>
            </w:rPr>
            <w:fldChar w:fldCharType="end"/>
          </w:r>
        </w:p>
        <w:p w14:paraId="7C61FC9E">
          <w:pPr>
            <w:pStyle w:val="9"/>
            <w:tabs>
              <w:tab w:val="right" w:leader="dot" w:pos="8306"/>
            </w:tabs>
            <w:rPr>
              <w:highlight w:val="none"/>
            </w:rPr>
          </w:pPr>
          <w:r>
            <w:rPr>
              <w:highlight w:val="none"/>
            </w:rPr>
            <w:fldChar w:fldCharType="begin"/>
          </w:r>
          <w:r>
            <w:rPr>
              <w:highlight w:val="none"/>
            </w:rPr>
            <w:instrText xml:space="preserve"> HYPERLINK \l "_Toc31167" </w:instrText>
          </w:r>
          <w:r>
            <w:rPr>
              <w:highlight w:val="none"/>
            </w:rPr>
            <w:fldChar w:fldCharType="separate"/>
          </w:r>
          <w:r>
            <w:rPr>
              <w:rFonts w:hint="eastAsia" w:ascii="宋体" w:eastAsia="宋体"/>
              <w:bCs/>
              <w:highlight w:val="none"/>
            </w:rPr>
            <w:t>第七章资金管理</w:t>
          </w:r>
          <w:r>
            <w:rPr>
              <w:highlight w:val="none"/>
            </w:rPr>
            <w:tab/>
          </w:r>
          <w:r>
            <w:rPr>
              <w:highlight w:val="none"/>
            </w:rPr>
            <w:fldChar w:fldCharType="begin"/>
          </w:r>
          <w:r>
            <w:rPr>
              <w:highlight w:val="none"/>
            </w:rPr>
            <w:instrText xml:space="preserve"> PAGEREF _Toc31167 \h </w:instrText>
          </w:r>
          <w:r>
            <w:rPr>
              <w:highlight w:val="none"/>
            </w:rPr>
            <w:fldChar w:fldCharType="separate"/>
          </w:r>
          <w:r>
            <w:rPr>
              <w:highlight w:val="none"/>
            </w:rPr>
            <w:t>18</w:t>
          </w:r>
          <w:r>
            <w:rPr>
              <w:highlight w:val="none"/>
            </w:rPr>
            <w:fldChar w:fldCharType="end"/>
          </w:r>
          <w:r>
            <w:rPr>
              <w:highlight w:val="none"/>
            </w:rPr>
            <w:fldChar w:fldCharType="end"/>
          </w:r>
        </w:p>
        <w:p w14:paraId="562546DD">
          <w:pPr>
            <w:pStyle w:val="9"/>
            <w:tabs>
              <w:tab w:val="right" w:leader="dot" w:pos="8306"/>
            </w:tabs>
            <w:rPr>
              <w:highlight w:val="none"/>
            </w:rPr>
          </w:pPr>
          <w:r>
            <w:rPr>
              <w:highlight w:val="none"/>
            </w:rPr>
            <w:fldChar w:fldCharType="begin"/>
          </w:r>
          <w:r>
            <w:rPr>
              <w:highlight w:val="none"/>
            </w:rPr>
            <w:instrText xml:space="preserve"> HYPERLINK \l "_Toc23697" </w:instrText>
          </w:r>
          <w:r>
            <w:rPr>
              <w:highlight w:val="none"/>
            </w:rPr>
            <w:fldChar w:fldCharType="separate"/>
          </w:r>
          <w:r>
            <w:rPr>
              <w:rFonts w:hint="eastAsia" w:ascii="宋体" w:eastAsia="宋体"/>
              <w:highlight w:val="none"/>
            </w:rPr>
            <w:t>第7.</w:t>
          </w:r>
          <w:r>
            <w:rPr>
              <w:rFonts w:ascii="宋体" w:eastAsia="宋体"/>
              <w:highlight w:val="none"/>
            </w:rPr>
            <w:t>1</w:t>
          </w:r>
          <w:r>
            <w:rPr>
              <w:rFonts w:hint="eastAsia" w:ascii="宋体" w:eastAsia="宋体"/>
              <w:highlight w:val="none"/>
            </w:rPr>
            <w:t>条项目总投资</w:t>
          </w:r>
          <w:r>
            <w:rPr>
              <w:highlight w:val="none"/>
            </w:rPr>
            <w:tab/>
          </w:r>
          <w:r>
            <w:rPr>
              <w:highlight w:val="none"/>
            </w:rPr>
            <w:fldChar w:fldCharType="begin"/>
          </w:r>
          <w:r>
            <w:rPr>
              <w:highlight w:val="none"/>
            </w:rPr>
            <w:instrText xml:space="preserve"> PAGEREF _Toc23697 \h </w:instrText>
          </w:r>
          <w:r>
            <w:rPr>
              <w:highlight w:val="none"/>
            </w:rPr>
            <w:fldChar w:fldCharType="separate"/>
          </w:r>
          <w:r>
            <w:rPr>
              <w:highlight w:val="none"/>
            </w:rPr>
            <w:t>18</w:t>
          </w:r>
          <w:r>
            <w:rPr>
              <w:highlight w:val="none"/>
            </w:rPr>
            <w:fldChar w:fldCharType="end"/>
          </w:r>
          <w:r>
            <w:rPr>
              <w:highlight w:val="none"/>
            </w:rPr>
            <w:fldChar w:fldCharType="end"/>
          </w:r>
        </w:p>
        <w:p w14:paraId="6F1C63B9">
          <w:pPr>
            <w:pStyle w:val="9"/>
            <w:tabs>
              <w:tab w:val="right" w:leader="dot" w:pos="8306"/>
            </w:tabs>
            <w:rPr>
              <w:highlight w:val="none"/>
            </w:rPr>
          </w:pPr>
          <w:r>
            <w:rPr>
              <w:highlight w:val="none"/>
            </w:rPr>
            <w:fldChar w:fldCharType="begin"/>
          </w:r>
          <w:r>
            <w:rPr>
              <w:highlight w:val="none"/>
            </w:rPr>
            <w:instrText xml:space="preserve"> HYPERLINK \l "_Toc27496" </w:instrText>
          </w:r>
          <w:r>
            <w:rPr>
              <w:highlight w:val="none"/>
            </w:rPr>
            <w:fldChar w:fldCharType="separate"/>
          </w:r>
          <w:r>
            <w:rPr>
              <w:rFonts w:hint="eastAsia" w:ascii="宋体" w:eastAsia="宋体"/>
              <w:highlight w:val="none"/>
            </w:rPr>
            <w:t>第7.2条费用支付</w:t>
          </w:r>
          <w:r>
            <w:rPr>
              <w:highlight w:val="none"/>
            </w:rPr>
            <w:tab/>
          </w:r>
          <w:r>
            <w:rPr>
              <w:highlight w:val="none"/>
            </w:rPr>
            <w:fldChar w:fldCharType="begin"/>
          </w:r>
          <w:r>
            <w:rPr>
              <w:highlight w:val="none"/>
            </w:rPr>
            <w:instrText xml:space="preserve"> PAGEREF _Toc27496 \h </w:instrText>
          </w:r>
          <w:r>
            <w:rPr>
              <w:highlight w:val="none"/>
            </w:rPr>
            <w:fldChar w:fldCharType="separate"/>
          </w:r>
          <w:r>
            <w:rPr>
              <w:highlight w:val="none"/>
            </w:rPr>
            <w:t>18</w:t>
          </w:r>
          <w:r>
            <w:rPr>
              <w:highlight w:val="none"/>
            </w:rPr>
            <w:fldChar w:fldCharType="end"/>
          </w:r>
          <w:r>
            <w:rPr>
              <w:highlight w:val="none"/>
            </w:rPr>
            <w:fldChar w:fldCharType="end"/>
          </w:r>
        </w:p>
        <w:p w14:paraId="2F2AAF70">
          <w:pPr>
            <w:pStyle w:val="9"/>
            <w:tabs>
              <w:tab w:val="right" w:leader="dot" w:pos="8306"/>
            </w:tabs>
            <w:rPr>
              <w:highlight w:val="none"/>
            </w:rPr>
          </w:pPr>
          <w:r>
            <w:rPr>
              <w:highlight w:val="none"/>
            </w:rPr>
            <w:fldChar w:fldCharType="begin"/>
          </w:r>
          <w:r>
            <w:rPr>
              <w:highlight w:val="none"/>
            </w:rPr>
            <w:instrText xml:space="preserve"> HYPERLINK \l "_Toc1323" </w:instrText>
          </w:r>
          <w:r>
            <w:rPr>
              <w:highlight w:val="none"/>
            </w:rPr>
            <w:fldChar w:fldCharType="separate"/>
          </w:r>
          <w:r>
            <w:rPr>
              <w:rFonts w:hint="eastAsia" w:ascii="宋体" w:eastAsia="宋体"/>
              <w:highlight w:val="none"/>
            </w:rPr>
            <w:t>第7.3条建设资金来源。</w:t>
          </w:r>
          <w:r>
            <w:rPr>
              <w:highlight w:val="none"/>
            </w:rPr>
            <w:tab/>
          </w:r>
          <w:r>
            <w:rPr>
              <w:highlight w:val="none"/>
            </w:rPr>
            <w:fldChar w:fldCharType="begin"/>
          </w:r>
          <w:r>
            <w:rPr>
              <w:highlight w:val="none"/>
            </w:rPr>
            <w:instrText xml:space="preserve"> PAGEREF _Toc1323 \h </w:instrText>
          </w:r>
          <w:r>
            <w:rPr>
              <w:highlight w:val="none"/>
            </w:rPr>
            <w:fldChar w:fldCharType="separate"/>
          </w:r>
          <w:r>
            <w:rPr>
              <w:highlight w:val="none"/>
            </w:rPr>
            <w:t>18</w:t>
          </w:r>
          <w:r>
            <w:rPr>
              <w:highlight w:val="none"/>
            </w:rPr>
            <w:fldChar w:fldCharType="end"/>
          </w:r>
          <w:r>
            <w:rPr>
              <w:highlight w:val="none"/>
            </w:rPr>
            <w:fldChar w:fldCharType="end"/>
          </w:r>
        </w:p>
        <w:p w14:paraId="13991FA7">
          <w:pPr>
            <w:pStyle w:val="9"/>
            <w:tabs>
              <w:tab w:val="right" w:leader="dot" w:pos="8306"/>
            </w:tabs>
            <w:rPr>
              <w:highlight w:val="none"/>
            </w:rPr>
          </w:pPr>
          <w:r>
            <w:rPr>
              <w:highlight w:val="none"/>
            </w:rPr>
            <w:fldChar w:fldCharType="begin"/>
          </w:r>
          <w:r>
            <w:rPr>
              <w:highlight w:val="none"/>
            </w:rPr>
            <w:instrText xml:space="preserve"> HYPERLINK \l "_Toc24700" </w:instrText>
          </w:r>
          <w:r>
            <w:rPr>
              <w:highlight w:val="none"/>
            </w:rPr>
            <w:fldChar w:fldCharType="separate"/>
          </w:r>
          <w:r>
            <w:rPr>
              <w:rFonts w:hint="eastAsia" w:ascii="宋体" w:eastAsia="宋体"/>
              <w:highlight w:val="none"/>
            </w:rPr>
            <w:t>第7.4条资金使用</w:t>
          </w:r>
          <w:r>
            <w:rPr>
              <w:highlight w:val="none"/>
            </w:rPr>
            <w:tab/>
          </w:r>
          <w:r>
            <w:rPr>
              <w:highlight w:val="none"/>
            </w:rPr>
            <w:fldChar w:fldCharType="begin"/>
          </w:r>
          <w:r>
            <w:rPr>
              <w:highlight w:val="none"/>
            </w:rPr>
            <w:instrText xml:space="preserve"> PAGEREF _Toc24700 \h </w:instrText>
          </w:r>
          <w:r>
            <w:rPr>
              <w:highlight w:val="none"/>
            </w:rPr>
            <w:fldChar w:fldCharType="separate"/>
          </w:r>
          <w:r>
            <w:rPr>
              <w:highlight w:val="none"/>
            </w:rPr>
            <w:t>18</w:t>
          </w:r>
          <w:r>
            <w:rPr>
              <w:highlight w:val="none"/>
            </w:rPr>
            <w:fldChar w:fldCharType="end"/>
          </w:r>
          <w:r>
            <w:rPr>
              <w:highlight w:val="none"/>
            </w:rPr>
            <w:fldChar w:fldCharType="end"/>
          </w:r>
        </w:p>
        <w:p w14:paraId="745FF37A">
          <w:pPr>
            <w:pStyle w:val="9"/>
            <w:tabs>
              <w:tab w:val="right" w:leader="dot" w:pos="8306"/>
            </w:tabs>
            <w:rPr>
              <w:highlight w:val="none"/>
            </w:rPr>
          </w:pPr>
          <w:r>
            <w:rPr>
              <w:highlight w:val="none"/>
            </w:rPr>
            <w:fldChar w:fldCharType="begin"/>
          </w:r>
          <w:r>
            <w:rPr>
              <w:highlight w:val="none"/>
            </w:rPr>
            <w:instrText xml:space="preserve"> HYPERLINK \l "_Toc8816" </w:instrText>
          </w:r>
          <w:r>
            <w:rPr>
              <w:highlight w:val="none"/>
            </w:rPr>
            <w:fldChar w:fldCharType="separate"/>
          </w:r>
          <w:r>
            <w:rPr>
              <w:rFonts w:hint="eastAsia" w:ascii="宋体" w:eastAsia="宋体"/>
              <w:bCs/>
              <w:highlight w:val="none"/>
            </w:rPr>
            <w:t>第八章违约和赔偿</w:t>
          </w:r>
          <w:r>
            <w:rPr>
              <w:highlight w:val="none"/>
            </w:rPr>
            <w:tab/>
          </w:r>
          <w:r>
            <w:rPr>
              <w:highlight w:val="none"/>
            </w:rPr>
            <w:fldChar w:fldCharType="begin"/>
          </w:r>
          <w:r>
            <w:rPr>
              <w:highlight w:val="none"/>
            </w:rPr>
            <w:instrText xml:space="preserve"> PAGEREF _Toc8816 \h </w:instrText>
          </w:r>
          <w:r>
            <w:rPr>
              <w:highlight w:val="none"/>
            </w:rPr>
            <w:fldChar w:fldCharType="separate"/>
          </w:r>
          <w:r>
            <w:rPr>
              <w:highlight w:val="none"/>
            </w:rPr>
            <w:t>19</w:t>
          </w:r>
          <w:r>
            <w:rPr>
              <w:highlight w:val="none"/>
            </w:rPr>
            <w:fldChar w:fldCharType="end"/>
          </w:r>
          <w:r>
            <w:rPr>
              <w:highlight w:val="none"/>
            </w:rPr>
            <w:fldChar w:fldCharType="end"/>
          </w:r>
        </w:p>
        <w:p w14:paraId="200C76CC">
          <w:pPr>
            <w:pStyle w:val="9"/>
            <w:tabs>
              <w:tab w:val="right" w:leader="dot" w:pos="8306"/>
            </w:tabs>
            <w:rPr>
              <w:highlight w:val="none"/>
            </w:rPr>
          </w:pPr>
          <w:r>
            <w:rPr>
              <w:highlight w:val="none"/>
            </w:rPr>
            <w:fldChar w:fldCharType="begin"/>
          </w:r>
          <w:r>
            <w:rPr>
              <w:highlight w:val="none"/>
            </w:rPr>
            <w:instrText xml:space="preserve"> HYPERLINK \l "_Toc14280" </w:instrText>
          </w:r>
          <w:r>
            <w:rPr>
              <w:highlight w:val="none"/>
            </w:rPr>
            <w:fldChar w:fldCharType="separate"/>
          </w:r>
          <w:r>
            <w:rPr>
              <w:rFonts w:hint="eastAsia" w:ascii="宋体" w:eastAsia="宋体"/>
              <w:highlight w:val="none"/>
            </w:rPr>
            <w:t>第8.1条违约与解除</w:t>
          </w:r>
          <w:r>
            <w:rPr>
              <w:highlight w:val="none"/>
            </w:rPr>
            <w:tab/>
          </w:r>
          <w:r>
            <w:rPr>
              <w:highlight w:val="none"/>
            </w:rPr>
            <w:fldChar w:fldCharType="begin"/>
          </w:r>
          <w:r>
            <w:rPr>
              <w:highlight w:val="none"/>
            </w:rPr>
            <w:instrText xml:space="preserve"> PAGEREF _Toc14280 \h </w:instrText>
          </w:r>
          <w:r>
            <w:rPr>
              <w:highlight w:val="none"/>
            </w:rPr>
            <w:fldChar w:fldCharType="separate"/>
          </w:r>
          <w:r>
            <w:rPr>
              <w:highlight w:val="none"/>
            </w:rPr>
            <w:t>19</w:t>
          </w:r>
          <w:r>
            <w:rPr>
              <w:highlight w:val="none"/>
            </w:rPr>
            <w:fldChar w:fldCharType="end"/>
          </w:r>
          <w:r>
            <w:rPr>
              <w:highlight w:val="none"/>
            </w:rPr>
            <w:fldChar w:fldCharType="end"/>
          </w:r>
        </w:p>
        <w:p w14:paraId="1936441B">
          <w:pPr>
            <w:pStyle w:val="9"/>
            <w:tabs>
              <w:tab w:val="right" w:leader="dot" w:pos="8306"/>
            </w:tabs>
            <w:rPr>
              <w:highlight w:val="none"/>
            </w:rPr>
          </w:pPr>
          <w:r>
            <w:rPr>
              <w:highlight w:val="none"/>
            </w:rPr>
            <w:fldChar w:fldCharType="begin"/>
          </w:r>
          <w:r>
            <w:rPr>
              <w:highlight w:val="none"/>
            </w:rPr>
            <w:instrText xml:space="preserve"> HYPERLINK \l "_Toc8529" </w:instrText>
          </w:r>
          <w:r>
            <w:rPr>
              <w:highlight w:val="none"/>
            </w:rPr>
            <w:fldChar w:fldCharType="separate"/>
          </w:r>
          <w:r>
            <w:rPr>
              <w:rFonts w:hint="eastAsia" w:ascii="宋体" w:eastAsia="宋体"/>
              <w:highlight w:val="none"/>
            </w:rPr>
            <w:t>第8.2条赔偿责任</w:t>
          </w:r>
          <w:r>
            <w:rPr>
              <w:highlight w:val="none"/>
            </w:rPr>
            <w:tab/>
          </w:r>
          <w:r>
            <w:rPr>
              <w:highlight w:val="none"/>
            </w:rPr>
            <w:fldChar w:fldCharType="begin"/>
          </w:r>
          <w:r>
            <w:rPr>
              <w:highlight w:val="none"/>
            </w:rPr>
            <w:instrText xml:space="preserve"> PAGEREF _Toc8529 \h </w:instrText>
          </w:r>
          <w:r>
            <w:rPr>
              <w:highlight w:val="none"/>
            </w:rPr>
            <w:fldChar w:fldCharType="separate"/>
          </w:r>
          <w:r>
            <w:rPr>
              <w:highlight w:val="none"/>
            </w:rPr>
            <w:t>19</w:t>
          </w:r>
          <w:r>
            <w:rPr>
              <w:highlight w:val="none"/>
            </w:rPr>
            <w:fldChar w:fldCharType="end"/>
          </w:r>
          <w:r>
            <w:rPr>
              <w:highlight w:val="none"/>
            </w:rPr>
            <w:fldChar w:fldCharType="end"/>
          </w:r>
        </w:p>
        <w:p w14:paraId="51DF8B09">
          <w:pPr>
            <w:pStyle w:val="9"/>
            <w:tabs>
              <w:tab w:val="right" w:leader="dot" w:pos="8306"/>
            </w:tabs>
            <w:rPr>
              <w:highlight w:val="none"/>
            </w:rPr>
          </w:pPr>
          <w:r>
            <w:rPr>
              <w:highlight w:val="none"/>
            </w:rPr>
            <w:fldChar w:fldCharType="begin"/>
          </w:r>
          <w:r>
            <w:rPr>
              <w:highlight w:val="none"/>
            </w:rPr>
            <w:instrText xml:space="preserve"> HYPERLINK \l "_Toc30325" </w:instrText>
          </w:r>
          <w:r>
            <w:rPr>
              <w:highlight w:val="none"/>
            </w:rPr>
            <w:fldChar w:fldCharType="separate"/>
          </w:r>
          <w:r>
            <w:rPr>
              <w:rFonts w:hint="eastAsia" w:ascii="宋体" w:eastAsia="宋体"/>
              <w:highlight w:val="none"/>
            </w:rPr>
            <w:t>第8.3条逾期出资的法律救济</w:t>
          </w:r>
          <w:r>
            <w:rPr>
              <w:highlight w:val="none"/>
            </w:rPr>
            <w:tab/>
          </w:r>
          <w:r>
            <w:rPr>
              <w:highlight w:val="none"/>
            </w:rPr>
            <w:fldChar w:fldCharType="begin"/>
          </w:r>
          <w:r>
            <w:rPr>
              <w:highlight w:val="none"/>
            </w:rPr>
            <w:instrText xml:space="preserve"> PAGEREF _Toc30325 \h </w:instrText>
          </w:r>
          <w:r>
            <w:rPr>
              <w:highlight w:val="none"/>
            </w:rPr>
            <w:fldChar w:fldCharType="separate"/>
          </w:r>
          <w:r>
            <w:rPr>
              <w:highlight w:val="none"/>
            </w:rPr>
            <w:t>19</w:t>
          </w:r>
          <w:r>
            <w:rPr>
              <w:highlight w:val="none"/>
            </w:rPr>
            <w:fldChar w:fldCharType="end"/>
          </w:r>
          <w:r>
            <w:rPr>
              <w:highlight w:val="none"/>
            </w:rPr>
            <w:fldChar w:fldCharType="end"/>
          </w:r>
        </w:p>
        <w:p w14:paraId="07E5C033">
          <w:pPr>
            <w:pStyle w:val="9"/>
            <w:tabs>
              <w:tab w:val="right" w:leader="dot" w:pos="8306"/>
            </w:tabs>
            <w:rPr>
              <w:highlight w:val="none"/>
            </w:rPr>
          </w:pPr>
          <w:r>
            <w:rPr>
              <w:highlight w:val="none"/>
            </w:rPr>
            <w:fldChar w:fldCharType="begin"/>
          </w:r>
          <w:r>
            <w:rPr>
              <w:highlight w:val="none"/>
            </w:rPr>
            <w:instrText xml:space="preserve"> HYPERLINK \l "_Toc22146" </w:instrText>
          </w:r>
          <w:r>
            <w:rPr>
              <w:highlight w:val="none"/>
            </w:rPr>
            <w:fldChar w:fldCharType="separate"/>
          </w:r>
          <w:r>
            <w:rPr>
              <w:rFonts w:hint="eastAsia" w:ascii="宋体" w:eastAsia="宋体"/>
              <w:highlight w:val="none"/>
            </w:rPr>
            <w:t>第8.4条其他法律救济</w:t>
          </w:r>
          <w:r>
            <w:rPr>
              <w:highlight w:val="none"/>
            </w:rPr>
            <w:tab/>
          </w:r>
          <w:r>
            <w:rPr>
              <w:highlight w:val="none"/>
            </w:rPr>
            <w:fldChar w:fldCharType="begin"/>
          </w:r>
          <w:r>
            <w:rPr>
              <w:highlight w:val="none"/>
            </w:rPr>
            <w:instrText xml:space="preserve"> PAGEREF _Toc22146 \h </w:instrText>
          </w:r>
          <w:r>
            <w:rPr>
              <w:highlight w:val="none"/>
            </w:rPr>
            <w:fldChar w:fldCharType="separate"/>
          </w:r>
          <w:r>
            <w:rPr>
              <w:highlight w:val="none"/>
            </w:rPr>
            <w:t>19</w:t>
          </w:r>
          <w:r>
            <w:rPr>
              <w:highlight w:val="none"/>
            </w:rPr>
            <w:fldChar w:fldCharType="end"/>
          </w:r>
          <w:r>
            <w:rPr>
              <w:highlight w:val="none"/>
            </w:rPr>
            <w:fldChar w:fldCharType="end"/>
          </w:r>
        </w:p>
        <w:p w14:paraId="140B1589">
          <w:pPr>
            <w:pStyle w:val="9"/>
            <w:tabs>
              <w:tab w:val="right" w:leader="dot" w:pos="8306"/>
            </w:tabs>
            <w:rPr>
              <w:highlight w:val="none"/>
            </w:rPr>
          </w:pPr>
          <w:r>
            <w:rPr>
              <w:highlight w:val="none"/>
            </w:rPr>
            <w:fldChar w:fldCharType="begin"/>
          </w:r>
          <w:r>
            <w:rPr>
              <w:highlight w:val="none"/>
            </w:rPr>
            <w:instrText xml:space="preserve"> HYPERLINK \l "_Toc6628" </w:instrText>
          </w:r>
          <w:r>
            <w:rPr>
              <w:highlight w:val="none"/>
            </w:rPr>
            <w:fldChar w:fldCharType="separate"/>
          </w:r>
          <w:r>
            <w:rPr>
              <w:rFonts w:hint="eastAsia" w:ascii="宋体" w:eastAsia="宋体"/>
              <w:bCs/>
              <w:highlight w:val="none"/>
            </w:rPr>
            <w:t>第九章解除</w:t>
          </w:r>
          <w:r>
            <w:rPr>
              <w:highlight w:val="none"/>
            </w:rPr>
            <w:tab/>
          </w:r>
          <w:r>
            <w:rPr>
              <w:highlight w:val="none"/>
            </w:rPr>
            <w:fldChar w:fldCharType="begin"/>
          </w:r>
          <w:r>
            <w:rPr>
              <w:highlight w:val="none"/>
            </w:rPr>
            <w:instrText xml:space="preserve"> PAGEREF _Toc6628 \h </w:instrText>
          </w:r>
          <w:r>
            <w:rPr>
              <w:highlight w:val="none"/>
            </w:rPr>
            <w:fldChar w:fldCharType="separate"/>
          </w:r>
          <w:r>
            <w:rPr>
              <w:highlight w:val="none"/>
            </w:rPr>
            <w:t>20</w:t>
          </w:r>
          <w:r>
            <w:rPr>
              <w:highlight w:val="none"/>
            </w:rPr>
            <w:fldChar w:fldCharType="end"/>
          </w:r>
          <w:r>
            <w:rPr>
              <w:highlight w:val="none"/>
            </w:rPr>
            <w:fldChar w:fldCharType="end"/>
          </w:r>
        </w:p>
        <w:p w14:paraId="0845D44E">
          <w:pPr>
            <w:pStyle w:val="9"/>
            <w:tabs>
              <w:tab w:val="right" w:leader="dot" w:pos="8306"/>
            </w:tabs>
            <w:rPr>
              <w:highlight w:val="none"/>
            </w:rPr>
          </w:pPr>
          <w:r>
            <w:rPr>
              <w:highlight w:val="none"/>
            </w:rPr>
            <w:fldChar w:fldCharType="begin"/>
          </w:r>
          <w:r>
            <w:rPr>
              <w:highlight w:val="none"/>
            </w:rPr>
            <w:instrText xml:space="preserve"> HYPERLINK \l "_Toc24403" </w:instrText>
          </w:r>
          <w:r>
            <w:rPr>
              <w:highlight w:val="none"/>
            </w:rPr>
            <w:fldChar w:fldCharType="separate"/>
          </w:r>
          <w:r>
            <w:rPr>
              <w:rFonts w:hint="eastAsia" w:ascii="宋体" w:eastAsia="宋体"/>
              <w:highlight w:val="none"/>
            </w:rPr>
            <w:t>第9.1条解除事件</w:t>
          </w:r>
          <w:r>
            <w:rPr>
              <w:highlight w:val="none"/>
            </w:rPr>
            <w:tab/>
          </w:r>
          <w:r>
            <w:rPr>
              <w:highlight w:val="none"/>
            </w:rPr>
            <w:fldChar w:fldCharType="begin"/>
          </w:r>
          <w:r>
            <w:rPr>
              <w:highlight w:val="none"/>
            </w:rPr>
            <w:instrText xml:space="preserve"> PAGEREF _Toc24403 \h </w:instrText>
          </w:r>
          <w:r>
            <w:rPr>
              <w:highlight w:val="none"/>
            </w:rPr>
            <w:fldChar w:fldCharType="separate"/>
          </w:r>
          <w:r>
            <w:rPr>
              <w:highlight w:val="none"/>
            </w:rPr>
            <w:t>20</w:t>
          </w:r>
          <w:r>
            <w:rPr>
              <w:highlight w:val="none"/>
            </w:rPr>
            <w:fldChar w:fldCharType="end"/>
          </w:r>
          <w:r>
            <w:rPr>
              <w:highlight w:val="none"/>
            </w:rPr>
            <w:fldChar w:fldCharType="end"/>
          </w:r>
        </w:p>
        <w:p w14:paraId="79EE7C44">
          <w:pPr>
            <w:pStyle w:val="9"/>
            <w:tabs>
              <w:tab w:val="right" w:leader="dot" w:pos="8306"/>
            </w:tabs>
            <w:rPr>
              <w:highlight w:val="none"/>
            </w:rPr>
          </w:pPr>
          <w:r>
            <w:rPr>
              <w:highlight w:val="none"/>
            </w:rPr>
            <w:fldChar w:fldCharType="begin"/>
          </w:r>
          <w:r>
            <w:rPr>
              <w:highlight w:val="none"/>
            </w:rPr>
            <w:instrText xml:space="preserve"> HYPERLINK \l "_Toc29110" </w:instrText>
          </w:r>
          <w:r>
            <w:rPr>
              <w:highlight w:val="none"/>
            </w:rPr>
            <w:fldChar w:fldCharType="separate"/>
          </w:r>
          <w:r>
            <w:rPr>
              <w:rFonts w:hint="eastAsia" w:ascii="宋体" w:eastAsia="宋体"/>
              <w:highlight w:val="none"/>
            </w:rPr>
            <w:t>第9.2条解除的效力</w:t>
          </w:r>
          <w:r>
            <w:rPr>
              <w:highlight w:val="none"/>
            </w:rPr>
            <w:tab/>
          </w:r>
          <w:r>
            <w:rPr>
              <w:highlight w:val="none"/>
            </w:rPr>
            <w:fldChar w:fldCharType="begin"/>
          </w:r>
          <w:r>
            <w:rPr>
              <w:highlight w:val="none"/>
            </w:rPr>
            <w:instrText xml:space="preserve"> PAGEREF _Toc29110 \h </w:instrText>
          </w:r>
          <w:r>
            <w:rPr>
              <w:highlight w:val="none"/>
            </w:rPr>
            <w:fldChar w:fldCharType="separate"/>
          </w:r>
          <w:r>
            <w:rPr>
              <w:highlight w:val="none"/>
            </w:rPr>
            <w:t>20</w:t>
          </w:r>
          <w:r>
            <w:rPr>
              <w:highlight w:val="none"/>
            </w:rPr>
            <w:fldChar w:fldCharType="end"/>
          </w:r>
          <w:r>
            <w:rPr>
              <w:highlight w:val="none"/>
            </w:rPr>
            <w:fldChar w:fldCharType="end"/>
          </w:r>
        </w:p>
        <w:p w14:paraId="4D2224EE">
          <w:pPr>
            <w:pStyle w:val="9"/>
            <w:tabs>
              <w:tab w:val="right" w:leader="dot" w:pos="8306"/>
            </w:tabs>
            <w:rPr>
              <w:highlight w:val="none"/>
            </w:rPr>
          </w:pPr>
          <w:r>
            <w:rPr>
              <w:highlight w:val="none"/>
            </w:rPr>
            <w:fldChar w:fldCharType="begin"/>
          </w:r>
          <w:r>
            <w:rPr>
              <w:highlight w:val="none"/>
            </w:rPr>
            <w:instrText xml:space="preserve"> HYPERLINK \l "_Toc7727" </w:instrText>
          </w:r>
          <w:r>
            <w:rPr>
              <w:highlight w:val="none"/>
            </w:rPr>
            <w:fldChar w:fldCharType="separate"/>
          </w:r>
          <w:r>
            <w:rPr>
              <w:rFonts w:hint="eastAsia" w:ascii="宋体" w:eastAsia="宋体"/>
              <w:bCs/>
              <w:highlight w:val="none"/>
            </w:rPr>
            <w:t>第十章退出机制</w:t>
          </w:r>
          <w:r>
            <w:rPr>
              <w:highlight w:val="none"/>
            </w:rPr>
            <w:tab/>
          </w:r>
          <w:r>
            <w:rPr>
              <w:highlight w:val="none"/>
            </w:rPr>
            <w:fldChar w:fldCharType="begin"/>
          </w:r>
          <w:r>
            <w:rPr>
              <w:highlight w:val="none"/>
            </w:rPr>
            <w:instrText xml:space="preserve"> PAGEREF _Toc7727 \h </w:instrText>
          </w:r>
          <w:r>
            <w:rPr>
              <w:highlight w:val="none"/>
            </w:rPr>
            <w:fldChar w:fldCharType="separate"/>
          </w:r>
          <w:r>
            <w:rPr>
              <w:highlight w:val="none"/>
            </w:rPr>
            <w:t>20</w:t>
          </w:r>
          <w:r>
            <w:rPr>
              <w:highlight w:val="none"/>
            </w:rPr>
            <w:fldChar w:fldCharType="end"/>
          </w:r>
          <w:r>
            <w:rPr>
              <w:highlight w:val="none"/>
            </w:rPr>
            <w:fldChar w:fldCharType="end"/>
          </w:r>
        </w:p>
        <w:p w14:paraId="31EF8B6A">
          <w:pPr>
            <w:pStyle w:val="9"/>
            <w:tabs>
              <w:tab w:val="right" w:leader="dot" w:pos="8306"/>
            </w:tabs>
            <w:rPr>
              <w:highlight w:val="none"/>
            </w:rPr>
          </w:pPr>
          <w:r>
            <w:rPr>
              <w:highlight w:val="none"/>
            </w:rPr>
            <w:fldChar w:fldCharType="begin"/>
          </w:r>
          <w:r>
            <w:rPr>
              <w:highlight w:val="none"/>
            </w:rPr>
            <w:instrText xml:space="preserve"> HYPERLINK \l "_Toc2764" </w:instrText>
          </w:r>
          <w:r>
            <w:rPr>
              <w:highlight w:val="none"/>
            </w:rPr>
            <w:fldChar w:fldCharType="separate"/>
          </w:r>
          <w:r>
            <w:rPr>
              <w:rFonts w:hint="eastAsia" w:ascii="宋体" w:eastAsia="宋体"/>
              <w:highlight w:val="none"/>
            </w:rPr>
            <w:t>第10.1条退出条件</w:t>
          </w:r>
          <w:r>
            <w:rPr>
              <w:highlight w:val="none"/>
            </w:rPr>
            <w:tab/>
          </w:r>
          <w:r>
            <w:rPr>
              <w:highlight w:val="none"/>
            </w:rPr>
            <w:fldChar w:fldCharType="begin"/>
          </w:r>
          <w:r>
            <w:rPr>
              <w:highlight w:val="none"/>
            </w:rPr>
            <w:instrText xml:space="preserve"> PAGEREF _Toc2764 \h </w:instrText>
          </w:r>
          <w:r>
            <w:rPr>
              <w:highlight w:val="none"/>
            </w:rPr>
            <w:fldChar w:fldCharType="separate"/>
          </w:r>
          <w:r>
            <w:rPr>
              <w:highlight w:val="none"/>
            </w:rPr>
            <w:t>20</w:t>
          </w:r>
          <w:r>
            <w:rPr>
              <w:highlight w:val="none"/>
            </w:rPr>
            <w:fldChar w:fldCharType="end"/>
          </w:r>
          <w:r>
            <w:rPr>
              <w:highlight w:val="none"/>
            </w:rPr>
            <w:fldChar w:fldCharType="end"/>
          </w:r>
        </w:p>
        <w:p w14:paraId="4DC429E3">
          <w:pPr>
            <w:pStyle w:val="9"/>
            <w:tabs>
              <w:tab w:val="right" w:leader="dot" w:pos="8306"/>
            </w:tabs>
            <w:rPr>
              <w:highlight w:val="none"/>
            </w:rPr>
          </w:pPr>
          <w:r>
            <w:rPr>
              <w:highlight w:val="none"/>
            </w:rPr>
            <w:fldChar w:fldCharType="begin"/>
          </w:r>
          <w:r>
            <w:rPr>
              <w:highlight w:val="none"/>
            </w:rPr>
            <w:instrText xml:space="preserve"> HYPERLINK \l "_Toc22538" </w:instrText>
          </w:r>
          <w:r>
            <w:rPr>
              <w:highlight w:val="none"/>
            </w:rPr>
            <w:fldChar w:fldCharType="separate"/>
          </w:r>
          <w:r>
            <w:rPr>
              <w:rFonts w:hint="eastAsia" w:ascii="宋体" w:eastAsia="宋体"/>
              <w:highlight w:val="none"/>
            </w:rPr>
            <w:t>第10.2条退出安排</w:t>
          </w:r>
          <w:r>
            <w:rPr>
              <w:highlight w:val="none"/>
            </w:rPr>
            <w:tab/>
          </w:r>
          <w:r>
            <w:rPr>
              <w:highlight w:val="none"/>
            </w:rPr>
            <w:fldChar w:fldCharType="begin"/>
          </w:r>
          <w:r>
            <w:rPr>
              <w:highlight w:val="none"/>
            </w:rPr>
            <w:instrText xml:space="preserve"> PAGEREF _Toc22538 \h </w:instrText>
          </w:r>
          <w:r>
            <w:rPr>
              <w:highlight w:val="none"/>
            </w:rPr>
            <w:fldChar w:fldCharType="separate"/>
          </w:r>
          <w:r>
            <w:rPr>
              <w:highlight w:val="none"/>
            </w:rPr>
            <w:t>20</w:t>
          </w:r>
          <w:r>
            <w:rPr>
              <w:highlight w:val="none"/>
            </w:rPr>
            <w:fldChar w:fldCharType="end"/>
          </w:r>
          <w:r>
            <w:rPr>
              <w:highlight w:val="none"/>
            </w:rPr>
            <w:fldChar w:fldCharType="end"/>
          </w:r>
        </w:p>
        <w:p w14:paraId="7987D522">
          <w:pPr>
            <w:pStyle w:val="9"/>
            <w:tabs>
              <w:tab w:val="right" w:leader="dot" w:pos="8306"/>
            </w:tabs>
            <w:rPr>
              <w:highlight w:val="none"/>
            </w:rPr>
          </w:pPr>
          <w:r>
            <w:rPr>
              <w:highlight w:val="none"/>
            </w:rPr>
            <w:fldChar w:fldCharType="begin"/>
          </w:r>
          <w:r>
            <w:rPr>
              <w:highlight w:val="none"/>
            </w:rPr>
            <w:instrText xml:space="preserve"> HYPERLINK \l "_Toc15231" </w:instrText>
          </w:r>
          <w:r>
            <w:rPr>
              <w:highlight w:val="none"/>
            </w:rPr>
            <w:fldChar w:fldCharType="separate"/>
          </w:r>
          <w:r>
            <w:rPr>
              <w:rFonts w:hint="eastAsia" w:ascii="宋体" w:eastAsia="宋体"/>
              <w:highlight w:val="none"/>
            </w:rPr>
            <w:t>第10.3条其他</w:t>
          </w:r>
          <w:r>
            <w:rPr>
              <w:highlight w:val="none"/>
            </w:rPr>
            <w:tab/>
          </w:r>
          <w:r>
            <w:rPr>
              <w:highlight w:val="none"/>
            </w:rPr>
            <w:fldChar w:fldCharType="begin"/>
          </w:r>
          <w:r>
            <w:rPr>
              <w:highlight w:val="none"/>
            </w:rPr>
            <w:instrText xml:space="preserve"> PAGEREF _Toc15231 \h </w:instrText>
          </w:r>
          <w:r>
            <w:rPr>
              <w:highlight w:val="none"/>
            </w:rPr>
            <w:fldChar w:fldCharType="separate"/>
          </w:r>
          <w:r>
            <w:rPr>
              <w:highlight w:val="none"/>
            </w:rPr>
            <w:t>20</w:t>
          </w:r>
          <w:r>
            <w:rPr>
              <w:highlight w:val="none"/>
            </w:rPr>
            <w:fldChar w:fldCharType="end"/>
          </w:r>
          <w:r>
            <w:rPr>
              <w:highlight w:val="none"/>
            </w:rPr>
            <w:fldChar w:fldCharType="end"/>
          </w:r>
        </w:p>
        <w:p w14:paraId="6B087A3A">
          <w:pPr>
            <w:pStyle w:val="9"/>
            <w:tabs>
              <w:tab w:val="right" w:leader="dot" w:pos="8306"/>
            </w:tabs>
            <w:rPr>
              <w:highlight w:val="none"/>
            </w:rPr>
          </w:pPr>
          <w:r>
            <w:rPr>
              <w:highlight w:val="none"/>
            </w:rPr>
            <w:fldChar w:fldCharType="begin"/>
          </w:r>
          <w:r>
            <w:rPr>
              <w:highlight w:val="none"/>
            </w:rPr>
            <w:instrText xml:space="preserve"> HYPERLINK \l "_Toc25160" </w:instrText>
          </w:r>
          <w:r>
            <w:rPr>
              <w:highlight w:val="none"/>
            </w:rPr>
            <w:fldChar w:fldCharType="separate"/>
          </w:r>
          <w:r>
            <w:rPr>
              <w:rFonts w:hint="eastAsia" w:ascii="宋体" w:eastAsia="宋体"/>
              <w:bCs/>
              <w:highlight w:val="none"/>
            </w:rPr>
            <w:t>第十一章保密条款</w:t>
          </w:r>
          <w:r>
            <w:rPr>
              <w:highlight w:val="none"/>
            </w:rPr>
            <w:tab/>
          </w:r>
          <w:r>
            <w:rPr>
              <w:highlight w:val="none"/>
            </w:rPr>
            <w:fldChar w:fldCharType="begin"/>
          </w:r>
          <w:r>
            <w:rPr>
              <w:highlight w:val="none"/>
            </w:rPr>
            <w:instrText xml:space="preserve"> PAGEREF _Toc25160 \h </w:instrText>
          </w:r>
          <w:r>
            <w:rPr>
              <w:highlight w:val="none"/>
            </w:rPr>
            <w:fldChar w:fldCharType="separate"/>
          </w:r>
          <w:r>
            <w:rPr>
              <w:highlight w:val="none"/>
            </w:rPr>
            <w:t>21</w:t>
          </w:r>
          <w:r>
            <w:rPr>
              <w:highlight w:val="none"/>
            </w:rPr>
            <w:fldChar w:fldCharType="end"/>
          </w:r>
          <w:r>
            <w:rPr>
              <w:highlight w:val="none"/>
            </w:rPr>
            <w:fldChar w:fldCharType="end"/>
          </w:r>
        </w:p>
        <w:p w14:paraId="3F45ED18">
          <w:pPr>
            <w:pStyle w:val="9"/>
            <w:tabs>
              <w:tab w:val="right" w:leader="dot" w:pos="8306"/>
            </w:tabs>
            <w:rPr>
              <w:highlight w:val="none"/>
            </w:rPr>
          </w:pPr>
          <w:r>
            <w:rPr>
              <w:highlight w:val="none"/>
            </w:rPr>
            <w:fldChar w:fldCharType="begin"/>
          </w:r>
          <w:r>
            <w:rPr>
              <w:highlight w:val="none"/>
            </w:rPr>
            <w:instrText xml:space="preserve"> HYPERLINK \l "_Toc8801" </w:instrText>
          </w:r>
          <w:r>
            <w:rPr>
              <w:highlight w:val="none"/>
            </w:rPr>
            <w:fldChar w:fldCharType="separate"/>
          </w:r>
          <w:r>
            <w:rPr>
              <w:rFonts w:hint="eastAsia" w:ascii="宋体" w:eastAsia="宋体"/>
              <w:bCs/>
              <w:highlight w:val="none"/>
            </w:rPr>
            <w:t>第十二章适用法律和争议解决</w:t>
          </w:r>
          <w:r>
            <w:rPr>
              <w:highlight w:val="none"/>
            </w:rPr>
            <w:tab/>
          </w:r>
          <w:r>
            <w:rPr>
              <w:highlight w:val="none"/>
            </w:rPr>
            <w:fldChar w:fldCharType="begin"/>
          </w:r>
          <w:r>
            <w:rPr>
              <w:highlight w:val="none"/>
            </w:rPr>
            <w:instrText xml:space="preserve"> PAGEREF _Toc8801 \h </w:instrText>
          </w:r>
          <w:r>
            <w:rPr>
              <w:highlight w:val="none"/>
            </w:rPr>
            <w:fldChar w:fldCharType="separate"/>
          </w:r>
          <w:r>
            <w:rPr>
              <w:highlight w:val="none"/>
            </w:rPr>
            <w:t>21</w:t>
          </w:r>
          <w:r>
            <w:rPr>
              <w:highlight w:val="none"/>
            </w:rPr>
            <w:fldChar w:fldCharType="end"/>
          </w:r>
          <w:r>
            <w:rPr>
              <w:highlight w:val="none"/>
            </w:rPr>
            <w:fldChar w:fldCharType="end"/>
          </w:r>
        </w:p>
        <w:p w14:paraId="78A58C74">
          <w:pPr>
            <w:pStyle w:val="9"/>
            <w:tabs>
              <w:tab w:val="right" w:leader="dot" w:pos="8306"/>
            </w:tabs>
            <w:rPr>
              <w:highlight w:val="none"/>
            </w:rPr>
          </w:pPr>
          <w:r>
            <w:rPr>
              <w:highlight w:val="none"/>
            </w:rPr>
            <w:fldChar w:fldCharType="begin"/>
          </w:r>
          <w:r>
            <w:rPr>
              <w:highlight w:val="none"/>
            </w:rPr>
            <w:instrText xml:space="preserve"> HYPERLINK \l "_Toc3305" </w:instrText>
          </w:r>
          <w:r>
            <w:rPr>
              <w:highlight w:val="none"/>
            </w:rPr>
            <w:fldChar w:fldCharType="separate"/>
          </w:r>
          <w:r>
            <w:rPr>
              <w:rFonts w:hint="eastAsia" w:ascii="宋体" w:eastAsia="宋体"/>
              <w:highlight w:val="none"/>
            </w:rPr>
            <w:t>第12.1条 适用法律</w:t>
          </w:r>
          <w:r>
            <w:rPr>
              <w:highlight w:val="none"/>
            </w:rPr>
            <w:tab/>
          </w:r>
          <w:r>
            <w:rPr>
              <w:highlight w:val="none"/>
            </w:rPr>
            <w:fldChar w:fldCharType="begin"/>
          </w:r>
          <w:r>
            <w:rPr>
              <w:highlight w:val="none"/>
            </w:rPr>
            <w:instrText xml:space="preserve"> PAGEREF _Toc3305 \h </w:instrText>
          </w:r>
          <w:r>
            <w:rPr>
              <w:highlight w:val="none"/>
            </w:rPr>
            <w:fldChar w:fldCharType="separate"/>
          </w:r>
          <w:r>
            <w:rPr>
              <w:highlight w:val="none"/>
            </w:rPr>
            <w:t>21</w:t>
          </w:r>
          <w:r>
            <w:rPr>
              <w:highlight w:val="none"/>
            </w:rPr>
            <w:fldChar w:fldCharType="end"/>
          </w:r>
          <w:r>
            <w:rPr>
              <w:highlight w:val="none"/>
            </w:rPr>
            <w:fldChar w:fldCharType="end"/>
          </w:r>
        </w:p>
        <w:p w14:paraId="020A3D13">
          <w:pPr>
            <w:pStyle w:val="9"/>
            <w:tabs>
              <w:tab w:val="right" w:leader="dot" w:pos="8306"/>
            </w:tabs>
            <w:rPr>
              <w:highlight w:val="none"/>
            </w:rPr>
          </w:pPr>
          <w:r>
            <w:rPr>
              <w:highlight w:val="none"/>
            </w:rPr>
            <w:fldChar w:fldCharType="begin"/>
          </w:r>
          <w:r>
            <w:rPr>
              <w:highlight w:val="none"/>
            </w:rPr>
            <w:instrText xml:space="preserve"> HYPERLINK \l "_Toc13384" </w:instrText>
          </w:r>
          <w:r>
            <w:rPr>
              <w:highlight w:val="none"/>
            </w:rPr>
            <w:fldChar w:fldCharType="separate"/>
          </w:r>
          <w:r>
            <w:rPr>
              <w:rFonts w:hint="eastAsia" w:ascii="宋体" w:eastAsia="宋体"/>
              <w:highlight w:val="none"/>
            </w:rPr>
            <w:t>第12.2条 争议解决</w:t>
          </w:r>
          <w:r>
            <w:rPr>
              <w:highlight w:val="none"/>
            </w:rPr>
            <w:tab/>
          </w:r>
          <w:r>
            <w:rPr>
              <w:highlight w:val="none"/>
            </w:rPr>
            <w:fldChar w:fldCharType="begin"/>
          </w:r>
          <w:r>
            <w:rPr>
              <w:highlight w:val="none"/>
            </w:rPr>
            <w:instrText xml:space="preserve"> PAGEREF _Toc13384 \h </w:instrText>
          </w:r>
          <w:r>
            <w:rPr>
              <w:highlight w:val="none"/>
            </w:rPr>
            <w:fldChar w:fldCharType="separate"/>
          </w:r>
          <w:r>
            <w:rPr>
              <w:highlight w:val="none"/>
            </w:rPr>
            <w:t>21</w:t>
          </w:r>
          <w:r>
            <w:rPr>
              <w:highlight w:val="none"/>
            </w:rPr>
            <w:fldChar w:fldCharType="end"/>
          </w:r>
          <w:r>
            <w:rPr>
              <w:highlight w:val="none"/>
            </w:rPr>
            <w:fldChar w:fldCharType="end"/>
          </w:r>
        </w:p>
        <w:p w14:paraId="5DD5A9FD">
          <w:pPr>
            <w:pStyle w:val="9"/>
            <w:tabs>
              <w:tab w:val="right" w:leader="dot" w:pos="8306"/>
            </w:tabs>
            <w:rPr>
              <w:highlight w:val="none"/>
            </w:rPr>
          </w:pPr>
          <w:r>
            <w:rPr>
              <w:highlight w:val="none"/>
            </w:rPr>
            <w:fldChar w:fldCharType="begin"/>
          </w:r>
          <w:r>
            <w:rPr>
              <w:highlight w:val="none"/>
            </w:rPr>
            <w:instrText xml:space="preserve"> HYPERLINK \l "_Toc4856" </w:instrText>
          </w:r>
          <w:r>
            <w:rPr>
              <w:highlight w:val="none"/>
            </w:rPr>
            <w:fldChar w:fldCharType="separate"/>
          </w:r>
          <w:r>
            <w:rPr>
              <w:rFonts w:hint="eastAsia" w:ascii="宋体" w:eastAsia="宋体"/>
              <w:bCs/>
              <w:highlight w:val="none"/>
            </w:rPr>
            <w:t>第十三章生效</w:t>
          </w:r>
          <w:r>
            <w:rPr>
              <w:highlight w:val="none"/>
            </w:rPr>
            <w:tab/>
          </w:r>
          <w:r>
            <w:rPr>
              <w:highlight w:val="none"/>
            </w:rPr>
            <w:fldChar w:fldCharType="begin"/>
          </w:r>
          <w:r>
            <w:rPr>
              <w:highlight w:val="none"/>
            </w:rPr>
            <w:instrText xml:space="preserve"> PAGEREF _Toc4856 \h </w:instrText>
          </w:r>
          <w:r>
            <w:rPr>
              <w:highlight w:val="none"/>
            </w:rPr>
            <w:fldChar w:fldCharType="separate"/>
          </w:r>
          <w:r>
            <w:rPr>
              <w:highlight w:val="none"/>
            </w:rPr>
            <w:t>21</w:t>
          </w:r>
          <w:r>
            <w:rPr>
              <w:highlight w:val="none"/>
            </w:rPr>
            <w:fldChar w:fldCharType="end"/>
          </w:r>
          <w:r>
            <w:rPr>
              <w:highlight w:val="none"/>
            </w:rPr>
            <w:fldChar w:fldCharType="end"/>
          </w:r>
        </w:p>
        <w:p w14:paraId="68E72F91">
          <w:pPr>
            <w:pStyle w:val="9"/>
            <w:tabs>
              <w:tab w:val="right" w:leader="dot" w:pos="8306"/>
            </w:tabs>
            <w:rPr>
              <w:highlight w:val="none"/>
            </w:rPr>
          </w:pPr>
          <w:r>
            <w:rPr>
              <w:highlight w:val="none"/>
            </w:rPr>
            <w:fldChar w:fldCharType="begin"/>
          </w:r>
          <w:r>
            <w:rPr>
              <w:highlight w:val="none"/>
            </w:rPr>
            <w:instrText xml:space="preserve"> HYPERLINK \l "_Toc7026" </w:instrText>
          </w:r>
          <w:r>
            <w:rPr>
              <w:highlight w:val="none"/>
            </w:rPr>
            <w:fldChar w:fldCharType="separate"/>
          </w:r>
          <w:r>
            <w:rPr>
              <w:rFonts w:hint="eastAsia" w:ascii="宋体" w:eastAsia="宋体"/>
              <w:bCs/>
              <w:highlight w:val="none"/>
            </w:rPr>
            <w:t>第十四章一般规定</w:t>
          </w:r>
          <w:r>
            <w:rPr>
              <w:highlight w:val="none"/>
            </w:rPr>
            <w:tab/>
          </w:r>
          <w:r>
            <w:rPr>
              <w:highlight w:val="none"/>
            </w:rPr>
            <w:fldChar w:fldCharType="begin"/>
          </w:r>
          <w:r>
            <w:rPr>
              <w:highlight w:val="none"/>
            </w:rPr>
            <w:instrText xml:space="preserve"> PAGEREF _Toc7026 \h </w:instrText>
          </w:r>
          <w:r>
            <w:rPr>
              <w:highlight w:val="none"/>
            </w:rPr>
            <w:fldChar w:fldCharType="separate"/>
          </w:r>
          <w:r>
            <w:rPr>
              <w:highlight w:val="none"/>
            </w:rPr>
            <w:t>22</w:t>
          </w:r>
          <w:r>
            <w:rPr>
              <w:highlight w:val="none"/>
            </w:rPr>
            <w:fldChar w:fldCharType="end"/>
          </w:r>
          <w:r>
            <w:rPr>
              <w:highlight w:val="none"/>
            </w:rPr>
            <w:fldChar w:fldCharType="end"/>
          </w:r>
        </w:p>
        <w:p w14:paraId="0818CAA9">
          <w:pPr>
            <w:pStyle w:val="9"/>
            <w:tabs>
              <w:tab w:val="right" w:leader="dot" w:pos="8306"/>
            </w:tabs>
            <w:rPr>
              <w:highlight w:val="none"/>
            </w:rPr>
          </w:pPr>
          <w:r>
            <w:rPr>
              <w:highlight w:val="none"/>
            </w:rPr>
            <w:fldChar w:fldCharType="begin"/>
          </w:r>
          <w:r>
            <w:rPr>
              <w:highlight w:val="none"/>
            </w:rPr>
            <w:instrText xml:space="preserve"> HYPERLINK \l "_Toc27536" </w:instrText>
          </w:r>
          <w:r>
            <w:rPr>
              <w:highlight w:val="none"/>
            </w:rPr>
            <w:fldChar w:fldCharType="separate"/>
          </w:r>
          <w:r>
            <w:rPr>
              <w:rFonts w:hint="eastAsia" w:ascii="宋体" w:eastAsia="宋体"/>
              <w:highlight w:val="none"/>
            </w:rPr>
            <w:t>第14.1条通知</w:t>
          </w:r>
          <w:r>
            <w:rPr>
              <w:highlight w:val="none"/>
            </w:rPr>
            <w:tab/>
          </w:r>
          <w:r>
            <w:rPr>
              <w:highlight w:val="none"/>
            </w:rPr>
            <w:fldChar w:fldCharType="begin"/>
          </w:r>
          <w:r>
            <w:rPr>
              <w:highlight w:val="none"/>
            </w:rPr>
            <w:instrText xml:space="preserve"> PAGEREF _Toc27536 \h </w:instrText>
          </w:r>
          <w:r>
            <w:rPr>
              <w:highlight w:val="none"/>
            </w:rPr>
            <w:fldChar w:fldCharType="separate"/>
          </w:r>
          <w:r>
            <w:rPr>
              <w:highlight w:val="none"/>
            </w:rPr>
            <w:t>22</w:t>
          </w:r>
          <w:r>
            <w:rPr>
              <w:highlight w:val="none"/>
            </w:rPr>
            <w:fldChar w:fldCharType="end"/>
          </w:r>
          <w:r>
            <w:rPr>
              <w:highlight w:val="none"/>
            </w:rPr>
            <w:fldChar w:fldCharType="end"/>
          </w:r>
        </w:p>
        <w:p w14:paraId="3A2367F9">
          <w:pPr>
            <w:pStyle w:val="9"/>
            <w:tabs>
              <w:tab w:val="right" w:leader="dot" w:pos="8306"/>
            </w:tabs>
            <w:rPr>
              <w:highlight w:val="none"/>
            </w:rPr>
          </w:pPr>
          <w:r>
            <w:rPr>
              <w:highlight w:val="none"/>
            </w:rPr>
            <w:fldChar w:fldCharType="begin"/>
          </w:r>
          <w:r>
            <w:rPr>
              <w:highlight w:val="none"/>
            </w:rPr>
            <w:instrText xml:space="preserve"> HYPERLINK \l "_Toc30978" </w:instrText>
          </w:r>
          <w:r>
            <w:rPr>
              <w:highlight w:val="none"/>
            </w:rPr>
            <w:fldChar w:fldCharType="separate"/>
          </w:r>
          <w:r>
            <w:rPr>
              <w:rFonts w:hint="eastAsia" w:ascii="宋体" w:eastAsia="宋体"/>
              <w:highlight w:val="none"/>
            </w:rPr>
            <w:t>第14.2条公告</w:t>
          </w:r>
          <w:r>
            <w:rPr>
              <w:highlight w:val="none"/>
            </w:rPr>
            <w:tab/>
          </w:r>
          <w:r>
            <w:rPr>
              <w:highlight w:val="none"/>
            </w:rPr>
            <w:fldChar w:fldCharType="begin"/>
          </w:r>
          <w:r>
            <w:rPr>
              <w:highlight w:val="none"/>
            </w:rPr>
            <w:instrText xml:space="preserve"> PAGEREF _Toc30978 \h </w:instrText>
          </w:r>
          <w:r>
            <w:rPr>
              <w:highlight w:val="none"/>
            </w:rPr>
            <w:fldChar w:fldCharType="separate"/>
          </w:r>
          <w:r>
            <w:rPr>
              <w:highlight w:val="none"/>
            </w:rPr>
            <w:t>22</w:t>
          </w:r>
          <w:r>
            <w:rPr>
              <w:highlight w:val="none"/>
            </w:rPr>
            <w:fldChar w:fldCharType="end"/>
          </w:r>
          <w:r>
            <w:rPr>
              <w:highlight w:val="none"/>
            </w:rPr>
            <w:fldChar w:fldCharType="end"/>
          </w:r>
        </w:p>
        <w:p w14:paraId="7B58863B">
          <w:pPr>
            <w:pStyle w:val="9"/>
            <w:tabs>
              <w:tab w:val="right" w:leader="dot" w:pos="8306"/>
            </w:tabs>
            <w:rPr>
              <w:highlight w:val="none"/>
            </w:rPr>
          </w:pPr>
          <w:r>
            <w:rPr>
              <w:highlight w:val="none"/>
            </w:rPr>
            <w:fldChar w:fldCharType="begin"/>
          </w:r>
          <w:r>
            <w:rPr>
              <w:highlight w:val="none"/>
            </w:rPr>
            <w:instrText xml:space="preserve"> HYPERLINK \l "_Toc26616" </w:instrText>
          </w:r>
          <w:r>
            <w:rPr>
              <w:highlight w:val="none"/>
            </w:rPr>
            <w:fldChar w:fldCharType="separate"/>
          </w:r>
          <w:r>
            <w:rPr>
              <w:rFonts w:hint="eastAsia" w:ascii="宋体" w:eastAsia="宋体"/>
              <w:highlight w:val="none"/>
            </w:rPr>
            <w:t>第14.3条可分割性</w:t>
          </w:r>
          <w:r>
            <w:rPr>
              <w:highlight w:val="none"/>
            </w:rPr>
            <w:tab/>
          </w:r>
          <w:r>
            <w:rPr>
              <w:highlight w:val="none"/>
            </w:rPr>
            <w:fldChar w:fldCharType="begin"/>
          </w:r>
          <w:r>
            <w:rPr>
              <w:highlight w:val="none"/>
            </w:rPr>
            <w:instrText xml:space="preserve"> PAGEREF _Toc26616 \h </w:instrText>
          </w:r>
          <w:r>
            <w:rPr>
              <w:highlight w:val="none"/>
            </w:rPr>
            <w:fldChar w:fldCharType="separate"/>
          </w:r>
          <w:r>
            <w:rPr>
              <w:highlight w:val="none"/>
            </w:rPr>
            <w:t>22</w:t>
          </w:r>
          <w:r>
            <w:rPr>
              <w:highlight w:val="none"/>
            </w:rPr>
            <w:fldChar w:fldCharType="end"/>
          </w:r>
          <w:r>
            <w:rPr>
              <w:highlight w:val="none"/>
            </w:rPr>
            <w:fldChar w:fldCharType="end"/>
          </w:r>
        </w:p>
        <w:p w14:paraId="0E229047">
          <w:pPr>
            <w:pStyle w:val="9"/>
            <w:tabs>
              <w:tab w:val="right" w:leader="dot" w:pos="8306"/>
            </w:tabs>
            <w:rPr>
              <w:highlight w:val="none"/>
            </w:rPr>
          </w:pPr>
          <w:r>
            <w:rPr>
              <w:highlight w:val="none"/>
            </w:rPr>
            <w:fldChar w:fldCharType="begin"/>
          </w:r>
          <w:r>
            <w:rPr>
              <w:highlight w:val="none"/>
            </w:rPr>
            <w:instrText xml:space="preserve"> HYPERLINK \l "_Toc25381" </w:instrText>
          </w:r>
          <w:r>
            <w:rPr>
              <w:highlight w:val="none"/>
            </w:rPr>
            <w:fldChar w:fldCharType="separate"/>
          </w:r>
          <w:r>
            <w:rPr>
              <w:rFonts w:hint="eastAsia" w:ascii="宋体" w:eastAsia="宋体"/>
              <w:highlight w:val="none"/>
            </w:rPr>
            <w:t>第14.4条完整协议</w:t>
          </w:r>
          <w:r>
            <w:rPr>
              <w:highlight w:val="none"/>
            </w:rPr>
            <w:tab/>
          </w:r>
          <w:r>
            <w:rPr>
              <w:highlight w:val="none"/>
            </w:rPr>
            <w:fldChar w:fldCharType="begin"/>
          </w:r>
          <w:r>
            <w:rPr>
              <w:highlight w:val="none"/>
            </w:rPr>
            <w:instrText xml:space="preserve"> PAGEREF _Toc25381 \h </w:instrText>
          </w:r>
          <w:r>
            <w:rPr>
              <w:highlight w:val="none"/>
            </w:rPr>
            <w:fldChar w:fldCharType="separate"/>
          </w:r>
          <w:r>
            <w:rPr>
              <w:highlight w:val="none"/>
            </w:rPr>
            <w:t>23</w:t>
          </w:r>
          <w:r>
            <w:rPr>
              <w:highlight w:val="none"/>
            </w:rPr>
            <w:fldChar w:fldCharType="end"/>
          </w:r>
          <w:r>
            <w:rPr>
              <w:highlight w:val="none"/>
            </w:rPr>
            <w:fldChar w:fldCharType="end"/>
          </w:r>
        </w:p>
        <w:p w14:paraId="5F05BD99">
          <w:pPr>
            <w:rPr>
              <w:highlight w:val="none"/>
            </w:rPr>
          </w:pPr>
          <w:r>
            <w:rPr>
              <w:highlight w:val="none"/>
            </w:rPr>
            <w:fldChar w:fldCharType="end"/>
          </w:r>
        </w:p>
      </w:sdtContent>
    </w:sdt>
    <w:p w14:paraId="7A476D32">
      <w:pPr>
        <w:rPr>
          <w:highlight w:val="none"/>
        </w:rPr>
      </w:pPr>
    </w:p>
    <w:p w14:paraId="21351678">
      <w:pPr>
        <w:rPr>
          <w:highlight w:val="none"/>
        </w:rPr>
      </w:pPr>
      <w:r>
        <w:rPr>
          <w:rFonts w:hint="eastAsia"/>
          <w:highlight w:val="none"/>
        </w:rPr>
        <w:br w:type="page"/>
      </w:r>
    </w:p>
    <w:p w14:paraId="0CABC473">
      <w:pPr>
        <w:rPr>
          <w:highlight w:val="none"/>
        </w:rPr>
      </w:pPr>
    </w:p>
    <w:p w14:paraId="349C34DD">
      <w:pPr>
        <w:rPr>
          <w:highlight w:val="none"/>
        </w:rPr>
      </w:pPr>
    </w:p>
    <w:p w14:paraId="67A4C7E4">
      <w:pPr>
        <w:spacing w:line="300" w:lineRule="auto"/>
        <w:ind w:firstLine="482"/>
        <w:jc w:val="left"/>
        <w:rPr>
          <w:rFonts w:ascii="宋体" w:eastAsia="宋体"/>
          <w:sz w:val="24"/>
          <w:highlight w:val="none"/>
        </w:rPr>
      </w:pPr>
      <w:r>
        <w:rPr>
          <w:rFonts w:hint="eastAsia" w:ascii="宋体" w:eastAsia="宋体"/>
          <w:sz w:val="24"/>
          <w:highlight w:val="none"/>
        </w:rPr>
        <w:t xml:space="preserve">本投资合作协议(以下称“本协议”)于【】年【】月【 】日(以下称“签署日”)由以下双方签订：                                 </w:t>
      </w:r>
    </w:p>
    <w:p w14:paraId="37956C37">
      <w:pPr>
        <w:spacing w:line="300" w:lineRule="auto"/>
        <w:ind w:firstLine="482"/>
        <w:jc w:val="left"/>
        <w:rPr>
          <w:rFonts w:ascii="宋体" w:eastAsia="宋体"/>
          <w:sz w:val="24"/>
          <w:highlight w:val="none"/>
        </w:rPr>
      </w:pPr>
      <w:r>
        <w:rPr>
          <w:rFonts w:hint="eastAsia" w:ascii="宋体" w:eastAsia="宋体"/>
          <w:sz w:val="24"/>
          <w:highlight w:val="none"/>
        </w:rPr>
        <w:t>A. 广州白云文化投资有限公司， 一家依照中国法律设立的有限责任公司，其注册地址为广州市白云区北太路1633号广州民营科技园科盛路8号配套服务大楼 (以下称“甲方”)；</w:t>
      </w:r>
    </w:p>
    <w:p w14:paraId="7A655384">
      <w:pPr>
        <w:spacing w:line="300" w:lineRule="auto"/>
        <w:ind w:firstLine="482"/>
        <w:jc w:val="left"/>
        <w:rPr>
          <w:rFonts w:ascii="宋体" w:eastAsia="宋体"/>
          <w:sz w:val="24"/>
          <w:highlight w:val="none"/>
        </w:rPr>
      </w:pPr>
      <w:r>
        <w:rPr>
          <w:rFonts w:hint="eastAsia" w:ascii="宋体" w:eastAsia="宋体"/>
          <w:sz w:val="24"/>
          <w:highlight w:val="none"/>
        </w:rPr>
        <w:t xml:space="preserve">B. </w:t>
      </w:r>
      <w:r>
        <w:rPr>
          <w:rFonts w:hint="eastAsia" w:ascii="宋体" w:eastAsia="宋体"/>
          <w:sz w:val="24"/>
          <w:highlight w:val="none"/>
          <w:u w:val="single"/>
        </w:rPr>
        <w:t xml:space="preserve">       </w:t>
      </w:r>
      <w:r>
        <w:rPr>
          <w:rFonts w:hint="eastAsia" w:ascii="宋体" w:eastAsia="宋体"/>
          <w:sz w:val="24"/>
          <w:highlight w:val="none"/>
        </w:rPr>
        <w:t>有限公司， 一家依照中国法律设立的有限公司，其注册地址为(以下称“乙方”)。</w:t>
      </w:r>
    </w:p>
    <w:p w14:paraId="28D9BF58">
      <w:pPr>
        <w:spacing w:line="300" w:lineRule="auto"/>
        <w:ind w:firstLine="482"/>
        <w:jc w:val="left"/>
        <w:rPr>
          <w:rFonts w:ascii="宋体" w:eastAsia="宋体"/>
          <w:sz w:val="24"/>
          <w:highlight w:val="none"/>
        </w:rPr>
      </w:pPr>
    </w:p>
    <w:p w14:paraId="448E6DA2">
      <w:pPr>
        <w:widowControl/>
        <w:spacing w:line="300" w:lineRule="auto"/>
        <w:ind w:firstLine="482"/>
        <w:jc w:val="left"/>
        <w:rPr>
          <w:rFonts w:ascii="宋体" w:eastAsia="宋体"/>
          <w:sz w:val="24"/>
          <w:highlight w:val="none"/>
        </w:rPr>
      </w:pPr>
      <w:r>
        <w:rPr>
          <w:rFonts w:hint="eastAsia" w:ascii="宋体" w:eastAsia="宋体"/>
          <w:sz w:val="24"/>
          <w:highlight w:val="none"/>
        </w:rPr>
        <w:t>鉴于：</w:t>
      </w:r>
      <w:bookmarkStart w:id="268" w:name="_GoBack"/>
      <w:bookmarkEnd w:id="268"/>
    </w:p>
    <w:p w14:paraId="2710B173">
      <w:pPr>
        <w:spacing w:line="300" w:lineRule="auto"/>
        <w:ind w:firstLine="482"/>
        <w:jc w:val="left"/>
        <w:rPr>
          <w:rFonts w:ascii="宋体" w:eastAsia="宋体"/>
          <w:sz w:val="24"/>
          <w:highlight w:val="none"/>
        </w:rPr>
      </w:pPr>
      <w:r>
        <w:rPr>
          <w:rFonts w:hint="eastAsia" w:ascii="宋体" w:eastAsia="宋体"/>
          <w:sz w:val="24"/>
          <w:highlight w:val="none"/>
        </w:rPr>
        <w:t>为加快推进白云区石井河粤上白云间文旅项目建设，项目以公开招标方式引入有实力、有资质、有经验的社会资本作为投资运营合作方和设计、采购、施工总承包人，与甲方共同组建合资公司实施白云区石井河粤上白云间文旅项目投资、建设、运营。</w:t>
      </w:r>
    </w:p>
    <w:p w14:paraId="46745B33">
      <w:pPr>
        <w:spacing w:line="300" w:lineRule="auto"/>
        <w:ind w:firstLine="482"/>
        <w:jc w:val="left"/>
        <w:rPr>
          <w:rFonts w:ascii="宋体" w:eastAsia="宋体"/>
          <w:sz w:val="24"/>
          <w:highlight w:val="none"/>
        </w:rPr>
      </w:pPr>
      <w:r>
        <w:rPr>
          <w:rFonts w:hint="eastAsia" w:ascii="宋体" w:eastAsia="宋体"/>
          <w:sz w:val="24"/>
          <w:highlight w:val="none"/>
        </w:rPr>
        <w:t>经公开招标程序，遵循公开、公平、公正和公共利益优先的原则，乙方依法取得中标人资格，成为本项目的投资、运营合作方和设计、采购、施工总承包人。为明确本项目中各方的权利、义务和责任，依照《中华人民共和国民法典》等适用法律规定，及甲方招标文件、乙方投标文件等的约定，遵循“平等、自愿、公平和诚实信用”的原则，协议各方就本项目的投资、运营合作和工程总承包的相关事宜达成一致，订立本协议。</w:t>
      </w:r>
    </w:p>
    <w:p w14:paraId="78DB85DF">
      <w:pPr>
        <w:pStyle w:val="18"/>
        <w:spacing w:line="300" w:lineRule="auto"/>
        <w:ind w:firstLine="482"/>
        <w:jc w:val="left"/>
        <w:rPr>
          <w:rFonts w:ascii="宋体" w:eastAsia="宋体"/>
          <w:sz w:val="24"/>
          <w:highlight w:val="none"/>
        </w:rPr>
      </w:pPr>
    </w:p>
    <w:p w14:paraId="18ABADC1">
      <w:pPr>
        <w:spacing w:line="300" w:lineRule="auto"/>
        <w:ind w:firstLine="482"/>
        <w:jc w:val="left"/>
        <w:rPr>
          <w:rFonts w:ascii="宋体" w:eastAsia="宋体"/>
          <w:b/>
          <w:bCs/>
          <w:sz w:val="24"/>
          <w:highlight w:val="none"/>
        </w:rPr>
      </w:pPr>
      <w:r>
        <w:rPr>
          <w:rFonts w:hint="eastAsia" w:ascii="宋体" w:eastAsia="宋体"/>
          <w:b/>
          <w:bCs/>
          <w:sz w:val="24"/>
          <w:highlight w:val="none"/>
        </w:rPr>
        <w:br w:type="page"/>
      </w:r>
    </w:p>
    <w:p w14:paraId="0D3594C4">
      <w:pPr>
        <w:pStyle w:val="18"/>
        <w:spacing w:line="300" w:lineRule="auto"/>
        <w:ind w:firstLine="482"/>
        <w:jc w:val="left"/>
        <w:rPr>
          <w:rFonts w:ascii="宋体" w:eastAsia="宋体"/>
          <w:sz w:val="24"/>
          <w:highlight w:val="none"/>
        </w:rPr>
      </w:pPr>
    </w:p>
    <w:p w14:paraId="5B98D9E6">
      <w:pPr>
        <w:spacing w:before="100" w:after="100"/>
        <w:jc w:val="left"/>
        <w:outlineLvl w:val="0"/>
        <w:rPr>
          <w:rFonts w:ascii="黑体" w:eastAsia="黑体"/>
          <w:sz w:val="28"/>
          <w:highlight w:val="none"/>
        </w:rPr>
      </w:pPr>
      <w:bookmarkStart w:id="4" w:name="_Toc23028"/>
      <w:bookmarkStart w:id="5" w:name="_Toc22636"/>
      <w:bookmarkStart w:id="6" w:name="_Toc25808"/>
      <w:bookmarkStart w:id="7" w:name="_Toc23071"/>
      <w:r>
        <w:rPr>
          <w:rFonts w:hint="eastAsia" w:ascii="黑体" w:eastAsia="黑体"/>
          <w:bCs/>
          <w:sz w:val="28"/>
          <w:highlight w:val="none"/>
        </w:rPr>
        <w:t>第1章 定义</w:t>
      </w:r>
      <w:bookmarkEnd w:id="4"/>
      <w:bookmarkEnd w:id="5"/>
      <w:bookmarkEnd w:id="6"/>
      <w:bookmarkEnd w:id="7"/>
    </w:p>
    <w:p w14:paraId="11EC3D53">
      <w:pPr>
        <w:spacing w:line="300" w:lineRule="auto"/>
        <w:ind w:firstLine="482"/>
        <w:jc w:val="left"/>
        <w:outlineLvl w:val="0"/>
        <w:rPr>
          <w:rFonts w:ascii="宋体" w:eastAsia="宋体"/>
          <w:sz w:val="24"/>
          <w:highlight w:val="none"/>
        </w:rPr>
      </w:pPr>
      <w:bookmarkStart w:id="8" w:name="_Toc25137"/>
      <w:bookmarkStart w:id="9" w:name="_Toc20904"/>
      <w:bookmarkStart w:id="10" w:name="_Toc22323"/>
      <w:bookmarkStart w:id="11" w:name="_Toc2396"/>
      <w:r>
        <w:rPr>
          <w:rFonts w:hint="eastAsia" w:ascii="宋体" w:eastAsia="宋体"/>
          <w:sz w:val="24"/>
          <w:highlight w:val="none"/>
        </w:rPr>
        <w:t>第1.1条 定义</w:t>
      </w:r>
      <w:bookmarkEnd w:id="8"/>
      <w:bookmarkEnd w:id="9"/>
    </w:p>
    <w:p w14:paraId="2EF95ACA">
      <w:pPr>
        <w:spacing w:line="300" w:lineRule="auto"/>
        <w:ind w:firstLine="482"/>
        <w:jc w:val="left"/>
        <w:rPr>
          <w:rFonts w:ascii="宋体" w:eastAsia="宋体"/>
          <w:sz w:val="24"/>
          <w:highlight w:val="none"/>
        </w:rPr>
      </w:pPr>
      <w:r>
        <w:rPr>
          <w:rFonts w:hint="eastAsia" w:ascii="宋体" w:eastAsia="宋体"/>
          <w:sz w:val="24"/>
          <w:highlight w:val="none"/>
        </w:rPr>
        <w:t>1.“本协议”是指由甲方与乙方共同签署的《白云区石井河粤上白云间项目投资运营合作协议》及其附件，以及日后签署的任何前述协议之补充/修改协议和附件。</w:t>
      </w:r>
    </w:p>
    <w:p w14:paraId="2F1CD5B8">
      <w:pPr>
        <w:spacing w:line="300" w:lineRule="auto"/>
        <w:ind w:firstLine="482"/>
        <w:jc w:val="left"/>
        <w:rPr>
          <w:rFonts w:ascii="宋体" w:eastAsia="宋体"/>
          <w:sz w:val="24"/>
          <w:highlight w:val="none"/>
        </w:rPr>
      </w:pPr>
      <w:r>
        <w:rPr>
          <w:rFonts w:hint="eastAsia" w:ascii="宋体" w:eastAsia="宋体"/>
          <w:sz w:val="24"/>
          <w:highlight w:val="none"/>
        </w:rPr>
        <w:t>2.“投标函”是指构成本协议的，由乙方填写并签署的用于投标的名为“投标函”的文件。</w:t>
      </w:r>
    </w:p>
    <w:p w14:paraId="003FC1A0">
      <w:pPr>
        <w:spacing w:line="300" w:lineRule="auto"/>
        <w:ind w:firstLine="482"/>
        <w:jc w:val="left"/>
        <w:rPr>
          <w:rFonts w:ascii="宋体" w:eastAsia="宋体"/>
          <w:sz w:val="24"/>
          <w:highlight w:val="none"/>
        </w:rPr>
      </w:pPr>
      <w:r>
        <w:rPr>
          <w:rFonts w:hint="eastAsia" w:ascii="宋体" w:eastAsia="宋体"/>
          <w:sz w:val="24"/>
          <w:highlight w:val="none"/>
        </w:rPr>
        <w:t>3.“投标文件”是指乙方按照招标文件要求编制，并对招标文件予以实质性响应的文件。</w:t>
      </w:r>
    </w:p>
    <w:p w14:paraId="28F3B912">
      <w:pPr>
        <w:spacing w:line="300" w:lineRule="auto"/>
        <w:ind w:firstLine="482"/>
        <w:jc w:val="left"/>
        <w:rPr>
          <w:rFonts w:ascii="宋体" w:eastAsia="宋体"/>
          <w:sz w:val="24"/>
          <w:highlight w:val="none"/>
        </w:rPr>
      </w:pPr>
      <w:r>
        <w:rPr>
          <w:rFonts w:hint="eastAsia" w:ascii="宋体" w:eastAsia="宋体"/>
          <w:sz w:val="24"/>
          <w:highlight w:val="none"/>
        </w:rPr>
        <w:t>4.“项目”或“本项目”：指白云区石井河粤上白云间文旅项目。</w:t>
      </w:r>
    </w:p>
    <w:p w14:paraId="290FA5E2">
      <w:pPr>
        <w:spacing w:line="300" w:lineRule="auto"/>
        <w:ind w:firstLine="482"/>
        <w:jc w:val="left"/>
        <w:rPr>
          <w:rFonts w:ascii="宋体" w:eastAsia="宋体"/>
          <w:sz w:val="24"/>
          <w:highlight w:val="none"/>
        </w:rPr>
      </w:pPr>
      <w:r>
        <w:rPr>
          <w:rFonts w:hint="eastAsia" w:ascii="宋体" w:eastAsia="宋体"/>
          <w:sz w:val="24"/>
          <w:highlight w:val="none"/>
        </w:rPr>
        <w:t xml:space="preserve">5.“甲方”是指【广州白云文化投资有限公司】。甲方作为白云区石井河粤上白云间文旅项目的投资、建设、运营管理一体化工作的招标人，与乙方签署本协议。  </w:t>
      </w:r>
    </w:p>
    <w:p w14:paraId="585B95C2">
      <w:pPr>
        <w:spacing w:line="300" w:lineRule="auto"/>
        <w:ind w:firstLine="482"/>
        <w:jc w:val="left"/>
        <w:rPr>
          <w:rFonts w:ascii="宋体" w:eastAsia="宋体"/>
          <w:sz w:val="24"/>
          <w:highlight w:val="none"/>
        </w:rPr>
      </w:pPr>
      <w:r>
        <w:rPr>
          <w:rFonts w:hint="eastAsia" w:ascii="宋体" w:eastAsia="宋体"/>
          <w:sz w:val="24"/>
          <w:highlight w:val="none"/>
        </w:rPr>
        <w:t>6.“乙方”是指甲方依法通过公开招标方式确定的负责项目设计、施工及设备采购及安装，以及与甲方组建合资公司负责项目投资、运营的市场主体。乙方为多方成员组成的联合体的，应指联合体或联合体全部成员。联合体各方依据联合体协议约定的分工以及本协议约定，享有协议权利并承担协议义务。</w:t>
      </w:r>
    </w:p>
    <w:p w14:paraId="4C8D1854">
      <w:pPr>
        <w:spacing w:line="300" w:lineRule="auto"/>
        <w:ind w:firstLine="482"/>
        <w:jc w:val="left"/>
        <w:rPr>
          <w:rFonts w:ascii="宋体" w:eastAsia="宋体"/>
          <w:sz w:val="24"/>
          <w:highlight w:val="none"/>
        </w:rPr>
      </w:pPr>
      <w:r>
        <w:rPr>
          <w:rFonts w:hint="eastAsia" w:ascii="宋体" w:eastAsia="宋体"/>
          <w:sz w:val="24"/>
          <w:highlight w:val="none"/>
        </w:rPr>
        <w:t>7.“合资公司”是指由甲乙双方共同出资设立的，负责合作范围内涉及的所有项目的投融资、设计、建设、运营的独立法人。</w:t>
      </w:r>
    </w:p>
    <w:p w14:paraId="5BEB3B16">
      <w:pPr>
        <w:spacing w:line="300" w:lineRule="auto"/>
        <w:ind w:firstLine="482"/>
        <w:jc w:val="left"/>
        <w:rPr>
          <w:rFonts w:ascii="宋体" w:eastAsia="宋体"/>
          <w:sz w:val="24"/>
          <w:highlight w:val="none"/>
        </w:rPr>
      </w:pPr>
      <w:r>
        <w:rPr>
          <w:rFonts w:hint="eastAsia" w:ascii="宋体" w:eastAsia="宋体"/>
          <w:sz w:val="24"/>
          <w:highlight w:val="none"/>
        </w:rPr>
        <w:t>8.“协议各方”是指本协议任何一方或多方，包括联合体中的任何一方和各方，以及其各自合法的继任者或受让人。</w:t>
      </w:r>
    </w:p>
    <w:p w14:paraId="6A469C66">
      <w:pPr>
        <w:spacing w:line="300" w:lineRule="auto"/>
        <w:ind w:firstLine="482"/>
        <w:jc w:val="left"/>
        <w:rPr>
          <w:rFonts w:ascii="宋体" w:eastAsia="宋体"/>
          <w:sz w:val="24"/>
          <w:highlight w:val="none"/>
        </w:rPr>
      </w:pPr>
      <w:r>
        <w:rPr>
          <w:rFonts w:hint="eastAsia" w:ascii="宋体" w:eastAsia="宋体"/>
          <w:sz w:val="24"/>
          <w:highlight w:val="none"/>
        </w:rPr>
        <w:t>9.“融资机构”是指为企业投资项目融资资金的第三方，包括银行、保险公司、基金等。</w:t>
      </w:r>
    </w:p>
    <w:p w14:paraId="31EAD3FD">
      <w:pPr>
        <w:spacing w:line="300" w:lineRule="auto"/>
        <w:ind w:firstLine="482"/>
        <w:jc w:val="left"/>
        <w:rPr>
          <w:rFonts w:ascii="宋体" w:eastAsia="宋体"/>
          <w:sz w:val="24"/>
          <w:highlight w:val="none"/>
        </w:rPr>
      </w:pPr>
      <w:r>
        <w:rPr>
          <w:rFonts w:hint="eastAsia" w:ascii="宋体" w:eastAsia="宋体"/>
          <w:sz w:val="24"/>
          <w:highlight w:val="none"/>
        </w:rPr>
        <w:t>10.“适用法律”是指适用于本协议的中华人民共和国法律、 行政法规、地方性法规、规章、自治条例、单行条例等。凡提及任何一项法律，应解释为包括对该项法律的修改、补充或替代。</w:t>
      </w:r>
    </w:p>
    <w:p w14:paraId="18D37012">
      <w:pPr>
        <w:spacing w:line="300" w:lineRule="auto"/>
        <w:ind w:firstLine="482"/>
        <w:jc w:val="left"/>
        <w:rPr>
          <w:rFonts w:ascii="宋体" w:eastAsia="宋体"/>
          <w:sz w:val="24"/>
          <w:highlight w:val="none"/>
        </w:rPr>
      </w:pPr>
      <w:r>
        <w:rPr>
          <w:rFonts w:hint="eastAsia" w:ascii="宋体" w:eastAsia="宋体"/>
          <w:sz w:val="24"/>
          <w:highlight w:val="none"/>
        </w:rPr>
        <w:t>11.“日”除特别指明外，均指日历天。时间按日计算时，起始日不计入，自次日起算，至期限最后一日的24时截止。</w:t>
      </w:r>
    </w:p>
    <w:p w14:paraId="027F303E">
      <w:pPr>
        <w:spacing w:line="300" w:lineRule="auto"/>
        <w:ind w:firstLine="482"/>
        <w:jc w:val="left"/>
        <w:rPr>
          <w:rFonts w:ascii="宋体" w:eastAsia="宋体"/>
          <w:sz w:val="24"/>
          <w:highlight w:val="none"/>
        </w:rPr>
      </w:pPr>
      <w:r>
        <w:rPr>
          <w:rFonts w:hint="eastAsia" w:ascii="宋体" w:eastAsia="宋体"/>
          <w:sz w:val="24"/>
          <w:highlight w:val="none"/>
        </w:rPr>
        <w:t>12.“元”是指中华人民共和国法定货币人民币的单位。</w:t>
      </w:r>
    </w:p>
    <w:p w14:paraId="646A7BDC">
      <w:pPr>
        <w:spacing w:line="300" w:lineRule="auto"/>
        <w:ind w:firstLine="482"/>
        <w:jc w:val="left"/>
        <w:outlineLvl w:val="0"/>
        <w:rPr>
          <w:rFonts w:ascii="宋体" w:eastAsia="宋体"/>
          <w:sz w:val="24"/>
          <w:highlight w:val="none"/>
        </w:rPr>
      </w:pPr>
      <w:bookmarkStart w:id="12" w:name="_Toc25319"/>
      <w:r>
        <w:rPr>
          <w:rFonts w:hint="eastAsia" w:ascii="宋体" w:eastAsia="宋体"/>
          <w:sz w:val="24"/>
          <w:highlight w:val="none"/>
        </w:rPr>
        <w:t>第1.1条关于部分术语的定义</w:t>
      </w:r>
      <w:bookmarkEnd w:id="12"/>
    </w:p>
    <w:p w14:paraId="641E8FBF">
      <w:pPr>
        <w:spacing w:line="300" w:lineRule="auto"/>
        <w:ind w:firstLine="482"/>
        <w:jc w:val="left"/>
        <w:rPr>
          <w:rFonts w:ascii="宋体" w:eastAsia="宋体"/>
          <w:sz w:val="24"/>
          <w:highlight w:val="none"/>
        </w:rPr>
      </w:pPr>
      <w:r>
        <w:rPr>
          <w:rFonts w:hint="eastAsia" w:ascii="宋体" w:eastAsia="宋体"/>
          <w:sz w:val="24"/>
          <w:highlight w:val="none"/>
        </w:rPr>
        <w:t>在本协议中，除在正文中定义的词语外，以下词语具有以下含义：</w:t>
      </w:r>
    </w:p>
    <w:p w14:paraId="037D87A7">
      <w:pPr>
        <w:spacing w:line="300" w:lineRule="auto"/>
        <w:ind w:firstLine="482"/>
        <w:jc w:val="left"/>
        <w:rPr>
          <w:rFonts w:ascii="宋体" w:eastAsia="宋体"/>
          <w:sz w:val="24"/>
          <w:highlight w:val="none"/>
        </w:rPr>
      </w:pPr>
      <w:r>
        <w:rPr>
          <w:rFonts w:hint="eastAsia" w:ascii="宋体" w:eastAsia="宋体"/>
          <w:sz w:val="24"/>
          <w:highlight w:val="none"/>
        </w:rPr>
        <w:t>“负担”指任何担保权益、质押、抵押、留置、许可、债务负担、优先安排、限制性承 诺、条件或任何种类的限制，对使用、表决、转让、收益或对其他行使所有权的重大 权益的重大限制。</w:t>
      </w:r>
    </w:p>
    <w:p w14:paraId="01C9CF6A">
      <w:pPr>
        <w:spacing w:line="300" w:lineRule="auto"/>
        <w:ind w:firstLine="482"/>
        <w:jc w:val="left"/>
        <w:rPr>
          <w:rFonts w:ascii="宋体" w:eastAsia="宋体"/>
          <w:sz w:val="24"/>
          <w:highlight w:val="none"/>
        </w:rPr>
      </w:pPr>
      <w:r>
        <w:rPr>
          <w:rFonts w:hint="eastAsia" w:ascii="宋体" w:eastAsia="宋体"/>
          <w:sz w:val="24"/>
          <w:highlight w:val="none"/>
        </w:rPr>
        <w:t>“负债”指任何和所有债务、责任和义务，无论是累计的或固定的、绝对的或者或有 的、到期的或未到期的、已确定的或可确定的债务、责任和义务，包括但不限于因任 何法律法规、诉求或政府指令所产生的以及因任何合同、协议、安排、约定或承诺所 产生的债务、责任和义务。</w:t>
      </w:r>
    </w:p>
    <w:p w14:paraId="3626BC66">
      <w:pPr>
        <w:spacing w:line="300" w:lineRule="auto"/>
        <w:ind w:firstLine="482"/>
        <w:jc w:val="left"/>
        <w:rPr>
          <w:rFonts w:ascii="宋体" w:eastAsia="宋体"/>
          <w:sz w:val="24"/>
          <w:highlight w:val="none"/>
        </w:rPr>
      </w:pPr>
      <w:r>
        <w:rPr>
          <w:rFonts w:hint="eastAsia" w:ascii="宋体" w:eastAsia="宋体"/>
          <w:sz w:val="24"/>
          <w:highlight w:val="none"/>
        </w:rPr>
        <w:t>“法律法规”指中国或其他适用司法管辖区域的法律、法规、条例、规定、细则、命令、规定或规范性文件。</w:t>
      </w:r>
    </w:p>
    <w:p w14:paraId="071652F4">
      <w:pPr>
        <w:spacing w:line="300" w:lineRule="auto"/>
        <w:ind w:firstLine="482"/>
        <w:jc w:val="left"/>
        <w:rPr>
          <w:rFonts w:ascii="宋体" w:eastAsia="宋体"/>
          <w:sz w:val="24"/>
          <w:highlight w:val="none"/>
        </w:rPr>
      </w:pPr>
      <w:r>
        <w:rPr>
          <w:rFonts w:hint="eastAsia" w:ascii="宋体" w:eastAsia="宋体"/>
          <w:sz w:val="24"/>
          <w:highlight w:val="none"/>
        </w:rPr>
        <w:t>“关联方”就任何特定的主体而言，指直接地或通过一家或多家中间机构间接地控制该</w:t>
      </w:r>
    </w:p>
    <w:p w14:paraId="7E79001A">
      <w:pPr>
        <w:spacing w:line="300" w:lineRule="auto"/>
        <w:ind w:firstLine="482"/>
        <w:jc w:val="left"/>
        <w:rPr>
          <w:rFonts w:ascii="宋体" w:eastAsia="宋体"/>
          <w:sz w:val="24"/>
          <w:highlight w:val="none"/>
        </w:rPr>
      </w:pPr>
      <w:r>
        <w:rPr>
          <w:rFonts w:hint="eastAsia" w:ascii="宋体" w:eastAsia="宋体"/>
          <w:sz w:val="24"/>
          <w:highlight w:val="none"/>
        </w:rPr>
        <w:t>特定主体、受控于该特定主体，或与该特定主体共同受控于他人的任何其他主体。 “工作日”指除星期六，星期日和中国法定假期之外的公历日。</w:t>
      </w:r>
    </w:p>
    <w:p w14:paraId="0305DEC2">
      <w:pPr>
        <w:spacing w:line="300" w:lineRule="auto"/>
        <w:ind w:firstLine="482"/>
        <w:jc w:val="left"/>
        <w:rPr>
          <w:rFonts w:ascii="宋体" w:eastAsia="宋体"/>
          <w:sz w:val="24"/>
          <w:highlight w:val="none"/>
        </w:rPr>
      </w:pPr>
      <w:r>
        <w:rPr>
          <w:rFonts w:hint="eastAsia" w:ascii="宋体" w:eastAsia="宋体"/>
          <w:sz w:val="24"/>
          <w:highlight w:val="none"/>
        </w:rPr>
        <w:t>“投资合作文件”指本协议、公司章程及其他与本次投资合作相关的法律文件。</w:t>
      </w:r>
    </w:p>
    <w:p w14:paraId="133F6EF4">
      <w:pPr>
        <w:spacing w:line="300" w:lineRule="auto"/>
        <w:ind w:firstLine="482"/>
        <w:jc w:val="left"/>
        <w:rPr>
          <w:rFonts w:ascii="宋体" w:eastAsia="宋体"/>
          <w:sz w:val="24"/>
          <w:highlight w:val="none"/>
        </w:rPr>
      </w:pPr>
      <w:r>
        <w:rPr>
          <w:rFonts w:hint="eastAsia" w:ascii="宋体" w:eastAsia="宋体"/>
          <w:sz w:val="24"/>
          <w:highlight w:val="none"/>
        </w:rPr>
        <w:t>“合资公司或公司”指甲乙双方根据本协议、公司章程及其他与本次投资合作相关的法 律文件共同出资设立的作为打造粤上白云间项目的合作平台的有限责任公司。</w:t>
      </w:r>
    </w:p>
    <w:p w14:paraId="03903C25">
      <w:pPr>
        <w:spacing w:line="300" w:lineRule="auto"/>
        <w:ind w:firstLine="482"/>
        <w:jc w:val="left"/>
        <w:rPr>
          <w:rFonts w:ascii="宋体" w:eastAsia="宋体"/>
          <w:sz w:val="24"/>
          <w:highlight w:val="none"/>
        </w:rPr>
      </w:pPr>
      <w:r>
        <w:rPr>
          <w:rFonts w:hint="eastAsia" w:ascii="宋体" w:eastAsia="宋体"/>
          <w:sz w:val="24"/>
          <w:highlight w:val="none"/>
        </w:rPr>
        <w:t>“主体”指任何个人、合伙、公司、有限责任公司、股份有限公司、协会、信托、合作 组织、非公司组织或其他合法实体。</w:t>
      </w:r>
    </w:p>
    <w:p w14:paraId="4F601615">
      <w:pPr>
        <w:spacing w:line="300" w:lineRule="auto"/>
        <w:ind w:firstLine="482"/>
        <w:jc w:val="left"/>
        <w:rPr>
          <w:rFonts w:ascii="宋体" w:eastAsia="宋体"/>
          <w:sz w:val="24"/>
          <w:highlight w:val="none"/>
        </w:rPr>
      </w:pPr>
      <w:r>
        <w:rPr>
          <w:rFonts w:hint="eastAsia" w:ascii="宋体" w:eastAsia="宋体"/>
          <w:sz w:val="24"/>
          <w:highlight w:val="none"/>
        </w:rPr>
        <w:t>“请求”指任何诉讼、申诉、请求、上诉、仲裁申请、要求、权利主张、调查、和解裁 定或和解协议。</w:t>
      </w:r>
    </w:p>
    <w:p w14:paraId="343BF7C6">
      <w:pPr>
        <w:spacing w:line="300" w:lineRule="auto"/>
        <w:ind w:firstLine="482"/>
        <w:jc w:val="left"/>
        <w:rPr>
          <w:rFonts w:ascii="宋体" w:eastAsia="宋体"/>
          <w:sz w:val="24"/>
          <w:highlight w:val="none"/>
        </w:rPr>
      </w:pPr>
      <w:r>
        <w:rPr>
          <w:rFonts w:hint="eastAsia" w:ascii="宋体" w:eastAsia="宋体"/>
          <w:sz w:val="24"/>
          <w:highlight w:val="none"/>
        </w:rPr>
        <w:t>“知识产权”包括专利、专利申请、发明创造、实用新型、外观设计、注册商标、商标 申请、未注册标识、服务标记、注册设计、未注册设计权、技术图纸、商业名称、数 据库权利、互联网域名、品牌名称、计算机软件程序和系统、专有技术、商誉、商业 秘密(商业秘密包括但不限于制造和生产的工艺和诀窍、研发资料、技术、图纸、设 计、方案、技术数据、财务、市场营销和业务数据、定价和成本资料、业务和市场营 销计划、客户和供应商名录及资料、以及其他保密或专有的资料)、保密资料和其他 工业或商业知识产权(无论是否已经注册或者是否能获得注册),以及为上述各项申 请注册或保护的所有申请文件。</w:t>
      </w:r>
    </w:p>
    <w:p w14:paraId="7B9D4017">
      <w:pPr>
        <w:spacing w:line="300" w:lineRule="auto"/>
        <w:ind w:firstLine="482"/>
        <w:jc w:val="left"/>
        <w:rPr>
          <w:rFonts w:ascii="宋体" w:eastAsia="宋体"/>
          <w:sz w:val="24"/>
          <w:highlight w:val="none"/>
        </w:rPr>
      </w:pPr>
      <w:r>
        <w:rPr>
          <w:rFonts w:hint="eastAsia" w:ascii="宋体" w:eastAsia="宋体"/>
          <w:sz w:val="24"/>
          <w:highlight w:val="none"/>
        </w:rPr>
        <w:t>“税务”或“税金”由任何政府或税务部门征收的任何类别的任何税金、费用、征费、税 款、关税和其他收费(连同因此收取的任何利息、罚金、附加税和额外款项)。</w:t>
      </w:r>
    </w:p>
    <w:p w14:paraId="5AB0B867">
      <w:pPr>
        <w:spacing w:line="300" w:lineRule="auto"/>
        <w:ind w:firstLine="482"/>
        <w:jc w:val="left"/>
        <w:rPr>
          <w:rFonts w:ascii="宋体" w:eastAsia="宋体"/>
          <w:sz w:val="24"/>
          <w:highlight w:val="none"/>
        </w:rPr>
      </w:pPr>
      <w:r>
        <w:rPr>
          <w:rFonts w:hint="eastAsia" w:ascii="宋体" w:eastAsia="宋体"/>
          <w:sz w:val="24"/>
          <w:highlight w:val="none"/>
        </w:rPr>
        <w:t>“诉求”指由任何政府部门提起的或向任何政府部门提起的任何权利主张、诉讼、申 诉、仲裁、质询、调查等法律程序。</w:t>
      </w:r>
    </w:p>
    <w:p w14:paraId="489F1F9C">
      <w:pPr>
        <w:spacing w:line="300" w:lineRule="auto"/>
        <w:ind w:firstLine="482"/>
        <w:jc w:val="left"/>
        <w:rPr>
          <w:rFonts w:ascii="宋体" w:eastAsia="宋体"/>
          <w:sz w:val="24"/>
          <w:highlight w:val="none"/>
        </w:rPr>
      </w:pPr>
      <w:r>
        <w:rPr>
          <w:rFonts w:hint="eastAsia" w:ascii="宋体" w:eastAsia="宋体"/>
          <w:sz w:val="24"/>
          <w:highlight w:val="none"/>
        </w:rPr>
        <w:t>“公司章程”指附件1所列由甲乙双方签署的，体现本次投资合作的合资公司章程。</w:t>
      </w:r>
    </w:p>
    <w:p w14:paraId="1B8C757F">
      <w:pPr>
        <w:spacing w:line="300" w:lineRule="auto"/>
        <w:ind w:firstLine="482"/>
        <w:jc w:val="left"/>
        <w:rPr>
          <w:rFonts w:ascii="宋体" w:eastAsia="宋体"/>
          <w:sz w:val="24"/>
          <w:highlight w:val="none"/>
        </w:rPr>
      </w:pPr>
      <w:r>
        <w:rPr>
          <w:rFonts w:hint="eastAsia" w:ascii="宋体" w:eastAsia="宋体"/>
          <w:sz w:val="24"/>
          <w:highlight w:val="none"/>
        </w:rPr>
        <w:t>“债务”就任何主体而言，指该主体支付款项的所有义务，包括但不限于：1.所借入或 筹集的应还款项；2.承兑信用、跟单信用证或商业票据贷款；3.任何债券、票据、贷 款、汇票或类似凭证；4.所购买资产或服务的延期付款、履行合同义务应支付的款项、任何违约金；5.主要为筹集资金或为购买租赁资产进行融资而订立的租约(无论 是有关土地、机械、设备或其他项目的租约)项下的租金付款；6.就履行合同而出具的担保、保函、备用信用证或其他文件；7.对与任何主体的义务有关的财务损失的抵押、担保或其他保证。</w:t>
      </w:r>
    </w:p>
    <w:p w14:paraId="76844A19">
      <w:pPr>
        <w:spacing w:line="300" w:lineRule="auto"/>
        <w:ind w:firstLine="482"/>
        <w:jc w:val="left"/>
        <w:rPr>
          <w:rFonts w:ascii="宋体" w:eastAsia="宋体"/>
          <w:sz w:val="24"/>
          <w:highlight w:val="none"/>
        </w:rPr>
      </w:pPr>
      <w:r>
        <w:rPr>
          <w:rFonts w:hint="eastAsia" w:ascii="宋体" w:eastAsia="宋体"/>
          <w:sz w:val="24"/>
          <w:highlight w:val="none"/>
        </w:rPr>
        <w:t>“政府部门”指中国或除中国以外的任何具有管辖权的国家的中央、地方政府、监管或 行政机构、部门或委员会或任何法院、法庭或司法或仲裁机构。</w:t>
      </w:r>
    </w:p>
    <w:p w14:paraId="4C1B8D6E">
      <w:pPr>
        <w:spacing w:line="300" w:lineRule="auto"/>
        <w:ind w:firstLine="482"/>
        <w:jc w:val="left"/>
        <w:rPr>
          <w:rFonts w:ascii="宋体" w:eastAsia="宋体"/>
          <w:sz w:val="24"/>
          <w:highlight w:val="none"/>
        </w:rPr>
      </w:pPr>
      <w:r>
        <w:rPr>
          <w:rFonts w:hint="eastAsia" w:ascii="宋体" w:eastAsia="宋体"/>
          <w:sz w:val="24"/>
          <w:highlight w:val="none"/>
        </w:rPr>
        <w:t>“政府指令”指由任何政府部门或会同任何政府部门作出的任何命令、判决、禁令、裁定、规定、决定或裁决。</w:t>
      </w:r>
    </w:p>
    <w:p w14:paraId="580D819D">
      <w:pPr>
        <w:spacing w:line="300" w:lineRule="auto"/>
        <w:ind w:firstLine="482"/>
        <w:jc w:val="left"/>
        <w:rPr>
          <w:rFonts w:ascii="宋体" w:eastAsia="宋体"/>
          <w:sz w:val="24"/>
          <w:highlight w:val="none"/>
        </w:rPr>
      </w:pPr>
      <w:r>
        <w:rPr>
          <w:rFonts w:hint="eastAsia" w:ascii="宋体" w:eastAsia="宋体"/>
          <w:sz w:val="24"/>
          <w:highlight w:val="none"/>
        </w:rPr>
        <w:t>“重大不利影响/变化”指下述涉及业务或公司的任何情况、变更或影响：该情况、变更 或影响1.对公司的存续、主营业务、资产、知识产权、负债(包括但不限于或有责 任)、财务状况、经营业绩、经营前景或财务状况造成、或有充分证据显示可能造成 严重不利影响，导致公司资产损失超过其净资产的10%;2.对公司经营目前业务的资 质、牌照或能力产生、或有充分证据显示可能产生严重不利影响。</w:t>
      </w:r>
    </w:p>
    <w:p w14:paraId="193236E9">
      <w:pPr>
        <w:spacing w:line="300" w:lineRule="auto"/>
        <w:ind w:firstLine="482"/>
        <w:jc w:val="left"/>
        <w:rPr>
          <w:rFonts w:ascii="宋体" w:eastAsia="宋体"/>
          <w:sz w:val="24"/>
          <w:highlight w:val="none"/>
        </w:rPr>
      </w:pPr>
      <w:r>
        <w:rPr>
          <w:rFonts w:hint="eastAsia" w:ascii="宋体" w:eastAsia="宋体"/>
          <w:sz w:val="24"/>
          <w:highlight w:val="none"/>
        </w:rPr>
        <w:t>“重大合同”指对公司的存续、发展、财务或主营业务而言是重要的、或对公司构成重 大限制的、或缺少该合同或协议会对公司的存续、发展、财务状况或主营业务造成重 大不利影响的所有合同、协议、备忘录、意向书或其他法律文件，无论该等合同或协 议是否是在正常业务经营过程中订立的，任何交易金额超过人民币500万元的合同。</w:t>
      </w:r>
    </w:p>
    <w:p w14:paraId="36713813">
      <w:pPr>
        <w:spacing w:line="300" w:lineRule="auto"/>
        <w:ind w:firstLine="482"/>
        <w:jc w:val="left"/>
        <w:rPr>
          <w:rFonts w:ascii="宋体" w:eastAsia="宋体"/>
          <w:sz w:val="24"/>
          <w:highlight w:val="none"/>
        </w:rPr>
      </w:pPr>
      <w:r>
        <w:rPr>
          <w:rFonts w:hint="eastAsia" w:ascii="宋体" w:eastAsia="宋体"/>
          <w:sz w:val="24"/>
          <w:highlight w:val="none"/>
        </w:rPr>
        <w:t>“人民币”指人民币元，中国的法定货币。</w:t>
      </w:r>
    </w:p>
    <w:p w14:paraId="308109EB">
      <w:pPr>
        <w:spacing w:line="300" w:lineRule="auto"/>
        <w:ind w:firstLine="482"/>
        <w:jc w:val="left"/>
        <w:rPr>
          <w:rFonts w:ascii="宋体" w:eastAsia="宋体"/>
          <w:sz w:val="24"/>
          <w:highlight w:val="none"/>
        </w:rPr>
      </w:pPr>
    </w:p>
    <w:p w14:paraId="61664E1E">
      <w:pPr>
        <w:spacing w:line="300" w:lineRule="auto"/>
        <w:ind w:firstLine="482"/>
        <w:jc w:val="left"/>
        <w:outlineLvl w:val="0"/>
        <w:rPr>
          <w:rFonts w:ascii="宋体" w:eastAsia="宋体"/>
          <w:sz w:val="24"/>
          <w:highlight w:val="none"/>
        </w:rPr>
      </w:pPr>
      <w:bookmarkStart w:id="13" w:name="_Toc12278"/>
      <w:bookmarkStart w:id="14" w:name="_Toc12072"/>
      <w:r>
        <w:rPr>
          <w:rFonts w:hint="eastAsia" w:ascii="宋体" w:eastAsia="宋体"/>
          <w:sz w:val="24"/>
          <w:highlight w:val="none"/>
        </w:rPr>
        <w:t>第1.2条 语言文字</w:t>
      </w:r>
      <w:bookmarkEnd w:id="13"/>
      <w:bookmarkEnd w:id="14"/>
    </w:p>
    <w:p w14:paraId="2CCFB542">
      <w:pPr>
        <w:spacing w:line="300" w:lineRule="auto"/>
        <w:ind w:firstLine="482"/>
        <w:jc w:val="left"/>
        <w:rPr>
          <w:rFonts w:ascii="宋体" w:eastAsia="宋体"/>
          <w:sz w:val="24"/>
          <w:highlight w:val="none"/>
        </w:rPr>
      </w:pPr>
      <w:r>
        <w:rPr>
          <w:rFonts w:hint="eastAsia" w:ascii="宋体" w:eastAsia="宋体"/>
          <w:sz w:val="24"/>
          <w:highlight w:val="none"/>
        </w:rPr>
        <w:t>除协议另有约定外，本协议以中国的汉语简体文字编写、解释和说明。协议各方在协议中约定使用两种以上语言的，汉语为优先解释和说明协议的语言。</w:t>
      </w:r>
      <w:bookmarkEnd w:id="10"/>
      <w:bookmarkEnd w:id="11"/>
    </w:p>
    <w:p w14:paraId="37696F15">
      <w:pPr>
        <w:spacing w:line="300" w:lineRule="auto"/>
        <w:ind w:firstLine="482"/>
        <w:jc w:val="left"/>
        <w:outlineLvl w:val="0"/>
        <w:rPr>
          <w:rFonts w:ascii="宋体" w:eastAsia="宋体"/>
          <w:sz w:val="24"/>
          <w:highlight w:val="none"/>
        </w:rPr>
      </w:pPr>
      <w:bookmarkStart w:id="15" w:name="_Toc12349"/>
      <w:bookmarkStart w:id="16" w:name="_Toc15764"/>
      <w:bookmarkStart w:id="17" w:name="_Toc29803"/>
      <w:r>
        <w:rPr>
          <w:rFonts w:hint="eastAsia" w:ascii="宋体" w:eastAsia="宋体"/>
          <w:sz w:val="24"/>
          <w:highlight w:val="none"/>
        </w:rPr>
        <w:t>第1.2条解释和解释规则</w:t>
      </w:r>
      <w:bookmarkEnd w:id="15"/>
      <w:bookmarkEnd w:id="16"/>
      <w:bookmarkEnd w:id="17"/>
    </w:p>
    <w:p w14:paraId="62D744C1">
      <w:pPr>
        <w:spacing w:line="300" w:lineRule="auto"/>
        <w:ind w:firstLine="482"/>
        <w:jc w:val="left"/>
        <w:rPr>
          <w:rFonts w:ascii="宋体" w:eastAsia="宋体"/>
          <w:sz w:val="24"/>
          <w:highlight w:val="none"/>
        </w:rPr>
      </w:pPr>
      <w:r>
        <w:rPr>
          <w:rFonts w:hint="eastAsia" w:ascii="宋体" w:eastAsia="宋体"/>
          <w:sz w:val="24"/>
          <w:highlight w:val="none"/>
        </w:rPr>
        <w:t>在本协议中，除上下文另有规定外：</w:t>
      </w:r>
    </w:p>
    <w:p w14:paraId="77758EEE">
      <w:pPr>
        <w:spacing w:line="300" w:lineRule="auto"/>
        <w:ind w:firstLine="482"/>
        <w:jc w:val="left"/>
        <w:rPr>
          <w:rFonts w:ascii="宋体" w:eastAsia="宋体"/>
          <w:sz w:val="24"/>
          <w:highlight w:val="none"/>
        </w:rPr>
      </w:pPr>
      <w:r>
        <w:rPr>
          <w:rFonts w:hint="eastAsia" w:ascii="宋体" w:eastAsia="宋体"/>
          <w:sz w:val="24"/>
          <w:highlight w:val="none"/>
        </w:rPr>
        <w:t>1.当在本协议中提到条、章、附录、附件、序言或前述时，指的是本协议的条、 章、附录、附件、序言或前述，除非另作说明，而且该等条、章、附录、附件、 序言和前述应被视作本协议的一部分；</w:t>
      </w:r>
    </w:p>
    <w:p w14:paraId="73F93319">
      <w:pPr>
        <w:spacing w:line="300" w:lineRule="auto"/>
        <w:ind w:firstLine="482"/>
        <w:jc w:val="left"/>
        <w:rPr>
          <w:rFonts w:ascii="宋体" w:eastAsia="宋体"/>
          <w:sz w:val="24"/>
          <w:highlight w:val="none"/>
        </w:rPr>
      </w:pPr>
      <w:r>
        <w:rPr>
          <w:rFonts w:hint="eastAsia" w:ascii="宋体" w:eastAsia="宋体"/>
          <w:sz w:val="24"/>
          <w:highlight w:val="none"/>
        </w:rPr>
        <w:t>2.本协议的目录和标题仅为查阅方便而设，不以任何方式影响本协议的含义或解释；</w:t>
      </w:r>
    </w:p>
    <w:p w14:paraId="3A2A42FD">
      <w:pPr>
        <w:spacing w:line="300" w:lineRule="auto"/>
        <w:ind w:firstLine="482"/>
        <w:jc w:val="left"/>
        <w:rPr>
          <w:rFonts w:ascii="宋体" w:eastAsia="宋体"/>
          <w:sz w:val="24"/>
          <w:highlight w:val="none"/>
        </w:rPr>
        <w:sectPr>
          <w:footerReference r:id="rId4" w:type="default"/>
          <w:pgSz w:w="11906" w:h="16838"/>
          <w:pgMar w:top="1440" w:right="1800" w:bottom="1440" w:left="1800" w:header="851" w:footer="992" w:gutter="0"/>
          <w:cols w:space="425" w:num="1"/>
          <w:docGrid w:type="lines" w:linePitch="312" w:charSpace="0"/>
        </w:sectPr>
      </w:pPr>
    </w:p>
    <w:p w14:paraId="0258B5F6">
      <w:pPr>
        <w:spacing w:line="300" w:lineRule="auto"/>
        <w:ind w:firstLine="482"/>
        <w:jc w:val="left"/>
        <w:rPr>
          <w:rFonts w:ascii="宋体" w:eastAsia="宋体"/>
          <w:sz w:val="24"/>
          <w:highlight w:val="none"/>
        </w:rPr>
      </w:pPr>
      <w:r>
        <w:rPr>
          <w:rFonts w:hint="eastAsia" w:ascii="宋体" w:eastAsia="宋体"/>
          <w:sz w:val="24"/>
          <w:highlight w:val="none"/>
        </w:rPr>
        <w:t>3.在本协议中使用“包括”一词时，均应视为其后带有“但不限于”;</w:t>
      </w:r>
    </w:p>
    <w:p w14:paraId="20494DE0">
      <w:pPr>
        <w:spacing w:line="300" w:lineRule="auto"/>
        <w:ind w:firstLine="482"/>
        <w:jc w:val="left"/>
        <w:rPr>
          <w:rFonts w:ascii="宋体" w:eastAsia="宋体"/>
          <w:sz w:val="24"/>
          <w:highlight w:val="none"/>
        </w:rPr>
      </w:pPr>
      <w:r>
        <w:rPr>
          <w:rFonts w:hint="eastAsia" w:ascii="宋体" w:eastAsia="宋体"/>
          <w:sz w:val="24"/>
          <w:highlight w:val="none"/>
        </w:rPr>
        <w:t>4.在本协议中或在本协议所提及的任何协议或文件中定义或提及的任何法律法规， 指随时作出修订、修改或补充的法律法规，包括取代原法律法规的后续法律法 规；</w:t>
      </w:r>
    </w:p>
    <w:p w14:paraId="373D4400">
      <w:pPr>
        <w:spacing w:line="300" w:lineRule="auto"/>
        <w:ind w:firstLine="482"/>
        <w:jc w:val="left"/>
        <w:rPr>
          <w:rFonts w:ascii="宋体" w:eastAsia="宋体"/>
          <w:sz w:val="24"/>
          <w:highlight w:val="none"/>
        </w:rPr>
      </w:pPr>
      <w:r>
        <w:rPr>
          <w:rFonts w:hint="eastAsia" w:ascii="宋体" w:eastAsia="宋体"/>
          <w:sz w:val="24"/>
          <w:highlight w:val="none"/>
        </w:rPr>
        <w:t>5.对主体的提及亦指其经准许的继承人和受让人；</w:t>
      </w:r>
    </w:p>
    <w:p w14:paraId="44667244">
      <w:pPr>
        <w:spacing w:line="300" w:lineRule="auto"/>
        <w:ind w:firstLine="482"/>
        <w:jc w:val="left"/>
        <w:rPr>
          <w:rFonts w:ascii="宋体" w:eastAsia="宋体"/>
          <w:sz w:val="24"/>
          <w:highlight w:val="none"/>
        </w:rPr>
      </w:pPr>
      <w:r>
        <w:rPr>
          <w:rFonts w:hint="eastAsia" w:ascii="宋体" w:eastAsia="宋体"/>
          <w:sz w:val="24"/>
          <w:highlight w:val="none"/>
        </w:rPr>
        <w:t>6.在本协议中使用的“本协议的”、“本协议中”和“本协议项下”以及有类似含义的词语，均指本协议的全部而非本协议的某一条款。</w:t>
      </w:r>
    </w:p>
    <w:p w14:paraId="293A725F">
      <w:pPr>
        <w:spacing w:line="300" w:lineRule="auto"/>
        <w:ind w:firstLine="482"/>
        <w:jc w:val="left"/>
        <w:rPr>
          <w:rFonts w:ascii="宋体" w:eastAsia="宋体"/>
          <w:sz w:val="24"/>
          <w:highlight w:val="none"/>
        </w:rPr>
      </w:pPr>
      <w:r>
        <w:rPr>
          <w:rFonts w:hint="eastAsia" w:ascii="宋体" w:eastAsia="宋体"/>
          <w:sz w:val="24"/>
          <w:highlight w:val="none"/>
        </w:rPr>
        <w:t>7.月和年是指公历的月和年。</w:t>
      </w:r>
    </w:p>
    <w:p w14:paraId="42426DEB">
      <w:pPr>
        <w:spacing w:line="300" w:lineRule="auto"/>
        <w:ind w:firstLine="482"/>
        <w:jc w:val="left"/>
        <w:rPr>
          <w:rFonts w:ascii="宋体" w:eastAsia="宋体"/>
          <w:sz w:val="24"/>
          <w:highlight w:val="none"/>
        </w:rPr>
      </w:pPr>
      <w:r>
        <w:rPr>
          <w:rFonts w:hint="eastAsia" w:ascii="宋体" w:eastAsia="宋体"/>
          <w:sz w:val="24"/>
          <w:highlight w:val="none"/>
        </w:rPr>
        <w:t>8.因国家、地方政府、行业颁布新的规范和标准等，致使本 协议引用的规范和标准不再适用的，协议各方应确保本协议符合最新的规范和标准。</w:t>
      </w:r>
    </w:p>
    <w:p w14:paraId="097FAE2F">
      <w:pPr>
        <w:spacing w:line="300" w:lineRule="auto"/>
        <w:ind w:firstLine="482"/>
        <w:jc w:val="left"/>
        <w:rPr>
          <w:rFonts w:ascii="宋体" w:eastAsia="宋体"/>
          <w:sz w:val="24"/>
          <w:highlight w:val="none"/>
        </w:rPr>
      </w:pPr>
      <w:r>
        <w:rPr>
          <w:rFonts w:hint="eastAsia" w:ascii="宋体" w:eastAsia="宋体"/>
          <w:sz w:val="24"/>
          <w:highlight w:val="none"/>
        </w:rPr>
        <w:t>9.按照本协议发出或颁布的与本协议有关的任何通知、同意、 批准、证明或决定，除另有说明外，均应以书面形式。书面形式包括 传真、电子数据交换和电子邮件等以有形表现所载内容的形式。</w:t>
      </w:r>
    </w:p>
    <w:p w14:paraId="024A0470">
      <w:pPr>
        <w:spacing w:line="300" w:lineRule="auto"/>
        <w:ind w:firstLine="482"/>
        <w:jc w:val="left"/>
        <w:rPr>
          <w:rFonts w:ascii="宋体" w:eastAsia="宋体"/>
          <w:b/>
          <w:bCs/>
          <w:sz w:val="24"/>
          <w:highlight w:val="none"/>
        </w:rPr>
      </w:pPr>
      <w:bookmarkStart w:id="18" w:name="_Toc27646"/>
      <w:bookmarkStart w:id="19" w:name="_Toc128"/>
    </w:p>
    <w:p w14:paraId="6C98FB7A">
      <w:pPr>
        <w:spacing w:before="100" w:after="100"/>
        <w:jc w:val="left"/>
        <w:outlineLvl w:val="0"/>
        <w:rPr>
          <w:rFonts w:ascii="黑体" w:eastAsia="黑体"/>
          <w:bCs/>
          <w:sz w:val="28"/>
          <w:highlight w:val="none"/>
        </w:rPr>
      </w:pPr>
      <w:bookmarkStart w:id="20" w:name="_Toc9985"/>
      <w:bookmarkStart w:id="21" w:name="_Toc23865"/>
      <w:r>
        <w:rPr>
          <w:rFonts w:hint="eastAsia" w:ascii="黑体" w:eastAsia="黑体"/>
          <w:bCs/>
          <w:sz w:val="28"/>
          <w:highlight w:val="none"/>
        </w:rPr>
        <w:t>第2章投资合作</w:t>
      </w:r>
      <w:bookmarkEnd w:id="18"/>
      <w:bookmarkEnd w:id="20"/>
      <w:bookmarkEnd w:id="21"/>
    </w:p>
    <w:p w14:paraId="43F45967">
      <w:pPr>
        <w:spacing w:line="300" w:lineRule="auto"/>
        <w:ind w:firstLine="482"/>
        <w:jc w:val="left"/>
        <w:outlineLvl w:val="0"/>
        <w:rPr>
          <w:rFonts w:ascii="宋体" w:eastAsia="宋体"/>
          <w:sz w:val="24"/>
          <w:highlight w:val="none"/>
        </w:rPr>
      </w:pPr>
      <w:bookmarkStart w:id="22" w:name="_Toc18128"/>
      <w:bookmarkStart w:id="23" w:name="_Toc29592"/>
      <w:bookmarkStart w:id="24" w:name="_Toc24319"/>
      <w:r>
        <w:rPr>
          <w:rFonts w:hint="eastAsia" w:ascii="宋体" w:eastAsia="宋体"/>
          <w:sz w:val="24"/>
          <w:highlight w:val="none"/>
        </w:rPr>
        <w:t>第2.1条合作内容</w:t>
      </w:r>
      <w:bookmarkEnd w:id="22"/>
      <w:bookmarkEnd w:id="23"/>
      <w:bookmarkEnd w:id="24"/>
    </w:p>
    <w:p w14:paraId="1016AC59">
      <w:pPr>
        <w:spacing w:line="300" w:lineRule="auto"/>
        <w:ind w:firstLine="482"/>
        <w:jc w:val="left"/>
        <w:rPr>
          <w:rFonts w:ascii="宋体" w:eastAsia="宋体"/>
          <w:sz w:val="24"/>
          <w:highlight w:val="none"/>
        </w:rPr>
      </w:pPr>
      <w:r>
        <w:rPr>
          <w:rFonts w:hint="eastAsia" w:ascii="宋体" w:eastAsia="宋体"/>
          <w:sz w:val="24"/>
          <w:highlight w:val="none"/>
        </w:rPr>
        <w:t>本协议合作范围为石井河粤上白云间文旅项目，包括石井河首开段（海军桥至潭溪路桥段水域）水上项目、石井河首开段周边物业投资建设经营。</w:t>
      </w:r>
    </w:p>
    <w:p w14:paraId="50DE8356">
      <w:pPr>
        <w:spacing w:line="300" w:lineRule="auto"/>
        <w:ind w:firstLine="482"/>
        <w:jc w:val="left"/>
        <w:outlineLvl w:val="1"/>
        <w:rPr>
          <w:rFonts w:ascii="宋体" w:eastAsia="宋体"/>
          <w:sz w:val="24"/>
          <w:highlight w:val="none"/>
        </w:rPr>
      </w:pPr>
      <w:r>
        <w:rPr>
          <w:rFonts w:hint="eastAsia" w:ascii="宋体" w:eastAsia="宋体"/>
          <w:sz w:val="24"/>
          <w:highlight w:val="none"/>
        </w:rPr>
        <w:t>1.项目具体建设内容</w:t>
      </w:r>
    </w:p>
    <w:p w14:paraId="03614C25">
      <w:pPr>
        <w:spacing w:line="300" w:lineRule="auto"/>
        <w:ind w:firstLine="482"/>
        <w:jc w:val="left"/>
        <w:rPr>
          <w:rFonts w:ascii="宋体" w:eastAsia="宋体"/>
          <w:sz w:val="24"/>
          <w:highlight w:val="none"/>
        </w:rPr>
      </w:pPr>
      <w:r>
        <w:rPr>
          <w:rFonts w:hint="eastAsia" w:ascii="宋体" w:eastAsia="宋体"/>
          <w:sz w:val="24"/>
          <w:highlight w:val="none"/>
        </w:rPr>
        <w:t>（1）夜游建设部分。夜游演艺内容的导演策划及音乐视频的制作；景观照明系统、演艺灯光系统、舞台舞美装置及机械系统、水秀喷泉系统、强弱电系统、总控系统、音响及监控系统的安装工程；游船停靠浮动设施的安装工程。</w:t>
      </w:r>
    </w:p>
    <w:p w14:paraId="46B2C902">
      <w:pPr>
        <w:spacing w:line="300" w:lineRule="auto"/>
        <w:ind w:firstLine="482"/>
        <w:jc w:val="left"/>
        <w:rPr>
          <w:rFonts w:ascii="宋体" w:eastAsia="宋体"/>
          <w:sz w:val="24"/>
          <w:highlight w:val="none"/>
        </w:rPr>
      </w:pPr>
      <w:r>
        <w:rPr>
          <w:rFonts w:hint="eastAsia" w:ascii="宋体" w:eastAsia="宋体"/>
          <w:sz w:val="24"/>
          <w:highlight w:val="none"/>
        </w:rPr>
        <w:t>（2）</w:t>
      </w:r>
      <w:r>
        <w:rPr>
          <w:rFonts w:hint="eastAsia" w:ascii="宋体" w:eastAsia="宋体"/>
          <w:sz w:val="24"/>
          <w:highlight w:val="none"/>
          <w:lang w:val="en-US" w:eastAsia="zh-CN"/>
        </w:rPr>
        <w:t>船只</w:t>
      </w:r>
      <w:r>
        <w:rPr>
          <w:rFonts w:hint="eastAsia" w:ascii="宋体" w:eastAsia="宋体"/>
          <w:sz w:val="24"/>
          <w:highlight w:val="none"/>
        </w:rPr>
        <w:t>的购置。</w:t>
      </w:r>
    </w:p>
    <w:p w14:paraId="53D639F3">
      <w:pPr>
        <w:spacing w:line="300" w:lineRule="auto"/>
        <w:ind w:firstLine="482"/>
        <w:jc w:val="left"/>
        <w:rPr>
          <w:rFonts w:ascii="宋体" w:eastAsia="宋体"/>
          <w:sz w:val="24"/>
          <w:highlight w:val="none"/>
        </w:rPr>
      </w:pPr>
      <w:r>
        <w:rPr>
          <w:rFonts w:ascii="宋体" w:eastAsia="宋体"/>
          <w:sz w:val="24"/>
          <w:highlight w:val="none"/>
        </w:rPr>
        <w:t>（3）</w:t>
      </w:r>
      <w:r>
        <w:rPr>
          <w:rFonts w:hint="eastAsia" w:ascii="宋体" w:eastAsia="宋体"/>
          <w:sz w:val="24"/>
          <w:highlight w:val="none"/>
        </w:rPr>
        <w:t>停车场建设。</w:t>
      </w:r>
    </w:p>
    <w:p w14:paraId="5C7A1284">
      <w:pPr>
        <w:spacing w:line="300" w:lineRule="auto"/>
        <w:ind w:firstLine="482"/>
        <w:jc w:val="left"/>
        <w:rPr>
          <w:rFonts w:ascii="宋体" w:eastAsia="宋体"/>
          <w:sz w:val="24"/>
          <w:highlight w:val="none"/>
        </w:rPr>
      </w:pPr>
      <w:r>
        <w:rPr>
          <w:rFonts w:ascii="宋体" w:eastAsia="宋体"/>
          <w:sz w:val="24"/>
          <w:highlight w:val="none"/>
        </w:rPr>
        <w:t>（4）</w:t>
      </w:r>
      <w:r>
        <w:rPr>
          <w:rFonts w:hint="eastAsia" w:ascii="宋体" w:eastAsia="宋体"/>
          <w:sz w:val="24"/>
          <w:highlight w:val="none"/>
        </w:rPr>
        <w:t>石潭路商业街商铺物业的装修改造工程、升平社学加固修缮工程。</w:t>
      </w:r>
    </w:p>
    <w:p w14:paraId="522539BA">
      <w:pPr>
        <w:pStyle w:val="18"/>
        <w:spacing w:line="300" w:lineRule="auto"/>
        <w:ind w:firstLine="482"/>
        <w:jc w:val="left"/>
        <w:outlineLvl w:val="1"/>
        <w:rPr>
          <w:rFonts w:hint="eastAsia" w:ascii="宋体" w:eastAsia="宋体" w:hAnsiTheme="minorEastAsia" w:cstheme="minorEastAsia"/>
          <w:sz w:val="24"/>
          <w:highlight w:val="none"/>
        </w:rPr>
      </w:pPr>
      <w:r>
        <w:rPr>
          <w:rFonts w:hint="eastAsia" w:ascii="宋体" w:eastAsia="宋体" w:hAnsiTheme="minorEastAsia" w:cstheme="minorEastAsia"/>
          <w:sz w:val="24"/>
          <w:highlight w:val="none"/>
        </w:rPr>
        <w:t>2.项目具体运营内容</w:t>
      </w:r>
    </w:p>
    <w:p w14:paraId="7924845C">
      <w:pPr>
        <w:pStyle w:val="18"/>
        <w:spacing w:line="300" w:lineRule="auto"/>
        <w:ind w:firstLine="482"/>
        <w:jc w:val="left"/>
        <w:rPr>
          <w:rFonts w:hint="eastAsia" w:ascii="宋体" w:eastAsia="宋体" w:hAnsiTheme="minorEastAsia" w:cstheme="minorEastAsia"/>
          <w:sz w:val="24"/>
          <w:highlight w:val="none"/>
        </w:rPr>
      </w:pPr>
      <w:r>
        <w:rPr>
          <w:rFonts w:hint="eastAsia" w:ascii="宋体" w:eastAsia="宋体" w:hAnsiTheme="minorEastAsia" w:cstheme="minorEastAsia"/>
          <w:sz w:val="24"/>
          <w:highlight w:val="none"/>
        </w:rPr>
        <w:t>项目河道游览及物业招商运营，河道游览主要指项目夜游演艺经营。</w:t>
      </w:r>
    </w:p>
    <w:p w14:paraId="08F6BDED">
      <w:pPr>
        <w:spacing w:line="300" w:lineRule="auto"/>
        <w:ind w:firstLine="482"/>
        <w:jc w:val="left"/>
        <w:rPr>
          <w:rFonts w:hint="eastAsia" w:ascii="宋体" w:eastAsia="宋体" w:hAnsiTheme="minorEastAsia"/>
          <w:sz w:val="24"/>
          <w:szCs w:val="21"/>
          <w:highlight w:val="none"/>
        </w:rPr>
      </w:pPr>
    </w:p>
    <w:p w14:paraId="7CE0F45A">
      <w:pPr>
        <w:spacing w:line="300" w:lineRule="auto"/>
        <w:ind w:firstLine="482"/>
        <w:jc w:val="left"/>
        <w:outlineLvl w:val="0"/>
        <w:rPr>
          <w:rFonts w:hint="eastAsia" w:ascii="宋体" w:eastAsia="宋体" w:hAnsiTheme="minorEastAsia"/>
          <w:sz w:val="24"/>
          <w:szCs w:val="21"/>
          <w:highlight w:val="none"/>
        </w:rPr>
      </w:pPr>
      <w:bookmarkStart w:id="25" w:name="_Toc17570"/>
      <w:bookmarkStart w:id="26" w:name="_Toc12793"/>
      <w:r>
        <w:rPr>
          <w:rFonts w:hint="eastAsia" w:ascii="宋体" w:eastAsia="宋体" w:hAnsiTheme="minorEastAsia"/>
          <w:sz w:val="24"/>
          <w:szCs w:val="21"/>
          <w:highlight w:val="none"/>
        </w:rPr>
        <w:t>第2.2条合作模式</w:t>
      </w:r>
      <w:bookmarkEnd w:id="25"/>
      <w:bookmarkEnd w:id="26"/>
    </w:p>
    <w:p w14:paraId="5D0B16EE">
      <w:pPr>
        <w:pStyle w:val="13"/>
        <w:spacing w:after="0" w:line="300" w:lineRule="auto"/>
        <w:ind w:left="0" w:leftChars="0" w:firstLine="482" w:firstLineChars="0"/>
        <w:jc w:val="left"/>
        <w:rPr>
          <w:rFonts w:ascii="宋体" w:hAnsi="Times New Roman" w:eastAsia="宋体" w:cs="Times New Roman"/>
          <w:sz w:val="24"/>
          <w:szCs w:val="32"/>
          <w:highlight w:val="none"/>
        </w:rPr>
      </w:pPr>
      <w:r>
        <w:rPr>
          <w:rFonts w:hint="eastAsia" w:ascii="宋体" w:eastAsia="宋体" w:hAnsiTheme="minorEastAsia"/>
          <w:sz w:val="24"/>
          <w:szCs w:val="21"/>
          <w:highlight w:val="none"/>
        </w:rPr>
        <w:t>本项目采用“投资建设运营一体化 ”的合作模式，甲乙双方签订《投资合作协议》后，甲乙双方共同出资成立合资公司，负责承担本协议合作范围内涉及所有项目的投资、建设及运营。合资公司成立后，合资公司进行项目融资工作。合资公司和乙方签订《项目总承包（</w:t>
      </w:r>
      <w:r>
        <w:rPr>
          <w:rFonts w:ascii="宋体" w:eastAsia="宋体" w:hAnsiTheme="minorEastAsia"/>
          <w:sz w:val="24"/>
          <w:szCs w:val="21"/>
          <w:highlight w:val="none"/>
        </w:rPr>
        <w:t>EPC）合同》</w:t>
      </w:r>
      <w:r>
        <w:rPr>
          <w:rFonts w:hint="eastAsia" w:ascii="宋体" w:eastAsia="宋体" w:hAnsiTheme="minorEastAsia"/>
          <w:sz w:val="24"/>
          <w:szCs w:val="21"/>
          <w:highlight w:val="none"/>
        </w:rPr>
        <w:t>《项目</w:t>
      </w:r>
      <w:r>
        <w:rPr>
          <w:rFonts w:hint="eastAsia" w:ascii="宋体" w:eastAsia="宋体" w:hAnsiTheme="minorEastAsia"/>
          <w:sz w:val="24"/>
          <w:szCs w:val="21"/>
          <w:highlight w:val="none"/>
          <w:lang w:val="en-US" w:eastAsia="zh-CN"/>
        </w:rPr>
        <w:t>运营服务</w:t>
      </w:r>
      <w:r>
        <w:rPr>
          <w:rFonts w:ascii="宋体" w:eastAsia="宋体" w:hAnsiTheme="minorEastAsia"/>
          <w:sz w:val="24"/>
          <w:szCs w:val="21"/>
          <w:highlight w:val="none"/>
        </w:rPr>
        <w:t>合同》</w:t>
      </w:r>
      <w:r>
        <w:rPr>
          <w:rFonts w:hint="eastAsia" w:ascii="宋体" w:eastAsia="宋体" w:hAnsiTheme="minorEastAsia"/>
          <w:sz w:val="24"/>
          <w:szCs w:val="21"/>
          <w:highlight w:val="none"/>
        </w:rPr>
        <w:t>，由乙方负责项目的设计采购施工（</w:t>
      </w:r>
      <w:r>
        <w:rPr>
          <w:rFonts w:ascii="宋体" w:eastAsia="宋体" w:hAnsiTheme="minorEastAsia"/>
          <w:sz w:val="24"/>
          <w:szCs w:val="21"/>
          <w:highlight w:val="none"/>
        </w:rPr>
        <w:t>EPC）工程</w:t>
      </w:r>
      <w:r>
        <w:rPr>
          <w:rFonts w:hint="eastAsia" w:ascii="宋体" w:eastAsia="宋体" w:hAnsiTheme="minorEastAsia"/>
          <w:sz w:val="24"/>
          <w:szCs w:val="21"/>
          <w:highlight w:val="none"/>
          <w:lang w:val="en-US" w:eastAsia="zh-CN"/>
        </w:rPr>
        <w:t>及日常运营服务</w:t>
      </w:r>
      <w:r>
        <w:rPr>
          <w:rFonts w:hint="eastAsia" w:ascii="宋体" w:eastAsia="宋体" w:hAnsiTheme="minorEastAsia"/>
          <w:sz w:val="24"/>
          <w:szCs w:val="21"/>
          <w:highlight w:val="none"/>
        </w:rPr>
        <w:t>。</w:t>
      </w:r>
    </w:p>
    <w:p w14:paraId="0D7B9A95">
      <w:pPr>
        <w:spacing w:line="300" w:lineRule="auto"/>
        <w:ind w:firstLine="482"/>
        <w:jc w:val="left"/>
        <w:outlineLvl w:val="1"/>
        <w:rPr>
          <w:rFonts w:hint="eastAsia" w:ascii="宋体" w:eastAsia="宋体" w:hAnsiTheme="minorEastAsia"/>
          <w:sz w:val="24"/>
          <w:szCs w:val="21"/>
          <w:highlight w:val="none"/>
        </w:rPr>
      </w:pPr>
      <w:r>
        <w:rPr>
          <w:rFonts w:hint="eastAsia" w:ascii="宋体" w:eastAsia="宋体" w:hAnsiTheme="minorEastAsia"/>
          <w:sz w:val="24"/>
          <w:szCs w:val="21"/>
          <w:highlight w:val="none"/>
        </w:rPr>
        <w:t>1</w:t>
      </w:r>
      <w:r>
        <w:rPr>
          <w:rFonts w:ascii="宋体" w:eastAsia="宋体" w:hAnsiTheme="minorEastAsia"/>
          <w:sz w:val="24"/>
          <w:szCs w:val="21"/>
          <w:highlight w:val="none"/>
        </w:rPr>
        <w:t>.甲方提供的条件</w:t>
      </w:r>
    </w:p>
    <w:p w14:paraId="59E5EBBE">
      <w:pPr>
        <w:pStyle w:val="24"/>
        <w:spacing w:after="0" w:line="300" w:lineRule="auto"/>
        <w:ind w:firstLine="482" w:firstLineChars="0"/>
        <w:jc w:val="left"/>
        <w:rPr>
          <w:rFonts w:hint="eastAsia" w:ascii="宋体" w:cs="宋体" w:hAnsiTheme="minorEastAsia"/>
          <w:sz w:val="24"/>
          <w:szCs w:val="21"/>
          <w:highlight w:val="none"/>
        </w:rPr>
      </w:pPr>
      <w:r>
        <w:rPr>
          <w:rFonts w:hint="eastAsia" w:ascii="宋体" w:cs="宋体" w:hAnsiTheme="minorEastAsia"/>
          <w:sz w:val="24"/>
          <w:szCs w:val="21"/>
          <w:highlight w:val="none"/>
        </w:rPr>
        <w:t>（</w:t>
      </w:r>
      <w:r>
        <w:rPr>
          <w:rFonts w:ascii="宋体" w:cs="宋体" w:hAnsiTheme="minorEastAsia"/>
          <w:sz w:val="24"/>
          <w:szCs w:val="21"/>
          <w:highlight w:val="none"/>
        </w:rPr>
        <w:t>1）</w:t>
      </w:r>
      <w:r>
        <w:rPr>
          <w:rFonts w:hint="eastAsia" w:ascii="宋体" w:cs="宋体" w:hAnsiTheme="minorEastAsia"/>
          <w:sz w:val="24"/>
          <w:szCs w:val="21"/>
          <w:highlight w:val="none"/>
        </w:rPr>
        <w:t>甲方完成项目场地必需的土地征收、租赁工作；并承诺不存在权属纠纷等；在本合同履行过程中，因土地或项目使用权问题发生纠纷，应由甲方出面解决；</w:t>
      </w:r>
    </w:p>
    <w:p w14:paraId="6491B8E7">
      <w:pPr>
        <w:pStyle w:val="24"/>
        <w:spacing w:after="0" w:line="300" w:lineRule="auto"/>
        <w:ind w:firstLine="482" w:firstLineChars="0"/>
        <w:jc w:val="left"/>
        <w:rPr>
          <w:rFonts w:hint="eastAsia" w:ascii="宋体" w:cs="宋体" w:hAnsiTheme="minorEastAsia"/>
          <w:sz w:val="24"/>
          <w:szCs w:val="21"/>
          <w:highlight w:val="none"/>
        </w:rPr>
      </w:pPr>
      <w:r>
        <w:rPr>
          <w:rFonts w:hint="eastAsia" w:ascii="宋体" w:cs="宋体" w:hAnsiTheme="minorEastAsia"/>
          <w:sz w:val="24"/>
          <w:szCs w:val="21"/>
          <w:highlight w:val="none"/>
        </w:rPr>
        <w:t>（</w:t>
      </w:r>
      <w:r>
        <w:rPr>
          <w:rFonts w:ascii="宋体" w:cs="宋体" w:hAnsiTheme="minorEastAsia"/>
          <w:sz w:val="24"/>
          <w:szCs w:val="21"/>
          <w:highlight w:val="none"/>
        </w:rPr>
        <w:t>2）</w:t>
      </w:r>
      <w:r>
        <w:rPr>
          <w:rFonts w:hint="eastAsia" w:ascii="宋体" w:cs="宋体" w:hAnsiTheme="minorEastAsia"/>
          <w:sz w:val="24"/>
          <w:szCs w:val="21"/>
          <w:highlight w:val="none"/>
        </w:rPr>
        <w:t>甲方应协助合资公司取得相关法律</w:t>
      </w:r>
      <w:r>
        <w:rPr>
          <w:rFonts w:ascii="宋体" w:cs="宋体" w:hAnsiTheme="minorEastAsia"/>
          <w:sz w:val="24"/>
          <w:szCs w:val="21"/>
          <w:highlight w:val="none"/>
        </w:rPr>
        <w:t xml:space="preserve"> </w:t>
      </w:r>
      <w:r>
        <w:rPr>
          <w:rFonts w:hint="eastAsia" w:ascii="宋体" w:cs="宋体" w:hAnsiTheme="minorEastAsia"/>
          <w:sz w:val="24"/>
          <w:szCs w:val="21"/>
          <w:highlight w:val="none"/>
        </w:rPr>
        <w:t>、法规和规章规定的可适用于合资公司的各项优惠政策，并协助合资公司取得有关政府部门承诺的与履行本合同相关的其他优惠。</w:t>
      </w:r>
    </w:p>
    <w:p w14:paraId="456F70CD">
      <w:pPr>
        <w:spacing w:line="300" w:lineRule="auto"/>
        <w:ind w:firstLine="482"/>
        <w:jc w:val="left"/>
        <w:rPr>
          <w:rFonts w:hint="eastAsia" w:ascii="宋体" w:eastAsia="宋体" w:cs="宋体" w:hAnsiTheme="minorEastAsia"/>
          <w:sz w:val="24"/>
          <w:szCs w:val="21"/>
          <w:highlight w:val="none"/>
        </w:rPr>
      </w:pPr>
      <w:r>
        <w:rPr>
          <w:rFonts w:hint="eastAsia" w:ascii="宋体" w:eastAsia="宋体" w:cs="宋体" w:hAnsiTheme="minorEastAsia"/>
          <w:sz w:val="24"/>
          <w:szCs w:val="21"/>
          <w:highlight w:val="none"/>
        </w:rPr>
        <w:t>（</w:t>
      </w:r>
      <w:r>
        <w:rPr>
          <w:rFonts w:ascii="宋体" w:eastAsia="宋体" w:cs="宋体" w:hAnsiTheme="minorEastAsia"/>
          <w:sz w:val="24"/>
          <w:szCs w:val="21"/>
          <w:highlight w:val="none"/>
        </w:rPr>
        <w:t>3</w:t>
      </w:r>
      <w:r>
        <w:rPr>
          <w:rFonts w:hint="eastAsia" w:ascii="宋体" w:eastAsia="宋体" w:cs="宋体" w:hAnsiTheme="minorEastAsia"/>
          <w:sz w:val="24"/>
          <w:szCs w:val="21"/>
          <w:highlight w:val="none"/>
        </w:rPr>
        <w:t>）甲方负责完成其他前期工作，包括但不限于：</w:t>
      </w:r>
    </w:p>
    <w:p w14:paraId="47C6DE5F">
      <w:pPr>
        <w:pStyle w:val="24"/>
        <w:keepLines/>
        <w:widowControl/>
        <w:spacing w:after="0" w:line="300" w:lineRule="auto"/>
        <w:ind w:firstLine="480" w:firstLineChars="200"/>
        <w:jc w:val="left"/>
        <w:rPr>
          <w:rFonts w:ascii="宋体" w:cs="宋体" w:hAnsiTheme="minorEastAsia"/>
          <w:sz w:val="24"/>
          <w:szCs w:val="21"/>
          <w:highlight w:val="none"/>
        </w:rPr>
      </w:pPr>
      <w:r>
        <w:rPr>
          <w:rFonts w:ascii="宋体" w:cs="宋体" w:hAnsiTheme="minorEastAsia"/>
          <w:sz w:val="24"/>
          <w:szCs w:val="21"/>
          <w:highlight w:val="none"/>
        </w:rPr>
        <w:t>1）甲方协助乙方完成项目建设所必需的、到达项目场地规划红线的道路、水通、电通等配套基础设</w:t>
      </w:r>
      <w:r>
        <w:rPr>
          <w:rFonts w:hint="eastAsia" w:ascii="宋体" w:cs="宋体" w:hAnsiTheme="minorEastAsia"/>
          <w:sz w:val="24"/>
          <w:szCs w:val="21"/>
          <w:highlight w:val="none"/>
        </w:rPr>
        <w:t>设施</w:t>
      </w:r>
    </w:p>
    <w:p w14:paraId="5F473E1D">
      <w:pPr>
        <w:pStyle w:val="24"/>
        <w:keepLines/>
        <w:widowControl/>
        <w:spacing w:after="0" w:line="300" w:lineRule="auto"/>
        <w:ind w:firstLine="480" w:firstLineChars="200"/>
        <w:jc w:val="left"/>
        <w:rPr>
          <w:rFonts w:hint="eastAsia" w:ascii="宋体" w:cs="宋体" w:hAnsiTheme="minorEastAsia"/>
          <w:sz w:val="24"/>
          <w:szCs w:val="21"/>
          <w:highlight w:val="none"/>
        </w:rPr>
      </w:pPr>
      <w:r>
        <w:rPr>
          <w:rFonts w:hint="eastAsia" w:ascii="宋体" w:cs="宋体" w:hAnsiTheme="minorEastAsia"/>
          <w:sz w:val="24"/>
          <w:szCs w:val="21"/>
          <w:highlight w:val="none"/>
        </w:rPr>
        <w:t>2）甲方负责完成其他前期工作，包括但不限于场地选址租赁、环境影响评价及报批、立项及可研报批、消防、特殊业态需前置审批等工作。</w:t>
      </w:r>
    </w:p>
    <w:p w14:paraId="4B26CFFA">
      <w:pPr>
        <w:pStyle w:val="24"/>
        <w:spacing w:after="0" w:line="300" w:lineRule="auto"/>
        <w:ind w:firstLine="482" w:firstLineChars="0"/>
        <w:jc w:val="left"/>
        <w:rPr>
          <w:rFonts w:hint="eastAsia" w:ascii="宋体" w:cs="宋体" w:hAnsiTheme="minorEastAsia"/>
          <w:sz w:val="24"/>
          <w:szCs w:val="21"/>
          <w:highlight w:val="none"/>
        </w:rPr>
      </w:pPr>
      <w:r>
        <w:rPr>
          <w:rFonts w:hint="eastAsia" w:ascii="宋体" w:cs="宋体" w:hAnsiTheme="minorEastAsia"/>
          <w:sz w:val="24"/>
          <w:szCs w:val="21"/>
          <w:highlight w:val="none"/>
        </w:rPr>
        <w:t>3）甲方协调合资公司与相关政府部门的关系，协助合资公司进行项目未完成的审批和建设所必须的证明文件等工作。</w:t>
      </w:r>
    </w:p>
    <w:p w14:paraId="2B0583D0">
      <w:pPr>
        <w:pStyle w:val="18"/>
        <w:spacing w:line="300" w:lineRule="auto"/>
        <w:ind w:firstLine="482"/>
        <w:jc w:val="left"/>
        <w:outlineLvl w:val="1"/>
        <w:rPr>
          <w:rFonts w:hint="eastAsia" w:ascii="宋体" w:eastAsia="宋体" w:hAnsiTheme="minorEastAsia"/>
          <w:sz w:val="24"/>
          <w:szCs w:val="21"/>
          <w:highlight w:val="none"/>
        </w:rPr>
      </w:pPr>
      <w:r>
        <w:rPr>
          <w:rFonts w:hint="eastAsia" w:ascii="宋体" w:eastAsia="宋体" w:hAnsiTheme="minorEastAsia"/>
          <w:sz w:val="24"/>
          <w:szCs w:val="21"/>
          <w:highlight w:val="none"/>
        </w:rPr>
        <w:t>3.乙方承担的任务</w:t>
      </w:r>
    </w:p>
    <w:p w14:paraId="0D9E7BD0">
      <w:pPr>
        <w:pStyle w:val="24"/>
        <w:spacing w:after="0" w:line="300" w:lineRule="auto"/>
        <w:ind w:firstLine="482" w:firstLineChars="0"/>
        <w:jc w:val="left"/>
        <w:rPr>
          <w:rFonts w:hint="eastAsia" w:ascii="宋体" w:cs="宋体" w:hAnsiTheme="minorEastAsia"/>
          <w:sz w:val="24"/>
          <w:szCs w:val="21"/>
          <w:highlight w:val="none"/>
        </w:rPr>
      </w:pPr>
      <w:r>
        <w:rPr>
          <w:rFonts w:hint="eastAsia" w:ascii="宋体" w:cs="宋体" w:hAnsiTheme="minorEastAsia"/>
          <w:sz w:val="24"/>
          <w:szCs w:val="21"/>
          <w:highlight w:val="none"/>
        </w:rPr>
        <w:t>（1）按照投资合作协议的约定，在合作期内投资、建设、运营、管理、维护及移交本项目设施的权利。</w:t>
      </w:r>
    </w:p>
    <w:p w14:paraId="14008559">
      <w:pPr>
        <w:pStyle w:val="13"/>
        <w:spacing w:after="0" w:line="300" w:lineRule="auto"/>
        <w:ind w:left="0" w:leftChars="0" w:firstLine="482" w:firstLineChars="0"/>
        <w:jc w:val="left"/>
        <w:rPr>
          <w:rFonts w:hint="eastAsia" w:ascii="宋体" w:eastAsia="宋体" w:cs="宋体" w:hAnsiTheme="minorEastAsia"/>
          <w:sz w:val="24"/>
          <w:szCs w:val="21"/>
          <w:highlight w:val="none"/>
        </w:rPr>
      </w:pPr>
      <w:r>
        <w:rPr>
          <w:rFonts w:hint="eastAsia" w:ascii="宋体" w:eastAsia="宋体" w:cs="宋体" w:hAnsiTheme="minorEastAsia"/>
          <w:sz w:val="24"/>
          <w:szCs w:val="21"/>
          <w:highlight w:val="none"/>
        </w:rPr>
        <w:t>（2）按照约定的运营维护标准，进行本项目的运营和维护。</w:t>
      </w:r>
    </w:p>
    <w:p w14:paraId="7308764E">
      <w:pPr>
        <w:pStyle w:val="13"/>
        <w:spacing w:after="0" w:line="300" w:lineRule="auto"/>
        <w:ind w:left="0" w:leftChars="0" w:firstLine="482" w:firstLineChars="0"/>
        <w:jc w:val="left"/>
        <w:rPr>
          <w:rFonts w:hint="eastAsia" w:ascii="宋体" w:eastAsia="宋体" w:cs="宋体" w:hAnsiTheme="minorEastAsia"/>
          <w:sz w:val="24"/>
          <w:szCs w:val="21"/>
          <w:highlight w:val="none"/>
        </w:rPr>
      </w:pPr>
      <w:r>
        <w:rPr>
          <w:rFonts w:hint="eastAsia" w:ascii="宋体" w:eastAsia="宋体" w:cs="宋体" w:hAnsiTheme="minorEastAsia"/>
          <w:sz w:val="24"/>
          <w:szCs w:val="21"/>
          <w:highlight w:val="none"/>
        </w:rPr>
        <w:t>（3）在合作期届满后，按规定将项目设施无偿移交甲方或其指定接收方，保证项目设施处于可使用状态。</w:t>
      </w:r>
    </w:p>
    <w:p w14:paraId="26AF7969">
      <w:pPr>
        <w:pStyle w:val="18"/>
        <w:spacing w:line="300" w:lineRule="auto"/>
        <w:ind w:firstLine="482"/>
        <w:jc w:val="left"/>
        <w:outlineLvl w:val="1"/>
        <w:rPr>
          <w:rFonts w:hint="eastAsia" w:ascii="宋体" w:eastAsia="宋体" w:hAnsiTheme="minorEastAsia"/>
          <w:sz w:val="24"/>
          <w:szCs w:val="21"/>
          <w:highlight w:val="none"/>
        </w:rPr>
      </w:pPr>
      <w:r>
        <w:rPr>
          <w:rFonts w:hint="eastAsia" w:ascii="宋体" w:eastAsia="宋体" w:hAnsiTheme="minorEastAsia"/>
          <w:sz w:val="24"/>
          <w:szCs w:val="21"/>
          <w:highlight w:val="none"/>
        </w:rPr>
        <w:t>4.回报方式</w:t>
      </w:r>
    </w:p>
    <w:p w14:paraId="34D17A5A">
      <w:pPr>
        <w:pStyle w:val="18"/>
        <w:spacing w:line="300" w:lineRule="auto"/>
        <w:ind w:firstLine="482"/>
        <w:jc w:val="left"/>
        <w:rPr>
          <w:rFonts w:hint="eastAsia" w:ascii="宋体" w:eastAsia="宋体" w:cs="宋体" w:hAnsiTheme="minorEastAsia"/>
          <w:sz w:val="24"/>
          <w:szCs w:val="21"/>
          <w:highlight w:val="none"/>
        </w:rPr>
      </w:pPr>
      <w:r>
        <w:rPr>
          <w:rFonts w:hint="eastAsia" w:ascii="宋体" w:eastAsia="宋体" w:cs="宋体" w:hAnsiTheme="minorEastAsia"/>
          <w:sz w:val="24"/>
          <w:szCs w:val="21"/>
          <w:highlight w:val="none"/>
        </w:rPr>
        <w:t>（1）本项目</w:t>
      </w:r>
      <w:r>
        <w:rPr>
          <w:rFonts w:hint="eastAsia" w:ascii="宋体" w:eastAsia="宋体" w:hAnsiTheme="minorEastAsia"/>
          <w:sz w:val="24"/>
          <w:szCs w:val="21"/>
          <w:highlight w:val="none"/>
        </w:rPr>
        <w:t>按照市场化运作基本原则，实行“自主经营、自负盈亏、自担责任”的经营方式，由甲乙双方共同出资设立的合资公司通过本项目的投资建设及运营，获得投资收益。</w:t>
      </w:r>
    </w:p>
    <w:p w14:paraId="634F93ED">
      <w:pPr>
        <w:pStyle w:val="18"/>
        <w:spacing w:line="300" w:lineRule="auto"/>
        <w:ind w:firstLine="482"/>
        <w:jc w:val="left"/>
        <w:rPr>
          <w:rFonts w:hint="default" w:ascii="宋体" w:eastAsia="宋体" w:cs="宋体" w:hAnsiTheme="minorEastAsia"/>
          <w:sz w:val="24"/>
          <w:szCs w:val="21"/>
          <w:highlight w:val="none"/>
          <w:lang w:val="en-US" w:eastAsia="zh-CN"/>
        </w:rPr>
      </w:pPr>
      <w:r>
        <w:rPr>
          <w:rFonts w:hint="eastAsia" w:ascii="宋体" w:eastAsia="宋体" w:cs="宋体" w:hAnsiTheme="minorEastAsia"/>
          <w:sz w:val="24"/>
          <w:szCs w:val="21"/>
          <w:highlight w:val="none"/>
        </w:rPr>
        <w:t>（2）本项目所有的收入来源于运营收益，项目运营收益包括</w:t>
      </w:r>
      <w:r>
        <w:rPr>
          <w:rFonts w:hint="eastAsia" w:ascii="宋体" w:eastAsia="宋体" w:cs="宋体" w:hAnsiTheme="minorEastAsia"/>
          <w:sz w:val="24"/>
          <w:szCs w:val="21"/>
          <w:highlight w:val="none"/>
          <w:lang w:val="en-US" w:eastAsia="zh-CN"/>
        </w:rPr>
        <w:t>四</w:t>
      </w:r>
      <w:r>
        <w:rPr>
          <w:rFonts w:hint="eastAsia" w:ascii="宋体" w:eastAsia="宋体" w:cs="宋体" w:hAnsiTheme="minorEastAsia"/>
          <w:sz w:val="24"/>
          <w:szCs w:val="21"/>
          <w:highlight w:val="none"/>
        </w:rPr>
        <w:t>大方面：一是游船运营收益，包括船票收入、游船其他收入（二消、媒介广告、活动收入、主题专场等）；二是物业租赁和运营收入；三是停车场经营收入</w:t>
      </w:r>
      <w:r>
        <w:rPr>
          <w:rFonts w:hint="eastAsia" w:ascii="宋体" w:eastAsia="宋体" w:cs="宋体" w:hAnsiTheme="minorEastAsia"/>
          <w:sz w:val="24"/>
          <w:szCs w:val="21"/>
          <w:highlight w:val="none"/>
          <w:lang w:eastAsia="zh-CN"/>
        </w:rPr>
        <w:t>；</w:t>
      </w:r>
      <w:r>
        <w:rPr>
          <w:rFonts w:hint="eastAsia" w:ascii="宋体" w:eastAsia="宋体" w:cs="宋体" w:hAnsiTheme="minorEastAsia"/>
          <w:sz w:val="24"/>
          <w:szCs w:val="21"/>
          <w:highlight w:val="none"/>
          <w:lang w:val="en-US" w:eastAsia="zh-CN"/>
        </w:rPr>
        <w:t>四是项目相关补贴收入。</w:t>
      </w:r>
    </w:p>
    <w:p w14:paraId="7EEAE501">
      <w:pPr>
        <w:pStyle w:val="18"/>
        <w:spacing w:line="300" w:lineRule="auto"/>
        <w:ind w:firstLine="482"/>
        <w:jc w:val="left"/>
        <w:rPr>
          <w:rFonts w:hint="eastAsia" w:ascii="宋体" w:eastAsia="宋体" w:cs="宋体" w:hAnsiTheme="minorEastAsia"/>
          <w:sz w:val="24"/>
          <w:szCs w:val="21"/>
          <w:highlight w:val="none"/>
        </w:rPr>
      </w:pPr>
      <w:r>
        <w:rPr>
          <w:rFonts w:hint="eastAsia" w:ascii="宋体" w:eastAsia="宋体" w:cs="宋体" w:hAnsiTheme="minorEastAsia"/>
          <w:sz w:val="24"/>
          <w:szCs w:val="21"/>
          <w:highlight w:val="none"/>
        </w:rPr>
        <w:t>（3）合资公司通过获得运营收益收回投资成本，根据年度可分配利润，按照股东分红方式向股东分</w:t>
      </w:r>
      <w:r>
        <w:rPr>
          <w:rFonts w:hint="eastAsia" w:ascii="宋体" w:eastAsia="宋体" w:cs="宋体" w:hAnsiTheme="minorEastAsia"/>
          <w:sz w:val="24"/>
          <w:szCs w:val="21"/>
          <w:highlight w:val="none"/>
          <w:lang w:val="en-US" w:eastAsia="zh-CN"/>
        </w:rPr>
        <w:t>享</w:t>
      </w:r>
      <w:r>
        <w:rPr>
          <w:rFonts w:hint="eastAsia" w:ascii="宋体" w:eastAsia="宋体" w:cs="宋体" w:hAnsiTheme="minorEastAsia"/>
          <w:sz w:val="24"/>
          <w:szCs w:val="21"/>
          <w:highlight w:val="none"/>
        </w:rPr>
        <w:t>合理收益</w:t>
      </w:r>
      <w:r>
        <w:rPr>
          <w:rFonts w:hint="eastAsia" w:ascii="宋体" w:eastAsia="宋体" w:cs="宋体" w:hAnsiTheme="minorEastAsia"/>
          <w:sz w:val="24"/>
          <w:szCs w:val="21"/>
          <w:highlight w:val="none"/>
          <w:lang w:eastAsia="zh-CN"/>
        </w:rPr>
        <w:t>。</w:t>
      </w:r>
    </w:p>
    <w:p w14:paraId="14604583">
      <w:pPr>
        <w:pStyle w:val="18"/>
        <w:spacing w:line="300" w:lineRule="auto"/>
        <w:ind w:firstLine="482"/>
        <w:jc w:val="left"/>
        <w:outlineLvl w:val="1"/>
        <w:rPr>
          <w:rFonts w:hint="eastAsia" w:ascii="宋体" w:eastAsia="宋体" w:hAnsiTheme="minorEastAsia"/>
          <w:sz w:val="24"/>
          <w:szCs w:val="21"/>
          <w:highlight w:val="none"/>
        </w:rPr>
      </w:pPr>
      <w:r>
        <w:rPr>
          <w:rFonts w:hint="eastAsia" w:ascii="宋体" w:eastAsia="宋体" w:hAnsiTheme="minorEastAsia"/>
          <w:sz w:val="24"/>
          <w:szCs w:val="21"/>
          <w:highlight w:val="none"/>
        </w:rPr>
        <w:t>5.项目资产权属</w:t>
      </w:r>
    </w:p>
    <w:p w14:paraId="4C5766AA">
      <w:pPr>
        <w:spacing w:line="300" w:lineRule="auto"/>
        <w:ind w:firstLine="482"/>
        <w:jc w:val="left"/>
        <w:rPr>
          <w:rFonts w:hint="eastAsia" w:ascii="宋体" w:eastAsia="宋体" w:cs="宋体" w:hAnsiTheme="minorEastAsia"/>
          <w:sz w:val="24"/>
          <w:szCs w:val="21"/>
          <w:highlight w:val="none"/>
        </w:rPr>
      </w:pPr>
      <w:r>
        <w:rPr>
          <w:rFonts w:hint="eastAsia" w:ascii="宋体" w:eastAsia="宋体" w:cs="宋体" w:hAnsiTheme="minorEastAsia"/>
          <w:sz w:val="24"/>
          <w:szCs w:val="21"/>
          <w:highlight w:val="none"/>
        </w:rPr>
        <w:t>（1）项目合作期内因更新重置或升级改造投资形成的项目资产归合资公司所有，在合作期内合资公司具有收益权。</w:t>
      </w:r>
    </w:p>
    <w:p w14:paraId="500A6AD0">
      <w:pPr>
        <w:spacing w:line="300" w:lineRule="auto"/>
        <w:ind w:firstLine="482"/>
        <w:jc w:val="left"/>
        <w:rPr>
          <w:rFonts w:hint="eastAsia" w:ascii="宋体" w:eastAsia="宋体" w:cs="宋体" w:hAnsiTheme="minorEastAsia"/>
          <w:sz w:val="24"/>
          <w:szCs w:val="21"/>
          <w:highlight w:val="none"/>
        </w:rPr>
      </w:pPr>
      <w:r>
        <w:rPr>
          <w:rFonts w:hint="eastAsia" w:ascii="宋体" w:eastAsia="宋体" w:cs="宋体" w:hAnsiTheme="minorEastAsia"/>
          <w:sz w:val="24"/>
          <w:szCs w:val="21"/>
          <w:highlight w:val="none"/>
        </w:rPr>
        <w:fldChar w:fldCharType="begin"/>
      </w:r>
      <w:r>
        <w:rPr>
          <w:rFonts w:hint="eastAsia" w:ascii="宋体" w:eastAsia="宋体" w:cs="宋体" w:hAnsiTheme="minorEastAsia"/>
          <w:sz w:val="24"/>
          <w:szCs w:val="21"/>
          <w:highlight w:val="none"/>
        </w:rPr>
        <w:instrText xml:space="preserve"> = 2 \* GB2 \* MERGEFORMAT </w:instrText>
      </w:r>
      <w:r>
        <w:rPr>
          <w:rFonts w:hint="eastAsia" w:ascii="宋体" w:eastAsia="宋体" w:cs="宋体" w:hAnsiTheme="minorEastAsia"/>
          <w:sz w:val="24"/>
          <w:szCs w:val="21"/>
          <w:highlight w:val="none"/>
        </w:rPr>
        <w:fldChar w:fldCharType="separate"/>
      </w:r>
      <w:r>
        <w:rPr>
          <w:rFonts w:hint="eastAsia" w:ascii="宋体" w:eastAsia="宋体" w:cs="宋体" w:hAnsiTheme="minorEastAsia"/>
          <w:sz w:val="24"/>
          <w:szCs w:val="21"/>
          <w:highlight w:val="none"/>
        </w:rPr>
        <w:t>⑵</w:t>
      </w:r>
      <w:r>
        <w:rPr>
          <w:rFonts w:hint="eastAsia" w:ascii="宋体" w:eastAsia="宋体" w:cs="宋体" w:hAnsiTheme="minorEastAsia"/>
          <w:sz w:val="24"/>
          <w:szCs w:val="21"/>
          <w:highlight w:val="none"/>
        </w:rPr>
        <w:fldChar w:fldCharType="end"/>
      </w:r>
      <w:r>
        <w:rPr>
          <w:rFonts w:hint="eastAsia" w:ascii="宋体" w:eastAsia="宋体" w:cs="宋体" w:hAnsiTheme="minorEastAsia"/>
          <w:sz w:val="24"/>
          <w:szCs w:val="21"/>
          <w:highlight w:val="none"/>
        </w:rPr>
        <w:t>在合作期满后，项目范围内的资产无偿移交给甲方。</w:t>
      </w:r>
    </w:p>
    <w:p w14:paraId="3AB08C59">
      <w:pPr>
        <w:pStyle w:val="18"/>
        <w:spacing w:line="300" w:lineRule="auto"/>
        <w:ind w:firstLine="482"/>
        <w:jc w:val="left"/>
        <w:rPr>
          <w:rFonts w:hint="eastAsia" w:ascii="宋体" w:eastAsia="宋体" w:hAnsiTheme="minorEastAsia"/>
          <w:sz w:val="24"/>
          <w:szCs w:val="21"/>
          <w:highlight w:val="none"/>
        </w:rPr>
      </w:pPr>
    </w:p>
    <w:p w14:paraId="2205038E">
      <w:pPr>
        <w:pStyle w:val="18"/>
        <w:spacing w:line="300" w:lineRule="auto"/>
        <w:ind w:firstLine="482"/>
        <w:jc w:val="left"/>
        <w:outlineLvl w:val="1"/>
        <w:rPr>
          <w:rFonts w:hint="eastAsia" w:ascii="宋体" w:eastAsia="宋体" w:hAnsiTheme="minorEastAsia"/>
          <w:sz w:val="24"/>
          <w:szCs w:val="21"/>
          <w:highlight w:val="none"/>
        </w:rPr>
      </w:pPr>
      <w:r>
        <w:rPr>
          <w:rFonts w:hint="eastAsia" w:ascii="宋体" w:eastAsia="宋体" w:hAnsiTheme="minorEastAsia"/>
          <w:sz w:val="24"/>
          <w:szCs w:val="21"/>
          <w:highlight w:val="none"/>
        </w:rPr>
        <w:t>6.经营权获取和使用权利</w:t>
      </w:r>
    </w:p>
    <w:p w14:paraId="35663488">
      <w:pPr>
        <w:spacing w:line="300" w:lineRule="auto"/>
        <w:ind w:firstLine="482"/>
        <w:jc w:val="left"/>
        <w:rPr>
          <w:rFonts w:hint="eastAsia" w:ascii="宋体" w:eastAsia="宋体" w:cs="宋体" w:hAnsiTheme="minorEastAsia"/>
          <w:sz w:val="24"/>
          <w:szCs w:val="21"/>
          <w:highlight w:val="none"/>
        </w:rPr>
      </w:pPr>
      <w:r>
        <w:rPr>
          <w:rFonts w:hint="eastAsia" w:ascii="宋体" w:eastAsia="宋体" w:cs="宋体" w:hAnsiTheme="minorEastAsia"/>
          <w:sz w:val="24"/>
          <w:szCs w:val="21"/>
          <w:highlight w:val="none"/>
        </w:rPr>
        <w:t>（1）本项目物业、空地及水域经营权获取方式为租赁方式和外部企业合作，甲方应积极促成合资公司依法依规获得以上水域、物业、停车场或广告资源的经营权，最终由合资公司与经营权业主单位签订相关租赁或合作协议。</w:t>
      </w:r>
    </w:p>
    <w:p w14:paraId="2CFA05FF">
      <w:pPr>
        <w:spacing w:line="300" w:lineRule="auto"/>
        <w:ind w:firstLine="482"/>
        <w:jc w:val="left"/>
        <w:rPr>
          <w:rFonts w:hint="eastAsia" w:ascii="宋体" w:eastAsia="宋体" w:cs="宋体" w:hAnsiTheme="minorEastAsia"/>
          <w:sz w:val="24"/>
          <w:szCs w:val="21"/>
          <w:highlight w:val="none"/>
        </w:rPr>
      </w:pPr>
      <w:r>
        <w:rPr>
          <w:rFonts w:hint="eastAsia" w:ascii="宋体" w:eastAsia="宋体" w:cs="宋体" w:hAnsiTheme="minorEastAsia"/>
          <w:sz w:val="24"/>
          <w:szCs w:val="21"/>
          <w:highlight w:val="none"/>
        </w:rPr>
        <w:t>（2）项目工程建设用地手续按有关规定办理。</w:t>
      </w:r>
    </w:p>
    <w:p w14:paraId="0EC4D125">
      <w:pPr>
        <w:pStyle w:val="18"/>
        <w:spacing w:line="300" w:lineRule="auto"/>
        <w:ind w:firstLine="482"/>
        <w:jc w:val="left"/>
        <w:rPr>
          <w:rFonts w:hint="eastAsia" w:ascii="宋体" w:eastAsia="宋体" w:hAnsiTheme="minorEastAsia"/>
          <w:sz w:val="24"/>
          <w:szCs w:val="21"/>
          <w:highlight w:val="none"/>
        </w:rPr>
      </w:pPr>
    </w:p>
    <w:p w14:paraId="2F983330">
      <w:pPr>
        <w:spacing w:line="300" w:lineRule="auto"/>
        <w:ind w:firstLine="482"/>
        <w:jc w:val="left"/>
        <w:outlineLvl w:val="0"/>
        <w:rPr>
          <w:rFonts w:hint="eastAsia" w:ascii="宋体" w:eastAsia="宋体" w:hAnsiTheme="minorEastAsia"/>
          <w:sz w:val="24"/>
          <w:szCs w:val="21"/>
          <w:highlight w:val="none"/>
        </w:rPr>
      </w:pPr>
      <w:bookmarkStart w:id="27" w:name="_Toc26524"/>
      <w:bookmarkStart w:id="28" w:name="_Toc7822"/>
      <w:r>
        <w:rPr>
          <w:rFonts w:hint="eastAsia" w:ascii="宋体" w:eastAsia="宋体" w:hAnsiTheme="minorEastAsia"/>
          <w:sz w:val="24"/>
          <w:szCs w:val="21"/>
          <w:highlight w:val="none"/>
        </w:rPr>
        <w:t>第2.3条 合作流程</w:t>
      </w:r>
      <w:bookmarkEnd w:id="27"/>
      <w:bookmarkEnd w:id="28"/>
    </w:p>
    <w:p w14:paraId="7CF07B7F">
      <w:pPr>
        <w:spacing w:line="300" w:lineRule="auto"/>
        <w:ind w:firstLine="482"/>
        <w:jc w:val="left"/>
        <w:outlineLvl w:val="1"/>
        <w:rPr>
          <w:rFonts w:hint="eastAsia" w:ascii="宋体" w:eastAsia="宋体" w:hAnsiTheme="minorEastAsia"/>
          <w:sz w:val="24"/>
          <w:szCs w:val="21"/>
          <w:highlight w:val="none"/>
        </w:rPr>
      </w:pPr>
      <w:r>
        <w:rPr>
          <w:rFonts w:hint="eastAsia" w:ascii="宋体" w:eastAsia="宋体" w:hAnsiTheme="minorEastAsia"/>
          <w:sz w:val="24"/>
          <w:szCs w:val="21"/>
          <w:highlight w:val="none"/>
        </w:rPr>
        <w:t>1.签订相关协议</w:t>
      </w:r>
    </w:p>
    <w:p w14:paraId="30BEA6C8">
      <w:pPr>
        <w:spacing w:line="300" w:lineRule="auto"/>
        <w:ind w:firstLine="482"/>
        <w:jc w:val="left"/>
        <w:rPr>
          <w:rFonts w:hint="eastAsia" w:ascii="宋体" w:eastAsia="宋体" w:hAnsiTheme="minorEastAsia"/>
          <w:sz w:val="24"/>
          <w:szCs w:val="21"/>
          <w:highlight w:val="none"/>
        </w:rPr>
      </w:pPr>
      <w:r>
        <w:rPr>
          <w:rFonts w:hint="eastAsia" w:ascii="宋体" w:eastAsia="宋体" w:hAnsiTheme="minorEastAsia"/>
          <w:sz w:val="24"/>
          <w:szCs w:val="21"/>
          <w:highlight w:val="none"/>
        </w:rPr>
        <w:t>乙方在收到中标通知书后【30】天内与甲方签署本协议。</w:t>
      </w:r>
    </w:p>
    <w:p w14:paraId="1D111303">
      <w:pPr>
        <w:spacing w:line="300" w:lineRule="auto"/>
        <w:ind w:firstLine="482"/>
        <w:jc w:val="left"/>
        <w:outlineLvl w:val="1"/>
        <w:rPr>
          <w:rFonts w:hint="eastAsia" w:ascii="宋体" w:eastAsia="宋体" w:hAnsiTheme="minorEastAsia"/>
          <w:sz w:val="24"/>
          <w:szCs w:val="21"/>
          <w:highlight w:val="none"/>
        </w:rPr>
      </w:pPr>
      <w:r>
        <w:rPr>
          <w:rFonts w:hint="eastAsia" w:ascii="宋体" w:eastAsia="宋体" w:hAnsiTheme="minorEastAsia"/>
          <w:sz w:val="24"/>
          <w:szCs w:val="21"/>
          <w:highlight w:val="none"/>
        </w:rPr>
        <w:t>2.成立合资公司</w:t>
      </w:r>
    </w:p>
    <w:p w14:paraId="33131117">
      <w:pPr>
        <w:spacing w:line="300" w:lineRule="auto"/>
        <w:ind w:firstLine="482"/>
        <w:jc w:val="left"/>
        <w:rPr>
          <w:rFonts w:hint="eastAsia" w:ascii="宋体" w:eastAsia="宋体" w:hAnsiTheme="minorEastAsia"/>
          <w:sz w:val="24"/>
          <w:szCs w:val="21"/>
          <w:highlight w:val="none"/>
        </w:rPr>
      </w:pPr>
      <w:r>
        <w:rPr>
          <w:rFonts w:hint="eastAsia" w:ascii="宋体" w:eastAsia="宋体" w:hAnsiTheme="minorEastAsia"/>
          <w:sz w:val="24"/>
          <w:szCs w:val="21"/>
          <w:highlight w:val="none"/>
        </w:rPr>
        <w:t>乙方在本协议生效之日起【30】日内，与甲方按本协议约定股比共同出资注册成立合资公司，合资公司作为本项目的投资建设运营实施主体，负责项目的投资、融资、设计、建设及运营。双方根据协议约定以现金形式按时出资到位。</w:t>
      </w:r>
    </w:p>
    <w:p w14:paraId="7D835F44">
      <w:pPr>
        <w:spacing w:line="300" w:lineRule="auto"/>
        <w:ind w:firstLine="482"/>
        <w:jc w:val="left"/>
        <w:outlineLvl w:val="1"/>
        <w:rPr>
          <w:rFonts w:hint="eastAsia" w:ascii="宋体" w:eastAsia="宋体" w:hAnsiTheme="minorEastAsia"/>
          <w:sz w:val="24"/>
          <w:szCs w:val="21"/>
          <w:highlight w:val="none"/>
        </w:rPr>
      </w:pPr>
      <w:r>
        <w:rPr>
          <w:rFonts w:hint="eastAsia" w:ascii="宋体" w:eastAsia="宋体" w:hAnsiTheme="minorEastAsia"/>
          <w:sz w:val="24"/>
          <w:szCs w:val="21"/>
          <w:highlight w:val="none"/>
        </w:rPr>
        <w:t>3.建设实施</w:t>
      </w:r>
    </w:p>
    <w:p w14:paraId="33EAB195">
      <w:pPr>
        <w:spacing w:line="300" w:lineRule="auto"/>
        <w:ind w:firstLine="482"/>
        <w:jc w:val="left"/>
        <w:rPr>
          <w:rFonts w:hint="eastAsia" w:ascii="宋体" w:eastAsia="宋体" w:hAnsiTheme="minorEastAsia"/>
          <w:sz w:val="24"/>
          <w:szCs w:val="21"/>
          <w:highlight w:val="none"/>
        </w:rPr>
      </w:pPr>
      <w:r>
        <w:rPr>
          <w:rFonts w:hint="eastAsia" w:ascii="宋体" w:eastAsia="宋体" w:hAnsiTheme="minorEastAsia"/>
          <w:sz w:val="24"/>
          <w:szCs w:val="21"/>
          <w:highlight w:val="none"/>
        </w:rPr>
        <w:t>1）合资公司负责办理工程建设、经营许可等相关行政审批，甲方、乙方予以协助；</w:t>
      </w:r>
    </w:p>
    <w:p w14:paraId="4DAB80F6">
      <w:pPr>
        <w:spacing w:line="300" w:lineRule="auto"/>
        <w:ind w:firstLine="482"/>
        <w:jc w:val="left"/>
        <w:rPr>
          <w:rFonts w:hint="eastAsia" w:ascii="宋体" w:eastAsia="宋体" w:hAnsiTheme="minorEastAsia"/>
          <w:sz w:val="24"/>
          <w:szCs w:val="21"/>
          <w:highlight w:val="none"/>
        </w:rPr>
      </w:pPr>
      <w:r>
        <w:rPr>
          <w:rFonts w:hint="eastAsia" w:ascii="宋体" w:eastAsia="宋体" w:hAnsiTheme="minorEastAsia"/>
          <w:sz w:val="24"/>
          <w:szCs w:val="21"/>
          <w:highlight w:val="none"/>
        </w:rPr>
        <w:t>2）合资公司按照本协议约定，具体组织开展项目的投资建设运营等工作。</w:t>
      </w:r>
    </w:p>
    <w:p w14:paraId="477F436B">
      <w:pPr>
        <w:spacing w:line="300" w:lineRule="auto"/>
        <w:ind w:firstLine="482"/>
        <w:jc w:val="left"/>
        <w:rPr>
          <w:rFonts w:hint="eastAsia" w:ascii="宋体" w:eastAsia="宋体" w:hAnsiTheme="minorEastAsia"/>
          <w:sz w:val="24"/>
          <w:szCs w:val="21"/>
          <w:highlight w:val="none"/>
        </w:rPr>
      </w:pPr>
      <w:r>
        <w:rPr>
          <w:rFonts w:hint="eastAsia" w:ascii="宋体" w:eastAsia="宋体" w:hAnsiTheme="minorEastAsia"/>
          <w:sz w:val="24"/>
          <w:szCs w:val="21"/>
          <w:highlight w:val="none"/>
        </w:rPr>
        <w:t>3）合资公司作为融资主体，负责筹集本项目债务性资金。甲方、乙方应为合资公司融资提供相关支持，保障满足建设开发计划的资金需求。</w:t>
      </w:r>
    </w:p>
    <w:p w14:paraId="784A48D8">
      <w:pPr>
        <w:spacing w:line="300" w:lineRule="auto"/>
        <w:ind w:firstLine="482"/>
        <w:jc w:val="left"/>
        <w:rPr>
          <w:rFonts w:hint="eastAsia" w:ascii="宋体" w:eastAsia="宋体" w:hAnsiTheme="minorEastAsia"/>
          <w:sz w:val="24"/>
          <w:szCs w:val="21"/>
          <w:highlight w:val="none"/>
        </w:rPr>
      </w:pPr>
      <w:r>
        <w:rPr>
          <w:rFonts w:hint="eastAsia" w:ascii="宋体" w:eastAsia="宋体" w:hAnsiTheme="minorEastAsia"/>
          <w:sz w:val="24"/>
          <w:szCs w:val="21"/>
          <w:highlight w:val="none"/>
        </w:rPr>
        <w:t>4）</w:t>
      </w:r>
      <w:r>
        <w:rPr>
          <w:rFonts w:ascii="宋体" w:eastAsia="宋体" w:hAnsiTheme="minorEastAsia"/>
          <w:sz w:val="24"/>
          <w:szCs w:val="21"/>
          <w:highlight w:val="none"/>
        </w:rPr>
        <w:t>合资公司与乙方签订《设计施工总承包合同》，乙方负责</w:t>
      </w:r>
      <w:r>
        <w:rPr>
          <w:rFonts w:hint="eastAsia" w:ascii="宋体" w:eastAsia="宋体" w:hAnsiTheme="minorEastAsia"/>
          <w:sz w:val="24"/>
          <w:szCs w:val="21"/>
          <w:highlight w:val="none"/>
        </w:rPr>
        <w:t>石井河灯光文旅</w:t>
      </w:r>
      <w:r>
        <w:rPr>
          <w:rFonts w:ascii="宋体" w:eastAsia="宋体" w:hAnsiTheme="minorEastAsia"/>
          <w:sz w:val="24"/>
          <w:szCs w:val="21"/>
          <w:highlight w:val="none"/>
        </w:rPr>
        <w:t>项目的工程建设。</w:t>
      </w:r>
      <w:r>
        <w:rPr>
          <w:rFonts w:hint="eastAsia" w:ascii="宋体" w:eastAsia="宋体" w:hAnsiTheme="minorEastAsia"/>
          <w:sz w:val="24"/>
          <w:szCs w:val="21"/>
          <w:highlight w:val="none"/>
        </w:rPr>
        <w:t>如未在设计施工总承包合同内的项目建设及服务内容，由合资公司作为招标人采购主体，另行采购，相关成本另行商议，所产生的额外费用应计入项目总投资，由双方按股比承担或者另行协商。</w:t>
      </w:r>
    </w:p>
    <w:p w14:paraId="54D972AA">
      <w:pPr>
        <w:spacing w:line="300" w:lineRule="auto"/>
        <w:ind w:firstLine="482"/>
        <w:jc w:val="left"/>
        <w:outlineLvl w:val="1"/>
        <w:rPr>
          <w:rFonts w:hint="eastAsia" w:ascii="宋体" w:eastAsia="宋体" w:hAnsiTheme="minorEastAsia"/>
          <w:sz w:val="24"/>
          <w:szCs w:val="21"/>
          <w:highlight w:val="none"/>
        </w:rPr>
      </w:pPr>
      <w:r>
        <w:rPr>
          <w:rFonts w:hint="eastAsia" w:ascii="宋体" w:eastAsia="宋体" w:hAnsiTheme="minorEastAsia"/>
          <w:sz w:val="24"/>
          <w:szCs w:val="21"/>
          <w:highlight w:val="none"/>
        </w:rPr>
        <w:t>4.项目移交运营</w:t>
      </w:r>
    </w:p>
    <w:p w14:paraId="3510C8B0">
      <w:pPr>
        <w:spacing w:line="300" w:lineRule="auto"/>
        <w:ind w:firstLine="482"/>
        <w:jc w:val="left"/>
        <w:rPr>
          <w:rFonts w:hint="eastAsia" w:ascii="宋体" w:eastAsia="宋体" w:hAnsiTheme="minorEastAsia"/>
          <w:sz w:val="24"/>
          <w:szCs w:val="21"/>
          <w:highlight w:val="none"/>
        </w:rPr>
      </w:pPr>
      <w:r>
        <w:rPr>
          <w:rFonts w:hint="eastAsia" w:ascii="宋体" w:eastAsia="宋体" w:hAnsiTheme="minorEastAsia"/>
          <w:sz w:val="24"/>
          <w:szCs w:val="21"/>
          <w:highlight w:val="none"/>
        </w:rPr>
        <w:t>待本项目达到竣工验收</w:t>
      </w:r>
      <w:r>
        <w:rPr>
          <w:rFonts w:hint="eastAsia" w:ascii="宋体" w:eastAsia="宋体" w:hAnsiTheme="minorEastAsia"/>
          <w:sz w:val="24"/>
          <w:szCs w:val="21"/>
          <w:highlight w:val="none"/>
          <w:lang w:val="en-US" w:eastAsia="zh-CN"/>
        </w:rPr>
        <w:t>或运营</w:t>
      </w:r>
      <w:r>
        <w:rPr>
          <w:rFonts w:hint="eastAsia" w:ascii="宋体" w:eastAsia="宋体" w:hAnsiTheme="minorEastAsia"/>
          <w:sz w:val="24"/>
          <w:szCs w:val="21"/>
          <w:highlight w:val="none"/>
        </w:rPr>
        <w:t>条件，组织验收合格</w:t>
      </w:r>
      <w:r>
        <w:rPr>
          <w:rFonts w:hint="eastAsia" w:ascii="宋体" w:eastAsia="宋体" w:hAnsiTheme="minorEastAsia"/>
          <w:sz w:val="24"/>
          <w:szCs w:val="21"/>
          <w:highlight w:val="none"/>
          <w:lang w:val="en-US" w:eastAsia="zh-CN"/>
        </w:rPr>
        <w:t>或运营</w:t>
      </w:r>
      <w:r>
        <w:rPr>
          <w:rFonts w:hint="eastAsia" w:ascii="宋体" w:eastAsia="宋体" w:hAnsiTheme="minorEastAsia"/>
          <w:sz w:val="24"/>
          <w:szCs w:val="21"/>
          <w:highlight w:val="none"/>
        </w:rPr>
        <w:t>后，乙方向合资公司移交本项目全部相关资料，由合资公司负责运营管理该项目，运营费用由合资公司负责。</w:t>
      </w:r>
    </w:p>
    <w:p w14:paraId="5FEFD51D">
      <w:pPr>
        <w:numPr>
          <w:ilvl w:val="255"/>
          <w:numId w:val="0"/>
        </w:numPr>
        <w:spacing w:line="300" w:lineRule="auto"/>
        <w:ind w:firstLine="482"/>
        <w:jc w:val="left"/>
        <w:rPr>
          <w:rFonts w:hint="eastAsia" w:ascii="宋体" w:eastAsia="宋体" w:hAnsiTheme="minorEastAsia"/>
          <w:sz w:val="24"/>
          <w:szCs w:val="21"/>
          <w:highlight w:val="none"/>
        </w:rPr>
      </w:pPr>
      <w:bookmarkStart w:id="29" w:name="_Toc28600"/>
      <w:bookmarkStart w:id="30" w:name="_Toc9880"/>
      <w:bookmarkStart w:id="31" w:name="_Toc17312"/>
      <w:bookmarkStart w:id="32" w:name="_Toc28774"/>
      <w:bookmarkStart w:id="33" w:name="_Toc19079"/>
      <w:bookmarkStart w:id="34" w:name="_Toc20822"/>
      <w:bookmarkStart w:id="35" w:name="_Toc28934"/>
      <w:bookmarkStart w:id="36" w:name="_Toc24123"/>
      <w:bookmarkStart w:id="37" w:name="_Toc23818"/>
      <w:bookmarkStart w:id="38" w:name="_Toc23356"/>
      <w:bookmarkStart w:id="39" w:name="_Toc17174"/>
      <w:bookmarkStart w:id="40" w:name="_Toc1109"/>
      <w:bookmarkStart w:id="41" w:name="_Toc30335"/>
      <w:bookmarkStart w:id="42" w:name="_Toc26130"/>
      <w:bookmarkStart w:id="43" w:name="_Toc17089"/>
      <w:bookmarkStart w:id="44" w:name="_Toc8699"/>
      <w:bookmarkStart w:id="45" w:name="_Toc27916"/>
      <w:bookmarkStart w:id="46" w:name="_Toc54271144"/>
      <w:bookmarkStart w:id="47" w:name="_Toc29129"/>
      <w:bookmarkStart w:id="48" w:name="_Toc16688"/>
      <w:bookmarkStart w:id="49" w:name="_Toc23523"/>
      <w:bookmarkStart w:id="50" w:name="_Toc34050523"/>
      <w:bookmarkStart w:id="51" w:name="_Toc7057"/>
      <w:bookmarkStart w:id="52" w:name="_Toc22074"/>
      <w:bookmarkStart w:id="53" w:name="_Toc6763"/>
      <w:bookmarkStart w:id="54" w:name="_Toc11242"/>
      <w:bookmarkStart w:id="55" w:name="_Toc18346080"/>
      <w:bookmarkStart w:id="56" w:name="_Toc5400"/>
      <w:bookmarkStart w:id="57" w:name="_Toc5016"/>
      <w:bookmarkStart w:id="58" w:name="_Toc23923"/>
      <w:bookmarkStart w:id="59" w:name="_Toc31351"/>
      <w:bookmarkStart w:id="60" w:name="_Toc28678"/>
      <w:bookmarkStart w:id="61" w:name="_Toc15942"/>
      <w:bookmarkStart w:id="62" w:name="_Toc10124"/>
      <w:bookmarkStart w:id="63" w:name="_Toc4310"/>
      <w:bookmarkStart w:id="64" w:name="_Toc11093"/>
      <w:bookmarkStart w:id="65" w:name="_Toc1565"/>
      <w:bookmarkStart w:id="66" w:name="_Toc54764742"/>
      <w:bookmarkStart w:id="67" w:name="_Toc29721"/>
      <w:bookmarkStart w:id="68" w:name="_Toc17623"/>
    </w:p>
    <w:p w14:paraId="0ECF96D3">
      <w:pPr>
        <w:spacing w:line="300" w:lineRule="auto"/>
        <w:ind w:firstLine="482"/>
        <w:jc w:val="left"/>
        <w:outlineLvl w:val="0"/>
        <w:rPr>
          <w:rFonts w:hint="eastAsia" w:ascii="宋体" w:eastAsia="宋体" w:hAnsiTheme="minorEastAsia"/>
          <w:sz w:val="24"/>
          <w:szCs w:val="21"/>
          <w:highlight w:val="none"/>
        </w:rPr>
      </w:pPr>
      <w:bookmarkStart w:id="69" w:name="_Toc19657"/>
      <w:bookmarkStart w:id="70" w:name="_Toc7446"/>
      <w:r>
        <w:rPr>
          <w:rFonts w:hint="eastAsia" w:ascii="宋体" w:eastAsia="宋体" w:hAnsiTheme="minorEastAsia"/>
          <w:sz w:val="24"/>
          <w:szCs w:val="21"/>
          <w:highlight w:val="none"/>
        </w:rPr>
        <w:t>第2.4条合作期限</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4CD9D599">
      <w:pPr>
        <w:widowControl/>
        <w:spacing w:line="300" w:lineRule="auto"/>
        <w:ind w:firstLine="482"/>
        <w:jc w:val="left"/>
        <w:rPr>
          <w:rFonts w:hint="eastAsia" w:ascii="宋体" w:eastAsia="宋体" w:hAnsiTheme="minorEastAsia"/>
          <w:sz w:val="24"/>
          <w:szCs w:val="21"/>
          <w:highlight w:val="none"/>
        </w:rPr>
      </w:pPr>
      <w:r>
        <w:rPr>
          <w:rFonts w:hint="eastAsia" w:ascii="宋体" w:eastAsia="宋体" w:hAnsiTheme="minorEastAsia"/>
          <w:sz w:val="24"/>
          <w:szCs w:val="21"/>
          <w:highlight w:val="none"/>
        </w:rPr>
        <w:t>本项目合作期限20年，自正式签订投资合作协议之日起算</w:t>
      </w:r>
      <w:r>
        <w:rPr>
          <w:rFonts w:hint="eastAsia" w:ascii="宋体" w:eastAsia="宋体" w:hAnsiTheme="minorEastAsia"/>
          <w:sz w:val="24"/>
          <w:szCs w:val="21"/>
          <w:highlight w:val="none"/>
          <w:lang w:eastAsia="zh-CN"/>
        </w:rPr>
        <w:t>，</w:t>
      </w:r>
      <w:r>
        <w:rPr>
          <w:rFonts w:hint="eastAsia" w:ascii="宋体" w:eastAsia="宋体" w:hAnsiTheme="minorEastAsia"/>
          <w:sz w:val="24"/>
          <w:szCs w:val="21"/>
          <w:highlight w:val="none"/>
        </w:rPr>
        <w:t>合作期限包括项目融资、设计、建设及运营。合作期结束后，视水域经营权承继情况另行商议决定项目继续存续运营。</w:t>
      </w:r>
    </w:p>
    <w:p w14:paraId="5BE42A38">
      <w:pPr>
        <w:spacing w:line="300" w:lineRule="auto"/>
        <w:ind w:firstLine="482"/>
        <w:jc w:val="left"/>
        <w:outlineLvl w:val="0"/>
        <w:rPr>
          <w:rFonts w:hint="eastAsia" w:ascii="宋体" w:eastAsia="宋体" w:hAnsiTheme="minorEastAsia"/>
          <w:sz w:val="24"/>
          <w:szCs w:val="21"/>
          <w:highlight w:val="none"/>
        </w:rPr>
      </w:pPr>
      <w:bookmarkStart w:id="71" w:name="_Toc25175"/>
      <w:bookmarkStart w:id="72" w:name="_Toc2213"/>
      <w:bookmarkStart w:id="73" w:name="_Toc11509"/>
      <w:r>
        <w:rPr>
          <w:rFonts w:hint="eastAsia" w:ascii="宋体" w:eastAsia="宋体" w:hAnsiTheme="minorEastAsia"/>
          <w:sz w:val="24"/>
          <w:szCs w:val="21"/>
          <w:highlight w:val="none"/>
        </w:rPr>
        <w:t>第2.5条实施主体</w:t>
      </w:r>
      <w:bookmarkEnd w:id="71"/>
      <w:bookmarkEnd w:id="72"/>
      <w:bookmarkEnd w:id="73"/>
    </w:p>
    <w:p w14:paraId="5B3485CD">
      <w:pPr>
        <w:spacing w:line="300" w:lineRule="auto"/>
        <w:ind w:firstLine="482"/>
        <w:jc w:val="left"/>
        <w:rPr>
          <w:rFonts w:hint="eastAsia" w:ascii="宋体" w:eastAsia="宋体" w:hAnsiTheme="minorEastAsia"/>
          <w:sz w:val="24"/>
          <w:szCs w:val="21"/>
          <w:highlight w:val="none"/>
        </w:rPr>
      </w:pPr>
      <w:r>
        <w:rPr>
          <w:rFonts w:hint="eastAsia" w:ascii="宋体" w:eastAsia="宋体" w:hAnsiTheme="minorEastAsia"/>
          <w:sz w:val="24"/>
          <w:szCs w:val="21"/>
          <w:highlight w:val="none"/>
        </w:rPr>
        <w:t>实施主体为项目合资公司，承担石井河粤上白云间文旅项目的投资建设运营的责任。</w:t>
      </w:r>
    </w:p>
    <w:p w14:paraId="08FDF30D">
      <w:pPr>
        <w:spacing w:line="300" w:lineRule="auto"/>
        <w:ind w:firstLine="482"/>
        <w:jc w:val="left"/>
        <w:outlineLvl w:val="0"/>
        <w:rPr>
          <w:rFonts w:hint="eastAsia" w:ascii="宋体" w:eastAsia="宋体" w:hAnsiTheme="minorEastAsia"/>
          <w:sz w:val="24"/>
          <w:szCs w:val="21"/>
          <w:highlight w:val="none"/>
        </w:rPr>
      </w:pPr>
      <w:bookmarkStart w:id="74" w:name="_Toc26361"/>
      <w:bookmarkStart w:id="75" w:name="_Toc20953"/>
      <w:bookmarkStart w:id="76" w:name="_Toc10515"/>
      <w:bookmarkStart w:id="77" w:name="_Toc22791"/>
      <w:r>
        <w:rPr>
          <w:rFonts w:hint="eastAsia" w:ascii="宋体" w:eastAsia="宋体" w:hAnsiTheme="minorEastAsia"/>
          <w:sz w:val="24"/>
          <w:szCs w:val="21"/>
          <w:highlight w:val="none"/>
        </w:rPr>
        <w:t>第2.6条项目投资额</w:t>
      </w:r>
      <w:bookmarkEnd w:id="74"/>
      <w:bookmarkEnd w:id="75"/>
      <w:bookmarkEnd w:id="76"/>
    </w:p>
    <w:p w14:paraId="1161EA94">
      <w:pPr>
        <w:spacing w:line="300" w:lineRule="auto"/>
        <w:ind w:firstLine="482"/>
        <w:jc w:val="left"/>
        <w:rPr>
          <w:rFonts w:hint="eastAsia" w:ascii="宋体" w:eastAsia="宋体" w:hAnsiTheme="minorEastAsia"/>
          <w:sz w:val="24"/>
          <w:szCs w:val="21"/>
          <w:highlight w:val="none"/>
        </w:rPr>
      </w:pPr>
      <w:r>
        <w:rPr>
          <w:rFonts w:hint="eastAsia" w:ascii="宋体" w:eastAsia="宋体" w:hAnsiTheme="minorEastAsia"/>
          <w:sz w:val="24"/>
          <w:szCs w:val="21"/>
          <w:highlight w:val="none"/>
        </w:rPr>
        <w:t>石井河粤上白云间文旅项目建设总投资为    亿元。暂定甲方投资金额为    万元；乙方投资金额为   万元。投资比例为甲方占比  %，乙方占比   %。如后期追加总投资额，由甲乙方按比例上述比例补足。</w:t>
      </w:r>
      <w:bookmarkStart w:id="78" w:name="_Toc12771"/>
    </w:p>
    <w:p w14:paraId="7470F3B9">
      <w:pPr>
        <w:numPr>
          <w:ilvl w:val="255"/>
          <w:numId w:val="0"/>
        </w:numPr>
        <w:spacing w:line="300" w:lineRule="auto"/>
        <w:ind w:firstLine="482"/>
        <w:jc w:val="left"/>
        <w:outlineLvl w:val="0"/>
        <w:rPr>
          <w:rFonts w:hint="eastAsia" w:ascii="宋体" w:eastAsia="宋体" w:hAnsiTheme="minorEastAsia"/>
          <w:sz w:val="24"/>
          <w:szCs w:val="21"/>
          <w:highlight w:val="none"/>
        </w:rPr>
      </w:pPr>
      <w:bookmarkStart w:id="79" w:name="_Toc791"/>
      <w:bookmarkStart w:id="80" w:name="_Toc22291"/>
      <w:r>
        <w:rPr>
          <w:rFonts w:hint="eastAsia" w:ascii="宋体" w:eastAsia="宋体" w:hAnsiTheme="minorEastAsia"/>
          <w:sz w:val="24"/>
          <w:szCs w:val="21"/>
          <w:highlight w:val="none"/>
        </w:rPr>
        <w:t>第</w:t>
      </w:r>
      <w:r>
        <w:rPr>
          <w:rFonts w:ascii="宋体" w:eastAsia="宋体" w:hAnsiTheme="minorEastAsia"/>
          <w:sz w:val="24"/>
          <w:szCs w:val="21"/>
          <w:highlight w:val="none"/>
        </w:rPr>
        <w:t>2.</w:t>
      </w:r>
      <w:r>
        <w:rPr>
          <w:rFonts w:hint="eastAsia" w:ascii="宋体" w:eastAsia="宋体" w:hAnsiTheme="minorEastAsia"/>
          <w:sz w:val="24"/>
          <w:szCs w:val="21"/>
          <w:highlight w:val="none"/>
        </w:rPr>
        <w:t>7条</w:t>
      </w:r>
      <w:r>
        <w:rPr>
          <w:rFonts w:ascii="宋体" w:eastAsia="宋体" w:hAnsiTheme="minorEastAsia"/>
          <w:sz w:val="24"/>
          <w:szCs w:val="21"/>
          <w:highlight w:val="none"/>
        </w:rPr>
        <w:t xml:space="preserve"> </w:t>
      </w:r>
      <w:r>
        <w:rPr>
          <w:rFonts w:hint="eastAsia" w:ascii="宋体" w:eastAsia="宋体" w:hAnsiTheme="minorEastAsia"/>
          <w:sz w:val="24"/>
          <w:szCs w:val="21"/>
          <w:highlight w:val="none"/>
        </w:rPr>
        <w:t>持股比例</w:t>
      </w:r>
      <w:bookmarkEnd w:id="79"/>
      <w:bookmarkEnd w:id="80"/>
    </w:p>
    <w:p w14:paraId="2C42F6BF">
      <w:pPr>
        <w:spacing w:line="300" w:lineRule="auto"/>
        <w:ind w:firstLine="482"/>
        <w:jc w:val="left"/>
        <w:rPr>
          <w:rFonts w:ascii="宋体" w:eastAsia="宋体"/>
          <w:sz w:val="24"/>
          <w:highlight w:val="none"/>
        </w:rPr>
      </w:pPr>
      <w:r>
        <w:rPr>
          <w:rFonts w:hint="eastAsia" w:ascii="宋体" w:eastAsia="宋体"/>
          <w:sz w:val="24"/>
          <w:highlight w:val="none"/>
        </w:rPr>
        <w:t>甲乙双方按照同股同权原则共同组建合资公司，其中：甲方持有股权</w:t>
      </w:r>
      <w:r>
        <w:rPr>
          <w:rFonts w:hint="eastAsia" w:ascii="宋体" w:eastAsia="宋体"/>
          <w:sz w:val="24"/>
          <w:highlight w:val="none"/>
          <w:lang w:val="en-US" w:eastAsia="zh-CN"/>
        </w:rPr>
        <w:t>58</w:t>
      </w:r>
      <w:r>
        <w:rPr>
          <w:rFonts w:hint="eastAsia" w:ascii="宋体" w:eastAsia="宋体"/>
          <w:sz w:val="24"/>
          <w:highlight w:val="none"/>
        </w:rPr>
        <w:t>%，乙方持有股权</w:t>
      </w:r>
      <w:r>
        <w:rPr>
          <w:rFonts w:hint="eastAsia" w:ascii="宋体" w:eastAsia="宋体"/>
          <w:sz w:val="24"/>
          <w:highlight w:val="none"/>
          <w:lang w:val="en-US" w:eastAsia="zh-CN"/>
        </w:rPr>
        <w:t>42</w:t>
      </w:r>
      <w:r>
        <w:rPr>
          <w:rFonts w:hint="eastAsia" w:ascii="宋体" w:eastAsia="宋体"/>
          <w:sz w:val="24"/>
          <w:highlight w:val="none"/>
        </w:rPr>
        <w:t>%，甲方为项目公司最大单一股东。其中，乙方(    )在合资公司占股  %。</w:t>
      </w:r>
    </w:p>
    <w:p w14:paraId="2000BEA7">
      <w:pPr>
        <w:spacing w:line="300" w:lineRule="auto"/>
        <w:ind w:firstLine="482"/>
        <w:jc w:val="left"/>
        <w:outlineLvl w:val="0"/>
        <w:rPr>
          <w:rFonts w:ascii="宋体" w:eastAsia="宋体"/>
          <w:sz w:val="24"/>
          <w:highlight w:val="none"/>
        </w:rPr>
      </w:pPr>
      <w:bookmarkStart w:id="81" w:name="_Toc32573"/>
      <w:bookmarkStart w:id="82" w:name="_Toc23348"/>
      <w:r>
        <w:rPr>
          <w:rFonts w:hint="eastAsia" w:ascii="宋体" w:eastAsia="宋体"/>
          <w:sz w:val="24"/>
          <w:highlight w:val="none"/>
        </w:rPr>
        <w:t>第2.8条出资金额</w:t>
      </w:r>
      <w:bookmarkEnd w:id="77"/>
      <w:bookmarkEnd w:id="78"/>
      <w:bookmarkEnd w:id="81"/>
      <w:bookmarkEnd w:id="82"/>
    </w:p>
    <w:p w14:paraId="579EC829">
      <w:pPr>
        <w:spacing w:line="300" w:lineRule="auto"/>
        <w:ind w:firstLine="482"/>
        <w:jc w:val="left"/>
        <w:rPr>
          <w:rFonts w:ascii="宋体" w:eastAsia="宋体"/>
          <w:sz w:val="24"/>
          <w:highlight w:val="none"/>
        </w:rPr>
      </w:pPr>
      <w:r>
        <w:rPr>
          <w:rFonts w:hint="eastAsia" w:ascii="宋体" w:eastAsia="宋体"/>
          <w:sz w:val="24"/>
          <w:highlight w:val="none"/>
        </w:rPr>
        <w:t>甲乙双方确认共同出资新设合资公司，该公司注册资本为人民币【】万元整，出资为货币形式，具体出资金额如下：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7"/>
        <w:gridCol w:w="1483"/>
        <w:gridCol w:w="2131"/>
        <w:gridCol w:w="2131"/>
      </w:tblGrid>
      <w:tr w14:paraId="530C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tcPr>
          <w:p w14:paraId="0171AF48">
            <w:pPr>
              <w:rPr>
                <w:highlight w:val="none"/>
              </w:rPr>
            </w:pPr>
            <w:r>
              <w:rPr>
                <w:rFonts w:hint="eastAsia"/>
                <w:highlight w:val="none"/>
              </w:rPr>
              <w:t>股东名称</w:t>
            </w:r>
          </w:p>
        </w:tc>
        <w:tc>
          <w:tcPr>
            <w:tcW w:w="1483" w:type="dxa"/>
          </w:tcPr>
          <w:p w14:paraId="015DFD3B">
            <w:pPr>
              <w:rPr>
                <w:highlight w:val="none"/>
              </w:rPr>
            </w:pPr>
            <w:r>
              <w:rPr>
                <w:rFonts w:hint="eastAsia"/>
                <w:highlight w:val="none"/>
              </w:rPr>
              <w:t>出资额</w:t>
            </w:r>
          </w:p>
        </w:tc>
        <w:tc>
          <w:tcPr>
            <w:tcW w:w="2131" w:type="dxa"/>
          </w:tcPr>
          <w:p w14:paraId="0DC86A06">
            <w:pPr>
              <w:rPr>
                <w:highlight w:val="none"/>
              </w:rPr>
            </w:pPr>
            <w:r>
              <w:rPr>
                <w:rFonts w:hint="eastAsia"/>
                <w:highlight w:val="none"/>
              </w:rPr>
              <w:t>出资方式</w:t>
            </w:r>
          </w:p>
        </w:tc>
        <w:tc>
          <w:tcPr>
            <w:tcW w:w="2131" w:type="dxa"/>
          </w:tcPr>
          <w:p w14:paraId="5C981FE3">
            <w:pPr>
              <w:rPr>
                <w:highlight w:val="none"/>
              </w:rPr>
            </w:pPr>
            <w:r>
              <w:rPr>
                <w:rFonts w:hint="eastAsia"/>
                <w:highlight w:val="none"/>
              </w:rPr>
              <w:t>出资比例</w:t>
            </w:r>
          </w:p>
        </w:tc>
      </w:tr>
      <w:tr w14:paraId="5F8F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tcPr>
          <w:p w14:paraId="131D3245">
            <w:pPr>
              <w:rPr>
                <w:highlight w:val="none"/>
              </w:rPr>
            </w:pPr>
          </w:p>
        </w:tc>
        <w:tc>
          <w:tcPr>
            <w:tcW w:w="1483" w:type="dxa"/>
          </w:tcPr>
          <w:p w14:paraId="621E4CF8">
            <w:pPr>
              <w:rPr>
                <w:highlight w:val="none"/>
              </w:rPr>
            </w:pPr>
          </w:p>
        </w:tc>
        <w:tc>
          <w:tcPr>
            <w:tcW w:w="2131" w:type="dxa"/>
          </w:tcPr>
          <w:p w14:paraId="3F7BA002">
            <w:pPr>
              <w:rPr>
                <w:highlight w:val="none"/>
              </w:rPr>
            </w:pPr>
          </w:p>
        </w:tc>
        <w:tc>
          <w:tcPr>
            <w:tcW w:w="2131" w:type="dxa"/>
          </w:tcPr>
          <w:p w14:paraId="04B6455F">
            <w:pPr>
              <w:rPr>
                <w:highlight w:val="none"/>
              </w:rPr>
            </w:pPr>
          </w:p>
        </w:tc>
      </w:tr>
      <w:tr w14:paraId="3EFE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tcPr>
          <w:p w14:paraId="31D36379">
            <w:pPr>
              <w:rPr>
                <w:highlight w:val="none"/>
              </w:rPr>
            </w:pPr>
          </w:p>
        </w:tc>
        <w:tc>
          <w:tcPr>
            <w:tcW w:w="1483" w:type="dxa"/>
          </w:tcPr>
          <w:p w14:paraId="159BE131">
            <w:pPr>
              <w:rPr>
                <w:highlight w:val="none"/>
              </w:rPr>
            </w:pPr>
          </w:p>
        </w:tc>
        <w:tc>
          <w:tcPr>
            <w:tcW w:w="2131" w:type="dxa"/>
          </w:tcPr>
          <w:p w14:paraId="181ACC2D">
            <w:pPr>
              <w:rPr>
                <w:highlight w:val="none"/>
              </w:rPr>
            </w:pPr>
          </w:p>
        </w:tc>
        <w:tc>
          <w:tcPr>
            <w:tcW w:w="2131" w:type="dxa"/>
          </w:tcPr>
          <w:p w14:paraId="571796BD">
            <w:pPr>
              <w:rPr>
                <w:highlight w:val="none"/>
              </w:rPr>
            </w:pPr>
          </w:p>
        </w:tc>
      </w:tr>
      <w:tr w14:paraId="599F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tcPr>
          <w:p w14:paraId="4D2FE788">
            <w:pPr>
              <w:rPr>
                <w:highlight w:val="none"/>
              </w:rPr>
            </w:pPr>
          </w:p>
        </w:tc>
        <w:tc>
          <w:tcPr>
            <w:tcW w:w="1483" w:type="dxa"/>
          </w:tcPr>
          <w:p w14:paraId="41D220DA">
            <w:pPr>
              <w:rPr>
                <w:highlight w:val="none"/>
              </w:rPr>
            </w:pPr>
          </w:p>
        </w:tc>
        <w:tc>
          <w:tcPr>
            <w:tcW w:w="2131" w:type="dxa"/>
          </w:tcPr>
          <w:p w14:paraId="354319DF">
            <w:pPr>
              <w:rPr>
                <w:highlight w:val="none"/>
              </w:rPr>
            </w:pPr>
          </w:p>
        </w:tc>
        <w:tc>
          <w:tcPr>
            <w:tcW w:w="2131" w:type="dxa"/>
          </w:tcPr>
          <w:p w14:paraId="6A444F35">
            <w:pPr>
              <w:rPr>
                <w:highlight w:val="none"/>
              </w:rPr>
            </w:pPr>
          </w:p>
        </w:tc>
      </w:tr>
    </w:tbl>
    <w:p w14:paraId="5C6C4E90">
      <w:pPr>
        <w:spacing w:line="300" w:lineRule="auto"/>
        <w:ind w:firstLine="482"/>
        <w:jc w:val="left"/>
        <w:outlineLvl w:val="0"/>
        <w:rPr>
          <w:rFonts w:ascii="宋体" w:eastAsia="宋体"/>
          <w:sz w:val="24"/>
          <w:highlight w:val="none"/>
        </w:rPr>
      </w:pPr>
      <w:bookmarkStart w:id="83" w:name="_Toc9785"/>
      <w:bookmarkStart w:id="84" w:name="_Toc8498"/>
      <w:bookmarkStart w:id="85" w:name="_Toc21095"/>
      <w:bookmarkStart w:id="86" w:name="_Toc30684"/>
      <w:r>
        <w:rPr>
          <w:rFonts w:hint="eastAsia" w:ascii="宋体" w:eastAsia="宋体"/>
          <w:sz w:val="24"/>
          <w:highlight w:val="none"/>
        </w:rPr>
        <w:t>第2.9条出资时间</w:t>
      </w:r>
      <w:bookmarkEnd w:id="83"/>
      <w:bookmarkEnd w:id="84"/>
      <w:bookmarkEnd w:id="85"/>
      <w:bookmarkEnd w:id="86"/>
    </w:p>
    <w:p w14:paraId="420ED011">
      <w:pPr>
        <w:spacing w:line="300" w:lineRule="auto"/>
        <w:ind w:firstLine="482"/>
        <w:jc w:val="left"/>
        <w:rPr>
          <w:rFonts w:ascii="宋体" w:eastAsia="宋体"/>
          <w:sz w:val="24"/>
          <w:highlight w:val="none"/>
        </w:rPr>
      </w:pPr>
      <w:r>
        <w:rPr>
          <w:rFonts w:hint="eastAsia" w:ascii="宋体" w:eastAsia="宋体"/>
          <w:sz w:val="24"/>
          <w:highlight w:val="none"/>
        </w:rPr>
        <w:t>甲乙双方应当按期足额缴纳公司章程中规定的各自所认缴的出资额，注册资本金应在合资公司注册完成之日起30日内按合资公司持股比例足额到位。</w:t>
      </w:r>
    </w:p>
    <w:p w14:paraId="4D50E947">
      <w:pPr>
        <w:spacing w:line="300" w:lineRule="auto"/>
        <w:ind w:firstLine="482"/>
        <w:jc w:val="left"/>
        <w:rPr>
          <w:rFonts w:ascii="宋体" w:eastAsia="宋体"/>
          <w:sz w:val="24"/>
          <w:highlight w:val="none"/>
        </w:rPr>
      </w:pPr>
    </w:p>
    <w:p w14:paraId="34121F1D">
      <w:pPr>
        <w:pStyle w:val="24"/>
        <w:keepLines/>
        <w:spacing w:after="0" w:line="300" w:lineRule="auto"/>
        <w:ind w:firstLine="482" w:firstLineChars="0"/>
        <w:jc w:val="left"/>
        <w:rPr>
          <w:rFonts w:hint="eastAsia" w:ascii="宋体" w:cs="宋体" w:hAnsiTheme="minorEastAsia"/>
          <w:sz w:val="24"/>
          <w:szCs w:val="21"/>
          <w:highlight w:val="none"/>
        </w:rPr>
        <w:sectPr>
          <w:footerReference r:id="rId5" w:type="default"/>
          <w:pgSz w:w="11906" w:h="16838"/>
          <w:pgMar w:top="1440" w:right="1800" w:bottom="1440" w:left="1800" w:header="851" w:footer="992" w:gutter="0"/>
          <w:cols w:space="425" w:num="1"/>
          <w:docGrid w:type="lines" w:linePitch="312" w:charSpace="0"/>
        </w:sectPr>
      </w:pPr>
    </w:p>
    <w:bookmarkEnd w:id="19"/>
    <w:p w14:paraId="3640589A">
      <w:pPr>
        <w:spacing w:line="300" w:lineRule="auto"/>
        <w:ind w:firstLine="482"/>
        <w:jc w:val="left"/>
        <w:rPr>
          <w:rFonts w:ascii="宋体" w:eastAsia="宋体"/>
          <w:b/>
          <w:bCs/>
          <w:sz w:val="24"/>
          <w:highlight w:val="none"/>
        </w:rPr>
      </w:pPr>
      <w:bookmarkStart w:id="87" w:name="_Toc2653"/>
    </w:p>
    <w:p w14:paraId="5D93E735">
      <w:pPr>
        <w:spacing w:before="100" w:after="100"/>
        <w:jc w:val="left"/>
        <w:outlineLvl w:val="0"/>
        <w:rPr>
          <w:rFonts w:ascii="黑体" w:eastAsia="黑体"/>
          <w:bCs/>
          <w:sz w:val="28"/>
          <w:highlight w:val="none"/>
        </w:rPr>
      </w:pPr>
      <w:bookmarkStart w:id="88" w:name="_Toc1077"/>
      <w:bookmarkStart w:id="89" w:name="_Toc12474"/>
      <w:bookmarkStart w:id="90" w:name="_Toc226"/>
      <w:r>
        <w:rPr>
          <w:rFonts w:hint="eastAsia" w:ascii="黑体" w:eastAsia="黑体"/>
          <w:bCs/>
          <w:sz w:val="28"/>
          <w:highlight w:val="none"/>
        </w:rPr>
        <w:t>第3章合资公司概况</w:t>
      </w:r>
      <w:bookmarkEnd w:id="87"/>
      <w:bookmarkEnd w:id="88"/>
      <w:bookmarkEnd w:id="89"/>
      <w:bookmarkEnd w:id="90"/>
    </w:p>
    <w:p w14:paraId="0E19BF3D">
      <w:pPr>
        <w:spacing w:line="300" w:lineRule="auto"/>
        <w:ind w:firstLine="482"/>
        <w:jc w:val="left"/>
        <w:outlineLvl w:val="0"/>
        <w:rPr>
          <w:rFonts w:ascii="宋体" w:eastAsia="宋体"/>
          <w:sz w:val="24"/>
          <w:highlight w:val="none"/>
        </w:rPr>
      </w:pPr>
      <w:bookmarkStart w:id="91" w:name="_Toc14316"/>
      <w:bookmarkStart w:id="92" w:name="_Toc1197"/>
      <w:bookmarkStart w:id="93" w:name="_Toc15711"/>
      <w:bookmarkStart w:id="94" w:name="_Toc9478"/>
      <w:r>
        <w:rPr>
          <w:rFonts w:hint="eastAsia" w:ascii="宋体" w:eastAsia="宋体"/>
          <w:sz w:val="24"/>
          <w:highlight w:val="none"/>
        </w:rPr>
        <w:t>第3. 1条公司基本情况</w:t>
      </w:r>
      <w:bookmarkEnd w:id="91"/>
      <w:bookmarkEnd w:id="92"/>
      <w:bookmarkEnd w:id="93"/>
      <w:bookmarkEnd w:id="94"/>
    </w:p>
    <w:p w14:paraId="0CCA389E">
      <w:pPr>
        <w:spacing w:line="300" w:lineRule="auto"/>
        <w:ind w:firstLine="482"/>
        <w:jc w:val="left"/>
        <w:rPr>
          <w:rFonts w:ascii="宋体" w:eastAsia="宋体"/>
          <w:sz w:val="24"/>
          <w:highlight w:val="none"/>
        </w:rPr>
      </w:pPr>
      <w:r>
        <w:rPr>
          <w:rFonts w:hint="eastAsia" w:ascii="宋体" w:eastAsia="宋体"/>
          <w:sz w:val="24"/>
          <w:highlight w:val="none"/>
        </w:rPr>
        <w:t>1.申请设立的合资公司名称拟定为“广州粤上白云文旅发展有限公司”,并有不同字号的备选名称若干，公司名称以公司登记机关核准的为准。</w:t>
      </w:r>
    </w:p>
    <w:p w14:paraId="44EAB461">
      <w:pPr>
        <w:spacing w:line="300" w:lineRule="auto"/>
        <w:ind w:firstLine="482"/>
        <w:jc w:val="left"/>
        <w:rPr>
          <w:rFonts w:ascii="宋体" w:eastAsia="宋体"/>
          <w:sz w:val="24"/>
          <w:highlight w:val="none"/>
        </w:rPr>
      </w:pPr>
      <w:r>
        <w:rPr>
          <w:rFonts w:hint="eastAsia" w:ascii="宋体" w:eastAsia="宋体"/>
          <w:sz w:val="24"/>
          <w:highlight w:val="none"/>
        </w:rPr>
        <w:t>2.合资公司住所拟设在广州市白云区北太路1633号广州民营科技园科盛路8号配套服务大楼。</w:t>
      </w:r>
    </w:p>
    <w:p w14:paraId="7B16C2CE">
      <w:pPr>
        <w:spacing w:line="300" w:lineRule="auto"/>
        <w:ind w:firstLine="482"/>
        <w:jc w:val="left"/>
        <w:rPr>
          <w:rFonts w:ascii="宋体" w:eastAsia="宋体"/>
          <w:sz w:val="24"/>
          <w:highlight w:val="none"/>
        </w:rPr>
      </w:pPr>
      <w:r>
        <w:rPr>
          <w:rFonts w:hint="eastAsia" w:ascii="宋体" w:eastAsia="宋体"/>
          <w:sz w:val="24"/>
          <w:highlight w:val="none"/>
        </w:rPr>
        <w:t>3.合资公司的组织形式为：有限责任公司。</w:t>
      </w:r>
    </w:p>
    <w:p w14:paraId="333C434F">
      <w:pPr>
        <w:spacing w:line="300" w:lineRule="auto"/>
        <w:ind w:firstLine="482"/>
        <w:jc w:val="left"/>
        <w:rPr>
          <w:rFonts w:ascii="宋体" w:eastAsia="宋体"/>
          <w:sz w:val="24"/>
          <w:highlight w:val="none"/>
        </w:rPr>
      </w:pPr>
      <w:r>
        <w:rPr>
          <w:rFonts w:hint="eastAsia" w:ascii="宋体" w:eastAsia="宋体"/>
          <w:sz w:val="24"/>
          <w:highlight w:val="none"/>
        </w:rPr>
        <w:t>4.责任承担：甲、乙双方以各自的出资额为限对平台承担责任，合资公司以其全部资产对合资公司的债务承担责任。</w:t>
      </w:r>
    </w:p>
    <w:p w14:paraId="29EF0BE3">
      <w:pPr>
        <w:spacing w:line="300" w:lineRule="auto"/>
        <w:ind w:firstLine="482"/>
        <w:jc w:val="left"/>
        <w:outlineLvl w:val="0"/>
        <w:rPr>
          <w:rFonts w:ascii="宋体" w:eastAsia="宋体"/>
          <w:sz w:val="24"/>
          <w:highlight w:val="none"/>
        </w:rPr>
      </w:pPr>
      <w:bookmarkStart w:id="95" w:name="_Toc3887"/>
      <w:bookmarkStart w:id="96" w:name="_Toc14078"/>
      <w:bookmarkStart w:id="97" w:name="_Toc16639"/>
      <w:bookmarkStart w:id="98" w:name="_Toc32697"/>
      <w:r>
        <w:rPr>
          <w:rFonts w:hint="eastAsia" w:ascii="宋体" w:eastAsia="宋体"/>
          <w:sz w:val="24"/>
          <w:highlight w:val="none"/>
        </w:rPr>
        <w:t>第3.2条合资公司经营范围</w:t>
      </w:r>
      <w:bookmarkEnd w:id="95"/>
      <w:bookmarkEnd w:id="96"/>
      <w:bookmarkEnd w:id="97"/>
      <w:bookmarkEnd w:id="98"/>
    </w:p>
    <w:p w14:paraId="52A7C34E">
      <w:pPr>
        <w:spacing w:line="300" w:lineRule="auto"/>
        <w:ind w:firstLine="482"/>
        <w:jc w:val="left"/>
        <w:rPr>
          <w:rFonts w:ascii="宋体" w:eastAsia="宋体"/>
          <w:sz w:val="24"/>
          <w:highlight w:val="none"/>
        </w:rPr>
      </w:pPr>
      <w:bookmarkStart w:id="99" w:name="_Toc30955"/>
      <w:r>
        <w:rPr>
          <w:rFonts w:hint="eastAsia" w:ascii="宋体" w:eastAsia="宋体"/>
          <w:sz w:val="24"/>
          <w:highlight w:val="none"/>
        </w:rPr>
        <w:t>一般项目：游览景区管理,露营地服务,非居住房地产租赁,环保咨询服务,工程管理服务,技术服务、技术开发、技术咨询、技术交流、技术转让、技术推广,会议及展览服务,休闲观光活动,名胜风景区管理,广告制作,广告发布,广告设计、代理,组织文化艺术交流活动,平面设计,婚庆礼仪服务,礼仪服务,市场营销策划,咨询策划服务,信息咨询服务（不含许可类信息咨询服务）,物业服务评估,房地产经纪,餐饮管理,商业综合体管理服务,园区管理服务,科技中介服务,工艺美术品及收藏品零售（象牙及其制品除外）,工艺美术品及礼仪用品销售（象牙及其制品除外）,文艺创作,食用农产品零售,日用品销售,美发饰品销售,玩具销售,互联网销售（除销售需要许可的商品）,文化用品设备出租,体育场地设施经营（不含高危险性体育运动）,公园、景区小型设施娱乐活动,企业形象策划,物业管理。（除许可业务外，可自主依法经营法律法规非禁止或限制的项目）</w:t>
      </w:r>
    </w:p>
    <w:p w14:paraId="08FC57E3">
      <w:pPr>
        <w:spacing w:line="300" w:lineRule="auto"/>
        <w:ind w:firstLine="482"/>
        <w:jc w:val="left"/>
        <w:rPr>
          <w:rFonts w:ascii="宋体" w:eastAsia="宋体"/>
          <w:sz w:val="24"/>
          <w:highlight w:val="none"/>
        </w:rPr>
      </w:pPr>
      <w:r>
        <w:rPr>
          <w:rFonts w:hint="eastAsia" w:ascii="宋体" w:eastAsia="宋体"/>
          <w:sz w:val="24"/>
          <w:highlight w:val="none"/>
        </w:rPr>
        <w:t>许可项目：旅游业务,港口经营,住宿服务,省际普通货船运输、省内船舶运输,省际客船、危险品船运输,建筑智能化系统设计,建设工程施工,第二类增值电信业务,餐饮服务,营业性演出,演出经纪,食品销售。（依法须经批准的项目，经相关部门批准后方可开展经营活动，具体经营项目以相关部门批准文件或许可证件为准）</w:t>
      </w:r>
    </w:p>
    <w:p w14:paraId="53C45D0E">
      <w:pPr>
        <w:spacing w:line="300" w:lineRule="auto"/>
        <w:ind w:firstLine="482"/>
        <w:jc w:val="left"/>
        <w:outlineLvl w:val="0"/>
        <w:rPr>
          <w:rFonts w:ascii="宋体" w:eastAsia="宋体"/>
          <w:sz w:val="24"/>
          <w:highlight w:val="none"/>
        </w:rPr>
      </w:pPr>
      <w:bookmarkStart w:id="100" w:name="_Toc23293"/>
      <w:bookmarkStart w:id="101" w:name="_Toc24568"/>
      <w:r>
        <w:rPr>
          <w:rFonts w:hint="eastAsia" w:ascii="宋体" w:eastAsia="宋体"/>
          <w:sz w:val="24"/>
          <w:highlight w:val="none"/>
        </w:rPr>
        <w:t>第3.3条公司登记</w:t>
      </w:r>
      <w:bookmarkEnd w:id="99"/>
      <w:bookmarkEnd w:id="100"/>
      <w:bookmarkEnd w:id="101"/>
    </w:p>
    <w:p w14:paraId="2F32C7C4">
      <w:pPr>
        <w:spacing w:line="300" w:lineRule="auto"/>
        <w:ind w:firstLine="482"/>
        <w:jc w:val="left"/>
        <w:rPr>
          <w:rFonts w:ascii="宋体" w:eastAsia="宋体"/>
          <w:sz w:val="24"/>
          <w:highlight w:val="none"/>
        </w:rPr>
      </w:pPr>
      <w:r>
        <w:rPr>
          <w:rFonts w:hint="eastAsia" w:ascii="宋体" w:eastAsia="宋体"/>
          <w:sz w:val="24"/>
          <w:highlight w:val="none"/>
        </w:rPr>
        <w:t>甲乙双方同意指定双方的其中一方为代表或者共同委托的代理人(指具有代理业务的公司派员或者律师事务所的律师)作为申请人，于【】年【】月【】日前向公司登记机关申请公司名称预先核准登记和设立登记。申请人应保证向公司登记机关 提交的文件、证件的真实性、有效性和合法性，并承担责任。</w:t>
      </w:r>
    </w:p>
    <w:p w14:paraId="4A267056">
      <w:pPr>
        <w:spacing w:line="300" w:lineRule="auto"/>
        <w:ind w:firstLine="482"/>
        <w:jc w:val="left"/>
        <w:rPr>
          <w:rFonts w:ascii="宋体" w:eastAsia="宋体"/>
          <w:sz w:val="24"/>
          <w:highlight w:val="none"/>
        </w:rPr>
      </w:pPr>
    </w:p>
    <w:p w14:paraId="3FB06DAE">
      <w:pPr>
        <w:spacing w:line="300" w:lineRule="auto"/>
        <w:ind w:firstLine="482"/>
        <w:jc w:val="left"/>
        <w:outlineLvl w:val="0"/>
        <w:rPr>
          <w:rFonts w:ascii="宋体" w:eastAsia="宋体"/>
          <w:b/>
          <w:bCs/>
          <w:sz w:val="24"/>
          <w:highlight w:val="none"/>
        </w:rPr>
      </w:pPr>
      <w:bookmarkStart w:id="102" w:name="_Toc18133"/>
      <w:bookmarkStart w:id="103" w:name="_Toc7654"/>
      <w:bookmarkStart w:id="104" w:name="_Toc28490"/>
      <w:bookmarkStart w:id="105" w:name="_Toc28064"/>
      <w:r>
        <w:rPr>
          <w:rFonts w:hint="eastAsia" w:ascii="宋体" w:eastAsia="宋体"/>
          <w:b/>
          <w:bCs/>
          <w:sz w:val="24"/>
          <w:highlight w:val="none"/>
        </w:rPr>
        <w:t>第四章声明和保证</w:t>
      </w:r>
      <w:bookmarkEnd w:id="102"/>
      <w:bookmarkEnd w:id="103"/>
      <w:bookmarkEnd w:id="104"/>
      <w:bookmarkEnd w:id="105"/>
    </w:p>
    <w:p w14:paraId="6E6C8F43">
      <w:pPr>
        <w:spacing w:line="300" w:lineRule="auto"/>
        <w:ind w:firstLine="482"/>
        <w:jc w:val="left"/>
        <w:outlineLvl w:val="0"/>
        <w:rPr>
          <w:rFonts w:ascii="宋体" w:eastAsia="宋体"/>
          <w:sz w:val="24"/>
          <w:highlight w:val="none"/>
        </w:rPr>
      </w:pPr>
      <w:bookmarkStart w:id="106" w:name="_Toc12227"/>
      <w:bookmarkStart w:id="107" w:name="_Toc26181"/>
      <w:bookmarkStart w:id="108" w:name="_Toc17275"/>
      <w:bookmarkStart w:id="109" w:name="_Toc22192"/>
      <w:r>
        <w:rPr>
          <w:rFonts w:hint="eastAsia" w:ascii="宋体" w:eastAsia="宋体"/>
          <w:sz w:val="24"/>
          <w:highlight w:val="none"/>
        </w:rPr>
        <w:t>第4.1条甲乙双方的声明和保证</w:t>
      </w:r>
      <w:bookmarkEnd w:id="106"/>
      <w:bookmarkEnd w:id="107"/>
      <w:bookmarkEnd w:id="108"/>
      <w:bookmarkEnd w:id="109"/>
    </w:p>
    <w:p w14:paraId="55C1027D">
      <w:pPr>
        <w:spacing w:line="300" w:lineRule="auto"/>
        <w:ind w:firstLine="482"/>
        <w:jc w:val="left"/>
        <w:rPr>
          <w:rFonts w:ascii="宋体" w:eastAsia="宋体"/>
          <w:sz w:val="24"/>
          <w:highlight w:val="none"/>
        </w:rPr>
      </w:pPr>
      <w:r>
        <w:rPr>
          <w:rFonts w:hint="eastAsia" w:ascii="宋体" w:eastAsia="宋体"/>
          <w:sz w:val="24"/>
          <w:highlight w:val="none"/>
        </w:rPr>
        <w:t>甲方向乙方作出以下声明和保证：</w:t>
      </w:r>
    </w:p>
    <w:p w14:paraId="688946B5">
      <w:pPr>
        <w:spacing w:line="300" w:lineRule="auto"/>
        <w:ind w:firstLine="482"/>
        <w:jc w:val="left"/>
        <w:outlineLvl w:val="1"/>
        <w:rPr>
          <w:rFonts w:ascii="宋体" w:eastAsia="宋体"/>
          <w:sz w:val="24"/>
          <w:highlight w:val="none"/>
        </w:rPr>
      </w:pPr>
      <w:r>
        <w:rPr>
          <w:rFonts w:hint="eastAsia" w:ascii="宋体" w:eastAsia="宋体"/>
          <w:sz w:val="24"/>
          <w:highlight w:val="none"/>
        </w:rPr>
        <w:t>1.主体资格</w:t>
      </w:r>
    </w:p>
    <w:p w14:paraId="756A6AA9">
      <w:pPr>
        <w:spacing w:line="300" w:lineRule="auto"/>
        <w:ind w:firstLine="482"/>
        <w:jc w:val="left"/>
        <w:rPr>
          <w:rFonts w:ascii="宋体" w:eastAsia="宋体"/>
          <w:sz w:val="24"/>
          <w:highlight w:val="none"/>
        </w:rPr>
      </w:pPr>
      <w:r>
        <w:rPr>
          <w:rFonts w:hint="eastAsia" w:ascii="宋体" w:eastAsia="宋体"/>
          <w:sz w:val="24"/>
          <w:highlight w:val="none"/>
        </w:rPr>
        <w:t>1)  甲方为根据中国法律正式注册成立、有效存续而且资信良好的有限责任公司。</w:t>
      </w:r>
    </w:p>
    <w:p w14:paraId="0E8ADE97">
      <w:pPr>
        <w:spacing w:line="300" w:lineRule="auto"/>
        <w:ind w:firstLine="482"/>
        <w:jc w:val="left"/>
        <w:rPr>
          <w:rFonts w:ascii="宋体" w:eastAsia="宋体"/>
          <w:sz w:val="24"/>
          <w:highlight w:val="none"/>
        </w:rPr>
      </w:pPr>
      <w:r>
        <w:rPr>
          <w:rFonts w:hint="eastAsia" w:ascii="宋体" w:eastAsia="宋体"/>
          <w:sz w:val="24"/>
          <w:highlight w:val="none"/>
        </w:rPr>
        <w:t>2)  甲方拥有完全的民事权利能力和民事行为能力，以签订和履行投资合作文 件，并完成投资合作文件所拟议的合作。</w:t>
      </w:r>
    </w:p>
    <w:p w14:paraId="008A10D0">
      <w:pPr>
        <w:spacing w:line="300" w:lineRule="auto"/>
        <w:ind w:firstLine="482"/>
        <w:jc w:val="left"/>
        <w:rPr>
          <w:rFonts w:ascii="宋体" w:eastAsia="宋体"/>
          <w:sz w:val="24"/>
          <w:highlight w:val="none"/>
        </w:rPr>
      </w:pPr>
      <w:r>
        <w:rPr>
          <w:rFonts w:hint="eastAsia" w:ascii="宋体" w:eastAsia="宋体"/>
          <w:sz w:val="24"/>
          <w:highlight w:val="none"/>
        </w:rPr>
        <w:t>3)  甲方已经采取所有必需的行动获得了正式授权以签署、交付和履行投资合 作文件及完成投资合作文件项下的合作。投资合作文件在经甲方签署后将 构成甲方合法、有效和具有约束力的义务，并可按照其条款对甲方强制执 行。</w:t>
      </w:r>
    </w:p>
    <w:p w14:paraId="4BB3B9C1">
      <w:pPr>
        <w:spacing w:line="300" w:lineRule="auto"/>
        <w:ind w:firstLine="482"/>
        <w:jc w:val="left"/>
        <w:outlineLvl w:val="1"/>
        <w:rPr>
          <w:rFonts w:ascii="宋体" w:eastAsia="宋体"/>
          <w:sz w:val="24"/>
          <w:highlight w:val="none"/>
        </w:rPr>
      </w:pPr>
      <w:r>
        <w:rPr>
          <w:rFonts w:hint="eastAsia" w:ascii="宋体" w:eastAsia="宋体"/>
          <w:sz w:val="24"/>
          <w:highlight w:val="none"/>
        </w:rPr>
        <w:t>2.无冲突</w:t>
      </w:r>
    </w:p>
    <w:p w14:paraId="48E9F1D0">
      <w:pPr>
        <w:spacing w:line="300" w:lineRule="auto"/>
        <w:ind w:firstLine="482"/>
        <w:jc w:val="left"/>
        <w:rPr>
          <w:rFonts w:ascii="宋体" w:eastAsia="宋体"/>
          <w:sz w:val="24"/>
          <w:highlight w:val="none"/>
        </w:rPr>
      </w:pPr>
      <w:r>
        <w:rPr>
          <w:rFonts w:hint="eastAsia" w:ascii="宋体" w:eastAsia="宋体"/>
          <w:sz w:val="24"/>
          <w:highlight w:val="none"/>
        </w:rPr>
        <w:t>甲方签署、交付和履行投资合作文件不会违反：</w:t>
      </w:r>
    </w:p>
    <w:p w14:paraId="51EE8F8E">
      <w:pPr>
        <w:spacing w:line="300" w:lineRule="auto"/>
        <w:ind w:firstLine="482"/>
        <w:jc w:val="left"/>
        <w:rPr>
          <w:rFonts w:ascii="宋体" w:eastAsia="宋体"/>
          <w:sz w:val="24"/>
          <w:highlight w:val="none"/>
        </w:rPr>
      </w:pPr>
      <w:r>
        <w:rPr>
          <w:rFonts w:hint="eastAsia" w:ascii="宋体" w:eastAsia="宋体"/>
          <w:sz w:val="24"/>
          <w:highlight w:val="none"/>
        </w:rPr>
        <w:t>1)  甲方公司章程的规定。</w:t>
      </w:r>
    </w:p>
    <w:p w14:paraId="48061001">
      <w:pPr>
        <w:spacing w:line="300" w:lineRule="auto"/>
        <w:ind w:firstLine="482"/>
        <w:jc w:val="left"/>
        <w:rPr>
          <w:rFonts w:ascii="宋体" w:eastAsia="宋体"/>
          <w:sz w:val="24"/>
          <w:highlight w:val="none"/>
        </w:rPr>
      </w:pPr>
      <w:r>
        <w:rPr>
          <w:rFonts w:hint="eastAsia" w:ascii="宋体" w:eastAsia="宋体"/>
          <w:sz w:val="24"/>
          <w:highlight w:val="none"/>
        </w:rPr>
        <w:t>2)  适用于甲方的中国法律法规的规定。</w:t>
      </w:r>
    </w:p>
    <w:p w14:paraId="2BA0D2E7">
      <w:pPr>
        <w:spacing w:line="300" w:lineRule="auto"/>
        <w:ind w:firstLine="482"/>
        <w:jc w:val="left"/>
        <w:rPr>
          <w:rFonts w:ascii="宋体" w:eastAsia="宋体"/>
          <w:sz w:val="24"/>
          <w:highlight w:val="none"/>
        </w:rPr>
      </w:pPr>
      <w:r>
        <w:rPr>
          <w:rFonts w:hint="eastAsia" w:ascii="宋体" w:eastAsia="宋体"/>
          <w:sz w:val="24"/>
          <w:highlight w:val="none"/>
        </w:rPr>
        <w:t>3)  适用于甲方的政府授权或政府指令。</w:t>
      </w:r>
    </w:p>
    <w:p w14:paraId="53C7A7E8">
      <w:pPr>
        <w:spacing w:line="300" w:lineRule="auto"/>
        <w:ind w:firstLine="482"/>
        <w:jc w:val="left"/>
        <w:rPr>
          <w:rFonts w:ascii="宋体" w:eastAsia="宋体"/>
          <w:sz w:val="24"/>
          <w:highlight w:val="none"/>
        </w:rPr>
      </w:pPr>
      <w:r>
        <w:rPr>
          <w:rFonts w:hint="eastAsia" w:ascii="宋体" w:eastAsia="宋体"/>
          <w:sz w:val="24"/>
          <w:highlight w:val="none"/>
        </w:rPr>
        <w:t>4)  任何其作为一方的合同、协议或有法律约束力的文件下的约定。</w:t>
      </w:r>
    </w:p>
    <w:p w14:paraId="2D814DC4">
      <w:pPr>
        <w:spacing w:line="300" w:lineRule="auto"/>
        <w:ind w:firstLine="482"/>
        <w:jc w:val="left"/>
        <w:outlineLvl w:val="1"/>
        <w:rPr>
          <w:rFonts w:ascii="宋体" w:eastAsia="宋体"/>
          <w:sz w:val="24"/>
          <w:highlight w:val="none"/>
        </w:rPr>
      </w:pPr>
      <w:r>
        <w:rPr>
          <w:rFonts w:hint="eastAsia" w:ascii="宋体" w:eastAsia="宋体"/>
          <w:sz w:val="24"/>
          <w:highlight w:val="none"/>
        </w:rPr>
        <w:t>3.  公司登记工作配合</w:t>
      </w:r>
    </w:p>
    <w:p w14:paraId="549133EA">
      <w:pPr>
        <w:spacing w:line="300" w:lineRule="auto"/>
        <w:ind w:firstLine="482"/>
        <w:jc w:val="left"/>
        <w:rPr>
          <w:rFonts w:ascii="宋体" w:eastAsia="宋体"/>
          <w:sz w:val="24"/>
          <w:highlight w:val="none"/>
        </w:rPr>
      </w:pPr>
      <w:r>
        <w:rPr>
          <w:rFonts w:hint="eastAsia" w:ascii="宋体" w:eastAsia="宋体"/>
          <w:sz w:val="24"/>
          <w:highlight w:val="none"/>
        </w:rPr>
        <w:t>1)  及时提供公司申请设立所必需的文件材料。</w:t>
      </w:r>
    </w:p>
    <w:p w14:paraId="61817E6F">
      <w:pPr>
        <w:spacing w:line="300" w:lineRule="auto"/>
        <w:ind w:firstLine="482"/>
        <w:jc w:val="left"/>
        <w:rPr>
          <w:rFonts w:ascii="宋体" w:eastAsia="宋体"/>
          <w:sz w:val="24"/>
          <w:highlight w:val="none"/>
        </w:rPr>
      </w:pPr>
      <w:r>
        <w:rPr>
          <w:rFonts w:hint="eastAsia" w:ascii="宋体" w:eastAsia="宋体"/>
          <w:sz w:val="24"/>
          <w:highlight w:val="none"/>
        </w:rPr>
        <w:t>2)  在公司设立过程中，由于甲方的过失致使公司受到损害的，对公司承担赔 偿责任。</w:t>
      </w:r>
    </w:p>
    <w:p w14:paraId="3FDC4DC7">
      <w:pPr>
        <w:spacing w:line="300" w:lineRule="auto"/>
        <w:ind w:firstLine="482"/>
        <w:jc w:val="left"/>
        <w:outlineLvl w:val="1"/>
        <w:rPr>
          <w:rFonts w:ascii="宋体" w:eastAsia="宋体"/>
          <w:sz w:val="24"/>
          <w:highlight w:val="none"/>
        </w:rPr>
      </w:pPr>
      <w:r>
        <w:rPr>
          <w:rFonts w:hint="eastAsia" w:ascii="宋体" w:eastAsia="宋体"/>
          <w:sz w:val="24"/>
          <w:highlight w:val="none"/>
        </w:rPr>
        <w:t>4.注册资本</w:t>
      </w:r>
    </w:p>
    <w:p w14:paraId="01A0A2E3">
      <w:pPr>
        <w:spacing w:line="300" w:lineRule="auto"/>
        <w:ind w:firstLine="482"/>
        <w:jc w:val="left"/>
        <w:rPr>
          <w:rFonts w:ascii="宋体" w:eastAsia="宋体"/>
          <w:sz w:val="24"/>
          <w:highlight w:val="none"/>
        </w:rPr>
      </w:pPr>
      <w:r>
        <w:rPr>
          <w:rFonts w:hint="eastAsia" w:ascii="宋体" w:eastAsia="宋体"/>
          <w:sz w:val="24"/>
          <w:highlight w:val="none"/>
        </w:rPr>
        <w:t>甲方投入合资公司的注册资本/资金，为甲方所拥有的合法财产，甲方对该注册 资本/资金拥有合法、有效、完全的且不存在任何负担的所有权。</w:t>
      </w:r>
    </w:p>
    <w:p w14:paraId="0A959EE8">
      <w:pPr>
        <w:spacing w:line="300" w:lineRule="auto"/>
        <w:ind w:firstLine="482"/>
        <w:jc w:val="left"/>
        <w:outlineLvl w:val="1"/>
        <w:rPr>
          <w:rFonts w:ascii="宋体" w:eastAsia="宋体"/>
          <w:sz w:val="24"/>
          <w:highlight w:val="none"/>
        </w:rPr>
      </w:pPr>
      <w:r>
        <w:rPr>
          <w:rFonts w:hint="eastAsia" w:ascii="宋体" w:eastAsia="宋体"/>
          <w:sz w:val="24"/>
          <w:highlight w:val="none"/>
        </w:rPr>
        <w:t>5.业务经营</w:t>
      </w:r>
    </w:p>
    <w:p w14:paraId="28FDE5DA">
      <w:pPr>
        <w:spacing w:line="300" w:lineRule="auto"/>
        <w:ind w:firstLine="482"/>
        <w:jc w:val="left"/>
        <w:rPr>
          <w:rFonts w:ascii="宋体" w:eastAsia="宋体"/>
          <w:sz w:val="24"/>
          <w:highlight w:val="none"/>
        </w:rPr>
      </w:pPr>
      <w:r>
        <w:rPr>
          <w:rFonts w:hint="eastAsia" w:ascii="宋体" w:eastAsia="宋体"/>
          <w:sz w:val="24"/>
          <w:highlight w:val="none"/>
        </w:rPr>
        <w:t>双方确认，项目合资公司负责石井河水域首开区（水域范围由石井桥至潭溪路桥间）游船及水上项目经营，并且参与周边物业、停车场的投资建设运营。在本协议有效期内，甲方应积极促成合资公司依法依规获得以上水域、物业、停车场或广告资源的经营权，最终由合资公司与经营权业主单位签订相关合同协议。</w:t>
      </w:r>
    </w:p>
    <w:p w14:paraId="2F67AAAF">
      <w:pPr>
        <w:spacing w:line="300" w:lineRule="auto"/>
        <w:ind w:firstLine="482"/>
        <w:jc w:val="left"/>
        <w:outlineLvl w:val="1"/>
        <w:rPr>
          <w:rFonts w:ascii="宋体" w:eastAsia="宋体"/>
          <w:sz w:val="24"/>
          <w:highlight w:val="none"/>
        </w:rPr>
      </w:pPr>
      <w:r>
        <w:rPr>
          <w:rFonts w:hint="eastAsia" w:ascii="宋体" w:eastAsia="宋体"/>
          <w:sz w:val="24"/>
          <w:highlight w:val="none"/>
        </w:rPr>
        <w:t>6.诉求</w:t>
      </w:r>
    </w:p>
    <w:p w14:paraId="370BCC89">
      <w:pPr>
        <w:spacing w:line="300" w:lineRule="auto"/>
        <w:ind w:firstLine="482"/>
        <w:jc w:val="left"/>
        <w:rPr>
          <w:rFonts w:ascii="宋体" w:eastAsia="宋体"/>
          <w:sz w:val="24"/>
          <w:highlight w:val="none"/>
        </w:rPr>
      </w:pPr>
      <w:r>
        <w:rPr>
          <w:rFonts w:hint="eastAsia" w:ascii="宋体" w:eastAsia="宋体"/>
          <w:sz w:val="24"/>
          <w:highlight w:val="none"/>
        </w:rPr>
        <w:t>不存在任何由甲方提起的或向甲方提起的可能对本协议的合法性、效力或可强制执行性或者投资合作文件所拟议之合作的完成有重大不利影响的未决诉求。</w:t>
      </w:r>
    </w:p>
    <w:p w14:paraId="5AB27481">
      <w:pPr>
        <w:spacing w:line="300" w:lineRule="auto"/>
        <w:ind w:firstLine="482"/>
        <w:jc w:val="left"/>
        <w:outlineLvl w:val="1"/>
        <w:rPr>
          <w:rFonts w:ascii="宋体" w:eastAsia="宋体"/>
          <w:sz w:val="24"/>
          <w:highlight w:val="none"/>
        </w:rPr>
      </w:pPr>
      <w:r>
        <w:rPr>
          <w:rFonts w:hint="eastAsia" w:ascii="宋体" w:eastAsia="宋体"/>
          <w:sz w:val="24"/>
          <w:highlight w:val="none"/>
        </w:rPr>
        <w:t>7.无违规</w:t>
      </w:r>
    </w:p>
    <w:p w14:paraId="0B2C5B06">
      <w:pPr>
        <w:spacing w:line="300" w:lineRule="auto"/>
        <w:ind w:firstLine="482"/>
        <w:jc w:val="left"/>
        <w:rPr>
          <w:rFonts w:ascii="宋体" w:eastAsia="宋体"/>
          <w:sz w:val="24"/>
          <w:highlight w:val="none"/>
        </w:rPr>
      </w:pPr>
      <w:r>
        <w:rPr>
          <w:rFonts w:hint="eastAsia" w:ascii="宋体" w:eastAsia="宋体"/>
          <w:sz w:val="24"/>
          <w:highlight w:val="none"/>
        </w:rPr>
        <w:t>甲方近三年未被追究刑事责任，亦未受到工商、税务、环保等行政监管部门的重 大行政调查或者重大行政处罚。</w:t>
      </w:r>
    </w:p>
    <w:p w14:paraId="3FACA6B5">
      <w:pPr>
        <w:spacing w:line="300" w:lineRule="auto"/>
        <w:ind w:firstLine="482"/>
        <w:jc w:val="left"/>
        <w:outlineLvl w:val="0"/>
        <w:rPr>
          <w:rFonts w:ascii="宋体" w:eastAsia="宋体"/>
          <w:sz w:val="24"/>
          <w:highlight w:val="none"/>
        </w:rPr>
      </w:pPr>
      <w:bookmarkStart w:id="110" w:name="_Toc22527"/>
      <w:bookmarkStart w:id="111" w:name="_Toc9560"/>
      <w:bookmarkStart w:id="112" w:name="_Toc18794"/>
      <w:bookmarkStart w:id="113" w:name="_Toc24791"/>
      <w:r>
        <w:rPr>
          <w:rFonts w:hint="eastAsia" w:ascii="宋体" w:eastAsia="宋体"/>
          <w:sz w:val="24"/>
          <w:highlight w:val="none"/>
        </w:rPr>
        <w:t>第4.2条乙方的声明和保证</w:t>
      </w:r>
      <w:bookmarkEnd w:id="110"/>
      <w:bookmarkEnd w:id="111"/>
      <w:bookmarkEnd w:id="112"/>
      <w:bookmarkEnd w:id="113"/>
    </w:p>
    <w:p w14:paraId="5D844A10">
      <w:pPr>
        <w:spacing w:line="300" w:lineRule="auto"/>
        <w:ind w:firstLine="482"/>
        <w:jc w:val="left"/>
        <w:rPr>
          <w:rFonts w:ascii="宋体" w:eastAsia="宋体"/>
          <w:sz w:val="24"/>
          <w:highlight w:val="none"/>
        </w:rPr>
      </w:pPr>
      <w:r>
        <w:rPr>
          <w:rFonts w:hint="eastAsia" w:ascii="宋体" w:eastAsia="宋体"/>
          <w:sz w:val="24"/>
          <w:highlight w:val="none"/>
        </w:rPr>
        <w:t>乙方向甲方作出以下声明和保证：</w:t>
      </w:r>
    </w:p>
    <w:p w14:paraId="371A3FA0">
      <w:pPr>
        <w:spacing w:line="300" w:lineRule="auto"/>
        <w:ind w:firstLine="482"/>
        <w:jc w:val="left"/>
        <w:outlineLvl w:val="1"/>
        <w:rPr>
          <w:rFonts w:ascii="宋体" w:eastAsia="宋体"/>
          <w:sz w:val="24"/>
          <w:highlight w:val="none"/>
        </w:rPr>
      </w:pPr>
      <w:r>
        <w:rPr>
          <w:rFonts w:hint="eastAsia" w:ascii="宋体" w:eastAsia="宋体"/>
          <w:sz w:val="24"/>
          <w:highlight w:val="none"/>
        </w:rPr>
        <w:t>8.乙方的主体资格</w:t>
      </w:r>
    </w:p>
    <w:p w14:paraId="0507A19D">
      <w:pPr>
        <w:spacing w:line="300" w:lineRule="auto"/>
        <w:ind w:firstLine="482"/>
        <w:jc w:val="left"/>
        <w:rPr>
          <w:rFonts w:ascii="宋体" w:eastAsia="宋体"/>
          <w:sz w:val="24"/>
          <w:highlight w:val="none"/>
        </w:rPr>
      </w:pPr>
      <w:r>
        <w:rPr>
          <w:rFonts w:hint="eastAsia" w:ascii="宋体" w:eastAsia="宋体"/>
          <w:sz w:val="24"/>
          <w:highlight w:val="none"/>
        </w:rPr>
        <w:t>1)  乙方为根据中国法律正式注册成立、有效存续而且资信良好的有限公司。</w:t>
      </w:r>
    </w:p>
    <w:p w14:paraId="10CFB843">
      <w:pPr>
        <w:spacing w:line="300" w:lineRule="auto"/>
        <w:ind w:firstLine="482"/>
        <w:jc w:val="left"/>
        <w:rPr>
          <w:rFonts w:ascii="宋体" w:eastAsia="宋体"/>
          <w:sz w:val="24"/>
          <w:highlight w:val="none"/>
        </w:rPr>
      </w:pPr>
      <w:r>
        <w:rPr>
          <w:rFonts w:hint="eastAsia" w:ascii="宋体" w:eastAsia="宋体"/>
          <w:sz w:val="24"/>
          <w:highlight w:val="none"/>
        </w:rPr>
        <w:t>2)  乙方拥有完全的民事权利能力和民事行为能力以签订和履行投资合作文件，并完成投资合作文件所拟议的合作。</w:t>
      </w:r>
    </w:p>
    <w:p w14:paraId="0BDCACF9">
      <w:pPr>
        <w:spacing w:line="300" w:lineRule="auto"/>
        <w:ind w:firstLine="482"/>
        <w:jc w:val="left"/>
        <w:rPr>
          <w:rFonts w:ascii="宋体" w:eastAsia="宋体"/>
          <w:sz w:val="24"/>
          <w:highlight w:val="none"/>
        </w:rPr>
      </w:pPr>
      <w:r>
        <w:rPr>
          <w:rFonts w:hint="eastAsia" w:ascii="宋体" w:eastAsia="宋体"/>
          <w:sz w:val="24"/>
          <w:highlight w:val="none"/>
        </w:rPr>
        <w:t>3)  乙方已经采取所有必需的行动获得了正式授权以签署、交付和履行交易文 件及完成交易文件项下的交易。交易文件在经乙方签署后将构成对乙方合 法、有效和具有约束力的义务，并可按照其条款对乙方强制执行。</w:t>
      </w:r>
    </w:p>
    <w:p w14:paraId="2BE47CA3">
      <w:pPr>
        <w:spacing w:line="300" w:lineRule="auto"/>
        <w:ind w:firstLine="482"/>
        <w:jc w:val="left"/>
        <w:outlineLvl w:val="1"/>
        <w:rPr>
          <w:rFonts w:ascii="宋体" w:eastAsia="宋体"/>
          <w:sz w:val="24"/>
          <w:highlight w:val="none"/>
        </w:rPr>
      </w:pPr>
      <w:r>
        <w:rPr>
          <w:rFonts w:hint="eastAsia" w:ascii="宋体" w:eastAsia="宋体"/>
          <w:sz w:val="24"/>
          <w:highlight w:val="none"/>
        </w:rPr>
        <w:t>9.无冲突</w:t>
      </w:r>
    </w:p>
    <w:p w14:paraId="778E4B2F">
      <w:pPr>
        <w:spacing w:line="300" w:lineRule="auto"/>
        <w:ind w:firstLine="482"/>
        <w:jc w:val="left"/>
        <w:rPr>
          <w:rFonts w:ascii="宋体" w:eastAsia="宋体"/>
          <w:sz w:val="24"/>
          <w:highlight w:val="none"/>
        </w:rPr>
      </w:pPr>
      <w:r>
        <w:rPr>
          <w:rFonts w:hint="eastAsia" w:ascii="宋体" w:eastAsia="宋体"/>
          <w:sz w:val="24"/>
          <w:highlight w:val="none"/>
        </w:rPr>
        <w:t>乙方签署、交付和履行投资合作文件不会违反：</w:t>
      </w:r>
    </w:p>
    <w:p w14:paraId="28E73F57">
      <w:pPr>
        <w:spacing w:line="300" w:lineRule="auto"/>
        <w:ind w:firstLine="482"/>
        <w:jc w:val="left"/>
        <w:rPr>
          <w:rFonts w:ascii="宋体" w:eastAsia="宋体"/>
          <w:sz w:val="24"/>
          <w:highlight w:val="none"/>
        </w:rPr>
      </w:pPr>
      <w:r>
        <w:rPr>
          <w:rFonts w:hint="eastAsia" w:ascii="宋体" w:eastAsia="宋体"/>
          <w:sz w:val="24"/>
          <w:highlight w:val="none"/>
        </w:rPr>
        <w:t>1)  乙方公司章程的规定。</w:t>
      </w:r>
    </w:p>
    <w:p w14:paraId="4A75AA6C">
      <w:pPr>
        <w:spacing w:line="300" w:lineRule="auto"/>
        <w:ind w:firstLine="482"/>
        <w:jc w:val="left"/>
        <w:rPr>
          <w:rFonts w:ascii="宋体" w:eastAsia="宋体"/>
          <w:sz w:val="24"/>
          <w:highlight w:val="none"/>
        </w:rPr>
      </w:pPr>
      <w:r>
        <w:rPr>
          <w:rFonts w:hint="eastAsia" w:ascii="宋体" w:eastAsia="宋体"/>
          <w:sz w:val="24"/>
          <w:highlight w:val="none"/>
        </w:rPr>
        <w:t>2)  适用于乙方的中国法律法规的规定。</w:t>
      </w:r>
    </w:p>
    <w:p w14:paraId="1F17C575">
      <w:pPr>
        <w:spacing w:line="300" w:lineRule="auto"/>
        <w:ind w:firstLine="482"/>
        <w:jc w:val="left"/>
        <w:rPr>
          <w:rFonts w:ascii="宋体" w:eastAsia="宋体"/>
          <w:sz w:val="24"/>
          <w:highlight w:val="none"/>
        </w:rPr>
      </w:pPr>
      <w:r>
        <w:rPr>
          <w:rFonts w:hint="eastAsia" w:ascii="宋体" w:eastAsia="宋体"/>
          <w:sz w:val="24"/>
          <w:highlight w:val="none"/>
        </w:rPr>
        <w:t>3)  适用于乙方的政府授权或政府指令。</w:t>
      </w:r>
    </w:p>
    <w:p w14:paraId="6DFED345">
      <w:pPr>
        <w:spacing w:line="300" w:lineRule="auto"/>
        <w:ind w:firstLine="482"/>
        <w:jc w:val="left"/>
        <w:rPr>
          <w:rFonts w:ascii="宋体" w:eastAsia="宋体"/>
          <w:sz w:val="24"/>
          <w:highlight w:val="none"/>
        </w:rPr>
      </w:pPr>
      <w:r>
        <w:rPr>
          <w:rFonts w:hint="eastAsia" w:ascii="宋体" w:eastAsia="宋体"/>
          <w:sz w:val="24"/>
          <w:highlight w:val="none"/>
        </w:rPr>
        <w:t>4)  任何其作为一方的合同、协议或有法律约束力的文件下的约定。</w:t>
      </w:r>
    </w:p>
    <w:p w14:paraId="63FBFFFD">
      <w:pPr>
        <w:spacing w:line="300" w:lineRule="auto"/>
        <w:ind w:firstLine="482"/>
        <w:jc w:val="left"/>
        <w:outlineLvl w:val="1"/>
        <w:rPr>
          <w:rFonts w:ascii="宋体" w:eastAsia="宋体"/>
          <w:sz w:val="24"/>
          <w:highlight w:val="none"/>
        </w:rPr>
      </w:pPr>
      <w:r>
        <w:rPr>
          <w:rFonts w:hint="eastAsia" w:ascii="宋体" w:eastAsia="宋体"/>
          <w:sz w:val="24"/>
          <w:highlight w:val="none"/>
        </w:rPr>
        <w:t>10.公司登记工作配合</w:t>
      </w:r>
    </w:p>
    <w:p w14:paraId="55988BEA">
      <w:pPr>
        <w:spacing w:line="300" w:lineRule="auto"/>
        <w:ind w:firstLine="482"/>
        <w:jc w:val="left"/>
        <w:rPr>
          <w:rFonts w:ascii="宋体" w:eastAsia="宋体"/>
          <w:sz w:val="24"/>
          <w:highlight w:val="none"/>
        </w:rPr>
      </w:pPr>
      <w:r>
        <w:rPr>
          <w:rFonts w:hint="eastAsia" w:ascii="宋体" w:eastAsia="宋体"/>
          <w:sz w:val="24"/>
          <w:highlight w:val="none"/>
        </w:rPr>
        <w:t>1)及时提供公司申请设立所必需的文件材料。</w:t>
      </w:r>
    </w:p>
    <w:p w14:paraId="583C6546">
      <w:pPr>
        <w:spacing w:line="300" w:lineRule="auto"/>
        <w:ind w:firstLine="482"/>
        <w:jc w:val="left"/>
        <w:rPr>
          <w:rFonts w:ascii="宋体" w:eastAsia="宋体"/>
          <w:sz w:val="24"/>
          <w:highlight w:val="none"/>
        </w:rPr>
      </w:pPr>
      <w:r>
        <w:rPr>
          <w:rFonts w:hint="eastAsia" w:ascii="宋体" w:eastAsia="宋体"/>
          <w:sz w:val="24"/>
          <w:highlight w:val="none"/>
        </w:rPr>
        <w:t>2)在公司设立过程中，由于乙方的过失致使公司受到损害的，对公司承担赔偿 责 任 。</w:t>
      </w:r>
    </w:p>
    <w:p w14:paraId="20062365">
      <w:pPr>
        <w:spacing w:line="300" w:lineRule="auto"/>
        <w:ind w:firstLine="482"/>
        <w:jc w:val="left"/>
        <w:outlineLvl w:val="1"/>
        <w:rPr>
          <w:rFonts w:ascii="宋体" w:eastAsia="宋体"/>
          <w:sz w:val="24"/>
          <w:highlight w:val="none"/>
        </w:rPr>
      </w:pPr>
      <w:r>
        <w:rPr>
          <w:rFonts w:hint="eastAsia" w:ascii="宋体" w:eastAsia="宋体"/>
          <w:sz w:val="24"/>
          <w:highlight w:val="none"/>
        </w:rPr>
        <w:t>11.注册资本</w:t>
      </w:r>
    </w:p>
    <w:p w14:paraId="2688A1ED">
      <w:pPr>
        <w:spacing w:line="300" w:lineRule="auto"/>
        <w:ind w:firstLine="482"/>
        <w:jc w:val="left"/>
        <w:rPr>
          <w:rFonts w:ascii="宋体" w:eastAsia="宋体"/>
          <w:sz w:val="24"/>
          <w:highlight w:val="none"/>
        </w:rPr>
      </w:pPr>
      <w:r>
        <w:rPr>
          <w:rFonts w:hint="eastAsia" w:ascii="宋体" w:eastAsia="宋体"/>
          <w:sz w:val="24"/>
          <w:highlight w:val="none"/>
        </w:rPr>
        <w:t>乙方投入合资公司的注册资本/资金，为乙方所拥有的合法财产，乙方对该注册资本/资金拥有合法、有效、完全的且不存在任何负担的所有权。</w:t>
      </w:r>
    </w:p>
    <w:p w14:paraId="62B8B878">
      <w:pPr>
        <w:spacing w:line="300" w:lineRule="auto"/>
        <w:ind w:firstLine="482"/>
        <w:jc w:val="left"/>
        <w:outlineLvl w:val="1"/>
        <w:rPr>
          <w:rFonts w:ascii="宋体" w:eastAsia="宋体"/>
          <w:sz w:val="24"/>
          <w:highlight w:val="none"/>
        </w:rPr>
      </w:pPr>
      <w:r>
        <w:rPr>
          <w:rFonts w:hint="eastAsia" w:ascii="宋体" w:eastAsia="宋体"/>
          <w:sz w:val="24"/>
          <w:highlight w:val="none"/>
        </w:rPr>
        <w:t>12.业务经营</w:t>
      </w:r>
    </w:p>
    <w:p w14:paraId="6389B659">
      <w:pPr>
        <w:spacing w:line="300" w:lineRule="auto"/>
        <w:ind w:firstLine="482"/>
        <w:jc w:val="left"/>
        <w:rPr>
          <w:rFonts w:ascii="宋体" w:eastAsia="宋体"/>
          <w:sz w:val="24"/>
          <w:highlight w:val="none"/>
        </w:rPr>
      </w:pPr>
      <w:r>
        <w:rPr>
          <w:rFonts w:hint="eastAsia" w:ascii="宋体" w:eastAsia="宋体"/>
          <w:sz w:val="24"/>
          <w:highlight w:val="none"/>
        </w:rPr>
        <w:t>在本协议有效期内，乙方将就公司拟打造“城市空间整合服务”模式给予必要的支 持和协助，配合甲方的业务拓展工作。</w:t>
      </w:r>
    </w:p>
    <w:p w14:paraId="35255D9B">
      <w:pPr>
        <w:spacing w:line="300" w:lineRule="auto"/>
        <w:ind w:firstLine="482"/>
        <w:jc w:val="left"/>
        <w:outlineLvl w:val="1"/>
        <w:rPr>
          <w:rFonts w:ascii="宋体" w:eastAsia="宋体"/>
          <w:sz w:val="24"/>
          <w:highlight w:val="none"/>
        </w:rPr>
      </w:pPr>
      <w:r>
        <w:rPr>
          <w:rFonts w:hint="eastAsia" w:ascii="宋体" w:eastAsia="宋体"/>
          <w:sz w:val="24"/>
          <w:highlight w:val="none"/>
        </w:rPr>
        <w:t>13.诉求</w:t>
      </w:r>
    </w:p>
    <w:p w14:paraId="7584E503">
      <w:pPr>
        <w:spacing w:line="300" w:lineRule="auto"/>
        <w:ind w:firstLine="482"/>
        <w:jc w:val="left"/>
        <w:rPr>
          <w:rFonts w:ascii="宋体" w:eastAsia="宋体"/>
          <w:sz w:val="24"/>
          <w:highlight w:val="none"/>
        </w:rPr>
      </w:pPr>
      <w:r>
        <w:rPr>
          <w:rFonts w:hint="eastAsia" w:ascii="宋体" w:eastAsia="宋体"/>
          <w:sz w:val="24"/>
          <w:highlight w:val="none"/>
        </w:rPr>
        <w:t>不存在任何由乙方提起的或向乙方提起的可能对本协议的合法性、效力或可强制 执行性或者投资合作文件所拟议之合作的完成有重大不利影响的未决诉求。</w:t>
      </w:r>
    </w:p>
    <w:p w14:paraId="06529EE7">
      <w:pPr>
        <w:spacing w:line="300" w:lineRule="auto"/>
        <w:ind w:firstLine="482"/>
        <w:jc w:val="left"/>
        <w:outlineLvl w:val="1"/>
        <w:rPr>
          <w:rFonts w:ascii="宋体" w:eastAsia="宋体"/>
          <w:sz w:val="24"/>
          <w:highlight w:val="none"/>
        </w:rPr>
      </w:pPr>
      <w:r>
        <w:rPr>
          <w:rFonts w:hint="eastAsia" w:ascii="宋体" w:eastAsia="宋体"/>
          <w:sz w:val="24"/>
          <w:highlight w:val="none"/>
        </w:rPr>
        <w:t>14.无违规</w:t>
      </w:r>
    </w:p>
    <w:p w14:paraId="2AA6AC4E">
      <w:pPr>
        <w:spacing w:line="300" w:lineRule="auto"/>
        <w:ind w:firstLine="482"/>
        <w:jc w:val="left"/>
        <w:rPr>
          <w:rFonts w:ascii="宋体" w:eastAsia="宋体"/>
          <w:sz w:val="24"/>
          <w:highlight w:val="none"/>
        </w:rPr>
      </w:pPr>
      <w:r>
        <w:rPr>
          <w:rFonts w:hint="eastAsia" w:ascii="宋体" w:eastAsia="宋体"/>
          <w:sz w:val="24"/>
          <w:highlight w:val="none"/>
        </w:rPr>
        <w:t>乙方近三年未被追究刑事责任，亦未受到工商、税务、环保等行政监管部门的重 大行政调查或者重大行政处罚。</w:t>
      </w:r>
    </w:p>
    <w:p w14:paraId="572D0281">
      <w:pPr>
        <w:spacing w:line="300" w:lineRule="auto"/>
        <w:ind w:firstLine="482"/>
        <w:jc w:val="left"/>
        <w:rPr>
          <w:rFonts w:ascii="宋体" w:eastAsia="宋体"/>
          <w:sz w:val="24"/>
          <w:highlight w:val="none"/>
        </w:rPr>
      </w:pPr>
    </w:p>
    <w:p w14:paraId="74C5E45B">
      <w:pPr>
        <w:spacing w:line="300" w:lineRule="auto"/>
        <w:ind w:firstLine="482"/>
        <w:jc w:val="left"/>
        <w:outlineLvl w:val="0"/>
        <w:rPr>
          <w:rFonts w:ascii="宋体" w:eastAsia="宋体"/>
          <w:b/>
          <w:bCs/>
          <w:sz w:val="24"/>
          <w:highlight w:val="none"/>
        </w:rPr>
      </w:pPr>
      <w:bookmarkStart w:id="114" w:name="_Toc31924"/>
      <w:bookmarkStart w:id="115" w:name="_Toc32007"/>
      <w:bookmarkStart w:id="116" w:name="_Toc30407"/>
      <w:bookmarkStart w:id="117" w:name="_Toc17019"/>
      <w:r>
        <w:rPr>
          <w:rFonts w:hint="eastAsia" w:ascii="宋体" w:eastAsia="宋体"/>
          <w:b/>
          <w:bCs/>
          <w:sz w:val="24"/>
          <w:highlight w:val="none"/>
        </w:rPr>
        <w:t>第五章公司治理</w:t>
      </w:r>
      <w:bookmarkEnd w:id="114"/>
      <w:bookmarkEnd w:id="115"/>
    </w:p>
    <w:p w14:paraId="66D65A90">
      <w:pPr>
        <w:spacing w:line="300" w:lineRule="auto"/>
        <w:ind w:firstLine="482"/>
        <w:jc w:val="left"/>
        <w:outlineLvl w:val="0"/>
        <w:rPr>
          <w:rFonts w:ascii="宋体" w:eastAsia="宋体"/>
          <w:sz w:val="24"/>
          <w:highlight w:val="none"/>
        </w:rPr>
      </w:pPr>
      <w:bookmarkStart w:id="118" w:name="_Toc961"/>
      <w:bookmarkStart w:id="119" w:name="_Toc18296"/>
      <w:r>
        <w:rPr>
          <w:rFonts w:hint="eastAsia" w:ascii="宋体" w:eastAsia="宋体"/>
          <w:sz w:val="24"/>
          <w:highlight w:val="none"/>
        </w:rPr>
        <w:t>第5.1条公司治理结构与运营机制</w:t>
      </w:r>
      <w:bookmarkEnd w:id="118"/>
      <w:bookmarkEnd w:id="119"/>
    </w:p>
    <w:p w14:paraId="485D288B">
      <w:pPr>
        <w:spacing w:line="300" w:lineRule="auto"/>
        <w:ind w:firstLine="482"/>
        <w:jc w:val="left"/>
        <w:rPr>
          <w:rFonts w:ascii="宋体" w:eastAsia="宋体"/>
          <w:sz w:val="24"/>
          <w:highlight w:val="none"/>
        </w:rPr>
      </w:pPr>
      <w:r>
        <w:rPr>
          <w:rFonts w:hint="eastAsia" w:ascii="宋体" w:eastAsia="宋体"/>
          <w:sz w:val="24"/>
          <w:highlight w:val="none"/>
        </w:rPr>
        <w:t>本次合作完成后，由甲方直接委派公司董事长兼法定代表人，乙方提名且经董事会聘任的总经理负责公司的日常运营管理，公司实行董事会会议会议制度，甲乙方应利用各自资源、渠道优势，共同推动公司实现打造石井河粤上白云间文旅项目新地标的目标。</w:t>
      </w:r>
    </w:p>
    <w:p w14:paraId="38E93B5B">
      <w:pPr>
        <w:spacing w:line="300" w:lineRule="auto"/>
        <w:ind w:firstLine="482"/>
        <w:jc w:val="left"/>
        <w:outlineLvl w:val="0"/>
        <w:rPr>
          <w:rFonts w:ascii="宋体" w:eastAsia="宋体"/>
          <w:sz w:val="24"/>
          <w:highlight w:val="none"/>
        </w:rPr>
      </w:pPr>
      <w:bookmarkStart w:id="120" w:name="_Toc26332"/>
      <w:bookmarkStart w:id="121" w:name="_Toc797"/>
      <w:r>
        <w:rPr>
          <w:rFonts w:hint="eastAsia" w:ascii="宋体" w:eastAsia="宋体"/>
          <w:sz w:val="24"/>
          <w:highlight w:val="none"/>
        </w:rPr>
        <w:t>第5.2条总经理、高管及员工的用工管理与薪酬机制</w:t>
      </w:r>
      <w:bookmarkEnd w:id="120"/>
      <w:bookmarkEnd w:id="121"/>
    </w:p>
    <w:p w14:paraId="6696EA3F">
      <w:pPr>
        <w:spacing w:line="300" w:lineRule="auto"/>
        <w:ind w:firstLine="482"/>
        <w:jc w:val="left"/>
        <w:rPr>
          <w:rFonts w:ascii="宋体" w:eastAsia="宋体"/>
          <w:sz w:val="24"/>
          <w:highlight w:val="none"/>
        </w:rPr>
      </w:pPr>
      <w:r>
        <w:rPr>
          <w:rFonts w:hint="eastAsia" w:ascii="宋体" w:eastAsia="宋体"/>
          <w:sz w:val="24"/>
          <w:highlight w:val="none"/>
        </w:rPr>
        <w:t>本次合作完成后，由乙方提名</w:t>
      </w:r>
      <w:r>
        <w:rPr>
          <w:rFonts w:hint="eastAsia" w:ascii="宋体" w:eastAsia="宋体"/>
          <w:sz w:val="24"/>
          <w:highlight w:val="none"/>
          <w:lang w:val="en-US" w:eastAsia="zh-CN"/>
        </w:rPr>
        <w:t>6</w:t>
      </w:r>
      <w:r>
        <w:rPr>
          <w:rFonts w:hint="eastAsia" w:ascii="宋体" w:eastAsia="宋体"/>
          <w:sz w:val="24"/>
          <w:highlight w:val="none"/>
        </w:rPr>
        <w:t>名船长、</w:t>
      </w:r>
      <w:r>
        <w:rPr>
          <w:rFonts w:hint="eastAsia" w:ascii="宋体" w:eastAsia="宋体"/>
          <w:sz w:val="24"/>
          <w:highlight w:val="none"/>
          <w:lang w:val="en-US" w:eastAsia="zh-CN"/>
        </w:rPr>
        <w:t>6</w:t>
      </w:r>
      <w:r>
        <w:rPr>
          <w:rFonts w:hint="eastAsia" w:ascii="宋体" w:eastAsia="宋体"/>
          <w:sz w:val="24"/>
          <w:highlight w:val="none"/>
        </w:rPr>
        <w:t>名安全员岗位员工，均与合资公司签订劳动合同，纳入合资公司正式用工管理，执行合资公司的管理制度和薪酬体系，相关人力成本由合资公司承担。总经理由乙方提名，经董事会同意后由乙方委派；财务经理则由甲方直接委派。除</w:t>
      </w:r>
      <w:r>
        <w:rPr>
          <w:rFonts w:hint="eastAsia" w:ascii="宋体" w:eastAsia="宋体"/>
          <w:sz w:val="24"/>
          <w:highlight w:val="none"/>
          <w:lang w:val="en-US" w:eastAsia="zh-CN"/>
        </w:rPr>
        <w:t>6</w:t>
      </w:r>
      <w:r>
        <w:rPr>
          <w:rFonts w:hint="eastAsia" w:ascii="宋体" w:eastAsia="宋体"/>
          <w:sz w:val="24"/>
          <w:highlight w:val="none"/>
        </w:rPr>
        <w:t>名船长、</w:t>
      </w:r>
      <w:r>
        <w:rPr>
          <w:rFonts w:hint="eastAsia" w:ascii="宋体" w:eastAsia="宋体"/>
          <w:sz w:val="24"/>
          <w:highlight w:val="none"/>
          <w:lang w:val="en-US" w:eastAsia="zh-CN"/>
        </w:rPr>
        <w:t>6</w:t>
      </w:r>
      <w:r>
        <w:rPr>
          <w:rFonts w:hint="eastAsia" w:ascii="宋体" w:eastAsia="宋体"/>
          <w:sz w:val="24"/>
          <w:highlight w:val="none"/>
        </w:rPr>
        <w:t>名安全员的其余一般员工由合资公司通过第三方委托管理服务方式进行工作。合资公司的薪酬体系遵循市场化原则确定，且合资公司年度员工总薪酬不得超过双方书面确认的可行性研究报告中核定的年度人员工资成本上限。原则上，员工薪酬不超过岗位年薪。</w:t>
      </w:r>
    </w:p>
    <w:p w14:paraId="46A56B12">
      <w:pPr>
        <w:spacing w:line="300" w:lineRule="auto"/>
        <w:ind w:firstLine="482"/>
        <w:jc w:val="left"/>
        <w:outlineLvl w:val="0"/>
        <w:rPr>
          <w:rFonts w:ascii="宋体" w:eastAsia="宋体"/>
          <w:sz w:val="24"/>
          <w:highlight w:val="none"/>
        </w:rPr>
      </w:pPr>
      <w:bookmarkStart w:id="122" w:name="_Toc4340"/>
      <w:bookmarkStart w:id="123" w:name="_Toc31796"/>
      <w:r>
        <w:rPr>
          <w:rFonts w:hint="eastAsia" w:ascii="宋体" w:eastAsia="宋体"/>
          <w:sz w:val="24"/>
          <w:highlight w:val="none"/>
        </w:rPr>
        <w:t>第5.3条公司基本治理结构</w:t>
      </w:r>
      <w:bookmarkEnd w:id="122"/>
      <w:bookmarkEnd w:id="123"/>
    </w:p>
    <w:p w14:paraId="530978DD">
      <w:pPr>
        <w:spacing w:line="300" w:lineRule="auto"/>
        <w:ind w:firstLine="482"/>
        <w:jc w:val="left"/>
        <w:outlineLvl w:val="1"/>
        <w:rPr>
          <w:rFonts w:ascii="宋体" w:eastAsia="宋体"/>
          <w:sz w:val="24"/>
          <w:highlight w:val="none"/>
        </w:rPr>
      </w:pPr>
      <w:r>
        <w:rPr>
          <w:rFonts w:hint="eastAsia" w:ascii="宋体" w:eastAsia="宋体"/>
          <w:sz w:val="24"/>
          <w:highlight w:val="none"/>
        </w:rPr>
        <w:t>1.股东会</w:t>
      </w:r>
    </w:p>
    <w:p w14:paraId="2D6EA2A2">
      <w:pPr>
        <w:spacing w:line="300" w:lineRule="auto"/>
        <w:ind w:firstLine="482"/>
        <w:jc w:val="left"/>
        <w:rPr>
          <w:rFonts w:ascii="宋体" w:eastAsia="宋体"/>
          <w:color w:val="auto"/>
          <w:sz w:val="24"/>
          <w:highlight w:val="none"/>
        </w:rPr>
      </w:pPr>
      <w:r>
        <w:rPr>
          <w:rFonts w:hint="eastAsia" w:ascii="宋体" w:eastAsia="宋体"/>
          <w:sz w:val="24"/>
          <w:highlight w:val="none"/>
        </w:rPr>
        <w:t>股东会为公司最高权力机关，依照《中华人民共和国公司法》《公司章程》</w:t>
      </w:r>
      <w:r>
        <w:rPr>
          <w:rFonts w:hint="eastAsia" w:ascii="宋体" w:eastAsia="宋体"/>
          <w:color w:val="auto"/>
          <w:sz w:val="24"/>
          <w:highlight w:val="none"/>
        </w:rPr>
        <w:t>及其他法律、法规、部门规章制度的规定行使职权。甲乙双方按各自实际持有的股权比例，依法行使股东权利、履行股东义务。股东会作出任何决议必须经代表三方之二以上表决权的股东通过。</w:t>
      </w:r>
      <w:r>
        <w:rPr>
          <w:rFonts w:hint="eastAsia" w:ascii="宋体" w:eastAsia="宋体"/>
          <w:color w:val="auto"/>
          <w:sz w:val="24"/>
          <w:highlight w:val="none"/>
          <w:lang w:val="en-US" w:eastAsia="zh-CN"/>
        </w:rPr>
        <w:t>股东会</w:t>
      </w:r>
      <w:r>
        <w:rPr>
          <w:rFonts w:hint="eastAsia" w:ascii="宋体" w:eastAsia="宋体"/>
          <w:color w:val="auto"/>
          <w:sz w:val="24"/>
          <w:highlight w:val="none"/>
        </w:rPr>
        <w:t>作出修改公司章程、增加或者减少注册资本的决议，以及公司合并、分立、解散或者变更公司形式的决议，应当经全体</w:t>
      </w:r>
      <w:r>
        <w:rPr>
          <w:rFonts w:hint="eastAsia" w:ascii="宋体" w:eastAsia="宋体"/>
          <w:color w:val="auto"/>
          <w:sz w:val="24"/>
          <w:highlight w:val="none"/>
          <w:lang w:val="en-US" w:eastAsia="zh-CN"/>
        </w:rPr>
        <w:t>股东</w:t>
      </w:r>
      <w:r>
        <w:rPr>
          <w:rFonts w:hint="eastAsia" w:ascii="宋体" w:eastAsia="宋体"/>
          <w:color w:val="auto"/>
          <w:sz w:val="24"/>
          <w:highlight w:val="none"/>
        </w:rPr>
        <w:t>通过。</w:t>
      </w:r>
    </w:p>
    <w:p w14:paraId="0861ED5B">
      <w:pPr>
        <w:spacing w:line="300" w:lineRule="auto"/>
        <w:ind w:firstLine="482"/>
        <w:jc w:val="left"/>
        <w:outlineLvl w:val="1"/>
        <w:rPr>
          <w:rFonts w:ascii="宋体" w:eastAsia="宋体"/>
          <w:color w:val="auto"/>
          <w:sz w:val="24"/>
          <w:highlight w:val="none"/>
        </w:rPr>
      </w:pPr>
      <w:r>
        <w:rPr>
          <w:rFonts w:hint="eastAsia" w:ascii="宋体" w:eastAsia="宋体"/>
          <w:color w:val="auto"/>
          <w:sz w:val="24"/>
          <w:highlight w:val="none"/>
        </w:rPr>
        <w:t>2.董事会</w:t>
      </w:r>
    </w:p>
    <w:p w14:paraId="23725BCF">
      <w:pPr>
        <w:spacing w:line="300" w:lineRule="auto"/>
        <w:ind w:firstLine="482"/>
        <w:jc w:val="left"/>
        <w:rPr>
          <w:rFonts w:hint="eastAsia" w:ascii="宋体" w:eastAsia="宋体"/>
          <w:color w:val="auto"/>
          <w:sz w:val="24"/>
          <w:highlight w:val="none"/>
        </w:rPr>
      </w:pPr>
      <w:ins w:id="0" w:author="欣茹" w:date="2025-11-05T09:30:08Z">
        <w:r>
          <w:rPr>
            <w:rFonts w:hint="eastAsia" w:ascii="宋体" w:eastAsia="宋体"/>
            <w:color w:val="auto"/>
            <w:sz w:val="24"/>
            <w:highlight w:val="none"/>
          </w:rPr>
          <w:t>公司董事会由3名董事组成，其中甲方委派2名，乙方委派 1 名。董事长由甲方委派的董事担任，具体产生办法按《公司章程》规定执行。董事会表决按照一人一票方式表决，董事会作出任何决议必须超过半数以上董事人数通过。董事会作出修改公司章程、增加或者减少注册资本的决议，以及公司合并、分立、解散或者变更公司形式的决议，应当经全体董事通过。</w:t>
        </w:r>
      </w:ins>
    </w:p>
    <w:p w14:paraId="2FDB80FE">
      <w:pPr>
        <w:spacing w:line="300" w:lineRule="auto"/>
        <w:ind w:firstLine="482"/>
        <w:jc w:val="left"/>
        <w:rPr>
          <w:del w:id="1" w:author="欣茹" w:date="2025-11-05T09:30:08Z"/>
          <w:rFonts w:hint="eastAsia" w:ascii="宋体" w:eastAsia="宋体"/>
          <w:color w:val="auto"/>
          <w:sz w:val="24"/>
          <w:highlight w:val="none"/>
        </w:rPr>
      </w:pPr>
      <w:del w:id="2" w:author="欣茹" w:date="2025-11-05T09:30:08Z">
        <w:r>
          <w:rPr>
            <w:rFonts w:hint="eastAsia" w:ascii="宋体" w:eastAsia="宋体"/>
            <w:color w:val="auto"/>
            <w:sz w:val="24"/>
            <w:highlight w:val="none"/>
          </w:rPr>
          <w:delText>公司董事会由5名董事组成，其中甲方委派3名，乙方委派 2 名。董事长由甲方委派的董事担任，具体产生办法按《公司章程》规定执行。董事会表决按照一人一票方式表决，董事会作出任何决议必须超过半数以上董事人数通过。董事会作出修改公司章程、增加或者减少注册资本的决议，以及公司合并、分立、解散或者变更公司形式的决议，应当经全体董事通过。</w:delText>
        </w:r>
      </w:del>
    </w:p>
    <w:p w14:paraId="12F06E50">
      <w:pPr>
        <w:spacing w:line="300" w:lineRule="auto"/>
        <w:ind w:firstLine="482"/>
        <w:jc w:val="left"/>
        <w:outlineLvl w:val="1"/>
        <w:rPr>
          <w:rFonts w:ascii="宋体" w:eastAsia="宋体"/>
          <w:color w:val="auto"/>
          <w:sz w:val="24"/>
          <w:highlight w:val="none"/>
        </w:rPr>
      </w:pPr>
      <w:r>
        <w:rPr>
          <w:rFonts w:hint="eastAsia" w:ascii="宋体" w:eastAsia="宋体"/>
          <w:color w:val="auto"/>
          <w:sz w:val="24"/>
          <w:highlight w:val="none"/>
          <w:lang w:val="en-US" w:eastAsia="zh-CN"/>
        </w:rPr>
        <w:t>3</w:t>
      </w:r>
      <w:r>
        <w:rPr>
          <w:rFonts w:hint="eastAsia" w:ascii="宋体" w:eastAsia="宋体"/>
          <w:color w:val="auto"/>
          <w:sz w:val="24"/>
          <w:highlight w:val="none"/>
        </w:rPr>
        <w:t>.高级管理人员</w:t>
      </w:r>
    </w:p>
    <w:p w14:paraId="2CC4A4F7">
      <w:pPr>
        <w:widowControl/>
        <w:tabs>
          <w:tab w:val="left" w:pos="425"/>
        </w:tabs>
        <w:spacing w:line="300" w:lineRule="auto"/>
        <w:ind w:firstLine="482"/>
        <w:jc w:val="left"/>
        <w:rPr>
          <w:rFonts w:ascii="宋体" w:eastAsia="宋体"/>
          <w:color w:val="auto"/>
          <w:sz w:val="24"/>
          <w:highlight w:val="none"/>
        </w:rPr>
      </w:pPr>
      <w:r>
        <w:rPr>
          <w:rFonts w:hint="eastAsia" w:ascii="宋体" w:eastAsia="宋体"/>
          <w:color w:val="auto"/>
          <w:sz w:val="24"/>
          <w:highlight w:val="none"/>
        </w:rPr>
        <w:t>公司董事长由甲方委派的董事担任；公司总经理1名，由乙方提名，董事会决定聘任；设财务负责人1名，由甲方直接委派</w:t>
      </w:r>
      <w:r>
        <w:rPr>
          <w:rFonts w:hint="eastAsia" w:ascii="宋体" w:eastAsia="宋体"/>
          <w:color w:val="auto"/>
          <w:sz w:val="24"/>
          <w:highlight w:val="none"/>
          <w:lang w:eastAsia="zh-CN"/>
        </w:rPr>
        <w:t>；</w:t>
      </w:r>
      <w:r>
        <w:rPr>
          <w:rFonts w:hint="eastAsia" w:ascii="宋体" w:eastAsia="宋体"/>
          <w:color w:val="auto"/>
          <w:sz w:val="24"/>
          <w:highlight w:val="none"/>
          <w:lang w:val="en-US" w:eastAsia="zh-CN"/>
        </w:rPr>
        <w:t>设运营总监</w:t>
      </w:r>
      <w:r>
        <w:rPr>
          <w:rFonts w:hint="eastAsia" w:ascii="宋体" w:eastAsia="宋体"/>
          <w:color w:val="auto"/>
          <w:sz w:val="24"/>
          <w:highlight w:val="none"/>
        </w:rPr>
        <w:t>1名，由</w:t>
      </w:r>
      <w:r>
        <w:rPr>
          <w:rFonts w:hint="eastAsia" w:ascii="宋体" w:eastAsia="宋体"/>
          <w:color w:val="auto"/>
          <w:sz w:val="24"/>
          <w:highlight w:val="none"/>
          <w:lang w:val="en-US" w:eastAsia="zh-CN"/>
        </w:rPr>
        <w:t>乙</w:t>
      </w:r>
      <w:r>
        <w:rPr>
          <w:rFonts w:hint="eastAsia" w:ascii="宋体" w:eastAsia="宋体"/>
          <w:color w:val="auto"/>
          <w:sz w:val="24"/>
          <w:highlight w:val="none"/>
        </w:rPr>
        <w:t>方直接委派。</w:t>
      </w:r>
    </w:p>
    <w:p w14:paraId="0EF97086">
      <w:pPr>
        <w:spacing w:line="300" w:lineRule="auto"/>
        <w:ind w:firstLine="482"/>
        <w:jc w:val="left"/>
        <w:rPr>
          <w:rFonts w:ascii="宋体" w:eastAsia="宋体"/>
          <w:color w:val="auto"/>
          <w:sz w:val="24"/>
          <w:szCs w:val="28"/>
          <w:highlight w:val="none"/>
        </w:rPr>
      </w:pPr>
      <w:r>
        <w:rPr>
          <w:rFonts w:hint="eastAsia" w:ascii="宋体" w:eastAsia="宋体"/>
          <w:color w:val="auto"/>
          <w:sz w:val="24"/>
          <w:szCs w:val="28"/>
          <w:highlight w:val="none"/>
          <w:lang w:eastAsia="zh-Hans"/>
        </w:rPr>
        <w:t>其他</w:t>
      </w:r>
      <w:r>
        <w:rPr>
          <w:rFonts w:hint="eastAsia" w:ascii="宋体" w:eastAsia="宋体"/>
          <w:color w:val="auto"/>
          <w:sz w:val="24"/>
          <w:szCs w:val="28"/>
          <w:highlight w:val="none"/>
        </w:rPr>
        <w:t>高级管理人员的聘任、重大事项决策程序、收益分配规则等公司基本治理事项，另行通过《合资公司章程》协商确定。</w:t>
      </w:r>
    </w:p>
    <w:bookmarkEnd w:id="116"/>
    <w:bookmarkEnd w:id="117"/>
    <w:p w14:paraId="125E8186">
      <w:pPr>
        <w:spacing w:line="300" w:lineRule="auto"/>
        <w:ind w:firstLine="482"/>
        <w:jc w:val="left"/>
        <w:rPr>
          <w:rFonts w:ascii="宋体" w:eastAsia="宋体"/>
          <w:color w:val="auto"/>
          <w:sz w:val="24"/>
          <w:highlight w:val="none"/>
        </w:rPr>
      </w:pPr>
      <w:bookmarkStart w:id="124" w:name="_Toc2276"/>
      <w:bookmarkStart w:id="125" w:name="_Toc1164"/>
      <w:bookmarkStart w:id="126" w:name="_Toc15193"/>
      <w:bookmarkStart w:id="127" w:name="_Toc2501"/>
      <w:bookmarkStart w:id="128" w:name="_Toc593"/>
      <w:bookmarkStart w:id="129" w:name="_Toc14937"/>
      <w:bookmarkStart w:id="130" w:name="_Toc17435"/>
      <w:bookmarkStart w:id="131" w:name="_Toc27565"/>
      <w:bookmarkStart w:id="132" w:name="_Toc29523"/>
      <w:bookmarkStart w:id="133" w:name="_Toc26085"/>
      <w:bookmarkStart w:id="134" w:name="_Toc23190"/>
      <w:bookmarkStart w:id="135" w:name="_Toc11622"/>
      <w:bookmarkStart w:id="136" w:name="_Toc26377"/>
      <w:bookmarkStart w:id="137" w:name="_Toc54764753"/>
      <w:bookmarkStart w:id="138" w:name="_Toc14598"/>
      <w:bookmarkStart w:id="139" w:name="_Toc54271155"/>
      <w:bookmarkStart w:id="140" w:name="_Toc25602"/>
      <w:bookmarkStart w:id="141" w:name="_Toc30024"/>
      <w:bookmarkStart w:id="142" w:name="_Toc13771"/>
      <w:bookmarkStart w:id="143" w:name="_Toc25691"/>
    </w:p>
    <w:p w14:paraId="4E9BB809">
      <w:pPr>
        <w:spacing w:line="300" w:lineRule="auto"/>
        <w:ind w:firstLine="482"/>
        <w:jc w:val="left"/>
        <w:outlineLvl w:val="0"/>
        <w:rPr>
          <w:rFonts w:ascii="宋体" w:hAnsi="Times New Roman" w:eastAsia="宋体"/>
          <w:color w:val="auto"/>
          <w:sz w:val="24"/>
          <w:szCs w:val="28"/>
          <w:highlight w:val="none"/>
        </w:rPr>
      </w:pPr>
      <w:bookmarkStart w:id="144" w:name="_Toc18920"/>
      <w:bookmarkStart w:id="145" w:name="_Toc12302"/>
      <w:r>
        <w:rPr>
          <w:rFonts w:hint="eastAsia" w:ascii="宋体" w:eastAsia="宋体"/>
          <w:color w:val="auto"/>
          <w:sz w:val="24"/>
          <w:highlight w:val="none"/>
        </w:rPr>
        <w:t>第5.4条 股权转让</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hint="eastAsia" w:ascii="宋体" w:eastAsia="宋体"/>
          <w:color w:val="auto"/>
          <w:sz w:val="24"/>
          <w:highlight w:val="none"/>
        </w:rPr>
        <w:t>与股权担保限制</w:t>
      </w:r>
      <w:bookmarkEnd w:id="144"/>
      <w:bookmarkEnd w:id="145"/>
    </w:p>
    <w:p w14:paraId="46F0209D">
      <w:pPr>
        <w:widowControl/>
        <w:tabs>
          <w:tab w:val="left" w:pos="425"/>
        </w:tabs>
        <w:spacing w:line="300" w:lineRule="auto"/>
        <w:ind w:firstLine="482"/>
        <w:jc w:val="left"/>
        <w:rPr>
          <w:rFonts w:ascii="宋体" w:eastAsia="宋体"/>
          <w:sz w:val="24"/>
          <w:szCs w:val="28"/>
          <w:highlight w:val="none"/>
        </w:rPr>
      </w:pPr>
      <w:r>
        <w:rPr>
          <w:rFonts w:hint="eastAsia" w:ascii="宋体" w:eastAsia="宋体"/>
          <w:color w:val="auto"/>
          <w:sz w:val="24"/>
          <w:szCs w:val="28"/>
          <w:highlight w:val="yellow"/>
          <w:lang w:val="en-US" w:eastAsia="zh-CN"/>
        </w:rPr>
        <w:t>除本协议另有约定外，</w:t>
      </w:r>
      <w:r>
        <w:rPr>
          <w:rFonts w:hint="eastAsia" w:ascii="宋体" w:eastAsia="宋体"/>
          <w:color w:val="auto"/>
          <w:sz w:val="24"/>
          <w:szCs w:val="28"/>
          <w:highlight w:val="none"/>
        </w:rPr>
        <w:t>任一方在未事先征得另一方书面同意的情况下不得股权变更或者转让基于</w:t>
      </w:r>
      <w:r>
        <w:rPr>
          <w:rFonts w:hint="eastAsia" w:ascii="宋体" w:eastAsia="宋体"/>
          <w:sz w:val="24"/>
          <w:szCs w:val="28"/>
          <w:highlight w:val="none"/>
        </w:rPr>
        <w:t>股权在本协议下的任何权利或义务（包括甲乙双方所持合资公司的股权），亦不得对股权进行质押或者有其他损害股权或者项目推进的任何行为。股权变更包括股东之间或向股东之外投资主体转让股权、公司并购、增发股份、发行可转换债、股权质押、股权托管、让渡表决权等任何可能导致实质性变动股权或项目控制权的行为。</w:t>
      </w:r>
    </w:p>
    <w:p w14:paraId="051FFDBB">
      <w:pPr>
        <w:widowControl/>
        <w:tabs>
          <w:tab w:val="left" w:pos="425"/>
        </w:tabs>
        <w:spacing w:line="300" w:lineRule="auto"/>
        <w:ind w:firstLine="482"/>
        <w:jc w:val="left"/>
        <w:rPr>
          <w:rFonts w:ascii="宋体" w:eastAsia="宋体"/>
          <w:sz w:val="24"/>
          <w:szCs w:val="28"/>
          <w:highlight w:val="none"/>
        </w:rPr>
      </w:pPr>
      <w:r>
        <w:rPr>
          <w:rFonts w:hint="eastAsia" w:ascii="宋体" w:eastAsia="宋体"/>
          <w:sz w:val="24"/>
          <w:szCs w:val="28"/>
          <w:highlight w:val="none"/>
        </w:rPr>
        <w:t>除本协议另有约定外，未经合资公司股东会决议通过，甲乙双方不得将其持有的全部或部分股权设置质押或其他形式的担保，为合资公司融资目的而设立的股权质押除外。</w:t>
      </w:r>
    </w:p>
    <w:p w14:paraId="5B50CDF4">
      <w:pPr>
        <w:widowControl/>
        <w:tabs>
          <w:tab w:val="left" w:pos="425"/>
        </w:tabs>
        <w:spacing w:line="300" w:lineRule="auto"/>
        <w:ind w:firstLine="482"/>
        <w:jc w:val="left"/>
        <w:rPr>
          <w:rFonts w:hint="eastAsia" w:ascii="宋体" w:eastAsia="宋体"/>
          <w:sz w:val="24"/>
          <w:szCs w:val="28"/>
          <w:highlight w:val="none"/>
        </w:rPr>
      </w:pPr>
      <w:r>
        <w:rPr>
          <w:rFonts w:hint="eastAsia" w:ascii="宋体" w:eastAsia="宋体"/>
          <w:sz w:val="24"/>
          <w:szCs w:val="28"/>
          <w:highlight w:val="none"/>
        </w:rPr>
        <w:t>如乙方违反本条约定，除需依照</w:t>
      </w:r>
      <w:r>
        <w:rPr>
          <w:rFonts w:hint="eastAsia" w:ascii="宋体" w:eastAsia="宋体"/>
          <w:sz w:val="24"/>
          <w:highlight w:val="none"/>
        </w:rPr>
        <w:t>第8.2条承担违约责任外，还</w:t>
      </w:r>
      <w:r>
        <w:rPr>
          <w:rFonts w:hint="eastAsia" w:ascii="宋体" w:eastAsia="宋体"/>
          <w:sz w:val="24"/>
          <w:szCs w:val="28"/>
          <w:highlight w:val="none"/>
        </w:rPr>
        <w:t>须向另行向甲方赔偿甲方投资额的10%作为惩罚性违约金。</w:t>
      </w:r>
    </w:p>
    <w:p w14:paraId="3755A87B">
      <w:pPr>
        <w:spacing w:line="300" w:lineRule="auto"/>
        <w:ind w:firstLine="482"/>
        <w:jc w:val="left"/>
        <w:outlineLvl w:val="0"/>
        <w:rPr>
          <w:rFonts w:ascii="宋体" w:eastAsia="宋体"/>
          <w:sz w:val="24"/>
          <w:highlight w:val="none"/>
        </w:rPr>
      </w:pPr>
      <w:bookmarkStart w:id="146" w:name="_Toc6165"/>
      <w:bookmarkStart w:id="147" w:name="_Toc12238"/>
      <w:bookmarkStart w:id="148" w:name="_Toc6791"/>
      <w:r>
        <w:rPr>
          <w:rFonts w:hint="eastAsia" w:ascii="宋体" w:eastAsia="宋体"/>
          <w:sz w:val="24"/>
          <w:highlight w:val="none"/>
        </w:rPr>
        <w:t>第5.5条 利润分配</w:t>
      </w:r>
      <w:bookmarkEnd w:id="146"/>
      <w:bookmarkEnd w:id="147"/>
      <w:bookmarkEnd w:id="148"/>
    </w:p>
    <w:p w14:paraId="6C2D3D57">
      <w:pPr>
        <w:widowControl/>
        <w:tabs>
          <w:tab w:val="left" w:pos="425"/>
        </w:tabs>
        <w:spacing w:line="300" w:lineRule="auto"/>
        <w:ind w:firstLine="482"/>
        <w:jc w:val="left"/>
        <w:rPr>
          <w:rFonts w:ascii="宋体" w:eastAsia="宋体"/>
          <w:sz w:val="24"/>
          <w:szCs w:val="28"/>
          <w:highlight w:val="none"/>
        </w:rPr>
      </w:pPr>
      <w:r>
        <w:rPr>
          <w:rFonts w:hint="eastAsia" w:ascii="宋体" w:eastAsia="宋体"/>
          <w:sz w:val="24"/>
          <w:szCs w:val="28"/>
          <w:highlight w:val="none"/>
        </w:rPr>
        <w:t>根据《中华人民共和国公司法》，合资公司应当在每年税后利润中提取利润的百分之十作为合资公司法定盈余公积金，合资公司法定盈余公积金累计额达到注册资本百分之五十不再提取。</w:t>
      </w:r>
    </w:p>
    <w:p w14:paraId="1E971776">
      <w:pPr>
        <w:widowControl/>
        <w:tabs>
          <w:tab w:val="left" w:pos="425"/>
        </w:tabs>
        <w:spacing w:line="300" w:lineRule="auto"/>
        <w:ind w:firstLine="482"/>
        <w:jc w:val="left"/>
        <w:rPr>
          <w:rFonts w:ascii="宋体" w:eastAsia="宋体"/>
          <w:sz w:val="24"/>
          <w:szCs w:val="28"/>
          <w:highlight w:val="none"/>
        </w:rPr>
      </w:pPr>
      <w:r>
        <w:rPr>
          <w:rFonts w:hint="eastAsia" w:ascii="宋体" w:eastAsia="宋体"/>
          <w:sz w:val="24"/>
          <w:szCs w:val="28"/>
          <w:highlight w:val="none"/>
        </w:rPr>
        <w:t>在合资公司根据适用法律缴纳税款、弥补亏损、扣除法定公积金并满足项目关于维护和更新资金安排有关要求的情况下，除非股东会另有决议，甲乙双方原则上按照实缴出资比例分配税后利润。</w:t>
      </w:r>
    </w:p>
    <w:p w14:paraId="256BD03A">
      <w:pPr>
        <w:spacing w:line="300" w:lineRule="auto"/>
        <w:ind w:firstLine="482"/>
        <w:jc w:val="left"/>
        <w:outlineLvl w:val="0"/>
        <w:rPr>
          <w:rFonts w:ascii="宋体" w:eastAsia="宋体"/>
          <w:b/>
          <w:bCs/>
          <w:sz w:val="24"/>
          <w:highlight w:val="none"/>
        </w:rPr>
      </w:pPr>
      <w:bookmarkStart w:id="149" w:name="_Toc4773"/>
      <w:bookmarkStart w:id="150" w:name="_Toc29294"/>
      <w:r>
        <w:rPr>
          <w:rFonts w:hint="eastAsia" w:ascii="宋体" w:eastAsia="宋体"/>
          <w:b/>
          <w:bCs/>
          <w:sz w:val="24"/>
          <w:highlight w:val="none"/>
        </w:rPr>
        <w:t>第六章 协议各方的权利义务</w:t>
      </w:r>
      <w:bookmarkEnd w:id="149"/>
      <w:bookmarkEnd w:id="150"/>
    </w:p>
    <w:p w14:paraId="34200A0D">
      <w:pPr>
        <w:pStyle w:val="18"/>
        <w:spacing w:line="300" w:lineRule="auto"/>
        <w:ind w:firstLine="482"/>
        <w:jc w:val="left"/>
        <w:outlineLvl w:val="0"/>
        <w:rPr>
          <w:rFonts w:ascii="宋体" w:eastAsia="宋体"/>
          <w:sz w:val="24"/>
          <w:highlight w:val="none"/>
        </w:rPr>
      </w:pPr>
      <w:bookmarkStart w:id="151" w:name="_Toc17607"/>
      <w:bookmarkStart w:id="152" w:name="_Toc26311"/>
      <w:r>
        <w:rPr>
          <w:rFonts w:hint="eastAsia" w:ascii="宋体" w:eastAsia="宋体"/>
          <w:sz w:val="24"/>
          <w:highlight w:val="none"/>
        </w:rPr>
        <w:t>第6.1条 甲方的权利</w:t>
      </w:r>
      <w:bookmarkEnd w:id="151"/>
      <w:bookmarkEnd w:id="152"/>
    </w:p>
    <w:p w14:paraId="4C2E6B6A">
      <w:pPr>
        <w:pStyle w:val="18"/>
        <w:spacing w:line="300" w:lineRule="auto"/>
        <w:ind w:firstLine="482"/>
        <w:jc w:val="left"/>
        <w:rPr>
          <w:rFonts w:ascii="宋体" w:eastAsia="宋体"/>
          <w:sz w:val="24"/>
          <w:highlight w:val="none"/>
        </w:rPr>
      </w:pPr>
      <w:r>
        <w:rPr>
          <w:rFonts w:hint="eastAsia" w:ascii="宋体" w:eastAsia="宋体"/>
          <w:sz w:val="24"/>
          <w:highlight w:val="none"/>
        </w:rPr>
        <w:t>1.按照本协议约定与乙方组建合资公司，依法享有参与合资公司重大决策的权利，对涉及特定事项、重大的公共利益和政府权益事项，具有一票否决权；</w:t>
      </w:r>
    </w:p>
    <w:p w14:paraId="2BDBA16B">
      <w:pPr>
        <w:pStyle w:val="18"/>
        <w:spacing w:line="300" w:lineRule="auto"/>
        <w:ind w:firstLine="482"/>
        <w:jc w:val="left"/>
        <w:rPr>
          <w:rFonts w:ascii="宋体" w:eastAsia="宋体"/>
          <w:sz w:val="24"/>
          <w:highlight w:val="none"/>
        </w:rPr>
      </w:pPr>
      <w:r>
        <w:rPr>
          <w:rFonts w:hint="eastAsia" w:ascii="宋体" w:eastAsia="宋体"/>
          <w:sz w:val="24"/>
          <w:highlight w:val="none"/>
        </w:rPr>
        <w:t>2.依法行使股东权利，按照股权比例享有合资公司利润分配权，并取得投资回报；</w:t>
      </w:r>
    </w:p>
    <w:p w14:paraId="23CC4C88">
      <w:pPr>
        <w:pStyle w:val="18"/>
        <w:spacing w:line="300" w:lineRule="auto"/>
        <w:ind w:firstLine="482"/>
        <w:jc w:val="left"/>
        <w:rPr>
          <w:rFonts w:ascii="宋体" w:eastAsia="宋体"/>
          <w:sz w:val="24"/>
          <w:highlight w:val="none"/>
        </w:rPr>
      </w:pPr>
      <w:r>
        <w:rPr>
          <w:rFonts w:hint="eastAsia" w:ascii="宋体" w:eastAsia="宋体"/>
          <w:sz w:val="24"/>
          <w:highlight w:val="none"/>
        </w:rPr>
        <w:t>3.对合资公司的经营管理情况进行年度评估的权利，每年评估一次；</w:t>
      </w:r>
    </w:p>
    <w:p w14:paraId="6FA0BBE5">
      <w:pPr>
        <w:pStyle w:val="18"/>
        <w:spacing w:line="300" w:lineRule="auto"/>
        <w:ind w:firstLine="482"/>
        <w:jc w:val="left"/>
        <w:rPr>
          <w:rFonts w:ascii="宋体" w:eastAsia="宋体"/>
          <w:sz w:val="24"/>
          <w:highlight w:val="none"/>
        </w:rPr>
      </w:pPr>
      <w:r>
        <w:rPr>
          <w:rFonts w:hint="eastAsia" w:ascii="宋体" w:eastAsia="宋体"/>
          <w:sz w:val="24"/>
          <w:highlight w:val="none"/>
        </w:rPr>
        <w:t>4.对合资公司的年度财务报告审计的权利；</w:t>
      </w:r>
    </w:p>
    <w:p w14:paraId="04552CC4">
      <w:pPr>
        <w:pStyle w:val="18"/>
        <w:spacing w:line="300" w:lineRule="auto"/>
        <w:ind w:firstLine="482"/>
        <w:jc w:val="left"/>
        <w:rPr>
          <w:rFonts w:ascii="宋体" w:eastAsia="宋体"/>
          <w:sz w:val="24"/>
          <w:highlight w:val="none"/>
        </w:rPr>
      </w:pPr>
      <w:r>
        <w:rPr>
          <w:rFonts w:hint="eastAsia" w:ascii="宋体" w:eastAsia="宋体"/>
          <w:sz w:val="24"/>
          <w:highlight w:val="none"/>
        </w:rPr>
        <w:t>5.对合资公司清算、终止后，享有合资公司的剩余资产的分配权；</w:t>
      </w:r>
    </w:p>
    <w:p w14:paraId="52A31652">
      <w:pPr>
        <w:pStyle w:val="18"/>
        <w:spacing w:line="300" w:lineRule="auto"/>
        <w:ind w:firstLine="482"/>
        <w:jc w:val="left"/>
        <w:rPr>
          <w:rFonts w:ascii="宋体" w:eastAsia="宋体"/>
          <w:sz w:val="24"/>
          <w:highlight w:val="none"/>
        </w:rPr>
      </w:pPr>
      <w:r>
        <w:rPr>
          <w:rFonts w:hint="eastAsia" w:ascii="宋体" w:eastAsia="宋体"/>
          <w:sz w:val="24"/>
          <w:highlight w:val="none"/>
        </w:rPr>
        <w:t>6.对合资公司、乙方违反法律、法规、政府管理规定和本协议约定的行为依法追究违约责任；</w:t>
      </w:r>
    </w:p>
    <w:p w14:paraId="559C2DB1">
      <w:pPr>
        <w:pStyle w:val="18"/>
        <w:spacing w:line="300" w:lineRule="auto"/>
        <w:ind w:firstLine="482"/>
        <w:jc w:val="left"/>
        <w:rPr>
          <w:rFonts w:ascii="宋体" w:eastAsia="宋体"/>
          <w:sz w:val="24"/>
          <w:highlight w:val="none"/>
        </w:rPr>
      </w:pPr>
      <w:r>
        <w:rPr>
          <w:rFonts w:hint="eastAsia" w:ascii="宋体" w:eastAsia="宋体"/>
          <w:sz w:val="24"/>
          <w:highlight w:val="none"/>
        </w:rPr>
        <w:t>7.其他由本协议约定的应由甲方行使的权利。</w:t>
      </w:r>
    </w:p>
    <w:p w14:paraId="6391BA56">
      <w:pPr>
        <w:pStyle w:val="18"/>
        <w:spacing w:line="300" w:lineRule="auto"/>
        <w:ind w:firstLine="482"/>
        <w:jc w:val="left"/>
        <w:outlineLvl w:val="0"/>
        <w:rPr>
          <w:rFonts w:ascii="宋体" w:eastAsia="宋体"/>
          <w:sz w:val="24"/>
          <w:highlight w:val="none"/>
        </w:rPr>
      </w:pPr>
      <w:bookmarkStart w:id="153" w:name="_Toc1437"/>
      <w:bookmarkStart w:id="154" w:name="_Toc8062"/>
      <w:r>
        <w:rPr>
          <w:rFonts w:hint="eastAsia" w:ascii="宋体" w:eastAsia="宋体"/>
          <w:sz w:val="24"/>
          <w:highlight w:val="none"/>
        </w:rPr>
        <w:t>第6.2条 甲方的义务</w:t>
      </w:r>
      <w:bookmarkEnd w:id="153"/>
      <w:bookmarkEnd w:id="154"/>
    </w:p>
    <w:p w14:paraId="68A669AE">
      <w:pPr>
        <w:pStyle w:val="18"/>
        <w:spacing w:line="300" w:lineRule="auto"/>
        <w:ind w:firstLine="482"/>
        <w:jc w:val="left"/>
        <w:rPr>
          <w:rFonts w:ascii="宋体" w:eastAsia="宋体"/>
          <w:sz w:val="24"/>
          <w:highlight w:val="none"/>
        </w:rPr>
      </w:pPr>
      <w:r>
        <w:rPr>
          <w:rFonts w:hint="eastAsia" w:ascii="宋体" w:eastAsia="宋体"/>
          <w:sz w:val="24"/>
          <w:highlight w:val="none"/>
        </w:rPr>
        <w:t>1.遵守法律、法规、规章等投资项目相关管理规定和本协议、股东协议、合资公司章程的约定，协助合资公司获得企业投资项目的融资、建设等所必需的核准或备案手续和批文；</w:t>
      </w:r>
    </w:p>
    <w:p w14:paraId="53311C64">
      <w:pPr>
        <w:pStyle w:val="18"/>
        <w:spacing w:line="300" w:lineRule="auto"/>
        <w:ind w:firstLine="482"/>
        <w:jc w:val="left"/>
        <w:rPr>
          <w:rFonts w:ascii="宋体" w:eastAsia="宋体"/>
          <w:sz w:val="24"/>
          <w:highlight w:val="none"/>
        </w:rPr>
      </w:pPr>
      <w:r>
        <w:rPr>
          <w:rFonts w:hint="eastAsia" w:ascii="宋体" w:eastAsia="宋体"/>
          <w:sz w:val="24"/>
          <w:highlight w:val="none"/>
        </w:rPr>
        <w:t>2.在项目建设过程中，协助合资公司和乙方协调与项目场地周边所涉及的有关法人、非法人组织、自然人的关系；</w:t>
      </w:r>
    </w:p>
    <w:p w14:paraId="1E1AFC8D">
      <w:pPr>
        <w:pStyle w:val="18"/>
        <w:spacing w:line="300" w:lineRule="auto"/>
        <w:ind w:firstLine="482"/>
        <w:jc w:val="left"/>
        <w:rPr>
          <w:rFonts w:ascii="宋体" w:eastAsia="宋体"/>
          <w:sz w:val="24"/>
          <w:highlight w:val="none"/>
        </w:rPr>
      </w:pPr>
      <w:r>
        <w:rPr>
          <w:rFonts w:hint="eastAsia" w:ascii="宋体" w:eastAsia="宋体"/>
          <w:sz w:val="24"/>
          <w:highlight w:val="none"/>
        </w:rPr>
        <w:t>3.按照本协议、股东协议、公司章程规定与乙方组建合资公司，并派出人员参与合资公司管理，并在合资公司存效期内承诺不得变更国有独资属性（法律法规及政策变更导致除外）；</w:t>
      </w:r>
    </w:p>
    <w:p w14:paraId="0C5766FF">
      <w:pPr>
        <w:pStyle w:val="18"/>
        <w:spacing w:line="300" w:lineRule="auto"/>
        <w:ind w:firstLine="482"/>
        <w:jc w:val="left"/>
        <w:rPr>
          <w:rFonts w:ascii="宋体" w:eastAsia="宋体"/>
          <w:sz w:val="24"/>
          <w:highlight w:val="none"/>
        </w:rPr>
      </w:pPr>
      <w:r>
        <w:rPr>
          <w:rFonts w:hint="eastAsia" w:ascii="宋体" w:eastAsia="宋体"/>
          <w:sz w:val="24"/>
          <w:highlight w:val="none"/>
        </w:rPr>
        <w:t>4.按照本协议、股东协议及合资公司章程的规定及时足额实缴注册资本；</w:t>
      </w:r>
    </w:p>
    <w:p w14:paraId="1016F9D7">
      <w:pPr>
        <w:pStyle w:val="18"/>
        <w:spacing w:line="300" w:lineRule="auto"/>
        <w:ind w:firstLine="482"/>
        <w:jc w:val="left"/>
        <w:rPr>
          <w:rFonts w:ascii="宋体" w:eastAsia="宋体"/>
          <w:sz w:val="24"/>
          <w:highlight w:val="none"/>
        </w:rPr>
      </w:pPr>
      <w:r>
        <w:rPr>
          <w:rFonts w:hint="eastAsia" w:ascii="宋体" w:eastAsia="宋体"/>
          <w:sz w:val="24"/>
          <w:highlight w:val="none"/>
        </w:rPr>
        <w:t>5.积极协调政府及相关部门落实上级专项补助资金和行业相关奖补资金的申报工作；</w:t>
      </w:r>
    </w:p>
    <w:p w14:paraId="5C7B5F3B">
      <w:pPr>
        <w:pStyle w:val="18"/>
        <w:spacing w:line="300" w:lineRule="auto"/>
        <w:ind w:firstLine="482"/>
        <w:jc w:val="left"/>
        <w:rPr>
          <w:rFonts w:ascii="宋体" w:eastAsia="宋体"/>
          <w:sz w:val="24"/>
          <w:highlight w:val="none"/>
        </w:rPr>
      </w:pPr>
      <w:r>
        <w:rPr>
          <w:rFonts w:hint="eastAsia" w:ascii="宋体" w:eastAsia="宋体"/>
          <w:sz w:val="24"/>
          <w:highlight w:val="none"/>
        </w:rPr>
        <w:t>6.为合资公司获得更优惠的融资贷款利率或其他优惠条件提供必要的协助配合；</w:t>
      </w:r>
    </w:p>
    <w:p w14:paraId="04014822">
      <w:pPr>
        <w:pStyle w:val="18"/>
        <w:spacing w:line="300" w:lineRule="auto"/>
        <w:ind w:firstLine="482"/>
        <w:jc w:val="left"/>
        <w:rPr>
          <w:rFonts w:ascii="宋体" w:eastAsia="宋体"/>
          <w:sz w:val="24"/>
          <w:highlight w:val="none"/>
        </w:rPr>
      </w:pPr>
      <w:r>
        <w:rPr>
          <w:rFonts w:hint="eastAsia" w:ascii="宋体" w:eastAsia="宋体"/>
          <w:sz w:val="24"/>
          <w:highlight w:val="none"/>
        </w:rPr>
        <w:t>7.协调、协助解决合作过程中出现的相关事宜；</w:t>
      </w:r>
    </w:p>
    <w:p w14:paraId="4038F0D5">
      <w:pPr>
        <w:pStyle w:val="18"/>
        <w:spacing w:line="300" w:lineRule="auto"/>
        <w:ind w:firstLine="482"/>
        <w:jc w:val="left"/>
        <w:rPr>
          <w:rFonts w:ascii="宋体" w:eastAsia="宋体"/>
          <w:sz w:val="24"/>
          <w:highlight w:val="none"/>
        </w:rPr>
      </w:pPr>
      <w:r>
        <w:rPr>
          <w:rFonts w:hint="eastAsia" w:ascii="宋体" w:eastAsia="宋体"/>
          <w:sz w:val="24"/>
          <w:highlight w:val="none"/>
        </w:rPr>
        <w:t>8.法律、法规、规章、相关政府及其政府部门规范性文件和本协议约定的其他义务。</w:t>
      </w:r>
    </w:p>
    <w:p w14:paraId="637BE2DC">
      <w:pPr>
        <w:pStyle w:val="18"/>
        <w:spacing w:line="300" w:lineRule="auto"/>
        <w:ind w:firstLine="482"/>
        <w:jc w:val="left"/>
        <w:outlineLvl w:val="0"/>
        <w:rPr>
          <w:rFonts w:ascii="宋体" w:eastAsia="宋体"/>
          <w:sz w:val="24"/>
          <w:highlight w:val="none"/>
        </w:rPr>
      </w:pPr>
      <w:bookmarkStart w:id="155" w:name="_Toc30788"/>
      <w:bookmarkStart w:id="156" w:name="_Toc9564"/>
      <w:r>
        <w:rPr>
          <w:rFonts w:hint="eastAsia" w:ascii="宋体" w:eastAsia="宋体"/>
          <w:sz w:val="24"/>
          <w:highlight w:val="none"/>
        </w:rPr>
        <w:t>第6.3条 乙方的权利</w:t>
      </w:r>
      <w:bookmarkEnd w:id="155"/>
      <w:bookmarkEnd w:id="156"/>
    </w:p>
    <w:p w14:paraId="22BAF6B4">
      <w:pPr>
        <w:pStyle w:val="18"/>
        <w:spacing w:line="300" w:lineRule="auto"/>
        <w:ind w:firstLine="482"/>
        <w:jc w:val="left"/>
        <w:rPr>
          <w:rFonts w:ascii="宋体" w:eastAsia="宋体"/>
          <w:sz w:val="24"/>
          <w:highlight w:val="none"/>
        </w:rPr>
      </w:pPr>
      <w:r>
        <w:rPr>
          <w:rFonts w:hint="eastAsia" w:ascii="宋体" w:eastAsia="宋体"/>
          <w:sz w:val="24"/>
          <w:highlight w:val="none"/>
        </w:rPr>
        <w:t>1.按照本协议约定与甲方组建合资公司，依法享有参与合资公司重大决策的权利；</w:t>
      </w:r>
    </w:p>
    <w:p w14:paraId="799716A0">
      <w:pPr>
        <w:pStyle w:val="18"/>
        <w:spacing w:line="300" w:lineRule="auto"/>
        <w:ind w:firstLine="482"/>
        <w:jc w:val="left"/>
        <w:rPr>
          <w:rFonts w:ascii="宋体" w:eastAsia="宋体"/>
          <w:sz w:val="24"/>
          <w:highlight w:val="none"/>
        </w:rPr>
      </w:pPr>
      <w:r>
        <w:rPr>
          <w:rFonts w:hint="eastAsia" w:ascii="宋体" w:eastAsia="宋体"/>
          <w:sz w:val="24"/>
          <w:highlight w:val="none"/>
        </w:rPr>
        <w:t>2.依法行使股东权利以及合资公司利润分配权；</w:t>
      </w:r>
    </w:p>
    <w:p w14:paraId="344C0404">
      <w:pPr>
        <w:pStyle w:val="18"/>
        <w:spacing w:line="300" w:lineRule="auto"/>
        <w:ind w:firstLine="482"/>
        <w:jc w:val="left"/>
        <w:rPr>
          <w:rFonts w:ascii="宋体" w:eastAsia="宋体"/>
          <w:sz w:val="24"/>
          <w:highlight w:val="none"/>
        </w:rPr>
      </w:pPr>
      <w:r>
        <w:rPr>
          <w:rFonts w:hint="eastAsia" w:ascii="宋体" w:eastAsia="宋体"/>
          <w:sz w:val="24"/>
          <w:highlight w:val="none"/>
        </w:rPr>
        <w:t>3.对合资公司的经营管理情况进行监督检查的权利；</w:t>
      </w:r>
    </w:p>
    <w:p w14:paraId="6342EC16">
      <w:pPr>
        <w:pStyle w:val="18"/>
        <w:spacing w:line="300" w:lineRule="auto"/>
        <w:ind w:firstLine="482"/>
        <w:jc w:val="left"/>
        <w:rPr>
          <w:rFonts w:ascii="宋体" w:eastAsia="宋体"/>
          <w:sz w:val="24"/>
          <w:highlight w:val="none"/>
        </w:rPr>
      </w:pPr>
      <w:r>
        <w:rPr>
          <w:rFonts w:hint="eastAsia" w:ascii="宋体" w:eastAsia="宋体"/>
          <w:sz w:val="24"/>
          <w:highlight w:val="none"/>
        </w:rPr>
        <w:t>4.对合资公司的年度财务报告审计的权利；</w:t>
      </w:r>
    </w:p>
    <w:p w14:paraId="1967F1A5">
      <w:pPr>
        <w:pStyle w:val="18"/>
        <w:spacing w:line="300" w:lineRule="auto"/>
        <w:ind w:firstLine="482"/>
        <w:jc w:val="left"/>
        <w:rPr>
          <w:rFonts w:ascii="宋体" w:eastAsia="宋体"/>
          <w:sz w:val="24"/>
          <w:highlight w:val="none"/>
        </w:rPr>
      </w:pPr>
      <w:r>
        <w:rPr>
          <w:rFonts w:hint="eastAsia" w:ascii="宋体" w:eastAsia="宋体"/>
          <w:sz w:val="24"/>
          <w:highlight w:val="none"/>
        </w:rPr>
        <w:t>5.对合资公司清算、终止后，享有合资公司的剩余资产的分配权；</w:t>
      </w:r>
    </w:p>
    <w:p w14:paraId="43ADFEC3">
      <w:pPr>
        <w:pStyle w:val="18"/>
        <w:spacing w:line="300" w:lineRule="auto"/>
        <w:ind w:firstLine="482"/>
        <w:jc w:val="left"/>
        <w:rPr>
          <w:rFonts w:ascii="宋体" w:eastAsia="宋体"/>
          <w:sz w:val="24"/>
          <w:highlight w:val="none"/>
        </w:rPr>
      </w:pPr>
      <w:r>
        <w:rPr>
          <w:rFonts w:hint="eastAsia" w:ascii="宋体" w:eastAsia="宋体"/>
          <w:sz w:val="24"/>
          <w:highlight w:val="none"/>
        </w:rPr>
        <w:t>6.对合资公司、甲方违反法律、法规、政府管理规定和本协议约定的行为依法追究违约责任；</w:t>
      </w:r>
    </w:p>
    <w:p w14:paraId="0513650C">
      <w:pPr>
        <w:pStyle w:val="18"/>
        <w:spacing w:line="300" w:lineRule="auto"/>
        <w:ind w:firstLine="482"/>
        <w:jc w:val="left"/>
        <w:rPr>
          <w:rFonts w:ascii="宋体" w:eastAsia="宋体"/>
          <w:sz w:val="24"/>
          <w:highlight w:val="none"/>
        </w:rPr>
      </w:pPr>
      <w:r>
        <w:rPr>
          <w:rFonts w:hint="eastAsia" w:ascii="宋体" w:eastAsia="宋体"/>
          <w:sz w:val="24"/>
          <w:highlight w:val="none"/>
        </w:rPr>
        <w:t>7.法律规定和本协议约定的其他权利。</w:t>
      </w:r>
    </w:p>
    <w:p w14:paraId="5418278B">
      <w:pPr>
        <w:pStyle w:val="18"/>
        <w:spacing w:line="300" w:lineRule="auto"/>
        <w:ind w:firstLine="482"/>
        <w:jc w:val="left"/>
        <w:outlineLvl w:val="0"/>
        <w:rPr>
          <w:rFonts w:ascii="宋体" w:eastAsia="宋体"/>
          <w:sz w:val="24"/>
          <w:highlight w:val="none"/>
        </w:rPr>
      </w:pPr>
      <w:bookmarkStart w:id="157" w:name="_Toc22689"/>
      <w:bookmarkStart w:id="158" w:name="_Toc10127"/>
      <w:r>
        <w:rPr>
          <w:rFonts w:hint="eastAsia" w:ascii="宋体" w:eastAsia="宋体"/>
          <w:sz w:val="24"/>
          <w:highlight w:val="none"/>
        </w:rPr>
        <w:t>第6.4条 乙方义务</w:t>
      </w:r>
      <w:bookmarkEnd w:id="157"/>
      <w:bookmarkEnd w:id="158"/>
    </w:p>
    <w:p w14:paraId="3DB1E373">
      <w:pPr>
        <w:pStyle w:val="18"/>
        <w:spacing w:line="300" w:lineRule="auto"/>
        <w:ind w:firstLine="482"/>
        <w:jc w:val="left"/>
        <w:rPr>
          <w:rFonts w:ascii="宋体" w:eastAsia="宋体"/>
          <w:sz w:val="24"/>
          <w:highlight w:val="none"/>
        </w:rPr>
      </w:pPr>
      <w:r>
        <w:rPr>
          <w:rFonts w:hint="eastAsia" w:ascii="宋体" w:eastAsia="宋体"/>
          <w:sz w:val="24"/>
          <w:highlight w:val="none"/>
        </w:rPr>
        <w:t>1.按照本协议、股东协议、公司章程规定与甲方组建合资公司，并派出人员参与合资公司管理；</w:t>
      </w:r>
    </w:p>
    <w:p w14:paraId="6C6F9874">
      <w:pPr>
        <w:pStyle w:val="18"/>
        <w:spacing w:line="300" w:lineRule="auto"/>
        <w:ind w:firstLine="482"/>
        <w:jc w:val="left"/>
        <w:rPr>
          <w:rFonts w:ascii="宋体" w:eastAsia="宋体"/>
          <w:sz w:val="24"/>
          <w:highlight w:val="none"/>
        </w:rPr>
      </w:pPr>
      <w:r>
        <w:rPr>
          <w:rFonts w:hint="eastAsia" w:ascii="宋体" w:eastAsia="宋体"/>
          <w:sz w:val="24"/>
          <w:highlight w:val="none"/>
        </w:rPr>
        <w:t>2.按照本协议、股东协议及合资公司章程的规定及时足额实缴注册资本；</w:t>
      </w:r>
    </w:p>
    <w:p w14:paraId="103886A4">
      <w:pPr>
        <w:pStyle w:val="18"/>
        <w:spacing w:line="300" w:lineRule="auto"/>
        <w:ind w:firstLine="482"/>
        <w:jc w:val="left"/>
        <w:rPr>
          <w:rFonts w:ascii="宋体" w:eastAsia="宋体"/>
          <w:sz w:val="24"/>
          <w:highlight w:val="none"/>
        </w:rPr>
      </w:pPr>
      <w:r>
        <w:rPr>
          <w:rFonts w:hint="eastAsia" w:ascii="宋体" w:eastAsia="宋体"/>
          <w:sz w:val="24"/>
          <w:highlight w:val="none"/>
        </w:rPr>
        <w:t>3.协助合资公司完成本协议合作项目的投资及融资，但不得将项目资产用于除本项目以外的融资或担保；</w:t>
      </w:r>
    </w:p>
    <w:p w14:paraId="6391F5A7">
      <w:pPr>
        <w:pStyle w:val="18"/>
        <w:spacing w:line="300" w:lineRule="auto"/>
        <w:ind w:firstLine="482"/>
        <w:jc w:val="left"/>
        <w:rPr>
          <w:rFonts w:ascii="宋体" w:eastAsia="宋体"/>
          <w:sz w:val="24"/>
          <w:highlight w:val="none"/>
        </w:rPr>
      </w:pPr>
      <w:r>
        <w:rPr>
          <w:rFonts w:hint="eastAsia" w:ascii="宋体" w:eastAsia="宋体"/>
          <w:sz w:val="24"/>
          <w:highlight w:val="none"/>
        </w:rPr>
        <w:t>4.为确保合资公司对本协议合作项目的运营持续稳定、优质、高效，未经甲方的书面同意及合资公司股东会决议通过，不得将其持有合资公司股权或项目有关权益转让，亦不得将持有的股权进行质押、赠与等；</w:t>
      </w:r>
    </w:p>
    <w:p w14:paraId="7189EAB8">
      <w:pPr>
        <w:pStyle w:val="18"/>
        <w:spacing w:line="300" w:lineRule="auto"/>
        <w:ind w:firstLine="482"/>
        <w:jc w:val="left"/>
        <w:rPr>
          <w:rFonts w:ascii="宋体" w:eastAsia="宋体"/>
          <w:sz w:val="24"/>
          <w:highlight w:val="none"/>
        </w:rPr>
      </w:pPr>
      <w:r>
        <w:rPr>
          <w:rFonts w:hint="eastAsia" w:ascii="宋体" w:eastAsia="宋体"/>
          <w:sz w:val="24"/>
          <w:highlight w:val="none"/>
        </w:rPr>
        <w:t>5.发挥自身优势，履行项目投资、建设、管理、运营等义务和责任；</w:t>
      </w:r>
    </w:p>
    <w:p w14:paraId="52FE99FE">
      <w:pPr>
        <w:pStyle w:val="18"/>
        <w:spacing w:line="300" w:lineRule="auto"/>
        <w:ind w:firstLine="482"/>
        <w:jc w:val="left"/>
        <w:rPr>
          <w:rFonts w:ascii="宋体" w:eastAsia="宋体"/>
          <w:sz w:val="24"/>
          <w:highlight w:val="none"/>
        </w:rPr>
      </w:pPr>
      <w:r>
        <w:rPr>
          <w:rFonts w:hint="eastAsia" w:ascii="宋体" w:eastAsia="宋体"/>
          <w:sz w:val="24"/>
          <w:highlight w:val="none"/>
        </w:rPr>
        <w:t>6.本协议项下约定乙方负有的其他责任和义务。</w:t>
      </w:r>
    </w:p>
    <w:p w14:paraId="0C667693">
      <w:pPr>
        <w:pStyle w:val="18"/>
        <w:spacing w:line="300" w:lineRule="auto"/>
        <w:ind w:firstLine="482"/>
        <w:jc w:val="left"/>
        <w:outlineLvl w:val="0"/>
        <w:rPr>
          <w:rFonts w:ascii="宋体" w:eastAsia="宋体"/>
          <w:sz w:val="24"/>
          <w:highlight w:val="none"/>
        </w:rPr>
      </w:pPr>
      <w:bookmarkStart w:id="159" w:name="_Toc14867"/>
      <w:bookmarkStart w:id="160" w:name="_Toc18220"/>
      <w:r>
        <w:rPr>
          <w:rFonts w:hint="eastAsia" w:ascii="宋体" w:eastAsia="宋体"/>
          <w:sz w:val="24"/>
          <w:highlight w:val="none"/>
        </w:rPr>
        <w:t>第6.5条 合资公司权利</w:t>
      </w:r>
      <w:bookmarkEnd w:id="159"/>
      <w:bookmarkEnd w:id="160"/>
    </w:p>
    <w:p w14:paraId="51DF9BF3">
      <w:pPr>
        <w:pStyle w:val="18"/>
        <w:spacing w:line="300" w:lineRule="auto"/>
        <w:ind w:firstLine="482"/>
        <w:jc w:val="left"/>
        <w:rPr>
          <w:rFonts w:ascii="宋体" w:eastAsia="宋体"/>
          <w:sz w:val="24"/>
          <w:highlight w:val="none"/>
        </w:rPr>
      </w:pPr>
      <w:r>
        <w:rPr>
          <w:rFonts w:hint="eastAsia" w:ascii="宋体" w:eastAsia="宋体"/>
          <w:sz w:val="24"/>
          <w:highlight w:val="none"/>
        </w:rPr>
        <w:t>项目由合资公司负责投资、建设及运营，资产所有权、使用权、经营权和收益权均归合资公司所有。</w:t>
      </w:r>
    </w:p>
    <w:p w14:paraId="0A6E9C1D">
      <w:pPr>
        <w:pStyle w:val="18"/>
        <w:spacing w:line="300" w:lineRule="auto"/>
        <w:ind w:firstLine="482"/>
        <w:jc w:val="left"/>
        <w:outlineLvl w:val="0"/>
        <w:rPr>
          <w:rFonts w:ascii="宋体" w:eastAsia="宋体"/>
          <w:sz w:val="24"/>
          <w:highlight w:val="none"/>
        </w:rPr>
      </w:pPr>
      <w:bookmarkStart w:id="161" w:name="_Toc16093"/>
      <w:bookmarkStart w:id="162" w:name="_Toc7579"/>
      <w:r>
        <w:rPr>
          <w:rFonts w:hint="eastAsia" w:ascii="宋体" w:eastAsia="宋体"/>
          <w:sz w:val="24"/>
          <w:highlight w:val="none"/>
        </w:rPr>
        <w:t>第6.6条 合资公司义务</w:t>
      </w:r>
      <w:bookmarkEnd w:id="161"/>
      <w:bookmarkEnd w:id="162"/>
    </w:p>
    <w:p w14:paraId="5067A80D">
      <w:pPr>
        <w:pStyle w:val="18"/>
        <w:spacing w:line="300" w:lineRule="auto"/>
        <w:ind w:firstLine="482"/>
        <w:jc w:val="left"/>
        <w:rPr>
          <w:rFonts w:ascii="宋体" w:eastAsia="宋体"/>
          <w:sz w:val="24"/>
          <w:highlight w:val="none"/>
        </w:rPr>
      </w:pPr>
      <w:r>
        <w:rPr>
          <w:rFonts w:hint="eastAsia" w:ascii="宋体" w:eastAsia="宋体"/>
          <w:sz w:val="24"/>
          <w:highlight w:val="none"/>
        </w:rPr>
        <w:t>1.根据法律规定及本协议约定筹措投资建设所需的资金，合资公司与乙方签订《项目总承包（EPC）合同》，建成后负责项目运营。</w:t>
      </w:r>
    </w:p>
    <w:p w14:paraId="33A6D84F">
      <w:pPr>
        <w:pStyle w:val="18"/>
        <w:spacing w:line="300" w:lineRule="auto"/>
        <w:ind w:firstLine="482"/>
        <w:jc w:val="left"/>
        <w:rPr>
          <w:rFonts w:ascii="宋体" w:eastAsia="宋体"/>
          <w:sz w:val="24"/>
          <w:highlight w:val="none"/>
        </w:rPr>
      </w:pPr>
      <w:r>
        <w:rPr>
          <w:rFonts w:hint="eastAsia" w:ascii="宋体" w:eastAsia="宋体"/>
          <w:sz w:val="24"/>
          <w:highlight w:val="none"/>
        </w:rPr>
        <w:t>2.合资公司应于每一运营年度的第四季度内将下一运营年度内的财务预算情况报甲乙双方备案；</w:t>
      </w:r>
    </w:p>
    <w:p w14:paraId="22C52385">
      <w:pPr>
        <w:pStyle w:val="18"/>
        <w:spacing w:line="300" w:lineRule="auto"/>
        <w:ind w:firstLine="482"/>
        <w:jc w:val="left"/>
        <w:rPr>
          <w:rFonts w:ascii="宋体" w:eastAsia="宋体"/>
          <w:sz w:val="24"/>
          <w:highlight w:val="none"/>
        </w:rPr>
      </w:pPr>
      <w:r>
        <w:rPr>
          <w:rFonts w:hint="eastAsia" w:ascii="宋体" w:eastAsia="宋体"/>
          <w:sz w:val="24"/>
          <w:highlight w:val="none"/>
        </w:rPr>
        <w:t>3.合资公司应承担项目的运营维护成本，包括但不限于人工成本、演员外包成本、项目运行水电费、保险费用、营销费用、演艺耗材费用、设备设施维修人工机械材料费用、游船检验维修和保险费、公共用水用电、物业停车场租赁使用费</w:t>
      </w:r>
      <w:r>
        <w:rPr>
          <w:rFonts w:hint="eastAsia" w:ascii="宋体" w:eastAsia="宋体"/>
          <w:sz w:val="24"/>
          <w:highlight w:val="none"/>
          <w:lang w:eastAsia="zh-CN"/>
        </w:rPr>
        <w:t>、</w:t>
      </w:r>
      <w:r>
        <w:rPr>
          <w:rFonts w:hint="eastAsia" w:ascii="宋体" w:eastAsia="宋体"/>
          <w:sz w:val="24"/>
          <w:highlight w:val="none"/>
          <w:lang w:val="en-US" w:eastAsia="zh-CN"/>
        </w:rPr>
        <w:t>演艺改版费用、设施设备大修及更新费用</w:t>
      </w:r>
      <w:r>
        <w:rPr>
          <w:rFonts w:hint="eastAsia" w:ascii="宋体" w:eastAsia="宋体"/>
          <w:sz w:val="24"/>
          <w:highlight w:val="none"/>
        </w:rPr>
        <w:t>等运营支出，保证本协议合作范围内的项目设施按照相关标准规范正常运行、使用；</w:t>
      </w:r>
    </w:p>
    <w:p w14:paraId="7FF07077">
      <w:pPr>
        <w:pStyle w:val="18"/>
        <w:spacing w:line="300" w:lineRule="auto"/>
        <w:ind w:firstLine="482"/>
        <w:jc w:val="left"/>
        <w:rPr>
          <w:rFonts w:ascii="宋体" w:eastAsia="宋体"/>
          <w:sz w:val="24"/>
          <w:highlight w:val="none"/>
        </w:rPr>
      </w:pPr>
      <w:r>
        <w:rPr>
          <w:rFonts w:hint="eastAsia" w:ascii="宋体" w:eastAsia="宋体"/>
          <w:sz w:val="24"/>
          <w:highlight w:val="none"/>
        </w:rPr>
        <w:t>4.投资项目的投资、建设、施工及管理的需要，向保险公司投保各种必需的保险；</w:t>
      </w:r>
    </w:p>
    <w:p w14:paraId="46178C8D">
      <w:pPr>
        <w:pStyle w:val="18"/>
        <w:spacing w:line="300" w:lineRule="auto"/>
        <w:ind w:firstLine="482"/>
        <w:jc w:val="left"/>
        <w:rPr>
          <w:rFonts w:ascii="宋体" w:eastAsia="宋体"/>
          <w:sz w:val="24"/>
          <w:highlight w:val="none"/>
        </w:rPr>
      </w:pPr>
      <w:r>
        <w:rPr>
          <w:rFonts w:hint="eastAsia" w:ascii="宋体" w:eastAsia="宋体"/>
          <w:sz w:val="24"/>
          <w:highlight w:val="none"/>
        </w:rPr>
        <w:t>5.合资公司成立之日起五年内不得减少注册资本；</w:t>
      </w:r>
    </w:p>
    <w:p w14:paraId="1077D8DD">
      <w:pPr>
        <w:pStyle w:val="18"/>
        <w:spacing w:line="300" w:lineRule="auto"/>
        <w:ind w:firstLine="482"/>
        <w:jc w:val="left"/>
        <w:rPr>
          <w:rFonts w:ascii="宋体" w:eastAsia="宋体"/>
          <w:sz w:val="24"/>
          <w:highlight w:val="none"/>
        </w:rPr>
      </w:pPr>
      <w:r>
        <w:rPr>
          <w:rFonts w:hint="eastAsia" w:ascii="宋体" w:eastAsia="宋体"/>
          <w:sz w:val="24"/>
          <w:highlight w:val="none"/>
        </w:rPr>
        <w:t>6.法律、法规、规章和本协议规定的其他义务。</w:t>
      </w:r>
    </w:p>
    <w:p w14:paraId="60C74F61">
      <w:pPr>
        <w:pStyle w:val="18"/>
        <w:spacing w:line="300" w:lineRule="auto"/>
        <w:ind w:firstLine="482"/>
        <w:jc w:val="left"/>
        <w:outlineLvl w:val="0"/>
        <w:rPr>
          <w:rFonts w:ascii="宋体" w:eastAsia="宋体"/>
          <w:sz w:val="24"/>
          <w:highlight w:val="none"/>
        </w:rPr>
      </w:pPr>
      <w:bookmarkStart w:id="163" w:name="_Toc328"/>
      <w:bookmarkStart w:id="164" w:name="_Toc9326"/>
      <w:r>
        <w:rPr>
          <w:rFonts w:hint="eastAsia" w:ascii="宋体" w:eastAsia="宋体"/>
          <w:sz w:val="24"/>
          <w:highlight w:val="none"/>
        </w:rPr>
        <w:t>第6.7条 各方保密义务</w:t>
      </w:r>
      <w:bookmarkEnd w:id="163"/>
      <w:bookmarkEnd w:id="164"/>
    </w:p>
    <w:p w14:paraId="593D25D0">
      <w:pPr>
        <w:pStyle w:val="18"/>
        <w:spacing w:line="300" w:lineRule="auto"/>
        <w:ind w:firstLine="482"/>
        <w:jc w:val="left"/>
        <w:rPr>
          <w:rFonts w:ascii="宋体" w:eastAsia="宋体"/>
          <w:sz w:val="24"/>
          <w:highlight w:val="none"/>
        </w:rPr>
      </w:pPr>
      <w:r>
        <w:rPr>
          <w:rFonts w:hint="eastAsia" w:ascii="宋体" w:eastAsia="宋体"/>
          <w:sz w:val="24"/>
          <w:highlight w:val="none"/>
        </w:rPr>
        <w:t>1.保密信息包括本项目涉及国家安全、商业秘密或本协议双方约定的其他信息。保密期限为永久，且保密义务不因本协议被宣告 无效、被撤销、失效等而终止。</w:t>
      </w:r>
    </w:p>
    <w:p w14:paraId="19E073C8">
      <w:pPr>
        <w:pStyle w:val="18"/>
        <w:spacing w:line="300" w:lineRule="auto"/>
        <w:ind w:firstLine="482"/>
        <w:jc w:val="left"/>
        <w:rPr>
          <w:rFonts w:ascii="宋体" w:eastAsia="宋体"/>
          <w:sz w:val="24"/>
          <w:highlight w:val="none"/>
        </w:rPr>
      </w:pPr>
      <w:r>
        <w:rPr>
          <w:rFonts w:hint="eastAsia" w:ascii="宋体" w:eastAsia="宋体"/>
          <w:sz w:val="24"/>
          <w:highlight w:val="none"/>
        </w:rPr>
        <w:t>2.协议双方应对本协议的内容和项目的所有信息及文件保密。未经对方书面同意，另一方不得向任何人或单位披露或者泄露本协议和本项目所包含或涉及的任何内容，但以下情形除外：</w:t>
      </w:r>
    </w:p>
    <w:p w14:paraId="52C6839E">
      <w:pPr>
        <w:pStyle w:val="18"/>
        <w:spacing w:line="300" w:lineRule="auto"/>
        <w:ind w:firstLine="482"/>
        <w:jc w:val="left"/>
        <w:rPr>
          <w:rFonts w:ascii="宋体" w:eastAsia="宋体"/>
          <w:sz w:val="24"/>
          <w:highlight w:val="none"/>
        </w:rPr>
      </w:pPr>
      <w:r>
        <w:rPr>
          <w:rFonts w:hint="eastAsia" w:ascii="宋体" w:eastAsia="宋体"/>
          <w:sz w:val="24"/>
          <w:highlight w:val="none"/>
        </w:rPr>
        <w:t>1）对协议双方负有保密义务的确有必要知悉本协议及本项目信息的职员、法律顾问、财务顾问、咨询服务人员等的披露；</w:t>
      </w:r>
    </w:p>
    <w:p w14:paraId="24B41493">
      <w:pPr>
        <w:pStyle w:val="18"/>
        <w:spacing w:line="300" w:lineRule="auto"/>
        <w:ind w:firstLine="482"/>
        <w:jc w:val="left"/>
        <w:rPr>
          <w:rFonts w:ascii="宋体" w:eastAsia="宋体"/>
          <w:sz w:val="24"/>
          <w:highlight w:val="none"/>
        </w:rPr>
      </w:pPr>
      <w:r>
        <w:rPr>
          <w:rFonts w:hint="eastAsia" w:ascii="宋体" w:eastAsia="宋体"/>
          <w:sz w:val="24"/>
          <w:highlight w:val="none"/>
        </w:rPr>
        <w:t>2）根据法律规定向有权了解本协议内容的司法、行政机关的披露；</w:t>
      </w:r>
    </w:p>
    <w:p w14:paraId="2B860C84">
      <w:pPr>
        <w:pStyle w:val="18"/>
        <w:spacing w:line="300" w:lineRule="auto"/>
        <w:ind w:firstLine="482"/>
        <w:jc w:val="left"/>
        <w:rPr>
          <w:rFonts w:ascii="宋体" w:eastAsia="宋体"/>
          <w:sz w:val="24"/>
          <w:highlight w:val="none"/>
        </w:rPr>
      </w:pPr>
      <w:r>
        <w:rPr>
          <w:rFonts w:hint="eastAsia" w:ascii="宋体" w:eastAsia="宋体"/>
          <w:sz w:val="24"/>
          <w:highlight w:val="none"/>
        </w:rPr>
        <w:t>3）为满足本协议的生效条件而向有关部门或人员所作的披露；</w:t>
      </w:r>
    </w:p>
    <w:p w14:paraId="509AF7DF">
      <w:pPr>
        <w:pStyle w:val="18"/>
        <w:spacing w:line="300" w:lineRule="auto"/>
        <w:ind w:firstLine="482"/>
        <w:jc w:val="left"/>
        <w:rPr>
          <w:rFonts w:hint="eastAsia" w:ascii="宋体" w:eastAsia="宋体"/>
          <w:sz w:val="24"/>
          <w:highlight w:val="none"/>
        </w:rPr>
      </w:pPr>
      <w:r>
        <w:rPr>
          <w:rFonts w:hint="eastAsia" w:ascii="宋体" w:eastAsia="宋体"/>
          <w:sz w:val="24"/>
          <w:highlight w:val="none"/>
        </w:rPr>
        <w:t>4）其他法律法规规定必须披露的情形。</w:t>
      </w:r>
    </w:p>
    <w:p w14:paraId="642410A2">
      <w:pPr>
        <w:spacing w:line="300" w:lineRule="auto"/>
        <w:ind w:firstLine="482"/>
        <w:jc w:val="left"/>
        <w:rPr>
          <w:rFonts w:ascii="宋体" w:eastAsia="宋体"/>
          <w:sz w:val="24"/>
          <w:highlight w:val="none"/>
        </w:rPr>
      </w:pPr>
    </w:p>
    <w:p w14:paraId="569F02E6">
      <w:pPr>
        <w:spacing w:line="300" w:lineRule="auto"/>
        <w:ind w:firstLine="482"/>
        <w:jc w:val="left"/>
        <w:outlineLvl w:val="0"/>
        <w:rPr>
          <w:rFonts w:ascii="宋体" w:eastAsia="宋体"/>
          <w:b/>
          <w:bCs/>
          <w:sz w:val="24"/>
          <w:highlight w:val="none"/>
        </w:rPr>
      </w:pPr>
      <w:bookmarkStart w:id="165" w:name="_Toc421"/>
      <w:bookmarkStart w:id="166" w:name="_Toc23837"/>
      <w:bookmarkStart w:id="167" w:name="_Toc31167"/>
      <w:bookmarkStart w:id="168" w:name="_Toc3903"/>
      <w:r>
        <w:rPr>
          <w:rFonts w:hint="eastAsia" w:ascii="宋体" w:eastAsia="宋体"/>
          <w:b/>
          <w:bCs/>
          <w:sz w:val="24"/>
          <w:highlight w:val="none"/>
        </w:rPr>
        <w:t>第七章</w:t>
      </w:r>
      <w:bookmarkEnd w:id="165"/>
      <w:r>
        <w:rPr>
          <w:rFonts w:hint="eastAsia" w:ascii="宋体" w:eastAsia="宋体"/>
          <w:b/>
          <w:bCs/>
          <w:sz w:val="24"/>
          <w:highlight w:val="none"/>
        </w:rPr>
        <w:t>资金管理</w:t>
      </w:r>
      <w:bookmarkEnd w:id="166"/>
      <w:bookmarkEnd w:id="167"/>
      <w:bookmarkEnd w:id="168"/>
    </w:p>
    <w:p w14:paraId="2D3F088C">
      <w:pPr>
        <w:spacing w:line="300" w:lineRule="auto"/>
        <w:ind w:firstLine="482"/>
        <w:jc w:val="left"/>
        <w:outlineLvl w:val="0"/>
        <w:rPr>
          <w:rFonts w:ascii="宋体" w:eastAsia="宋体"/>
          <w:sz w:val="24"/>
          <w:highlight w:val="none"/>
        </w:rPr>
      </w:pPr>
      <w:bookmarkStart w:id="169" w:name="_Toc23697"/>
      <w:bookmarkStart w:id="170" w:name="_Toc26460"/>
      <w:r>
        <w:rPr>
          <w:rFonts w:hint="eastAsia" w:ascii="宋体" w:eastAsia="宋体"/>
          <w:sz w:val="24"/>
          <w:highlight w:val="none"/>
        </w:rPr>
        <w:t>第7.</w:t>
      </w:r>
      <w:r>
        <w:rPr>
          <w:rFonts w:ascii="宋体" w:eastAsia="宋体"/>
          <w:sz w:val="24"/>
          <w:highlight w:val="none"/>
        </w:rPr>
        <w:t>1</w:t>
      </w:r>
      <w:r>
        <w:rPr>
          <w:rFonts w:hint="eastAsia" w:ascii="宋体" w:eastAsia="宋体"/>
          <w:sz w:val="24"/>
          <w:highlight w:val="none"/>
        </w:rPr>
        <w:t>条项目总投资</w:t>
      </w:r>
      <w:bookmarkEnd w:id="169"/>
      <w:bookmarkEnd w:id="170"/>
    </w:p>
    <w:p w14:paraId="6637B847">
      <w:pPr>
        <w:spacing w:line="300" w:lineRule="auto"/>
        <w:ind w:firstLine="482"/>
        <w:jc w:val="left"/>
        <w:rPr>
          <w:rFonts w:ascii="宋体" w:eastAsia="宋体"/>
          <w:sz w:val="24"/>
          <w:highlight w:val="none"/>
        </w:rPr>
      </w:pPr>
      <w:r>
        <w:rPr>
          <w:rFonts w:hint="eastAsia" w:ascii="宋体" w:eastAsia="宋体"/>
          <w:sz w:val="24"/>
          <w:highlight w:val="none"/>
        </w:rPr>
        <w:t>项目总投资为156</w:t>
      </w:r>
      <w:r>
        <w:rPr>
          <w:rFonts w:hint="eastAsia" w:ascii="宋体" w:eastAsia="宋体"/>
          <w:sz w:val="24"/>
          <w:highlight w:val="none"/>
          <w:lang w:val="en-US" w:eastAsia="zh-CN"/>
        </w:rPr>
        <w:t>24</w:t>
      </w:r>
      <w:r>
        <w:rPr>
          <w:rFonts w:hint="eastAsia" w:ascii="宋体" w:eastAsia="宋体"/>
          <w:sz w:val="24"/>
          <w:highlight w:val="none"/>
        </w:rPr>
        <w:t>万元。其中其中工程费用 万元，建设其他费</w:t>
      </w:r>
      <w:r>
        <w:rPr>
          <w:rFonts w:hint="eastAsia" w:ascii="宋体" w:eastAsia="宋体"/>
          <w:sz w:val="24"/>
          <w:highlight w:val="none"/>
          <w:lang w:val="en-US" w:eastAsia="zh-CN"/>
        </w:rPr>
        <w:t xml:space="preserve">  </w:t>
      </w:r>
      <w:r>
        <w:rPr>
          <w:rFonts w:hint="eastAsia" w:ascii="宋体" w:eastAsia="宋体"/>
          <w:sz w:val="24"/>
          <w:highlight w:val="none"/>
        </w:rPr>
        <w:t>万元，预备费  万元。具体以合资公司确认的建设方案为准，但不得超过项目暂定总投资额   万元。</w:t>
      </w:r>
    </w:p>
    <w:p w14:paraId="02A55855">
      <w:pPr>
        <w:spacing w:line="300" w:lineRule="auto"/>
        <w:ind w:firstLine="482"/>
        <w:jc w:val="left"/>
        <w:outlineLvl w:val="0"/>
        <w:rPr>
          <w:rFonts w:ascii="宋体" w:eastAsia="宋体"/>
          <w:sz w:val="24"/>
          <w:highlight w:val="none"/>
        </w:rPr>
      </w:pPr>
      <w:bookmarkStart w:id="171" w:name="_Toc32714"/>
      <w:bookmarkStart w:id="172" w:name="_Toc27496"/>
      <w:r>
        <w:rPr>
          <w:rFonts w:hint="eastAsia" w:ascii="宋体" w:eastAsia="宋体"/>
          <w:sz w:val="24"/>
          <w:highlight w:val="none"/>
        </w:rPr>
        <w:t>第7.2条费用支付</w:t>
      </w:r>
      <w:bookmarkEnd w:id="171"/>
      <w:bookmarkEnd w:id="172"/>
    </w:p>
    <w:p w14:paraId="1C3A74DF">
      <w:pPr>
        <w:spacing w:line="300" w:lineRule="auto"/>
        <w:ind w:firstLine="482"/>
        <w:jc w:val="left"/>
        <w:rPr>
          <w:rFonts w:ascii="宋体" w:eastAsia="宋体"/>
          <w:sz w:val="24"/>
          <w:highlight w:val="none"/>
        </w:rPr>
      </w:pPr>
      <w:r>
        <w:rPr>
          <w:rFonts w:hint="eastAsia" w:ascii="宋体" w:eastAsia="宋体"/>
          <w:sz w:val="24"/>
          <w:highlight w:val="none"/>
        </w:rPr>
        <w:t>在公司设立成功后，甲乙同意将为设立公司所发生的全部费用列入公司的开办费用， 由成立后的公司承担。除以上费用或双方另有约定外，双方为完成本次合作而发生任何成本和费用，包括但不限于双方各自聘请的外部顾问(包括但不限于法律顾问和财务顾问)起草投资合作文件以及本次投资合作涉及的其他文件、参与谈判等发生的专业服务费和其他所有用现金支付的费用，均由双方各自承担。</w:t>
      </w:r>
    </w:p>
    <w:p w14:paraId="09A24724">
      <w:pPr>
        <w:spacing w:line="300" w:lineRule="auto"/>
        <w:ind w:firstLine="482"/>
        <w:jc w:val="left"/>
        <w:outlineLvl w:val="0"/>
        <w:rPr>
          <w:rFonts w:ascii="宋体" w:eastAsia="宋体"/>
          <w:sz w:val="24"/>
          <w:highlight w:val="none"/>
        </w:rPr>
      </w:pPr>
      <w:bookmarkStart w:id="173" w:name="_Toc14394"/>
      <w:bookmarkStart w:id="174" w:name="_Toc1323"/>
      <w:r>
        <w:rPr>
          <w:rFonts w:hint="eastAsia" w:ascii="宋体" w:eastAsia="宋体"/>
          <w:sz w:val="24"/>
          <w:highlight w:val="none"/>
        </w:rPr>
        <w:t>第7.3条建设资金来源</w:t>
      </w:r>
      <w:bookmarkStart w:id="175" w:name="_Toc2585"/>
      <w:r>
        <w:rPr>
          <w:rFonts w:hint="eastAsia" w:ascii="宋体" w:eastAsia="宋体"/>
          <w:sz w:val="24"/>
          <w:highlight w:val="none"/>
        </w:rPr>
        <w:t>。</w:t>
      </w:r>
      <w:bookmarkEnd w:id="173"/>
      <w:bookmarkEnd w:id="174"/>
    </w:p>
    <w:p w14:paraId="318FD611">
      <w:pPr>
        <w:spacing w:line="300" w:lineRule="auto"/>
        <w:ind w:firstLine="482"/>
        <w:jc w:val="left"/>
        <w:rPr>
          <w:rFonts w:hint="eastAsia" w:ascii="宋体" w:eastAsia="宋体"/>
          <w:sz w:val="24"/>
          <w:highlight w:val="none"/>
          <w:lang w:val="en-US" w:eastAsia="zh-CN"/>
        </w:rPr>
      </w:pPr>
      <w:r>
        <w:rPr>
          <w:rFonts w:hint="eastAsia" w:ascii="宋体" w:eastAsia="宋体"/>
          <w:sz w:val="24"/>
          <w:highlight w:val="none"/>
        </w:rPr>
        <w:t>资金来源为企业自有资金和市场化融资。</w:t>
      </w:r>
      <w:r>
        <w:rPr>
          <w:rFonts w:hint="eastAsia" w:ascii="宋体" w:eastAsia="宋体"/>
          <w:sz w:val="24"/>
          <w:highlight w:val="none"/>
          <w:lang w:val="en-US" w:eastAsia="zh-CN"/>
        </w:rPr>
        <w:t>合资公司拟通过市场化融资方式筹集项目总投资70%的资金（即10937万元），最终以银行批复为准。如合资公司未能完全获得总投资70%的融资资金，且导致工程款逾期支付1个月以上的情况下，融资资金缺口部分按双方股权占比</w:t>
      </w:r>
      <w:r>
        <w:rPr>
          <w:rFonts w:hint="eastAsia" w:ascii="宋体" w:eastAsia="宋体" w:hAnsiTheme="minorHAnsi" w:cstheme="minorBidi"/>
          <w:b w:val="0"/>
          <w:bCs w:val="0"/>
          <w:sz w:val="24"/>
          <w:szCs w:val="24"/>
          <w:highlight w:val="none"/>
          <w:lang w:val="en-US" w:eastAsia="zh-CN"/>
        </w:rPr>
        <w:t>以股东借款的方式补足</w:t>
      </w:r>
      <w:r>
        <w:rPr>
          <w:rFonts w:hint="eastAsia" w:ascii="宋体" w:eastAsia="宋体"/>
          <w:sz w:val="24"/>
          <w:highlight w:val="none"/>
          <w:lang w:val="en-US" w:eastAsia="zh-CN"/>
        </w:rPr>
        <w:t>。</w:t>
      </w:r>
    </w:p>
    <w:p w14:paraId="5BC1D113">
      <w:pPr>
        <w:widowControl/>
        <w:spacing w:line="300" w:lineRule="auto"/>
        <w:ind w:firstLine="482"/>
        <w:jc w:val="left"/>
        <w:outlineLvl w:val="0"/>
        <w:rPr>
          <w:rFonts w:hint="default" w:ascii="宋体" w:eastAsia="宋体"/>
          <w:sz w:val="24"/>
          <w:highlight w:val="none"/>
          <w:lang w:val="en-US" w:eastAsia="zh-CN"/>
        </w:rPr>
      </w:pPr>
      <w:ins w:id="3" w:author="莫里" w:date="2025-11-04T15:32:17Z">
        <w:r>
          <w:rPr>
            <w:rFonts w:hint="eastAsia" w:ascii="宋体" w:eastAsia="宋体" w:hAnsiTheme="minorHAnsi" w:cstheme="minorBidi"/>
            <w:spacing w:val="0"/>
            <w:kern w:val="2"/>
            <w:sz w:val="24"/>
            <w:szCs w:val="24"/>
            <w:lang w:val="en-US" w:eastAsia="zh-CN"/>
          </w:rPr>
          <w:t>合资</w:t>
        </w:r>
      </w:ins>
      <w:ins w:id="4" w:author="莫里" w:date="2025-11-04T15:32:17Z">
        <w:r>
          <w:rPr>
            <w:rFonts w:hint="eastAsia" w:ascii="宋体" w:eastAsia="宋体" w:hAnsiTheme="minorHAnsi" w:cstheme="minorBidi"/>
            <w:spacing w:val="0"/>
            <w:kern w:val="2"/>
            <w:sz w:val="24"/>
            <w:szCs w:val="24"/>
            <w:lang w:eastAsia="zh-CN"/>
          </w:rPr>
          <w:t>公司优先以注册资本金、对外融资等方式解决</w:t>
        </w:r>
      </w:ins>
      <w:ins w:id="5" w:author="莫里" w:date="2025-11-04T15:32:17Z">
        <w:r>
          <w:rPr>
            <w:rFonts w:hint="eastAsia" w:ascii="宋体" w:eastAsia="宋体" w:hAnsiTheme="minorHAnsi" w:cstheme="minorBidi"/>
            <w:spacing w:val="0"/>
            <w:kern w:val="2"/>
            <w:sz w:val="24"/>
            <w:szCs w:val="24"/>
            <w:lang w:val="en-US" w:eastAsia="zh-CN"/>
          </w:rPr>
          <w:t>开发建设所需资金，</w:t>
        </w:r>
      </w:ins>
      <w:ins w:id="6" w:author="莫里" w:date="2025-11-04T15:32:17Z">
        <w:r>
          <w:rPr>
            <w:rFonts w:hint="eastAsia" w:ascii="宋体" w:eastAsia="宋体" w:hAnsiTheme="minorHAnsi" w:cstheme="minorBidi"/>
            <w:spacing w:val="0"/>
            <w:kern w:val="2"/>
            <w:sz w:val="24"/>
            <w:szCs w:val="24"/>
            <w:lang w:eastAsia="zh-CN"/>
          </w:rPr>
          <w:t>融资产生的利息及其他成本由</w:t>
        </w:r>
      </w:ins>
      <w:ins w:id="7" w:author="莫里" w:date="2025-11-04T15:32:17Z">
        <w:r>
          <w:rPr>
            <w:rFonts w:hint="eastAsia" w:ascii="宋体" w:eastAsia="宋体" w:hAnsiTheme="minorHAnsi" w:cstheme="minorBidi"/>
            <w:spacing w:val="0"/>
            <w:kern w:val="2"/>
            <w:sz w:val="24"/>
            <w:szCs w:val="24"/>
            <w:lang w:val="en-US" w:eastAsia="zh-CN"/>
          </w:rPr>
          <w:t>合资公司</w:t>
        </w:r>
      </w:ins>
      <w:ins w:id="8" w:author="莫里" w:date="2025-11-04T15:32:17Z">
        <w:r>
          <w:rPr>
            <w:rFonts w:hint="eastAsia" w:ascii="宋体" w:eastAsia="宋体" w:hAnsiTheme="minorHAnsi" w:cstheme="minorBidi"/>
            <w:spacing w:val="0"/>
            <w:kern w:val="2"/>
            <w:sz w:val="24"/>
            <w:szCs w:val="24"/>
            <w:lang w:eastAsia="zh-CN"/>
          </w:rPr>
          <w:t>承担，</w:t>
        </w:r>
      </w:ins>
      <w:ins w:id="9" w:author="莫里" w:date="2025-11-04T15:32:17Z">
        <w:r>
          <w:rPr>
            <w:rFonts w:hint="eastAsia" w:ascii="宋体" w:eastAsia="宋体" w:hAnsiTheme="minorHAnsi" w:cstheme="minorBidi"/>
            <w:spacing w:val="0"/>
            <w:kern w:val="2"/>
            <w:sz w:val="24"/>
            <w:szCs w:val="24"/>
            <w:lang w:val="en-US" w:eastAsia="zh-CN"/>
          </w:rPr>
          <w:t>外部</w:t>
        </w:r>
      </w:ins>
      <w:ins w:id="10" w:author="莫里" w:date="2025-11-04T15:32:17Z">
        <w:r>
          <w:rPr>
            <w:rFonts w:hint="eastAsia" w:ascii="宋体" w:eastAsia="宋体" w:hAnsiTheme="minorHAnsi" w:cstheme="minorBidi"/>
            <w:spacing w:val="0"/>
            <w:kern w:val="2"/>
            <w:sz w:val="24"/>
            <w:szCs w:val="24"/>
            <w:lang w:eastAsia="zh-CN"/>
          </w:rPr>
          <w:t>融资机构要求股东或股东的关联方提供担保的，</w:t>
        </w:r>
      </w:ins>
      <w:ins w:id="11" w:author="莫里" w:date="2025-11-04T15:32:17Z">
        <w:r>
          <w:rPr>
            <w:rFonts w:hint="eastAsia" w:ascii="宋体" w:eastAsia="宋体" w:hAnsiTheme="minorHAnsi" w:cstheme="minorBidi"/>
            <w:spacing w:val="0"/>
            <w:kern w:val="2"/>
            <w:sz w:val="24"/>
            <w:szCs w:val="24"/>
            <w:lang w:val="en-US" w:eastAsia="zh-CN"/>
          </w:rPr>
          <w:t>各方</w:t>
        </w:r>
      </w:ins>
      <w:ins w:id="12" w:author="莫里" w:date="2025-11-04T15:32:17Z">
        <w:r>
          <w:rPr>
            <w:rFonts w:hint="eastAsia" w:ascii="宋体" w:eastAsia="宋体" w:hAnsiTheme="minorHAnsi" w:cstheme="minorBidi"/>
            <w:spacing w:val="0"/>
            <w:kern w:val="2"/>
            <w:sz w:val="24"/>
            <w:szCs w:val="24"/>
            <w:lang w:eastAsia="zh-CN"/>
          </w:rPr>
          <w:t>同意并确认按照股权比例为</w:t>
        </w:r>
      </w:ins>
      <w:ins w:id="13" w:author="莫里" w:date="2025-11-04T15:32:17Z">
        <w:r>
          <w:rPr>
            <w:rFonts w:hint="eastAsia" w:ascii="宋体" w:eastAsia="宋体" w:hAnsiTheme="minorHAnsi" w:cstheme="minorBidi"/>
            <w:spacing w:val="0"/>
            <w:kern w:val="2"/>
            <w:sz w:val="24"/>
            <w:szCs w:val="24"/>
            <w:lang w:val="en-US" w:eastAsia="zh-CN"/>
          </w:rPr>
          <w:t>合资</w:t>
        </w:r>
      </w:ins>
      <w:ins w:id="14" w:author="莫里" w:date="2025-11-04T15:32:17Z">
        <w:r>
          <w:rPr>
            <w:rFonts w:hint="eastAsia" w:ascii="宋体" w:eastAsia="宋体" w:hAnsiTheme="minorHAnsi" w:cstheme="minorBidi"/>
            <w:spacing w:val="0"/>
            <w:kern w:val="2"/>
            <w:sz w:val="24"/>
            <w:szCs w:val="24"/>
            <w:lang w:eastAsia="zh-CN"/>
          </w:rPr>
          <w:t>公司提供担保。</w:t>
        </w:r>
      </w:ins>
    </w:p>
    <w:p w14:paraId="76142789">
      <w:pPr>
        <w:spacing w:line="300" w:lineRule="auto"/>
        <w:ind w:firstLine="482"/>
        <w:jc w:val="left"/>
        <w:outlineLvl w:val="0"/>
        <w:rPr>
          <w:rFonts w:ascii="宋体" w:eastAsia="宋体"/>
          <w:sz w:val="24"/>
          <w:highlight w:val="none"/>
        </w:rPr>
      </w:pPr>
      <w:bookmarkStart w:id="176" w:name="_Toc26799"/>
      <w:bookmarkStart w:id="177" w:name="_Toc24700"/>
      <w:r>
        <w:rPr>
          <w:rFonts w:hint="eastAsia" w:ascii="宋体" w:eastAsia="宋体"/>
          <w:sz w:val="24"/>
          <w:highlight w:val="none"/>
        </w:rPr>
        <w:t>第7.4条资金使用</w:t>
      </w:r>
      <w:bookmarkEnd w:id="176"/>
      <w:bookmarkEnd w:id="177"/>
    </w:p>
    <w:p w14:paraId="7E3D990B">
      <w:pPr>
        <w:spacing w:line="300" w:lineRule="auto"/>
        <w:ind w:firstLine="482"/>
        <w:jc w:val="left"/>
        <w:rPr>
          <w:rFonts w:ascii="宋体" w:eastAsia="宋体"/>
          <w:sz w:val="24"/>
          <w:highlight w:val="none"/>
        </w:rPr>
      </w:pPr>
      <w:r>
        <w:rPr>
          <w:rFonts w:hint="eastAsia" w:ascii="宋体" w:eastAsia="宋体"/>
          <w:sz w:val="24"/>
          <w:highlight w:val="none"/>
        </w:rPr>
        <w:t>甲乙双方初始资本金及市场化融资资金都通过合资公司账户进行管理使用，确保建设运营资金的安全、规范使用与监管。</w:t>
      </w:r>
    </w:p>
    <w:p w14:paraId="1C2538F4">
      <w:pPr>
        <w:spacing w:line="300" w:lineRule="auto"/>
        <w:ind w:firstLine="482"/>
        <w:jc w:val="left"/>
        <w:rPr>
          <w:rFonts w:ascii="宋体" w:eastAsia="宋体"/>
          <w:b/>
          <w:bCs/>
          <w:sz w:val="24"/>
          <w:highlight w:val="none"/>
        </w:rPr>
      </w:pPr>
    </w:p>
    <w:p w14:paraId="5B06A927">
      <w:pPr>
        <w:spacing w:line="300" w:lineRule="auto"/>
        <w:ind w:firstLine="482"/>
        <w:jc w:val="left"/>
        <w:outlineLvl w:val="0"/>
        <w:rPr>
          <w:rFonts w:ascii="宋体" w:eastAsia="宋体"/>
          <w:b/>
          <w:bCs/>
          <w:sz w:val="24"/>
          <w:highlight w:val="none"/>
        </w:rPr>
      </w:pPr>
      <w:bookmarkStart w:id="178" w:name="_Toc8816"/>
      <w:bookmarkStart w:id="179" w:name="_Toc32295"/>
      <w:bookmarkStart w:id="180" w:name="_Toc20401"/>
      <w:r>
        <w:rPr>
          <w:rFonts w:hint="eastAsia" w:ascii="宋体" w:eastAsia="宋体"/>
          <w:b/>
          <w:bCs/>
          <w:sz w:val="24"/>
          <w:highlight w:val="none"/>
        </w:rPr>
        <w:t>第八章违约和赔偿</w:t>
      </w:r>
      <w:bookmarkEnd w:id="175"/>
      <w:bookmarkEnd w:id="178"/>
      <w:bookmarkEnd w:id="179"/>
      <w:bookmarkEnd w:id="180"/>
    </w:p>
    <w:p w14:paraId="29942612">
      <w:pPr>
        <w:spacing w:line="300" w:lineRule="auto"/>
        <w:ind w:firstLine="482"/>
        <w:jc w:val="left"/>
        <w:outlineLvl w:val="0"/>
        <w:rPr>
          <w:rFonts w:ascii="宋体" w:eastAsia="宋体"/>
          <w:sz w:val="24"/>
          <w:highlight w:val="none"/>
        </w:rPr>
      </w:pPr>
      <w:bookmarkStart w:id="181" w:name="_Toc17448"/>
      <w:bookmarkStart w:id="182" w:name="_Toc14280"/>
      <w:bookmarkStart w:id="183" w:name="_Toc24701"/>
      <w:bookmarkStart w:id="184" w:name="_Toc5075"/>
      <w:r>
        <w:rPr>
          <w:rFonts w:hint="eastAsia" w:ascii="宋体" w:eastAsia="宋体"/>
          <w:sz w:val="24"/>
          <w:highlight w:val="none"/>
        </w:rPr>
        <w:t>第8.1条违约与解除</w:t>
      </w:r>
      <w:bookmarkEnd w:id="181"/>
      <w:bookmarkEnd w:id="182"/>
      <w:bookmarkEnd w:id="183"/>
      <w:bookmarkEnd w:id="184"/>
    </w:p>
    <w:p w14:paraId="33853F68">
      <w:pPr>
        <w:spacing w:line="300" w:lineRule="auto"/>
        <w:ind w:firstLine="482"/>
        <w:jc w:val="left"/>
        <w:rPr>
          <w:rFonts w:ascii="宋体" w:eastAsia="宋体"/>
          <w:sz w:val="24"/>
          <w:highlight w:val="none"/>
        </w:rPr>
      </w:pPr>
      <w:r>
        <w:rPr>
          <w:rFonts w:hint="eastAsia" w:ascii="宋体" w:eastAsia="宋体"/>
          <w:sz w:val="24"/>
          <w:highlight w:val="none"/>
        </w:rPr>
        <w:t>如果一方未能履行其在本协议或任何投资合作文件项下的义务，或其在本协议或任何投资合作文件项下的任何陈述或保证在重大方面不真实或不准确，则构成对本协议的违约(该方为“违约方”)。</w:t>
      </w:r>
    </w:p>
    <w:p w14:paraId="19DE3B78">
      <w:pPr>
        <w:spacing w:line="300" w:lineRule="auto"/>
        <w:ind w:firstLine="482"/>
        <w:jc w:val="left"/>
        <w:rPr>
          <w:rFonts w:ascii="宋体" w:eastAsia="宋体"/>
          <w:sz w:val="24"/>
          <w:highlight w:val="none"/>
        </w:rPr>
      </w:pPr>
      <w:r>
        <w:rPr>
          <w:rFonts w:hint="eastAsia" w:ascii="宋体" w:eastAsia="宋体"/>
          <w:sz w:val="24"/>
          <w:highlight w:val="none"/>
        </w:rPr>
        <w:t>在此情况下，守约一方应书面通知违约方其对本协议的违约，并且违约方应在通知发出之日起的30天内对其违约予以补救。如果该30天届满时违约方仍未对违约予以补救，则守约一方有权解除本协议。如果一方在履行期限届满前已经明确表示(通过口 头、书面或行为)其将不履行本协议下的主要义务，或违约方的违约行为(包括因不 可抗力造成)已经致使双方不能实现本协议的基本目的，则守约一方有权解除本协议。在违反本协议或其他交易文件的情况下，违约方应对由于其违约所引起的守约一方的直接损失负责。</w:t>
      </w:r>
    </w:p>
    <w:p w14:paraId="7D9C3764">
      <w:pPr>
        <w:spacing w:line="300" w:lineRule="auto"/>
        <w:ind w:firstLine="482"/>
        <w:jc w:val="left"/>
        <w:rPr>
          <w:rFonts w:ascii="宋体" w:eastAsia="宋体"/>
          <w:sz w:val="24"/>
          <w:highlight w:val="none"/>
        </w:rPr>
      </w:pPr>
      <w:r>
        <w:rPr>
          <w:rFonts w:hint="eastAsia" w:ascii="宋体" w:eastAsia="宋体"/>
          <w:sz w:val="24"/>
          <w:highlight w:val="none"/>
        </w:rPr>
        <w:t>本协议下适用于守约一方的解除本协议的权利应是其可获得的任何其他补救之外的权利，并且该解除不应免除至解除日所产生的违约方的任何义务，也不能免除违约方因违反本协议或其他交易文件而对守约一方所造成损失的赔偿责任。</w:t>
      </w:r>
    </w:p>
    <w:p w14:paraId="1A01420E">
      <w:pPr>
        <w:spacing w:line="300" w:lineRule="auto"/>
        <w:ind w:firstLine="482"/>
        <w:jc w:val="left"/>
        <w:outlineLvl w:val="0"/>
        <w:rPr>
          <w:rFonts w:ascii="宋体" w:eastAsia="宋体"/>
          <w:sz w:val="24"/>
          <w:highlight w:val="none"/>
        </w:rPr>
      </w:pPr>
      <w:bookmarkStart w:id="185" w:name="_Toc17382"/>
      <w:bookmarkStart w:id="186" w:name="_Toc8529"/>
      <w:bookmarkStart w:id="187" w:name="_Toc2576"/>
      <w:r>
        <w:rPr>
          <w:rFonts w:hint="eastAsia" w:ascii="宋体" w:eastAsia="宋体"/>
          <w:sz w:val="24"/>
          <w:highlight w:val="none"/>
        </w:rPr>
        <w:t>第8.2条违约责任</w:t>
      </w:r>
      <w:bookmarkEnd w:id="185"/>
      <w:bookmarkEnd w:id="186"/>
      <w:bookmarkEnd w:id="187"/>
    </w:p>
    <w:p w14:paraId="3D4FC690">
      <w:pPr>
        <w:spacing w:line="300" w:lineRule="auto"/>
        <w:ind w:firstLine="482"/>
        <w:jc w:val="left"/>
        <w:rPr>
          <w:rFonts w:ascii="宋体" w:eastAsia="宋体"/>
          <w:sz w:val="24"/>
          <w:highlight w:val="none"/>
        </w:rPr>
      </w:pPr>
      <w:r>
        <w:rPr>
          <w:rFonts w:hint="eastAsia" w:ascii="宋体" w:eastAsia="宋体"/>
          <w:sz w:val="24"/>
          <w:highlight w:val="none"/>
        </w:rPr>
        <w:t>因任何一方(“违约方”)违反在本协议或任何交易文件项下中所作出的任何声明、保 证、承诺或约定给另一方(“守约方”)造成损失的，违约方需对守约方的损失承担赔 偿责任，包括负债、损失、损害、利息、裁决、判决和罚金。</w:t>
      </w:r>
    </w:p>
    <w:p w14:paraId="388153FC">
      <w:pPr>
        <w:spacing w:line="300" w:lineRule="auto"/>
        <w:ind w:firstLine="482"/>
        <w:jc w:val="left"/>
        <w:outlineLvl w:val="0"/>
        <w:rPr>
          <w:rFonts w:ascii="宋体" w:eastAsia="宋体"/>
          <w:sz w:val="24"/>
          <w:highlight w:val="none"/>
        </w:rPr>
      </w:pPr>
      <w:bookmarkStart w:id="188" w:name="_Toc9797"/>
      <w:bookmarkStart w:id="189" w:name="_Toc602"/>
      <w:bookmarkStart w:id="190" w:name="_Toc4048"/>
      <w:bookmarkStart w:id="191" w:name="_Toc30325"/>
      <w:r>
        <w:rPr>
          <w:rFonts w:hint="eastAsia" w:ascii="宋体" w:eastAsia="宋体"/>
          <w:sz w:val="24"/>
          <w:highlight w:val="none"/>
        </w:rPr>
        <w:t>第8.3条逾期出资的法律救济</w:t>
      </w:r>
      <w:bookmarkEnd w:id="188"/>
      <w:bookmarkEnd w:id="189"/>
      <w:bookmarkEnd w:id="190"/>
      <w:bookmarkEnd w:id="191"/>
    </w:p>
    <w:p w14:paraId="547FC3EF">
      <w:pPr>
        <w:spacing w:line="300" w:lineRule="auto"/>
        <w:ind w:firstLine="482"/>
        <w:jc w:val="left"/>
        <w:rPr>
          <w:rFonts w:ascii="宋体" w:eastAsia="宋体"/>
          <w:sz w:val="24"/>
          <w:highlight w:val="none"/>
        </w:rPr>
      </w:pPr>
      <w:r>
        <w:rPr>
          <w:rFonts w:hint="eastAsia" w:ascii="宋体" w:eastAsia="宋体"/>
          <w:sz w:val="24"/>
          <w:highlight w:val="none"/>
        </w:rPr>
        <w:t>任一方未能按本协议约定缴纳出资的，除应当向合资公司足额补充缴纳外，还应当按 照应付而未支付的出资款日万分之五的标准向守约方支付滞纳金，计算截至违约方支 付完毕应付出资款或本协议被守约方依照上述7.1条的约定解除之日。</w:t>
      </w:r>
    </w:p>
    <w:p w14:paraId="448C9C6A">
      <w:pPr>
        <w:spacing w:line="300" w:lineRule="auto"/>
        <w:ind w:firstLine="482"/>
        <w:jc w:val="left"/>
        <w:rPr>
          <w:rFonts w:ascii="宋体" w:eastAsia="宋体"/>
          <w:sz w:val="24"/>
          <w:highlight w:val="none"/>
        </w:rPr>
      </w:pPr>
      <w:r>
        <w:rPr>
          <w:rFonts w:hint="eastAsia" w:ascii="宋体" w:eastAsia="宋体"/>
          <w:sz w:val="24"/>
          <w:highlight w:val="none"/>
        </w:rPr>
        <w:t>如本协议因违约方逾期付款而解除，违约方除需履行支付滞纳金的义务外，还需赔偿 守约方因违约方违约造成的损失。</w:t>
      </w:r>
    </w:p>
    <w:p w14:paraId="61595A42">
      <w:pPr>
        <w:spacing w:line="300" w:lineRule="auto"/>
        <w:ind w:firstLine="482"/>
        <w:jc w:val="left"/>
        <w:outlineLvl w:val="0"/>
        <w:rPr>
          <w:rFonts w:ascii="宋体" w:eastAsia="宋体"/>
          <w:sz w:val="24"/>
          <w:highlight w:val="none"/>
        </w:rPr>
      </w:pPr>
      <w:bookmarkStart w:id="192" w:name="_Toc30627"/>
      <w:bookmarkStart w:id="193" w:name="_Toc9939"/>
      <w:bookmarkStart w:id="194" w:name="_Toc22146"/>
      <w:bookmarkStart w:id="195" w:name="_Toc802"/>
      <w:r>
        <w:rPr>
          <w:rFonts w:hint="eastAsia" w:ascii="宋体" w:eastAsia="宋体"/>
          <w:sz w:val="24"/>
          <w:highlight w:val="none"/>
        </w:rPr>
        <w:t>第8.4条其他法律救济</w:t>
      </w:r>
      <w:bookmarkEnd w:id="192"/>
      <w:bookmarkEnd w:id="193"/>
      <w:bookmarkEnd w:id="194"/>
      <w:bookmarkEnd w:id="195"/>
    </w:p>
    <w:p w14:paraId="3BE88851">
      <w:pPr>
        <w:spacing w:line="300" w:lineRule="auto"/>
        <w:ind w:firstLine="482"/>
        <w:jc w:val="left"/>
        <w:rPr>
          <w:rFonts w:ascii="宋体" w:eastAsia="宋体"/>
          <w:sz w:val="24"/>
          <w:highlight w:val="none"/>
        </w:rPr>
      </w:pPr>
      <w:r>
        <w:rPr>
          <w:rFonts w:hint="eastAsia" w:ascii="宋体" w:eastAsia="宋体"/>
          <w:sz w:val="24"/>
          <w:highlight w:val="none"/>
        </w:rPr>
        <w:t>本条的约定不排除任何一方就其超过已获赔偿金额部分的其他损失部分寻求其他的法 律救济。</w:t>
      </w:r>
    </w:p>
    <w:p w14:paraId="62C26C4E">
      <w:pPr>
        <w:spacing w:line="300" w:lineRule="auto"/>
        <w:ind w:firstLine="482"/>
        <w:jc w:val="left"/>
        <w:rPr>
          <w:rFonts w:ascii="宋体" w:eastAsia="宋体"/>
          <w:sz w:val="24"/>
          <w:highlight w:val="none"/>
        </w:rPr>
      </w:pPr>
    </w:p>
    <w:p w14:paraId="57C1E738">
      <w:pPr>
        <w:spacing w:line="300" w:lineRule="auto"/>
        <w:ind w:firstLine="482"/>
        <w:jc w:val="left"/>
        <w:outlineLvl w:val="0"/>
        <w:rPr>
          <w:rFonts w:ascii="宋体" w:eastAsia="宋体"/>
          <w:b/>
          <w:bCs/>
          <w:sz w:val="24"/>
          <w:highlight w:val="none"/>
        </w:rPr>
      </w:pPr>
      <w:bookmarkStart w:id="196" w:name="_Toc28627"/>
      <w:bookmarkStart w:id="197" w:name="_Toc2251"/>
      <w:bookmarkStart w:id="198" w:name="_Toc6628"/>
      <w:bookmarkStart w:id="199" w:name="_Toc29178"/>
      <w:r>
        <w:rPr>
          <w:rFonts w:hint="eastAsia" w:ascii="宋体" w:eastAsia="宋体"/>
          <w:b/>
          <w:bCs/>
          <w:sz w:val="24"/>
          <w:highlight w:val="none"/>
        </w:rPr>
        <w:t>第九章解除</w:t>
      </w:r>
      <w:bookmarkEnd w:id="196"/>
      <w:bookmarkEnd w:id="197"/>
      <w:bookmarkEnd w:id="198"/>
      <w:bookmarkEnd w:id="199"/>
    </w:p>
    <w:p w14:paraId="44D024FD">
      <w:pPr>
        <w:spacing w:line="300" w:lineRule="auto"/>
        <w:ind w:firstLine="482"/>
        <w:jc w:val="left"/>
        <w:outlineLvl w:val="0"/>
        <w:rPr>
          <w:rFonts w:ascii="宋体" w:eastAsia="宋体"/>
          <w:sz w:val="24"/>
          <w:highlight w:val="none"/>
        </w:rPr>
      </w:pPr>
      <w:bookmarkStart w:id="200" w:name="_Toc9465"/>
      <w:bookmarkStart w:id="201" w:name="_Toc5703"/>
      <w:bookmarkStart w:id="202" w:name="_Toc24403"/>
      <w:bookmarkStart w:id="203" w:name="_Toc14712"/>
      <w:r>
        <w:rPr>
          <w:rFonts w:hint="eastAsia" w:ascii="宋体" w:eastAsia="宋体"/>
          <w:sz w:val="24"/>
          <w:highlight w:val="none"/>
        </w:rPr>
        <w:t>第9. 1条解除事件</w:t>
      </w:r>
      <w:bookmarkEnd w:id="200"/>
      <w:bookmarkEnd w:id="201"/>
      <w:bookmarkEnd w:id="202"/>
      <w:bookmarkEnd w:id="203"/>
    </w:p>
    <w:p w14:paraId="0027C8FE">
      <w:pPr>
        <w:spacing w:line="300" w:lineRule="auto"/>
        <w:ind w:firstLine="482"/>
        <w:jc w:val="left"/>
        <w:rPr>
          <w:rFonts w:ascii="宋体" w:eastAsia="宋体"/>
          <w:sz w:val="24"/>
          <w:highlight w:val="none"/>
        </w:rPr>
      </w:pPr>
      <w:r>
        <w:rPr>
          <w:rFonts w:hint="eastAsia" w:ascii="宋体" w:eastAsia="宋体"/>
          <w:sz w:val="24"/>
          <w:highlight w:val="none"/>
        </w:rPr>
        <w:t>除本协议另有规定外，本协议可在下列事项触发时解除：</w:t>
      </w:r>
    </w:p>
    <w:p w14:paraId="11566BE7">
      <w:pPr>
        <w:spacing w:line="300" w:lineRule="auto"/>
        <w:ind w:firstLine="482"/>
        <w:jc w:val="left"/>
        <w:rPr>
          <w:rFonts w:ascii="宋体" w:eastAsia="宋体"/>
          <w:sz w:val="24"/>
          <w:highlight w:val="none"/>
        </w:rPr>
      </w:pPr>
      <w:r>
        <w:rPr>
          <w:rFonts w:hint="eastAsia" w:ascii="宋体" w:eastAsia="宋体"/>
          <w:sz w:val="24"/>
          <w:highlight w:val="none"/>
        </w:rPr>
        <w:t>1.如果发生第7.1条所述的情形，非违约方可经书面通知违约方后解除本协议。</w:t>
      </w:r>
    </w:p>
    <w:p w14:paraId="3B76362A">
      <w:pPr>
        <w:spacing w:line="300" w:lineRule="auto"/>
        <w:ind w:firstLine="482"/>
        <w:jc w:val="left"/>
        <w:rPr>
          <w:rFonts w:ascii="宋体" w:eastAsia="宋体"/>
          <w:sz w:val="24"/>
          <w:highlight w:val="none"/>
        </w:rPr>
      </w:pPr>
      <w:r>
        <w:rPr>
          <w:rFonts w:hint="eastAsia" w:ascii="宋体" w:eastAsia="宋体"/>
          <w:sz w:val="24"/>
          <w:highlight w:val="none"/>
        </w:rPr>
        <w:t>2.如任何政府部门颁布任何法律法规，或者发布任何命令、法令或裁定、或采取任 何其他法律行动，以限制、阻止或以其他方式禁止本协议下的合作，或者使得本 协议下的合作变成不合法或者不可能完成，而且该等命令、法令、裁定或其他法 律行动均为最终的并且不可申请复议、起诉或上诉，则本协议任何一方均可经书 面通知对方后解除本协议。</w:t>
      </w:r>
    </w:p>
    <w:p w14:paraId="4108C8C6">
      <w:pPr>
        <w:spacing w:line="300" w:lineRule="auto"/>
        <w:ind w:firstLine="482"/>
        <w:jc w:val="left"/>
        <w:rPr>
          <w:rFonts w:ascii="宋体" w:eastAsia="宋体"/>
          <w:sz w:val="24"/>
          <w:highlight w:val="none"/>
        </w:rPr>
      </w:pPr>
      <w:r>
        <w:rPr>
          <w:rFonts w:hint="eastAsia" w:ascii="宋体" w:eastAsia="宋体"/>
          <w:sz w:val="24"/>
          <w:highlight w:val="none"/>
        </w:rPr>
        <w:t>3.经双方协商一致，通过书面形式同意解除。</w:t>
      </w:r>
    </w:p>
    <w:p w14:paraId="090B25FB">
      <w:pPr>
        <w:spacing w:line="300" w:lineRule="auto"/>
        <w:ind w:firstLine="482"/>
        <w:jc w:val="left"/>
        <w:outlineLvl w:val="0"/>
        <w:rPr>
          <w:rFonts w:ascii="宋体" w:eastAsia="宋体"/>
          <w:sz w:val="24"/>
          <w:highlight w:val="none"/>
        </w:rPr>
      </w:pPr>
      <w:bookmarkStart w:id="204" w:name="_Toc29110"/>
      <w:bookmarkStart w:id="205" w:name="_Toc16278"/>
      <w:bookmarkStart w:id="206" w:name="_Toc14912"/>
      <w:bookmarkStart w:id="207" w:name="_Toc5493"/>
      <w:r>
        <w:rPr>
          <w:rFonts w:hint="eastAsia" w:ascii="宋体" w:eastAsia="宋体"/>
          <w:sz w:val="24"/>
          <w:highlight w:val="none"/>
        </w:rPr>
        <w:t>第9.2条解除的效力</w:t>
      </w:r>
      <w:bookmarkEnd w:id="204"/>
      <w:bookmarkEnd w:id="205"/>
      <w:bookmarkEnd w:id="206"/>
      <w:bookmarkEnd w:id="207"/>
    </w:p>
    <w:p w14:paraId="0BBCBDB1">
      <w:pPr>
        <w:spacing w:line="300" w:lineRule="auto"/>
        <w:ind w:firstLine="482"/>
        <w:jc w:val="left"/>
        <w:rPr>
          <w:rFonts w:ascii="宋体" w:eastAsia="宋体"/>
          <w:sz w:val="24"/>
          <w:highlight w:val="none"/>
        </w:rPr>
      </w:pPr>
      <w:r>
        <w:rPr>
          <w:rFonts w:hint="eastAsia" w:ascii="宋体" w:eastAsia="宋体"/>
          <w:sz w:val="24"/>
          <w:highlight w:val="none"/>
        </w:rPr>
        <w:t>根据第9.1条规定解除本协议的，双方在本协议项下的所有权利和义务即时终止。</w:t>
      </w:r>
    </w:p>
    <w:p w14:paraId="62C5E8EB">
      <w:pPr>
        <w:spacing w:line="300" w:lineRule="auto"/>
        <w:ind w:firstLine="482"/>
        <w:jc w:val="left"/>
        <w:rPr>
          <w:rFonts w:ascii="宋体" w:eastAsia="宋体"/>
          <w:sz w:val="24"/>
          <w:highlight w:val="none"/>
        </w:rPr>
      </w:pPr>
    </w:p>
    <w:p w14:paraId="5D85735C">
      <w:pPr>
        <w:spacing w:line="300" w:lineRule="auto"/>
        <w:ind w:firstLine="482"/>
        <w:jc w:val="left"/>
        <w:outlineLvl w:val="0"/>
        <w:rPr>
          <w:rFonts w:ascii="宋体" w:eastAsia="宋体"/>
          <w:b/>
          <w:bCs/>
          <w:sz w:val="24"/>
          <w:highlight w:val="none"/>
        </w:rPr>
      </w:pPr>
      <w:bookmarkStart w:id="208" w:name="_Toc7727"/>
      <w:bookmarkStart w:id="209" w:name="_Toc10272"/>
      <w:bookmarkStart w:id="210" w:name="_Toc30018"/>
      <w:bookmarkStart w:id="211" w:name="_Toc32349"/>
      <w:r>
        <w:rPr>
          <w:rFonts w:hint="eastAsia" w:ascii="宋体" w:eastAsia="宋体"/>
          <w:b/>
          <w:bCs/>
          <w:sz w:val="24"/>
          <w:highlight w:val="none"/>
        </w:rPr>
        <w:t>第十章退出机制</w:t>
      </w:r>
      <w:bookmarkEnd w:id="208"/>
      <w:bookmarkEnd w:id="209"/>
      <w:bookmarkEnd w:id="210"/>
      <w:bookmarkEnd w:id="211"/>
    </w:p>
    <w:p w14:paraId="63A77127">
      <w:pPr>
        <w:spacing w:line="300" w:lineRule="auto"/>
        <w:ind w:firstLine="480" w:firstLineChars="200"/>
        <w:jc w:val="left"/>
        <w:outlineLvl w:val="0"/>
        <w:rPr>
          <w:rFonts w:ascii="宋体" w:eastAsia="宋体"/>
          <w:sz w:val="24"/>
          <w:highlight w:val="none"/>
        </w:rPr>
      </w:pPr>
      <w:bookmarkStart w:id="212" w:name="_Toc27176"/>
      <w:bookmarkStart w:id="213" w:name="_Toc18599"/>
      <w:bookmarkStart w:id="214" w:name="_Toc2764"/>
      <w:bookmarkStart w:id="215" w:name="_Toc23009"/>
      <w:r>
        <w:rPr>
          <w:rFonts w:hint="eastAsia" w:ascii="宋体" w:eastAsia="宋体"/>
          <w:sz w:val="24"/>
          <w:highlight w:val="none"/>
        </w:rPr>
        <w:t>第10.1条</w:t>
      </w:r>
      <w:r>
        <w:rPr>
          <w:rFonts w:hint="eastAsia" w:ascii="宋体" w:eastAsia="宋体"/>
          <w:sz w:val="24"/>
          <w:highlight w:val="none"/>
          <w:lang w:val="en-US" w:eastAsia="zh-CN"/>
        </w:rPr>
        <w:t>除本协议另有约定外，</w:t>
      </w:r>
      <w:r>
        <w:rPr>
          <w:rFonts w:hint="eastAsia" w:ascii="宋体" w:eastAsia="宋体"/>
          <w:b w:val="0"/>
          <w:bCs w:val="0"/>
          <w:sz w:val="24"/>
          <w:highlight w:val="none"/>
          <w:lang w:val="en-US" w:eastAsia="zh-CN"/>
        </w:rPr>
        <w:t>双方就退出合资公司事宜按如下条款执行</w:t>
      </w:r>
      <w:bookmarkEnd w:id="212"/>
      <w:bookmarkEnd w:id="213"/>
      <w:bookmarkEnd w:id="214"/>
      <w:bookmarkEnd w:id="215"/>
    </w:p>
    <w:p w14:paraId="6605806B">
      <w:pPr>
        <w:spacing w:line="300" w:lineRule="auto"/>
        <w:ind w:firstLine="482"/>
        <w:jc w:val="left"/>
        <w:outlineLvl w:val="0"/>
        <w:rPr>
          <w:rFonts w:ascii="宋体" w:eastAsia="宋体"/>
          <w:sz w:val="24"/>
          <w:highlight w:val="none"/>
        </w:rPr>
      </w:pPr>
      <w:bookmarkStart w:id="216" w:name="_Toc11303"/>
      <w:bookmarkStart w:id="217" w:name="_Toc22538"/>
      <w:bookmarkStart w:id="218" w:name="_Toc5546"/>
      <w:bookmarkStart w:id="219" w:name="_Toc29883"/>
      <w:r>
        <w:rPr>
          <w:rFonts w:hint="eastAsia" w:ascii="宋体" w:eastAsia="宋体"/>
          <w:sz w:val="24"/>
          <w:highlight w:val="none"/>
        </w:rPr>
        <w:t>第10.</w:t>
      </w:r>
      <w:r>
        <w:rPr>
          <w:rFonts w:hint="eastAsia" w:ascii="宋体" w:eastAsia="宋体"/>
          <w:sz w:val="24"/>
          <w:highlight w:val="none"/>
          <w:lang w:val="en-US" w:eastAsia="zh-CN"/>
        </w:rPr>
        <w:t>1.1</w:t>
      </w:r>
      <w:r>
        <w:rPr>
          <w:rFonts w:hint="eastAsia" w:ascii="宋体" w:eastAsia="宋体"/>
          <w:sz w:val="24"/>
          <w:highlight w:val="none"/>
        </w:rPr>
        <w:t>条退出安排</w:t>
      </w:r>
      <w:bookmarkEnd w:id="216"/>
      <w:bookmarkEnd w:id="217"/>
      <w:bookmarkEnd w:id="218"/>
      <w:bookmarkEnd w:id="219"/>
    </w:p>
    <w:p w14:paraId="7C1C798F">
      <w:pPr>
        <w:spacing w:line="300" w:lineRule="auto"/>
        <w:ind w:firstLine="482"/>
        <w:jc w:val="left"/>
        <w:rPr>
          <w:rFonts w:ascii="宋体" w:eastAsia="宋体"/>
          <w:sz w:val="24"/>
          <w:highlight w:val="none"/>
        </w:rPr>
      </w:pPr>
      <w:r>
        <w:rPr>
          <w:rFonts w:hint="eastAsia" w:ascii="宋体" w:eastAsia="宋体"/>
          <w:sz w:val="24"/>
          <w:highlight w:val="none"/>
        </w:rPr>
        <w:t>1.退出方式：经双方协商同意后，乙方可退出合资公司，乙方应通过向甲方股权转让的方式实现退出，未经甲方书面同意，乙方不得以任何方式进行股权转让。</w:t>
      </w:r>
    </w:p>
    <w:p w14:paraId="6B706A58">
      <w:pPr>
        <w:spacing w:line="300" w:lineRule="auto"/>
        <w:ind w:firstLine="482"/>
        <w:jc w:val="left"/>
        <w:rPr>
          <w:rFonts w:ascii="宋体" w:eastAsia="宋体"/>
          <w:color w:val="auto"/>
          <w:sz w:val="24"/>
          <w:highlight w:val="none"/>
        </w:rPr>
      </w:pPr>
      <w:r>
        <w:rPr>
          <w:rFonts w:hint="eastAsia" w:ascii="宋体" w:eastAsia="宋体"/>
          <w:color w:val="auto"/>
          <w:sz w:val="24"/>
          <w:highlight w:val="none"/>
        </w:rPr>
        <w:t>2.退出通知：乙方退出时，由乙方在双方协商一致同意之日起60日内，向甲方和公司发出退出的书面通知。</w:t>
      </w:r>
    </w:p>
    <w:p w14:paraId="52AC9480">
      <w:pPr>
        <w:spacing w:line="300" w:lineRule="auto"/>
        <w:ind w:firstLine="482"/>
        <w:jc w:val="left"/>
        <w:rPr>
          <w:rFonts w:ascii="宋体" w:eastAsia="宋体"/>
          <w:color w:val="auto"/>
          <w:sz w:val="24"/>
          <w:highlight w:val="none"/>
        </w:rPr>
      </w:pPr>
      <w:r>
        <w:rPr>
          <w:rFonts w:hint="eastAsia" w:ascii="宋体" w:eastAsia="宋体"/>
          <w:color w:val="auto"/>
          <w:sz w:val="24"/>
          <w:highlight w:val="none"/>
        </w:rPr>
        <w:t>3.股权转让定价依据：</w:t>
      </w:r>
    </w:p>
    <w:p w14:paraId="41C9C6F2">
      <w:pPr>
        <w:spacing w:line="300" w:lineRule="auto"/>
        <w:ind w:firstLine="482"/>
        <w:jc w:val="left"/>
        <w:rPr>
          <w:rFonts w:ascii="宋体" w:eastAsia="宋体"/>
          <w:color w:val="auto"/>
          <w:sz w:val="24"/>
          <w:highlight w:val="none"/>
        </w:rPr>
      </w:pPr>
      <w:r>
        <w:rPr>
          <w:rFonts w:hint="eastAsia" w:ascii="宋体" w:eastAsia="宋体"/>
          <w:color w:val="auto"/>
          <w:sz w:val="24"/>
          <w:highlight w:val="none"/>
        </w:rPr>
        <w:t>乙方退出时，乙方持有的股权的转让价款，由依法选定的评估机构进行股权评估（评估费用由乙方承担），双方以不低于股权评估价协商确定最终转让价款。</w:t>
      </w:r>
    </w:p>
    <w:p w14:paraId="74E20096">
      <w:pPr>
        <w:spacing w:line="300" w:lineRule="auto"/>
        <w:ind w:firstLine="482"/>
        <w:jc w:val="left"/>
        <w:rPr>
          <w:rFonts w:ascii="宋体" w:eastAsia="宋体"/>
          <w:sz w:val="24"/>
          <w:highlight w:val="none"/>
        </w:rPr>
      </w:pPr>
      <w:r>
        <w:rPr>
          <w:rFonts w:hint="eastAsia" w:ascii="宋体" w:eastAsia="宋体"/>
          <w:sz w:val="24"/>
          <w:highlight w:val="none"/>
        </w:rPr>
        <w:t>4.股权评估：评估基准日为相关股东发出书面退出通知之日的上一月末，股权评估机构由双方共同选定。</w:t>
      </w:r>
    </w:p>
    <w:p w14:paraId="1D3D700F">
      <w:pPr>
        <w:spacing w:line="300" w:lineRule="auto"/>
        <w:ind w:firstLine="482"/>
        <w:jc w:val="left"/>
        <w:rPr>
          <w:rFonts w:hint="eastAsia" w:ascii="宋体" w:eastAsia="宋体"/>
          <w:sz w:val="24"/>
          <w:highlight w:val="none"/>
        </w:rPr>
      </w:pPr>
      <w:r>
        <w:rPr>
          <w:rFonts w:hint="eastAsia" w:ascii="宋体" w:eastAsia="宋体"/>
          <w:sz w:val="24"/>
          <w:highlight w:val="none"/>
        </w:rPr>
        <w:t>5.股权转让价款支付方式：双方同意，在公司完成工商变更登记之日起30日内， 甲方向乙方的指定账户支付全额价款。每延期1日，甲方将按每日逾期未支付的 股权转让价款金额的万分之五向乙方支付滞纳金。</w:t>
      </w:r>
    </w:p>
    <w:p w14:paraId="341521DC">
      <w:pPr>
        <w:spacing w:line="300" w:lineRule="auto"/>
        <w:ind w:firstLine="482"/>
        <w:jc w:val="left"/>
        <w:rPr>
          <w:rFonts w:hint="eastAsia" w:ascii="宋体" w:eastAsia="宋体"/>
          <w:sz w:val="24"/>
          <w:highlight w:val="none"/>
          <w:lang w:val="en-US" w:eastAsia="zh-CN"/>
        </w:rPr>
      </w:pPr>
      <w:r>
        <w:rPr>
          <w:rFonts w:hint="eastAsia" w:ascii="宋体" w:eastAsia="宋体"/>
          <w:sz w:val="24"/>
          <w:highlight w:val="none"/>
          <w:lang w:val="en-US" w:eastAsia="zh-CN"/>
        </w:rPr>
        <w:t>第10.2条</w:t>
      </w:r>
    </w:p>
    <w:p w14:paraId="7F33CC40">
      <w:pPr>
        <w:spacing w:line="300" w:lineRule="auto"/>
        <w:ind w:firstLine="482" w:firstLineChars="0"/>
        <w:jc w:val="left"/>
        <w:rPr>
          <w:rFonts w:hint="eastAsia" w:ascii="宋体" w:eastAsia="宋体"/>
          <w:sz w:val="24"/>
          <w:szCs w:val="24"/>
          <w:highlight w:val="none"/>
        </w:rPr>
      </w:pPr>
      <w:r>
        <w:rPr>
          <w:rFonts w:hint="eastAsia" w:ascii="宋体" w:eastAsia="宋体"/>
          <w:sz w:val="24"/>
          <w:szCs w:val="24"/>
          <w:highlight w:val="none"/>
        </w:rPr>
        <w:t>合作期限内，甲乙双方按本投资合作协议及招投标文件相关约定完成各自</w:t>
      </w:r>
      <w:r>
        <w:rPr>
          <w:rFonts w:hint="eastAsia" w:ascii="宋体" w:eastAsia="宋体"/>
          <w:sz w:val="24"/>
          <w:szCs w:val="24"/>
          <w:highlight w:val="none"/>
          <w:lang w:val="en-US" w:eastAsia="zh-CN"/>
        </w:rPr>
        <w:t>投资、建设等</w:t>
      </w:r>
      <w:r>
        <w:rPr>
          <w:rFonts w:hint="eastAsia" w:ascii="宋体" w:eastAsia="宋体"/>
          <w:sz w:val="24"/>
          <w:szCs w:val="24"/>
          <w:highlight w:val="none"/>
        </w:rPr>
        <w:t>义务</w:t>
      </w:r>
      <w:r>
        <w:rPr>
          <w:rFonts w:hint="eastAsia" w:ascii="宋体" w:eastAsia="宋体"/>
          <w:sz w:val="24"/>
          <w:szCs w:val="24"/>
          <w:highlight w:val="none"/>
          <w:lang w:eastAsia="zh-CN"/>
        </w:rPr>
        <w:t>。</w:t>
      </w:r>
      <w:r>
        <w:rPr>
          <w:rFonts w:hint="eastAsia" w:ascii="宋体" w:eastAsia="宋体"/>
          <w:sz w:val="24"/>
          <w:szCs w:val="24"/>
          <w:highlight w:val="none"/>
          <w:lang w:val="en-US" w:eastAsia="zh-CN"/>
        </w:rPr>
        <w:t>运营期间，</w:t>
      </w:r>
      <w:r>
        <w:rPr>
          <w:rFonts w:hint="eastAsia" w:ascii="宋体" w:eastAsia="宋体"/>
          <w:sz w:val="24"/>
          <w:szCs w:val="24"/>
          <w:highlight w:val="none"/>
        </w:rPr>
        <w:t>甲乙双方需充分发挥各自专业领域优势，共同推进本项目运营效益。甲方需提供全面的本地资源支持，协调与项目相关各方及当地群众的关系，为合资公司项目运营创造良好的外部环境。乙方需充分发挥自身在滨水文旅行业的专业技能，协助合资公司组织培养运营团队。</w:t>
      </w:r>
    </w:p>
    <w:p w14:paraId="36F3C3E4">
      <w:pPr>
        <w:spacing w:line="300" w:lineRule="auto"/>
        <w:ind w:firstLine="482"/>
        <w:jc w:val="left"/>
        <w:rPr>
          <w:rFonts w:hint="eastAsia" w:ascii="宋体" w:eastAsia="宋体"/>
          <w:sz w:val="24"/>
          <w:highlight w:val="none"/>
          <w:lang w:val="en-US" w:eastAsia="zh-CN"/>
        </w:rPr>
      </w:pPr>
      <w:r>
        <w:rPr>
          <w:rFonts w:hint="eastAsia" w:ascii="宋体" w:eastAsia="宋体"/>
          <w:sz w:val="24"/>
          <w:szCs w:val="24"/>
          <w:highlight w:val="none"/>
        </w:rPr>
        <w:t>合作期内，</w:t>
      </w:r>
      <w:r>
        <w:rPr>
          <w:rFonts w:hint="eastAsia" w:ascii="宋体" w:eastAsia="宋体"/>
          <w:sz w:val="24"/>
          <w:szCs w:val="24"/>
          <w:highlight w:val="none"/>
          <w:lang w:val="en-US" w:eastAsia="zh-CN"/>
        </w:rPr>
        <w:t>待合资公司运营团队成熟，项目平稳运营后，在</w:t>
      </w:r>
      <w:r>
        <w:rPr>
          <w:rFonts w:hint="eastAsia" w:ascii="宋体" w:eastAsia="宋体"/>
          <w:sz w:val="24"/>
          <w:szCs w:val="24"/>
          <w:highlight w:val="none"/>
        </w:rPr>
        <w:t>不影响项目</w:t>
      </w:r>
      <w:r>
        <w:rPr>
          <w:rFonts w:hint="eastAsia" w:ascii="宋体" w:eastAsia="宋体"/>
          <w:sz w:val="24"/>
          <w:szCs w:val="24"/>
          <w:highlight w:val="none"/>
          <w:lang w:val="en-US" w:eastAsia="zh-CN"/>
        </w:rPr>
        <w:t>正常</w:t>
      </w:r>
      <w:r>
        <w:rPr>
          <w:rFonts w:hint="eastAsia" w:ascii="宋体" w:eastAsia="宋体"/>
          <w:sz w:val="24"/>
          <w:szCs w:val="24"/>
          <w:highlight w:val="none"/>
        </w:rPr>
        <w:t>运营的前提下，</w:t>
      </w:r>
      <w:r>
        <w:rPr>
          <w:rFonts w:hint="eastAsia" w:ascii="宋体" w:eastAsia="宋体"/>
          <w:sz w:val="24"/>
          <w:szCs w:val="24"/>
          <w:highlight w:val="none"/>
          <w:lang w:val="en-US" w:eastAsia="zh-CN"/>
        </w:rPr>
        <w:t>经甲乙双方协商一致后</w:t>
      </w:r>
      <w:r>
        <w:rPr>
          <w:rFonts w:hint="eastAsia" w:ascii="宋体" w:eastAsia="宋体"/>
          <w:sz w:val="24"/>
          <w:szCs w:val="24"/>
          <w:highlight w:val="none"/>
        </w:rPr>
        <w:t>乙方</w:t>
      </w:r>
      <w:r>
        <w:rPr>
          <w:rFonts w:hint="eastAsia" w:ascii="宋体" w:eastAsia="宋体"/>
          <w:sz w:val="24"/>
          <w:szCs w:val="24"/>
          <w:highlight w:val="none"/>
          <w:lang w:val="en-US" w:eastAsia="zh-CN"/>
        </w:rPr>
        <w:t>可以</w:t>
      </w:r>
      <w:r>
        <w:rPr>
          <w:rFonts w:hint="eastAsia" w:ascii="宋体" w:eastAsia="宋体"/>
          <w:sz w:val="24"/>
          <w:szCs w:val="24"/>
          <w:highlight w:val="none"/>
        </w:rPr>
        <w:t>就其对合资公司持有的股权</w:t>
      </w:r>
      <w:r>
        <w:rPr>
          <w:rFonts w:hint="eastAsia" w:ascii="宋体" w:eastAsia="宋体"/>
          <w:sz w:val="24"/>
          <w:szCs w:val="24"/>
          <w:highlight w:val="none"/>
          <w:lang w:val="en-US" w:eastAsia="zh-CN"/>
        </w:rPr>
        <w:t>依法</w:t>
      </w:r>
      <w:r>
        <w:rPr>
          <w:rFonts w:hint="eastAsia" w:ascii="宋体" w:eastAsia="宋体"/>
          <w:sz w:val="24"/>
          <w:szCs w:val="24"/>
          <w:highlight w:val="none"/>
        </w:rPr>
        <w:t>进行转让，并且</w:t>
      </w:r>
      <w:r>
        <w:rPr>
          <w:rFonts w:hint="eastAsia" w:ascii="宋体" w:eastAsia="宋体"/>
          <w:sz w:val="24"/>
          <w:szCs w:val="24"/>
          <w:highlight w:val="none"/>
          <w:lang w:val="en-US" w:eastAsia="zh-CN"/>
        </w:rPr>
        <w:t>同等条件下甲方</w:t>
      </w:r>
      <w:r>
        <w:rPr>
          <w:rFonts w:hint="eastAsia" w:ascii="宋体" w:eastAsia="宋体"/>
          <w:sz w:val="24"/>
          <w:szCs w:val="24"/>
          <w:highlight w:val="none"/>
        </w:rPr>
        <w:t>有优先购买权</w:t>
      </w:r>
      <w:r>
        <w:rPr>
          <w:rFonts w:hint="eastAsia" w:ascii="宋体" w:eastAsia="宋体"/>
          <w:sz w:val="24"/>
          <w:szCs w:val="24"/>
          <w:highlight w:val="none"/>
          <w:lang w:eastAsia="zh-CN"/>
        </w:rPr>
        <w:t>，</w:t>
      </w:r>
      <w:r>
        <w:rPr>
          <w:rFonts w:hint="eastAsia" w:ascii="宋体" w:eastAsia="宋体"/>
          <w:sz w:val="24"/>
          <w:szCs w:val="24"/>
          <w:highlight w:val="none"/>
        </w:rPr>
        <w:t>转让价款</w:t>
      </w:r>
      <w:r>
        <w:rPr>
          <w:rFonts w:hint="eastAsia" w:ascii="宋体" w:eastAsia="宋体"/>
          <w:sz w:val="24"/>
          <w:szCs w:val="24"/>
          <w:highlight w:val="none"/>
          <w:lang w:val="en-US" w:eastAsia="zh-CN"/>
        </w:rPr>
        <w:t>以转让时市场评估公允价格为准</w:t>
      </w:r>
      <w:r>
        <w:rPr>
          <w:rFonts w:hint="eastAsia" w:ascii="宋体" w:eastAsia="宋体"/>
          <w:sz w:val="24"/>
          <w:szCs w:val="24"/>
          <w:highlight w:val="none"/>
        </w:rPr>
        <w:t>。</w:t>
      </w:r>
    </w:p>
    <w:p w14:paraId="5900A2C6">
      <w:pPr>
        <w:spacing w:line="300" w:lineRule="auto"/>
        <w:ind w:firstLine="482"/>
        <w:jc w:val="left"/>
        <w:outlineLvl w:val="0"/>
        <w:rPr>
          <w:rFonts w:ascii="宋体" w:eastAsia="宋体"/>
          <w:sz w:val="24"/>
          <w:highlight w:val="none"/>
        </w:rPr>
      </w:pPr>
      <w:bookmarkStart w:id="220" w:name="_Toc32042"/>
      <w:bookmarkStart w:id="221" w:name="_Toc11089"/>
      <w:bookmarkStart w:id="222" w:name="_Toc7100"/>
      <w:bookmarkStart w:id="223" w:name="_Toc15231"/>
      <w:r>
        <w:rPr>
          <w:rFonts w:hint="eastAsia" w:ascii="宋体" w:eastAsia="宋体"/>
          <w:sz w:val="24"/>
          <w:highlight w:val="none"/>
        </w:rPr>
        <w:t>第10.3条其他</w:t>
      </w:r>
      <w:bookmarkEnd w:id="220"/>
      <w:bookmarkEnd w:id="221"/>
      <w:bookmarkEnd w:id="222"/>
      <w:bookmarkEnd w:id="223"/>
    </w:p>
    <w:p w14:paraId="08717008">
      <w:pPr>
        <w:spacing w:line="300" w:lineRule="auto"/>
        <w:ind w:firstLine="482"/>
        <w:jc w:val="left"/>
        <w:rPr>
          <w:rFonts w:ascii="宋体" w:eastAsia="宋体"/>
          <w:sz w:val="24"/>
          <w:highlight w:val="none"/>
        </w:rPr>
      </w:pPr>
      <w:r>
        <w:rPr>
          <w:rFonts w:hint="eastAsia" w:ascii="宋体" w:eastAsia="宋体"/>
          <w:sz w:val="24"/>
          <w:highlight w:val="none"/>
        </w:rPr>
        <w:t>1.乙方在公司办理工商变更登记前，应向公司和甲方返还所有属于公司和甲方的业务、财务、人事等资料，并应承担保密责任。</w:t>
      </w:r>
    </w:p>
    <w:p w14:paraId="02E39E2E">
      <w:pPr>
        <w:spacing w:line="300" w:lineRule="auto"/>
        <w:ind w:firstLine="482"/>
        <w:jc w:val="left"/>
        <w:rPr>
          <w:rFonts w:ascii="宋体" w:eastAsia="宋体"/>
          <w:sz w:val="24"/>
          <w:highlight w:val="none"/>
        </w:rPr>
      </w:pPr>
      <w:r>
        <w:rPr>
          <w:rFonts w:hint="eastAsia" w:ascii="宋体" w:eastAsia="宋体"/>
          <w:sz w:val="24"/>
          <w:highlight w:val="none"/>
        </w:rPr>
        <w:t>2.公司和甲乙双方股东应配合根据本协议的约定办理乙方退出手续，如任何一方拒绝配合，则有权提出退出的一方保留追诉该等拒绝配合方的违约责任的权利(如 要求继续履行本协议关于“退出机制”的约定等)。</w:t>
      </w:r>
    </w:p>
    <w:p w14:paraId="7137F1D2">
      <w:pPr>
        <w:spacing w:line="300" w:lineRule="auto"/>
        <w:ind w:firstLine="482"/>
        <w:jc w:val="left"/>
        <w:rPr>
          <w:rFonts w:ascii="宋体" w:eastAsia="宋体"/>
          <w:sz w:val="24"/>
          <w:highlight w:val="none"/>
        </w:rPr>
      </w:pPr>
      <w:r>
        <w:rPr>
          <w:rFonts w:hint="eastAsia" w:ascii="宋体" w:eastAsia="宋体"/>
          <w:sz w:val="24"/>
          <w:highlight w:val="none"/>
        </w:rPr>
        <w:t>3.乙方退出后，未经公司和甲方书面许可，不得利用公司经营过程中所形成且归属于公司的所有知识产权；未经乙方书面许可，公司和甲方不得使用归属于乙方及其下属公司的所有知识产权。</w:t>
      </w:r>
    </w:p>
    <w:p w14:paraId="0A44FE74">
      <w:pPr>
        <w:spacing w:line="300" w:lineRule="auto"/>
        <w:ind w:firstLine="482"/>
        <w:jc w:val="left"/>
        <w:rPr>
          <w:rFonts w:ascii="宋体" w:eastAsia="宋体"/>
          <w:sz w:val="24"/>
          <w:highlight w:val="none"/>
        </w:rPr>
      </w:pPr>
    </w:p>
    <w:p w14:paraId="13E2679C">
      <w:pPr>
        <w:spacing w:line="300" w:lineRule="auto"/>
        <w:ind w:firstLine="482"/>
        <w:jc w:val="left"/>
        <w:outlineLvl w:val="0"/>
        <w:rPr>
          <w:rFonts w:ascii="宋体" w:eastAsia="宋体"/>
          <w:b/>
          <w:bCs/>
          <w:sz w:val="24"/>
          <w:highlight w:val="none"/>
        </w:rPr>
      </w:pPr>
      <w:bookmarkStart w:id="224" w:name="_Toc30041"/>
      <w:bookmarkStart w:id="225" w:name="_Toc25160"/>
      <w:bookmarkStart w:id="226" w:name="_Toc1554"/>
      <w:bookmarkStart w:id="227" w:name="_Toc14879"/>
      <w:r>
        <w:rPr>
          <w:rFonts w:hint="eastAsia" w:ascii="宋体" w:eastAsia="宋体"/>
          <w:b/>
          <w:bCs/>
          <w:sz w:val="24"/>
          <w:highlight w:val="none"/>
        </w:rPr>
        <w:t>第十一章保密条款</w:t>
      </w:r>
      <w:bookmarkEnd w:id="224"/>
      <w:bookmarkEnd w:id="225"/>
      <w:bookmarkEnd w:id="226"/>
      <w:bookmarkEnd w:id="227"/>
    </w:p>
    <w:p w14:paraId="6FAD7960">
      <w:pPr>
        <w:spacing w:line="300" w:lineRule="auto"/>
        <w:ind w:firstLine="482"/>
        <w:jc w:val="left"/>
        <w:rPr>
          <w:rFonts w:ascii="宋体" w:eastAsia="宋体"/>
          <w:sz w:val="24"/>
          <w:highlight w:val="none"/>
        </w:rPr>
      </w:pPr>
      <w:r>
        <w:rPr>
          <w:rFonts w:hint="eastAsia" w:ascii="宋体" w:eastAsia="宋体"/>
          <w:sz w:val="24"/>
          <w:highlight w:val="none"/>
        </w:rPr>
        <w:t>双方同意，其应并应确保其关联方以及其各自的及其关联方的高级职员、董事、雇员、代理人、代表、会计和法律顾问将其收到或获得的任何关于本协议拟议合作事项 有关的任何信息(包括该方参与投资合作文件的谈判和签署而获得的任何信息)或任 何一方的业务、财务或其他事项(包括尽职调查中获取的任何信息和资料),除非1. 已取得非披露方的事先书面同意；2.该等信息已经进入公共领域(由接受保密信息的 一方擅自泄露或向公众披露的除外);3.该等信息根据法律法规(包括中国证监会、深圳证券交易所、香港联合交易所和香港证监会的有关规定)的要求需进行披露。4. 该等信息根据国资、纪检、监察、审计等部门及其上级部门的要求需进行披露。</w:t>
      </w:r>
    </w:p>
    <w:p w14:paraId="6D16506F">
      <w:pPr>
        <w:spacing w:line="300" w:lineRule="auto"/>
        <w:ind w:firstLine="482"/>
        <w:jc w:val="left"/>
        <w:rPr>
          <w:rFonts w:ascii="宋体" w:eastAsia="宋体"/>
          <w:sz w:val="24"/>
          <w:highlight w:val="none"/>
        </w:rPr>
      </w:pPr>
    </w:p>
    <w:p w14:paraId="0C189635">
      <w:pPr>
        <w:spacing w:line="300" w:lineRule="auto"/>
        <w:ind w:firstLine="482"/>
        <w:jc w:val="left"/>
        <w:outlineLvl w:val="0"/>
        <w:rPr>
          <w:rFonts w:ascii="宋体" w:eastAsia="宋体"/>
          <w:b/>
          <w:bCs/>
          <w:sz w:val="24"/>
          <w:highlight w:val="none"/>
        </w:rPr>
      </w:pPr>
      <w:bookmarkStart w:id="228" w:name="_Toc13831"/>
      <w:bookmarkStart w:id="229" w:name="_Toc17161"/>
      <w:bookmarkStart w:id="230" w:name="_Toc8801"/>
      <w:bookmarkStart w:id="231" w:name="_Toc9566"/>
      <w:r>
        <w:rPr>
          <w:rFonts w:hint="eastAsia" w:ascii="宋体" w:eastAsia="宋体"/>
          <w:b/>
          <w:bCs/>
          <w:sz w:val="24"/>
          <w:highlight w:val="none"/>
        </w:rPr>
        <w:t>第十二章适用法律和争议解决</w:t>
      </w:r>
      <w:bookmarkEnd w:id="228"/>
      <w:bookmarkEnd w:id="229"/>
      <w:bookmarkEnd w:id="230"/>
      <w:bookmarkEnd w:id="231"/>
    </w:p>
    <w:p w14:paraId="264727AD">
      <w:pPr>
        <w:spacing w:line="300" w:lineRule="auto"/>
        <w:ind w:firstLine="482"/>
        <w:jc w:val="left"/>
        <w:outlineLvl w:val="0"/>
        <w:rPr>
          <w:rFonts w:ascii="宋体" w:eastAsia="宋体"/>
          <w:sz w:val="24"/>
          <w:highlight w:val="none"/>
        </w:rPr>
      </w:pPr>
      <w:bookmarkStart w:id="232" w:name="_Toc18397"/>
      <w:bookmarkStart w:id="233" w:name="_Toc19120"/>
      <w:bookmarkStart w:id="234" w:name="_Toc14123"/>
      <w:bookmarkStart w:id="235" w:name="_Toc3305"/>
      <w:r>
        <w:rPr>
          <w:rFonts w:hint="eastAsia" w:ascii="宋体" w:eastAsia="宋体"/>
          <w:sz w:val="24"/>
          <w:highlight w:val="none"/>
        </w:rPr>
        <w:t>第12.1条 适用法律</w:t>
      </w:r>
      <w:bookmarkEnd w:id="232"/>
      <w:bookmarkEnd w:id="233"/>
      <w:bookmarkEnd w:id="234"/>
      <w:bookmarkEnd w:id="235"/>
    </w:p>
    <w:p w14:paraId="12C9E913">
      <w:pPr>
        <w:spacing w:line="300" w:lineRule="auto"/>
        <w:ind w:firstLine="482"/>
        <w:jc w:val="left"/>
        <w:rPr>
          <w:rFonts w:ascii="宋体" w:eastAsia="宋体"/>
          <w:sz w:val="24"/>
          <w:highlight w:val="none"/>
        </w:rPr>
      </w:pPr>
      <w:r>
        <w:rPr>
          <w:rFonts w:hint="eastAsia" w:ascii="宋体" w:eastAsia="宋体"/>
          <w:sz w:val="24"/>
          <w:highlight w:val="none"/>
        </w:rPr>
        <w:t>本协议的订立、效力、解释、执行及其项下产生的任何争议的解决应适用并遵守中国 法律。</w:t>
      </w:r>
    </w:p>
    <w:p w14:paraId="66FF2D7B">
      <w:pPr>
        <w:spacing w:line="300" w:lineRule="auto"/>
        <w:ind w:firstLine="482"/>
        <w:jc w:val="left"/>
        <w:outlineLvl w:val="0"/>
        <w:rPr>
          <w:rFonts w:ascii="宋体" w:eastAsia="宋体"/>
          <w:sz w:val="24"/>
          <w:highlight w:val="none"/>
        </w:rPr>
      </w:pPr>
      <w:bookmarkStart w:id="236" w:name="_Toc12169"/>
      <w:bookmarkStart w:id="237" w:name="_Toc13384"/>
      <w:bookmarkStart w:id="238" w:name="_Toc863"/>
      <w:bookmarkStart w:id="239" w:name="_Toc19808"/>
      <w:r>
        <w:rPr>
          <w:rFonts w:hint="eastAsia" w:ascii="宋体" w:eastAsia="宋体"/>
          <w:sz w:val="24"/>
          <w:highlight w:val="none"/>
        </w:rPr>
        <w:t>第12.2条 争议解决</w:t>
      </w:r>
      <w:bookmarkEnd w:id="236"/>
      <w:bookmarkEnd w:id="237"/>
      <w:bookmarkEnd w:id="238"/>
      <w:bookmarkEnd w:id="239"/>
    </w:p>
    <w:p w14:paraId="6680AEA2">
      <w:pPr>
        <w:spacing w:line="300" w:lineRule="auto"/>
        <w:ind w:firstLine="482"/>
        <w:jc w:val="left"/>
        <w:rPr>
          <w:rFonts w:ascii="宋体" w:eastAsia="宋体"/>
          <w:sz w:val="24"/>
          <w:highlight w:val="none"/>
        </w:rPr>
      </w:pPr>
      <w:r>
        <w:rPr>
          <w:rFonts w:hint="eastAsia" w:ascii="宋体" w:eastAsia="宋体"/>
          <w:sz w:val="24"/>
          <w:highlight w:val="none"/>
        </w:rPr>
        <w:t>因本协议或其违约、终止或无效而产生的或与本协议或其违约、终止或无效有关的任何争议、争论或诉求(以下称“争议”),应由双方通过友好协商解决。提出请求的一 方应通过载有日期的通知，及时告知其他方发生了争议并说明争议的性质。如果在该 争议通知日期后的三十(30)日内无法通过协商解决，则任何一方可以向公司所在地 有管辖权的法院提起诉讼。</w:t>
      </w:r>
    </w:p>
    <w:p w14:paraId="71B86CB7">
      <w:pPr>
        <w:spacing w:line="300" w:lineRule="auto"/>
        <w:ind w:firstLine="482"/>
        <w:jc w:val="left"/>
        <w:rPr>
          <w:rFonts w:ascii="宋体" w:eastAsia="宋体"/>
          <w:sz w:val="24"/>
          <w:highlight w:val="none"/>
        </w:rPr>
      </w:pPr>
      <w:r>
        <w:rPr>
          <w:rFonts w:hint="eastAsia" w:ascii="宋体" w:eastAsia="宋体"/>
          <w:sz w:val="24"/>
          <w:highlight w:val="none"/>
        </w:rPr>
        <w:t>本条规定不应阻止任何一方申请出于任何原因可以获得的任何诉前保全或禁令救济， 包括但不限于确保随后对判决或裁定的强制执行。</w:t>
      </w:r>
    </w:p>
    <w:p w14:paraId="4B2FAFF3">
      <w:pPr>
        <w:spacing w:line="300" w:lineRule="auto"/>
        <w:ind w:firstLine="482"/>
        <w:jc w:val="left"/>
        <w:rPr>
          <w:rFonts w:ascii="宋体" w:eastAsia="宋体"/>
          <w:sz w:val="24"/>
          <w:highlight w:val="none"/>
        </w:rPr>
      </w:pPr>
    </w:p>
    <w:p w14:paraId="7F7DE6B3">
      <w:pPr>
        <w:spacing w:line="300" w:lineRule="auto"/>
        <w:ind w:firstLine="482"/>
        <w:jc w:val="left"/>
        <w:outlineLvl w:val="0"/>
        <w:rPr>
          <w:rFonts w:ascii="宋体" w:eastAsia="宋体"/>
          <w:b/>
          <w:bCs/>
          <w:sz w:val="24"/>
          <w:highlight w:val="none"/>
        </w:rPr>
      </w:pPr>
      <w:bookmarkStart w:id="240" w:name="_Toc9320"/>
      <w:bookmarkStart w:id="241" w:name="_Toc4856"/>
      <w:bookmarkStart w:id="242" w:name="_Toc26822"/>
      <w:bookmarkStart w:id="243" w:name="_Toc10034"/>
      <w:r>
        <w:rPr>
          <w:rFonts w:hint="eastAsia" w:ascii="宋体" w:eastAsia="宋体"/>
          <w:b/>
          <w:bCs/>
          <w:sz w:val="24"/>
          <w:highlight w:val="none"/>
        </w:rPr>
        <w:t>第十三章生效</w:t>
      </w:r>
      <w:bookmarkEnd w:id="240"/>
      <w:bookmarkEnd w:id="241"/>
      <w:bookmarkEnd w:id="242"/>
      <w:bookmarkEnd w:id="243"/>
    </w:p>
    <w:p w14:paraId="1C0850AC">
      <w:pPr>
        <w:spacing w:line="300" w:lineRule="auto"/>
        <w:ind w:firstLine="482"/>
        <w:jc w:val="left"/>
        <w:rPr>
          <w:rFonts w:ascii="宋体" w:eastAsia="宋体"/>
          <w:sz w:val="24"/>
          <w:highlight w:val="none"/>
        </w:rPr>
      </w:pPr>
      <w:r>
        <w:rPr>
          <w:rFonts w:hint="eastAsia" w:ascii="宋体" w:eastAsia="宋体"/>
          <w:sz w:val="24"/>
          <w:highlight w:val="none"/>
        </w:rPr>
        <w:t>本协议经双方签署即生效，双方即应秉持诚实信用的态度，积极促成本协议的履行。</w:t>
      </w:r>
    </w:p>
    <w:p w14:paraId="060BA2D7">
      <w:pPr>
        <w:spacing w:line="300" w:lineRule="auto"/>
        <w:ind w:firstLine="482"/>
        <w:jc w:val="left"/>
        <w:rPr>
          <w:rFonts w:ascii="宋体" w:eastAsia="宋体"/>
          <w:b/>
          <w:bCs/>
          <w:sz w:val="24"/>
          <w:highlight w:val="none"/>
        </w:rPr>
      </w:pPr>
    </w:p>
    <w:p w14:paraId="0772C91B">
      <w:pPr>
        <w:spacing w:line="300" w:lineRule="auto"/>
        <w:ind w:firstLine="482"/>
        <w:jc w:val="left"/>
        <w:outlineLvl w:val="0"/>
        <w:rPr>
          <w:rFonts w:ascii="宋体" w:eastAsia="宋体"/>
          <w:b/>
          <w:bCs/>
          <w:sz w:val="24"/>
          <w:highlight w:val="none"/>
        </w:rPr>
      </w:pPr>
      <w:bookmarkStart w:id="244" w:name="_Toc24971"/>
      <w:bookmarkStart w:id="245" w:name="_Toc29199"/>
      <w:bookmarkStart w:id="246" w:name="_Toc7026"/>
      <w:bookmarkStart w:id="247" w:name="_Toc31219"/>
      <w:r>
        <w:rPr>
          <w:rFonts w:hint="eastAsia" w:ascii="宋体" w:eastAsia="宋体"/>
          <w:b/>
          <w:bCs/>
          <w:sz w:val="24"/>
          <w:highlight w:val="none"/>
        </w:rPr>
        <w:t>第十四章一般规定</w:t>
      </w:r>
      <w:bookmarkEnd w:id="244"/>
      <w:bookmarkEnd w:id="245"/>
      <w:bookmarkEnd w:id="246"/>
      <w:bookmarkEnd w:id="247"/>
    </w:p>
    <w:p w14:paraId="5999D0B9">
      <w:pPr>
        <w:spacing w:line="300" w:lineRule="auto"/>
        <w:ind w:firstLine="482"/>
        <w:jc w:val="left"/>
        <w:outlineLvl w:val="0"/>
        <w:rPr>
          <w:rFonts w:ascii="宋体" w:eastAsia="宋体"/>
          <w:sz w:val="24"/>
          <w:highlight w:val="none"/>
        </w:rPr>
      </w:pPr>
      <w:bookmarkStart w:id="248" w:name="_Toc21174"/>
      <w:bookmarkStart w:id="249" w:name="_Toc27536"/>
      <w:bookmarkStart w:id="250" w:name="_Toc29124"/>
      <w:bookmarkStart w:id="251" w:name="_Toc9916"/>
      <w:r>
        <w:rPr>
          <w:rFonts w:hint="eastAsia" w:ascii="宋体" w:eastAsia="宋体"/>
          <w:sz w:val="24"/>
          <w:highlight w:val="none"/>
        </w:rPr>
        <w:t>第14.1条通知</w:t>
      </w:r>
      <w:bookmarkEnd w:id="248"/>
      <w:bookmarkEnd w:id="249"/>
      <w:bookmarkEnd w:id="250"/>
      <w:bookmarkEnd w:id="251"/>
    </w:p>
    <w:p w14:paraId="7CE920B8">
      <w:pPr>
        <w:spacing w:line="300" w:lineRule="auto"/>
        <w:ind w:firstLine="482"/>
        <w:jc w:val="left"/>
        <w:rPr>
          <w:rFonts w:ascii="宋体" w:eastAsia="宋体"/>
          <w:sz w:val="24"/>
          <w:highlight w:val="none"/>
        </w:rPr>
      </w:pPr>
      <w:r>
        <w:rPr>
          <w:rFonts w:hint="eastAsia" w:ascii="宋体" w:eastAsia="宋体"/>
          <w:sz w:val="24"/>
          <w:highlight w:val="none"/>
        </w:rPr>
        <w:t>本协议项下要求或发出的所有通知和其他通信应通过专人递送、挂号邮寄、邮资预付 或商业快递服务的方式发到该方下列地址。每一通知还应再以电子邮件送达。该等通 知视为有效送达的日期按如下方式确定。通知如果是以专人递送、快递服务或挂号邮 寄、邮资预付发出的，则以于设定为通知的地址在发送或拒收之日为有效送达日。双 方的联系方式如下：</w:t>
      </w:r>
    </w:p>
    <w:p w14:paraId="1699390B">
      <w:pPr>
        <w:spacing w:line="300" w:lineRule="auto"/>
        <w:ind w:firstLine="482"/>
        <w:jc w:val="left"/>
        <w:outlineLvl w:val="1"/>
        <w:rPr>
          <w:rFonts w:ascii="宋体" w:eastAsia="宋体"/>
          <w:sz w:val="24"/>
          <w:highlight w:val="none"/>
        </w:rPr>
      </w:pPr>
      <w:r>
        <w:rPr>
          <w:rFonts w:hint="eastAsia" w:ascii="宋体" w:eastAsia="宋体"/>
          <w:sz w:val="24"/>
          <w:highlight w:val="none"/>
        </w:rPr>
        <w:t>1. 若发给甲方：</w:t>
      </w:r>
    </w:p>
    <w:p w14:paraId="0F2E1AC3">
      <w:pPr>
        <w:spacing w:line="300" w:lineRule="auto"/>
        <w:ind w:firstLine="482"/>
        <w:jc w:val="left"/>
        <w:rPr>
          <w:rFonts w:ascii="宋体" w:eastAsia="宋体"/>
          <w:sz w:val="24"/>
          <w:highlight w:val="none"/>
        </w:rPr>
      </w:pPr>
      <w:r>
        <w:rPr>
          <w:rFonts w:hint="eastAsia" w:ascii="宋体" w:eastAsia="宋体"/>
          <w:sz w:val="24"/>
          <w:highlight w:val="none"/>
        </w:rPr>
        <w:t>地址：</w:t>
      </w:r>
    </w:p>
    <w:p w14:paraId="76C5746B">
      <w:pPr>
        <w:spacing w:line="300" w:lineRule="auto"/>
        <w:ind w:firstLine="482"/>
        <w:jc w:val="left"/>
        <w:rPr>
          <w:rFonts w:ascii="宋体" w:eastAsia="宋体"/>
          <w:sz w:val="24"/>
          <w:highlight w:val="none"/>
        </w:rPr>
      </w:pPr>
      <w:r>
        <w:rPr>
          <w:rFonts w:hint="eastAsia" w:ascii="宋体" w:eastAsia="宋体"/>
          <w:sz w:val="24"/>
          <w:highlight w:val="none"/>
        </w:rPr>
        <w:t>电话：</w:t>
      </w:r>
    </w:p>
    <w:p w14:paraId="101014F3">
      <w:pPr>
        <w:spacing w:line="300" w:lineRule="auto"/>
        <w:ind w:firstLine="482"/>
        <w:jc w:val="left"/>
        <w:rPr>
          <w:rFonts w:ascii="宋体" w:eastAsia="宋体"/>
          <w:sz w:val="24"/>
          <w:highlight w:val="none"/>
        </w:rPr>
      </w:pPr>
      <w:r>
        <w:rPr>
          <w:rFonts w:hint="eastAsia" w:ascii="宋体" w:eastAsia="宋体"/>
          <w:sz w:val="24"/>
          <w:highlight w:val="none"/>
        </w:rPr>
        <w:t>电子邮件：</w:t>
      </w:r>
    </w:p>
    <w:p w14:paraId="54006D4B">
      <w:pPr>
        <w:spacing w:line="300" w:lineRule="auto"/>
        <w:ind w:firstLine="482"/>
        <w:jc w:val="left"/>
        <w:rPr>
          <w:rFonts w:ascii="宋体" w:eastAsia="宋体"/>
          <w:sz w:val="24"/>
          <w:highlight w:val="none"/>
        </w:rPr>
      </w:pPr>
      <w:r>
        <w:rPr>
          <w:rFonts w:hint="eastAsia" w:ascii="宋体" w:eastAsia="宋体"/>
          <w:sz w:val="24"/>
          <w:highlight w:val="none"/>
        </w:rPr>
        <w:t>联系人：</w:t>
      </w:r>
    </w:p>
    <w:p w14:paraId="2F6DA6DF">
      <w:pPr>
        <w:spacing w:line="300" w:lineRule="auto"/>
        <w:ind w:firstLine="482"/>
        <w:jc w:val="left"/>
        <w:outlineLvl w:val="1"/>
        <w:rPr>
          <w:rFonts w:ascii="宋体" w:eastAsia="宋体"/>
          <w:sz w:val="24"/>
          <w:highlight w:val="none"/>
        </w:rPr>
      </w:pPr>
      <w:r>
        <w:rPr>
          <w:rFonts w:hint="eastAsia" w:ascii="宋体" w:eastAsia="宋体"/>
          <w:sz w:val="24"/>
          <w:highlight w:val="none"/>
        </w:rPr>
        <w:t>2</w:t>
      </w:r>
      <w:r>
        <w:rPr>
          <w:rFonts w:ascii="宋体" w:eastAsia="宋体"/>
          <w:sz w:val="24"/>
          <w:highlight w:val="none"/>
        </w:rPr>
        <w:t>.</w:t>
      </w:r>
      <w:r>
        <w:rPr>
          <w:rFonts w:hint="eastAsia" w:ascii="宋体" w:eastAsia="宋体"/>
          <w:sz w:val="24"/>
          <w:highlight w:val="none"/>
        </w:rPr>
        <w:t>若发给乙方：</w:t>
      </w:r>
    </w:p>
    <w:p w14:paraId="1CA77D93">
      <w:pPr>
        <w:spacing w:line="300" w:lineRule="auto"/>
        <w:ind w:firstLine="482"/>
        <w:jc w:val="left"/>
        <w:rPr>
          <w:rFonts w:ascii="宋体" w:eastAsia="宋体"/>
          <w:sz w:val="24"/>
          <w:highlight w:val="none"/>
        </w:rPr>
      </w:pPr>
      <w:r>
        <w:rPr>
          <w:rFonts w:hint="eastAsia" w:ascii="宋体" w:eastAsia="宋体"/>
          <w:sz w:val="24"/>
          <w:highlight w:val="none"/>
        </w:rPr>
        <w:t>地址：</w:t>
      </w:r>
    </w:p>
    <w:p w14:paraId="60892B98">
      <w:pPr>
        <w:spacing w:line="300" w:lineRule="auto"/>
        <w:ind w:firstLine="482"/>
        <w:jc w:val="left"/>
        <w:rPr>
          <w:rFonts w:ascii="宋体" w:eastAsia="宋体"/>
          <w:sz w:val="24"/>
          <w:highlight w:val="none"/>
        </w:rPr>
      </w:pPr>
      <w:r>
        <w:rPr>
          <w:rFonts w:hint="eastAsia" w:ascii="宋体" w:eastAsia="宋体"/>
          <w:sz w:val="24"/>
          <w:highlight w:val="none"/>
        </w:rPr>
        <w:t>电话：</w:t>
      </w:r>
    </w:p>
    <w:p w14:paraId="095A5318">
      <w:pPr>
        <w:spacing w:line="300" w:lineRule="auto"/>
        <w:ind w:firstLine="482"/>
        <w:jc w:val="left"/>
        <w:rPr>
          <w:rFonts w:ascii="宋体" w:eastAsia="宋体"/>
          <w:sz w:val="24"/>
          <w:highlight w:val="none"/>
        </w:rPr>
      </w:pPr>
      <w:r>
        <w:rPr>
          <w:rFonts w:hint="eastAsia" w:ascii="宋体" w:eastAsia="宋体"/>
          <w:sz w:val="24"/>
          <w:highlight w:val="none"/>
        </w:rPr>
        <w:t>电子邮件：</w:t>
      </w:r>
    </w:p>
    <w:p w14:paraId="69327045">
      <w:pPr>
        <w:spacing w:line="300" w:lineRule="auto"/>
        <w:ind w:firstLine="482"/>
        <w:jc w:val="left"/>
        <w:rPr>
          <w:rFonts w:ascii="宋体" w:eastAsia="宋体"/>
          <w:sz w:val="24"/>
          <w:highlight w:val="none"/>
        </w:rPr>
      </w:pPr>
      <w:r>
        <w:rPr>
          <w:rFonts w:hint="eastAsia" w:ascii="宋体" w:eastAsia="宋体"/>
          <w:sz w:val="24"/>
          <w:highlight w:val="none"/>
        </w:rPr>
        <w:t>联系人：</w:t>
      </w:r>
    </w:p>
    <w:p w14:paraId="6029A22E">
      <w:pPr>
        <w:spacing w:line="300" w:lineRule="auto"/>
        <w:ind w:firstLine="482"/>
        <w:jc w:val="left"/>
        <w:outlineLvl w:val="0"/>
        <w:rPr>
          <w:rFonts w:ascii="宋体" w:eastAsia="宋体"/>
          <w:sz w:val="24"/>
          <w:highlight w:val="none"/>
        </w:rPr>
      </w:pPr>
      <w:bookmarkStart w:id="252" w:name="_Toc2008"/>
      <w:bookmarkStart w:id="253" w:name="_Toc30978"/>
      <w:bookmarkStart w:id="254" w:name="_Toc20994"/>
      <w:bookmarkStart w:id="255" w:name="_Toc8224"/>
      <w:r>
        <w:rPr>
          <w:rFonts w:hint="eastAsia" w:ascii="宋体" w:eastAsia="宋体"/>
          <w:sz w:val="24"/>
          <w:highlight w:val="none"/>
        </w:rPr>
        <w:t>第14.2条公告</w:t>
      </w:r>
      <w:bookmarkEnd w:id="252"/>
      <w:bookmarkEnd w:id="253"/>
      <w:bookmarkEnd w:id="254"/>
      <w:bookmarkEnd w:id="255"/>
    </w:p>
    <w:p w14:paraId="383F9661">
      <w:pPr>
        <w:spacing w:line="300" w:lineRule="auto"/>
        <w:ind w:firstLine="482"/>
        <w:jc w:val="left"/>
        <w:rPr>
          <w:rFonts w:ascii="宋体" w:eastAsia="宋体"/>
          <w:sz w:val="24"/>
          <w:highlight w:val="none"/>
        </w:rPr>
      </w:pPr>
      <w:r>
        <w:rPr>
          <w:rFonts w:hint="eastAsia" w:ascii="宋体" w:eastAsia="宋体"/>
          <w:sz w:val="24"/>
          <w:highlight w:val="none"/>
        </w:rPr>
        <w:t>未经另一方事先书面同意，本协议任何一方均不得、且不得促使他人发布与本协议或 本协议拟议的合作有关的新闻稿或作出相关公告，亦不得以其他方式与任何新闻媒体 进行交流。任一方在发布新闻稿或作出公告的时间及内容方面应相互合作。</w:t>
      </w:r>
    </w:p>
    <w:p w14:paraId="7A78CEA4">
      <w:pPr>
        <w:spacing w:line="300" w:lineRule="auto"/>
        <w:ind w:firstLine="482"/>
        <w:jc w:val="left"/>
        <w:outlineLvl w:val="0"/>
        <w:rPr>
          <w:rFonts w:ascii="宋体" w:eastAsia="宋体"/>
          <w:sz w:val="24"/>
          <w:highlight w:val="none"/>
        </w:rPr>
      </w:pPr>
      <w:bookmarkStart w:id="256" w:name="_Toc22646"/>
      <w:bookmarkStart w:id="257" w:name="_Toc4777"/>
      <w:bookmarkStart w:id="258" w:name="_Toc26616"/>
      <w:r>
        <w:rPr>
          <w:rFonts w:hint="eastAsia" w:ascii="宋体" w:eastAsia="宋体"/>
          <w:sz w:val="24"/>
          <w:highlight w:val="none"/>
        </w:rPr>
        <w:t>第14.3条可分割性</w:t>
      </w:r>
      <w:bookmarkEnd w:id="256"/>
      <w:bookmarkEnd w:id="257"/>
      <w:bookmarkEnd w:id="258"/>
    </w:p>
    <w:p w14:paraId="079C6DC1">
      <w:pPr>
        <w:spacing w:line="300" w:lineRule="auto"/>
        <w:ind w:firstLine="482"/>
        <w:jc w:val="left"/>
        <w:rPr>
          <w:rFonts w:ascii="宋体" w:eastAsia="宋体"/>
          <w:sz w:val="24"/>
          <w:highlight w:val="none"/>
        </w:rPr>
      </w:pPr>
      <w:r>
        <w:rPr>
          <w:rFonts w:hint="eastAsia" w:ascii="宋体" w:eastAsia="宋体"/>
          <w:sz w:val="24"/>
          <w:highlight w:val="none"/>
        </w:rPr>
        <w:t>若根据任何法律法规或公共政策，本协议的任何条款或其他规定被认定无效、不合法 或不可执行，则只要本协议拟议合作的经济或法律实质未受到对任何一方任何形式的 严重不利影响，本协议的所有其他条款和规定仍应保持其全部效力。在任何条款或其 他规定被认定为无效、不合法或不可执行时，本协议双方应进行诚信谈判，对本协议进行修订，按照可接受的方式尽可能近似地实现双方的原有意图，以尽量最大限度地 按原先的筹划完成本协议拟议之合作。</w:t>
      </w:r>
    </w:p>
    <w:p w14:paraId="172B487A">
      <w:pPr>
        <w:spacing w:line="300" w:lineRule="auto"/>
        <w:ind w:firstLine="482"/>
        <w:jc w:val="left"/>
        <w:outlineLvl w:val="0"/>
        <w:rPr>
          <w:rFonts w:ascii="宋体" w:eastAsia="宋体"/>
          <w:sz w:val="24"/>
          <w:highlight w:val="none"/>
        </w:rPr>
      </w:pPr>
      <w:bookmarkStart w:id="259" w:name="_Toc30397"/>
      <w:bookmarkStart w:id="260" w:name="_Toc17699"/>
      <w:bookmarkStart w:id="261" w:name="_Toc25381"/>
      <w:r>
        <w:rPr>
          <w:rFonts w:hint="eastAsia" w:ascii="宋体" w:eastAsia="宋体"/>
          <w:sz w:val="24"/>
          <w:highlight w:val="none"/>
        </w:rPr>
        <w:t>第14.4条完整协议</w:t>
      </w:r>
      <w:bookmarkEnd w:id="259"/>
      <w:bookmarkEnd w:id="260"/>
      <w:bookmarkEnd w:id="261"/>
    </w:p>
    <w:p w14:paraId="72882F1C">
      <w:pPr>
        <w:spacing w:line="300" w:lineRule="auto"/>
        <w:ind w:firstLine="482"/>
        <w:jc w:val="left"/>
        <w:rPr>
          <w:rFonts w:ascii="宋体" w:eastAsia="宋体"/>
          <w:sz w:val="24"/>
          <w:highlight w:val="none"/>
        </w:rPr>
      </w:pPr>
      <w:r>
        <w:rPr>
          <w:rFonts w:hint="eastAsia" w:ascii="宋体" w:eastAsia="宋体"/>
          <w:sz w:val="24"/>
          <w:highlight w:val="none"/>
        </w:rPr>
        <w:t>本协议规定了双方就本协议所预期合作达成的全部谅解和协议，双方在签署日之前就 该等事项达成的书面及口头协议和承诺，如与本协议有冲突的，应以本协议为准。</w:t>
      </w:r>
    </w:p>
    <w:p w14:paraId="6D842740">
      <w:pPr>
        <w:spacing w:line="300" w:lineRule="auto"/>
        <w:ind w:firstLine="482"/>
        <w:jc w:val="left"/>
        <w:rPr>
          <w:rFonts w:ascii="宋体" w:eastAsia="宋体"/>
          <w:sz w:val="24"/>
          <w:highlight w:val="none"/>
        </w:rPr>
      </w:pPr>
      <w:bookmarkStart w:id="262" w:name="_Toc23783"/>
      <w:r>
        <w:rPr>
          <w:rFonts w:hint="eastAsia" w:ascii="宋体" w:eastAsia="宋体"/>
          <w:sz w:val="24"/>
          <w:highlight w:val="none"/>
        </w:rPr>
        <w:t>第14.5条弃权</w:t>
      </w:r>
      <w:bookmarkEnd w:id="262"/>
    </w:p>
    <w:p w14:paraId="01E2B99D">
      <w:pPr>
        <w:spacing w:line="300" w:lineRule="auto"/>
        <w:ind w:firstLine="482"/>
        <w:jc w:val="left"/>
        <w:rPr>
          <w:rFonts w:ascii="宋体" w:eastAsia="宋体"/>
          <w:sz w:val="24"/>
          <w:highlight w:val="none"/>
        </w:rPr>
      </w:pPr>
      <w:r>
        <w:rPr>
          <w:rFonts w:hint="eastAsia" w:ascii="宋体" w:eastAsia="宋体"/>
          <w:sz w:val="24"/>
          <w:highlight w:val="none"/>
        </w:rPr>
        <w:t>本协议任何一方可以1.延长任何其他方履行任何义务或采取任何行动的时间，2.放弃 追究任何其他方在本协议或任何其他投资合作文件中作出的声明和保证之任何不准确 之处，3.放弃要求任何其他方遵守本协议所包含的任何约定或须遵守的条件。任何该 等延期或放弃仅在受约束的一方签署书面文件说明该延期或放弃后有效。任何一方对 任何违反本协议条款行为的弃权，不应作为或解释为对该违约行为的进一步弃权或继 续弃权，或对任何其他违约或后续违约的弃权。除本协议中另有规定外，任何一方未 能行使或延迟行使本协议项下的、或以其他方式依照法律法规可以行使的任何权利、权力或救济，不应作为对该等权利、权力或救济的放弃；该方单一或部分行使该等权 利、权力或救济，不应排除对该等权利、权力或救济的任何其他或进一步行使，或对 任何其他权利、权力或救济的行使。</w:t>
      </w:r>
    </w:p>
    <w:p w14:paraId="71F77D25">
      <w:pPr>
        <w:spacing w:line="300" w:lineRule="auto"/>
        <w:ind w:firstLine="482"/>
        <w:jc w:val="left"/>
        <w:rPr>
          <w:rFonts w:ascii="宋体" w:eastAsia="宋体"/>
          <w:sz w:val="24"/>
          <w:highlight w:val="none"/>
        </w:rPr>
      </w:pPr>
      <w:bookmarkStart w:id="263" w:name="_Toc24500"/>
      <w:r>
        <w:rPr>
          <w:rFonts w:hint="eastAsia" w:ascii="宋体" w:eastAsia="宋体"/>
          <w:sz w:val="24"/>
          <w:highlight w:val="none"/>
        </w:rPr>
        <w:t>第14.6条修订</w:t>
      </w:r>
      <w:bookmarkEnd w:id="263"/>
    </w:p>
    <w:p w14:paraId="3E88EEBA">
      <w:pPr>
        <w:spacing w:line="300" w:lineRule="auto"/>
        <w:ind w:firstLine="482"/>
        <w:jc w:val="left"/>
        <w:rPr>
          <w:rFonts w:ascii="宋体" w:eastAsia="宋体"/>
          <w:sz w:val="24"/>
          <w:highlight w:val="none"/>
        </w:rPr>
      </w:pPr>
      <w:r>
        <w:rPr>
          <w:rFonts w:hint="eastAsia" w:ascii="宋体" w:eastAsia="宋体"/>
          <w:sz w:val="24"/>
          <w:highlight w:val="none"/>
        </w:rPr>
        <w:t>除非由双方签署书面文件，否则不得对本协议进行修改或修订。</w:t>
      </w:r>
    </w:p>
    <w:p w14:paraId="263B30E9">
      <w:pPr>
        <w:spacing w:line="300" w:lineRule="auto"/>
        <w:ind w:firstLine="482"/>
        <w:jc w:val="left"/>
        <w:rPr>
          <w:rFonts w:ascii="宋体" w:eastAsia="宋体"/>
          <w:sz w:val="24"/>
          <w:highlight w:val="none"/>
        </w:rPr>
      </w:pPr>
      <w:bookmarkStart w:id="264" w:name="_Toc12786"/>
      <w:r>
        <w:rPr>
          <w:rFonts w:hint="eastAsia" w:ascii="宋体" w:eastAsia="宋体"/>
          <w:sz w:val="24"/>
          <w:highlight w:val="none"/>
        </w:rPr>
        <w:t>第14.7条转让和继承</w:t>
      </w:r>
      <w:bookmarkEnd w:id="264"/>
    </w:p>
    <w:p w14:paraId="47D01E3B">
      <w:pPr>
        <w:spacing w:line="300" w:lineRule="auto"/>
        <w:ind w:firstLine="482"/>
        <w:jc w:val="left"/>
        <w:rPr>
          <w:rFonts w:ascii="宋体" w:eastAsia="宋体"/>
          <w:sz w:val="24"/>
          <w:highlight w:val="none"/>
        </w:rPr>
      </w:pPr>
      <w:r>
        <w:rPr>
          <w:rFonts w:hint="eastAsia" w:ascii="宋体" w:eastAsia="宋体"/>
          <w:sz w:val="24"/>
          <w:highlight w:val="none"/>
        </w:rPr>
        <w:t>除非本协议另有明确约定或经对方另行书面同意，任何一方不得因任何原因转让本协 议或转让其在本协议项下的任何权利和义务。本协议应对本协议双方及其各自的继承 人和受让人具有约束力，并为本协议双方及其各自的继承人和受让人的利益而存在。</w:t>
      </w:r>
    </w:p>
    <w:p w14:paraId="16249122">
      <w:pPr>
        <w:spacing w:line="300" w:lineRule="auto"/>
        <w:ind w:firstLine="482"/>
        <w:jc w:val="left"/>
        <w:rPr>
          <w:rFonts w:ascii="宋体" w:eastAsia="宋体"/>
          <w:sz w:val="24"/>
          <w:highlight w:val="none"/>
        </w:rPr>
      </w:pPr>
      <w:bookmarkStart w:id="265" w:name="_Toc16508"/>
      <w:r>
        <w:rPr>
          <w:rFonts w:hint="eastAsia" w:ascii="宋体" w:eastAsia="宋体"/>
          <w:sz w:val="24"/>
          <w:highlight w:val="none"/>
        </w:rPr>
        <w:t>第14.8条无第三方受益者</w:t>
      </w:r>
      <w:bookmarkEnd w:id="265"/>
    </w:p>
    <w:p w14:paraId="13E074B6">
      <w:pPr>
        <w:spacing w:line="300" w:lineRule="auto"/>
        <w:ind w:firstLine="482"/>
        <w:jc w:val="left"/>
        <w:rPr>
          <w:rFonts w:ascii="宋体" w:eastAsia="宋体"/>
          <w:sz w:val="24"/>
          <w:highlight w:val="none"/>
        </w:rPr>
      </w:pPr>
      <w:r>
        <w:rPr>
          <w:rFonts w:hint="eastAsia" w:ascii="宋体" w:eastAsia="宋体"/>
          <w:sz w:val="24"/>
          <w:highlight w:val="none"/>
        </w:rPr>
        <w:t>本协议对本协议双方及其经允许的受让人均具约束力，其利益仅及于本协议双方及其 经允许的受让人。本协议的任何规定，无论是明示的还是默示的，均无意且不应赋予 任何其他主体任何性质的权利、利益或补救。</w:t>
      </w:r>
    </w:p>
    <w:p w14:paraId="24EA15CD">
      <w:pPr>
        <w:spacing w:line="300" w:lineRule="auto"/>
        <w:ind w:firstLine="482"/>
        <w:jc w:val="left"/>
        <w:rPr>
          <w:rFonts w:ascii="宋体" w:eastAsia="宋体"/>
          <w:sz w:val="24"/>
          <w:highlight w:val="none"/>
        </w:rPr>
      </w:pPr>
      <w:bookmarkStart w:id="266" w:name="_Toc1406"/>
      <w:r>
        <w:rPr>
          <w:rFonts w:hint="eastAsia" w:ascii="宋体" w:eastAsia="宋体"/>
          <w:sz w:val="24"/>
          <w:highlight w:val="none"/>
        </w:rPr>
        <w:t>第14.9条语言</w:t>
      </w:r>
      <w:bookmarkEnd w:id="266"/>
    </w:p>
    <w:p w14:paraId="43532F57">
      <w:pPr>
        <w:spacing w:line="300" w:lineRule="auto"/>
        <w:ind w:firstLine="482"/>
        <w:jc w:val="left"/>
        <w:rPr>
          <w:rFonts w:ascii="宋体" w:eastAsia="宋体"/>
          <w:sz w:val="24"/>
          <w:highlight w:val="none"/>
        </w:rPr>
      </w:pPr>
      <w:r>
        <w:rPr>
          <w:rFonts w:hint="eastAsia" w:ascii="宋体" w:eastAsia="宋体"/>
          <w:sz w:val="24"/>
          <w:highlight w:val="none"/>
        </w:rPr>
        <w:t>本协议以中文签署。</w:t>
      </w:r>
    </w:p>
    <w:p w14:paraId="694BFC96">
      <w:pPr>
        <w:spacing w:line="300" w:lineRule="auto"/>
        <w:ind w:firstLine="482"/>
        <w:jc w:val="left"/>
        <w:rPr>
          <w:rFonts w:ascii="宋体" w:eastAsia="宋体"/>
          <w:sz w:val="24"/>
          <w:highlight w:val="none"/>
        </w:rPr>
      </w:pPr>
      <w:bookmarkStart w:id="267" w:name="_Toc9032"/>
      <w:r>
        <w:rPr>
          <w:rFonts w:hint="eastAsia" w:ascii="宋体" w:eastAsia="宋体"/>
          <w:sz w:val="24"/>
          <w:highlight w:val="none"/>
        </w:rPr>
        <w:t>第14.10条文本份数</w:t>
      </w:r>
      <w:bookmarkEnd w:id="267"/>
    </w:p>
    <w:p w14:paraId="2325FA7C">
      <w:pPr>
        <w:spacing w:line="300" w:lineRule="auto"/>
        <w:ind w:firstLine="482"/>
        <w:jc w:val="left"/>
        <w:rPr>
          <w:rFonts w:ascii="宋体" w:eastAsia="宋体"/>
          <w:sz w:val="24"/>
          <w:highlight w:val="none"/>
        </w:rPr>
      </w:pPr>
      <w:r>
        <w:rPr>
          <w:rFonts w:hint="eastAsia" w:ascii="宋体" w:eastAsia="宋体"/>
          <w:sz w:val="24"/>
          <w:highlight w:val="none"/>
        </w:rPr>
        <w:t>本协议一式*份，甲方、乙方各执*份，均具有同等法律效力。</w:t>
      </w:r>
    </w:p>
    <w:p w14:paraId="0307216C">
      <w:pPr>
        <w:spacing w:line="300" w:lineRule="auto"/>
        <w:ind w:firstLine="482"/>
        <w:jc w:val="left"/>
        <w:rPr>
          <w:rFonts w:ascii="宋体" w:eastAsia="宋体"/>
          <w:sz w:val="24"/>
          <w:highlight w:val="none"/>
        </w:rPr>
      </w:pPr>
    </w:p>
    <w:p w14:paraId="4399CC74">
      <w:pPr>
        <w:spacing w:line="300" w:lineRule="auto"/>
        <w:ind w:firstLine="482"/>
        <w:jc w:val="left"/>
        <w:rPr>
          <w:rFonts w:ascii="宋体" w:eastAsia="宋体"/>
          <w:sz w:val="24"/>
          <w:highlight w:val="none"/>
        </w:rPr>
      </w:pPr>
      <w:r>
        <w:rPr>
          <w:rFonts w:hint="eastAsia" w:ascii="宋体" w:eastAsia="宋体"/>
          <w:sz w:val="24"/>
          <w:highlight w:val="none"/>
        </w:rPr>
        <w:t>[本页以下无正文，为本协议签字页]</w:t>
      </w:r>
    </w:p>
    <w:p w14:paraId="7E455C06">
      <w:pPr>
        <w:spacing w:line="300" w:lineRule="auto"/>
        <w:ind w:firstLine="482"/>
        <w:jc w:val="left"/>
        <w:rPr>
          <w:rFonts w:ascii="宋体" w:eastAsia="宋体"/>
          <w:sz w:val="24"/>
          <w:highlight w:val="none"/>
        </w:rPr>
      </w:pPr>
    </w:p>
    <w:p w14:paraId="45E859E0">
      <w:pPr>
        <w:spacing w:line="300" w:lineRule="auto"/>
        <w:ind w:firstLine="482"/>
        <w:jc w:val="left"/>
        <w:rPr>
          <w:rFonts w:ascii="宋体" w:eastAsia="宋体"/>
          <w:sz w:val="24"/>
          <w:highlight w:val="none"/>
        </w:rPr>
      </w:pPr>
      <w:r>
        <w:rPr>
          <w:rFonts w:hint="eastAsia" w:ascii="宋体" w:eastAsia="宋体"/>
          <w:sz w:val="24"/>
          <w:highlight w:val="none"/>
        </w:rPr>
        <w:br w:type="page"/>
      </w:r>
    </w:p>
    <w:p w14:paraId="7DCCBE6A">
      <w:pPr>
        <w:spacing w:line="300" w:lineRule="auto"/>
        <w:ind w:firstLine="482"/>
        <w:jc w:val="left"/>
        <w:rPr>
          <w:rFonts w:ascii="宋体" w:eastAsia="宋体"/>
          <w:sz w:val="24"/>
          <w:highlight w:val="none"/>
        </w:rPr>
      </w:pPr>
      <w:r>
        <w:rPr>
          <w:rFonts w:hint="eastAsia" w:ascii="宋体" w:eastAsia="宋体"/>
          <w:sz w:val="24"/>
          <w:highlight w:val="none"/>
        </w:rPr>
        <w:t>本页为签字页。</w:t>
      </w:r>
    </w:p>
    <w:p w14:paraId="32B1D2C2">
      <w:pPr>
        <w:spacing w:line="300" w:lineRule="auto"/>
        <w:ind w:firstLine="482"/>
        <w:jc w:val="left"/>
        <w:rPr>
          <w:rFonts w:ascii="宋体" w:eastAsia="宋体"/>
          <w:sz w:val="24"/>
          <w:highlight w:val="none"/>
        </w:rPr>
      </w:pPr>
    </w:p>
    <w:p w14:paraId="6AEF25D4">
      <w:pPr>
        <w:spacing w:line="300" w:lineRule="auto"/>
        <w:ind w:firstLine="482"/>
        <w:jc w:val="left"/>
        <w:rPr>
          <w:rFonts w:ascii="宋体" w:eastAsia="宋体"/>
          <w:sz w:val="24"/>
          <w:highlight w:val="none"/>
        </w:rPr>
      </w:pPr>
      <w:r>
        <w:rPr>
          <w:rFonts w:hint="eastAsia" w:ascii="宋体" w:eastAsia="宋体"/>
          <w:sz w:val="24"/>
          <w:highlight w:val="none"/>
        </w:rPr>
        <w:t>甲方：广州白云文化投资有限公司</w:t>
      </w:r>
    </w:p>
    <w:p w14:paraId="738B2F8C">
      <w:pPr>
        <w:spacing w:line="300" w:lineRule="auto"/>
        <w:ind w:firstLine="482"/>
        <w:jc w:val="left"/>
        <w:rPr>
          <w:rFonts w:ascii="宋体" w:eastAsia="宋体"/>
          <w:sz w:val="24"/>
          <w:highlight w:val="none"/>
        </w:rPr>
      </w:pPr>
      <w:r>
        <w:rPr>
          <w:rFonts w:hint="eastAsia" w:ascii="宋体" w:eastAsia="宋体"/>
          <w:sz w:val="24"/>
          <w:highlight w:val="none"/>
        </w:rPr>
        <w:t>法人代表（签章）：</w:t>
      </w:r>
    </w:p>
    <w:p w14:paraId="3DABFFAD">
      <w:pPr>
        <w:spacing w:line="300" w:lineRule="auto"/>
        <w:ind w:firstLine="482"/>
        <w:jc w:val="left"/>
        <w:rPr>
          <w:rFonts w:ascii="宋体" w:eastAsia="宋体"/>
          <w:sz w:val="24"/>
          <w:highlight w:val="none"/>
        </w:rPr>
      </w:pPr>
      <w:r>
        <w:rPr>
          <w:rFonts w:hint="eastAsia" w:ascii="宋体" w:eastAsia="宋体"/>
          <w:sz w:val="24"/>
          <w:highlight w:val="none"/>
        </w:rPr>
        <w:t>地址：</w:t>
      </w:r>
    </w:p>
    <w:p w14:paraId="0A7C6665">
      <w:pPr>
        <w:spacing w:line="300" w:lineRule="auto"/>
        <w:ind w:firstLine="482"/>
        <w:jc w:val="left"/>
        <w:rPr>
          <w:rFonts w:ascii="宋体" w:eastAsia="宋体"/>
          <w:sz w:val="24"/>
          <w:highlight w:val="none"/>
        </w:rPr>
      </w:pPr>
      <w:r>
        <w:rPr>
          <w:rFonts w:hint="eastAsia" w:ascii="宋体" w:eastAsia="宋体"/>
          <w:sz w:val="24"/>
          <w:highlight w:val="none"/>
        </w:rPr>
        <w:t>联络人：</w:t>
      </w:r>
    </w:p>
    <w:p w14:paraId="6170DC4C">
      <w:pPr>
        <w:spacing w:line="300" w:lineRule="auto"/>
        <w:ind w:firstLine="482"/>
        <w:jc w:val="left"/>
        <w:rPr>
          <w:rFonts w:ascii="宋体" w:eastAsia="宋体"/>
          <w:sz w:val="24"/>
          <w:highlight w:val="none"/>
        </w:rPr>
      </w:pPr>
      <w:r>
        <w:rPr>
          <w:rFonts w:hint="eastAsia" w:ascii="宋体" w:eastAsia="宋体"/>
          <w:sz w:val="24"/>
          <w:highlight w:val="none"/>
        </w:rPr>
        <w:t>电话：</w:t>
      </w:r>
    </w:p>
    <w:p w14:paraId="41C044DF">
      <w:pPr>
        <w:spacing w:line="300" w:lineRule="auto"/>
        <w:ind w:firstLine="482"/>
        <w:jc w:val="left"/>
        <w:rPr>
          <w:rFonts w:ascii="宋体" w:eastAsia="宋体"/>
          <w:sz w:val="24"/>
          <w:highlight w:val="none"/>
        </w:rPr>
      </w:pPr>
      <w:r>
        <w:rPr>
          <w:rFonts w:hint="eastAsia" w:ascii="宋体" w:eastAsia="宋体"/>
          <w:sz w:val="24"/>
          <w:highlight w:val="none"/>
        </w:rPr>
        <w:t>日期：</w:t>
      </w:r>
    </w:p>
    <w:p w14:paraId="081F031F">
      <w:pPr>
        <w:spacing w:line="300" w:lineRule="auto"/>
        <w:ind w:firstLine="482"/>
        <w:jc w:val="left"/>
        <w:rPr>
          <w:rFonts w:ascii="宋体" w:eastAsia="宋体"/>
          <w:sz w:val="24"/>
          <w:highlight w:val="none"/>
        </w:rPr>
      </w:pPr>
    </w:p>
    <w:p w14:paraId="28C76327">
      <w:pPr>
        <w:spacing w:line="300" w:lineRule="auto"/>
        <w:ind w:firstLine="482"/>
        <w:jc w:val="left"/>
        <w:rPr>
          <w:rFonts w:ascii="宋体" w:eastAsia="宋体"/>
          <w:sz w:val="24"/>
          <w:highlight w:val="none"/>
        </w:rPr>
      </w:pPr>
    </w:p>
    <w:p w14:paraId="04338D10">
      <w:pPr>
        <w:spacing w:line="300" w:lineRule="auto"/>
        <w:ind w:firstLine="482"/>
        <w:jc w:val="left"/>
        <w:rPr>
          <w:rFonts w:ascii="宋体" w:eastAsia="宋体"/>
          <w:sz w:val="24"/>
          <w:highlight w:val="none"/>
        </w:rPr>
      </w:pPr>
    </w:p>
    <w:p w14:paraId="48B753A3">
      <w:pPr>
        <w:spacing w:line="300" w:lineRule="auto"/>
        <w:ind w:firstLine="482"/>
        <w:jc w:val="left"/>
        <w:rPr>
          <w:rFonts w:ascii="宋体" w:eastAsia="宋体"/>
          <w:sz w:val="24"/>
          <w:highlight w:val="none"/>
        </w:rPr>
      </w:pPr>
      <w:r>
        <w:rPr>
          <w:rFonts w:hint="eastAsia" w:ascii="宋体" w:eastAsia="宋体"/>
          <w:sz w:val="24"/>
          <w:highlight w:val="none"/>
        </w:rPr>
        <w:t>乙方：</w:t>
      </w:r>
    </w:p>
    <w:p w14:paraId="3C10703A">
      <w:pPr>
        <w:spacing w:line="300" w:lineRule="auto"/>
        <w:ind w:firstLine="482"/>
        <w:jc w:val="left"/>
        <w:rPr>
          <w:rFonts w:ascii="宋体" w:eastAsia="宋体"/>
          <w:sz w:val="24"/>
          <w:highlight w:val="none"/>
        </w:rPr>
      </w:pPr>
      <w:r>
        <w:rPr>
          <w:rFonts w:hint="eastAsia" w:ascii="宋体" w:eastAsia="宋体"/>
          <w:sz w:val="24"/>
          <w:highlight w:val="none"/>
        </w:rPr>
        <w:t>法人代表（签章）：</w:t>
      </w:r>
    </w:p>
    <w:p w14:paraId="5DAE3D01">
      <w:pPr>
        <w:spacing w:line="300" w:lineRule="auto"/>
        <w:ind w:firstLine="482"/>
        <w:jc w:val="left"/>
        <w:rPr>
          <w:rFonts w:ascii="宋体" w:eastAsia="宋体"/>
          <w:sz w:val="24"/>
          <w:highlight w:val="none"/>
        </w:rPr>
      </w:pPr>
      <w:r>
        <w:rPr>
          <w:rFonts w:hint="eastAsia" w:ascii="宋体" w:eastAsia="宋体"/>
          <w:sz w:val="24"/>
          <w:highlight w:val="none"/>
        </w:rPr>
        <w:t>地址：</w:t>
      </w:r>
    </w:p>
    <w:p w14:paraId="00674AB3">
      <w:pPr>
        <w:spacing w:line="300" w:lineRule="auto"/>
        <w:ind w:firstLine="482"/>
        <w:jc w:val="left"/>
        <w:rPr>
          <w:rFonts w:ascii="宋体" w:eastAsia="宋体"/>
          <w:sz w:val="24"/>
          <w:highlight w:val="none"/>
        </w:rPr>
      </w:pPr>
      <w:r>
        <w:rPr>
          <w:rFonts w:hint="eastAsia" w:ascii="宋体" w:eastAsia="宋体"/>
          <w:sz w:val="24"/>
          <w:highlight w:val="none"/>
        </w:rPr>
        <w:t>联络人：</w:t>
      </w:r>
    </w:p>
    <w:p w14:paraId="15A967C2">
      <w:pPr>
        <w:spacing w:line="300" w:lineRule="auto"/>
        <w:ind w:firstLine="482"/>
        <w:jc w:val="left"/>
        <w:rPr>
          <w:rFonts w:ascii="宋体" w:eastAsia="宋体"/>
          <w:sz w:val="24"/>
          <w:highlight w:val="none"/>
        </w:rPr>
      </w:pPr>
      <w:r>
        <w:rPr>
          <w:rFonts w:hint="eastAsia" w:ascii="宋体" w:eastAsia="宋体"/>
          <w:sz w:val="24"/>
          <w:highlight w:val="none"/>
        </w:rPr>
        <w:t>电话：</w:t>
      </w:r>
    </w:p>
    <w:p w14:paraId="1EFE2FD5">
      <w:pPr>
        <w:spacing w:line="300" w:lineRule="auto"/>
        <w:ind w:firstLine="482"/>
        <w:jc w:val="left"/>
        <w:rPr>
          <w:rFonts w:ascii="宋体" w:eastAsia="宋体"/>
          <w:sz w:val="24"/>
          <w:highlight w:val="none"/>
        </w:rPr>
      </w:pPr>
      <w:r>
        <w:rPr>
          <w:rFonts w:hint="eastAsia" w:ascii="宋体" w:eastAsia="宋体"/>
          <w:sz w:val="24"/>
          <w:highlight w:val="none"/>
        </w:rPr>
        <w:t>日期：</w:t>
      </w:r>
    </w:p>
    <w:p w14:paraId="187DC29F">
      <w:pPr>
        <w:spacing w:line="300" w:lineRule="auto"/>
        <w:ind w:firstLine="482"/>
        <w:jc w:val="left"/>
        <w:rPr>
          <w:rFonts w:ascii="宋体" w:eastAsia="宋体"/>
          <w:sz w:val="24"/>
          <w:highlight w:val="none"/>
        </w:rPr>
      </w:pPr>
    </w:p>
    <w:p w14:paraId="2BA01B50">
      <w:pPr>
        <w:spacing w:line="300" w:lineRule="auto"/>
        <w:ind w:firstLine="482"/>
        <w:jc w:val="left"/>
        <w:rPr>
          <w:rFonts w:ascii="宋体" w:eastAsia="宋体"/>
          <w:sz w:val="24"/>
          <w:highlight w:val="none"/>
        </w:rPr>
      </w:pPr>
    </w:p>
    <w:p w14:paraId="3844A5D4">
      <w:pPr>
        <w:spacing w:line="300" w:lineRule="auto"/>
        <w:ind w:firstLine="482"/>
        <w:jc w:val="left"/>
        <w:rPr>
          <w:rFonts w:ascii="宋体" w:eastAsia="宋体"/>
          <w:sz w:val="24"/>
          <w:highlight w:val="none"/>
        </w:rPr>
      </w:pPr>
    </w:p>
    <w:p w14:paraId="4E3470EE">
      <w:pPr>
        <w:rPr>
          <w:highlight w:val="none"/>
        </w:rPr>
      </w:pPr>
    </w:p>
    <w:p w14:paraId="4CDD44EF">
      <w:pPr>
        <w:rPr>
          <w:rFonts w:eastAsia="宋体"/>
          <w:highlight w:val="none"/>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4E4A6">
    <w:pPr>
      <w:tabs>
        <w:tab w:val="center" w:pos="4152"/>
        <w:tab w:val="right" w:pos="8305"/>
      </w:tabs>
      <w:ind w:firstLine="360"/>
      <w:rPr>
        <w:kern w:val="0"/>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FB677">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AFB677">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C2B49">
    <w:pPr>
      <w:spacing w:line="173" w:lineRule="auto"/>
      <w:ind w:left="3963"/>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48728">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9348728">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484F3">
    <w:pPr>
      <w:spacing w:line="173" w:lineRule="auto"/>
      <w:ind w:left="3963"/>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B41B6">
                          <w:pPr>
                            <w:pStyle w:val="7"/>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2AB41B6">
                    <w:pPr>
                      <w:pStyle w:val="7"/>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E09D">
    <w:pPr>
      <w:spacing w:line="173" w:lineRule="auto"/>
      <w:ind w:left="3963"/>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34590">
                          <w:pPr>
                            <w:pStyle w:val="7"/>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F934590">
                    <w:pPr>
                      <w:pStyle w:val="7"/>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AAA14A"/>
    <w:multiLevelType w:val="multilevel"/>
    <w:tmpl w:val="35AAA14A"/>
    <w:lvl w:ilvl="0" w:tentative="0">
      <w:start w:val="1"/>
      <w:numFmt w:val="chineseCounting"/>
      <w:suff w:val="nothing"/>
      <w:lvlText w:val="第%1章 "/>
      <w:lvlJc w:val="left"/>
      <w:pPr>
        <w:tabs>
          <w:tab w:val="left" w:pos="4112"/>
        </w:tabs>
        <w:ind w:left="4112" w:firstLine="0"/>
      </w:pPr>
      <w:rPr>
        <w:rFonts w:hint="eastAsia" w:eastAsia="方正小标宋简体"/>
        <w:sz w:val="32"/>
        <w:szCs w:val="32"/>
      </w:rPr>
    </w:lvl>
    <w:lvl w:ilvl="1" w:tentative="0">
      <w:start w:val="1"/>
      <w:numFmt w:val="decimal"/>
      <w:pStyle w:val="2"/>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欣茹">
    <w15:presenceInfo w15:providerId="WPS Office" w15:userId="683984958"/>
  </w15:person>
  <w15:person w15:author="莫里">
    <w15:presenceInfo w15:providerId="None" w15:userId="莫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0A28F6"/>
    <w:rsid w:val="00093882"/>
    <w:rsid w:val="000A4515"/>
    <w:rsid w:val="000C3CB0"/>
    <w:rsid w:val="000F318C"/>
    <w:rsid w:val="00166523"/>
    <w:rsid w:val="0026429F"/>
    <w:rsid w:val="002667E8"/>
    <w:rsid w:val="00276130"/>
    <w:rsid w:val="002A4560"/>
    <w:rsid w:val="002F4902"/>
    <w:rsid w:val="00301C43"/>
    <w:rsid w:val="00410A49"/>
    <w:rsid w:val="00563BFC"/>
    <w:rsid w:val="00584378"/>
    <w:rsid w:val="005964DA"/>
    <w:rsid w:val="007318D8"/>
    <w:rsid w:val="00766A1E"/>
    <w:rsid w:val="008A7EA6"/>
    <w:rsid w:val="008B0CD4"/>
    <w:rsid w:val="0094254E"/>
    <w:rsid w:val="009B0B95"/>
    <w:rsid w:val="00A10E95"/>
    <w:rsid w:val="00A1558D"/>
    <w:rsid w:val="00A34398"/>
    <w:rsid w:val="00A71839"/>
    <w:rsid w:val="00A968FD"/>
    <w:rsid w:val="00B209C7"/>
    <w:rsid w:val="00B73110"/>
    <w:rsid w:val="00B85C5F"/>
    <w:rsid w:val="00BC6160"/>
    <w:rsid w:val="00BF3B19"/>
    <w:rsid w:val="00CC5E67"/>
    <w:rsid w:val="00CD25E3"/>
    <w:rsid w:val="00D0618C"/>
    <w:rsid w:val="00DB5669"/>
    <w:rsid w:val="00DC46E0"/>
    <w:rsid w:val="00DF6D7E"/>
    <w:rsid w:val="00E74F16"/>
    <w:rsid w:val="00E97889"/>
    <w:rsid w:val="00EB5E2D"/>
    <w:rsid w:val="00EC3890"/>
    <w:rsid w:val="00F42811"/>
    <w:rsid w:val="00FC2E70"/>
    <w:rsid w:val="00FD4CC1"/>
    <w:rsid w:val="016B30C8"/>
    <w:rsid w:val="025D6B3C"/>
    <w:rsid w:val="02A2190A"/>
    <w:rsid w:val="031B7419"/>
    <w:rsid w:val="03D608EF"/>
    <w:rsid w:val="059E7538"/>
    <w:rsid w:val="06BD78EE"/>
    <w:rsid w:val="06CC4290"/>
    <w:rsid w:val="06DA262F"/>
    <w:rsid w:val="071579E5"/>
    <w:rsid w:val="078D1C71"/>
    <w:rsid w:val="07FE491D"/>
    <w:rsid w:val="08147C9D"/>
    <w:rsid w:val="09163B7A"/>
    <w:rsid w:val="091F4B4B"/>
    <w:rsid w:val="09611587"/>
    <w:rsid w:val="097906FF"/>
    <w:rsid w:val="097A7FD3"/>
    <w:rsid w:val="09A857A8"/>
    <w:rsid w:val="09AD65FB"/>
    <w:rsid w:val="0A9652E1"/>
    <w:rsid w:val="0AEA2F37"/>
    <w:rsid w:val="0C272694"/>
    <w:rsid w:val="0D964DA8"/>
    <w:rsid w:val="0DC214A3"/>
    <w:rsid w:val="0E2554D1"/>
    <w:rsid w:val="0ED9579C"/>
    <w:rsid w:val="10D705D5"/>
    <w:rsid w:val="1122167C"/>
    <w:rsid w:val="11621840"/>
    <w:rsid w:val="11717F0E"/>
    <w:rsid w:val="12AB7B89"/>
    <w:rsid w:val="13E9442E"/>
    <w:rsid w:val="16A86180"/>
    <w:rsid w:val="1879231A"/>
    <w:rsid w:val="189D5A8C"/>
    <w:rsid w:val="18B352B0"/>
    <w:rsid w:val="19387D9F"/>
    <w:rsid w:val="19687E48"/>
    <w:rsid w:val="1A564145"/>
    <w:rsid w:val="1B3859AA"/>
    <w:rsid w:val="1B581F69"/>
    <w:rsid w:val="1CF207D9"/>
    <w:rsid w:val="1D8F1E47"/>
    <w:rsid w:val="1DA6190C"/>
    <w:rsid w:val="1E0A28F6"/>
    <w:rsid w:val="1E2702D2"/>
    <w:rsid w:val="1EA664CA"/>
    <w:rsid w:val="1F43738D"/>
    <w:rsid w:val="1F4556BB"/>
    <w:rsid w:val="200008FC"/>
    <w:rsid w:val="20450EE3"/>
    <w:rsid w:val="209B4FA7"/>
    <w:rsid w:val="214B077B"/>
    <w:rsid w:val="21A319FE"/>
    <w:rsid w:val="23694EE9"/>
    <w:rsid w:val="23802B6B"/>
    <w:rsid w:val="24424C78"/>
    <w:rsid w:val="24701728"/>
    <w:rsid w:val="264739A9"/>
    <w:rsid w:val="282F37D0"/>
    <w:rsid w:val="284E54A9"/>
    <w:rsid w:val="299D1926"/>
    <w:rsid w:val="2A1B4A63"/>
    <w:rsid w:val="2A1C1423"/>
    <w:rsid w:val="2B7E52A9"/>
    <w:rsid w:val="2C361804"/>
    <w:rsid w:val="2D8F7C42"/>
    <w:rsid w:val="2EE338FA"/>
    <w:rsid w:val="2FC22159"/>
    <w:rsid w:val="307A6987"/>
    <w:rsid w:val="337551E4"/>
    <w:rsid w:val="344D4589"/>
    <w:rsid w:val="34D16D92"/>
    <w:rsid w:val="34DF3DED"/>
    <w:rsid w:val="357D4824"/>
    <w:rsid w:val="35F5327E"/>
    <w:rsid w:val="3607129B"/>
    <w:rsid w:val="36260A17"/>
    <w:rsid w:val="36767BF1"/>
    <w:rsid w:val="36BF20F6"/>
    <w:rsid w:val="37060F75"/>
    <w:rsid w:val="37563125"/>
    <w:rsid w:val="37E33064"/>
    <w:rsid w:val="38874AF2"/>
    <w:rsid w:val="38CF183A"/>
    <w:rsid w:val="3A7B6635"/>
    <w:rsid w:val="3AEA4709"/>
    <w:rsid w:val="3B6A5B16"/>
    <w:rsid w:val="3B7566C9"/>
    <w:rsid w:val="3C12216A"/>
    <w:rsid w:val="3C711D04"/>
    <w:rsid w:val="3C9B4909"/>
    <w:rsid w:val="3CAC3836"/>
    <w:rsid w:val="3E2C6DE7"/>
    <w:rsid w:val="3E2C7A64"/>
    <w:rsid w:val="3E38536D"/>
    <w:rsid w:val="3E780929"/>
    <w:rsid w:val="3FB93C4A"/>
    <w:rsid w:val="404F0E82"/>
    <w:rsid w:val="411918A4"/>
    <w:rsid w:val="41276F2D"/>
    <w:rsid w:val="424F7B41"/>
    <w:rsid w:val="429D3BD8"/>
    <w:rsid w:val="44776A90"/>
    <w:rsid w:val="455A06DD"/>
    <w:rsid w:val="45FB3C6E"/>
    <w:rsid w:val="465D44E9"/>
    <w:rsid w:val="46BF51BE"/>
    <w:rsid w:val="4863238A"/>
    <w:rsid w:val="4A3A79DF"/>
    <w:rsid w:val="4A3C4032"/>
    <w:rsid w:val="4A995CA6"/>
    <w:rsid w:val="4AC544BB"/>
    <w:rsid w:val="4AFF5614"/>
    <w:rsid w:val="4B6E5D45"/>
    <w:rsid w:val="4BF278C2"/>
    <w:rsid w:val="4C9D7D5B"/>
    <w:rsid w:val="4DB56DF9"/>
    <w:rsid w:val="4E801736"/>
    <w:rsid w:val="4F4F0B87"/>
    <w:rsid w:val="4FA03BFF"/>
    <w:rsid w:val="510F1BD1"/>
    <w:rsid w:val="51346492"/>
    <w:rsid w:val="51C21AE4"/>
    <w:rsid w:val="53C0312B"/>
    <w:rsid w:val="54B17115"/>
    <w:rsid w:val="54E211B7"/>
    <w:rsid w:val="552D54C7"/>
    <w:rsid w:val="57EC78BB"/>
    <w:rsid w:val="58763C23"/>
    <w:rsid w:val="58B520FA"/>
    <w:rsid w:val="5AD8528A"/>
    <w:rsid w:val="5AE605F2"/>
    <w:rsid w:val="5BDB2780"/>
    <w:rsid w:val="5C5C6134"/>
    <w:rsid w:val="5D3C63A6"/>
    <w:rsid w:val="5F4D550E"/>
    <w:rsid w:val="5F6313AE"/>
    <w:rsid w:val="5FF12561"/>
    <w:rsid w:val="61484D70"/>
    <w:rsid w:val="617A338D"/>
    <w:rsid w:val="61C770A4"/>
    <w:rsid w:val="62137962"/>
    <w:rsid w:val="6249622F"/>
    <w:rsid w:val="626B1104"/>
    <w:rsid w:val="62706907"/>
    <w:rsid w:val="62BF230A"/>
    <w:rsid w:val="64BD1094"/>
    <w:rsid w:val="64FB738F"/>
    <w:rsid w:val="6539382F"/>
    <w:rsid w:val="65A76BCF"/>
    <w:rsid w:val="65E07C0E"/>
    <w:rsid w:val="66601D76"/>
    <w:rsid w:val="668D4017"/>
    <w:rsid w:val="69F73976"/>
    <w:rsid w:val="6BD77EE1"/>
    <w:rsid w:val="6C0A665C"/>
    <w:rsid w:val="6DD24A05"/>
    <w:rsid w:val="6E0E0A62"/>
    <w:rsid w:val="6E986B07"/>
    <w:rsid w:val="6E9A659C"/>
    <w:rsid w:val="6F20011E"/>
    <w:rsid w:val="704C1445"/>
    <w:rsid w:val="72534367"/>
    <w:rsid w:val="733E6DC5"/>
    <w:rsid w:val="73852C46"/>
    <w:rsid w:val="73A83F9D"/>
    <w:rsid w:val="7467234B"/>
    <w:rsid w:val="74801C8A"/>
    <w:rsid w:val="74EE6AD0"/>
    <w:rsid w:val="76F1414E"/>
    <w:rsid w:val="771F2A69"/>
    <w:rsid w:val="7823313F"/>
    <w:rsid w:val="7914252D"/>
    <w:rsid w:val="7A205476"/>
    <w:rsid w:val="7A74066E"/>
    <w:rsid w:val="7AB12A02"/>
    <w:rsid w:val="7ACC115A"/>
    <w:rsid w:val="7B875C36"/>
    <w:rsid w:val="7CFC5DDB"/>
    <w:rsid w:val="7D54211F"/>
    <w:rsid w:val="7E504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tabs>
        <w:tab w:val="left" w:pos="0"/>
      </w:tabs>
      <w:spacing w:before="260" w:after="260" w:line="408" w:lineRule="auto"/>
      <w:outlineLvl w:val="1"/>
    </w:pPr>
    <w:rPr>
      <w:rFonts w:ascii="Arial" w:hAnsi="Arial" w:eastAsia="黑体"/>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next w:val="5"/>
    <w:semiHidden/>
    <w:qFormat/>
    <w:uiPriority w:val="0"/>
    <w:rPr>
      <w:rFonts w:ascii="Arial" w:hAnsi="Arial" w:eastAsia="Arial" w:cs="Arial"/>
      <w:szCs w:val="21"/>
      <w:lang w:eastAsia="en-US"/>
    </w:rPr>
  </w:style>
  <w:style w:type="paragraph" w:styleId="5">
    <w:name w:val="Body Text 2"/>
    <w:basedOn w:val="1"/>
    <w:unhideWhenUsed/>
    <w:qFormat/>
    <w:uiPriority w:val="99"/>
    <w:pPr>
      <w:spacing w:after="120" w:line="480" w:lineRule="auto"/>
    </w:pPr>
  </w:style>
  <w:style w:type="paragraph" w:styleId="6">
    <w:name w:val="Body Text Indent"/>
    <w:basedOn w:val="1"/>
    <w:link w:val="25"/>
    <w:qFormat/>
    <w:uiPriority w:val="0"/>
    <w:pPr>
      <w:spacing w:after="120"/>
      <w:ind w:left="420" w:leftChars="200"/>
    </w:pPr>
  </w:style>
  <w:style w:type="paragraph" w:styleId="7">
    <w:name w:val="footer"/>
    <w:basedOn w:val="1"/>
    <w:link w:val="21"/>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annotation subject"/>
    <w:basedOn w:val="3"/>
    <w:next w:val="3"/>
    <w:link w:val="23"/>
    <w:qFormat/>
    <w:uiPriority w:val="0"/>
    <w:rPr>
      <w:b/>
      <w:bCs/>
    </w:rPr>
  </w:style>
  <w:style w:type="paragraph" w:styleId="12">
    <w:name w:val="Body Text First Indent"/>
    <w:basedOn w:val="4"/>
    <w:next w:val="1"/>
    <w:qFormat/>
    <w:uiPriority w:val="0"/>
    <w:pPr>
      <w:spacing w:line="312" w:lineRule="auto"/>
      <w:ind w:firstLine="420"/>
    </w:pPr>
  </w:style>
  <w:style w:type="paragraph" w:styleId="13">
    <w:name w:val="Body Text First Indent 2"/>
    <w:basedOn w:val="6"/>
    <w:link w:val="26"/>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paragraph" w:customStyle="1" w:styleId="18">
    <w:name w:val="_Style 3"/>
    <w:basedOn w:val="1"/>
    <w:qFormat/>
    <w:uiPriority w:val="0"/>
  </w:style>
  <w:style w:type="paragraph" w:customStyle="1" w:styleId="19">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页眉 字符"/>
    <w:basedOn w:val="16"/>
    <w:link w:val="8"/>
    <w:qFormat/>
    <w:uiPriority w:val="0"/>
    <w:rPr>
      <w:rFonts w:asciiTheme="minorHAnsi" w:hAnsiTheme="minorHAnsi" w:eastAsiaTheme="minorEastAsia" w:cstheme="minorBidi"/>
      <w:kern w:val="2"/>
      <w:sz w:val="18"/>
      <w:szCs w:val="18"/>
    </w:rPr>
  </w:style>
  <w:style w:type="character" w:customStyle="1" w:styleId="21">
    <w:name w:val="页脚 字符"/>
    <w:basedOn w:val="16"/>
    <w:link w:val="7"/>
    <w:qFormat/>
    <w:uiPriority w:val="0"/>
    <w:rPr>
      <w:rFonts w:asciiTheme="minorHAnsi" w:hAnsiTheme="minorHAnsi" w:eastAsiaTheme="minorEastAsia" w:cstheme="minorBidi"/>
      <w:kern w:val="2"/>
      <w:sz w:val="18"/>
      <w:szCs w:val="18"/>
    </w:rPr>
  </w:style>
  <w:style w:type="character" w:customStyle="1" w:styleId="22">
    <w:name w:val="批注文字 字符"/>
    <w:basedOn w:val="16"/>
    <w:link w:val="3"/>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1"/>
    <w:qFormat/>
    <w:uiPriority w:val="0"/>
    <w:rPr>
      <w:rFonts w:asciiTheme="minorHAnsi" w:hAnsiTheme="minorHAnsi" w:eastAsiaTheme="minorEastAsia" w:cstheme="minorBidi"/>
      <w:b/>
      <w:bCs/>
      <w:kern w:val="2"/>
      <w:sz w:val="21"/>
      <w:szCs w:val="24"/>
    </w:rPr>
  </w:style>
  <w:style w:type="paragraph" w:customStyle="1" w:styleId="24">
    <w:name w:val="_Style 19"/>
    <w:basedOn w:val="4"/>
    <w:next w:val="13"/>
    <w:qFormat/>
    <w:uiPriority w:val="0"/>
    <w:pPr>
      <w:spacing w:after="120"/>
      <w:ind w:firstLine="420" w:firstLineChars="100"/>
    </w:pPr>
    <w:rPr>
      <w:rFonts w:ascii="Times New Roman" w:hAnsi="Times New Roman" w:eastAsia="宋体" w:cs="Times New Roman"/>
      <w:szCs w:val="24"/>
      <w:lang w:eastAsia="zh-CN"/>
    </w:rPr>
  </w:style>
  <w:style w:type="character" w:customStyle="1" w:styleId="25">
    <w:name w:val="正文文本缩进 字符"/>
    <w:basedOn w:val="16"/>
    <w:link w:val="6"/>
    <w:qFormat/>
    <w:uiPriority w:val="0"/>
    <w:rPr>
      <w:rFonts w:asciiTheme="minorHAnsi" w:hAnsiTheme="minorHAnsi" w:eastAsiaTheme="minorEastAsia" w:cstheme="minorBidi"/>
      <w:kern w:val="2"/>
      <w:sz w:val="21"/>
      <w:szCs w:val="24"/>
    </w:rPr>
  </w:style>
  <w:style w:type="character" w:customStyle="1" w:styleId="26">
    <w:name w:val="正文文本首行缩进 2 字符"/>
    <w:basedOn w:val="25"/>
    <w:link w:val="13"/>
    <w:qFormat/>
    <w:uiPriority w:val="0"/>
    <w:rPr>
      <w:rFonts w:asciiTheme="minorHAnsi" w:hAnsiTheme="minorHAnsi" w:eastAsiaTheme="minorEastAsia" w:cstheme="minorBidi"/>
      <w:kern w:val="2"/>
      <w:sz w:val="21"/>
      <w:szCs w:val="24"/>
    </w:rPr>
  </w:style>
  <w:style w:type="paragraph" w:customStyle="1" w:styleId="27">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25</Pages>
  <Words>16487</Words>
  <Characters>16984</Characters>
  <Lines>146</Lines>
  <Paragraphs>41</Paragraphs>
  <TotalTime>24</TotalTime>
  <ScaleCrop>false</ScaleCrop>
  <LinksUpToDate>false</LinksUpToDate>
  <CharactersWithSpaces>17436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2025-08-26T09:18:00Z</dcterms:created>
  <dc:creator>欣茹</dc:creator>
  <cp:lastModifiedBy>Mr. Zhao</cp:lastModifiedBy>
  <cp:lastPrinted>2025-08-07T09:48:00Z</cp:lastPrinted>
  <dcterms:modified xsi:type="dcterms:W3CDTF">2025-11-07T03:21:26Z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71E04636ABFE4A3EB5172B158BC9B1DD_13</vt:lpwstr>
  </property>
  <property fmtid="{D5CDD505-2E9C-101B-9397-08002B2CF9AE}" pid="4" name="KSOTemplateDocerSaveRecord">
    <vt:lpwstr>eyJoZGlkIjoiYWVmMzhjYzJjMzg3MTk2YmU0NWYwOWRjN2JhNTVmNzIiLCJ1c2VySWQiOiIyOTY3NDE1NDYifQ==</vt:lpwstr>
  </property>
</Properties>
</file>