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B48B6">
      <w:pPr>
        <w:tabs>
          <w:tab w:val="left" w:pos="5475"/>
        </w:tabs>
        <w:spacing w:line="360" w:lineRule="auto"/>
        <w:jc w:val="right"/>
        <w:rPr>
          <w:rFonts w:ascii="仿宋" w:hAnsi="仿宋" w:eastAsia="仿宋" w:cs="仿宋"/>
          <w:snapToGrid w:val="0"/>
          <w:color w:val="auto"/>
          <w:spacing w:val="-20"/>
          <w:kern w:val="0"/>
          <w:sz w:val="24"/>
          <w:szCs w:val="24"/>
          <w:highlight w:val="none"/>
        </w:rPr>
      </w:pPr>
    </w:p>
    <w:p w14:paraId="3DD30285">
      <w:pPr>
        <w:pStyle w:val="3"/>
        <w:rPr>
          <w:color w:val="auto"/>
          <w:highlight w:val="none"/>
        </w:rPr>
      </w:pPr>
    </w:p>
    <w:p w14:paraId="1C708DE4">
      <w:pPr>
        <w:tabs>
          <w:tab w:val="left" w:pos="5475"/>
        </w:tabs>
        <w:spacing w:line="240" w:lineRule="auto"/>
        <w:jc w:val="center"/>
        <w:rPr>
          <w:rFonts w:ascii="仿宋" w:hAnsi="仿宋" w:eastAsia="仿宋" w:cs="仿宋"/>
          <w:b/>
          <w:bCs/>
          <w:snapToGrid w:val="0"/>
          <w:color w:val="auto"/>
          <w:spacing w:val="-20"/>
          <w:kern w:val="0"/>
          <w:sz w:val="52"/>
          <w:szCs w:val="52"/>
          <w:highlight w:val="none"/>
        </w:rPr>
      </w:pPr>
      <w:r>
        <w:rPr>
          <w:rFonts w:hint="eastAsia" w:ascii="仿宋" w:hAnsi="仿宋" w:eastAsia="仿宋" w:cs="仿宋"/>
          <w:b/>
          <w:bCs w:val="0"/>
          <w:snapToGrid w:val="0"/>
          <w:color w:val="auto"/>
          <w:spacing w:val="-20"/>
          <w:kern w:val="2"/>
          <w:sz w:val="52"/>
          <w:szCs w:val="52"/>
          <w:highlight w:val="none"/>
          <w:u w:val="none"/>
          <w:lang w:val="en-US" w:eastAsia="zh-CN" w:bidi="ar-SA"/>
        </w:rPr>
        <w:t>广州市白云区棠涌村城中村改造－城中村展示中心项目</w:t>
      </w:r>
      <w:r>
        <w:rPr>
          <w:rFonts w:hint="eastAsia" w:ascii="仿宋" w:hAnsi="仿宋" w:eastAsia="仿宋" w:cs="仿宋"/>
          <w:b/>
          <w:bCs/>
          <w:snapToGrid w:val="0"/>
          <w:color w:val="auto"/>
          <w:spacing w:val="-20"/>
          <w:kern w:val="0"/>
          <w:sz w:val="52"/>
          <w:szCs w:val="52"/>
          <w:highlight w:val="none"/>
        </w:rPr>
        <w:t>设计施工总承包（EPC）合同</w:t>
      </w:r>
    </w:p>
    <w:p w14:paraId="4F1CCD03">
      <w:pPr>
        <w:tabs>
          <w:tab w:val="left" w:pos="5475"/>
        </w:tabs>
        <w:spacing w:line="360" w:lineRule="auto"/>
        <w:jc w:val="center"/>
        <w:rPr>
          <w:rFonts w:ascii="仿宋" w:hAnsi="仿宋" w:eastAsia="仿宋" w:cs="仿宋"/>
          <w:snapToGrid w:val="0"/>
          <w:color w:val="auto"/>
          <w:spacing w:val="-20"/>
          <w:kern w:val="0"/>
          <w:sz w:val="24"/>
          <w:szCs w:val="24"/>
          <w:highlight w:val="none"/>
        </w:rPr>
      </w:pPr>
    </w:p>
    <w:p w14:paraId="4407BBC0">
      <w:pPr>
        <w:tabs>
          <w:tab w:val="left" w:pos="5475"/>
        </w:tabs>
        <w:spacing w:line="360" w:lineRule="auto"/>
        <w:jc w:val="center"/>
        <w:rPr>
          <w:rFonts w:ascii="仿宋" w:hAnsi="仿宋" w:eastAsia="仿宋" w:cs="仿宋"/>
          <w:snapToGrid w:val="0"/>
          <w:color w:val="auto"/>
          <w:spacing w:val="-20"/>
          <w:kern w:val="0"/>
          <w:sz w:val="24"/>
          <w:szCs w:val="24"/>
          <w:highlight w:val="none"/>
        </w:rPr>
      </w:pPr>
    </w:p>
    <w:p w14:paraId="60A7550C">
      <w:pPr>
        <w:tabs>
          <w:tab w:val="left" w:pos="5475"/>
        </w:tabs>
        <w:spacing w:line="360" w:lineRule="auto"/>
        <w:jc w:val="center"/>
        <w:rPr>
          <w:rFonts w:ascii="仿宋" w:hAnsi="仿宋" w:eastAsia="仿宋" w:cs="仿宋"/>
          <w:snapToGrid w:val="0"/>
          <w:color w:val="auto"/>
          <w:spacing w:val="-20"/>
          <w:kern w:val="0"/>
          <w:sz w:val="24"/>
          <w:szCs w:val="24"/>
          <w:highlight w:val="none"/>
        </w:rPr>
      </w:pPr>
      <w:r>
        <w:rPr>
          <w:rFonts w:hint="eastAsia" w:ascii="仿宋" w:hAnsi="仿宋" w:eastAsia="仿宋" w:cs="仿宋"/>
          <w:snapToGrid w:val="0"/>
          <w:color w:val="auto"/>
          <w:spacing w:val="-20"/>
          <w:kern w:val="0"/>
          <w:sz w:val="24"/>
          <w:szCs w:val="24"/>
          <w:highlight w:val="none"/>
        </w:rPr>
        <w:t>合同编号：</w:t>
      </w:r>
    </w:p>
    <w:p w14:paraId="3EE66075">
      <w:pPr>
        <w:adjustRightInd w:val="0"/>
        <w:snapToGrid w:val="0"/>
        <w:spacing w:line="360" w:lineRule="auto"/>
        <w:jc w:val="center"/>
        <w:rPr>
          <w:rFonts w:ascii="仿宋" w:hAnsi="仿宋" w:eastAsia="仿宋" w:cs="仿宋"/>
          <w:b/>
          <w:bCs/>
          <w:snapToGrid w:val="0"/>
          <w:color w:val="auto"/>
          <w:kern w:val="0"/>
          <w:sz w:val="32"/>
          <w:szCs w:val="32"/>
          <w:highlight w:val="none"/>
        </w:rPr>
      </w:pPr>
    </w:p>
    <w:p w14:paraId="07652266">
      <w:pPr>
        <w:adjustRightInd w:val="0"/>
        <w:snapToGrid w:val="0"/>
        <w:spacing w:line="360" w:lineRule="auto"/>
        <w:rPr>
          <w:rFonts w:ascii="仿宋" w:hAnsi="仿宋" w:eastAsia="仿宋" w:cs="仿宋"/>
          <w:snapToGrid w:val="0"/>
          <w:color w:val="auto"/>
          <w:kern w:val="0"/>
          <w:sz w:val="24"/>
          <w:highlight w:val="none"/>
        </w:rPr>
      </w:pPr>
    </w:p>
    <w:p w14:paraId="73601134">
      <w:pPr>
        <w:adjustRightInd w:val="0"/>
        <w:snapToGrid w:val="0"/>
        <w:spacing w:line="360" w:lineRule="auto"/>
        <w:rPr>
          <w:rFonts w:ascii="仿宋" w:hAnsi="仿宋" w:eastAsia="仿宋" w:cs="仿宋"/>
          <w:snapToGrid w:val="0"/>
          <w:color w:val="auto"/>
          <w:kern w:val="0"/>
          <w:sz w:val="24"/>
          <w:highlight w:val="none"/>
        </w:rPr>
      </w:pPr>
    </w:p>
    <w:p w14:paraId="058810F3">
      <w:pPr>
        <w:adjustRightInd w:val="0"/>
        <w:snapToGrid w:val="0"/>
        <w:spacing w:line="360" w:lineRule="auto"/>
        <w:rPr>
          <w:rFonts w:ascii="仿宋" w:hAnsi="仿宋" w:eastAsia="仿宋" w:cs="仿宋"/>
          <w:snapToGrid w:val="0"/>
          <w:color w:val="auto"/>
          <w:kern w:val="0"/>
          <w:sz w:val="24"/>
          <w:highlight w:val="none"/>
        </w:rPr>
      </w:pPr>
    </w:p>
    <w:p w14:paraId="3A8B6016">
      <w:pPr>
        <w:adjustRightInd w:val="0"/>
        <w:snapToGrid w:val="0"/>
        <w:spacing w:line="360" w:lineRule="auto"/>
        <w:rPr>
          <w:rFonts w:ascii="仿宋" w:hAnsi="仿宋" w:eastAsia="仿宋" w:cs="仿宋"/>
          <w:snapToGrid w:val="0"/>
          <w:color w:val="auto"/>
          <w:kern w:val="0"/>
          <w:sz w:val="24"/>
          <w:highlight w:val="none"/>
        </w:rPr>
      </w:pPr>
    </w:p>
    <w:p w14:paraId="3D6BEB88">
      <w:pPr>
        <w:adjustRightInd w:val="0"/>
        <w:snapToGrid w:val="0"/>
        <w:spacing w:line="360" w:lineRule="auto"/>
        <w:ind w:firstLine="602" w:firstLineChars="200"/>
        <w:rPr>
          <w:rFonts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发包人：广州白云棠涌置地有限公司</w:t>
      </w:r>
    </w:p>
    <w:p w14:paraId="39CD42BB">
      <w:pPr>
        <w:pStyle w:val="6"/>
        <w:ind w:firstLine="602"/>
        <w:rPr>
          <w:rFonts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承包人</w:t>
      </w:r>
      <w:r>
        <w:rPr>
          <w:rFonts w:hint="eastAsia" w:ascii="仿宋" w:hAnsi="仿宋" w:eastAsia="仿宋" w:cs="仿宋"/>
          <w:b/>
          <w:bCs/>
          <w:snapToGrid w:val="0"/>
          <w:color w:val="auto"/>
          <w:kern w:val="0"/>
          <w:sz w:val="30"/>
          <w:szCs w:val="30"/>
          <w:highlight w:val="none"/>
          <w:lang w:eastAsia="zh-CN"/>
        </w:rPr>
        <w:t>：</w:t>
      </w:r>
    </w:p>
    <w:p w14:paraId="110888AA">
      <w:pPr>
        <w:pStyle w:val="5"/>
        <w:ind w:left="2102" w:leftChars="284" w:hanging="1506" w:hangingChars="500"/>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工程地点：广州市白云区</w:t>
      </w:r>
    </w:p>
    <w:p w14:paraId="454C3E2A">
      <w:pPr>
        <w:pStyle w:val="5"/>
        <w:ind w:firstLine="602" w:firstLineChars="200"/>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签约地点：广州市</w:t>
      </w:r>
    </w:p>
    <w:p w14:paraId="05E74EB2">
      <w:pPr>
        <w:pStyle w:val="5"/>
        <w:ind w:firstLine="602" w:firstLineChars="200"/>
        <w:jc w:val="left"/>
        <w:rPr>
          <w:color w:val="auto"/>
          <w:highlight w:val="none"/>
        </w:rPr>
      </w:pPr>
      <w:r>
        <w:rPr>
          <w:rFonts w:hint="eastAsia" w:ascii="仿宋" w:hAnsi="仿宋" w:eastAsia="仿宋" w:cs="仿宋"/>
          <w:b/>
          <w:bCs/>
          <w:snapToGrid w:val="0"/>
          <w:color w:val="auto"/>
          <w:kern w:val="0"/>
          <w:sz w:val="30"/>
          <w:szCs w:val="30"/>
          <w:highlight w:val="none"/>
        </w:rPr>
        <w:t>签约日期：202</w:t>
      </w:r>
      <w:r>
        <w:rPr>
          <w:rFonts w:hint="eastAsia" w:ascii="仿宋" w:hAnsi="仿宋" w:eastAsia="仿宋" w:cs="仿宋"/>
          <w:b/>
          <w:bCs/>
          <w:snapToGrid w:val="0"/>
          <w:color w:val="auto"/>
          <w:kern w:val="0"/>
          <w:sz w:val="30"/>
          <w:szCs w:val="30"/>
          <w:highlight w:val="none"/>
          <w:lang w:val="en-US" w:eastAsia="zh-CN"/>
        </w:rPr>
        <w:t>5</w:t>
      </w:r>
      <w:r>
        <w:rPr>
          <w:rFonts w:hint="eastAsia" w:ascii="仿宋" w:hAnsi="仿宋" w:eastAsia="仿宋" w:cs="仿宋"/>
          <w:b/>
          <w:bCs/>
          <w:snapToGrid w:val="0"/>
          <w:color w:val="auto"/>
          <w:kern w:val="0"/>
          <w:sz w:val="30"/>
          <w:szCs w:val="30"/>
          <w:highlight w:val="none"/>
        </w:rPr>
        <w:t>年</w:t>
      </w:r>
      <w:r>
        <w:rPr>
          <w:rFonts w:hint="eastAsia" w:ascii="仿宋" w:hAnsi="仿宋" w:eastAsia="仿宋" w:cs="仿宋"/>
          <w:b/>
          <w:bCs/>
          <w:snapToGrid w:val="0"/>
          <w:color w:val="auto"/>
          <w:kern w:val="0"/>
          <w:sz w:val="30"/>
          <w:szCs w:val="30"/>
          <w:highlight w:val="none"/>
          <w:lang w:val="en-US" w:eastAsia="zh-CN"/>
        </w:rPr>
        <w:t xml:space="preserve"> </w:t>
      </w:r>
      <w:r>
        <w:rPr>
          <w:rFonts w:hint="eastAsia" w:ascii="仿宋" w:hAnsi="仿宋" w:eastAsia="仿宋" w:cs="仿宋"/>
          <w:b/>
          <w:bCs/>
          <w:snapToGrid w:val="0"/>
          <w:color w:val="auto"/>
          <w:kern w:val="0"/>
          <w:sz w:val="30"/>
          <w:szCs w:val="30"/>
          <w:highlight w:val="none"/>
        </w:rPr>
        <w:t>月</w:t>
      </w:r>
      <w:r>
        <w:rPr>
          <w:rFonts w:hint="eastAsia" w:ascii="仿宋" w:hAnsi="仿宋" w:eastAsia="仿宋" w:cs="仿宋"/>
          <w:b/>
          <w:bCs/>
          <w:snapToGrid w:val="0"/>
          <w:color w:val="auto"/>
          <w:kern w:val="0"/>
          <w:sz w:val="30"/>
          <w:szCs w:val="30"/>
          <w:highlight w:val="none"/>
          <w:lang w:val="en-US" w:eastAsia="zh-CN"/>
        </w:rPr>
        <w:t xml:space="preserve"> </w:t>
      </w:r>
      <w:r>
        <w:rPr>
          <w:rFonts w:hint="eastAsia" w:ascii="仿宋" w:hAnsi="仿宋" w:eastAsia="仿宋" w:cs="仿宋"/>
          <w:b/>
          <w:bCs/>
          <w:snapToGrid w:val="0"/>
          <w:color w:val="auto"/>
          <w:kern w:val="0"/>
          <w:sz w:val="30"/>
          <w:szCs w:val="30"/>
          <w:highlight w:val="none"/>
        </w:rPr>
        <w:t>日</w:t>
      </w:r>
      <w:r>
        <w:rPr>
          <w:rFonts w:hint="eastAsia"/>
          <w:color w:val="auto"/>
          <w:highlight w:val="none"/>
        </w:rPr>
        <w:br w:type="page"/>
      </w:r>
    </w:p>
    <w:p w14:paraId="55340AC1">
      <w:pPr>
        <w:pStyle w:val="21"/>
        <w:ind w:firstLine="200"/>
        <w:rPr>
          <w:color w:val="auto"/>
          <w:highlight w:val="none"/>
        </w:rPr>
      </w:pPr>
    </w:p>
    <w:p w14:paraId="034E151A">
      <w:pPr>
        <w:jc w:val="center"/>
        <w:rPr>
          <w:rFonts w:ascii="仿宋" w:hAnsi="仿宋" w:eastAsia="仿宋" w:cs="仿宋"/>
          <w:color w:val="auto"/>
          <w:sz w:val="24"/>
          <w:szCs w:val="24"/>
          <w:highlight w:val="none"/>
        </w:rPr>
      </w:pPr>
      <w:r>
        <w:rPr>
          <w:rFonts w:hint="eastAsia" w:ascii="仿宋" w:hAnsi="仿宋" w:eastAsia="仿宋" w:cs="仿宋"/>
          <w:b/>
          <w:bCs/>
          <w:color w:val="auto"/>
          <w:sz w:val="32"/>
          <w:szCs w:val="32"/>
          <w:highlight w:val="none"/>
        </w:rPr>
        <w:t>目  录</w:t>
      </w:r>
    </w:p>
    <w:p w14:paraId="26820CEF">
      <w:pPr>
        <w:pStyle w:val="17"/>
        <w:tabs>
          <w:tab w:val="right" w:leader="dot" w:pos="8296"/>
        </w:tabs>
        <w:spacing w:line="480" w:lineRule="auto"/>
        <w:jc w:val="both"/>
        <w:rPr>
          <w:rFonts w:ascii="仿宋" w:hAnsi="仿宋" w:eastAsia="仿宋" w:cs="仿宋"/>
          <w:b w:val="0"/>
          <w:bCs w:val="0"/>
          <w:caps w:val="0"/>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color w:val="auto"/>
          <w:highlight w:val="none"/>
        </w:rPr>
        <w:fldChar w:fldCharType="begin"/>
      </w:r>
      <w:r>
        <w:rPr>
          <w:color w:val="auto"/>
          <w:highlight w:val="none"/>
        </w:rPr>
        <w:instrText xml:space="preserve"> HYPERLINK \l "_Toc83377239" </w:instrText>
      </w:r>
      <w:r>
        <w:rPr>
          <w:color w:val="auto"/>
          <w:highlight w:val="none"/>
        </w:rPr>
        <w:fldChar w:fldCharType="separate"/>
      </w:r>
      <w:r>
        <w:rPr>
          <w:rStyle w:val="27"/>
          <w:rFonts w:hint="eastAsia" w:ascii="仿宋" w:hAnsi="仿宋" w:eastAsia="仿宋" w:cs="仿宋"/>
          <w:snapToGrid w:val="0"/>
          <w:color w:val="auto"/>
          <w:kern w:val="0"/>
          <w:sz w:val="24"/>
          <w:szCs w:val="24"/>
          <w:highlight w:val="none"/>
        </w:rPr>
        <w:t>第一篇  合同协议书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_Toc83377239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CD72B34">
      <w:pPr>
        <w:pStyle w:val="17"/>
        <w:tabs>
          <w:tab w:val="right" w:leader="dot" w:pos="8296"/>
        </w:tabs>
        <w:spacing w:line="480" w:lineRule="auto"/>
        <w:jc w:val="both"/>
        <w:rPr>
          <w:rFonts w:ascii="仿宋" w:hAnsi="仿宋" w:eastAsia="仿宋" w:cs="仿宋"/>
          <w:b w:val="0"/>
          <w:bCs w:val="0"/>
          <w:caps w:val="0"/>
          <w:color w:val="auto"/>
          <w:sz w:val="24"/>
          <w:szCs w:val="24"/>
          <w:highlight w:val="none"/>
        </w:rPr>
      </w:pPr>
      <w:r>
        <w:rPr>
          <w:color w:val="auto"/>
          <w:highlight w:val="none"/>
        </w:rPr>
        <w:fldChar w:fldCharType="begin"/>
      </w:r>
      <w:r>
        <w:rPr>
          <w:color w:val="auto"/>
          <w:highlight w:val="none"/>
        </w:rPr>
        <w:instrText xml:space="preserve"> HYPERLINK \l "_Toc83377240" </w:instrText>
      </w:r>
      <w:r>
        <w:rPr>
          <w:color w:val="auto"/>
          <w:highlight w:val="none"/>
        </w:rPr>
        <w:fldChar w:fldCharType="separate"/>
      </w:r>
      <w:r>
        <w:rPr>
          <w:rStyle w:val="27"/>
          <w:rFonts w:hint="eastAsia" w:ascii="仿宋" w:hAnsi="仿宋" w:eastAsia="仿宋" w:cs="仿宋"/>
          <w:snapToGrid w:val="0"/>
          <w:color w:val="auto"/>
          <w:kern w:val="0"/>
          <w:sz w:val="24"/>
          <w:szCs w:val="24"/>
          <w:highlight w:val="none"/>
        </w:rPr>
        <w:t>第二篇  合同</w:t>
      </w:r>
      <w:r>
        <w:rPr>
          <w:rStyle w:val="27"/>
          <w:rFonts w:hint="eastAsia" w:ascii="仿宋" w:hAnsi="仿宋" w:eastAsia="仿宋" w:cs="仿宋"/>
          <w:snapToGrid w:val="0"/>
          <w:color w:val="auto"/>
          <w:kern w:val="0"/>
          <w:sz w:val="24"/>
          <w:szCs w:val="24"/>
          <w:highlight w:val="none"/>
          <w:lang w:val="en-US" w:eastAsia="zh-CN"/>
        </w:rPr>
        <w:t>专用</w:t>
      </w:r>
      <w:r>
        <w:rPr>
          <w:rStyle w:val="27"/>
          <w:rFonts w:hint="eastAsia" w:ascii="仿宋" w:hAnsi="仿宋" w:eastAsia="仿宋" w:cs="仿宋"/>
          <w:snapToGrid w:val="0"/>
          <w:color w:val="auto"/>
          <w:kern w:val="0"/>
          <w:sz w:val="24"/>
          <w:szCs w:val="24"/>
          <w:highlight w:val="none"/>
        </w:rPr>
        <w:t>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_Toc83377240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EC3D76F">
      <w:pPr>
        <w:pStyle w:val="17"/>
        <w:tabs>
          <w:tab w:val="right" w:leader="dot" w:pos="8296"/>
        </w:tabs>
        <w:spacing w:line="480" w:lineRule="auto"/>
        <w:jc w:val="both"/>
        <w:rPr>
          <w:rFonts w:ascii="仿宋" w:hAnsi="仿宋" w:eastAsia="仿宋" w:cs="仿宋"/>
          <w:b w:val="0"/>
          <w:bCs w:val="0"/>
          <w:caps w:val="0"/>
          <w:color w:val="auto"/>
          <w:sz w:val="24"/>
          <w:szCs w:val="24"/>
          <w:highlight w:val="none"/>
        </w:rPr>
      </w:pPr>
      <w:r>
        <w:rPr>
          <w:color w:val="auto"/>
          <w:highlight w:val="none"/>
        </w:rPr>
        <w:fldChar w:fldCharType="begin"/>
      </w:r>
      <w:r>
        <w:rPr>
          <w:color w:val="auto"/>
          <w:highlight w:val="none"/>
        </w:rPr>
        <w:instrText xml:space="preserve"> HYPERLINK \l "_Toc83377302" </w:instrText>
      </w:r>
      <w:r>
        <w:rPr>
          <w:color w:val="auto"/>
          <w:highlight w:val="none"/>
        </w:rPr>
        <w:fldChar w:fldCharType="separate"/>
      </w:r>
      <w:r>
        <w:rPr>
          <w:rStyle w:val="27"/>
          <w:rFonts w:hint="eastAsia" w:ascii="仿宋" w:hAnsi="仿宋" w:eastAsia="仿宋" w:cs="仿宋"/>
          <w:snapToGrid w:val="0"/>
          <w:color w:val="auto"/>
          <w:kern w:val="0"/>
          <w:sz w:val="24"/>
          <w:szCs w:val="24"/>
          <w:highlight w:val="none"/>
        </w:rPr>
        <w:t>第三篇  合同附件与格式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_Toc83377302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2D9ABE6">
      <w:pPr>
        <w:adjustRightInd w:val="0"/>
        <w:snapToGrid w:val="0"/>
        <w:spacing w:line="480" w:lineRule="auto"/>
        <w:ind w:firstLine="672" w:firstLineChars="280"/>
        <w:rPr>
          <w:rFonts w:ascii="仿宋" w:hAnsi="仿宋" w:eastAsia="仿宋" w:cs="仿宋"/>
          <w:color w:val="auto"/>
          <w:szCs w:val="24"/>
          <w:highlight w:val="none"/>
        </w:rPr>
      </w:pPr>
      <w:r>
        <w:rPr>
          <w:rFonts w:hint="eastAsia" w:ascii="仿宋" w:hAnsi="仿宋" w:eastAsia="仿宋" w:cs="仿宋"/>
          <w:color w:val="auto"/>
          <w:sz w:val="24"/>
          <w:szCs w:val="24"/>
          <w:highlight w:val="none"/>
        </w:rPr>
        <w:fldChar w:fldCharType="end"/>
      </w:r>
    </w:p>
    <w:p w14:paraId="04083768">
      <w:pPr>
        <w:pStyle w:val="6"/>
        <w:ind w:firstLine="480"/>
        <w:rPr>
          <w:rFonts w:ascii="仿宋" w:hAnsi="仿宋" w:eastAsia="仿宋" w:cs="仿宋"/>
          <w:color w:val="auto"/>
          <w:highlight w:val="none"/>
        </w:rPr>
      </w:pPr>
    </w:p>
    <w:p w14:paraId="040CB3DF">
      <w:pPr>
        <w:pStyle w:val="6"/>
        <w:ind w:firstLine="0" w:firstLineChars="0"/>
        <w:rPr>
          <w:rFonts w:ascii="仿宋" w:hAnsi="仿宋" w:eastAsia="仿宋" w:cs="仿宋"/>
          <w:color w:val="auto"/>
          <w:highlight w:val="none"/>
        </w:rPr>
        <w:sectPr>
          <w:footerReference r:id="rId5" w:type="first"/>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D94CCD7">
      <w:pPr>
        <w:adjustRightInd w:val="0"/>
        <w:snapToGrid w:val="0"/>
        <w:spacing w:line="360" w:lineRule="auto"/>
        <w:ind w:right="11"/>
        <w:jc w:val="center"/>
        <w:outlineLvl w:val="0"/>
        <w:rPr>
          <w:rFonts w:ascii="仿宋" w:hAnsi="仿宋" w:eastAsia="仿宋" w:cs="仿宋"/>
          <w:b/>
          <w:bCs/>
          <w:snapToGrid w:val="0"/>
          <w:color w:val="auto"/>
          <w:kern w:val="0"/>
          <w:sz w:val="44"/>
          <w:szCs w:val="44"/>
          <w:highlight w:val="none"/>
        </w:rPr>
      </w:pPr>
      <w:bookmarkStart w:id="0" w:name="_Toc83377239"/>
      <w:bookmarkStart w:id="1" w:name="_Toc2784851"/>
      <w:bookmarkStart w:id="2" w:name="_Toc12540"/>
      <w:r>
        <w:rPr>
          <w:rFonts w:hint="eastAsia" w:ascii="仿宋" w:hAnsi="仿宋" w:eastAsia="仿宋" w:cs="仿宋"/>
          <w:b/>
          <w:bCs/>
          <w:snapToGrid w:val="0"/>
          <w:color w:val="auto"/>
          <w:kern w:val="0"/>
          <w:sz w:val="44"/>
          <w:szCs w:val="44"/>
          <w:highlight w:val="none"/>
        </w:rPr>
        <w:t>第一篇  合同协议书</w:t>
      </w:r>
      <w:bookmarkEnd w:id="0"/>
      <w:bookmarkEnd w:id="1"/>
      <w:bookmarkEnd w:id="2"/>
    </w:p>
    <w:p w14:paraId="1293926D">
      <w:pPr>
        <w:adjustRightInd w:val="0"/>
        <w:snapToGrid w:val="0"/>
        <w:spacing w:line="360" w:lineRule="auto"/>
        <w:ind w:firstLine="480" w:firstLineChars="200"/>
        <w:rPr>
          <w:rFonts w:hint="eastAsia" w:ascii="仿宋" w:hAnsi="仿宋" w:eastAsia="仿宋" w:cs="仿宋"/>
          <w:b w:val="0"/>
          <w:bCs/>
          <w:snapToGrid w:val="0"/>
          <w:color w:val="auto"/>
          <w:kern w:val="0"/>
          <w:sz w:val="24"/>
          <w:szCs w:val="24"/>
          <w:highlight w:val="none"/>
          <w:u w:val="none"/>
          <w:lang w:eastAsia="zh-CN"/>
        </w:rPr>
      </w:pPr>
      <w:r>
        <w:rPr>
          <w:rFonts w:hint="eastAsia" w:ascii="仿宋" w:hAnsi="仿宋" w:eastAsia="仿宋" w:cs="仿宋"/>
          <w:b w:val="0"/>
          <w:bCs/>
          <w:color w:val="auto"/>
          <w:sz w:val="24"/>
          <w:highlight w:val="none"/>
        </w:rPr>
        <w:t>发包人（全称）</w:t>
      </w:r>
      <w:r>
        <w:rPr>
          <w:rFonts w:hint="eastAsia" w:ascii="仿宋" w:hAnsi="仿宋" w:eastAsia="仿宋" w:cs="仿宋"/>
          <w:b w:val="0"/>
          <w:bCs/>
          <w:color w:val="auto"/>
          <w:sz w:val="24"/>
          <w:highlight w:val="none"/>
          <w:u w:val="none"/>
        </w:rPr>
        <w:t>：广州白云棠涌置地有限公司</w:t>
      </w:r>
      <w:r>
        <w:rPr>
          <w:rFonts w:hint="eastAsia" w:ascii="仿宋" w:hAnsi="仿宋" w:eastAsia="仿宋" w:cs="仿宋"/>
          <w:b w:val="0"/>
          <w:bCs/>
          <w:color w:val="auto"/>
          <w:sz w:val="24"/>
          <w:szCs w:val="24"/>
          <w:highlight w:val="none"/>
          <w:u w:val="none"/>
          <w:lang w:val="en-US" w:eastAsia="zh-CN"/>
        </w:rPr>
        <w:t xml:space="preserve"> </w:t>
      </w:r>
    </w:p>
    <w:p w14:paraId="6352473E">
      <w:pPr>
        <w:spacing w:after="156" w:afterLines="50" w:line="360" w:lineRule="auto"/>
        <w:ind w:firstLine="480" w:firstLineChars="200"/>
        <w:rPr>
          <w:rFonts w:hint="eastAsia" w:ascii="仿宋" w:hAnsi="仿宋" w:eastAsia="仿宋" w:cs="仿宋"/>
          <w:b w:val="0"/>
          <w:bCs/>
          <w:color w:val="auto"/>
          <w:sz w:val="24"/>
          <w:highlight w:val="none"/>
          <w:u w:val="none"/>
          <w:lang w:eastAsia="zh-CN"/>
        </w:rPr>
      </w:pPr>
      <w:r>
        <w:rPr>
          <w:rFonts w:hint="eastAsia" w:ascii="仿宋" w:hAnsi="仿宋" w:eastAsia="仿宋" w:cs="仿宋"/>
          <w:b w:val="0"/>
          <w:bCs/>
          <w:color w:val="auto"/>
          <w:sz w:val="24"/>
          <w:highlight w:val="none"/>
          <w:u w:val="none"/>
        </w:rPr>
        <w:t>承包人（全称）</w:t>
      </w:r>
      <w:r>
        <w:rPr>
          <w:rFonts w:hint="eastAsia" w:ascii="仿宋" w:hAnsi="仿宋" w:eastAsia="仿宋" w:cs="仿宋"/>
          <w:b w:val="0"/>
          <w:bCs/>
          <w:color w:val="auto"/>
          <w:sz w:val="24"/>
          <w:highlight w:val="none"/>
          <w:u w:val="none"/>
          <w:lang w:eastAsia="zh-CN"/>
        </w:rPr>
        <w:t>：</w:t>
      </w:r>
      <w:r>
        <w:rPr>
          <w:rFonts w:hint="eastAsia" w:ascii="仿宋" w:hAnsi="仿宋" w:eastAsia="仿宋" w:cs="仿宋"/>
          <w:b w:val="0"/>
          <w:bCs/>
          <w:snapToGrid/>
          <w:color w:val="auto"/>
          <w:kern w:val="2"/>
          <w:sz w:val="24"/>
          <w:szCs w:val="24"/>
          <w:highlight w:val="none"/>
          <w:u w:val="none"/>
          <w:lang w:val="en-US" w:eastAsia="zh-CN"/>
        </w:rPr>
        <w:t xml:space="preserve"> </w:t>
      </w:r>
    </w:p>
    <w:p w14:paraId="0699453F">
      <w:pPr>
        <w:spacing w:after="156" w:afterLines="50" w:line="360" w:lineRule="auto"/>
        <w:ind w:firstLine="566" w:firstLineChars="236"/>
        <w:jc w:val="left"/>
        <w:rPr>
          <w:rFonts w:ascii="仿宋" w:hAnsi="仿宋" w:eastAsia="仿宋" w:cs="仿宋"/>
          <w:b/>
          <w:bCs/>
          <w:color w:val="auto"/>
          <w:sz w:val="52"/>
          <w:szCs w:val="52"/>
          <w:highlight w:val="none"/>
        </w:rPr>
      </w:pPr>
      <w:r>
        <w:rPr>
          <w:rFonts w:hint="eastAsia" w:ascii="仿宋" w:hAnsi="仿宋" w:eastAsia="仿宋" w:cs="仿宋"/>
          <w:color w:val="auto"/>
          <w:sz w:val="24"/>
          <w:highlight w:val="none"/>
        </w:rPr>
        <w:t>依照《中华人民共和国民法典》《中华人民共和国建筑法》《中华人民共和国招标投标法》及相关法律、行政法规，遵循平等、自愿、公平和诚信原则，合同双方就工程设计施工总承包事宜经协商一致，订立本合同。</w:t>
      </w:r>
    </w:p>
    <w:p w14:paraId="55F362B3">
      <w:pP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rPr>
        <w:t>工程概况</w:t>
      </w:r>
    </w:p>
    <w:p w14:paraId="7764B040">
      <w:pPr>
        <w:adjustRightInd w:val="0"/>
        <w:snapToGrid w:val="0"/>
        <w:spacing w:line="360" w:lineRule="auto"/>
        <w:ind w:right="11" w:firstLine="480" w:firstLineChars="200"/>
        <w:rPr>
          <w:rFonts w:ascii="仿宋" w:hAnsi="仿宋" w:eastAsia="仿宋" w:cs="仿宋"/>
          <w:b w:val="0"/>
          <w:bCs w:val="0"/>
          <w:snapToGrid w:val="0"/>
          <w:color w:val="auto"/>
          <w:kern w:val="0"/>
          <w:sz w:val="24"/>
          <w:szCs w:val="24"/>
          <w:highlight w:val="none"/>
        </w:rPr>
      </w:pPr>
      <w:r>
        <w:rPr>
          <w:rFonts w:hint="eastAsia" w:ascii="仿宋" w:hAnsi="仿宋" w:eastAsia="仿宋" w:cs="仿宋"/>
          <w:bCs/>
          <w:snapToGrid w:val="0"/>
          <w:color w:val="auto"/>
          <w:kern w:val="0"/>
          <w:sz w:val="24"/>
          <w:highlight w:val="none"/>
        </w:rPr>
        <w:t>1.1工程名称：</w:t>
      </w:r>
      <w:r>
        <w:rPr>
          <w:rFonts w:hint="eastAsia" w:ascii="仿宋" w:hAnsi="仿宋" w:eastAsia="仿宋" w:cs="仿宋"/>
          <w:bCs/>
          <w:snapToGrid w:val="0"/>
          <w:color w:val="auto"/>
          <w:kern w:val="0"/>
          <w:sz w:val="24"/>
          <w:highlight w:val="none"/>
          <w:u w:val="single"/>
          <w:lang w:val="en-US" w:eastAsia="zh-CN"/>
        </w:rPr>
        <w:t>广州市白云区棠涌村城中村改造－城中村展示中心项目</w:t>
      </w:r>
      <w:r>
        <w:rPr>
          <w:rFonts w:hint="eastAsia" w:ascii="仿宋" w:hAnsi="仿宋" w:eastAsia="仿宋" w:cs="仿宋"/>
          <w:bCs/>
          <w:snapToGrid w:val="0"/>
          <w:color w:val="auto"/>
          <w:kern w:val="0"/>
          <w:sz w:val="24"/>
          <w:highlight w:val="none"/>
          <w:u w:val="single"/>
        </w:rPr>
        <w:t>设计施工总承包（EPC）</w:t>
      </w:r>
      <w:r>
        <w:rPr>
          <w:rFonts w:hint="eastAsia" w:ascii="仿宋" w:hAnsi="仿宋" w:eastAsia="仿宋" w:cs="仿宋"/>
          <w:color w:val="auto"/>
          <w:sz w:val="24"/>
          <w:highlight w:val="none"/>
        </w:rPr>
        <w:t>。</w:t>
      </w:r>
    </w:p>
    <w:p w14:paraId="6320AB1F">
      <w:pPr>
        <w:adjustRightInd w:val="0"/>
        <w:snapToGrid w:val="0"/>
        <w:spacing w:line="360" w:lineRule="auto"/>
        <w:ind w:right="11" w:firstLine="480" w:firstLineChars="200"/>
        <w:rPr>
          <w:rFonts w:hint="eastAsia" w:ascii="仿宋" w:hAnsi="仿宋" w:eastAsia="仿宋" w:cs="仿宋"/>
          <w:b w:val="0"/>
          <w:bCs w:val="0"/>
          <w:snapToGrid w:val="0"/>
          <w:color w:val="auto"/>
          <w:kern w:val="0"/>
          <w:sz w:val="24"/>
          <w:szCs w:val="24"/>
          <w:highlight w:val="none"/>
          <w:u w:val="single"/>
        </w:rPr>
      </w:pPr>
      <w:r>
        <w:rPr>
          <w:rFonts w:hint="eastAsia" w:ascii="仿宋" w:hAnsi="仿宋" w:eastAsia="仿宋" w:cs="仿宋"/>
          <w:b w:val="0"/>
          <w:bCs w:val="0"/>
          <w:snapToGrid w:val="0"/>
          <w:color w:val="auto"/>
          <w:kern w:val="0"/>
          <w:sz w:val="24"/>
          <w:highlight w:val="none"/>
        </w:rPr>
        <w:t>1.2工程地点：</w:t>
      </w:r>
      <w:r>
        <w:rPr>
          <w:rFonts w:hint="eastAsia" w:ascii="仿宋" w:hAnsi="仿宋" w:eastAsia="仿宋" w:cs="仿宋"/>
          <w:b w:val="0"/>
          <w:bCs w:val="0"/>
          <w:snapToGrid w:val="0"/>
          <w:color w:val="auto"/>
          <w:kern w:val="0"/>
          <w:sz w:val="24"/>
          <w:highlight w:val="none"/>
          <w:lang w:val="en-US" w:eastAsia="zh-CN"/>
        </w:rPr>
        <w:t>广州市白云区新市街道棠涌村11社24栋棠涌汇众商务大厦</w:t>
      </w:r>
      <w:r>
        <w:rPr>
          <w:rFonts w:hint="eastAsia" w:ascii="仿宋" w:hAnsi="仿宋" w:eastAsia="仿宋" w:cs="仿宋"/>
          <w:b w:val="0"/>
          <w:bCs w:val="0"/>
          <w:snapToGrid w:val="0"/>
          <w:color w:val="auto"/>
          <w:kern w:val="0"/>
          <w:sz w:val="24"/>
          <w:szCs w:val="24"/>
          <w:highlight w:val="none"/>
          <w:u w:val="single"/>
        </w:rPr>
        <w:t>。</w:t>
      </w:r>
    </w:p>
    <w:p w14:paraId="1C24E866">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1.3资金来源：</w:t>
      </w:r>
      <w:r>
        <w:rPr>
          <w:rFonts w:hint="eastAsia" w:ascii="仿宋" w:hAnsi="仿宋" w:eastAsia="仿宋" w:cs="仿宋"/>
          <w:bCs/>
          <w:snapToGrid w:val="0"/>
          <w:color w:val="auto"/>
          <w:kern w:val="0"/>
          <w:sz w:val="24"/>
          <w:highlight w:val="none"/>
          <w:u w:val="single"/>
        </w:rPr>
        <w:t>企业自筹资金</w:t>
      </w:r>
      <w:r>
        <w:rPr>
          <w:rFonts w:hint="eastAsia" w:ascii="仿宋" w:hAnsi="仿宋" w:eastAsia="仿宋" w:cs="仿宋"/>
          <w:bCs/>
          <w:snapToGrid w:val="0"/>
          <w:color w:val="auto"/>
          <w:kern w:val="0"/>
          <w:sz w:val="24"/>
          <w:highlight w:val="none"/>
        </w:rPr>
        <w:t>。</w:t>
      </w:r>
    </w:p>
    <w:p w14:paraId="33FB20F8">
      <w:pPr>
        <w:adjustRightInd w:val="0"/>
        <w:snapToGrid w:val="0"/>
        <w:spacing w:line="360" w:lineRule="auto"/>
        <w:ind w:right="11"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hint="eastAsia" w:ascii="仿宋" w:hAnsi="仿宋" w:eastAsia="仿宋" w:cs="仿宋"/>
          <w:bCs/>
          <w:snapToGrid w:val="0"/>
          <w:color w:val="auto"/>
          <w:kern w:val="0"/>
          <w:sz w:val="24"/>
          <w:highlight w:val="none"/>
          <w:lang w:val="en-US" w:eastAsia="zh-CN"/>
        </w:rPr>
        <w:t>4</w:t>
      </w:r>
      <w:r>
        <w:rPr>
          <w:rFonts w:hint="eastAsia" w:ascii="仿宋" w:hAnsi="仿宋" w:eastAsia="仿宋" w:cs="仿宋"/>
          <w:bCs/>
          <w:snapToGrid w:val="0"/>
          <w:color w:val="auto"/>
          <w:kern w:val="0"/>
          <w:sz w:val="24"/>
          <w:highlight w:val="none"/>
        </w:rPr>
        <w:t>工程规模：本项目为广州市白云区棠涌村城中村改造</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城中村展示中心</w:t>
      </w:r>
      <w:r>
        <w:rPr>
          <w:rFonts w:hint="eastAsia" w:ascii="仿宋" w:hAnsi="仿宋" w:eastAsia="仿宋" w:cs="仿宋"/>
          <w:bCs/>
          <w:snapToGrid w:val="0"/>
          <w:color w:val="auto"/>
          <w:kern w:val="0"/>
          <w:sz w:val="24"/>
          <w:highlight w:val="none"/>
          <w:lang w:val="en-US" w:eastAsia="zh-CN"/>
        </w:rPr>
        <w:t>装修</w:t>
      </w:r>
      <w:r>
        <w:rPr>
          <w:rFonts w:hint="eastAsia" w:ascii="仿宋" w:hAnsi="仿宋" w:eastAsia="仿宋" w:cs="仿宋"/>
          <w:bCs/>
          <w:snapToGrid w:val="0"/>
          <w:color w:val="auto"/>
          <w:kern w:val="0"/>
          <w:sz w:val="24"/>
          <w:highlight w:val="none"/>
        </w:rPr>
        <w:t>改造工程，总建筑面积4897.55㎡，总设计面积约1935㎡。改造范围涵盖商务大厦室内1-2层</w:t>
      </w:r>
      <w:r>
        <w:rPr>
          <w:rFonts w:hint="eastAsia" w:ascii="仿宋" w:hAnsi="仿宋" w:eastAsia="仿宋" w:cs="仿宋"/>
          <w:bCs/>
          <w:snapToGrid w:val="0"/>
          <w:color w:val="auto"/>
          <w:kern w:val="0"/>
          <w:sz w:val="24"/>
          <w:highlight w:val="none"/>
          <w:lang w:eastAsia="zh"/>
          <w:woUserID w:val="1"/>
        </w:rPr>
        <w:t>（含装修、安装工程、</w:t>
      </w:r>
      <w:r>
        <w:rPr>
          <w:rFonts w:hint="eastAsia" w:ascii="仿宋" w:hAnsi="仿宋" w:eastAsia="仿宋" w:cs="仿宋"/>
          <w:iCs/>
          <w:strike w:val="0"/>
          <w:color w:val="auto"/>
          <w:kern w:val="0"/>
          <w:sz w:val="24"/>
          <w:szCs w:val="24"/>
          <w:highlight w:val="none"/>
          <w:woUserID w:val="1"/>
        </w:rPr>
        <w:t>沙盘、展陈物料、设备及安装数字内容策划及制作</w:t>
      </w:r>
      <w:r>
        <w:rPr>
          <w:rFonts w:hint="eastAsia" w:ascii="仿宋" w:hAnsi="仿宋" w:eastAsia="仿宋" w:cs="仿宋"/>
          <w:iCs/>
          <w:strike w:val="0"/>
          <w:color w:val="auto"/>
          <w:kern w:val="0"/>
          <w:sz w:val="24"/>
          <w:szCs w:val="24"/>
          <w:highlight w:val="none"/>
          <w:lang w:eastAsia="zh"/>
          <w:woUserID w:val="1"/>
        </w:rPr>
        <w:t>等</w:t>
      </w:r>
      <w:r>
        <w:rPr>
          <w:rFonts w:hint="eastAsia" w:ascii="仿宋" w:hAnsi="仿宋" w:eastAsia="仿宋" w:cs="仿宋"/>
          <w:bCs/>
          <w:snapToGrid w:val="0"/>
          <w:color w:val="auto"/>
          <w:kern w:val="0"/>
          <w:sz w:val="24"/>
          <w:highlight w:val="none"/>
          <w:lang w:eastAsia="zh"/>
          <w:woUserID w:val="1"/>
        </w:rPr>
        <w:t>）</w:t>
      </w:r>
      <w:r>
        <w:rPr>
          <w:rFonts w:hint="eastAsia" w:ascii="仿宋" w:hAnsi="仿宋" w:eastAsia="仿宋" w:cs="仿宋"/>
          <w:bCs/>
          <w:snapToGrid w:val="0"/>
          <w:color w:val="auto"/>
          <w:kern w:val="0"/>
          <w:sz w:val="24"/>
          <w:highlight w:val="none"/>
        </w:rPr>
        <w:t>、建筑外立面及周边停车场。</w:t>
      </w:r>
    </w:p>
    <w:p w14:paraId="139D0697">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本项目设计范围包括室内空间和室外空间，具体区域划分如下：</w:t>
      </w:r>
    </w:p>
    <w:p w14:paraId="396315A6">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室内空间按功能划分为两个区域：</w:t>
      </w:r>
    </w:p>
    <w:p w14:paraId="7C402459">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eastAsia" w:ascii="仿宋" w:hAnsi="仿宋" w:eastAsia="仿宋" w:cs="仿宋"/>
          <w:bCs/>
          <w:snapToGrid w:val="0"/>
          <w:color w:val="auto"/>
          <w:kern w:val="0"/>
          <w:sz w:val="24"/>
          <w:highlight w:val="none"/>
          <w:lang w:val="en-US" w:eastAsia="zh-CN"/>
        </w:rPr>
        <w:t>（1）</w:t>
      </w:r>
      <w:r>
        <w:rPr>
          <w:rFonts w:hint="default" w:ascii="仿宋" w:hAnsi="仿宋" w:eastAsia="仿宋" w:cs="仿宋"/>
          <w:bCs/>
          <w:snapToGrid w:val="0"/>
          <w:color w:val="auto"/>
          <w:kern w:val="0"/>
          <w:sz w:val="24"/>
          <w:highlight w:val="none"/>
          <w:lang w:val="en-US" w:eastAsia="zh-CN"/>
        </w:rPr>
        <w:t>城市展厅，设计面积约534㎡，具备项目宣传、学术交流、智能建造、CIM演示、宜居展示等功能</w:t>
      </w:r>
      <w:r>
        <w:rPr>
          <w:rFonts w:hint="default" w:ascii="仿宋" w:hAnsi="仿宋" w:eastAsia="仿宋" w:cs="仿宋"/>
          <w:bCs/>
          <w:snapToGrid w:val="0"/>
          <w:color w:val="auto"/>
          <w:kern w:val="0"/>
          <w:sz w:val="24"/>
          <w:highlight w:val="none"/>
        </w:rPr>
        <w:t>、VIP接待，具备政务接待、会务功能等功能</w:t>
      </w:r>
      <w:r>
        <w:rPr>
          <w:rFonts w:hint="default" w:ascii="仿宋" w:hAnsi="仿宋" w:eastAsia="仿宋" w:cs="仿宋"/>
          <w:bCs/>
          <w:snapToGrid w:val="0"/>
          <w:color w:val="auto"/>
          <w:kern w:val="0"/>
          <w:sz w:val="24"/>
          <w:highlight w:val="none"/>
          <w:lang w:val="en-US" w:eastAsia="zh-CN"/>
        </w:rPr>
        <w:t>；</w:t>
      </w:r>
    </w:p>
    <w:p w14:paraId="15A8A298">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eastAsia" w:ascii="仿宋" w:hAnsi="仿宋" w:eastAsia="仿宋" w:cs="仿宋"/>
          <w:bCs/>
          <w:snapToGrid w:val="0"/>
          <w:color w:val="auto"/>
          <w:kern w:val="0"/>
          <w:sz w:val="24"/>
          <w:highlight w:val="none"/>
          <w:lang w:val="en-US" w:eastAsia="zh-CN"/>
        </w:rPr>
        <w:t>（2）</w:t>
      </w:r>
      <w:r>
        <w:rPr>
          <w:rFonts w:hint="default" w:ascii="仿宋" w:hAnsi="仿宋" w:eastAsia="仿宋" w:cs="仿宋"/>
          <w:bCs/>
          <w:snapToGrid w:val="0"/>
          <w:color w:val="auto"/>
          <w:kern w:val="0"/>
          <w:sz w:val="24"/>
          <w:highlight w:val="none"/>
          <w:lang w:val="en-US" w:eastAsia="zh-CN"/>
        </w:rPr>
        <w:t>办公区域，设计面积约1401㎡，具备咨询窗口、办案窗口、市民接待、政务接待、会务功能、日常办公等功能；</w:t>
      </w:r>
    </w:p>
    <w:p w14:paraId="2AF67544">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室外空间划分为两个区域：</w:t>
      </w:r>
    </w:p>
    <w:p w14:paraId="7BBBFF28">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eastAsia" w:ascii="仿宋" w:hAnsi="仿宋" w:eastAsia="仿宋" w:cs="仿宋"/>
          <w:bCs/>
          <w:snapToGrid w:val="0"/>
          <w:color w:val="auto"/>
          <w:kern w:val="0"/>
          <w:sz w:val="24"/>
          <w:highlight w:val="none"/>
          <w:lang w:val="en-US" w:eastAsia="zh-CN"/>
        </w:rPr>
        <w:t>（1）</w:t>
      </w:r>
      <w:r>
        <w:rPr>
          <w:rFonts w:hint="default" w:ascii="仿宋" w:hAnsi="仿宋" w:eastAsia="仿宋" w:cs="仿宋"/>
          <w:bCs/>
          <w:snapToGrid w:val="0"/>
          <w:color w:val="auto"/>
          <w:kern w:val="0"/>
          <w:sz w:val="24"/>
          <w:highlight w:val="none"/>
          <w:lang w:val="en-US" w:eastAsia="zh-CN"/>
        </w:rPr>
        <w:t>外立面区域，面积约：2723.90㎡；</w:t>
      </w:r>
    </w:p>
    <w:p w14:paraId="44C5FA91">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eastAsia" w:ascii="仿宋" w:hAnsi="仿宋" w:eastAsia="仿宋" w:cs="仿宋"/>
          <w:bCs/>
          <w:snapToGrid w:val="0"/>
          <w:color w:val="auto"/>
          <w:kern w:val="0"/>
          <w:sz w:val="24"/>
          <w:highlight w:val="none"/>
          <w:lang w:val="en-US" w:eastAsia="zh-CN"/>
        </w:rPr>
        <w:t>（2）</w:t>
      </w:r>
      <w:r>
        <w:rPr>
          <w:rFonts w:hint="default" w:ascii="仿宋" w:hAnsi="仿宋" w:eastAsia="仿宋" w:cs="仿宋"/>
          <w:bCs/>
          <w:snapToGrid w:val="0"/>
          <w:color w:val="auto"/>
          <w:kern w:val="0"/>
          <w:sz w:val="24"/>
          <w:highlight w:val="none"/>
          <w:lang w:val="en-US" w:eastAsia="zh-CN"/>
        </w:rPr>
        <w:t>大楼停车场，面积约：1311㎡，包括停车场、绿化等。</w:t>
      </w:r>
    </w:p>
    <w:p w14:paraId="1A79F601">
      <w:pPr>
        <w:adjustRightInd w:val="0"/>
        <w:snapToGrid w:val="0"/>
        <w:spacing w:line="360" w:lineRule="auto"/>
        <w:ind w:right="11"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注：室内设计面积为室内套内面积，面积及功能最终以</w:t>
      </w:r>
      <w:r>
        <w:rPr>
          <w:rFonts w:hint="eastAsia" w:ascii="仿宋" w:hAnsi="仿宋" w:eastAsia="仿宋" w:cs="仿宋"/>
          <w:bCs/>
          <w:snapToGrid w:val="0"/>
          <w:color w:val="auto"/>
          <w:kern w:val="0"/>
          <w:sz w:val="24"/>
          <w:highlight w:val="none"/>
          <w:lang w:val="en-US" w:eastAsia="zh-CN"/>
        </w:rPr>
        <w:t>发包人</w:t>
      </w:r>
      <w:r>
        <w:rPr>
          <w:rFonts w:hint="default" w:ascii="仿宋" w:hAnsi="仿宋" w:eastAsia="仿宋" w:cs="仿宋"/>
          <w:bCs/>
          <w:snapToGrid w:val="0"/>
          <w:color w:val="auto"/>
          <w:kern w:val="0"/>
          <w:sz w:val="24"/>
          <w:highlight w:val="none"/>
          <w:lang w:val="en-US" w:eastAsia="zh-CN"/>
        </w:rPr>
        <w:t>确认的设计方案和概算范围为准。</w:t>
      </w:r>
    </w:p>
    <w:p w14:paraId="7E230938">
      <w:pPr>
        <w:numPr>
          <w:ilvl w:val="0"/>
          <w:numId w:val="1"/>
        </w:numP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承包范围、承包方式和投资控制</w:t>
      </w:r>
    </w:p>
    <w:p w14:paraId="610D9D95">
      <w:pPr>
        <w:pStyle w:val="6"/>
        <w:spacing w:line="360" w:lineRule="auto"/>
        <w:ind w:firstLine="0" w:firstLineChars="0"/>
        <w:rPr>
          <w:rFonts w:ascii="仿宋" w:hAnsi="仿宋" w:eastAsia="仿宋" w:cs="仿宋"/>
          <w:iCs/>
          <w:color w:val="auto"/>
          <w:kern w:val="0"/>
          <w:highlight w:val="none"/>
        </w:rPr>
      </w:pPr>
      <w:r>
        <w:rPr>
          <w:rFonts w:hint="eastAsia" w:ascii="仿宋" w:hAnsi="仿宋" w:eastAsia="仿宋" w:cs="仿宋"/>
          <w:bCs/>
          <w:snapToGrid w:val="0"/>
          <w:color w:val="auto"/>
          <w:kern w:val="0"/>
          <w:szCs w:val="22"/>
          <w:highlight w:val="none"/>
        </w:rPr>
        <w:t xml:space="preserve">    2</w:t>
      </w:r>
      <w:r>
        <w:rPr>
          <w:rFonts w:hint="eastAsia" w:ascii="仿宋" w:hAnsi="仿宋" w:eastAsia="仿宋" w:cs="仿宋"/>
          <w:iCs/>
          <w:color w:val="auto"/>
          <w:kern w:val="0"/>
          <w:highlight w:val="none"/>
        </w:rPr>
        <w:t>.1承包范围</w:t>
      </w:r>
    </w:p>
    <w:p w14:paraId="4EF253B5">
      <w:pPr>
        <w:adjustRightInd w:val="0"/>
        <w:snapToGrid w:val="0"/>
        <w:spacing w:line="360" w:lineRule="auto"/>
        <w:ind w:right="11" w:firstLine="480" w:firstLineChars="200"/>
        <w:rPr>
          <w:rFonts w:ascii="仿宋" w:hAnsi="仿宋" w:eastAsia="仿宋" w:cs="仿宋"/>
          <w:color w:val="auto"/>
          <w:kern w:val="0"/>
          <w:sz w:val="24"/>
          <w:szCs w:val="24"/>
          <w:highlight w:val="none"/>
          <w:u w:val="single"/>
        </w:rPr>
      </w:pPr>
      <w:r>
        <w:rPr>
          <w:rFonts w:hint="eastAsia" w:ascii="仿宋" w:hAnsi="仿宋" w:eastAsia="仿宋" w:cs="仿宋"/>
          <w:iCs/>
          <w:color w:val="auto"/>
          <w:kern w:val="0"/>
          <w:sz w:val="24"/>
          <w:szCs w:val="24"/>
          <w:highlight w:val="none"/>
        </w:rPr>
        <w:t>根据</w:t>
      </w:r>
      <w:r>
        <w:rPr>
          <w:rFonts w:hint="eastAsia" w:ascii="仿宋" w:hAnsi="仿宋" w:eastAsia="仿宋" w:cs="仿宋"/>
          <w:color w:val="auto"/>
          <w:sz w:val="24"/>
          <w:szCs w:val="24"/>
          <w:highlight w:val="none"/>
        </w:rPr>
        <w:t>发包人基础资料和工程管理要求，</w:t>
      </w:r>
      <w:r>
        <w:rPr>
          <w:rFonts w:hint="eastAsia" w:ascii="仿宋" w:hAnsi="仿宋" w:eastAsia="仿宋" w:cs="仿宋"/>
          <w:color w:val="auto"/>
          <w:sz w:val="24"/>
          <w:szCs w:val="24"/>
          <w:highlight w:val="none"/>
          <w:lang w:eastAsia="zh-CN"/>
        </w:rPr>
        <w:t>完成</w:t>
      </w:r>
      <w:r>
        <w:rPr>
          <w:rFonts w:hint="eastAsia" w:ascii="仿宋" w:hAnsi="仿宋" w:eastAsia="仿宋" w:cs="仿宋"/>
          <w:color w:val="auto"/>
          <w:sz w:val="24"/>
          <w:szCs w:val="24"/>
          <w:highlight w:val="none"/>
        </w:rPr>
        <w:t>后续设计、施工、工程竣工验收及合同结算、工程整体移交、工程保修期内的缺陷修复等。</w:t>
      </w:r>
      <w:r>
        <w:rPr>
          <w:rFonts w:hint="eastAsia" w:ascii="仿宋" w:hAnsi="仿宋" w:eastAsia="仿宋" w:cs="仿宋"/>
          <w:color w:val="auto"/>
          <w:sz w:val="24"/>
          <w:highlight w:val="none"/>
          <w:u w:val="single"/>
        </w:rPr>
        <w:t>具体以发包人确认的施工图及工程量清单、工作委托单、竣工图为准等</w:t>
      </w:r>
      <w:r>
        <w:rPr>
          <w:rFonts w:hint="eastAsia" w:ascii="仿宋" w:hAnsi="仿宋" w:eastAsia="仿宋" w:cs="仿宋"/>
          <w:color w:val="auto"/>
          <w:kern w:val="0"/>
          <w:sz w:val="24"/>
          <w:szCs w:val="24"/>
          <w:highlight w:val="none"/>
          <w:u w:val="single"/>
        </w:rPr>
        <w:t>工作，包括但不限于以下内容：</w:t>
      </w:r>
    </w:p>
    <w:p w14:paraId="3998DC71">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2.1.1设计部分：</w:t>
      </w:r>
    </w:p>
    <w:p w14:paraId="1FBEB872">
      <w:pPr>
        <w:spacing w:line="360" w:lineRule="auto"/>
        <w:ind w:firstLine="480" w:firstLineChars="200"/>
        <w:rPr>
          <w:color w:val="auto"/>
          <w:highlight w:val="none"/>
        </w:rPr>
      </w:pPr>
      <w:bookmarkStart w:id="3" w:name="_Hlk157011798"/>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.1</w:t>
      </w:r>
      <w:r>
        <w:rPr>
          <w:rFonts w:hint="eastAsia" w:ascii="仿宋" w:hAnsi="仿宋" w:eastAsia="仿宋" w:cs="仿宋"/>
          <w:iCs/>
          <w:color w:val="auto"/>
          <w:kern w:val="0"/>
          <w:sz w:val="24"/>
          <w:szCs w:val="24"/>
          <w:highlight w:val="none"/>
        </w:rPr>
        <w:t>根据本项目基础资料、设计任务书</w:t>
      </w:r>
      <w:r>
        <w:rPr>
          <w:rFonts w:hint="eastAsia" w:ascii="仿宋" w:hAnsi="仿宋" w:eastAsia="仿宋" w:cs="仿宋"/>
          <w:iCs/>
          <w:strike w:val="0"/>
          <w:color w:val="auto"/>
          <w:kern w:val="0"/>
          <w:sz w:val="24"/>
          <w:szCs w:val="24"/>
          <w:highlight w:val="none"/>
          <w:woUserID w:val="1"/>
        </w:rPr>
        <w:t>及</w:t>
      </w:r>
      <w:r>
        <w:rPr>
          <w:rFonts w:hint="eastAsia" w:ascii="仿宋" w:hAnsi="仿宋" w:eastAsia="仿宋" w:cs="仿宋"/>
          <w:iCs/>
          <w:color w:val="auto"/>
          <w:kern w:val="0"/>
          <w:sz w:val="24"/>
          <w:szCs w:val="24"/>
          <w:highlight w:val="none"/>
          <w:lang w:eastAsia="zh-CN"/>
        </w:rPr>
        <w:t>工程管理要求，承担本项目范围内：各专业工程方案设计（</w:t>
      </w:r>
      <w:r>
        <w:rPr>
          <w:rFonts w:hint="eastAsia" w:ascii="仿宋" w:hAnsi="仿宋" w:eastAsia="仿宋" w:cs="仿宋"/>
          <w:iCs/>
          <w:color w:val="auto"/>
          <w:kern w:val="0"/>
          <w:sz w:val="24"/>
          <w:szCs w:val="24"/>
          <w:highlight w:val="none"/>
          <w:lang w:val="en-US" w:eastAsia="zh-CN"/>
        </w:rPr>
        <w:t>如有</w:t>
      </w:r>
      <w:r>
        <w:rPr>
          <w:rFonts w:hint="eastAsia" w:ascii="仿宋" w:hAnsi="仿宋" w:eastAsia="仿宋" w:cs="仿宋"/>
          <w:iCs/>
          <w:color w:val="auto"/>
          <w:kern w:val="0"/>
          <w:sz w:val="24"/>
          <w:szCs w:val="24"/>
          <w:highlight w:val="none"/>
          <w:lang w:eastAsia="zh-CN"/>
        </w:rPr>
        <w:t>）、初步设计、概算编制（</w:t>
      </w:r>
      <w:r>
        <w:rPr>
          <w:rFonts w:hint="eastAsia" w:ascii="仿宋" w:hAnsi="仿宋" w:eastAsia="仿宋" w:cs="仿宋"/>
          <w:iCs/>
          <w:color w:val="auto"/>
          <w:kern w:val="0"/>
          <w:sz w:val="24"/>
          <w:szCs w:val="24"/>
          <w:highlight w:val="none"/>
        </w:rPr>
        <w:t>要达到预算深度，待</w:t>
      </w:r>
      <w:r>
        <w:rPr>
          <w:rFonts w:hint="eastAsia" w:ascii="仿宋" w:hAnsi="仿宋" w:eastAsia="仿宋" w:cs="仿宋"/>
          <w:iCs/>
          <w:color w:val="auto"/>
          <w:kern w:val="0"/>
          <w:sz w:val="24"/>
          <w:szCs w:val="24"/>
          <w:highlight w:val="none"/>
          <w:lang w:val="en-US" w:eastAsia="zh-CN"/>
        </w:rPr>
        <w:t>图纸稳定</w:t>
      </w:r>
      <w:r>
        <w:rPr>
          <w:rFonts w:hint="eastAsia" w:ascii="仿宋" w:hAnsi="仿宋" w:eastAsia="仿宋" w:cs="仿宋"/>
          <w:iCs/>
          <w:color w:val="auto"/>
          <w:kern w:val="0"/>
          <w:sz w:val="24"/>
          <w:szCs w:val="24"/>
          <w:highlight w:val="none"/>
        </w:rPr>
        <w:t>后承包人应</w:t>
      </w:r>
      <w:r>
        <w:rPr>
          <w:rFonts w:hint="eastAsia" w:ascii="仿宋" w:hAnsi="仿宋" w:eastAsia="仿宋" w:cs="仿宋"/>
          <w:iCs/>
          <w:strike w:val="0"/>
          <w:color w:val="auto"/>
          <w:kern w:val="0"/>
          <w:sz w:val="24"/>
          <w:szCs w:val="24"/>
          <w:highlight w:val="none"/>
          <w:woUserID w:val="1"/>
        </w:rPr>
        <w:t>根据</w:t>
      </w:r>
      <w:r>
        <w:rPr>
          <w:rFonts w:hint="eastAsia" w:ascii="仿宋" w:hAnsi="仿宋" w:eastAsia="仿宋" w:cs="仿宋"/>
          <w:iCs/>
          <w:color w:val="auto"/>
          <w:kern w:val="0"/>
          <w:sz w:val="24"/>
          <w:szCs w:val="24"/>
          <w:highlight w:val="none"/>
        </w:rPr>
        <w:t>广州市和白云区概算编</w:t>
      </w:r>
      <w:r>
        <w:rPr>
          <w:rFonts w:hint="eastAsia" w:ascii="仿宋" w:hAnsi="仿宋" w:eastAsia="仿宋" w:cs="仿宋"/>
          <w:iCs/>
          <w:color w:val="auto"/>
          <w:kern w:val="0"/>
          <w:sz w:val="24"/>
          <w:szCs w:val="24"/>
          <w:highlight w:val="none"/>
          <w:lang w:val="en-US" w:eastAsia="zh-CN"/>
        </w:rPr>
        <w:t>审的规定及合同约定的概算编制依据及深度正式上报纸质版概算至发包人处审核，概算需符合限额设计的要求）</w:t>
      </w:r>
      <w:r>
        <w:rPr>
          <w:rFonts w:hint="eastAsia" w:ascii="仿宋" w:hAnsi="仿宋" w:eastAsia="仿宋" w:cs="仿宋"/>
          <w:iCs/>
          <w:color w:val="auto"/>
          <w:kern w:val="0"/>
          <w:sz w:val="24"/>
          <w:szCs w:val="24"/>
          <w:highlight w:val="none"/>
          <w:lang w:eastAsia="zh-CN"/>
        </w:rPr>
        <w:t>、施工图设计、完整版施工图编制、完成</w:t>
      </w:r>
      <w:r>
        <w:rPr>
          <w:rFonts w:hint="eastAsia" w:ascii="仿宋" w:hAnsi="仿宋" w:eastAsia="仿宋" w:cs="仿宋"/>
          <w:iCs/>
          <w:color w:val="auto"/>
          <w:kern w:val="0"/>
          <w:sz w:val="24"/>
          <w:szCs w:val="24"/>
          <w:highlight w:val="none"/>
        </w:rPr>
        <w:t>室内装修，室外建筑外立面、室外大楼周边停车场</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包含停车场照明设计、停车挡设置等</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color w:val="auto"/>
          <w:kern w:val="0"/>
          <w:sz w:val="24"/>
          <w:szCs w:val="24"/>
          <w:highlight w:val="none"/>
        </w:rPr>
        <w:t>的设计</w:t>
      </w:r>
      <w:r>
        <w:rPr>
          <w:rFonts w:hint="eastAsia" w:ascii="仿宋" w:hAnsi="仿宋" w:eastAsia="仿宋" w:cs="仿宋"/>
          <w:iCs/>
          <w:color w:val="auto"/>
          <w:kern w:val="0"/>
          <w:sz w:val="24"/>
          <w:szCs w:val="24"/>
          <w:highlight w:val="none"/>
          <w:lang w:eastAsia="zh-CN"/>
        </w:rPr>
        <w:t>及其</w:t>
      </w:r>
      <w:r>
        <w:rPr>
          <w:rFonts w:hint="eastAsia" w:ascii="仿宋" w:hAnsi="仿宋" w:eastAsia="仿宋" w:cs="仿宋"/>
          <w:iCs/>
          <w:color w:val="auto"/>
          <w:kern w:val="0"/>
          <w:sz w:val="24"/>
          <w:szCs w:val="24"/>
          <w:highlight w:val="none"/>
        </w:rPr>
        <w:t>对应的</w:t>
      </w:r>
      <w:r>
        <w:rPr>
          <w:rFonts w:hint="eastAsia" w:ascii="仿宋" w:hAnsi="仿宋" w:eastAsia="仿宋" w:cs="仿宋"/>
          <w:iCs/>
          <w:color w:val="auto"/>
          <w:kern w:val="0"/>
          <w:sz w:val="24"/>
          <w:szCs w:val="24"/>
          <w:highlight w:val="none"/>
          <w:lang w:eastAsia="zh-CN"/>
        </w:rPr>
        <w:t>施工深化图纸的确认并加盖审核章、配合完成工程验收和配合完成竣工图审核盖章（含验收通过）等、设计变更（含造价分析）及现场技术指导等</w:t>
      </w:r>
      <w:r>
        <w:rPr>
          <w:rFonts w:hint="eastAsia" w:ascii="仿宋" w:hAnsi="仿宋" w:eastAsia="仿宋" w:cs="仿宋"/>
          <w:iCs/>
          <w:color w:val="auto"/>
          <w:kern w:val="0"/>
          <w:sz w:val="24"/>
          <w:szCs w:val="24"/>
          <w:highlight w:val="none"/>
          <w:lang w:val="en-US" w:eastAsia="zh-CN"/>
        </w:rPr>
        <w:t>工作</w:t>
      </w:r>
      <w:r>
        <w:rPr>
          <w:rFonts w:hint="eastAsia" w:ascii="仿宋" w:hAnsi="仿宋" w:eastAsia="仿宋" w:cs="仿宋"/>
          <w:iCs/>
          <w:color w:val="auto"/>
          <w:kern w:val="0"/>
          <w:sz w:val="24"/>
          <w:szCs w:val="24"/>
          <w:highlight w:val="none"/>
        </w:rPr>
        <w:t>（包括机电专业）。</w:t>
      </w:r>
    </w:p>
    <w:p w14:paraId="780B76B2">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1</w:t>
      </w:r>
      <w:r>
        <w:rPr>
          <w:rFonts w:hint="eastAsia" w:ascii="仿宋" w:hAnsi="仿宋" w:eastAsia="仿宋" w:cs="仿宋"/>
          <w:iCs/>
          <w:color w:val="auto"/>
          <w:kern w:val="0"/>
          <w:sz w:val="24"/>
          <w:szCs w:val="24"/>
          <w:highlight w:val="none"/>
        </w:rPr>
        <w:t>）含室内、室外平面、立面、地面、墙面</w:t>
      </w:r>
      <w:r>
        <w:rPr>
          <w:rFonts w:hint="eastAsia" w:ascii="仿宋" w:hAnsi="仿宋" w:eastAsia="仿宋" w:cs="仿宋"/>
          <w:iCs/>
          <w:color w:val="auto"/>
          <w:kern w:val="0"/>
          <w:sz w:val="24"/>
          <w:szCs w:val="24"/>
          <w:highlight w:val="none"/>
          <w:lang w:eastAsia="zh-CN"/>
        </w:rPr>
        <w:t>（</w:t>
      </w:r>
      <w:r>
        <w:rPr>
          <w:rFonts w:hint="eastAsia" w:ascii="仿宋" w:hAnsi="仿宋" w:eastAsia="仿宋" w:cs="仿宋"/>
          <w:iCs/>
          <w:color w:val="auto"/>
          <w:kern w:val="0"/>
          <w:sz w:val="24"/>
          <w:szCs w:val="24"/>
          <w:highlight w:val="none"/>
        </w:rPr>
        <w:t>包含墙面浮雕）、天花吊顶和窗帘的装饰设计。</w:t>
      </w:r>
    </w:p>
    <w:p w14:paraId="60319CB9">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2</w:t>
      </w:r>
      <w:r>
        <w:rPr>
          <w:rFonts w:hint="eastAsia" w:ascii="仿宋" w:hAnsi="仿宋" w:eastAsia="仿宋" w:cs="仿宋"/>
          <w:iCs/>
          <w:color w:val="auto"/>
          <w:kern w:val="0"/>
          <w:sz w:val="24"/>
          <w:szCs w:val="24"/>
          <w:highlight w:val="none"/>
        </w:rPr>
        <w:t>）包括但不限于所有的室内、室外设计区域的，电气开关、电源插座、电话、网络插座、报警开关、通风风口、音响广播、</w:t>
      </w:r>
      <w:r>
        <w:rPr>
          <w:rFonts w:hint="eastAsia" w:ascii="仿宋" w:hAnsi="仿宋" w:eastAsia="仿宋" w:cs="仿宋"/>
          <w:iCs/>
          <w:color w:val="auto"/>
          <w:kern w:val="0"/>
          <w:sz w:val="24"/>
          <w:szCs w:val="24"/>
          <w:highlight w:val="none"/>
          <w:lang w:val="en-US" w:eastAsia="zh-CN"/>
        </w:rPr>
        <w:t>电梯工程、</w:t>
      </w:r>
      <w:r>
        <w:rPr>
          <w:rFonts w:hint="eastAsia" w:ascii="仿宋" w:hAnsi="仿宋" w:eastAsia="仿宋" w:cs="仿宋"/>
          <w:iCs/>
          <w:color w:val="auto"/>
          <w:kern w:val="0"/>
          <w:sz w:val="24"/>
          <w:szCs w:val="24"/>
          <w:highlight w:val="none"/>
        </w:rPr>
        <w:t>中控系统（包含展厅、</w:t>
      </w:r>
      <w:r>
        <w:rPr>
          <w:rFonts w:hint="eastAsia" w:ascii="仿宋" w:hAnsi="仿宋" w:eastAsia="仿宋" w:cs="仿宋"/>
          <w:iCs/>
          <w:color w:val="auto"/>
          <w:kern w:val="0"/>
          <w:sz w:val="24"/>
          <w:szCs w:val="24"/>
          <w:highlight w:val="none"/>
          <w:lang w:eastAsia="zh-CN"/>
        </w:rPr>
        <w:t>市民</w:t>
      </w:r>
      <w:r>
        <w:rPr>
          <w:rFonts w:hint="eastAsia" w:ascii="仿宋" w:hAnsi="仿宋" w:eastAsia="仿宋" w:cs="仿宋"/>
          <w:iCs/>
          <w:color w:val="auto"/>
          <w:kern w:val="0"/>
          <w:sz w:val="24"/>
          <w:szCs w:val="24"/>
          <w:highlight w:val="none"/>
        </w:rPr>
        <w:t>接待中心</w:t>
      </w:r>
      <w:r>
        <w:rPr>
          <w:rFonts w:hint="eastAsia" w:ascii="仿宋" w:hAnsi="仿宋" w:eastAsia="仿宋" w:cs="仿宋"/>
          <w:iCs/>
          <w:color w:val="auto"/>
          <w:kern w:val="0"/>
          <w:sz w:val="24"/>
          <w:szCs w:val="24"/>
          <w:highlight w:val="none"/>
          <w:lang w:val="en-US" w:eastAsia="zh-CN"/>
        </w:rPr>
        <w:t>发包人</w:t>
      </w:r>
      <w:r>
        <w:rPr>
          <w:rFonts w:hint="eastAsia" w:ascii="仿宋" w:hAnsi="仿宋" w:eastAsia="仿宋" w:cs="仿宋"/>
          <w:iCs/>
          <w:color w:val="auto"/>
          <w:kern w:val="0"/>
          <w:sz w:val="24"/>
          <w:szCs w:val="24"/>
          <w:highlight w:val="none"/>
        </w:rPr>
        <w:t>约定的场景控制）、消防喷淋和消防报警等末端设备器件在地面、墙面</w:t>
      </w:r>
      <w:r>
        <w:rPr>
          <w:rFonts w:hint="eastAsia" w:ascii="仿宋" w:hAnsi="仿宋" w:eastAsia="仿宋" w:cs="仿宋"/>
          <w:iCs/>
          <w:color w:val="auto"/>
          <w:kern w:val="0"/>
          <w:sz w:val="24"/>
          <w:szCs w:val="24"/>
          <w:highlight w:val="none"/>
          <w:lang w:eastAsia="zh-CN"/>
        </w:rPr>
        <w:t>、</w:t>
      </w:r>
      <w:r>
        <w:rPr>
          <w:rFonts w:hint="eastAsia" w:ascii="仿宋" w:hAnsi="仿宋" w:eastAsia="仿宋" w:cs="仿宋"/>
          <w:iCs/>
          <w:color w:val="auto"/>
          <w:kern w:val="0"/>
          <w:sz w:val="24"/>
          <w:szCs w:val="24"/>
          <w:highlight w:val="none"/>
        </w:rPr>
        <w:t>天花吊顶上的综合布置。</w:t>
      </w:r>
    </w:p>
    <w:p w14:paraId="58F9CEB9">
      <w:pPr>
        <w:spacing w:line="360" w:lineRule="auto"/>
        <w:ind w:firstLine="480" w:firstLineChars="200"/>
        <w:rPr>
          <w:rFonts w:hint="eastAsia" w:ascii="仿宋" w:hAnsi="仿宋" w:eastAsia="仿宋" w:cs="仿宋"/>
          <w:iCs/>
          <w:color w:val="auto"/>
          <w:kern w:val="0"/>
          <w:sz w:val="24"/>
          <w:szCs w:val="24"/>
          <w:highlight w:val="none"/>
          <w:lang w:eastAsia="zh-CN"/>
        </w:rPr>
      </w:pPr>
      <w:r>
        <w:rPr>
          <w:rFonts w:hint="eastAsia" w:ascii="仿宋" w:hAnsi="仿宋" w:eastAsia="仿宋" w:cs="仿宋"/>
          <w:iCs/>
          <w:color w:val="auto"/>
          <w:kern w:val="0"/>
          <w:sz w:val="24"/>
          <w:szCs w:val="24"/>
          <w:highlight w:val="none"/>
          <w:lang w:eastAsia="zh-CN"/>
        </w:rPr>
        <w:t>（</w:t>
      </w:r>
      <w:r>
        <w:rPr>
          <w:rFonts w:hint="eastAsia" w:ascii="仿宋" w:hAnsi="仿宋" w:eastAsia="仿宋" w:cs="仿宋"/>
          <w:iCs/>
          <w:color w:val="auto"/>
          <w:kern w:val="0"/>
          <w:sz w:val="24"/>
          <w:szCs w:val="24"/>
          <w:highlight w:val="none"/>
          <w:lang w:val="en-US" w:eastAsia="zh-CN"/>
        </w:rPr>
        <w:t>3</w:t>
      </w:r>
      <w:r>
        <w:rPr>
          <w:rFonts w:hint="eastAsia" w:ascii="仿宋" w:hAnsi="仿宋" w:eastAsia="仿宋" w:cs="仿宋"/>
          <w:iCs/>
          <w:color w:val="auto"/>
          <w:kern w:val="0"/>
          <w:sz w:val="24"/>
          <w:szCs w:val="24"/>
          <w:highlight w:val="none"/>
          <w:lang w:eastAsia="zh-CN"/>
        </w:rPr>
        <w:t>）包括展厅：沙盘、展陈物料</w:t>
      </w:r>
      <w:r>
        <w:rPr>
          <w:rFonts w:hint="eastAsia" w:ascii="仿宋" w:hAnsi="仿宋" w:eastAsia="仿宋" w:cs="仿宋"/>
          <w:iCs/>
          <w:color w:val="auto"/>
          <w:kern w:val="0"/>
          <w:sz w:val="24"/>
          <w:szCs w:val="24"/>
          <w:highlight w:val="none"/>
          <w:lang w:val="en-US" w:eastAsia="zh-CN"/>
        </w:rPr>
        <w:t>设计</w:t>
      </w:r>
      <w:r>
        <w:rPr>
          <w:rFonts w:hint="eastAsia" w:ascii="仿宋" w:hAnsi="仿宋" w:eastAsia="仿宋" w:cs="仿宋"/>
          <w:iCs/>
          <w:strike w:val="0"/>
          <w:color w:val="auto"/>
          <w:kern w:val="0"/>
          <w:sz w:val="24"/>
          <w:szCs w:val="24"/>
          <w:highlight w:val="none"/>
          <w:woUserID w:val="1"/>
        </w:rPr>
        <w:t>、设备型号选定</w:t>
      </w:r>
      <w:r>
        <w:rPr>
          <w:rFonts w:hint="eastAsia" w:ascii="仿宋" w:hAnsi="仿宋" w:eastAsia="仿宋" w:cs="仿宋"/>
          <w:iCs/>
          <w:color w:val="auto"/>
          <w:kern w:val="0"/>
          <w:sz w:val="24"/>
          <w:szCs w:val="24"/>
          <w:highlight w:val="none"/>
          <w:lang w:eastAsia="zh-CN"/>
        </w:rPr>
        <w:t>及安装数字内容策划及制作；</w:t>
      </w:r>
    </w:p>
    <w:p w14:paraId="3A34370D">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4</w:t>
      </w:r>
      <w:r>
        <w:rPr>
          <w:rFonts w:hint="eastAsia" w:ascii="仿宋" w:hAnsi="仿宋" w:eastAsia="仿宋" w:cs="仿宋"/>
          <w:iCs/>
          <w:color w:val="auto"/>
          <w:kern w:val="0"/>
          <w:sz w:val="24"/>
          <w:szCs w:val="24"/>
          <w:highlight w:val="none"/>
        </w:rPr>
        <w:t>）根据</w:t>
      </w:r>
      <w:r>
        <w:rPr>
          <w:rFonts w:hint="eastAsia" w:ascii="仿宋" w:hAnsi="仿宋" w:eastAsia="仿宋" w:cs="仿宋"/>
          <w:iCs/>
          <w:color w:val="auto"/>
          <w:kern w:val="0"/>
          <w:sz w:val="24"/>
          <w:szCs w:val="24"/>
          <w:highlight w:val="none"/>
          <w:lang w:val="en-US" w:eastAsia="zh-CN"/>
        </w:rPr>
        <w:t>发包人</w:t>
      </w:r>
      <w:r>
        <w:rPr>
          <w:rFonts w:hint="eastAsia" w:ascii="仿宋" w:hAnsi="仿宋" w:eastAsia="仿宋" w:cs="仿宋"/>
          <w:iCs/>
          <w:color w:val="auto"/>
          <w:kern w:val="0"/>
          <w:sz w:val="24"/>
          <w:szCs w:val="24"/>
          <w:highlight w:val="none"/>
        </w:rPr>
        <w:t>通过的设计方案进行整合，包括室内、室外设计区域的平面、立面、地面、墙面和天花吊顶的装饰深化设计至施工蓝图。</w:t>
      </w:r>
    </w:p>
    <w:p w14:paraId="19A8D237">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5</w:t>
      </w:r>
      <w:r>
        <w:rPr>
          <w:rFonts w:hint="eastAsia" w:ascii="仿宋" w:hAnsi="仿宋" w:eastAsia="仿宋" w:cs="仿宋"/>
          <w:iCs/>
          <w:color w:val="auto"/>
          <w:kern w:val="0"/>
          <w:sz w:val="24"/>
          <w:szCs w:val="24"/>
          <w:highlight w:val="none"/>
        </w:rPr>
        <w:t>）所有的楼层设备室引出的设备系统，以及室内、室外设计区域的电气开关、电源插座、电话、网络插座、报警开关、通风风口、音响广播、消防喷淋和消防报警等末端设备器件在地面、墙面</w:t>
      </w:r>
      <w:r>
        <w:rPr>
          <w:rFonts w:hint="eastAsia" w:ascii="仿宋" w:hAnsi="仿宋" w:eastAsia="仿宋" w:cs="仿宋"/>
          <w:iCs/>
          <w:color w:val="auto"/>
          <w:kern w:val="0"/>
          <w:sz w:val="24"/>
          <w:szCs w:val="24"/>
          <w:highlight w:val="none"/>
          <w:lang w:eastAsia="zh-CN"/>
        </w:rPr>
        <w:t>和</w:t>
      </w:r>
      <w:r>
        <w:rPr>
          <w:rFonts w:hint="eastAsia" w:ascii="仿宋" w:hAnsi="仿宋" w:eastAsia="仿宋" w:cs="仿宋"/>
          <w:iCs/>
          <w:color w:val="auto"/>
          <w:kern w:val="0"/>
          <w:sz w:val="24"/>
          <w:szCs w:val="24"/>
          <w:highlight w:val="none"/>
        </w:rPr>
        <w:t>天花吊顶上的点位及综合管线布置。</w:t>
      </w:r>
    </w:p>
    <w:p w14:paraId="7D1A8DB9">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6</w:t>
      </w:r>
      <w:r>
        <w:rPr>
          <w:rFonts w:hint="eastAsia" w:ascii="仿宋" w:hAnsi="仿宋" w:eastAsia="仿宋" w:cs="仿宋"/>
          <w:iCs/>
          <w:color w:val="auto"/>
          <w:kern w:val="0"/>
          <w:sz w:val="24"/>
          <w:szCs w:val="24"/>
          <w:highlight w:val="none"/>
        </w:rPr>
        <w:t>）施工图设计范围内整体施工跟踪过程服务</w:t>
      </w:r>
      <w:r>
        <w:rPr>
          <w:rFonts w:hint="eastAsia" w:ascii="仿宋" w:hAnsi="仿宋" w:eastAsia="仿宋" w:cs="仿宋"/>
          <w:iCs/>
          <w:color w:val="auto"/>
          <w:kern w:val="0"/>
          <w:sz w:val="24"/>
          <w:szCs w:val="24"/>
          <w:highlight w:val="none"/>
          <w:lang w:eastAsia="zh-CN"/>
        </w:rPr>
        <w:t>，包</w:t>
      </w:r>
      <w:r>
        <w:rPr>
          <w:rFonts w:hint="eastAsia" w:ascii="仿宋" w:hAnsi="仿宋" w:eastAsia="仿宋" w:cs="仿宋"/>
          <w:iCs/>
          <w:color w:val="auto"/>
          <w:kern w:val="0"/>
          <w:sz w:val="24"/>
          <w:szCs w:val="24"/>
          <w:highlight w:val="none"/>
        </w:rPr>
        <w:t>含全专业的施工图纸设计及实施阶段的施工设计变更。</w:t>
      </w:r>
    </w:p>
    <w:p w14:paraId="6806F6BF">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7</w:t>
      </w:r>
      <w:r>
        <w:rPr>
          <w:rFonts w:hint="eastAsia" w:ascii="仿宋" w:hAnsi="仿宋" w:eastAsia="仿宋" w:cs="仿宋"/>
          <w:iCs/>
          <w:color w:val="auto"/>
          <w:kern w:val="0"/>
          <w:sz w:val="24"/>
          <w:szCs w:val="24"/>
          <w:highlight w:val="none"/>
        </w:rPr>
        <w:t>）配合土建及配套专业进行平面优化，并确定</w:t>
      </w:r>
      <w:r>
        <w:rPr>
          <w:rFonts w:hint="eastAsia" w:ascii="仿宋" w:hAnsi="仿宋" w:eastAsia="仿宋" w:cs="仿宋"/>
          <w:iCs/>
          <w:color w:val="auto"/>
          <w:kern w:val="0"/>
          <w:sz w:val="24"/>
          <w:szCs w:val="24"/>
          <w:highlight w:val="none"/>
          <w:lang w:val="en-US" w:eastAsia="zh-CN"/>
        </w:rPr>
        <w:t>家具</w:t>
      </w:r>
      <w:r>
        <w:rPr>
          <w:rFonts w:hint="eastAsia" w:ascii="仿宋" w:hAnsi="仿宋" w:eastAsia="仿宋" w:cs="仿宋"/>
          <w:iCs/>
          <w:color w:val="auto"/>
          <w:kern w:val="0"/>
          <w:sz w:val="24"/>
          <w:szCs w:val="24"/>
          <w:highlight w:val="none"/>
        </w:rPr>
        <w:t>与设备控制系统位置关系（含平面、天花、立面、管线走向），满足管线预留预埋提资条件完成施工图设计。</w:t>
      </w:r>
    </w:p>
    <w:p w14:paraId="178A79A3">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w:t>
      </w:r>
      <w:r>
        <w:rPr>
          <w:rFonts w:hint="eastAsia" w:ascii="仿宋" w:hAnsi="仿宋" w:eastAsia="仿宋" w:cs="仿宋"/>
          <w:iCs/>
          <w:color w:val="auto"/>
          <w:kern w:val="0"/>
          <w:sz w:val="24"/>
          <w:szCs w:val="24"/>
          <w:highlight w:val="none"/>
          <w:lang w:val="en-US" w:eastAsia="zh-CN"/>
        </w:rPr>
        <w:t>8</w:t>
      </w:r>
      <w:r>
        <w:rPr>
          <w:rFonts w:hint="eastAsia" w:ascii="仿宋" w:hAnsi="仿宋" w:eastAsia="仿宋" w:cs="仿宋"/>
          <w:iCs/>
          <w:color w:val="auto"/>
          <w:kern w:val="0"/>
          <w:sz w:val="24"/>
          <w:szCs w:val="24"/>
          <w:highlight w:val="none"/>
        </w:rPr>
        <w:t>）项目整体设备强弱电、暖通和消防等装修设计；配合办理二次消防验收手续，并提供技术支持；包括但不限于下表内列项：</w:t>
      </w:r>
    </w:p>
    <w:tbl>
      <w:tblPr>
        <w:tblStyle w:val="23"/>
        <w:tblpPr w:leftFromText="180" w:rightFromText="180" w:vertAnchor="text" w:horzAnchor="page" w:tblpX="1594" w:tblpY="6"/>
        <w:tblOverlap w:val="never"/>
        <w:tblW w:w="9235" w:type="dxa"/>
        <w:tblInd w:w="0" w:type="dxa"/>
        <w:tblLayout w:type="fixed"/>
        <w:tblCellMar>
          <w:top w:w="0" w:type="dxa"/>
          <w:left w:w="108" w:type="dxa"/>
          <w:bottom w:w="0" w:type="dxa"/>
          <w:right w:w="108" w:type="dxa"/>
        </w:tblCellMar>
      </w:tblPr>
      <w:tblGrid>
        <w:gridCol w:w="1073"/>
        <w:gridCol w:w="6439"/>
        <w:gridCol w:w="1723"/>
      </w:tblGrid>
      <w:tr w14:paraId="0C3F7E90">
        <w:tblPrEx>
          <w:tblCellMar>
            <w:top w:w="0" w:type="dxa"/>
            <w:left w:w="108" w:type="dxa"/>
            <w:bottom w:w="0" w:type="dxa"/>
            <w:right w:w="108" w:type="dxa"/>
          </w:tblCellMar>
        </w:tblPrEx>
        <w:trPr>
          <w:trHeight w:val="433" w:hRule="atLeast"/>
        </w:trPr>
        <w:tc>
          <w:tcPr>
            <w:tcW w:w="1073" w:type="dxa"/>
            <w:tcBorders>
              <w:top w:val="single" w:color="auto" w:sz="4" w:space="0"/>
              <w:left w:val="single" w:color="auto" w:sz="4" w:space="0"/>
              <w:bottom w:val="single" w:color="auto" w:sz="4" w:space="0"/>
              <w:right w:val="single" w:color="auto" w:sz="4" w:space="0"/>
            </w:tcBorders>
            <w:vAlign w:val="center"/>
          </w:tcPr>
          <w:p w14:paraId="664EAD6D">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序号</w:t>
            </w:r>
          </w:p>
        </w:tc>
        <w:tc>
          <w:tcPr>
            <w:tcW w:w="6439" w:type="dxa"/>
            <w:tcBorders>
              <w:top w:val="single" w:color="auto" w:sz="4" w:space="0"/>
              <w:left w:val="nil"/>
              <w:bottom w:val="single" w:color="auto" w:sz="4" w:space="0"/>
              <w:right w:val="single" w:color="auto" w:sz="4" w:space="0"/>
            </w:tcBorders>
            <w:vAlign w:val="center"/>
          </w:tcPr>
          <w:p w14:paraId="6DF265FC">
            <w:pPr>
              <w:spacing w:line="360" w:lineRule="auto"/>
              <w:ind w:firstLine="2280" w:firstLineChars="9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设计内容</w:t>
            </w:r>
          </w:p>
        </w:tc>
        <w:tc>
          <w:tcPr>
            <w:tcW w:w="1723" w:type="dxa"/>
            <w:tcBorders>
              <w:top w:val="single" w:color="auto" w:sz="4" w:space="0"/>
              <w:left w:val="nil"/>
              <w:bottom w:val="single" w:color="auto" w:sz="4" w:space="0"/>
              <w:right w:val="single" w:color="auto" w:sz="4" w:space="0"/>
            </w:tcBorders>
            <w:vAlign w:val="center"/>
          </w:tcPr>
          <w:p w14:paraId="05673D1E">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设计深度</w:t>
            </w:r>
          </w:p>
        </w:tc>
      </w:tr>
      <w:tr w14:paraId="0F0AE451">
        <w:tblPrEx>
          <w:tblCellMar>
            <w:top w:w="0" w:type="dxa"/>
            <w:left w:w="108" w:type="dxa"/>
            <w:bottom w:w="0" w:type="dxa"/>
            <w:right w:w="108" w:type="dxa"/>
          </w:tblCellMar>
        </w:tblPrEx>
        <w:trPr>
          <w:trHeight w:val="549" w:hRule="atLeast"/>
        </w:trPr>
        <w:tc>
          <w:tcPr>
            <w:tcW w:w="1073" w:type="dxa"/>
            <w:tcBorders>
              <w:top w:val="nil"/>
              <w:left w:val="single" w:color="auto" w:sz="4" w:space="0"/>
              <w:bottom w:val="single" w:color="auto" w:sz="4" w:space="0"/>
              <w:right w:val="single" w:color="auto" w:sz="4" w:space="0"/>
            </w:tcBorders>
            <w:vAlign w:val="center"/>
          </w:tcPr>
          <w:p w14:paraId="4126B1A7">
            <w:pPr>
              <w:spacing w:line="360" w:lineRule="auto"/>
              <w:ind w:firstLine="240" w:firstLineChars="1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1</w:t>
            </w:r>
          </w:p>
        </w:tc>
        <w:tc>
          <w:tcPr>
            <w:tcW w:w="6439" w:type="dxa"/>
            <w:tcBorders>
              <w:top w:val="nil"/>
              <w:left w:val="nil"/>
              <w:bottom w:val="single" w:color="auto" w:sz="4" w:space="0"/>
              <w:right w:val="single" w:color="auto" w:sz="4" w:space="0"/>
            </w:tcBorders>
            <w:vAlign w:val="center"/>
          </w:tcPr>
          <w:p w14:paraId="49AC9D79">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供配电系统设计（含配电干线系统及应急照明）</w:t>
            </w:r>
          </w:p>
        </w:tc>
        <w:tc>
          <w:tcPr>
            <w:tcW w:w="1723" w:type="dxa"/>
            <w:tcBorders>
              <w:top w:val="nil"/>
              <w:left w:val="nil"/>
              <w:bottom w:val="single" w:color="auto" w:sz="4" w:space="0"/>
              <w:right w:val="single" w:color="auto" w:sz="4" w:space="0"/>
            </w:tcBorders>
            <w:vAlign w:val="center"/>
          </w:tcPr>
          <w:p w14:paraId="3BDAFDEB">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施工图</w:t>
            </w:r>
            <w:r>
              <w:rPr>
                <w:rFonts w:hint="eastAsia" w:ascii="仿宋" w:hAnsi="仿宋" w:eastAsia="仿宋" w:cs="仿宋"/>
                <w:iCs/>
                <w:color w:val="auto"/>
                <w:kern w:val="0"/>
                <w:sz w:val="24"/>
                <w:szCs w:val="24"/>
                <w:highlight w:val="none"/>
                <w:lang w:val="en-US" w:eastAsia="zh-CN"/>
              </w:rPr>
              <w:t>深度</w:t>
            </w:r>
          </w:p>
        </w:tc>
      </w:tr>
      <w:tr w14:paraId="094DFD91">
        <w:tblPrEx>
          <w:tblCellMar>
            <w:top w:w="0" w:type="dxa"/>
            <w:left w:w="108" w:type="dxa"/>
            <w:bottom w:w="0" w:type="dxa"/>
            <w:right w:w="108" w:type="dxa"/>
          </w:tblCellMar>
        </w:tblPrEx>
        <w:trPr>
          <w:trHeight w:val="543" w:hRule="atLeast"/>
        </w:trPr>
        <w:tc>
          <w:tcPr>
            <w:tcW w:w="1073" w:type="dxa"/>
            <w:tcBorders>
              <w:top w:val="single" w:color="auto" w:sz="4" w:space="0"/>
              <w:left w:val="single" w:color="auto" w:sz="4" w:space="0"/>
              <w:bottom w:val="single" w:color="auto" w:sz="4" w:space="0"/>
              <w:right w:val="single" w:color="auto" w:sz="4" w:space="0"/>
            </w:tcBorders>
            <w:vAlign w:val="center"/>
          </w:tcPr>
          <w:p w14:paraId="3913001A">
            <w:pPr>
              <w:spacing w:line="360" w:lineRule="auto"/>
              <w:ind w:firstLine="240" w:firstLineChars="1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w:t>
            </w:r>
          </w:p>
        </w:tc>
        <w:tc>
          <w:tcPr>
            <w:tcW w:w="6439" w:type="dxa"/>
            <w:tcBorders>
              <w:top w:val="single" w:color="auto" w:sz="4" w:space="0"/>
              <w:left w:val="nil"/>
              <w:bottom w:val="single" w:color="auto" w:sz="4" w:space="0"/>
              <w:right w:val="single" w:color="auto" w:sz="4" w:space="0"/>
            </w:tcBorders>
            <w:vAlign w:val="center"/>
          </w:tcPr>
          <w:p w14:paraId="77F2C5AD">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弱电系统设计及消防自动报警和联动</w:t>
            </w:r>
          </w:p>
        </w:tc>
        <w:tc>
          <w:tcPr>
            <w:tcW w:w="1723" w:type="dxa"/>
            <w:tcBorders>
              <w:top w:val="single" w:color="auto" w:sz="4" w:space="0"/>
              <w:left w:val="nil"/>
              <w:bottom w:val="single" w:color="auto" w:sz="4" w:space="0"/>
              <w:right w:val="single" w:color="auto" w:sz="4" w:space="0"/>
            </w:tcBorders>
            <w:vAlign w:val="center"/>
          </w:tcPr>
          <w:p w14:paraId="61784959">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施工图</w:t>
            </w:r>
            <w:r>
              <w:rPr>
                <w:rFonts w:hint="eastAsia" w:ascii="仿宋" w:hAnsi="仿宋" w:eastAsia="仿宋" w:cs="仿宋"/>
                <w:iCs/>
                <w:color w:val="auto"/>
                <w:kern w:val="0"/>
                <w:sz w:val="24"/>
                <w:szCs w:val="24"/>
                <w:highlight w:val="none"/>
                <w:lang w:val="en-US" w:eastAsia="zh-CN"/>
              </w:rPr>
              <w:t>深度</w:t>
            </w:r>
          </w:p>
        </w:tc>
      </w:tr>
      <w:tr w14:paraId="1651142F">
        <w:tblPrEx>
          <w:tblCellMar>
            <w:top w:w="0" w:type="dxa"/>
            <w:left w:w="108" w:type="dxa"/>
            <w:bottom w:w="0" w:type="dxa"/>
            <w:right w:w="108" w:type="dxa"/>
          </w:tblCellMar>
        </w:tblPrEx>
        <w:trPr>
          <w:trHeight w:val="564" w:hRule="atLeast"/>
        </w:trPr>
        <w:tc>
          <w:tcPr>
            <w:tcW w:w="1073" w:type="dxa"/>
            <w:tcBorders>
              <w:top w:val="nil"/>
              <w:left w:val="single" w:color="auto" w:sz="4" w:space="0"/>
              <w:bottom w:val="single" w:color="auto" w:sz="4" w:space="0"/>
              <w:right w:val="single" w:color="auto" w:sz="4" w:space="0"/>
            </w:tcBorders>
            <w:vAlign w:val="center"/>
          </w:tcPr>
          <w:p w14:paraId="54AB3CC8">
            <w:pPr>
              <w:spacing w:line="360" w:lineRule="auto"/>
              <w:ind w:firstLine="240" w:firstLineChars="1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3</w:t>
            </w:r>
          </w:p>
        </w:tc>
        <w:tc>
          <w:tcPr>
            <w:tcW w:w="6439" w:type="dxa"/>
            <w:tcBorders>
              <w:top w:val="nil"/>
              <w:left w:val="nil"/>
              <w:bottom w:val="single" w:color="auto" w:sz="4" w:space="0"/>
              <w:right w:val="single" w:color="auto" w:sz="4" w:space="0"/>
            </w:tcBorders>
            <w:vAlign w:val="center"/>
          </w:tcPr>
          <w:p w14:paraId="02FCBCE9">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暖通系统设计</w:t>
            </w:r>
          </w:p>
        </w:tc>
        <w:tc>
          <w:tcPr>
            <w:tcW w:w="1723" w:type="dxa"/>
            <w:tcBorders>
              <w:top w:val="nil"/>
              <w:left w:val="nil"/>
              <w:bottom w:val="single" w:color="auto" w:sz="4" w:space="0"/>
              <w:right w:val="single" w:color="auto" w:sz="4" w:space="0"/>
            </w:tcBorders>
            <w:vAlign w:val="center"/>
          </w:tcPr>
          <w:p w14:paraId="5AF9F070">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施工图</w:t>
            </w:r>
            <w:r>
              <w:rPr>
                <w:rFonts w:hint="eastAsia" w:ascii="仿宋" w:hAnsi="仿宋" w:eastAsia="仿宋" w:cs="仿宋"/>
                <w:iCs/>
                <w:color w:val="auto"/>
                <w:kern w:val="0"/>
                <w:sz w:val="24"/>
                <w:szCs w:val="24"/>
                <w:highlight w:val="none"/>
                <w:lang w:val="en-US" w:eastAsia="zh-CN"/>
              </w:rPr>
              <w:t>深度</w:t>
            </w:r>
          </w:p>
        </w:tc>
      </w:tr>
      <w:tr w14:paraId="4315AE20">
        <w:tblPrEx>
          <w:tblCellMar>
            <w:top w:w="0" w:type="dxa"/>
            <w:left w:w="108" w:type="dxa"/>
            <w:bottom w:w="0" w:type="dxa"/>
            <w:right w:w="108" w:type="dxa"/>
          </w:tblCellMar>
        </w:tblPrEx>
        <w:trPr>
          <w:trHeight w:val="553" w:hRule="atLeast"/>
        </w:trPr>
        <w:tc>
          <w:tcPr>
            <w:tcW w:w="1073" w:type="dxa"/>
            <w:tcBorders>
              <w:top w:val="nil"/>
              <w:left w:val="single" w:color="auto" w:sz="4" w:space="0"/>
              <w:bottom w:val="single" w:color="auto" w:sz="4" w:space="0"/>
              <w:right w:val="single" w:color="auto" w:sz="4" w:space="0"/>
            </w:tcBorders>
            <w:vAlign w:val="center"/>
          </w:tcPr>
          <w:p w14:paraId="3291E7DC">
            <w:pPr>
              <w:spacing w:line="360" w:lineRule="auto"/>
              <w:ind w:firstLine="240" w:firstLineChars="1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4</w:t>
            </w:r>
          </w:p>
        </w:tc>
        <w:tc>
          <w:tcPr>
            <w:tcW w:w="6439" w:type="dxa"/>
            <w:tcBorders>
              <w:top w:val="nil"/>
              <w:left w:val="nil"/>
              <w:bottom w:val="single" w:color="auto" w:sz="4" w:space="0"/>
              <w:right w:val="single" w:color="auto" w:sz="4" w:space="0"/>
            </w:tcBorders>
            <w:vAlign w:val="center"/>
          </w:tcPr>
          <w:p w14:paraId="5928D8DA">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消防系统设计</w:t>
            </w:r>
          </w:p>
        </w:tc>
        <w:tc>
          <w:tcPr>
            <w:tcW w:w="1723" w:type="dxa"/>
            <w:tcBorders>
              <w:top w:val="nil"/>
              <w:left w:val="nil"/>
              <w:bottom w:val="single" w:color="auto" w:sz="4" w:space="0"/>
              <w:right w:val="single" w:color="auto" w:sz="4" w:space="0"/>
            </w:tcBorders>
            <w:vAlign w:val="center"/>
          </w:tcPr>
          <w:p w14:paraId="491D4651">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施工图</w:t>
            </w:r>
            <w:r>
              <w:rPr>
                <w:rFonts w:hint="eastAsia" w:ascii="仿宋" w:hAnsi="仿宋" w:eastAsia="仿宋" w:cs="仿宋"/>
                <w:iCs/>
                <w:color w:val="auto"/>
                <w:kern w:val="0"/>
                <w:sz w:val="24"/>
                <w:szCs w:val="24"/>
                <w:highlight w:val="none"/>
                <w:lang w:val="en-US" w:eastAsia="zh-CN"/>
              </w:rPr>
              <w:t>深度</w:t>
            </w:r>
          </w:p>
        </w:tc>
      </w:tr>
    </w:tbl>
    <w:p w14:paraId="51CE534A">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.2</w:t>
      </w:r>
      <w:r>
        <w:rPr>
          <w:rFonts w:hint="eastAsia" w:ascii="仿宋" w:hAnsi="仿宋" w:eastAsia="仿宋" w:cs="仿宋"/>
          <w:iCs/>
          <w:color w:val="auto"/>
          <w:kern w:val="0"/>
          <w:sz w:val="24"/>
          <w:szCs w:val="24"/>
          <w:highlight w:val="none"/>
        </w:rPr>
        <w:t>设计单位对建筑布局进行平面功能优化，同时作为设计修改阶段的室内/室外功能、空间顾问。</w:t>
      </w:r>
    </w:p>
    <w:p w14:paraId="51F6D537">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.3</w:t>
      </w:r>
      <w:r>
        <w:rPr>
          <w:rFonts w:hint="eastAsia" w:ascii="仿宋" w:hAnsi="仿宋" w:eastAsia="仿宋" w:cs="仿宋"/>
          <w:iCs/>
          <w:color w:val="auto"/>
          <w:kern w:val="0"/>
          <w:sz w:val="24"/>
          <w:szCs w:val="24"/>
          <w:highlight w:val="none"/>
        </w:rPr>
        <w:t>提供完整的装饰主材的设计选样。</w:t>
      </w:r>
    </w:p>
    <w:p w14:paraId="1BFA67E2">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.4</w:t>
      </w:r>
      <w:r>
        <w:rPr>
          <w:rFonts w:hint="eastAsia" w:ascii="仿宋" w:hAnsi="仿宋" w:eastAsia="仿宋" w:cs="仿宋"/>
          <w:iCs/>
          <w:color w:val="auto"/>
          <w:kern w:val="0"/>
          <w:sz w:val="24"/>
          <w:szCs w:val="24"/>
          <w:highlight w:val="none"/>
        </w:rPr>
        <w:t>设计区域的装饰、电气、暖通和消防系统等设计协调责任：</w:t>
      </w:r>
    </w:p>
    <w:tbl>
      <w:tblPr>
        <w:tblStyle w:val="23"/>
        <w:tblW w:w="9526" w:type="dxa"/>
        <w:tblInd w:w="108" w:type="dxa"/>
        <w:tblLayout w:type="fixed"/>
        <w:tblCellMar>
          <w:top w:w="0" w:type="dxa"/>
          <w:left w:w="108" w:type="dxa"/>
          <w:bottom w:w="0" w:type="dxa"/>
          <w:right w:w="108" w:type="dxa"/>
        </w:tblCellMar>
      </w:tblPr>
      <w:tblGrid>
        <w:gridCol w:w="738"/>
        <w:gridCol w:w="6451"/>
        <w:gridCol w:w="2337"/>
      </w:tblGrid>
      <w:tr w14:paraId="7753FDBE">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0842775B">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序号</w:t>
            </w:r>
          </w:p>
        </w:tc>
        <w:tc>
          <w:tcPr>
            <w:tcW w:w="6451" w:type="dxa"/>
            <w:tcBorders>
              <w:top w:val="single" w:color="auto" w:sz="4" w:space="0"/>
              <w:left w:val="nil"/>
              <w:bottom w:val="single" w:color="auto" w:sz="4" w:space="0"/>
              <w:right w:val="single" w:color="auto" w:sz="4" w:space="0"/>
            </w:tcBorders>
            <w:vAlign w:val="center"/>
          </w:tcPr>
          <w:p w14:paraId="62037191">
            <w:pPr>
              <w:spacing w:line="360" w:lineRule="auto"/>
              <w:ind w:firstLine="2880" w:firstLineChars="1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设计内容</w:t>
            </w:r>
          </w:p>
        </w:tc>
        <w:tc>
          <w:tcPr>
            <w:tcW w:w="2337" w:type="dxa"/>
            <w:tcBorders>
              <w:top w:val="single" w:color="auto" w:sz="4" w:space="0"/>
              <w:left w:val="nil"/>
              <w:bottom w:val="single" w:color="auto" w:sz="4" w:space="0"/>
              <w:right w:val="single" w:color="auto" w:sz="4" w:space="0"/>
            </w:tcBorders>
            <w:vAlign w:val="center"/>
          </w:tcPr>
          <w:p w14:paraId="62F0AAF9">
            <w:pPr>
              <w:spacing w:line="360" w:lineRule="auto"/>
              <w:ind w:firstLine="240" w:firstLineChars="1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设计深度</w:t>
            </w:r>
          </w:p>
        </w:tc>
      </w:tr>
      <w:tr w14:paraId="46FEBF4B">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5CF8B2A1">
            <w:pPr>
              <w:spacing w:line="360" w:lineRule="auto"/>
              <w:ind w:firstLine="120" w:firstLineChars="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1</w:t>
            </w:r>
          </w:p>
        </w:tc>
        <w:tc>
          <w:tcPr>
            <w:tcW w:w="6451" w:type="dxa"/>
            <w:tcBorders>
              <w:top w:val="single" w:color="auto" w:sz="4" w:space="0"/>
              <w:left w:val="single" w:color="auto" w:sz="4" w:space="0"/>
              <w:bottom w:val="single" w:color="auto" w:sz="4" w:space="0"/>
              <w:right w:val="single" w:color="auto" w:sz="4" w:space="0"/>
            </w:tcBorders>
            <w:vAlign w:val="center"/>
          </w:tcPr>
          <w:p w14:paraId="6E14020E">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全套室内的1层、2层、建筑外立面、周边停车场设计</w:t>
            </w:r>
          </w:p>
        </w:tc>
        <w:tc>
          <w:tcPr>
            <w:tcW w:w="2337" w:type="dxa"/>
            <w:tcBorders>
              <w:top w:val="single" w:color="auto" w:sz="4" w:space="0"/>
              <w:left w:val="single" w:color="auto" w:sz="4" w:space="0"/>
              <w:bottom w:val="single" w:color="auto" w:sz="4" w:space="0"/>
              <w:right w:val="single" w:color="auto" w:sz="4" w:space="0"/>
            </w:tcBorders>
            <w:vAlign w:val="center"/>
          </w:tcPr>
          <w:p w14:paraId="3805DB22">
            <w:pPr>
              <w:spacing w:line="360" w:lineRule="auto"/>
              <w:rPr>
                <w:rFonts w:ascii="仿宋" w:hAnsi="仿宋" w:eastAsia="仿宋" w:cs="仿宋"/>
                <w:iCs/>
                <w:color w:val="auto"/>
                <w:kern w:val="0"/>
                <w:sz w:val="24"/>
                <w:szCs w:val="24"/>
                <w:highlight w:val="none"/>
              </w:rPr>
            </w:pPr>
            <w:r>
              <w:rPr>
                <w:rFonts w:hint="eastAsia"/>
                <w:color w:val="auto"/>
                <w:sz w:val="24"/>
                <w:szCs w:val="24"/>
                <w:highlight w:val="none"/>
              </w:rPr>
              <w:t>施工图深化</w:t>
            </w:r>
          </w:p>
        </w:tc>
      </w:tr>
      <w:tr w14:paraId="57E21598">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5036FB16">
            <w:pPr>
              <w:spacing w:line="360" w:lineRule="auto"/>
              <w:ind w:firstLine="120" w:firstLineChars="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w:t>
            </w:r>
          </w:p>
        </w:tc>
        <w:tc>
          <w:tcPr>
            <w:tcW w:w="6451" w:type="dxa"/>
            <w:tcBorders>
              <w:top w:val="single" w:color="auto" w:sz="4" w:space="0"/>
              <w:left w:val="single" w:color="auto" w:sz="4" w:space="0"/>
              <w:bottom w:val="single" w:color="auto" w:sz="4" w:space="0"/>
              <w:right w:val="single" w:color="auto" w:sz="4" w:space="0"/>
            </w:tcBorders>
            <w:vAlign w:val="center"/>
          </w:tcPr>
          <w:p w14:paraId="764D9A85">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供配电系统设计（含配电干线系统及应急照明）</w:t>
            </w:r>
          </w:p>
        </w:tc>
        <w:tc>
          <w:tcPr>
            <w:tcW w:w="2337" w:type="dxa"/>
            <w:tcBorders>
              <w:top w:val="single" w:color="auto" w:sz="4" w:space="0"/>
              <w:left w:val="single" w:color="auto" w:sz="4" w:space="0"/>
              <w:bottom w:val="single" w:color="auto" w:sz="4" w:space="0"/>
              <w:right w:val="single" w:color="auto" w:sz="4" w:space="0"/>
            </w:tcBorders>
            <w:vAlign w:val="center"/>
          </w:tcPr>
          <w:p w14:paraId="6DCAAF97">
            <w:pPr>
              <w:spacing w:line="360" w:lineRule="auto"/>
              <w:rPr>
                <w:rFonts w:ascii="仿宋" w:hAnsi="仿宋" w:eastAsia="仿宋" w:cs="仿宋"/>
                <w:iCs/>
                <w:color w:val="auto"/>
                <w:kern w:val="0"/>
                <w:sz w:val="24"/>
                <w:szCs w:val="24"/>
                <w:highlight w:val="none"/>
              </w:rPr>
            </w:pPr>
            <w:r>
              <w:rPr>
                <w:rFonts w:hint="eastAsia"/>
                <w:color w:val="auto"/>
                <w:sz w:val="24"/>
                <w:szCs w:val="24"/>
                <w:highlight w:val="none"/>
              </w:rPr>
              <w:t>施工图深化</w:t>
            </w:r>
          </w:p>
        </w:tc>
      </w:tr>
      <w:tr w14:paraId="4F02BF76">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739FA0FB">
            <w:pPr>
              <w:spacing w:line="360" w:lineRule="auto"/>
              <w:ind w:firstLine="120" w:firstLineChars="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3</w:t>
            </w:r>
          </w:p>
        </w:tc>
        <w:tc>
          <w:tcPr>
            <w:tcW w:w="6451" w:type="dxa"/>
            <w:tcBorders>
              <w:top w:val="single" w:color="auto" w:sz="4" w:space="0"/>
              <w:left w:val="single" w:color="auto" w:sz="4" w:space="0"/>
              <w:bottom w:val="single" w:color="auto" w:sz="4" w:space="0"/>
              <w:right w:val="single" w:color="auto" w:sz="4" w:space="0"/>
            </w:tcBorders>
            <w:vAlign w:val="center"/>
          </w:tcPr>
          <w:p w14:paraId="1E981BF0">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弱电系统设计及消防自动报警和联动</w:t>
            </w:r>
          </w:p>
        </w:tc>
        <w:tc>
          <w:tcPr>
            <w:tcW w:w="2337" w:type="dxa"/>
            <w:tcBorders>
              <w:top w:val="single" w:color="auto" w:sz="4" w:space="0"/>
              <w:left w:val="single" w:color="auto" w:sz="4" w:space="0"/>
              <w:bottom w:val="single" w:color="auto" w:sz="4" w:space="0"/>
              <w:right w:val="single" w:color="auto" w:sz="4" w:space="0"/>
            </w:tcBorders>
            <w:vAlign w:val="center"/>
          </w:tcPr>
          <w:p w14:paraId="7B8E8FBB">
            <w:pPr>
              <w:spacing w:line="360" w:lineRule="auto"/>
              <w:rPr>
                <w:rFonts w:ascii="仿宋" w:hAnsi="仿宋" w:eastAsia="仿宋" w:cs="仿宋"/>
                <w:iCs/>
                <w:color w:val="auto"/>
                <w:kern w:val="0"/>
                <w:sz w:val="24"/>
                <w:szCs w:val="24"/>
                <w:highlight w:val="none"/>
              </w:rPr>
            </w:pPr>
            <w:r>
              <w:rPr>
                <w:rFonts w:hint="eastAsia"/>
                <w:color w:val="auto"/>
                <w:sz w:val="24"/>
                <w:szCs w:val="24"/>
                <w:highlight w:val="none"/>
              </w:rPr>
              <w:t>施工图深化</w:t>
            </w:r>
          </w:p>
        </w:tc>
      </w:tr>
      <w:tr w14:paraId="6669954F">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293C7A07">
            <w:pPr>
              <w:spacing w:line="360" w:lineRule="auto"/>
              <w:ind w:firstLine="120" w:firstLineChars="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4</w:t>
            </w:r>
          </w:p>
        </w:tc>
        <w:tc>
          <w:tcPr>
            <w:tcW w:w="6451" w:type="dxa"/>
            <w:tcBorders>
              <w:top w:val="single" w:color="auto" w:sz="4" w:space="0"/>
              <w:left w:val="single" w:color="auto" w:sz="4" w:space="0"/>
              <w:bottom w:val="single" w:color="auto" w:sz="4" w:space="0"/>
              <w:right w:val="single" w:color="auto" w:sz="4" w:space="0"/>
            </w:tcBorders>
            <w:vAlign w:val="center"/>
          </w:tcPr>
          <w:p w14:paraId="2C107B73">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暖通系统设计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5C458466">
            <w:pPr>
              <w:spacing w:line="360" w:lineRule="auto"/>
              <w:rPr>
                <w:rFonts w:ascii="仿宋" w:hAnsi="仿宋" w:eastAsia="仿宋" w:cs="仿宋"/>
                <w:iCs/>
                <w:color w:val="auto"/>
                <w:kern w:val="0"/>
                <w:sz w:val="24"/>
                <w:szCs w:val="24"/>
                <w:highlight w:val="none"/>
              </w:rPr>
            </w:pPr>
            <w:r>
              <w:rPr>
                <w:rFonts w:hint="eastAsia"/>
                <w:color w:val="auto"/>
                <w:sz w:val="24"/>
                <w:szCs w:val="24"/>
                <w:highlight w:val="none"/>
              </w:rPr>
              <w:t>施工图深化</w:t>
            </w:r>
          </w:p>
        </w:tc>
      </w:tr>
      <w:tr w14:paraId="318DC0FA">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1BE39074">
            <w:pPr>
              <w:spacing w:line="360" w:lineRule="auto"/>
              <w:ind w:firstLine="120" w:firstLineChars="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5</w:t>
            </w:r>
          </w:p>
        </w:tc>
        <w:tc>
          <w:tcPr>
            <w:tcW w:w="6451" w:type="dxa"/>
            <w:tcBorders>
              <w:top w:val="single" w:color="auto" w:sz="4" w:space="0"/>
              <w:left w:val="single" w:color="auto" w:sz="4" w:space="0"/>
              <w:bottom w:val="single" w:color="auto" w:sz="4" w:space="0"/>
              <w:right w:val="single" w:color="auto" w:sz="4" w:space="0"/>
            </w:tcBorders>
            <w:vAlign w:val="center"/>
          </w:tcPr>
          <w:p w14:paraId="54C1A1EA">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lang w:val="en-US" w:eastAsia="zh-CN"/>
              </w:rPr>
              <w:t>给排</w:t>
            </w:r>
            <w:r>
              <w:rPr>
                <w:rFonts w:hint="eastAsia" w:ascii="仿宋" w:hAnsi="仿宋" w:eastAsia="仿宋" w:cs="仿宋"/>
                <w:iCs/>
                <w:color w:val="auto"/>
                <w:kern w:val="0"/>
                <w:sz w:val="24"/>
                <w:szCs w:val="24"/>
                <w:highlight w:val="none"/>
              </w:rPr>
              <w:t>水系统设计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71AB8D14">
            <w:pPr>
              <w:spacing w:line="360" w:lineRule="auto"/>
              <w:rPr>
                <w:rFonts w:ascii="仿宋" w:hAnsi="仿宋" w:eastAsia="仿宋" w:cs="仿宋"/>
                <w:iCs/>
                <w:color w:val="auto"/>
                <w:kern w:val="0"/>
                <w:sz w:val="24"/>
                <w:szCs w:val="24"/>
                <w:highlight w:val="none"/>
              </w:rPr>
            </w:pPr>
            <w:r>
              <w:rPr>
                <w:rFonts w:hint="eastAsia"/>
                <w:color w:val="auto"/>
                <w:sz w:val="24"/>
                <w:szCs w:val="24"/>
                <w:highlight w:val="none"/>
              </w:rPr>
              <w:t>施工图深化</w:t>
            </w:r>
          </w:p>
        </w:tc>
      </w:tr>
      <w:tr w14:paraId="1E977E9F">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24188E60">
            <w:pPr>
              <w:spacing w:line="360" w:lineRule="auto"/>
              <w:ind w:firstLine="120" w:firstLineChars="5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6</w:t>
            </w:r>
          </w:p>
        </w:tc>
        <w:tc>
          <w:tcPr>
            <w:tcW w:w="6451" w:type="dxa"/>
            <w:tcBorders>
              <w:top w:val="single" w:color="auto" w:sz="4" w:space="0"/>
              <w:left w:val="single" w:color="auto" w:sz="4" w:space="0"/>
              <w:bottom w:val="single" w:color="auto" w:sz="4" w:space="0"/>
              <w:right w:val="single" w:color="auto" w:sz="4" w:space="0"/>
            </w:tcBorders>
            <w:vAlign w:val="center"/>
          </w:tcPr>
          <w:p w14:paraId="1F188F4E">
            <w:pPr>
              <w:spacing w:line="360" w:lineRule="auto"/>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智能化系统设计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06B150BA">
            <w:pPr>
              <w:spacing w:line="360" w:lineRule="auto"/>
              <w:rPr>
                <w:rFonts w:ascii="仿宋" w:hAnsi="仿宋" w:eastAsia="仿宋" w:cs="仿宋"/>
                <w:iCs/>
                <w:color w:val="auto"/>
                <w:kern w:val="0"/>
                <w:sz w:val="24"/>
                <w:szCs w:val="24"/>
                <w:highlight w:val="none"/>
              </w:rPr>
            </w:pPr>
            <w:r>
              <w:rPr>
                <w:rFonts w:hint="eastAsia"/>
                <w:color w:val="auto"/>
                <w:sz w:val="24"/>
                <w:szCs w:val="24"/>
                <w:highlight w:val="none"/>
              </w:rPr>
              <w:t>施工图深化</w:t>
            </w:r>
          </w:p>
        </w:tc>
      </w:tr>
    </w:tbl>
    <w:p w14:paraId="7EF1C154">
      <w:pPr>
        <w:spacing w:line="360" w:lineRule="auto"/>
        <w:ind w:firstLine="480" w:firstLineChars="200"/>
        <w:rPr>
          <w:rFonts w:ascii="仿宋" w:hAnsi="仿宋" w:eastAsia="仿宋" w:cs="仿宋"/>
          <w:iCs/>
          <w:color w:val="auto"/>
          <w:kern w:val="0"/>
          <w:sz w:val="24"/>
          <w:szCs w:val="24"/>
          <w:highlight w:val="none"/>
        </w:rPr>
      </w:pPr>
    </w:p>
    <w:p w14:paraId="420BCDD9">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.5</w:t>
      </w:r>
      <w:r>
        <w:rPr>
          <w:rFonts w:hint="eastAsia" w:ascii="仿宋" w:hAnsi="仿宋" w:eastAsia="仿宋" w:cs="仿宋"/>
          <w:iCs/>
          <w:color w:val="auto"/>
          <w:kern w:val="0"/>
          <w:sz w:val="24"/>
          <w:szCs w:val="24"/>
          <w:highlight w:val="none"/>
        </w:rPr>
        <w:t>设计单位须对施工单位的深化图纸及施工样板进行审查，对最终效果把控及负责，</w:t>
      </w:r>
      <w:r>
        <w:rPr>
          <w:rFonts w:hint="eastAsia" w:ascii="仿宋" w:hAnsi="仿宋" w:eastAsia="仿宋" w:cs="仿宋"/>
          <w:iCs/>
          <w:color w:val="auto"/>
          <w:kern w:val="0"/>
          <w:sz w:val="24"/>
          <w:szCs w:val="24"/>
          <w:highlight w:val="none"/>
          <w:lang w:val="en-US" w:eastAsia="zh-CN"/>
        </w:rPr>
        <w:t>避免</w:t>
      </w:r>
      <w:r>
        <w:rPr>
          <w:rFonts w:hint="eastAsia" w:ascii="仿宋" w:hAnsi="仿宋" w:eastAsia="仿宋" w:cs="仿宋"/>
          <w:iCs/>
          <w:color w:val="auto"/>
          <w:kern w:val="0"/>
          <w:sz w:val="24"/>
          <w:szCs w:val="24"/>
          <w:highlight w:val="none"/>
        </w:rPr>
        <w:t>对施工进度造成影响与拖延。</w:t>
      </w:r>
    </w:p>
    <w:p w14:paraId="542341A1">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.6</w:t>
      </w:r>
      <w:r>
        <w:rPr>
          <w:rFonts w:hint="eastAsia" w:ascii="仿宋" w:hAnsi="仿宋" w:eastAsia="仿宋" w:cs="仿宋"/>
          <w:iCs/>
          <w:color w:val="auto"/>
          <w:kern w:val="0"/>
          <w:sz w:val="24"/>
          <w:szCs w:val="24"/>
          <w:highlight w:val="none"/>
        </w:rPr>
        <w:t>设计单位须向施工单位进行施工设计图纸交底资料及答疑；审核及认可现场在施工过程中发生的设计变更；参加及配合施工阶段验收和竣工验收。</w:t>
      </w:r>
    </w:p>
    <w:p w14:paraId="48930A4A">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.7设计单位须向施工单位进行施工设计图纸交底资料及答疑；审核及认可现场在施工过程中发生的设计变更；参加及配合施工阶段验收和竣工验收</w:t>
      </w:r>
      <w:r>
        <w:rPr>
          <w:rFonts w:hint="eastAsia" w:ascii="仿宋" w:hAnsi="仿宋" w:eastAsia="仿宋" w:cs="仿宋"/>
          <w:iCs/>
          <w:color w:val="auto"/>
          <w:kern w:val="0"/>
          <w:sz w:val="24"/>
          <w:szCs w:val="24"/>
          <w:highlight w:val="none"/>
        </w:rPr>
        <w:t>。</w:t>
      </w:r>
    </w:p>
    <w:p w14:paraId="4620D829">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.8</w:t>
      </w:r>
      <w:r>
        <w:rPr>
          <w:rFonts w:hint="eastAsia" w:ascii="仿宋" w:hAnsi="仿宋" w:eastAsia="仿宋" w:cs="仿宋"/>
          <w:iCs/>
          <w:color w:val="auto"/>
          <w:kern w:val="0"/>
          <w:sz w:val="24"/>
          <w:szCs w:val="24"/>
          <w:highlight w:val="none"/>
        </w:rPr>
        <w:t>提供设计技术说明文件：设计师须为各系统编制技术规范，详细描述系统技术要求，设备技术参数、性能和施工技术要求。该设计技术说明将作为施工招标的文件及施工合同的附件。为合理控制造价，设计单位有义务按业主要求优化方案和材料，并对</w:t>
      </w:r>
      <w:r>
        <w:rPr>
          <w:rFonts w:hint="eastAsia" w:ascii="仿宋" w:hAnsi="仿宋" w:eastAsia="仿宋" w:cs="仿宋"/>
          <w:iCs/>
          <w:color w:val="auto"/>
          <w:kern w:val="0"/>
          <w:sz w:val="24"/>
          <w:szCs w:val="24"/>
          <w:highlight w:val="none"/>
          <w:lang w:val="en-US" w:eastAsia="zh-CN"/>
        </w:rPr>
        <w:t>发包人</w:t>
      </w:r>
      <w:r>
        <w:rPr>
          <w:rFonts w:hint="eastAsia" w:ascii="仿宋" w:hAnsi="仿宋" w:eastAsia="仿宋" w:cs="仿宋"/>
          <w:iCs/>
          <w:color w:val="auto"/>
          <w:kern w:val="0"/>
          <w:sz w:val="24"/>
          <w:szCs w:val="24"/>
          <w:highlight w:val="none"/>
        </w:rPr>
        <w:t>和施工单位提供的可替换饰品材料和做法予以</w:t>
      </w:r>
      <w:r>
        <w:rPr>
          <w:rFonts w:hint="eastAsia" w:ascii="仿宋" w:hAnsi="仿宋" w:eastAsia="仿宋" w:cs="仿宋"/>
          <w:iCs/>
          <w:color w:val="auto"/>
          <w:kern w:val="0"/>
          <w:sz w:val="24"/>
          <w:szCs w:val="24"/>
          <w:highlight w:val="none"/>
          <w:lang w:eastAsia="zh-CN"/>
        </w:rPr>
        <w:t>及时</w:t>
      </w:r>
      <w:r>
        <w:rPr>
          <w:rFonts w:hint="eastAsia" w:ascii="仿宋" w:hAnsi="仿宋" w:eastAsia="仿宋" w:cs="仿宋"/>
          <w:iCs/>
          <w:color w:val="auto"/>
          <w:kern w:val="0"/>
          <w:sz w:val="24"/>
          <w:szCs w:val="24"/>
          <w:highlight w:val="none"/>
        </w:rPr>
        <w:t>审核和认可。</w:t>
      </w:r>
    </w:p>
    <w:p w14:paraId="6F0551A6">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.9</w:t>
      </w:r>
      <w:r>
        <w:rPr>
          <w:rFonts w:hint="eastAsia" w:ascii="仿宋" w:hAnsi="仿宋" w:eastAsia="仿宋" w:cs="仿宋"/>
          <w:iCs/>
          <w:color w:val="auto"/>
          <w:kern w:val="0"/>
          <w:sz w:val="24"/>
          <w:szCs w:val="24"/>
          <w:highlight w:val="none"/>
        </w:rPr>
        <w:t>如</w:t>
      </w:r>
      <w:r>
        <w:rPr>
          <w:rFonts w:hint="eastAsia" w:ascii="仿宋" w:hAnsi="仿宋" w:eastAsia="仿宋" w:cs="仿宋"/>
          <w:iCs/>
          <w:color w:val="auto"/>
          <w:kern w:val="0"/>
          <w:sz w:val="24"/>
          <w:szCs w:val="24"/>
          <w:highlight w:val="none"/>
          <w:lang w:val="en-US" w:eastAsia="zh-CN"/>
        </w:rPr>
        <w:t>发包人</w:t>
      </w:r>
      <w:r>
        <w:rPr>
          <w:rFonts w:hint="eastAsia" w:ascii="仿宋" w:hAnsi="仿宋" w:eastAsia="仿宋" w:cs="仿宋"/>
          <w:iCs/>
          <w:color w:val="auto"/>
          <w:kern w:val="0"/>
          <w:sz w:val="24"/>
          <w:szCs w:val="24"/>
          <w:highlight w:val="none"/>
        </w:rPr>
        <w:t>在设计过程中提出需要配合的条件，其中包括组织设计说明会、交底答疑会，设计单位必须在规定的时间内，向</w:t>
      </w:r>
      <w:r>
        <w:rPr>
          <w:rFonts w:hint="eastAsia" w:ascii="仿宋" w:hAnsi="仿宋" w:eastAsia="仿宋" w:cs="仿宋"/>
          <w:iCs/>
          <w:color w:val="auto"/>
          <w:kern w:val="0"/>
          <w:sz w:val="24"/>
          <w:szCs w:val="24"/>
          <w:highlight w:val="none"/>
          <w:lang w:val="en-US" w:eastAsia="zh-CN"/>
        </w:rPr>
        <w:t>发包人</w:t>
      </w:r>
      <w:r>
        <w:rPr>
          <w:rFonts w:hint="eastAsia" w:ascii="仿宋" w:hAnsi="仿宋" w:eastAsia="仿宋" w:cs="仿宋"/>
          <w:iCs/>
          <w:color w:val="auto"/>
          <w:kern w:val="0"/>
          <w:sz w:val="24"/>
          <w:szCs w:val="24"/>
          <w:highlight w:val="none"/>
        </w:rPr>
        <w:t>反馈有关信息，如遇不明确的问题，应向建设方或建设方指定人员进行咨询。</w:t>
      </w:r>
    </w:p>
    <w:p w14:paraId="3161F6EA">
      <w:pP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w:t>
      </w:r>
      <w:r>
        <w:rPr>
          <w:rFonts w:hint="eastAsia" w:ascii="仿宋" w:hAnsi="仿宋" w:eastAsia="仿宋" w:cs="仿宋"/>
          <w:iCs/>
          <w:color w:val="auto"/>
          <w:kern w:val="0"/>
          <w:sz w:val="24"/>
          <w:szCs w:val="24"/>
          <w:highlight w:val="none"/>
          <w:lang w:val="en-US" w:eastAsia="zh-CN"/>
        </w:rPr>
        <w:t>.10</w:t>
      </w:r>
      <w:r>
        <w:rPr>
          <w:rFonts w:hint="eastAsia" w:ascii="仿宋" w:hAnsi="仿宋" w:eastAsia="仿宋" w:cs="仿宋"/>
          <w:iCs/>
          <w:color w:val="auto"/>
          <w:kern w:val="0"/>
          <w:sz w:val="24"/>
          <w:szCs w:val="24"/>
          <w:highlight w:val="none"/>
        </w:rPr>
        <w:t>提交成果必须为中文设计文件，或中英文的设计文件。设计文件必须以中文为准。</w:t>
      </w:r>
    </w:p>
    <w:bookmarkEnd w:id="3"/>
    <w:p w14:paraId="64B06CD8">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2.1.2施工部分（包括但不限于以下内容）：</w:t>
      </w:r>
    </w:p>
    <w:p w14:paraId="2A60AA54">
      <w:pPr>
        <w:spacing w:line="360" w:lineRule="auto"/>
        <w:ind w:firstLine="480" w:firstLineChars="200"/>
        <w:rPr>
          <w:rFonts w:ascii="仿宋" w:hAnsi="仿宋" w:eastAsia="仿宋" w:cs="仿宋"/>
          <w:iCs/>
          <w:strike w:val="0"/>
          <w:color w:val="auto"/>
          <w:kern w:val="0"/>
          <w:sz w:val="24"/>
          <w:szCs w:val="24"/>
          <w:highlight w:val="none"/>
        </w:rPr>
      </w:pPr>
      <w:bookmarkStart w:id="4" w:name="_Hlk157011995"/>
      <w:bookmarkStart w:id="5" w:name="_Hlk157011902"/>
      <w:r>
        <w:rPr>
          <w:rFonts w:hint="eastAsia" w:ascii="仿宋" w:hAnsi="仿宋" w:eastAsia="仿宋" w:cs="仿宋"/>
          <w:iCs/>
          <w:strike w:val="0"/>
          <w:color w:val="auto"/>
          <w:kern w:val="0"/>
          <w:sz w:val="24"/>
          <w:szCs w:val="24"/>
          <w:highlight w:val="none"/>
        </w:rPr>
        <w:t>根据项目相关资料及施工图纸，承担本项目实施范围内的各专业工程施工</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如有</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rPr>
        <w:t>、竣工验收、交付使用及工程质量保修等各项工作，包括但不限于：</w:t>
      </w:r>
    </w:p>
    <w:p w14:paraId="7EF1B97A">
      <w:pPr>
        <w:numPr>
          <w:ilvl w:val="0"/>
          <w:numId w:val="2"/>
        </w:num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lang w:eastAsia="zh-CN"/>
        </w:rPr>
        <w:t>负责本项目</w:t>
      </w:r>
      <w:r>
        <w:rPr>
          <w:rFonts w:hint="eastAsia" w:ascii="仿宋" w:hAnsi="仿宋" w:eastAsia="仿宋" w:cs="仿宋"/>
          <w:iCs/>
          <w:strike w:val="0"/>
          <w:color w:val="auto"/>
          <w:kern w:val="0"/>
          <w:sz w:val="24"/>
          <w:szCs w:val="24"/>
          <w:highlight w:val="none"/>
          <w:lang w:val="en-US" w:eastAsia="zh-CN"/>
        </w:rPr>
        <w:t>室内一层和二层装修改造、建筑</w:t>
      </w:r>
      <w:r>
        <w:rPr>
          <w:rFonts w:hint="eastAsia" w:ascii="仿宋" w:hAnsi="仿宋" w:eastAsia="仿宋" w:cs="仿宋"/>
          <w:iCs/>
          <w:strike w:val="0"/>
          <w:color w:val="auto"/>
          <w:kern w:val="0"/>
          <w:sz w:val="24"/>
          <w:szCs w:val="24"/>
          <w:highlight w:val="none"/>
        </w:rPr>
        <w:t>外立面</w:t>
      </w:r>
      <w:r>
        <w:rPr>
          <w:rFonts w:hint="eastAsia" w:ascii="仿宋" w:hAnsi="仿宋" w:eastAsia="仿宋" w:cs="仿宋"/>
          <w:iCs/>
          <w:color w:val="auto"/>
          <w:kern w:val="0"/>
          <w:sz w:val="24"/>
          <w:szCs w:val="24"/>
          <w:highlight w:val="none"/>
        </w:rPr>
        <w:t>、室外大楼周边</w:t>
      </w:r>
      <w:r>
        <w:rPr>
          <w:rFonts w:hint="eastAsia" w:ascii="仿宋" w:hAnsi="仿宋" w:eastAsia="仿宋" w:cs="仿宋"/>
          <w:iCs/>
          <w:strike w:val="0"/>
          <w:color w:val="auto"/>
          <w:kern w:val="0"/>
          <w:sz w:val="24"/>
          <w:szCs w:val="24"/>
          <w:highlight w:val="none"/>
        </w:rPr>
        <w:t>停车场改造</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包含场地平整、停车场照明、停车挡设置、绿化等</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及其配套的</w:t>
      </w:r>
      <w:r>
        <w:rPr>
          <w:rFonts w:hint="eastAsia" w:ascii="仿宋" w:hAnsi="仿宋" w:eastAsia="仿宋" w:cs="仿宋"/>
          <w:iCs/>
          <w:color w:val="auto"/>
          <w:kern w:val="0"/>
          <w:sz w:val="24"/>
          <w:szCs w:val="24"/>
          <w:highlight w:val="none"/>
          <w:lang w:eastAsia="zh-CN"/>
        </w:rPr>
        <w:t>沙盘</w:t>
      </w:r>
      <w:r>
        <w:rPr>
          <w:rFonts w:hint="eastAsia" w:ascii="仿宋" w:hAnsi="仿宋" w:eastAsia="仿宋" w:cs="仿宋"/>
          <w:iCs/>
          <w:color w:val="auto"/>
          <w:kern w:val="0"/>
          <w:sz w:val="24"/>
          <w:szCs w:val="24"/>
          <w:highlight w:val="none"/>
          <w:lang w:val="en-US" w:eastAsia="zh-CN"/>
        </w:rPr>
        <w:t>和</w:t>
      </w:r>
      <w:r>
        <w:rPr>
          <w:rFonts w:hint="eastAsia" w:ascii="仿宋" w:hAnsi="仿宋" w:eastAsia="仿宋" w:cs="仿宋"/>
          <w:iCs/>
          <w:color w:val="auto"/>
          <w:kern w:val="0"/>
          <w:sz w:val="24"/>
          <w:szCs w:val="24"/>
          <w:highlight w:val="none"/>
          <w:lang w:eastAsia="zh-CN"/>
        </w:rPr>
        <w:t>展陈</w:t>
      </w:r>
      <w:r>
        <w:rPr>
          <w:rFonts w:hint="eastAsia" w:ascii="仿宋" w:hAnsi="仿宋" w:eastAsia="仿宋" w:cs="仿宋"/>
          <w:iCs/>
          <w:color w:val="auto"/>
          <w:kern w:val="0"/>
          <w:sz w:val="24"/>
          <w:szCs w:val="24"/>
          <w:highlight w:val="none"/>
          <w:lang w:val="en-US" w:eastAsia="zh-CN"/>
        </w:rPr>
        <w:t>设备采购安装、</w:t>
      </w:r>
      <w:r>
        <w:rPr>
          <w:rFonts w:hint="eastAsia" w:ascii="仿宋" w:hAnsi="仿宋" w:eastAsia="仿宋" w:cs="仿宋"/>
          <w:iCs/>
          <w:strike w:val="0"/>
          <w:color w:val="auto"/>
          <w:kern w:val="0"/>
          <w:sz w:val="24"/>
          <w:szCs w:val="24"/>
          <w:highlight w:val="none"/>
        </w:rPr>
        <w:t>智能化、水电</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含外水外电</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rPr>
        <w:t>、给排水、通风空调</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rPr>
        <w:t>消防等，具体包括但不限于天花吊顶、墙柱面装饰、地面铺设、门、动力及照明配电线、智能化系统、消火栓系统、消防喷淋系统、消防自动报警系统、气体灭火装置等相关配套工程的施工工作</w:t>
      </w:r>
      <w:r>
        <w:rPr>
          <w:rFonts w:hint="eastAsia" w:ascii="仿宋" w:hAnsi="仿宋" w:eastAsia="仿宋" w:cs="仿宋"/>
          <w:iCs/>
          <w:color w:val="auto"/>
          <w:kern w:val="0"/>
          <w:sz w:val="24"/>
          <w:szCs w:val="24"/>
          <w:highlight w:val="none"/>
        </w:rPr>
        <w:t>；负责本项目</w:t>
      </w:r>
      <w:r>
        <w:rPr>
          <w:rFonts w:hint="eastAsia" w:ascii="仿宋" w:hAnsi="仿宋" w:eastAsia="仿宋" w:cs="仿宋"/>
          <w:iCs/>
          <w:color w:val="auto"/>
          <w:kern w:val="0"/>
          <w:sz w:val="24"/>
          <w:szCs w:val="24"/>
          <w:highlight w:val="none"/>
          <w:lang w:val="en-US" w:eastAsia="zh-CN"/>
        </w:rPr>
        <w:t>室内一层和二层装修改造、建筑</w:t>
      </w:r>
      <w:r>
        <w:rPr>
          <w:rFonts w:hint="eastAsia" w:ascii="仿宋" w:hAnsi="仿宋" w:eastAsia="仿宋" w:cs="仿宋"/>
          <w:iCs/>
          <w:color w:val="auto"/>
          <w:kern w:val="0"/>
          <w:sz w:val="24"/>
          <w:szCs w:val="24"/>
          <w:highlight w:val="none"/>
        </w:rPr>
        <w:t>外立面及周边停车场改造；</w:t>
      </w:r>
      <w:r>
        <w:rPr>
          <w:rFonts w:hint="eastAsia" w:ascii="仿宋" w:hAnsi="仿宋" w:eastAsia="仿宋" w:cs="仿宋"/>
          <w:iCs/>
          <w:color w:val="auto"/>
          <w:kern w:val="0"/>
          <w:sz w:val="24"/>
          <w:szCs w:val="24"/>
          <w:highlight w:val="none"/>
          <w:lang w:val="en-US" w:eastAsia="zh-CN"/>
        </w:rPr>
        <w:t>完</w:t>
      </w:r>
      <w:r>
        <w:rPr>
          <w:rFonts w:hint="eastAsia" w:ascii="仿宋" w:hAnsi="仿宋" w:eastAsia="仿宋" w:cs="仿宋"/>
          <w:iCs/>
          <w:strike w:val="0"/>
          <w:color w:val="auto"/>
          <w:kern w:val="0"/>
          <w:sz w:val="24"/>
          <w:szCs w:val="24"/>
          <w:highlight w:val="none"/>
        </w:rPr>
        <w:t>成以上工作内容的验收等，直至投入使用为止。除由发包人缴交的行政管理费用外，费用在投标下浮率中综合考虑，发包人不再另行计量支付。</w:t>
      </w:r>
    </w:p>
    <w:p w14:paraId="76673204">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ascii="仿宋" w:hAnsi="仿宋" w:eastAsia="仿宋" w:cs="仿宋"/>
          <w:iCs/>
          <w:strike w:val="0"/>
          <w:color w:val="auto"/>
          <w:kern w:val="0"/>
          <w:sz w:val="24"/>
          <w:szCs w:val="24"/>
          <w:highlight w:val="none"/>
        </w:rPr>
        <w:t>2</w:t>
      </w:r>
      <w:r>
        <w:rPr>
          <w:rFonts w:hint="eastAsia" w:ascii="仿宋" w:hAnsi="仿宋" w:eastAsia="仿宋" w:cs="仿宋"/>
          <w:iCs/>
          <w:strike w:val="0"/>
          <w:color w:val="auto"/>
          <w:kern w:val="0"/>
          <w:sz w:val="24"/>
          <w:szCs w:val="24"/>
          <w:highlight w:val="none"/>
        </w:rPr>
        <w:t>）负责施工图预算、竣工结算等造价文件的编制工作，配合发包人对预算</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概算</w:t>
      </w:r>
      <w:r>
        <w:rPr>
          <w:rFonts w:hint="eastAsia" w:ascii="仿宋" w:hAnsi="仿宋" w:eastAsia="仿宋" w:cs="仿宋"/>
          <w:iCs/>
          <w:strike w:val="0"/>
          <w:color w:val="auto"/>
          <w:kern w:val="0"/>
          <w:sz w:val="24"/>
          <w:szCs w:val="24"/>
          <w:highlight w:val="none"/>
        </w:rPr>
        <w:t>、结算的审核及审计工作。</w:t>
      </w:r>
    </w:p>
    <w:p w14:paraId="08A9E682">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ascii="仿宋" w:hAnsi="仿宋" w:eastAsia="仿宋" w:cs="仿宋"/>
          <w:iCs/>
          <w:strike w:val="0"/>
          <w:color w:val="auto"/>
          <w:kern w:val="0"/>
          <w:sz w:val="24"/>
          <w:szCs w:val="24"/>
          <w:highlight w:val="none"/>
        </w:rPr>
        <w:t>3</w:t>
      </w:r>
      <w:r>
        <w:rPr>
          <w:rFonts w:hint="eastAsia" w:ascii="仿宋" w:hAnsi="仿宋" w:eastAsia="仿宋" w:cs="仿宋"/>
          <w:iCs/>
          <w:strike w:val="0"/>
          <w:color w:val="auto"/>
          <w:kern w:val="0"/>
          <w:sz w:val="24"/>
          <w:szCs w:val="24"/>
          <w:highlight w:val="none"/>
        </w:rPr>
        <w:t>）负责办理工程开工及验收所需的各项报监、报验手续，包括但不限于办理施工许可证（或临时施工许可）、报监手续、分项分部工程和专业工程</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如有</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rPr>
        <w:t>验收，以及涉及施工单位的验收手续及证明等。</w:t>
      </w:r>
    </w:p>
    <w:p w14:paraId="220237DB">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ascii="仿宋" w:hAnsi="仿宋" w:eastAsia="仿宋" w:cs="仿宋"/>
          <w:iCs/>
          <w:strike w:val="0"/>
          <w:color w:val="auto"/>
          <w:kern w:val="0"/>
          <w:sz w:val="24"/>
          <w:szCs w:val="24"/>
          <w:highlight w:val="none"/>
        </w:rPr>
        <w:t>4</w:t>
      </w:r>
      <w:r>
        <w:rPr>
          <w:rFonts w:hint="eastAsia" w:ascii="仿宋" w:hAnsi="仿宋" w:eastAsia="仿宋" w:cs="仿宋"/>
          <w:iCs/>
          <w:strike w:val="0"/>
          <w:color w:val="auto"/>
          <w:kern w:val="0"/>
          <w:sz w:val="24"/>
          <w:szCs w:val="24"/>
          <w:highlight w:val="none"/>
        </w:rPr>
        <w:t>）负责本工程范围内施工管理配合服务，对本工程范围内发包人另行发包的其他工程提供总承包管理、配合服务工作，负责缴纳施工用电、施工用水至竣工验收移交发包人期间的费用；负责交付前的开荒保洁工作。上述所有工作产生的费用在投标下浮率中综合考虑，发包人不再另行计量支付。</w:t>
      </w:r>
    </w:p>
    <w:p w14:paraId="0A4C9225">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ascii="仿宋" w:hAnsi="仿宋" w:eastAsia="仿宋" w:cs="仿宋"/>
          <w:iCs/>
          <w:strike w:val="0"/>
          <w:color w:val="auto"/>
          <w:kern w:val="0"/>
          <w:sz w:val="24"/>
          <w:szCs w:val="24"/>
          <w:highlight w:val="none"/>
        </w:rPr>
        <w:t>5</w:t>
      </w:r>
      <w:r>
        <w:rPr>
          <w:rFonts w:hint="eastAsia" w:ascii="仿宋" w:hAnsi="仿宋" w:eastAsia="仿宋" w:cs="仿宋"/>
          <w:iCs/>
          <w:strike w:val="0"/>
          <w:color w:val="auto"/>
          <w:kern w:val="0"/>
          <w:sz w:val="24"/>
          <w:szCs w:val="24"/>
          <w:highlight w:val="none"/>
        </w:rPr>
        <w:t>）组织本项目的整体竣工验收和整体工程资料汇总及整理归档工作。</w:t>
      </w:r>
    </w:p>
    <w:p w14:paraId="629E2A93">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ascii="仿宋" w:hAnsi="仿宋" w:eastAsia="仿宋" w:cs="仿宋"/>
          <w:iCs/>
          <w:strike w:val="0"/>
          <w:color w:val="auto"/>
          <w:kern w:val="0"/>
          <w:sz w:val="24"/>
          <w:szCs w:val="24"/>
          <w:highlight w:val="none"/>
        </w:rPr>
        <w:t>6</w:t>
      </w:r>
      <w:r>
        <w:rPr>
          <w:rFonts w:hint="eastAsia" w:ascii="仿宋" w:hAnsi="仿宋" w:eastAsia="仿宋" w:cs="仿宋"/>
          <w:iCs/>
          <w:strike w:val="0"/>
          <w:color w:val="auto"/>
          <w:kern w:val="0"/>
          <w:sz w:val="24"/>
          <w:szCs w:val="24"/>
          <w:highlight w:val="none"/>
        </w:rPr>
        <w:t>）负责协调施工过程中的相关职能部门及周边居民，包括且不限于街道居委、公安派出所、交通部门、质安监、建管、城管等。上述所有工作产生的费用在投标下浮率中综合考虑，发包人不再另行计量支付。</w:t>
      </w:r>
    </w:p>
    <w:p w14:paraId="6E2C13AC">
      <w:pP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ascii="仿宋" w:hAnsi="仿宋" w:eastAsia="仿宋" w:cs="仿宋"/>
          <w:iCs/>
          <w:strike w:val="0"/>
          <w:color w:val="auto"/>
          <w:kern w:val="0"/>
          <w:sz w:val="24"/>
          <w:szCs w:val="24"/>
          <w:highlight w:val="none"/>
        </w:rPr>
        <w:t>7</w:t>
      </w:r>
      <w:r>
        <w:rPr>
          <w:rFonts w:hint="eastAsia" w:ascii="仿宋" w:hAnsi="仿宋" w:eastAsia="仿宋" w:cs="仿宋"/>
          <w:iCs/>
          <w:strike w:val="0"/>
          <w:color w:val="auto"/>
          <w:kern w:val="0"/>
          <w:sz w:val="24"/>
          <w:szCs w:val="24"/>
          <w:highlight w:val="none"/>
        </w:rPr>
        <w:t>）其他施工工作。</w:t>
      </w:r>
    </w:p>
    <w:p w14:paraId="1F5184E2">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发包人有权根据工程实际情况，对承包范围和工程内容进行适当调整，并按合同约定处理，承包人必须无条件服从。</w:t>
      </w:r>
    </w:p>
    <w:p w14:paraId="05CFC31E">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hint="eastAsia" w:ascii="仿宋" w:hAnsi="仿宋" w:eastAsia="仿宋" w:cs="仿宋"/>
          <w:iCs/>
          <w:strike w:val="0"/>
          <w:color w:val="auto"/>
          <w:kern w:val="0"/>
          <w:sz w:val="24"/>
          <w:szCs w:val="24"/>
          <w:highlight w:val="none"/>
          <w:lang w:val="en-US" w:eastAsia="zh-CN"/>
        </w:rPr>
        <w:t>8</w:t>
      </w:r>
      <w:r>
        <w:rPr>
          <w:rFonts w:hint="eastAsia" w:ascii="仿宋" w:hAnsi="仿宋" w:eastAsia="仿宋" w:cs="仿宋"/>
          <w:iCs/>
          <w:strike w:val="0"/>
          <w:color w:val="auto"/>
          <w:kern w:val="0"/>
          <w:sz w:val="24"/>
          <w:szCs w:val="24"/>
          <w:highlight w:val="none"/>
        </w:rPr>
        <w:t>）拆除工程：施工前进行场内的清表（若有，杂草及灌木等的清理及外运）、场内旧混凝土地面破除及原地面施工道路砼、原基础结构设施、排水管道及管沟拆除、原地块围网、围墙拆除等，以上所有费用均已包含在投标报价综合考虑中，不再另外开项支付。</w:t>
      </w:r>
    </w:p>
    <w:p w14:paraId="6623885C">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hint="eastAsia" w:ascii="仿宋" w:hAnsi="仿宋" w:eastAsia="仿宋" w:cs="仿宋"/>
          <w:iCs/>
          <w:strike w:val="0"/>
          <w:color w:val="auto"/>
          <w:kern w:val="0"/>
          <w:sz w:val="24"/>
          <w:szCs w:val="24"/>
          <w:highlight w:val="none"/>
          <w:lang w:val="en-US" w:eastAsia="zh-CN"/>
        </w:rPr>
        <w:t>9</w:t>
      </w:r>
      <w:r>
        <w:rPr>
          <w:rFonts w:hint="eastAsia" w:ascii="仿宋" w:hAnsi="仿宋" w:eastAsia="仿宋" w:cs="仿宋"/>
          <w:iCs/>
          <w:strike w:val="0"/>
          <w:color w:val="auto"/>
          <w:kern w:val="0"/>
          <w:sz w:val="24"/>
          <w:szCs w:val="24"/>
          <w:highlight w:val="none"/>
        </w:rPr>
        <w:t>）排水工程：区域内提前降排水措施；</w:t>
      </w:r>
      <w:r>
        <w:rPr>
          <w:rFonts w:hint="eastAsia" w:ascii="仿宋" w:hAnsi="仿宋" w:eastAsia="仿宋" w:cs="仿宋"/>
          <w:iCs/>
          <w:strike w:val="0"/>
          <w:color w:val="auto"/>
          <w:kern w:val="0"/>
          <w:sz w:val="24"/>
          <w:szCs w:val="24"/>
          <w:highlight w:val="none"/>
          <w:lang w:val="en-US" w:eastAsia="zh-CN"/>
        </w:rPr>
        <w:t>场地平整</w:t>
      </w:r>
      <w:r>
        <w:rPr>
          <w:rFonts w:hint="eastAsia" w:ascii="仿宋" w:hAnsi="仿宋" w:eastAsia="仿宋" w:cs="仿宋"/>
          <w:iCs/>
          <w:strike w:val="0"/>
          <w:color w:val="auto"/>
          <w:kern w:val="0"/>
          <w:sz w:val="24"/>
          <w:szCs w:val="24"/>
          <w:highlight w:val="none"/>
        </w:rPr>
        <w:t>过程中的降排水措施；临时排水管网，包括但不限于污水和雨水管道及其附件、检查井、雨水口、沉淀池及边沟淤泥清疏等排水设施。以上所有费用均已包含在投标报价综合考虑中，不再另外开项支付。承包人须考虑从开工至完工移交前，采取一切措施保证排水的及时性，由于排水不及时引起的浸泡等产生的工程质量、安全问题造成的经济及工期损失均由承包人承担。</w:t>
      </w:r>
    </w:p>
    <w:p w14:paraId="02FFF789">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hint="eastAsia" w:ascii="仿宋" w:hAnsi="仿宋" w:eastAsia="仿宋" w:cs="仿宋"/>
          <w:iCs/>
          <w:strike w:val="0"/>
          <w:color w:val="auto"/>
          <w:kern w:val="0"/>
          <w:sz w:val="24"/>
          <w:szCs w:val="24"/>
          <w:highlight w:val="none"/>
          <w:lang w:val="en-US" w:eastAsia="zh-CN"/>
        </w:rPr>
        <w:t>10</w:t>
      </w:r>
      <w:r>
        <w:rPr>
          <w:rFonts w:hint="eastAsia" w:ascii="仿宋" w:hAnsi="仿宋" w:eastAsia="仿宋" w:cs="仿宋"/>
          <w:iCs/>
          <w:strike w:val="0"/>
          <w:color w:val="auto"/>
          <w:kern w:val="0"/>
          <w:sz w:val="24"/>
          <w:szCs w:val="24"/>
          <w:highlight w:val="none"/>
        </w:rPr>
        <w:t>）整个施工过程中若发包人提供临水、临电接驳点，承包人负责施工场地用电及所需电缆、灯具安装、施工用水及所需管道敷设</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lang w:val="en-US" w:eastAsia="zh-CN"/>
        </w:rPr>
        <w:t>电费缴纳</w:t>
      </w:r>
      <w:r>
        <w:rPr>
          <w:rFonts w:hint="eastAsia" w:ascii="仿宋" w:hAnsi="仿宋" w:eastAsia="仿宋" w:cs="仿宋"/>
          <w:iCs/>
          <w:strike w:val="0"/>
          <w:color w:val="auto"/>
          <w:kern w:val="0"/>
          <w:sz w:val="24"/>
          <w:szCs w:val="24"/>
          <w:highlight w:val="none"/>
        </w:rPr>
        <w:t>等。根据现场条件如无法及时提供临水、临电接驳等服务，承包人需根据施工需要自行解决临时用水用电（含临时发电机发电、施工场地用电及所需电缆、灯具安装、施工用水及所需管道敷设等）。以上所有费用均已包含在投标报价综合考虑中，不再另外开项支付。</w:t>
      </w:r>
    </w:p>
    <w:p w14:paraId="125322AC">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w:t>
      </w:r>
      <w:r>
        <w:rPr>
          <w:rFonts w:hint="eastAsia" w:ascii="仿宋" w:hAnsi="仿宋" w:eastAsia="仿宋" w:cs="仿宋"/>
          <w:iCs/>
          <w:strike w:val="0"/>
          <w:color w:val="auto"/>
          <w:kern w:val="0"/>
          <w:sz w:val="24"/>
          <w:szCs w:val="24"/>
          <w:highlight w:val="none"/>
          <w:lang w:val="en-US" w:eastAsia="zh-CN"/>
        </w:rPr>
        <w:t>11</w:t>
      </w:r>
      <w:r>
        <w:rPr>
          <w:rFonts w:hint="eastAsia" w:ascii="仿宋" w:hAnsi="仿宋" w:eastAsia="仿宋" w:cs="仿宋"/>
          <w:iCs/>
          <w:strike w:val="0"/>
          <w:color w:val="auto"/>
          <w:kern w:val="0"/>
          <w:sz w:val="24"/>
          <w:szCs w:val="24"/>
          <w:highlight w:val="none"/>
        </w:rPr>
        <w:t>）用地施工现场不提供项目部建设及宿舍等临时设施搭设场地，承包人需于现场附近租赁，自行解决项目部（包括但不限于：办公场所、工人宿舍等一切涉及本项目建设使用临时设施）建设及围蔽（含建设用地租赁费用）；并自行解决管理人员及工人的住宿问题；自行考虑住宿的地点及往来交通。承包人负责项目部建设，项目部建设方案须征得发包人同意后方可实施。以上所有费用均已包含在投标报价综合考虑中，不再另外开项支付。</w:t>
      </w:r>
    </w:p>
    <w:p w14:paraId="1B46368B">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（1</w:t>
      </w:r>
      <w:r>
        <w:rPr>
          <w:rFonts w:hint="eastAsia" w:ascii="仿宋" w:hAnsi="仿宋" w:eastAsia="仿宋" w:cs="仿宋"/>
          <w:iCs/>
          <w:strike w:val="0"/>
          <w:color w:val="auto"/>
          <w:kern w:val="0"/>
          <w:sz w:val="24"/>
          <w:szCs w:val="24"/>
          <w:highlight w:val="none"/>
          <w:lang w:val="en-US" w:eastAsia="zh-CN"/>
        </w:rPr>
        <w:t>2</w:t>
      </w:r>
      <w:r>
        <w:rPr>
          <w:rFonts w:hint="eastAsia" w:ascii="仿宋" w:hAnsi="仿宋" w:eastAsia="仿宋" w:cs="仿宋"/>
          <w:iCs/>
          <w:strike w:val="0"/>
          <w:color w:val="auto"/>
          <w:kern w:val="0"/>
          <w:sz w:val="24"/>
          <w:szCs w:val="24"/>
          <w:highlight w:val="none"/>
        </w:rPr>
        <w:t>）承包人需</w:t>
      </w:r>
      <w:r>
        <w:rPr>
          <w:rFonts w:hint="eastAsia" w:ascii="仿宋" w:hAnsi="仿宋" w:eastAsia="仿宋" w:cs="仿宋"/>
          <w:iCs/>
          <w:strike w:val="0"/>
          <w:color w:val="auto"/>
          <w:kern w:val="0"/>
          <w:sz w:val="24"/>
          <w:szCs w:val="24"/>
          <w:highlight w:val="none"/>
          <w:lang w:val="en-US" w:eastAsia="zh-CN"/>
        </w:rPr>
        <w:t>委托有资质的专业机构</w:t>
      </w:r>
      <w:r>
        <w:rPr>
          <w:rFonts w:hint="eastAsia" w:ascii="仿宋" w:hAnsi="仿宋" w:eastAsia="仿宋" w:cs="仿宋"/>
          <w:iCs/>
          <w:strike w:val="0"/>
          <w:color w:val="auto"/>
          <w:kern w:val="0"/>
          <w:sz w:val="24"/>
          <w:szCs w:val="24"/>
          <w:highlight w:val="none"/>
        </w:rPr>
        <w:t>对</w:t>
      </w:r>
      <w:r>
        <w:rPr>
          <w:rFonts w:hint="eastAsia" w:ascii="仿宋" w:hAnsi="仿宋" w:eastAsia="仿宋" w:cs="仿宋"/>
          <w:iCs/>
          <w:strike w:val="0"/>
          <w:color w:val="auto"/>
          <w:kern w:val="0"/>
          <w:sz w:val="24"/>
          <w:szCs w:val="24"/>
          <w:highlight w:val="none"/>
          <w:lang w:val="en-US" w:eastAsia="zh-CN"/>
        </w:rPr>
        <w:t>本改造工程范围内</w:t>
      </w:r>
      <w:r>
        <w:rPr>
          <w:rFonts w:hint="eastAsia" w:ascii="仿宋" w:hAnsi="仿宋" w:eastAsia="仿宋" w:cs="仿宋"/>
          <w:iCs/>
          <w:strike w:val="0"/>
          <w:color w:val="auto"/>
          <w:kern w:val="0"/>
          <w:sz w:val="24"/>
          <w:szCs w:val="24"/>
          <w:highlight w:val="none"/>
        </w:rPr>
        <w:t>构筑物进行施工前、后结构安全鉴定</w:t>
      </w:r>
      <w:r>
        <w:rPr>
          <w:rFonts w:hint="eastAsia" w:ascii="仿宋" w:hAnsi="仿宋" w:eastAsia="仿宋" w:cs="仿宋"/>
          <w:iCs/>
          <w:strike w:val="0"/>
          <w:color w:val="auto"/>
          <w:kern w:val="0"/>
          <w:sz w:val="24"/>
          <w:szCs w:val="24"/>
          <w:highlight w:val="none"/>
          <w:lang w:eastAsia="zh-CN"/>
        </w:rPr>
        <w:t>；</w:t>
      </w:r>
      <w:r>
        <w:rPr>
          <w:rFonts w:hint="eastAsia" w:ascii="仿宋" w:hAnsi="仿宋" w:eastAsia="仿宋" w:cs="仿宋"/>
          <w:iCs/>
          <w:strike w:val="0"/>
          <w:color w:val="auto"/>
          <w:kern w:val="0"/>
          <w:sz w:val="24"/>
          <w:szCs w:val="24"/>
          <w:highlight w:val="none"/>
        </w:rPr>
        <w:t>施工过程中需避免对周边楼房或楼房地基造成破坏，必要时前置进行房屋安全鉴定，如果施工导致周边楼房出现沉降开裂甚至更严重问题，引起投诉抗议，承包人须对周边楼房进行修补、对居民安抚补偿提供临迁费、安置房等措施。如果出现由于居民投诉抗议导致项目被罚款甚至停工影响施工进度，相关损失由承包人承担。以上产生的所有费用均已包含在投标报价综合考虑中，不再另外开项支付。</w:t>
      </w:r>
    </w:p>
    <w:p w14:paraId="38372E99">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（1</w:t>
      </w:r>
      <w:r>
        <w:rPr>
          <w:rFonts w:hint="eastAsia" w:ascii="仿宋" w:hAnsi="仿宋" w:eastAsia="仿宋" w:cs="仿宋"/>
          <w:iCs/>
          <w:strike w:val="0"/>
          <w:color w:val="auto"/>
          <w:kern w:val="0"/>
          <w:sz w:val="24"/>
          <w:szCs w:val="24"/>
          <w:highlight w:val="none"/>
          <w:lang w:val="en-US" w:eastAsia="zh-CN"/>
        </w:rPr>
        <w:t>3</w:t>
      </w:r>
      <w:r>
        <w:rPr>
          <w:rFonts w:hint="eastAsia" w:ascii="仿宋" w:hAnsi="仿宋" w:eastAsia="仿宋" w:cs="仿宋"/>
          <w:iCs/>
          <w:strike w:val="0"/>
          <w:color w:val="auto"/>
          <w:kern w:val="0"/>
          <w:sz w:val="24"/>
          <w:szCs w:val="24"/>
          <w:highlight w:val="none"/>
        </w:rPr>
        <w:t>）项目</w:t>
      </w:r>
      <w:r>
        <w:rPr>
          <w:rFonts w:hint="eastAsia" w:ascii="仿宋" w:hAnsi="仿宋" w:eastAsia="仿宋" w:cs="仿宋"/>
          <w:iCs/>
          <w:strike w:val="0"/>
          <w:color w:val="auto"/>
          <w:kern w:val="0"/>
          <w:sz w:val="24"/>
          <w:szCs w:val="24"/>
          <w:highlight w:val="none"/>
          <w:lang w:eastAsia="zh-CN"/>
        </w:rPr>
        <w:t>邻近</w:t>
      </w:r>
      <w:r>
        <w:rPr>
          <w:rFonts w:hint="eastAsia" w:ascii="仿宋" w:hAnsi="仿宋" w:eastAsia="仿宋" w:cs="仿宋"/>
          <w:iCs/>
          <w:strike w:val="0"/>
          <w:color w:val="auto"/>
          <w:kern w:val="0"/>
          <w:sz w:val="24"/>
          <w:szCs w:val="24"/>
          <w:highlight w:val="none"/>
        </w:rPr>
        <w:t>的公共设施、民房、厂房、道路、市政设施等的保护措施及施工修护；以上产生的所有费用均已包含在投标报价综合考虑中，不再另外开项支付。</w:t>
      </w:r>
    </w:p>
    <w:p w14:paraId="1DB11686">
      <w:pPr>
        <w:spacing w:line="360" w:lineRule="auto"/>
        <w:ind w:firstLine="480" w:firstLineChars="200"/>
        <w:rPr>
          <w:rFonts w:hint="eastAsia"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（1</w:t>
      </w:r>
      <w:r>
        <w:rPr>
          <w:rFonts w:hint="eastAsia" w:ascii="仿宋" w:hAnsi="仿宋" w:eastAsia="仿宋" w:cs="仿宋"/>
          <w:iCs/>
          <w:strike w:val="0"/>
          <w:color w:val="auto"/>
          <w:kern w:val="0"/>
          <w:sz w:val="24"/>
          <w:szCs w:val="24"/>
          <w:highlight w:val="none"/>
          <w:lang w:val="en-US" w:eastAsia="zh-CN"/>
        </w:rPr>
        <w:t>4</w:t>
      </w:r>
      <w:r>
        <w:rPr>
          <w:rFonts w:hint="eastAsia" w:ascii="仿宋" w:hAnsi="仿宋" w:eastAsia="仿宋" w:cs="仿宋"/>
          <w:iCs/>
          <w:strike w:val="0"/>
          <w:color w:val="auto"/>
          <w:kern w:val="0"/>
          <w:sz w:val="24"/>
          <w:szCs w:val="24"/>
          <w:highlight w:val="none"/>
        </w:rPr>
        <w:t>）负责施工图预算编制、设计变更、设计变更造价分析、签证预算编制、竣工结算等造价文件的编制工作，配合相关部门结（决）算审计。</w:t>
      </w:r>
    </w:p>
    <w:p w14:paraId="1857C27A">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5</w:t>
      </w:r>
      <w:r>
        <w:rPr>
          <w:rFonts w:hint="eastAsia" w:ascii="仿宋" w:hAnsi="仿宋" w:eastAsia="仿宋" w:cs="仿宋"/>
          <w:bCs/>
          <w:snapToGrid w:val="0"/>
          <w:color w:val="auto"/>
          <w:kern w:val="0"/>
          <w:sz w:val="24"/>
          <w:highlight w:val="none"/>
          <w:woUserID w:val="1"/>
        </w:rPr>
        <w:t>）负责配合办理或代为办理工程开工及验收所需的手续，包括但不限于：给水接驳（永久用水接驳耗水费包含在合同总价中）、水质检测、水电气等专业报装、分部分项工程验收、环保验收、消防验收、卫生验收、防雷验收、永久排水许可证、质量验收、永久用水验收及通水、燃气验收及通气、竣工验收等工作，并支付办理上述工作中应由承包人承担的费用，以上所有费用均已包含在投标报价综合考虑中，不再另外开项支付。</w:t>
      </w:r>
    </w:p>
    <w:p w14:paraId="46570C8F">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（15）完成按有关规定应由承包人负责的检测、监测工作</w:t>
      </w:r>
      <w:r>
        <w:rPr>
          <w:rFonts w:hint="eastAsia" w:ascii="仿宋" w:hAnsi="仿宋" w:eastAsia="仿宋" w:cs="仿宋"/>
          <w:bCs/>
          <w:snapToGrid w:val="0"/>
          <w:color w:val="auto"/>
          <w:kern w:val="0"/>
          <w:sz w:val="24"/>
          <w:highlight w:val="none"/>
          <w:lang w:eastAsia="zh-CN"/>
          <w:woUserID w:val="1"/>
        </w:rPr>
        <w:t>，以</w:t>
      </w:r>
      <w:r>
        <w:rPr>
          <w:rFonts w:hint="eastAsia" w:ascii="仿宋" w:hAnsi="仿宋" w:eastAsia="仿宋" w:cs="仿宋"/>
          <w:bCs/>
          <w:snapToGrid w:val="0"/>
          <w:color w:val="auto"/>
          <w:kern w:val="0"/>
          <w:sz w:val="24"/>
          <w:highlight w:val="none"/>
          <w:woUserID w:val="1"/>
        </w:rPr>
        <w:t>及配合发包人委托的第三方检测、监测工作；为发包人委托的第三方单位提供至现场工作点的场地、道路、吊装设备、水、电等条件，以上所有费用均已包含在投标报价综合考虑中，不再另外开项支付。若因超前施工产生的扩大检测费用，由承包人承担。</w:t>
      </w:r>
    </w:p>
    <w:p w14:paraId="6056DE36">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16）负责施工期间至移交前的场地管理、保安、保洁、防噪音、防扬尘及绿化养护等管理工作；施工过程中不同施工阶段，均应做到工完场清，达到发包人、监理人的文明施工要求，交付时达到精保洁标准（精保洁以发包人及接收人的要求及次数为准）；负责设置卫生垃圾池和建筑垃圾外运工作；负责设置施工污水收集过滤系统，保证污水排放不得影响周边环境；本工程所有桩芯土、建筑垃圾、泥浆等承包人必须自行联系政府规定合法弃土地点，从工地清运出去，不论距离远近和运输过程中发生的环保费、城市卫生费等一切开支已包含在本项目合同价款中，并需做到满足项目要求、工完场清</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woUserID w:val="1"/>
        </w:rPr>
        <w:t>以上所有费用均已包含在投标报价综合考虑中，不再另外开项支付。</w:t>
      </w:r>
    </w:p>
    <w:p w14:paraId="6211AA8D">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（17）余泥渣土运输与排放费用，承包人须根据政府主管部门及相关政策要求、招标文件、现场条件、发包人提供的资料等，充分考虑实际所需的投入</w:t>
      </w:r>
      <w:r>
        <w:rPr>
          <w:rFonts w:hint="eastAsia" w:ascii="仿宋" w:hAnsi="仿宋" w:eastAsia="仿宋" w:cs="仿宋"/>
          <w:bCs/>
          <w:snapToGrid w:val="0"/>
          <w:color w:val="auto"/>
          <w:kern w:val="0"/>
          <w:sz w:val="24"/>
          <w:highlight w:val="none"/>
          <w:lang w:eastAsia="zh-CN"/>
          <w:woUserID w:val="1"/>
        </w:rPr>
        <w:t>，包</w:t>
      </w:r>
      <w:r>
        <w:rPr>
          <w:rFonts w:hint="eastAsia" w:ascii="仿宋" w:hAnsi="仿宋" w:eastAsia="仿宋" w:cs="仿宋"/>
          <w:bCs/>
          <w:snapToGrid w:val="0"/>
          <w:color w:val="auto"/>
          <w:kern w:val="0"/>
          <w:sz w:val="24"/>
          <w:highlight w:val="none"/>
          <w:woUserID w:val="1"/>
        </w:rPr>
        <w:t>含超前施工相关的公关、协调、沟通费用，并在投标报价中综合考虑。承包人须严格按政府主管部门及相关政策要求执行，发包人不接受承包人以此为理由的任何增加费用要求。</w:t>
      </w:r>
    </w:p>
    <w:p w14:paraId="51B3E807">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（18）负责或配合做好开工、迎检、观摩、应急演练、竣工、移交、政府重大活动及日常接待等仪式或活动的筹备工作，以上所有费用均已包含在投标报价综合考虑中，不再另外开项支付。</w:t>
      </w:r>
    </w:p>
    <w:p w14:paraId="38FB5E0F">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19）项目施工范围为避免非法堆填等突发情况发生；本合同下全部工程移交前的成品保护和照管工作（含机电设备（包括智能化设备）检测、登记、运行、维护、耗材、水电气等费用）。以上所有费用均已包含在投标报价综合考虑中，不再另外开项支付。</w:t>
      </w:r>
    </w:p>
    <w:p w14:paraId="7E2DEF36">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20）协助组织本项目的整体竣工验收、负责整体工程资料汇总及档案整理归档工作。包括结算资料整理汇总、竣工图签审及竣工图编制；在本工程范围内工程资料正式移交给发包人及相关建设主管部门之前所产生的所有费用均已包含在投标报价综合考虑中，不再另外开项支付。</w:t>
      </w:r>
    </w:p>
    <w:p w14:paraId="085EA83B">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（27）负责协调施工过程中的相关职能部门及周边居民，包括且不限于：街道居委、公安派出所、交通部门、质安监、住建、城管、劳动监察、检测等。</w:t>
      </w:r>
    </w:p>
    <w:p w14:paraId="6188C31A">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（28）负责施工管理配合，对由发包人另行发包的其他工程提供配合工作，包括但不限于提供场地、临时用水、临时用电和使用临时设施的配合工作。</w:t>
      </w:r>
    </w:p>
    <w:p w14:paraId="378423CB">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29</w:t>
      </w:r>
      <w:r>
        <w:rPr>
          <w:rFonts w:hint="eastAsia" w:ascii="仿宋" w:hAnsi="仿宋" w:eastAsia="仿宋" w:cs="仿宋"/>
          <w:bCs/>
          <w:snapToGrid w:val="0"/>
          <w:color w:val="auto"/>
          <w:kern w:val="0"/>
          <w:sz w:val="24"/>
          <w:highlight w:val="none"/>
          <w:woUserID w:val="1"/>
        </w:rPr>
        <w:t>）负责完成的二次深化设计内容包括（但不限于</w:t>
      </w:r>
      <w:r>
        <w:rPr>
          <w:rFonts w:hint="eastAsia" w:ascii="仿宋" w:hAnsi="仿宋" w:eastAsia="仿宋" w:cs="仿宋"/>
          <w:bCs/>
          <w:snapToGrid w:val="0"/>
          <w:color w:val="auto"/>
          <w:kern w:val="0"/>
          <w:sz w:val="24"/>
          <w:highlight w:val="none"/>
          <w:lang w:val="en-US" w:eastAsia="zh-CN"/>
          <w:woUserID w:val="1"/>
        </w:rPr>
        <w:t>外立面设计、</w:t>
      </w:r>
      <w:r>
        <w:rPr>
          <w:rFonts w:hint="eastAsia" w:ascii="仿宋" w:hAnsi="仿宋" w:eastAsia="仿宋" w:cs="仿宋"/>
          <w:bCs/>
          <w:snapToGrid w:val="0"/>
          <w:color w:val="auto"/>
          <w:kern w:val="0"/>
          <w:sz w:val="24"/>
          <w:highlight w:val="none"/>
          <w:woUserID w:val="1"/>
        </w:rPr>
        <w:t>幕墙设计（如有）、钢结构设计、栏杆设计、玻璃雨棚、铝合金百叶等）所有需二次深化设计的图纸。该部分费用已含在合同总价中，发包人不再另行计费。施工图二次深化时，</w:t>
      </w:r>
      <w:r>
        <w:rPr>
          <w:rFonts w:hint="eastAsia" w:ascii="仿宋" w:hAnsi="仿宋" w:eastAsia="仿宋" w:cs="仿宋"/>
          <w:bCs/>
          <w:snapToGrid w:val="0"/>
          <w:color w:val="auto"/>
          <w:kern w:val="0"/>
          <w:sz w:val="24"/>
          <w:highlight w:val="none"/>
          <w:lang w:val="en-US" w:eastAsia="zh-CN"/>
          <w:woUserID w:val="1"/>
        </w:rPr>
        <w:t>承包人</w:t>
      </w:r>
      <w:r>
        <w:rPr>
          <w:rFonts w:hint="eastAsia" w:ascii="仿宋" w:hAnsi="仿宋" w:eastAsia="仿宋" w:cs="仿宋"/>
          <w:bCs/>
          <w:snapToGrid w:val="0"/>
          <w:color w:val="auto"/>
          <w:kern w:val="0"/>
          <w:sz w:val="24"/>
          <w:highlight w:val="none"/>
          <w:woUserID w:val="1"/>
        </w:rPr>
        <w:t>应满足</w:t>
      </w:r>
      <w:r>
        <w:rPr>
          <w:rFonts w:hint="eastAsia" w:ascii="仿宋" w:hAnsi="仿宋" w:eastAsia="仿宋" w:cs="仿宋"/>
          <w:bCs/>
          <w:snapToGrid w:val="0"/>
          <w:color w:val="auto"/>
          <w:kern w:val="0"/>
          <w:sz w:val="24"/>
          <w:highlight w:val="none"/>
          <w:lang w:val="en-US" w:eastAsia="zh-CN"/>
          <w:woUserID w:val="1"/>
        </w:rPr>
        <w:t>发包人</w:t>
      </w:r>
      <w:r>
        <w:rPr>
          <w:rFonts w:hint="eastAsia" w:ascii="仿宋" w:hAnsi="仿宋" w:eastAsia="仿宋" w:cs="仿宋"/>
          <w:bCs/>
          <w:snapToGrid w:val="0"/>
          <w:color w:val="auto"/>
          <w:kern w:val="0"/>
          <w:sz w:val="24"/>
          <w:highlight w:val="none"/>
          <w:woUserID w:val="1"/>
        </w:rPr>
        <w:t>的使用要求，在不降低功能和保证安全的前提下，按不突破深化前该部分施工图计费总造价原则进行二次深化设计，否则增加的费用由承包人自行承担。</w:t>
      </w:r>
    </w:p>
    <w:p w14:paraId="76C0146E">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（3</w:t>
      </w:r>
      <w:r>
        <w:rPr>
          <w:rFonts w:hint="eastAsia" w:ascii="仿宋" w:hAnsi="仿宋" w:eastAsia="仿宋" w:cs="仿宋"/>
          <w:bCs/>
          <w:snapToGrid w:val="0"/>
          <w:color w:val="auto"/>
          <w:kern w:val="0"/>
          <w:sz w:val="24"/>
          <w:highlight w:val="none"/>
          <w:lang w:eastAsia="zh-CN"/>
          <w:woUserID w:val="1"/>
        </w:rPr>
        <w:t>0</w:t>
      </w:r>
      <w:r>
        <w:rPr>
          <w:rFonts w:hint="eastAsia" w:ascii="仿宋" w:hAnsi="仿宋" w:eastAsia="仿宋" w:cs="仿宋"/>
          <w:bCs/>
          <w:snapToGrid w:val="0"/>
          <w:color w:val="auto"/>
          <w:kern w:val="0"/>
          <w:sz w:val="24"/>
          <w:highlight w:val="none"/>
          <w:woUserID w:val="1"/>
        </w:rPr>
        <w:t>）发包人有权要求施工使用爬架，铝模，相关费用在合同总价中综合考虑。</w:t>
      </w:r>
    </w:p>
    <w:p w14:paraId="35E1D587">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（3</w:t>
      </w:r>
      <w:r>
        <w:rPr>
          <w:rFonts w:hint="eastAsia" w:ascii="仿宋" w:hAnsi="仿宋" w:eastAsia="仿宋" w:cs="仿宋"/>
          <w:bCs/>
          <w:snapToGrid w:val="0"/>
          <w:color w:val="auto"/>
          <w:kern w:val="0"/>
          <w:sz w:val="24"/>
          <w:highlight w:val="none"/>
          <w:lang w:eastAsia="zh-CN"/>
          <w:woUserID w:val="1"/>
        </w:rPr>
        <w:t>1</w:t>
      </w:r>
      <w:r>
        <w:rPr>
          <w:rFonts w:hint="eastAsia" w:ascii="仿宋" w:hAnsi="仿宋" w:eastAsia="仿宋" w:cs="仿宋"/>
          <w:bCs/>
          <w:snapToGrid w:val="0"/>
          <w:color w:val="auto"/>
          <w:kern w:val="0"/>
          <w:sz w:val="24"/>
          <w:highlight w:val="none"/>
          <w:woUserID w:val="1"/>
        </w:rPr>
        <w:t>）按照《广州市住房和城乡建设局关于推进建筑施工设备更新工作的通知》</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woUserID w:val="1"/>
        </w:rPr>
        <w:t>穗建筑[2024]539号</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woUserID w:val="1"/>
        </w:rPr>
        <w:t>要求实施建筑施工设备更新工作，各项内容应该符合要求。</w:t>
      </w:r>
    </w:p>
    <w:p w14:paraId="66BB342C">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lang w:val="en-US" w:eastAsia="zh-CN"/>
          <w:woUserID w:val="1"/>
        </w:rPr>
        <w:t>32</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lang w:val="en-US" w:eastAsia="zh-CN"/>
          <w:woUserID w:val="1"/>
        </w:rPr>
        <w:t>水电工程：负责外电外水的报送申请、接驳及开关房、变电箱、电缆铺设、</w:t>
      </w:r>
      <w:r>
        <w:rPr>
          <w:rFonts w:hint="eastAsia" w:ascii="仿宋" w:hAnsi="仿宋" w:eastAsia="仿宋" w:cs="仿宋"/>
          <w:bCs/>
          <w:snapToGrid w:val="0"/>
          <w:color w:val="auto"/>
          <w:kern w:val="0"/>
          <w:sz w:val="24"/>
          <w:highlight w:val="none"/>
          <w:woUserID w:val="1"/>
        </w:rPr>
        <w:t>永久用</w:t>
      </w:r>
      <w:r>
        <w:rPr>
          <w:rFonts w:hint="eastAsia" w:ascii="仿宋" w:hAnsi="仿宋" w:eastAsia="仿宋" w:cs="仿宋"/>
          <w:bCs/>
          <w:snapToGrid w:val="0"/>
          <w:color w:val="auto"/>
          <w:kern w:val="0"/>
          <w:sz w:val="24"/>
          <w:highlight w:val="none"/>
          <w:lang w:val="en-US" w:eastAsia="zh-CN"/>
          <w:woUserID w:val="1"/>
        </w:rPr>
        <w:t>电用水</w:t>
      </w:r>
      <w:r>
        <w:rPr>
          <w:rFonts w:hint="eastAsia" w:ascii="仿宋" w:hAnsi="仿宋" w:eastAsia="仿宋" w:cs="仿宋"/>
          <w:bCs/>
          <w:snapToGrid w:val="0"/>
          <w:color w:val="auto"/>
          <w:kern w:val="0"/>
          <w:sz w:val="24"/>
          <w:highlight w:val="none"/>
          <w:woUserID w:val="1"/>
        </w:rPr>
        <w:t>验收及通</w:t>
      </w:r>
      <w:r>
        <w:rPr>
          <w:rFonts w:hint="eastAsia" w:ascii="仿宋" w:hAnsi="仿宋" w:eastAsia="仿宋" w:cs="仿宋"/>
          <w:bCs/>
          <w:snapToGrid w:val="0"/>
          <w:color w:val="auto"/>
          <w:kern w:val="0"/>
          <w:sz w:val="24"/>
          <w:highlight w:val="none"/>
          <w:lang w:val="en-US" w:eastAsia="zh-CN"/>
          <w:woUserID w:val="1"/>
        </w:rPr>
        <w:t>电通水，</w:t>
      </w:r>
      <w:r>
        <w:rPr>
          <w:rFonts w:hint="eastAsia" w:ascii="仿宋" w:hAnsi="仿宋" w:eastAsia="仿宋" w:cs="仿宋"/>
          <w:bCs/>
          <w:snapToGrid w:val="0"/>
          <w:color w:val="auto"/>
          <w:kern w:val="0"/>
          <w:sz w:val="24"/>
          <w:highlight w:val="none"/>
          <w:woUserID w:val="1"/>
        </w:rPr>
        <w:t>该部分费用已含在合同总价中，发包人不再另行计费。</w:t>
      </w:r>
    </w:p>
    <w:p w14:paraId="0A848510">
      <w:pP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（3</w:t>
      </w:r>
      <w:r>
        <w:rPr>
          <w:rFonts w:hint="eastAsia" w:ascii="仿宋" w:hAnsi="仿宋" w:eastAsia="仿宋" w:cs="仿宋"/>
          <w:bCs/>
          <w:snapToGrid w:val="0"/>
          <w:color w:val="auto"/>
          <w:kern w:val="0"/>
          <w:sz w:val="24"/>
          <w:highlight w:val="none"/>
          <w:lang w:val="en-US" w:eastAsia="zh-CN"/>
          <w:woUserID w:val="1"/>
        </w:rPr>
        <w:t>3</w:t>
      </w:r>
      <w:r>
        <w:rPr>
          <w:rFonts w:hint="eastAsia" w:ascii="仿宋" w:hAnsi="仿宋" w:eastAsia="仿宋" w:cs="仿宋"/>
          <w:bCs/>
          <w:snapToGrid w:val="0"/>
          <w:color w:val="auto"/>
          <w:kern w:val="0"/>
          <w:sz w:val="24"/>
          <w:highlight w:val="none"/>
          <w:woUserID w:val="1"/>
        </w:rPr>
        <w:t>）其他工作：   /    。</w:t>
      </w:r>
    </w:p>
    <w:p w14:paraId="728A35AF">
      <w:pPr>
        <w:spacing w:line="360" w:lineRule="auto"/>
        <w:ind w:firstLine="482" w:firstLineChars="200"/>
        <w:rPr>
          <w:rFonts w:ascii="仿宋" w:hAnsi="仿宋" w:eastAsia="仿宋" w:cs="仿宋"/>
          <w:b/>
          <w:bCs/>
          <w:iCs/>
          <w:color w:val="auto"/>
          <w:kern w:val="0"/>
          <w:sz w:val="24"/>
          <w:szCs w:val="24"/>
          <w:highlight w:val="none"/>
        </w:rPr>
      </w:pPr>
      <w:r>
        <w:rPr>
          <w:rFonts w:hint="eastAsia" w:ascii="仿宋" w:hAnsi="仿宋" w:eastAsia="仿宋" w:cs="仿宋"/>
          <w:b/>
          <w:bCs/>
          <w:iCs/>
          <w:color w:val="auto"/>
          <w:kern w:val="0"/>
          <w:sz w:val="24"/>
          <w:szCs w:val="24"/>
          <w:highlight w:val="none"/>
        </w:rPr>
        <w:t>注：如承包人不具备项目中各专业部分的相应资质，承包人应在征得发包人同意后把相关专业分包给具备相应资质的设计或施工单位并签订分包合同。</w:t>
      </w:r>
    </w:p>
    <w:bookmarkEnd w:id="4"/>
    <w:bookmarkEnd w:id="5"/>
    <w:p w14:paraId="2BB10549">
      <w:pP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2.2承包方式：</w:t>
      </w:r>
    </w:p>
    <w:p w14:paraId="53C10CF5">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2.2.1承包人根据招标文件、合同文件、有关资料及说明等对本项目实施设计施工总承包（EPC）。</w:t>
      </w:r>
    </w:p>
    <w:p w14:paraId="5A9D5DC6">
      <w:pPr>
        <w:widowControl/>
        <w:shd w:val="clear" w:color="auto" w:fill="FFFFFF"/>
        <w:spacing w:line="360" w:lineRule="auto"/>
        <w:ind w:firstLine="48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承包人根据招标文件、合同文件、有关资料及说明等对本项目实施设计施工总承包：包设计，包施工[包括但不限于包临时设施、包施工期间用水用电费用、包材料、包施工、包质量、包工期、包联合调试、包实测实量、包绿色施工安全防护、包建筑垃圾清理及外运、包成品保护、包调试与检测、配合第三方检测及监测、包试运行、包税费、包保险、包通水、包通电、包竣工图编制、包验收合格、包结算、包培训、包质保期内工程质量保修、包现场组织和协调、包移交、包创优工程（如有）的组织实施工作和资料整理、包竣工验收资料、包配合整体竣工验收（含相关工程资料收集整理）、包因验收（报价范围内）不能通过所需要发生的整改费用（非因分包人原因导致除外）等]，</w:t>
      </w:r>
      <w:r>
        <w:rPr>
          <w:rFonts w:hint="eastAsia" w:ascii="仿宋" w:hAnsi="仿宋" w:eastAsia="仿宋" w:cs="仿宋"/>
          <w:bCs/>
          <w:snapToGrid w:val="0"/>
          <w:color w:val="auto"/>
          <w:kern w:val="0"/>
          <w:sz w:val="24"/>
          <w:szCs w:val="22"/>
          <w:highlight w:val="none"/>
          <w:lang w:eastAsia="zh-CN"/>
        </w:rPr>
        <w:t>包括</w:t>
      </w:r>
      <w:r>
        <w:rPr>
          <w:rFonts w:hint="eastAsia" w:ascii="仿宋" w:hAnsi="仿宋" w:eastAsia="仿宋" w:cs="仿宋"/>
          <w:bCs/>
          <w:snapToGrid w:val="0"/>
          <w:color w:val="auto"/>
          <w:kern w:val="0"/>
          <w:sz w:val="24"/>
          <w:szCs w:val="22"/>
          <w:highlight w:val="none"/>
        </w:rPr>
        <w:t>控制投资、包报批及其它相关服务内容等。</w:t>
      </w:r>
    </w:p>
    <w:p w14:paraId="6CAA7525">
      <w:pPr>
        <w:widowControl/>
        <w:numPr>
          <w:ilvl w:val="0"/>
          <w:numId w:val="0"/>
        </w:num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（1）设计部分：</w:t>
      </w:r>
      <w:r>
        <w:rPr>
          <w:rFonts w:hint="eastAsia" w:ascii="仿宋" w:hAnsi="仿宋" w:eastAsia="仿宋" w:cs="仿宋"/>
          <w:b w:val="0"/>
          <w:bCs/>
          <w:snapToGrid w:val="0"/>
          <w:color w:val="auto"/>
          <w:kern w:val="0"/>
          <w:sz w:val="24"/>
          <w:szCs w:val="22"/>
          <w:highlight w:val="none"/>
          <w:lang w:val="en-US" w:eastAsia="zh-CN"/>
        </w:rPr>
        <w:t>详见协议书第</w:t>
      </w:r>
      <w:r>
        <w:rPr>
          <w:rFonts w:hint="eastAsia" w:ascii="仿宋" w:hAnsi="仿宋" w:eastAsia="仿宋" w:cs="仿宋"/>
          <w:b w:val="0"/>
          <w:bCs/>
          <w:snapToGrid w:val="0"/>
          <w:color w:val="auto"/>
          <w:kern w:val="0"/>
          <w:sz w:val="24"/>
          <w:highlight w:val="none"/>
          <w:lang w:val="en-US" w:eastAsia="zh-CN"/>
        </w:rPr>
        <w:t>3条“</w:t>
      </w:r>
      <w:r>
        <w:rPr>
          <w:rFonts w:hint="eastAsia" w:ascii="仿宋" w:hAnsi="仿宋" w:eastAsia="仿宋" w:cs="仿宋"/>
          <w:b w:val="0"/>
          <w:bCs/>
          <w:snapToGrid w:val="0"/>
          <w:color w:val="auto"/>
          <w:kern w:val="0"/>
          <w:sz w:val="24"/>
          <w:szCs w:val="20"/>
          <w:highlight w:val="none"/>
          <w:lang w:eastAsia="zh-CN"/>
        </w:rPr>
        <w:t>签约合同价与合同价格形式</w:t>
      </w:r>
      <w:r>
        <w:rPr>
          <w:rFonts w:hint="eastAsia" w:ascii="仿宋" w:hAnsi="仿宋" w:eastAsia="仿宋" w:cs="仿宋"/>
          <w:b w:val="0"/>
          <w:bCs/>
          <w:snapToGrid w:val="0"/>
          <w:color w:val="auto"/>
          <w:kern w:val="0"/>
          <w:sz w:val="24"/>
          <w:highlight w:val="none"/>
          <w:lang w:val="en-US" w:eastAsia="zh-CN"/>
        </w:rPr>
        <w:t>”</w:t>
      </w:r>
      <w:r>
        <w:rPr>
          <w:rFonts w:hint="eastAsia" w:ascii="仿宋" w:hAnsi="仿宋" w:eastAsia="仿宋" w:cs="仿宋"/>
          <w:b w:val="0"/>
          <w:bCs/>
          <w:snapToGrid w:val="0"/>
          <w:color w:val="auto"/>
          <w:kern w:val="0"/>
          <w:sz w:val="24"/>
          <w:szCs w:val="22"/>
          <w:highlight w:val="none"/>
        </w:rPr>
        <w:t>。</w:t>
      </w:r>
    </w:p>
    <w:p w14:paraId="68955EBF">
      <w:pPr>
        <w:spacing w:line="360" w:lineRule="auto"/>
        <w:ind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color w:val="auto"/>
          <w:sz w:val="24"/>
          <w:szCs w:val="24"/>
          <w:highlight w:val="none"/>
        </w:rPr>
        <w:t>（2）</w:t>
      </w:r>
      <w:r>
        <w:rPr>
          <w:rFonts w:hint="eastAsia" w:ascii="仿宋" w:hAnsi="仿宋" w:eastAsia="仿宋" w:cs="仿宋"/>
          <w:bCs/>
          <w:snapToGrid w:val="0"/>
          <w:color w:val="auto"/>
          <w:kern w:val="0"/>
          <w:sz w:val="24"/>
          <w:szCs w:val="22"/>
          <w:highlight w:val="none"/>
        </w:rPr>
        <w:t>施工部分：</w:t>
      </w:r>
      <w:r>
        <w:rPr>
          <w:rFonts w:hint="eastAsia" w:ascii="仿宋" w:hAnsi="仿宋" w:eastAsia="仿宋" w:cs="仿宋"/>
          <w:b w:val="0"/>
          <w:bCs/>
          <w:snapToGrid w:val="0"/>
          <w:color w:val="auto"/>
          <w:kern w:val="0"/>
          <w:sz w:val="24"/>
          <w:szCs w:val="22"/>
          <w:highlight w:val="none"/>
          <w:lang w:val="en-US" w:eastAsia="zh-CN"/>
        </w:rPr>
        <w:t>详见协议书第</w:t>
      </w:r>
      <w:r>
        <w:rPr>
          <w:rFonts w:hint="eastAsia" w:ascii="仿宋" w:hAnsi="仿宋" w:eastAsia="仿宋" w:cs="仿宋"/>
          <w:b w:val="0"/>
          <w:bCs/>
          <w:snapToGrid w:val="0"/>
          <w:color w:val="auto"/>
          <w:kern w:val="0"/>
          <w:sz w:val="24"/>
          <w:highlight w:val="none"/>
          <w:lang w:val="en-US" w:eastAsia="zh-CN"/>
        </w:rPr>
        <w:t>3条“</w:t>
      </w:r>
      <w:r>
        <w:rPr>
          <w:rFonts w:hint="eastAsia" w:ascii="仿宋" w:hAnsi="仿宋" w:eastAsia="仿宋" w:cs="仿宋"/>
          <w:b w:val="0"/>
          <w:bCs/>
          <w:snapToGrid w:val="0"/>
          <w:color w:val="auto"/>
          <w:kern w:val="0"/>
          <w:sz w:val="24"/>
          <w:szCs w:val="20"/>
          <w:highlight w:val="none"/>
          <w:lang w:eastAsia="zh-CN"/>
        </w:rPr>
        <w:t>签约合同价与合同价格形式</w:t>
      </w:r>
      <w:r>
        <w:rPr>
          <w:rFonts w:hint="eastAsia" w:ascii="仿宋" w:hAnsi="仿宋" w:eastAsia="仿宋" w:cs="仿宋"/>
          <w:b w:val="0"/>
          <w:bCs/>
          <w:snapToGrid w:val="0"/>
          <w:color w:val="auto"/>
          <w:kern w:val="0"/>
          <w:sz w:val="24"/>
          <w:highlight w:val="none"/>
          <w:lang w:val="en-US" w:eastAsia="zh-CN"/>
        </w:rPr>
        <w:t>”</w:t>
      </w:r>
      <w:r>
        <w:rPr>
          <w:rFonts w:hint="eastAsia" w:ascii="仿宋" w:hAnsi="仿宋" w:eastAsia="仿宋" w:cs="仿宋"/>
          <w:b w:val="0"/>
          <w:bCs/>
          <w:snapToGrid w:val="0"/>
          <w:color w:val="auto"/>
          <w:kern w:val="0"/>
          <w:sz w:val="24"/>
          <w:szCs w:val="22"/>
          <w:highlight w:val="none"/>
        </w:rPr>
        <w:t>。</w:t>
      </w:r>
    </w:p>
    <w:p w14:paraId="1610DBAF">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2.2.2本项目严禁转包或违法分包，否则严格按照合同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条款第</w:t>
      </w:r>
      <w:r>
        <w:rPr>
          <w:rFonts w:hint="eastAsia"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.2.3（11）款执行</w:t>
      </w:r>
      <w:r>
        <w:rPr>
          <w:rFonts w:hint="eastAsia" w:ascii="仿宋" w:hAnsi="仿宋" w:eastAsia="仿宋" w:cs="仿宋"/>
          <w:bCs/>
          <w:snapToGrid w:val="0"/>
          <w:color w:val="auto"/>
          <w:kern w:val="0"/>
          <w:sz w:val="24"/>
          <w:highlight w:val="none"/>
        </w:rPr>
        <w:t>。凡违反以下情形之一，均视为违法分包：</w:t>
      </w:r>
    </w:p>
    <w:p w14:paraId="27B1542C">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（1）主体工程分包；</w:t>
      </w:r>
    </w:p>
    <w:p w14:paraId="59AB8E9C">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2</w:t>
      </w:r>
      <w:r>
        <w:rPr>
          <w:rFonts w:hint="eastAsia" w:ascii="仿宋" w:hAnsi="仿宋" w:eastAsia="仿宋" w:cs="仿宋"/>
          <w:bCs/>
          <w:snapToGrid w:val="0"/>
          <w:color w:val="auto"/>
          <w:kern w:val="0"/>
          <w:sz w:val="24"/>
          <w:highlight w:val="none"/>
        </w:rPr>
        <w:t>）分包单位再次分包；</w:t>
      </w:r>
    </w:p>
    <w:p w14:paraId="43179613">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3</w:t>
      </w:r>
      <w:r>
        <w:rPr>
          <w:rFonts w:hint="eastAsia" w:ascii="仿宋" w:hAnsi="仿宋" w:eastAsia="仿宋" w:cs="仿宋"/>
          <w:bCs/>
          <w:snapToGrid w:val="0"/>
          <w:color w:val="auto"/>
          <w:kern w:val="0"/>
          <w:sz w:val="24"/>
          <w:highlight w:val="none"/>
        </w:rPr>
        <w:t>）分包未经发包人审查批准。</w:t>
      </w:r>
    </w:p>
    <w:p w14:paraId="03F13E59">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2.3投资控制</w:t>
      </w:r>
    </w:p>
    <w:p w14:paraId="55BBA173">
      <w:pPr>
        <w:numPr>
          <w:ilvl w:val="-1"/>
          <w:numId w:val="0"/>
        </w:num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.3.1</w:t>
      </w:r>
      <w:r>
        <w:rPr>
          <w:rFonts w:hint="eastAsia" w:ascii="仿宋" w:hAnsi="仿宋" w:eastAsia="仿宋" w:cs="仿宋"/>
          <w:color w:val="auto"/>
          <w:sz w:val="24"/>
          <w:highlight w:val="none"/>
          <w:woUserID w:val="1"/>
        </w:rPr>
        <w:t>本工程建筑安装工程费用设计总限额约为</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u w:val="single"/>
          <w:lang w:val="en-US" w:eastAsia="zh-CN"/>
          <w:woUserID w:val="1"/>
        </w:rPr>
        <w:t>674.47</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woUserID w:val="1"/>
        </w:rPr>
        <w:t>万元人民币（含税），设计费用限额</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u w:val="single"/>
          <w:lang w:val="en-US" w:eastAsia="zh-CN"/>
          <w:woUserID w:val="1"/>
        </w:rPr>
        <w:t>19.61</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woUserID w:val="1"/>
        </w:rPr>
        <w:t>万元。具体限额以</w:t>
      </w:r>
      <w:r>
        <w:rPr>
          <w:rFonts w:hint="eastAsia" w:ascii="仿宋" w:hAnsi="仿宋" w:eastAsia="仿宋" w:cs="仿宋"/>
          <w:color w:val="auto"/>
          <w:sz w:val="24"/>
          <w:highlight w:val="none"/>
          <w:lang w:val="en-US" w:eastAsia="zh-CN"/>
          <w:woUserID w:val="1"/>
        </w:rPr>
        <w:t>发包人</w:t>
      </w:r>
      <w:r>
        <w:rPr>
          <w:rFonts w:hint="eastAsia" w:ascii="仿宋" w:hAnsi="仿宋" w:eastAsia="仿宋" w:cs="仿宋"/>
          <w:color w:val="auto"/>
          <w:sz w:val="24"/>
          <w:highlight w:val="none"/>
          <w:woUserID w:val="1"/>
        </w:rPr>
        <w:t>另行发出的文件为准。应按照</w:t>
      </w:r>
      <w:r>
        <w:rPr>
          <w:rFonts w:hint="eastAsia" w:ascii="仿宋" w:hAnsi="仿宋" w:eastAsia="仿宋" w:cs="仿宋"/>
          <w:color w:val="auto"/>
          <w:sz w:val="24"/>
          <w:highlight w:val="none"/>
          <w:lang w:val="en-US" w:eastAsia="zh-CN"/>
          <w:woUserID w:val="1"/>
        </w:rPr>
        <w:t>发包人</w:t>
      </w:r>
      <w:r>
        <w:rPr>
          <w:rFonts w:hint="eastAsia" w:ascii="仿宋" w:hAnsi="仿宋" w:eastAsia="仿宋" w:cs="仿宋"/>
          <w:color w:val="auto"/>
          <w:sz w:val="24"/>
          <w:highlight w:val="none"/>
          <w:woUserID w:val="1"/>
        </w:rPr>
        <w:t>的要求，并结合全要素标准的各项内容、要求，遵循功能适用、标准合理、经济合理的原则开展设计。在投资限额目标的基础上，按工程设计内容进一步分解投资，根据投资控制主要指标，在编制设计概、预算时逐步细化落实</w:t>
      </w:r>
      <w:r>
        <w:rPr>
          <w:rFonts w:hint="eastAsia" w:ascii="仿宋" w:hAnsi="仿宋" w:eastAsia="仿宋" w:cs="仿宋"/>
          <w:bCs/>
          <w:snapToGrid w:val="0"/>
          <w:color w:val="auto"/>
          <w:kern w:val="0"/>
          <w:sz w:val="24"/>
          <w:szCs w:val="22"/>
          <w:highlight w:val="none"/>
        </w:rPr>
        <w:t>。</w:t>
      </w:r>
    </w:p>
    <w:p w14:paraId="73172C72">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rPr>
      </w:pPr>
      <w:r>
        <w:rPr>
          <w:rFonts w:ascii="仿宋" w:hAnsi="仿宋" w:eastAsia="仿宋" w:cs="仿宋"/>
          <w:bCs/>
          <w:snapToGrid w:val="0"/>
          <w:color w:val="auto"/>
          <w:kern w:val="0"/>
          <w:sz w:val="24"/>
          <w:szCs w:val="22"/>
          <w:highlight w:val="none"/>
        </w:rPr>
        <w:t>2.3.</w:t>
      </w:r>
      <w:r>
        <w:rPr>
          <w:rFonts w:hint="eastAsia" w:ascii="仿宋" w:hAnsi="仿宋" w:eastAsia="仿宋" w:cs="仿宋"/>
          <w:bCs/>
          <w:snapToGrid w:val="0"/>
          <w:color w:val="auto"/>
          <w:kern w:val="0"/>
          <w:sz w:val="24"/>
          <w:szCs w:val="22"/>
          <w:highlight w:val="none"/>
          <w:lang w:val="en-US" w:eastAsia="zh-CN"/>
        </w:rPr>
        <w:t>2</w:t>
      </w:r>
      <w:r>
        <w:rPr>
          <w:rFonts w:hint="eastAsia" w:ascii="仿宋" w:hAnsi="仿宋" w:eastAsia="仿宋" w:cs="仿宋"/>
          <w:bCs/>
          <w:snapToGrid w:val="0"/>
          <w:color w:val="auto"/>
          <w:kern w:val="0"/>
          <w:sz w:val="24"/>
          <w:szCs w:val="22"/>
          <w:highlight w:val="none"/>
        </w:rPr>
        <w:t>本工程实行限额设计和施工；严格控制投资目标，最终结算价不超过投标人回标时的限额估算，超出部分由承包人自行承担。承包人应确保工程设计</w:t>
      </w:r>
      <w:r>
        <w:rPr>
          <w:rFonts w:hint="eastAsia" w:ascii="仿宋" w:hAnsi="仿宋" w:eastAsia="仿宋" w:cs="仿宋"/>
          <w:bCs/>
          <w:snapToGrid w:val="0"/>
          <w:color w:val="auto"/>
          <w:kern w:val="0"/>
          <w:sz w:val="24"/>
          <w:szCs w:val="22"/>
          <w:highlight w:val="none"/>
          <w:lang w:val="en-US" w:eastAsia="zh-CN"/>
        </w:rPr>
        <w:t>符合</w:t>
      </w:r>
      <w:r>
        <w:rPr>
          <w:rFonts w:hint="eastAsia" w:ascii="仿宋" w:hAnsi="仿宋" w:eastAsia="仿宋" w:cs="仿宋"/>
          <w:bCs/>
          <w:snapToGrid w:val="0"/>
          <w:color w:val="auto"/>
          <w:kern w:val="0"/>
          <w:sz w:val="24"/>
          <w:szCs w:val="22"/>
          <w:highlight w:val="none"/>
        </w:rPr>
        <w:t>招标人提供的限额设计指标和具体控制措施要求，做好投资控制工作。</w:t>
      </w:r>
    </w:p>
    <w:p w14:paraId="1D38FE91">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2.3.3方案设计、初步设计、概算编制、施工图设计按基本建设流程执行并报发包人审核、审批后，由承包人编制项目相应的概算和预算，并配合概算和预算的第三方审核。</w:t>
      </w:r>
    </w:p>
    <w:p w14:paraId="34C87CF2">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2.3.4概算编制依据</w:t>
      </w:r>
    </w:p>
    <w:p w14:paraId="67598D3B">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项目概算的建安工程费按施工图预算深度编制，编制完整项目概算报监理、建设管理单位（如有）、第三方造价咨询单位审核后，配合发包人出具概算审核报告。</w:t>
      </w:r>
    </w:p>
    <w:p w14:paraId="01958BA2">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2.3.4.1设计费：本合同的相关约定；《2002年勘察设计收费标准》；招标文件；投标文件，其他相关规范和标准。</w:t>
      </w:r>
    </w:p>
    <w:p w14:paraId="7F039D4E">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2.3.4.2概算建安工程费：</w:t>
      </w:r>
    </w:p>
    <w:p w14:paraId="06441B94">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（1）工程项目概算建安工程费造价的计算原则为：采用清单计价方式，计价依据执行</w:t>
      </w:r>
      <w:r>
        <w:rPr>
          <w:rFonts w:hint="eastAsia" w:ascii="仿宋" w:hAnsi="仿宋" w:eastAsia="仿宋" w:cs="仿宋"/>
          <w:bCs/>
          <w:snapToGrid w:val="0"/>
          <w:color w:val="auto"/>
          <w:kern w:val="0"/>
          <w:sz w:val="24"/>
          <w:szCs w:val="22"/>
          <w:highlight w:val="none"/>
          <w:lang w:eastAsia="zh-CN"/>
        </w:rPr>
        <w:t>国家标准《建设工程工程量清单计价标准》（GB/T50500-2024）及九项专业工程工程量计算标准（以下简称2024版清单计价计算标准）</w:t>
      </w:r>
      <w:r>
        <w:rPr>
          <w:rFonts w:hint="eastAsia" w:ascii="仿宋" w:hAnsi="仿宋" w:eastAsia="仿宋" w:cs="仿宋"/>
          <w:bCs/>
          <w:snapToGrid w:val="0"/>
          <w:color w:val="auto"/>
          <w:kern w:val="0"/>
          <w:sz w:val="24"/>
          <w:szCs w:val="22"/>
          <w:highlight w:val="none"/>
          <w:lang w:val="en-US" w:eastAsia="zh-CN"/>
        </w:rPr>
        <w:t>。上述定额有修订或新版时，按其规定执行；工程项目概算建安工程费编制时当上述定额子目有缺项则参考其他相关定额子目编制补充定额子目。</w:t>
      </w:r>
    </w:p>
    <w:p w14:paraId="230EE081">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人、材、机价格，套用初步设计通过行业主管部门批复或专家评审完成时（以最后时间优先）广州市建设工程造价管理站发布的《广州地区建设工程常用材料税前综合价格》。《广州地区建设工程常用材料税前综合价格》缺项部分可以参考《广州地区建设工程材料（设备）厂商价格信息》及结合市场价（就低原则计取），其第三方造价咨询单位中厂商价格土建工程、园建工程、市政工程下浮10%，机电安装工程下浮20%，市场询价原则上应在就近工程所在地询价，询价文件应提供3~5家供应商的报价，并且盖有供应商的公章，且单价必须明确是否包税、包运、包安装等影响单价的关键内容，经监理、（如有）、发包人审批确认后执行；最终结算价格以第三方造价咨询审核为准。</w:t>
      </w:r>
    </w:p>
    <w:p w14:paraId="769B5F27">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2.3.5施工图预算编制</w:t>
      </w:r>
    </w:p>
    <w:p w14:paraId="702727C1">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以经最终审批通过的项目概算及合同协议书第三点第2.3.4.2款的约定为依据，编制施工图预算，并按程序审批通过后，依据审定的预算、按本合同约定的计价方式签订本合同补充协议。</w:t>
      </w:r>
    </w:p>
    <w:p w14:paraId="29B48514">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2.3.5.1施工图预算文件：施工图预算文件由工程总承包单位编制，经监理、建设管理单位（如有）、第三方造价咨询单位及发包人审核并按程序审批定案。施工图预算中的建安费不得超过已审批概算对应的建安工程费。</w:t>
      </w:r>
    </w:p>
    <w:p w14:paraId="2890C9A1">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2.3.5.2施工图预算编制依据：</w:t>
      </w:r>
    </w:p>
    <w:p w14:paraId="456CCE66">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（1）工程项目施工图预算造价的计算原则为：</w:t>
      </w:r>
      <w:r>
        <w:rPr>
          <w:rFonts w:hint="eastAsia" w:ascii="仿宋" w:hAnsi="仿宋" w:eastAsia="仿宋" w:cs="仿宋"/>
          <w:bCs/>
          <w:snapToGrid w:val="0"/>
          <w:color w:val="auto"/>
          <w:kern w:val="0"/>
          <w:sz w:val="24"/>
          <w:szCs w:val="22"/>
          <w:highlight w:val="none"/>
          <w:lang w:val="en-US" w:eastAsia="zh"/>
          <w:woUserID w:val="1"/>
        </w:rPr>
        <w:t>参照本</w:t>
      </w:r>
      <w:r>
        <w:rPr>
          <w:rFonts w:hint="eastAsia" w:ascii="仿宋" w:hAnsi="仿宋" w:eastAsia="仿宋" w:cs="仿宋"/>
          <w:bCs/>
          <w:snapToGrid w:val="0"/>
          <w:color w:val="auto"/>
          <w:kern w:val="0"/>
          <w:sz w:val="24"/>
          <w:szCs w:val="22"/>
          <w:highlight w:val="none"/>
          <w:lang w:val="en-US" w:eastAsia="zh-CN"/>
          <w:woUserID w:val="1"/>
        </w:rPr>
        <w:t>合同</w:t>
      </w:r>
      <w:r>
        <w:rPr>
          <w:rFonts w:hint="eastAsia" w:ascii="仿宋" w:hAnsi="仿宋" w:eastAsia="仿宋" w:cs="仿宋"/>
          <w:bCs/>
          <w:snapToGrid w:val="0"/>
          <w:color w:val="auto"/>
          <w:kern w:val="0"/>
          <w:sz w:val="24"/>
          <w:szCs w:val="22"/>
          <w:highlight w:val="none"/>
          <w:lang w:val="en-US" w:eastAsia="zh"/>
          <w:woUserID w:val="1"/>
        </w:rPr>
        <w:t>协议书第</w:t>
      </w:r>
      <w:r>
        <w:rPr>
          <w:rFonts w:hint="eastAsia" w:ascii="仿宋" w:hAnsi="仿宋" w:eastAsia="仿宋" w:cs="仿宋"/>
          <w:bCs/>
          <w:snapToGrid w:val="0"/>
          <w:color w:val="auto"/>
          <w:kern w:val="0"/>
          <w:sz w:val="24"/>
          <w:szCs w:val="22"/>
          <w:highlight w:val="none"/>
          <w:lang w:val="en-US" w:eastAsia="zh-CN"/>
          <w:woUserID w:val="1"/>
        </w:rPr>
        <w:t>2.3.4.2款</w:t>
      </w:r>
      <w:r>
        <w:rPr>
          <w:rFonts w:hint="eastAsia" w:ascii="仿宋" w:hAnsi="仿宋" w:eastAsia="仿宋" w:cs="仿宋"/>
          <w:bCs/>
          <w:snapToGrid w:val="0"/>
          <w:color w:val="auto"/>
          <w:kern w:val="0"/>
          <w:sz w:val="24"/>
          <w:szCs w:val="22"/>
          <w:highlight w:val="none"/>
          <w:lang w:val="en-US" w:eastAsia="zh"/>
          <w:woUserID w:val="1"/>
        </w:rPr>
        <w:t>第（1）点</w:t>
      </w:r>
      <w:r>
        <w:rPr>
          <w:rFonts w:hint="eastAsia" w:ascii="仿宋" w:hAnsi="仿宋" w:eastAsia="仿宋" w:cs="仿宋"/>
          <w:bCs/>
          <w:snapToGrid w:val="0"/>
          <w:color w:val="auto"/>
          <w:kern w:val="0"/>
          <w:sz w:val="24"/>
          <w:szCs w:val="22"/>
          <w:highlight w:val="none"/>
          <w:lang w:val="en-US" w:eastAsia="zh-CN"/>
          <w:woUserID w:val="1"/>
        </w:rPr>
        <w:t>执行</w:t>
      </w:r>
      <w:r>
        <w:rPr>
          <w:rFonts w:hint="eastAsia" w:ascii="仿宋" w:hAnsi="仿宋" w:eastAsia="仿宋" w:cs="仿宋"/>
          <w:bCs/>
          <w:snapToGrid w:val="0"/>
          <w:color w:val="auto"/>
          <w:kern w:val="0"/>
          <w:sz w:val="24"/>
          <w:szCs w:val="22"/>
          <w:highlight w:val="none"/>
          <w:lang w:val="en-US" w:eastAsia="zh-CN"/>
        </w:rPr>
        <w:t>。</w:t>
      </w:r>
    </w:p>
    <w:p w14:paraId="5B402E2B">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（2）人、材、机价格：</w:t>
      </w:r>
      <w:r>
        <w:rPr>
          <w:rFonts w:hint="eastAsia" w:ascii="仿宋" w:hAnsi="仿宋" w:eastAsia="仿宋" w:cs="仿宋"/>
          <w:bCs/>
          <w:snapToGrid w:val="0"/>
          <w:color w:val="auto"/>
          <w:kern w:val="0"/>
          <w:sz w:val="24"/>
          <w:szCs w:val="22"/>
          <w:highlight w:val="none"/>
          <w:lang w:val="en-US" w:eastAsia="zh"/>
          <w:woUserID w:val="1"/>
        </w:rPr>
        <w:t>参照本</w:t>
      </w:r>
      <w:r>
        <w:rPr>
          <w:rFonts w:hint="eastAsia" w:ascii="仿宋" w:hAnsi="仿宋" w:eastAsia="仿宋" w:cs="仿宋"/>
          <w:bCs/>
          <w:snapToGrid w:val="0"/>
          <w:color w:val="auto"/>
          <w:kern w:val="0"/>
          <w:sz w:val="24"/>
          <w:szCs w:val="22"/>
          <w:highlight w:val="none"/>
          <w:lang w:val="en-US" w:eastAsia="zh-CN"/>
          <w:woUserID w:val="1"/>
        </w:rPr>
        <w:t>合同</w:t>
      </w:r>
      <w:r>
        <w:rPr>
          <w:rFonts w:hint="eastAsia" w:ascii="仿宋" w:hAnsi="仿宋" w:eastAsia="仿宋" w:cs="仿宋"/>
          <w:bCs/>
          <w:snapToGrid w:val="0"/>
          <w:color w:val="auto"/>
          <w:kern w:val="0"/>
          <w:sz w:val="24"/>
          <w:szCs w:val="22"/>
          <w:highlight w:val="none"/>
          <w:lang w:val="en-US" w:eastAsia="zh"/>
          <w:woUserID w:val="1"/>
        </w:rPr>
        <w:t>协议书第</w:t>
      </w:r>
      <w:r>
        <w:rPr>
          <w:rFonts w:hint="eastAsia" w:ascii="仿宋" w:hAnsi="仿宋" w:eastAsia="仿宋" w:cs="仿宋"/>
          <w:bCs/>
          <w:snapToGrid w:val="0"/>
          <w:color w:val="auto"/>
          <w:kern w:val="0"/>
          <w:sz w:val="24"/>
          <w:szCs w:val="22"/>
          <w:highlight w:val="none"/>
          <w:lang w:val="en-US" w:eastAsia="zh-CN"/>
          <w:woUserID w:val="1"/>
        </w:rPr>
        <w:t>2.3.4.2款</w:t>
      </w:r>
      <w:r>
        <w:rPr>
          <w:rFonts w:hint="eastAsia" w:ascii="仿宋" w:hAnsi="仿宋" w:eastAsia="仿宋" w:cs="仿宋"/>
          <w:bCs/>
          <w:snapToGrid w:val="0"/>
          <w:color w:val="auto"/>
          <w:kern w:val="0"/>
          <w:sz w:val="24"/>
          <w:szCs w:val="22"/>
          <w:highlight w:val="none"/>
          <w:lang w:val="en-US" w:eastAsia="zh"/>
          <w:woUserID w:val="1"/>
        </w:rPr>
        <w:t>第（2）点</w:t>
      </w:r>
      <w:r>
        <w:rPr>
          <w:rFonts w:hint="eastAsia" w:ascii="仿宋" w:hAnsi="仿宋" w:eastAsia="仿宋" w:cs="仿宋"/>
          <w:bCs/>
          <w:snapToGrid w:val="0"/>
          <w:color w:val="auto"/>
          <w:kern w:val="0"/>
          <w:sz w:val="24"/>
          <w:szCs w:val="22"/>
          <w:highlight w:val="none"/>
          <w:lang w:val="en-US" w:eastAsia="zh-CN"/>
          <w:woUserID w:val="1"/>
        </w:rPr>
        <w:t>执行</w:t>
      </w:r>
      <w:r>
        <w:rPr>
          <w:rFonts w:hint="eastAsia" w:ascii="仿宋" w:hAnsi="仿宋" w:eastAsia="仿宋" w:cs="仿宋"/>
          <w:bCs/>
          <w:snapToGrid w:val="0"/>
          <w:color w:val="auto"/>
          <w:kern w:val="0"/>
          <w:sz w:val="24"/>
          <w:szCs w:val="22"/>
          <w:highlight w:val="none"/>
          <w:lang w:val="en-US" w:eastAsia="zh-CN"/>
        </w:rPr>
        <w:t>。</w:t>
      </w:r>
    </w:p>
    <w:p w14:paraId="3FD62F3C">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2.3.5.3投资控制原则</w:t>
      </w:r>
    </w:p>
    <w:p w14:paraId="06FDE7F9">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（1）结果控制。本工程实行全过程限额设计和施工，承包人须严格将项目投资控制在目标以内。</w:t>
      </w:r>
    </w:p>
    <w:p w14:paraId="4FFBF6EE">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（2）过程控制</w:t>
      </w:r>
    </w:p>
    <w:p w14:paraId="3AEF0EC8">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微软雅黑" w:hAnsi="微软雅黑" w:eastAsia="微软雅黑" w:cs="微软雅黑"/>
          <w:bCs/>
          <w:snapToGrid w:val="0"/>
          <w:color w:val="auto"/>
          <w:kern w:val="0"/>
          <w:sz w:val="24"/>
          <w:szCs w:val="22"/>
          <w:highlight w:val="none"/>
          <w:lang w:val="en-US" w:eastAsia="zh-CN"/>
        </w:rPr>
        <w:t>①</w:t>
      </w:r>
      <w:r>
        <w:rPr>
          <w:rFonts w:hint="eastAsia" w:ascii="仿宋" w:hAnsi="仿宋" w:eastAsia="仿宋" w:cs="仿宋"/>
          <w:bCs/>
          <w:snapToGrid w:val="0"/>
          <w:color w:val="auto"/>
          <w:kern w:val="0"/>
          <w:sz w:val="24"/>
          <w:szCs w:val="22"/>
          <w:highlight w:val="none"/>
          <w:lang w:val="en-US" w:eastAsia="zh-CN"/>
        </w:rPr>
        <w:t>本工程实行全过程限额设计；严格控制每阶段投资目标，承包人应根据发包人设计限额标准制定各阶段、具体控制措施，做好投资控制工作。合同签订之日起30天内，承包人应根据合同限额设计工作方案，统筹分解限额设计指标，包括一级指标（按单位工程划分）、二级指标（按分部工程划分）、三级指标（按分项工程划分），确保设计人员有效开展限额设计及设计优化工作。限额设计方案报发包人批准后执行，批准后如承包人需调整的，需书面报发包人审批。</w:t>
      </w:r>
    </w:p>
    <w:p w14:paraId="2D79A9A5">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微软雅黑" w:hAnsi="微软雅黑" w:eastAsia="微软雅黑" w:cs="微软雅黑"/>
          <w:bCs/>
          <w:snapToGrid w:val="0"/>
          <w:color w:val="auto"/>
          <w:kern w:val="0"/>
          <w:sz w:val="24"/>
          <w:szCs w:val="22"/>
          <w:highlight w:val="none"/>
          <w:lang w:val="en-US" w:eastAsia="zh-CN"/>
        </w:rPr>
        <w:t>②</w:t>
      </w:r>
      <w:r>
        <w:rPr>
          <w:rFonts w:hint="eastAsia" w:ascii="仿宋" w:hAnsi="仿宋" w:eastAsia="仿宋" w:cs="仿宋"/>
          <w:bCs/>
          <w:snapToGrid w:val="0"/>
          <w:color w:val="auto"/>
          <w:kern w:val="0"/>
          <w:sz w:val="24"/>
          <w:szCs w:val="22"/>
          <w:highlight w:val="none"/>
          <w:lang w:val="en-US" w:eastAsia="zh-CN"/>
        </w:rPr>
        <w:t>施工图设计阶段，应结合设计任务书、项目管理要求中的主要设计指标开展设计工作，确保工程预算能满足发包人对工程投资的控制要求。如各单体、各专业的设计预算超出相应限额设计指标的，启动预警机制，允许承包人在满足或优于设计任务书、确保建筑功能且不突破建筑安装工程费设计限额总体造价指标的前提下，经发包人书面同意，调整各单体、各专业的限额设计指标。</w:t>
      </w:r>
    </w:p>
    <w:p w14:paraId="541301A6">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微软雅黑" w:hAnsi="微软雅黑" w:eastAsia="微软雅黑" w:cs="微软雅黑"/>
          <w:bCs/>
          <w:snapToGrid w:val="0"/>
          <w:color w:val="auto"/>
          <w:kern w:val="0"/>
          <w:sz w:val="24"/>
          <w:szCs w:val="22"/>
          <w:highlight w:val="none"/>
          <w:lang w:val="en-US" w:eastAsia="zh-CN"/>
        </w:rPr>
        <w:t>③</w:t>
      </w:r>
      <w:r>
        <w:rPr>
          <w:rFonts w:hint="eastAsia" w:ascii="仿宋" w:hAnsi="仿宋" w:eastAsia="仿宋" w:cs="仿宋"/>
          <w:bCs/>
          <w:snapToGrid w:val="0"/>
          <w:color w:val="auto"/>
          <w:kern w:val="0"/>
          <w:sz w:val="24"/>
          <w:szCs w:val="22"/>
          <w:highlight w:val="none"/>
          <w:lang w:val="en-US" w:eastAsia="zh-CN"/>
        </w:rPr>
        <w:t>本工程设计预算须分单体、分专业进行编制。设计预算须结合设计进度分阶段提供（承包人提供施工图时须同步提交设计预算），以便于复核限额设计落实情况，必要时及时进行设计优化，确保不突破限额才能报施工图审查。</w:t>
      </w:r>
    </w:p>
    <w:p w14:paraId="6283B8F6">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微软雅黑" w:hAnsi="微软雅黑" w:eastAsia="微软雅黑" w:cs="微软雅黑"/>
          <w:bCs/>
          <w:snapToGrid w:val="0"/>
          <w:color w:val="auto"/>
          <w:kern w:val="0"/>
          <w:sz w:val="24"/>
          <w:szCs w:val="22"/>
          <w:highlight w:val="none"/>
          <w:lang w:val="en-US" w:eastAsia="zh-CN"/>
        </w:rPr>
        <w:t>④</w:t>
      </w:r>
      <w:r>
        <w:rPr>
          <w:rFonts w:hint="eastAsia" w:ascii="仿宋" w:hAnsi="仿宋" w:eastAsia="仿宋" w:cs="仿宋"/>
          <w:bCs/>
          <w:snapToGrid w:val="0"/>
          <w:color w:val="auto"/>
          <w:kern w:val="0"/>
          <w:sz w:val="24"/>
          <w:szCs w:val="22"/>
          <w:highlight w:val="none"/>
          <w:lang w:val="en-US" w:eastAsia="zh-CN"/>
        </w:rPr>
        <w:t>施工图审查合格并进入施工阶段，允许承包人在满足或优于设计任务书、确保建筑功能且不突破建筑安装工程费设计限额和总体造价指标的前提下，调整各单体、各专业之间的限额设计指标，但须报发包人审批同意；承包人设计缺陷等原因造成工程变更的，承包人自行承担工程变更造成的额外费用损失。</w:t>
      </w:r>
    </w:p>
    <w:p w14:paraId="4392AE3F">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3）多方案比选。对地基基础工程、基坑支护工程、装修工程、机电工程等专业工程（如有）（包括承包人或发包人提出需要进行多方案比选的专业工程），承包人应进行多方案比选，由承包人经发包人同意后组织专家论证，综合选择最优方案。以上费用在投标报价综合考虑中，不再另外开项支付。</w:t>
      </w:r>
    </w:p>
    <w:p w14:paraId="0EB03C68">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（4）承包人承诺在不降低设计任务书、初步设计文件、材料设备技术需求书中的主要设计指标（建筑高度、建筑面积等）、材料设备品牌档次的前提下进行施工图设计。</w:t>
      </w:r>
    </w:p>
    <w:p w14:paraId="21C762E0">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5）承包人施工方应在概算批复后20天内完成预算编制并送发包人，由发包人委托监理单位、第三方造价咨询单位、建设管理单位（如有）审核（15天内出审核初稿），承包人对各审核单位的审核意见应在3天内核对、回复、确认；因承包人预算送审延迟或对数时间延误，导致工程款不能及时支付等后果由承包人承担，承包人不得因此延误工程施工；承包人不同意各审核单位审核意见，在预算审定前工程进度款暂按各审核单位的审核初稿出具的预算数额计付。发包人有权停止支付承包人未确认部分预算所对应的工程进度款，合同节点不得延后，如违约按合同违约条款处罚。</w:t>
      </w:r>
    </w:p>
    <w:p w14:paraId="4C034ECF">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6）在合同执行期内因施工条件、施工环境、气候等自然条件（不可抗力除外）、技术经济条件（如资源、劳力、交通条件等）等因素导致调整及发生的施工费用，以上费用在投标报价综合考虑中，不再另外开项支付。</w:t>
      </w:r>
    </w:p>
    <w:p w14:paraId="075B82F1">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7）发包人根据工程实施情况，有权对本工程的实施范围和内容进行调整，承包人必须无条件服从。减小实施范围、减少实施内容的，发包人不补偿承包人任何费用，承包人无异议。承包人未经发包人书面同意不得擅自变更工程实施范围和内容。</w:t>
      </w:r>
    </w:p>
    <w:p w14:paraId="406F2CB3">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8）承包人应尽一切可行办法积极完成合同约定的全部工作内容，由于承包人自身原因（包括但不限于内部管理不善、未履行限额设计等）导致合同范围内产生额外增加的费用由承包人负责，由此造成损失的（包括但不限于工期延误、工程质量问题、安全问题等），发包人有权向承包人追偿。</w:t>
      </w:r>
    </w:p>
    <w:p w14:paraId="59811936">
      <w:pP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（9）其他投资控制要求详见合同专用条款约定。</w:t>
      </w:r>
    </w:p>
    <w:p w14:paraId="35960E1D">
      <w:pPr>
        <w:widowControl/>
        <w:numPr>
          <w:ilvl w:val="0"/>
          <w:numId w:val="3"/>
        </w:numPr>
        <w:shd w:val="clear"/>
        <w:tabs>
          <w:tab w:val="left" w:pos="5475"/>
        </w:tabs>
        <w:adjustRightInd/>
        <w:snapToGrid/>
        <w:spacing w:line="360" w:lineRule="auto"/>
        <w:ind w:right="0" w:firstLine="482" w:firstLineChars="200"/>
        <w:jc w:val="left"/>
        <w:rPr>
          <w:rFonts w:hint="eastAsia" w:ascii="仿宋" w:hAnsi="仿宋" w:eastAsia="仿宋" w:cs="仿宋"/>
          <w:b/>
          <w:bCs/>
          <w:snapToGrid w:val="0"/>
          <w:color w:val="auto"/>
          <w:kern w:val="0"/>
          <w:sz w:val="24"/>
          <w:szCs w:val="20"/>
          <w:highlight w:val="none"/>
        </w:rPr>
      </w:pPr>
      <w:r>
        <w:rPr>
          <w:rFonts w:hint="eastAsia" w:ascii="仿宋" w:hAnsi="仿宋" w:eastAsia="仿宋" w:cs="仿宋"/>
          <w:b/>
          <w:bCs/>
          <w:snapToGrid w:val="0"/>
          <w:color w:val="auto"/>
          <w:kern w:val="0"/>
          <w:sz w:val="24"/>
          <w:szCs w:val="20"/>
          <w:highlight w:val="none"/>
          <w:lang w:eastAsia="zh-CN"/>
        </w:rPr>
        <w:t>签约合同价与合同价格形式</w:t>
      </w:r>
    </w:p>
    <w:p w14:paraId="605CF7B3">
      <w:pPr>
        <w:widowControl/>
        <w:shd w:val="clear" w:color="auto" w:fill="FFFFFF"/>
        <w:spacing w:line="360" w:lineRule="auto"/>
        <w:ind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.1</w:t>
      </w:r>
      <w:r>
        <w:rPr>
          <w:rFonts w:hint="eastAsia" w:ascii="仿宋" w:hAnsi="仿宋" w:eastAsia="仿宋" w:cs="仿宋"/>
          <w:bCs/>
          <w:snapToGrid w:val="0"/>
          <w:color w:val="auto"/>
          <w:kern w:val="0"/>
          <w:sz w:val="24"/>
          <w:szCs w:val="22"/>
          <w:highlight w:val="none"/>
          <w:lang w:eastAsia="zh-CN"/>
        </w:rPr>
        <w:t>签约合同价（含税）：人民币（大写） XXX元整  （¥ XXXX.00 元）。其中：</w:t>
      </w:r>
    </w:p>
    <w:p w14:paraId="043C6351">
      <w:pPr>
        <w:widowControl/>
        <w:shd w:val="clear" w:color="auto" w:fill="FFFFFF"/>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.1</w:t>
      </w:r>
      <w:r>
        <w:rPr>
          <w:rFonts w:hint="eastAsia" w:ascii="仿宋" w:hAnsi="仿宋" w:eastAsia="仿宋" w:cs="仿宋"/>
          <w:bCs/>
          <w:snapToGrid w:val="0"/>
          <w:color w:val="auto"/>
          <w:kern w:val="0"/>
          <w:sz w:val="24"/>
          <w:szCs w:val="22"/>
          <w:highlight w:val="none"/>
          <w:lang w:val="en-US" w:eastAsia="zh-CN"/>
        </w:rPr>
        <w:t>.1</w:t>
      </w:r>
      <w:r>
        <w:rPr>
          <w:rFonts w:hint="eastAsia" w:ascii="仿宋" w:hAnsi="仿宋" w:eastAsia="仿宋" w:cs="仿宋"/>
          <w:bCs/>
          <w:snapToGrid w:val="0"/>
          <w:color w:val="auto"/>
          <w:kern w:val="0"/>
          <w:sz w:val="24"/>
          <w:szCs w:val="22"/>
          <w:highlight w:val="none"/>
          <w:lang w:eastAsia="zh-CN"/>
        </w:rPr>
        <w:t xml:space="preserve"> ☑工程设计费（含税）：</w:t>
      </w:r>
    </w:p>
    <w:p w14:paraId="6CCFF9CD">
      <w:pPr>
        <w:widowControl/>
        <w:shd w:val="clear" w:color="auto" w:fill="FFFFFF"/>
        <w:spacing w:line="360" w:lineRule="auto"/>
        <w:ind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XXXX元整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XXXX.00 </w:t>
      </w:r>
      <w:r>
        <w:rPr>
          <w:rFonts w:hint="eastAsia" w:ascii="仿宋" w:hAnsi="仿宋" w:eastAsia="仿宋" w:cs="仿宋"/>
          <w:bCs/>
          <w:snapToGrid w:val="0"/>
          <w:color w:val="auto"/>
          <w:kern w:val="0"/>
          <w:sz w:val="24"/>
          <w:szCs w:val="22"/>
          <w:highlight w:val="none"/>
          <w:lang w:eastAsia="zh-CN"/>
        </w:rPr>
        <w:t>元），不含税价为</w:t>
      </w:r>
      <w:r>
        <w:rPr>
          <w:rFonts w:hint="eastAsia" w:ascii="仿宋" w:hAnsi="仿宋" w:eastAsia="仿宋" w:cs="仿宋"/>
          <w:bCs/>
          <w:snapToGrid w:val="0"/>
          <w:color w:val="auto"/>
          <w:kern w:val="0"/>
          <w:sz w:val="24"/>
          <w:szCs w:val="22"/>
          <w:highlight w:val="none"/>
          <w:u w:val="none"/>
          <w:lang w:eastAsia="zh-CN"/>
        </w:rPr>
        <w:t xml:space="preserve"> ¥XXXXXX </w:t>
      </w:r>
      <w:r>
        <w:rPr>
          <w:rFonts w:hint="eastAsia" w:ascii="仿宋" w:hAnsi="仿宋" w:eastAsia="仿宋" w:cs="仿宋"/>
          <w:bCs/>
          <w:snapToGrid w:val="0"/>
          <w:color w:val="auto"/>
          <w:kern w:val="0"/>
          <w:sz w:val="24"/>
          <w:szCs w:val="22"/>
          <w:highlight w:val="none"/>
          <w:lang w:eastAsia="zh-CN"/>
        </w:rPr>
        <w:t>元，税率为</w:t>
      </w:r>
      <w:r>
        <w:rPr>
          <w:rFonts w:hint="eastAsia" w:ascii="仿宋" w:hAnsi="仿宋" w:eastAsia="仿宋" w:cs="仿宋"/>
          <w:bCs/>
          <w:snapToGrid w:val="0"/>
          <w:color w:val="auto"/>
          <w:kern w:val="0"/>
          <w:sz w:val="24"/>
          <w:szCs w:val="22"/>
          <w:highlight w:val="none"/>
          <w:u w:val="none"/>
          <w:lang w:eastAsia="zh-CN"/>
        </w:rPr>
        <w:t xml:space="preserve"> 6  </w:t>
      </w:r>
      <w:r>
        <w:rPr>
          <w:rFonts w:hint="eastAsia" w:ascii="仿宋" w:hAnsi="仿宋" w:eastAsia="仿宋" w:cs="仿宋"/>
          <w:bCs/>
          <w:snapToGrid w:val="0"/>
          <w:color w:val="auto"/>
          <w:kern w:val="0"/>
          <w:sz w:val="24"/>
          <w:szCs w:val="22"/>
          <w:highlight w:val="none"/>
          <w:lang w:eastAsia="zh-CN"/>
        </w:rPr>
        <w:t>%，税金为</w:t>
      </w:r>
      <w:r>
        <w:rPr>
          <w:rFonts w:hint="eastAsia" w:ascii="仿宋" w:hAnsi="仿宋" w:eastAsia="仿宋" w:cs="仿宋"/>
          <w:bCs/>
          <w:snapToGrid w:val="0"/>
          <w:color w:val="auto"/>
          <w:kern w:val="0"/>
          <w:sz w:val="24"/>
          <w:szCs w:val="22"/>
          <w:highlight w:val="none"/>
          <w:u w:val="none"/>
          <w:lang w:eastAsia="zh-CN"/>
        </w:rPr>
        <w:t xml:space="preserve"> ¥XXXXXX</w:t>
      </w:r>
      <w:r>
        <w:rPr>
          <w:rFonts w:hint="eastAsia" w:ascii="仿宋" w:hAnsi="仿宋" w:eastAsia="仿宋" w:cs="仿宋"/>
          <w:bCs/>
          <w:snapToGrid w:val="0"/>
          <w:color w:val="auto"/>
          <w:kern w:val="0"/>
          <w:sz w:val="24"/>
          <w:szCs w:val="22"/>
          <w:highlight w:val="none"/>
          <w:lang w:eastAsia="zh-CN"/>
        </w:rPr>
        <w:t>元；合同约定下浮率为</w:t>
      </w:r>
      <w:r>
        <w:rPr>
          <w:rFonts w:hint="eastAsia" w:ascii="仿宋" w:hAnsi="仿宋" w:eastAsia="仿宋" w:cs="仿宋"/>
          <w:bCs/>
          <w:snapToGrid w:val="0"/>
          <w:color w:val="auto"/>
          <w:kern w:val="0"/>
          <w:sz w:val="24"/>
          <w:szCs w:val="22"/>
          <w:highlight w:val="none"/>
          <w:u w:val="none"/>
          <w:lang w:val="en-US" w:eastAsia="zh-CN"/>
        </w:rPr>
        <w:t>35</w:t>
      </w:r>
      <w:r>
        <w:rPr>
          <w:rFonts w:hint="eastAsia" w:ascii="仿宋" w:hAnsi="仿宋" w:eastAsia="仿宋" w:cs="仿宋"/>
          <w:bCs/>
          <w:snapToGrid w:val="0"/>
          <w:color w:val="auto"/>
          <w:kern w:val="0"/>
          <w:sz w:val="24"/>
          <w:szCs w:val="22"/>
          <w:highlight w:val="none"/>
          <w:lang w:eastAsia="zh-CN"/>
        </w:rPr>
        <w:t>% 、中标下浮率</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%（中标下浮率及合同约定下浮率是指计算经审定概算相应费用采用的下浮率，用于后续补充协议价款、结算价款的计算）。本项目工程基本设计费计取中标下浮率及合同约定下浮率。</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752"/>
        <w:gridCol w:w="1547"/>
        <w:gridCol w:w="1894"/>
        <w:gridCol w:w="4603"/>
      </w:tblGrid>
      <w:tr w14:paraId="1280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578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EED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C2A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暂定计费额</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（万元）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DCC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设计费总价（万元）</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905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42E4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2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F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基本设计费</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1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F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751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1.计费额：按改造区域：展厅内及改造区域：室内装饰改造工程、全楼外立面、室内安装改造工程建安工程费合计，为 480.03 万元；</w:t>
            </w:r>
          </w:p>
          <w:p w14:paraId="5CFBD09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2.按暂定计费额的比例并下浮 35 %。专业系数暂定为1.0，复杂系数暂定为1.0，附加系数暂定为1.5（设计费系数最终按概算批复的设计费系数为准）；</w:t>
            </w:r>
          </w:p>
          <w:p w14:paraId="02E932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3.已综合考虑临电（如有）、永电（如有）、燃气（如有）等专业工程的设计费用。</w:t>
            </w:r>
          </w:p>
        </w:tc>
      </w:tr>
      <w:tr w14:paraId="6B04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B32">
            <w:pPr>
              <w:jc w:val="center"/>
              <w:rPr>
                <w:rFonts w:hint="eastAsia" w:ascii="宋体" w:hAnsi="宋体" w:eastAsia="宋体" w:cs="宋体"/>
                <w:i w:val="0"/>
                <w:iCs w:val="0"/>
                <w:color w:val="000000"/>
                <w:sz w:val="22"/>
                <w:szCs w:val="22"/>
                <w:highlight w:val="none"/>
                <w:u w:val="none"/>
              </w:rPr>
            </w:pP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9270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设计费小计</w:t>
            </w:r>
          </w:p>
        </w:tc>
        <w:tc>
          <w:tcPr>
            <w:tcW w:w="3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708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p>
        </w:tc>
      </w:tr>
    </w:tbl>
    <w:p w14:paraId="152FAA54">
      <w:pPr>
        <w:widowControl/>
        <w:shd w:val="clear" w:color="auto" w:fill="FFFFFF"/>
        <w:spacing w:line="360" w:lineRule="auto"/>
        <w:ind w:left="0" w:leftChars="0" w:firstLine="480" w:firstLineChars="0"/>
        <w:rPr>
          <w:rFonts w:hint="eastAsia" w:ascii="仿宋" w:hAnsi="仿宋" w:eastAsia="仿宋" w:cs="仿宋"/>
          <w:bCs/>
          <w:snapToGrid w:val="0"/>
          <w:color w:val="auto"/>
          <w:kern w:val="0"/>
          <w:sz w:val="24"/>
          <w:szCs w:val="24"/>
          <w:highlight w:val="none"/>
          <w:lang w:eastAsia="zh-CN"/>
        </w:rPr>
      </w:pPr>
      <w:r>
        <w:rPr>
          <w:rFonts w:hint="eastAsia" w:ascii="仿宋" w:hAnsi="仿宋" w:eastAsia="仿宋" w:cs="仿宋"/>
          <w:bCs/>
          <w:snapToGrid w:val="0"/>
          <w:color w:val="auto"/>
          <w:kern w:val="0"/>
          <w:sz w:val="24"/>
          <w:szCs w:val="24"/>
          <w:highlight w:val="none"/>
          <w:lang w:eastAsia="zh-CN"/>
        </w:rPr>
        <w:t>备注：工程设计费包括各设计阶段评审及征询意见所发生的费用，包括税金、咨询费、评审费、专家费、专家交通费等。其中承包人应支付的专家费包括初步设计评审和基坑支护设计技术论证、施工图专家评审、不良地质处理论证等评审或论证会需支付的专家费。</w:t>
      </w:r>
    </w:p>
    <w:p w14:paraId="215F0939">
      <w:pPr>
        <w:widowControl/>
        <w:shd w:val="clear" w:color="auto" w:fill="FFFFFF"/>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.1</w:t>
      </w:r>
      <w:r>
        <w:rPr>
          <w:rFonts w:hint="eastAsia" w:ascii="仿宋" w:hAnsi="仿宋" w:eastAsia="仿宋" w:cs="仿宋"/>
          <w:bCs/>
          <w:snapToGrid w:val="0"/>
          <w:color w:val="auto"/>
          <w:kern w:val="0"/>
          <w:sz w:val="24"/>
          <w:szCs w:val="22"/>
          <w:highlight w:val="none"/>
          <w:lang w:val="en-US" w:eastAsia="zh-CN"/>
        </w:rPr>
        <w:t>.2</w:t>
      </w:r>
      <w:r>
        <w:rPr>
          <w:rFonts w:hint="eastAsia" w:ascii="仿宋" w:hAnsi="仿宋" w:eastAsia="仿宋" w:cs="仿宋"/>
          <w:bCs/>
          <w:snapToGrid w:val="0"/>
          <w:color w:val="auto"/>
          <w:kern w:val="0"/>
          <w:sz w:val="24"/>
          <w:szCs w:val="22"/>
          <w:highlight w:val="none"/>
          <w:lang w:eastAsia="zh-CN"/>
        </w:rPr>
        <w:t xml:space="preserve"> ☑建筑安装工程费（含税）：</w:t>
      </w:r>
    </w:p>
    <w:p w14:paraId="3EB12E73">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人民币（大写） </w:t>
      </w:r>
      <w:r>
        <w:rPr>
          <w:rFonts w:hint="eastAsia" w:ascii="仿宋" w:hAnsi="仿宋" w:eastAsia="仿宋" w:cs="仿宋"/>
          <w:bCs/>
          <w:snapToGrid w:val="0"/>
          <w:color w:val="auto"/>
          <w:kern w:val="0"/>
          <w:sz w:val="24"/>
          <w:szCs w:val="22"/>
          <w:highlight w:val="none"/>
          <w:u w:val="none"/>
          <w:lang w:eastAsia="zh-CN"/>
        </w:rPr>
        <w:t xml:space="preserve"> XXXXX元整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XXXXX.00 </w:t>
      </w:r>
      <w:r>
        <w:rPr>
          <w:rFonts w:hint="eastAsia" w:ascii="仿宋" w:hAnsi="仿宋" w:eastAsia="仿宋" w:cs="仿宋"/>
          <w:bCs/>
          <w:snapToGrid w:val="0"/>
          <w:color w:val="auto"/>
          <w:kern w:val="0"/>
          <w:sz w:val="24"/>
          <w:szCs w:val="22"/>
          <w:highlight w:val="none"/>
          <w:lang w:eastAsia="zh-CN"/>
        </w:rPr>
        <w:t>元），不含税价为</w:t>
      </w:r>
      <w:r>
        <w:rPr>
          <w:rFonts w:hint="eastAsia" w:ascii="仿宋" w:hAnsi="仿宋" w:eastAsia="仿宋" w:cs="仿宋"/>
          <w:bCs/>
          <w:snapToGrid w:val="0"/>
          <w:color w:val="auto"/>
          <w:kern w:val="0"/>
          <w:sz w:val="24"/>
          <w:szCs w:val="22"/>
          <w:highlight w:val="none"/>
          <w:u w:val="none"/>
          <w:lang w:eastAsia="zh-CN"/>
        </w:rPr>
        <w:t xml:space="preserve"> ¥XXXXXX </w:t>
      </w:r>
      <w:r>
        <w:rPr>
          <w:rFonts w:hint="eastAsia" w:ascii="仿宋" w:hAnsi="仿宋" w:eastAsia="仿宋" w:cs="仿宋"/>
          <w:bCs/>
          <w:snapToGrid w:val="0"/>
          <w:color w:val="auto"/>
          <w:kern w:val="0"/>
          <w:sz w:val="24"/>
          <w:szCs w:val="22"/>
          <w:highlight w:val="none"/>
          <w:lang w:eastAsia="zh-CN"/>
        </w:rPr>
        <w:t>元，税率为</w:t>
      </w:r>
      <w:r>
        <w:rPr>
          <w:rFonts w:hint="eastAsia" w:ascii="仿宋" w:hAnsi="仿宋" w:eastAsia="仿宋" w:cs="仿宋"/>
          <w:bCs/>
          <w:snapToGrid w:val="0"/>
          <w:color w:val="auto"/>
          <w:kern w:val="0"/>
          <w:sz w:val="24"/>
          <w:szCs w:val="22"/>
          <w:highlight w:val="none"/>
          <w:u w:val="none"/>
          <w:lang w:eastAsia="zh-CN"/>
        </w:rPr>
        <w:t xml:space="preserve"> 9 </w:t>
      </w:r>
      <w:r>
        <w:rPr>
          <w:rFonts w:hint="eastAsia" w:ascii="仿宋" w:hAnsi="仿宋" w:eastAsia="仿宋" w:cs="仿宋"/>
          <w:bCs/>
          <w:snapToGrid w:val="0"/>
          <w:color w:val="auto"/>
          <w:kern w:val="0"/>
          <w:sz w:val="24"/>
          <w:szCs w:val="22"/>
          <w:highlight w:val="none"/>
          <w:lang w:eastAsia="zh-CN"/>
        </w:rPr>
        <w:t>%，税金为</w:t>
      </w:r>
      <w:r>
        <w:rPr>
          <w:rFonts w:hint="eastAsia" w:ascii="仿宋" w:hAnsi="仿宋" w:eastAsia="仿宋" w:cs="仿宋"/>
          <w:bCs/>
          <w:snapToGrid w:val="0"/>
          <w:color w:val="auto"/>
          <w:kern w:val="0"/>
          <w:sz w:val="24"/>
          <w:szCs w:val="22"/>
          <w:highlight w:val="none"/>
          <w:u w:val="none"/>
          <w:lang w:eastAsia="zh-CN"/>
        </w:rPr>
        <w:t xml:space="preserve"> ¥XXXXXX</w:t>
      </w:r>
      <w:r>
        <w:rPr>
          <w:rFonts w:hint="eastAsia" w:ascii="仿宋" w:hAnsi="仿宋" w:eastAsia="仿宋" w:cs="仿宋"/>
          <w:bCs/>
          <w:snapToGrid w:val="0"/>
          <w:color w:val="auto"/>
          <w:kern w:val="0"/>
          <w:sz w:val="24"/>
          <w:szCs w:val="22"/>
          <w:highlight w:val="none"/>
          <w:lang w:eastAsia="zh-CN"/>
        </w:rPr>
        <w:t>元；合同约定下浮率为</w:t>
      </w:r>
      <w:r>
        <w:rPr>
          <w:rFonts w:hint="eastAsia" w:ascii="仿宋" w:hAnsi="仿宋" w:eastAsia="仿宋" w:cs="仿宋"/>
          <w:bCs/>
          <w:snapToGrid w:val="0"/>
          <w:color w:val="auto"/>
          <w:kern w:val="0"/>
          <w:sz w:val="24"/>
          <w:szCs w:val="22"/>
          <w:highlight w:val="none"/>
          <w:u w:val="none"/>
          <w:lang w:eastAsia="zh-CN"/>
        </w:rPr>
        <w:t xml:space="preserve">  5  </w:t>
      </w:r>
      <w:r>
        <w:rPr>
          <w:rFonts w:hint="eastAsia" w:ascii="仿宋" w:hAnsi="仿宋" w:eastAsia="仿宋" w:cs="仿宋"/>
          <w:bCs/>
          <w:snapToGrid w:val="0"/>
          <w:color w:val="auto"/>
          <w:kern w:val="0"/>
          <w:sz w:val="24"/>
          <w:szCs w:val="22"/>
          <w:highlight w:val="none"/>
          <w:lang w:eastAsia="zh-CN"/>
        </w:rPr>
        <w:t>% 、中标下浮率</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%（中标下浮率及合同约定下浮率用于后续补充协议价款、结算价款的计算）。</w:t>
      </w:r>
    </w:p>
    <w:p w14:paraId="745A07D1">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建筑安装工程费中含有以下费用：</w:t>
      </w:r>
    </w:p>
    <w:p w14:paraId="093F5192">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（1）☑安全生产措施费用（不含税）：</w:t>
      </w:r>
    </w:p>
    <w:p w14:paraId="2641D42C">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2AFAD285">
      <w:pPr>
        <w:widowControl/>
        <w:shd w:val="clear" w:color="auto" w:fill="FFFFFF"/>
        <w:tabs>
          <w:tab w:val="left" w:pos="210"/>
        </w:tabs>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安全生产措施费用的总金额，概预算未经建设单位确认前，暂按合同施工总价的</w:t>
      </w: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lang w:eastAsia="zh-CN"/>
        </w:rPr>
        <w:t>%计取。最终按本合同约定的计价方式签订本合同补充协议中的</w:t>
      </w:r>
      <w:r>
        <w:rPr>
          <w:rFonts w:hint="eastAsia" w:ascii="仿宋" w:hAnsi="仿宋" w:eastAsia="仿宋" w:cs="仿宋"/>
          <w:bCs/>
          <w:snapToGrid w:val="0"/>
          <w:color w:val="auto"/>
          <w:kern w:val="0"/>
          <w:sz w:val="24"/>
          <w:szCs w:val="22"/>
          <w:highlight w:val="none"/>
          <w:lang w:val="en-US" w:eastAsia="zh-CN"/>
        </w:rPr>
        <w:t>安全生产措施费</w:t>
      </w:r>
      <w:r>
        <w:rPr>
          <w:rFonts w:hint="eastAsia" w:ascii="仿宋" w:hAnsi="仿宋" w:eastAsia="仿宋" w:cs="仿宋"/>
          <w:bCs/>
          <w:snapToGrid w:val="0"/>
          <w:color w:val="auto"/>
          <w:kern w:val="0"/>
          <w:sz w:val="24"/>
          <w:szCs w:val="22"/>
          <w:highlight w:val="none"/>
          <w:lang w:eastAsia="zh-CN"/>
        </w:rPr>
        <w:t>为准。</w:t>
      </w:r>
    </w:p>
    <w:p w14:paraId="57035928">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（2）□余泥渣土（土方、石方、淤泥）场外运输与排放费用（不含税）：</w:t>
      </w:r>
    </w:p>
    <w:p w14:paraId="30681549">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人民币（大写） </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732A9B17">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（3）□专业工程暂估价（不含税）：</w:t>
      </w:r>
    </w:p>
    <w:p w14:paraId="1B47E586">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元）；</w:t>
      </w:r>
    </w:p>
    <w:p w14:paraId="6C352D67">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eastAsia="zh-CN"/>
        </w:rPr>
        <w:sym w:font="Wingdings 2" w:char="00A3"/>
      </w:r>
      <w:r>
        <w:rPr>
          <w:rFonts w:hint="eastAsia" w:ascii="仿宋" w:hAnsi="仿宋" w:eastAsia="仿宋" w:cs="仿宋"/>
          <w:bCs/>
          <w:snapToGrid w:val="0"/>
          <w:color w:val="auto"/>
          <w:kern w:val="0"/>
          <w:sz w:val="24"/>
          <w:szCs w:val="22"/>
          <w:highlight w:val="none"/>
          <w:lang w:eastAsia="zh-CN"/>
        </w:rPr>
        <w:t>其他（不含税，按实填写费用名称</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w:t>
      </w:r>
    </w:p>
    <w:p w14:paraId="697EF6AE">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430305E8">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（5）☑暂列金额（不含税）：</w:t>
      </w:r>
    </w:p>
    <w:p w14:paraId="33F1C300">
      <w:pPr>
        <w:widowControl/>
        <w:shd w:val="clear" w:color="auto" w:fill="FFFFFF"/>
        <w:spacing w:line="360" w:lineRule="auto"/>
        <w:ind w:left="479" w:leftChars="228" w:firstLine="64" w:firstLineChars="27"/>
        <w:jc w:val="left"/>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r>
        <w:rPr>
          <w:rFonts w:hint="eastAsia" w:ascii="仿宋" w:hAnsi="仿宋" w:eastAsia="仿宋" w:cs="仿宋"/>
          <w:bCs/>
          <w:snapToGrid w:val="0"/>
          <w:color w:val="auto"/>
          <w:kern w:val="0"/>
          <w:sz w:val="24"/>
          <w:szCs w:val="22"/>
          <w:highlight w:val="none"/>
          <w:lang w:val="en-US" w:eastAsia="zh-CN"/>
        </w:rPr>
        <w:t xml:space="preserve">                                                                                                                                                                                                                                                                                                                                                                                                                                                                                                                                                                                                                                                                                                                                                                                                                                                                                                                                                                                                                                                                                                                                                                                                                                                                                                                                                                                                                                                           </w:t>
      </w:r>
      <w:r>
        <w:rPr>
          <w:rFonts w:hint="eastAsia" w:ascii="仿宋" w:hAnsi="仿宋" w:eastAsia="仿宋" w:cs="仿宋"/>
          <w:bCs/>
          <w:snapToGrid w:val="0"/>
          <w:color w:val="auto"/>
          <w:kern w:val="0"/>
          <w:sz w:val="24"/>
          <w:szCs w:val="22"/>
          <w:highlight w:val="none"/>
          <w:lang w:eastAsia="zh-CN"/>
        </w:rPr>
        <w:t>合同工程的暂列金额按发包人要求的比例开设。</w:t>
      </w:r>
    </w:p>
    <w:p w14:paraId="2A97798D">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2.计价方式：若增值税税率发生变化，双方本着平等、自愿的原则，以“价税分离”为基础，原合同不含税价不变，发包人、承包人应按照不含税价及调整后的税率重新核算含税价，承包人据此开具发票，发包人据此付款。</w:t>
      </w:r>
    </w:p>
    <w:p w14:paraId="76D38D7D">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3.根据经过第三方评审，并经合同双方确认的概算（达到预算深度），按照下述原则调整合同价并签订补充协议，具体如下：</w:t>
      </w:r>
    </w:p>
    <w:p w14:paraId="308B7E2D">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3.1工程设计</w:t>
      </w:r>
    </w:p>
    <w:p w14:paraId="10F179FD">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以经审定的项目概算下浮前工程费用对应的设计费×（1-合同约定下浮率）×（1-设计费投标下浮率）≥中标价时，设计费合同价以设计费中标价为准；以经审定的项目概算下浮前工程费用对应的设计费×（1-合同约定下浮率）×（1-设计费投标下浮率）﹤中标价时，设计费合同价以“【工程基本设计费=以经审定的项目概算下浮前工程费用对应的基本设计费×（1-合同约定下浮率）×（1-设计费投标下浮率）】”为准。</w:t>
      </w:r>
    </w:p>
    <w:p w14:paraId="4260E2C3">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3.</w:t>
      </w:r>
      <w:r>
        <w:rPr>
          <w:rFonts w:hint="eastAsia" w:ascii="仿宋" w:hAnsi="仿宋" w:eastAsia="仿宋" w:cs="仿宋"/>
          <w:bCs/>
          <w:snapToGrid w:val="0"/>
          <w:color w:val="auto"/>
          <w:kern w:val="0"/>
          <w:sz w:val="24"/>
          <w:szCs w:val="22"/>
          <w:highlight w:val="none"/>
          <w:lang w:val="en-US" w:eastAsia="zh-CN"/>
        </w:rPr>
        <w:t xml:space="preserve">2 </w:t>
      </w:r>
      <w:r>
        <w:rPr>
          <w:rFonts w:hint="eastAsia" w:ascii="仿宋" w:hAnsi="仿宋" w:eastAsia="仿宋" w:cs="仿宋"/>
          <w:bCs/>
          <w:snapToGrid w:val="0"/>
          <w:color w:val="auto"/>
          <w:kern w:val="0"/>
          <w:sz w:val="24"/>
          <w:szCs w:val="22"/>
          <w:highlight w:val="none"/>
          <w:lang w:eastAsia="zh-CN"/>
        </w:rPr>
        <w:t>施工部分</w:t>
      </w:r>
    </w:p>
    <w:p w14:paraId="6DF6431D">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（1）补充协议为可调价格合同，采用综合单价包干，项目措施费包干，工程量按实计算的方式确定，具体如下： </w:t>
      </w:r>
    </w:p>
    <w:p w14:paraId="41049A73">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①</w:t>
      </w:r>
      <w:r>
        <w:rPr>
          <w:rFonts w:hint="eastAsia" w:ascii="仿宋" w:hAnsi="仿宋" w:eastAsia="仿宋" w:cs="仿宋"/>
          <w:bCs/>
          <w:snapToGrid w:val="0"/>
          <w:color w:val="auto"/>
          <w:kern w:val="0"/>
          <w:sz w:val="24"/>
          <w:szCs w:val="22"/>
          <w:highlight w:val="none"/>
          <w:lang w:eastAsia="zh-CN"/>
        </w:rPr>
        <w:t>分部分项工程量清单包干综合单价=以经审定的项目概算（达到预算深度）工程费用中的分部分项工程量清单综合单价（或以经审定的项目概算编制新增综合单价）×（1-合同约定下浮率）×（1-中标下浮率），本项目合同约定下浮率为</w:t>
      </w:r>
      <w:r>
        <w:rPr>
          <w:rFonts w:hint="eastAsia" w:ascii="仿宋" w:hAnsi="仿宋" w:eastAsia="仿宋" w:cs="仿宋"/>
          <w:bCs/>
          <w:snapToGrid w:val="0"/>
          <w:color w:val="auto"/>
          <w:kern w:val="0"/>
          <w:sz w:val="24"/>
          <w:szCs w:val="22"/>
          <w:highlight w:val="none"/>
          <w:u w:val="none"/>
          <w:lang w:eastAsia="zh-CN"/>
        </w:rPr>
        <w:t xml:space="preserve">   5   </w:t>
      </w:r>
      <w:r>
        <w:rPr>
          <w:rFonts w:hint="eastAsia" w:ascii="仿宋" w:hAnsi="仿宋" w:eastAsia="仿宋" w:cs="仿宋"/>
          <w:bCs/>
          <w:snapToGrid w:val="0"/>
          <w:color w:val="auto"/>
          <w:kern w:val="0"/>
          <w:sz w:val="24"/>
          <w:szCs w:val="22"/>
          <w:highlight w:val="none"/>
          <w:lang w:eastAsia="zh-CN"/>
        </w:rPr>
        <w:t>%固定不变，中标下浮率以投标文件为准。</w:t>
      </w:r>
    </w:p>
    <w:p w14:paraId="1CB8BDB8">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分部分项工程费=∑（分部分项工程量清单包干综合单价×工程量），工程量暂以经</w:t>
      </w:r>
      <w:r>
        <w:rPr>
          <w:rFonts w:hint="eastAsia" w:ascii="仿宋" w:hAnsi="仿宋" w:eastAsia="仿宋" w:cs="仿宋"/>
          <w:bCs/>
          <w:snapToGrid w:val="0"/>
          <w:color w:val="auto"/>
          <w:kern w:val="0"/>
          <w:sz w:val="24"/>
          <w:szCs w:val="22"/>
          <w:highlight w:val="none"/>
          <w:lang w:val="en-US" w:eastAsia="zh-CN"/>
        </w:rPr>
        <w:t>建设管理单位（如有）、</w:t>
      </w:r>
      <w:r>
        <w:rPr>
          <w:rFonts w:hint="eastAsia" w:ascii="仿宋" w:hAnsi="仿宋" w:eastAsia="仿宋" w:cs="仿宋"/>
          <w:bCs/>
          <w:snapToGrid w:val="0"/>
          <w:color w:val="auto"/>
          <w:kern w:val="0"/>
          <w:sz w:val="24"/>
          <w:szCs w:val="22"/>
          <w:highlight w:val="none"/>
          <w:lang w:eastAsia="zh-CN"/>
        </w:rPr>
        <w:t>第三方</w:t>
      </w:r>
      <w:r>
        <w:rPr>
          <w:rFonts w:hint="eastAsia" w:ascii="仿宋" w:hAnsi="仿宋" w:eastAsia="仿宋" w:cs="仿宋"/>
          <w:bCs/>
          <w:snapToGrid w:val="0"/>
          <w:color w:val="auto"/>
          <w:kern w:val="0"/>
          <w:sz w:val="24"/>
          <w:szCs w:val="22"/>
          <w:highlight w:val="none"/>
          <w:lang w:val="en-US" w:eastAsia="zh-CN"/>
        </w:rPr>
        <w:t>造价</w:t>
      </w:r>
      <w:r>
        <w:rPr>
          <w:rFonts w:hint="eastAsia" w:ascii="仿宋" w:hAnsi="仿宋" w:eastAsia="仿宋" w:cs="仿宋"/>
          <w:bCs/>
          <w:snapToGrid w:val="0"/>
          <w:color w:val="auto"/>
          <w:kern w:val="0"/>
          <w:sz w:val="24"/>
          <w:szCs w:val="22"/>
          <w:highlight w:val="none"/>
          <w:lang w:eastAsia="zh-CN"/>
        </w:rPr>
        <w:t>咨询单位审核的项目概算（达到预算深度）工程费用中对应工程量计算，结算依据竣工文件按实计量。</w:t>
      </w:r>
    </w:p>
    <w:p w14:paraId="7F5B78C8">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②</w:t>
      </w:r>
      <w:r>
        <w:rPr>
          <w:rFonts w:hint="eastAsia" w:ascii="仿宋" w:hAnsi="仿宋" w:eastAsia="仿宋" w:cs="仿宋"/>
          <w:bCs/>
          <w:snapToGrid w:val="0"/>
          <w:color w:val="auto"/>
          <w:kern w:val="0"/>
          <w:sz w:val="24"/>
          <w:szCs w:val="22"/>
          <w:highlight w:val="none"/>
          <w:lang w:eastAsia="zh-CN"/>
        </w:rPr>
        <w:t>措施项目费：单价措施费单价=已审批项目概算（达到预算深度）工程费用中的措施费单价×（1-合同约定下浮率）×（1-中标下浮率）×工程量。</w:t>
      </w:r>
    </w:p>
    <w:p w14:paraId="0F386FBE">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总价措施费=已审批项目概算（达到预算深度）工程费用中对应的总价措施费×（1-合同约定下浮率）×（1-中标下浮率）。</w:t>
      </w:r>
    </w:p>
    <w:p w14:paraId="474DC98C">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安全生产措施费属非竞争性费用不下浮。</w:t>
      </w:r>
    </w:p>
    <w:p w14:paraId="138406F7">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③</w:t>
      </w:r>
      <w:r>
        <w:rPr>
          <w:rFonts w:hint="eastAsia" w:ascii="仿宋" w:hAnsi="仿宋" w:eastAsia="仿宋" w:cs="仿宋"/>
          <w:bCs/>
          <w:snapToGrid w:val="0"/>
          <w:color w:val="auto"/>
          <w:kern w:val="0"/>
          <w:sz w:val="24"/>
          <w:szCs w:val="22"/>
          <w:highlight w:val="none"/>
          <w:lang w:eastAsia="zh-CN"/>
        </w:rPr>
        <w:t>其他项目费=已审批项目概算（达到预算深度）工程费用中对应其他项目费×（1-合同约定下浮率）×（1-中标下浮率）。暂列金额根据工程需要开列，余泥消纳费以有效发票实报实销，纳入工程结算。</w:t>
      </w:r>
    </w:p>
    <w:p w14:paraId="6A4853B5">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④</w:t>
      </w:r>
      <w:r>
        <w:rPr>
          <w:rFonts w:hint="eastAsia" w:ascii="仿宋" w:hAnsi="仿宋" w:eastAsia="仿宋" w:cs="仿宋"/>
          <w:bCs/>
          <w:snapToGrid w:val="0"/>
          <w:color w:val="auto"/>
          <w:kern w:val="0"/>
          <w:sz w:val="24"/>
          <w:szCs w:val="22"/>
          <w:highlight w:val="none"/>
          <w:lang w:eastAsia="zh-CN"/>
        </w:rPr>
        <w:t>规费、税金：按规定计取，费率固定不变（市造价站文件规定可调整除外）。</w:t>
      </w:r>
    </w:p>
    <w:p w14:paraId="09711F10">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⑤</w:t>
      </w:r>
      <w:r>
        <w:rPr>
          <w:rFonts w:hint="eastAsia" w:ascii="仿宋" w:hAnsi="仿宋" w:eastAsia="仿宋" w:cs="仿宋"/>
          <w:bCs/>
          <w:snapToGrid w:val="0"/>
          <w:color w:val="auto"/>
          <w:kern w:val="0"/>
          <w:sz w:val="24"/>
          <w:szCs w:val="22"/>
          <w:highlight w:val="none"/>
          <w:lang w:eastAsia="zh-CN"/>
        </w:rPr>
        <w:t>施工部分补充协议价=分部分项工程费+措施项目费+其他项目费+规费+税金。</w:t>
      </w:r>
    </w:p>
    <w:p w14:paraId="34B031D9">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⑥</w:t>
      </w:r>
      <w:r>
        <w:rPr>
          <w:rFonts w:hint="eastAsia" w:ascii="仿宋" w:hAnsi="仿宋" w:eastAsia="仿宋" w:cs="仿宋"/>
          <w:bCs/>
          <w:snapToGrid w:val="0"/>
          <w:color w:val="auto"/>
          <w:kern w:val="0"/>
          <w:sz w:val="24"/>
          <w:szCs w:val="22"/>
          <w:highlight w:val="none"/>
          <w:lang w:val="en-US" w:eastAsia="zh-CN"/>
        </w:rPr>
        <w:t>当按</w:t>
      </w:r>
      <w:r>
        <w:rPr>
          <w:rFonts w:hint="eastAsia" w:ascii="微软雅黑" w:hAnsi="微软雅黑" w:eastAsia="微软雅黑" w:cs="微软雅黑"/>
          <w:bCs/>
          <w:snapToGrid w:val="0"/>
          <w:color w:val="auto"/>
          <w:kern w:val="0"/>
          <w:sz w:val="24"/>
          <w:szCs w:val="22"/>
          <w:highlight w:val="none"/>
          <w:lang w:eastAsia="zh-CN"/>
        </w:rPr>
        <w:t>①</w:t>
      </w:r>
      <w:r>
        <w:rPr>
          <w:rFonts w:hint="eastAsia" w:ascii="仿宋" w:hAnsi="仿宋" w:eastAsia="仿宋" w:cs="仿宋"/>
          <w:bCs/>
          <w:snapToGrid w:val="0"/>
          <w:color w:val="auto"/>
          <w:kern w:val="0"/>
          <w:sz w:val="24"/>
          <w:szCs w:val="22"/>
          <w:highlight w:val="none"/>
          <w:lang w:val="en-US" w:eastAsia="zh-CN"/>
        </w:rPr>
        <w:t>~</w:t>
      </w:r>
      <w:r>
        <w:rPr>
          <w:rFonts w:hint="eastAsia" w:ascii="微软雅黑" w:hAnsi="微软雅黑" w:eastAsia="微软雅黑" w:cs="微软雅黑"/>
          <w:bCs/>
          <w:snapToGrid w:val="0"/>
          <w:color w:val="auto"/>
          <w:kern w:val="0"/>
          <w:sz w:val="24"/>
          <w:szCs w:val="22"/>
          <w:highlight w:val="none"/>
          <w:lang w:eastAsia="zh-CN"/>
        </w:rPr>
        <w:t>⑤</w:t>
      </w:r>
      <w:r>
        <w:rPr>
          <w:rFonts w:hint="eastAsia" w:ascii="仿宋" w:hAnsi="仿宋" w:eastAsia="仿宋" w:cs="仿宋"/>
          <w:bCs/>
          <w:snapToGrid w:val="0"/>
          <w:color w:val="auto"/>
          <w:kern w:val="0"/>
          <w:sz w:val="24"/>
          <w:szCs w:val="22"/>
          <w:highlight w:val="none"/>
          <w:lang w:val="en-US" w:eastAsia="zh-CN"/>
        </w:rPr>
        <w:t>点计算的不良地质处理费用超过合同约定的对应设计限额时，以上述较低值进行补充合同签订及结算。</w:t>
      </w:r>
    </w:p>
    <w:p w14:paraId="25AC38AD">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bCs/>
          <w:snapToGrid w:val="0"/>
          <w:color w:val="auto"/>
          <w:kern w:val="0"/>
          <w:sz w:val="24"/>
          <w:szCs w:val="22"/>
          <w:highlight w:val="none"/>
          <w:lang w:eastAsia="zh-CN"/>
        </w:rPr>
        <w:t>发包人已审批的项目概算（达到预算深度）工程费用中措施项目费根据补充协议总价包干，竣工结算不再调整。项目措施费调减的特殊情况：工程实施内容减少，按分部分项工程费计算减少比例超过10%的，超过部分按分部分项工程费的比例调减措施项目费。施工部分补充协议内的暂列金额根据工程实际需要开支，结算多退少补。</w:t>
      </w:r>
    </w:p>
    <w:p w14:paraId="243D4EFE">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bCs/>
          <w:snapToGrid w:val="0"/>
          <w:color w:val="auto"/>
          <w:kern w:val="0"/>
          <w:sz w:val="24"/>
          <w:szCs w:val="22"/>
          <w:highlight w:val="none"/>
          <w:lang w:eastAsia="zh-CN"/>
        </w:rPr>
        <w:t>本工程概（预）算编制费、竣工图编制费由承包人在设计费及工程施工费投标报价中综合考虑，中标后发包人不再另行支付费用。</w:t>
      </w:r>
    </w:p>
    <w:p w14:paraId="7000A8BC">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color w:val="auto"/>
          <w:highlight w:val="none"/>
          <w:lang w:eastAsia="zh-CN"/>
        </w:rPr>
        <w:t>（4）</w:t>
      </w:r>
      <w:r>
        <w:rPr>
          <w:rFonts w:hint="eastAsia" w:ascii="仿宋" w:hAnsi="仿宋" w:eastAsia="仿宋" w:cs="仿宋"/>
          <w:bCs/>
          <w:snapToGrid w:val="0"/>
          <w:color w:val="auto"/>
          <w:kern w:val="0"/>
          <w:sz w:val="24"/>
          <w:szCs w:val="22"/>
          <w:highlight w:val="none"/>
          <w:lang w:eastAsia="zh-CN"/>
        </w:rPr>
        <w:t xml:space="preserve"> 发包人有权依据项目具体情况决定是否要求编制施工图预算。如经审定的概算已达施工图预算深度，经发包人确认不再要求编制施工图预算的，则以经最终审批通过的项目概算中的建安工程费视为施工图预算，</w:t>
      </w:r>
      <w:r>
        <w:rPr>
          <w:rFonts w:hint="eastAsia" w:ascii="仿宋" w:hAnsi="仿宋" w:eastAsia="仿宋" w:cs="仿宋"/>
          <w:bCs/>
          <w:snapToGrid w:val="0"/>
          <w:color w:val="auto"/>
          <w:kern w:val="0"/>
          <w:sz w:val="24"/>
          <w:szCs w:val="22"/>
          <w:highlight w:val="none"/>
          <w:lang w:val="en-US" w:eastAsia="zh-CN"/>
        </w:rPr>
        <w:t>按本合同约定的计价方式确定补充协议价，签订补充协议。</w:t>
      </w:r>
    </w:p>
    <w:p w14:paraId="1A41D167">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A.</w:t>
      </w:r>
      <w:r>
        <w:rPr>
          <w:rFonts w:hint="eastAsia" w:ascii="仿宋" w:hAnsi="仿宋" w:eastAsia="仿宋" w:cs="仿宋"/>
          <w:bCs/>
          <w:snapToGrid w:val="0"/>
          <w:color w:val="auto"/>
          <w:kern w:val="0"/>
          <w:sz w:val="24"/>
          <w:szCs w:val="22"/>
          <w:highlight w:val="none"/>
          <w:lang w:eastAsia="zh-CN"/>
        </w:rPr>
        <w:t>承包人应在投标报价中充分评估本项目可能因包括但不限于施工期间临时停水停电、征地拆迁、管线迁移、工程建设过程中因实际所需临时增加的第三方检验检测等原因产生的暂停施工风险，并在投标报价中综合考虑由此而导致的停工窝工、工期补回、增加施工、工程照管以及现场管理等所产生的费用。</w:t>
      </w:r>
    </w:p>
    <w:p w14:paraId="3DA3AA79">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B.</w:t>
      </w:r>
      <w:r>
        <w:rPr>
          <w:rFonts w:hint="eastAsia" w:ascii="仿宋" w:hAnsi="仿宋" w:eastAsia="仿宋" w:cs="仿宋"/>
          <w:bCs/>
          <w:snapToGrid w:val="0"/>
          <w:color w:val="auto"/>
          <w:kern w:val="0"/>
          <w:sz w:val="24"/>
          <w:szCs w:val="22"/>
          <w:highlight w:val="none"/>
          <w:lang w:eastAsia="zh-CN"/>
        </w:rPr>
        <w:t>承包人应在投标报价中充分评估本项目可能因包括但不限于移交、协调等原因产生的照管管养风险，并在投标报价中综合考虑由此而导致的工程照管以及现场管理等所产生的费用。</w:t>
      </w:r>
    </w:p>
    <w:p w14:paraId="3C990E8C">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C.</w:t>
      </w:r>
      <w:r>
        <w:rPr>
          <w:rFonts w:hint="eastAsia" w:ascii="仿宋" w:hAnsi="仿宋" w:eastAsia="仿宋" w:cs="仿宋"/>
          <w:bCs/>
          <w:snapToGrid w:val="0"/>
          <w:color w:val="auto"/>
          <w:kern w:val="0"/>
          <w:sz w:val="24"/>
          <w:szCs w:val="22"/>
          <w:highlight w:val="none"/>
          <w:lang w:eastAsia="zh-CN"/>
        </w:rPr>
        <w:t>本合同条款中承包人履行义务涉及的风险，或承包人由于自身原因引起合同价款以外的费用增加。</w:t>
      </w:r>
    </w:p>
    <w:p w14:paraId="02865616">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D.</w:t>
      </w:r>
      <w:r>
        <w:rPr>
          <w:rFonts w:hint="eastAsia" w:ascii="仿宋" w:hAnsi="仿宋" w:eastAsia="仿宋" w:cs="仿宋"/>
          <w:bCs/>
          <w:snapToGrid w:val="0"/>
          <w:color w:val="auto"/>
          <w:kern w:val="0"/>
          <w:sz w:val="24"/>
          <w:szCs w:val="22"/>
          <w:highlight w:val="none"/>
          <w:lang w:eastAsia="zh-CN"/>
        </w:rPr>
        <w:t>除本合同另有约定外的物价变化、气候变化、保险、工程分包等情况发生时产生的相关费用。</w:t>
      </w:r>
    </w:p>
    <w:p w14:paraId="7D7C6F11">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E.</w:t>
      </w:r>
      <w:r>
        <w:rPr>
          <w:rFonts w:hint="eastAsia" w:ascii="仿宋" w:hAnsi="仿宋" w:eastAsia="仿宋" w:cs="仿宋"/>
          <w:bCs/>
          <w:snapToGrid w:val="0"/>
          <w:color w:val="auto"/>
          <w:kern w:val="0"/>
          <w:sz w:val="24"/>
          <w:szCs w:val="22"/>
          <w:highlight w:val="none"/>
          <w:lang w:eastAsia="zh-CN"/>
        </w:rPr>
        <w:t>措施项目费不因施工期间人工、材料及机械价格变化、施工条件、工程规模的变化和政府造价管理部门调整各项收费等而调整。</w:t>
      </w:r>
    </w:p>
    <w:p w14:paraId="59FBFAAE">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F.</w:t>
      </w:r>
      <w:r>
        <w:rPr>
          <w:rFonts w:hint="eastAsia" w:ascii="仿宋" w:hAnsi="仿宋" w:eastAsia="仿宋" w:cs="仿宋"/>
          <w:bCs/>
          <w:snapToGrid w:val="0"/>
          <w:color w:val="auto"/>
          <w:kern w:val="0"/>
          <w:sz w:val="24"/>
          <w:szCs w:val="22"/>
          <w:highlight w:val="none"/>
          <w:lang w:eastAsia="zh-CN"/>
        </w:rPr>
        <w:t>赶工费不另行</w:t>
      </w:r>
      <w:r>
        <w:rPr>
          <w:rFonts w:hint="eastAsia" w:ascii="仿宋" w:hAnsi="仿宋" w:eastAsia="仿宋" w:cs="仿宋"/>
          <w:bCs/>
          <w:snapToGrid w:val="0"/>
          <w:color w:val="auto"/>
          <w:kern w:val="0"/>
          <w:sz w:val="24"/>
          <w:szCs w:val="22"/>
          <w:highlight w:val="none"/>
          <w:lang w:val="en-US" w:eastAsia="zh-CN"/>
        </w:rPr>
        <w:t>开项</w:t>
      </w:r>
      <w:r>
        <w:rPr>
          <w:rFonts w:hint="eastAsia" w:ascii="仿宋" w:hAnsi="仿宋" w:eastAsia="仿宋" w:cs="仿宋"/>
          <w:bCs/>
          <w:snapToGrid w:val="0"/>
          <w:color w:val="auto"/>
          <w:kern w:val="0"/>
          <w:sz w:val="24"/>
          <w:szCs w:val="22"/>
          <w:highlight w:val="none"/>
          <w:lang w:eastAsia="zh-CN"/>
        </w:rPr>
        <w:t>计算，综合考虑在投标报价中，因发包人原因导致的赶工，费用另行协商。</w:t>
      </w:r>
    </w:p>
    <w:p w14:paraId="2E7611EF">
      <w:pP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G.</w:t>
      </w:r>
      <w:r>
        <w:rPr>
          <w:rFonts w:hint="eastAsia" w:ascii="仿宋" w:hAnsi="仿宋" w:eastAsia="仿宋" w:cs="仿宋"/>
          <w:bCs/>
          <w:snapToGrid w:val="0"/>
          <w:color w:val="auto"/>
          <w:kern w:val="0"/>
          <w:sz w:val="24"/>
          <w:szCs w:val="22"/>
          <w:highlight w:val="none"/>
          <w:lang w:eastAsia="zh-CN"/>
        </w:rPr>
        <w:t>法律法规（包括规章和政策）变化、不可抗力等因素发生时，依据本合同有关条款和现行有关规定应由承包人承担的费用。</w:t>
      </w:r>
    </w:p>
    <w:p w14:paraId="21CC09BE">
      <w:pPr>
        <w:widowControl/>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val="en-US" w:eastAsia="zh-CN"/>
        </w:rPr>
        <w:t>4</w:t>
      </w:r>
      <w:r>
        <w:rPr>
          <w:rFonts w:hint="eastAsia" w:ascii="仿宋" w:hAnsi="仿宋" w:eastAsia="仿宋" w:cs="仿宋"/>
          <w:bCs/>
          <w:snapToGrid w:val="0"/>
          <w:color w:val="auto"/>
          <w:kern w:val="0"/>
          <w:sz w:val="24"/>
          <w:szCs w:val="22"/>
          <w:highlight w:val="none"/>
          <w:lang w:eastAsia="zh-CN"/>
        </w:rPr>
        <w:t>.签订补充协议涉及工程造价的，按上述约定原则进行计价。</w:t>
      </w:r>
    </w:p>
    <w:p w14:paraId="0F77CF7D">
      <w:pPr>
        <w:widowControl/>
        <w:shd w:val="clear" w:color="auto" w:fill="FFFFFF"/>
        <w:spacing w:line="360" w:lineRule="auto"/>
        <w:ind w:firstLine="480" w:firstLineChars="0"/>
        <w:jc w:val="left"/>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5.本工程适用的计价依据</w:t>
      </w:r>
    </w:p>
    <w:p w14:paraId="3EDE85BF">
      <w:pPr>
        <w:widowControl/>
        <w:shd w:val="clear" w:color="auto" w:fill="FFFFFF"/>
        <w:spacing w:after="0" w:line="360" w:lineRule="auto"/>
        <w:ind w:right="317"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国家标准《建设工程工程量清单计价标准》（GB/T50500-2024）及九项专业工程工程量计算标准（以下简称2024版清单计价计算标准）；建设期间项目所在地对应时期工程造价管理部门颁布的计价文件。</w:t>
      </w:r>
    </w:p>
    <w:p w14:paraId="1A2C8758">
      <w:pPr>
        <w:widowControl/>
        <w:shd w:val="clear" w:color="auto" w:fill="FFFFFF"/>
        <w:spacing w:line="360" w:lineRule="auto"/>
        <w:ind w:firstLine="480" w:firstLineChars="0"/>
        <w:jc w:val="left"/>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6.限额结算</w:t>
      </w:r>
    </w:p>
    <w:p w14:paraId="7E575F14">
      <w:pPr>
        <w:widowControl/>
        <w:shd w:val="clear" w:color="auto" w:fill="FFFFFF"/>
        <w:spacing w:after="0" w:line="360" w:lineRule="auto"/>
        <w:ind w:right="317"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本项目为EPC模式，承包人对施工图、项目概算（达到预算深度）工程费用及工程量清单负责。工程量清单漏项漏量、工程变更、签证等引起工程结算造价增加的（含人、材、机调整价差），由承包人自行承担，</w:t>
      </w:r>
      <w:r>
        <w:rPr>
          <w:rFonts w:hint="eastAsia" w:ascii="仿宋" w:hAnsi="仿宋" w:eastAsia="仿宋" w:cs="仿宋"/>
          <w:bCs/>
          <w:snapToGrid w:val="0"/>
          <w:color w:val="auto"/>
          <w:kern w:val="0"/>
          <w:sz w:val="24"/>
          <w:szCs w:val="22"/>
          <w:highlight w:val="none"/>
          <w:lang w:val="en-US" w:eastAsia="zh-CN"/>
        </w:rPr>
        <w:t>结算价</w:t>
      </w:r>
      <w:r>
        <w:rPr>
          <w:rFonts w:hint="eastAsia" w:ascii="仿宋" w:hAnsi="仿宋" w:eastAsia="仿宋" w:cs="仿宋"/>
          <w:bCs/>
          <w:snapToGrid w:val="0"/>
          <w:color w:val="auto"/>
          <w:kern w:val="0"/>
          <w:sz w:val="24"/>
          <w:szCs w:val="22"/>
          <w:highlight w:val="none"/>
          <w:lang w:eastAsia="zh-CN"/>
        </w:rPr>
        <w:t>不得超过原合同价。</w:t>
      </w:r>
    </w:p>
    <w:p w14:paraId="41DC6009">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3.7</w:t>
      </w:r>
      <w:r>
        <w:rPr>
          <w:rFonts w:hint="eastAsia" w:ascii="仿宋" w:hAnsi="仿宋" w:eastAsia="仿宋" w:cs="仿宋"/>
          <w:bCs/>
          <w:snapToGrid w:val="0"/>
          <w:color w:val="auto"/>
          <w:kern w:val="0"/>
          <w:sz w:val="24"/>
          <w:highlight w:val="none"/>
        </w:rPr>
        <w:t>合同价款及合同项下各项应支付的费用，已包含承包人按照税收法律法规规定须承担为履行此合同在中华人民共和国境内外所必须缴纳的一切直接或间接税费及规费，包括但不限于增值税、企业所得税、个人所得税、关税等税费，此税费及规费应已包括可能涉及的合同价格调整。合同期内，由于承包人自身纳税人身份、纳税方式及国家税制改革原因带来税种及税率的变化，非经发包人书面同意，本合同不含增值税价不予调整。本合同计价结算的货币为人民币。</w:t>
      </w:r>
    </w:p>
    <w:p w14:paraId="27C67B35">
      <w:pPr>
        <w:adjustRightInd w:val="0"/>
        <w:snapToGrid w:val="0"/>
        <w:spacing w:line="360" w:lineRule="auto"/>
        <w:ind w:right="11" w:firstLine="480" w:firstLineChars="200"/>
        <w:rPr>
          <w:rFonts w:ascii="仿宋" w:hAnsi="仿宋" w:eastAsia="仿宋" w:cs="仿宋"/>
          <w:bCs/>
          <w:snapToGrid w:val="0"/>
          <w:color w:val="auto"/>
          <w:sz w:val="24"/>
          <w:highlight w:val="none"/>
        </w:rPr>
      </w:pPr>
      <w:r>
        <w:rPr>
          <w:rFonts w:hint="eastAsia" w:ascii="仿宋" w:hAnsi="仿宋" w:eastAsia="仿宋" w:cs="仿宋"/>
          <w:bCs/>
          <w:snapToGrid w:val="0"/>
          <w:color w:val="auto"/>
          <w:sz w:val="24"/>
          <w:highlight w:val="none"/>
          <w:lang w:val="en-US" w:eastAsia="zh-CN"/>
        </w:rPr>
        <w:t>3.8</w:t>
      </w:r>
      <w:r>
        <w:rPr>
          <w:rFonts w:hint="eastAsia" w:ascii="仿宋" w:hAnsi="仿宋" w:eastAsia="仿宋" w:cs="仿宋"/>
          <w:bCs/>
          <w:snapToGrid w:val="0"/>
          <w:color w:val="auto"/>
          <w:sz w:val="24"/>
          <w:highlight w:val="none"/>
        </w:rPr>
        <w:t>承包人应在本工程开工前按《广州市建筑业职工参加工伤保险实施办法》（穗人社发〔2015〕73号）的规定缴纳工伤保险费。如因承包人未按规定缴纳工伤保险费导致本工程施工许可证未能如期办理的，</w:t>
      </w:r>
      <w:r>
        <w:rPr>
          <w:rFonts w:hint="eastAsia" w:ascii="仿宋" w:hAnsi="仿宋" w:eastAsia="仿宋" w:cs="仿宋"/>
          <w:bCs/>
          <w:snapToGrid w:val="0"/>
          <w:color w:val="auto"/>
          <w:kern w:val="0"/>
          <w:sz w:val="24"/>
          <w:highlight w:val="none"/>
        </w:rPr>
        <w:t>视为承包人单方停工，承包人承担相关单方停工的违约责任</w:t>
      </w:r>
      <w:r>
        <w:rPr>
          <w:rFonts w:hint="eastAsia" w:ascii="仿宋" w:hAnsi="仿宋" w:eastAsia="仿宋" w:cs="仿宋"/>
          <w:bCs/>
          <w:snapToGrid w:val="0"/>
          <w:color w:val="auto"/>
          <w:sz w:val="24"/>
          <w:highlight w:val="none"/>
        </w:rPr>
        <w:t>，</w:t>
      </w:r>
      <w:r>
        <w:rPr>
          <w:rFonts w:ascii="仿宋" w:hAnsi="仿宋" w:eastAsia="仿宋" w:cs="仿宋"/>
          <w:bCs/>
          <w:snapToGrid w:val="0"/>
          <w:color w:val="auto"/>
          <w:sz w:val="24"/>
          <w:highlight w:val="none"/>
        </w:rPr>
        <w:t>并</w:t>
      </w:r>
      <w:r>
        <w:rPr>
          <w:rFonts w:hint="eastAsia" w:ascii="仿宋" w:hAnsi="仿宋" w:eastAsia="仿宋" w:cs="仿宋"/>
          <w:bCs/>
          <w:snapToGrid w:val="0"/>
          <w:color w:val="auto"/>
          <w:sz w:val="24"/>
          <w:highlight w:val="none"/>
        </w:rPr>
        <w:t>由此引起的相关责任全部由承包人承担。</w:t>
      </w:r>
    </w:p>
    <w:p w14:paraId="65FC8F53">
      <w:pPr>
        <w:adjustRightInd w:val="0"/>
        <w:snapToGrid w:val="0"/>
        <w:spacing w:line="360" w:lineRule="auto"/>
        <w:ind w:right="11" w:firstLine="480" w:firstLineChars="200"/>
        <w:rPr>
          <w:rFonts w:ascii="仿宋" w:hAnsi="仿宋" w:eastAsia="仿宋" w:cs="仿宋"/>
          <w:color w:val="auto"/>
          <w:sz w:val="24"/>
          <w:szCs w:val="24"/>
          <w:highlight w:val="none"/>
        </w:rPr>
      </w:pPr>
      <w:r>
        <w:rPr>
          <w:rFonts w:hint="eastAsia" w:ascii="仿宋" w:hAnsi="仿宋" w:eastAsia="仿宋" w:cs="仿宋"/>
          <w:bCs/>
          <w:snapToGrid w:val="0"/>
          <w:color w:val="auto"/>
          <w:kern w:val="0"/>
          <w:sz w:val="24"/>
          <w:highlight w:val="none"/>
          <w:lang w:val="en-US" w:eastAsia="zh-CN"/>
        </w:rPr>
        <w:t>3.9</w:t>
      </w:r>
      <w:r>
        <w:rPr>
          <w:rFonts w:hint="eastAsia" w:ascii="仿宋" w:hAnsi="仿宋" w:eastAsia="仿宋" w:cs="仿宋"/>
          <w:bCs/>
          <w:snapToGrid w:val="0"/>
          <w:color w:val="auto"/>
          <w:kern w:val="0"/>
          <w:sz w:val="24"/>
          <w:szCs w:val="24"/>
          <w:highlight w:val="none"/>
        </w:rPr>
        <w:t>承包人应当按照《广东省房屋建筑和市政基础设施工程用工实名管理暂行办法》（粤建规范〔2018〕1号）和《广州市住房和城乡建设局关于印发</w:t>
      </w:r>
      <w:r>
        <w:rPr>
          <w:rFonts w:hint="eastAsia" w:ascii="仿宋" w:hAnsi="仿宋" w:eastAsia="仿宋" w:cs="仿宋"/>
          <w:bCs/>
          <w:snapToGrid w:val="0"/>
          <w:color w:val="auto"/>
          <w:kern w:val="0"/>
          <w:sz w:val="24"/>
          <w:szCs w:val="24"/>
          <w:highlight w:val="none"/>
          <w:lang w:eastAsia="zh-CN"/>
        </w:rPr>
        <w:t>〈</w:t>
      </w:r>
      <w:r>
        <w:rPr>
          <w:rFonts w:hint="eastAsia" w:ascii="仿宋" w:hAnsi="仿宋" w:eastAsia="仿宋" w:cs="仿宋"/>
          <w:bCs/>
          <w:snapToGrid w:val="0"/>
          <w:color w:val="auto"/>
          <w:kern w:val="0"/>
          <w:sz w:val="24"/>
          <w:szCs w:val="24"/>
          <w:highlight w:val="none"/>
        </w:rPr>
        <w:t>广州市建筑施工实名制管理办法</w:t>
      </w:r>
      <w:r>
        <w:rPr>
          <w:rFonts w:hint="eastAsia" w:ascii="仿宋" w:hAnsi="仿宋" w:eastAsia="仿宋" w:cs="仿宋"/>
          <w:bCs/>
          <w:snapToGrid w:val="0"/>
          <w:color w:val="auto"/>
          <w:kern w:val="0"/>
          <w:sz w:val="24"/>
          <w:szCs w:val="24"/>
          <w:highlight w:val="none"/>
          <w:lang w:eastAsia="zh-CN"/>
        </w:rPr>
        <w:t>〉的通知》</w:t>
      </w:r>
      <w:r>
        <w:rPr>
          <w:rFonts w:hint="eastAsia" w:ascii="仿宋" w:hAnsi="仿宋" w:eastAsia="仿宋" w:cs="仿宋"/>
          <w:bCs/>
          <w:snapToGrid w:val="0"/>
          <w:color w:val="auto"/>
          <w:kern w:val="0"/>
          <w:sz w:val="24"/>
          <w:szCs w:val="24"/>
          <w:highlight w:val="none"/>
        </w:rPr>
        <w:t>（穗建规字〔2020〕18号）的有关要求，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仿宋" w:hAnsi="仿宋" w:eastAsia="仿宋" w:cs="仿宋"/>
          <w:color w:val="auto"/>
          <w:sz w:val="24"/>
          <w:szCs w:val="24"/>
          <w:highlight w:val="none"/>
        </w:rPr>
        <w:t>未按规定建立建筑施工实名制信息登记档案或档案不符合规定标准的，由此引起的一切责任和后果（包</w:t>
      </w:r>
      <w:r>
        <w:rPr>
          <w:rFonts w:hint="eastAsia" w:ascii="仿宋" w:hAnsi="仿宋" w:eastAsia="仿宋" w:cs="仿宋"/>
          <w:color w:val="auto"/>
          <w:sz w:val="24"/>
          <w:szCs w:val="24"/>
          <w:highlight w:val="none"/>
          <w:lang w:eastAsia="zh-CN"/>
        </w:rPr>
        <w:t>括但</w:t>
      </w:r>
      <w:r>
        <w:rPr>
          <w:rFonts w:hint="eastAsia" w:ascii="仿宋" w:hAnsi="仿宋" w:eastAsia="仿宋" w:cs="仿宋"/>
          <w:color w:val="auto"/>
          <w:sz w:val="24"/>
          <w:szCs w:val="24"/>
          <w:highlight w:val="none"/>
        </w:rPr>
        <w:t>不限于被纳入企业“黑名单”、按招标及合同文件规定被发包人拒绝</w:t>
      </w:r>
      <w:r>
        <w:rPr>
          <w:rFonts w:hint="eastAsia" w:ascii="仿宋" w:hAnsi="仿宋" w:eastAsia="仿宋" w:cs="仿宋"/>
          <w:color w:val="auto"/>
          <w:sz w:val="24"/>
          <w:szCs w:val="24"/>
          <w:highlight w:val="none"/>
          <w:lang w:eastAsia="zh-CN"/>
        </w:rPr>
        <w:t>参与</w:t>
      </w:r>
      <w:r>
        <w:rPr>
          <w:rFonts w:hint="eastAsia" w:ascii="仿宋" w:hAnsi="仿宋" w:eastAsia="仿宋" w:cs="仿宋"/>
          <w:color w:val="auto"/>
          <w:sz w:val="24"/>
          <w:szCs w:val="24"/>
          <w:highlight w:val="none"/>
        </w:rPr>
        <w:t>后续工程招标项目投标等）均由承包人自行承担。</w:t>
      </w:r>
    </w:p>
    <w:p w14:paraId="1B4A4B99">
      <w:pPr>
        <w:adjustRightInd w:val="0"/>
        <w:snapToGrid w:val="0"/>
        <w:spacing w:line="360" w:lineRule="auto"/>
        <w:ind w:right="11" w:firstLine="480" w:firstLineChars="200"/>
        <w:rPr>
          <w:rFonts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承包人对实名管理负总责，应当对</w:t>
      </w:r>
      <w:r>
        <w:rPr>
          <w:rFonts w:hint="eastAsia" w:ascii="仿宋" w:hAnsi="仿宋" w:eastAsia="仿宋" w:cs="仿宋"/>
          <w:bCs/>
          <w:iCs/>
          <w:snapToGrid w:val="0"/>
          <w:color w:val="auto"/>
          <w:kern w:val="0"/>
          <w:sz w:val="24"/>
          <w:highlight w:val="none"/>
        </w:rPr>
        <w:t>其</w:t>
      </w:r>
      <w:r>
        <w:rPr>
          <w:rFonts w:hint="eastAsia" w:ascii="仿宋" w:hAnsi="仿宋" w:eastAsia="仿宋" w:cs="仿宋"/>
          <w:bCs/>
          <w:snapToGrid w:val="0"/>
          <w:color w:val="auto"/>
          <w:kern w:val="0"/>
          <w:sz w:val="24"/>
          <w:szCs w:val="24"/>
          <w:highlight w:val="none"/>
        </w:rPr>
        <w:t>专业分包单位和劳务分包单位实施统一管理，监督其用工单位按时足额支付作业工人工资，督促其落实实名管理制度。发包人直接发包的专业承包单位应按照其与承包人约定和承包人的要求开展实名管理的相关工作。</w:t>
      </w:r>
    </w:p>
    <w:p w14:paraId="6CB94DA4">
      <w:pPr>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w:t>
      </w:r>
      <w:r>
        <w:rPr>
          <w:rFonts w:hint="eastAsia" w:ascii="仿宋" w:hAnsi="仿宋" w:eastAsia="仿宋" w:cs="仿宋"/>
          <w:color w:val="auto"/>
          <w:sz w:val="24"/>
          <w:szCs w:val="24"/>
          <w:highlight w:val="none"/>
        </w:rPr>
        <w:t>增值税专用发票开票信息</w:t>
      </w:r>
    </w:p>
    <w:p w14:paraId="48A76280">
      <w:pPr>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信息</w:t>
      </w:r>
    </w:p>
    <w:p w14:paraId="334933DF">
      <w:pPr>
        <w:autoSpaceDE w:val="0"/>
        <w:autoSpaceDN w:val="0"/>
        <w:adjustRightInd w:val="0"/>
        <w:spacing w:line="500" w:lineRule="exact"/>
        <w:ind w:left="1140" w:leftChars="20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467995</wp:posOffset>
                </wp:positionH>
                <wp:positionV relativeFrom="paragraph">
                  <wp:posOffset>20955</wp:posOffset>
                </wp:positionV>
                <wp:extent cx="366395" cy="269875"/>
                <wp:effectExtent l="4445" t="4445" r="10160"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85pt;margin-top:1.65pt;height:21.25pt;width:28.85pt;z-index:251660288;mso-width-relative:page;mso-height-relative:page;" fillcolor="#FFFFFF" filled="t" stroked="t" coordsize="21600,21600" o:gfxdata="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czN7tUAAAAHAQAADwAAAAAAAAABACAAAAAiAAAAZHJzL2Rvd25yZXYueG1sUEsB&#10;AhQAFAAAAAgAh07iQMg3uWsxAgAAbgQAAA4AAAAAAAAAAQAgAAAAJAEAAGRycy9lMm9Eb2MueG1s&#10;UEsFBgAAAAAGAAYAWQEAAMcFAAAAAA==&#10;">
                <v:fill on="t" focussize="0,0"/>
                <v:stroke color="#000000" miterlimit="8" joinstyle="miter"/>
                <v:imagedata o:title=""/>
                <o:lock v:ext="edit" aspectratio="f"/>
              </v:rect>
            </w:pict>
          </mc:Fallback>
        </mc:AlternateContent>
      </w:r>
      <w:r>
        <w:rPr>
          <w:rFonts w:hint="eastAsia" w:ascii="仿宋" w:hAnsi="仿宋" w:eastAsia="仿宋" w:cs="仿宋"/>
          <w:color w:val="auto"/>
          <w:kern w:val="0"/>
          <w:sz w:val="24"/>
          <w:highlight w:val="none"/>
        </w:rPr>
        <w:t xml:space="preserve">         小规模纳税人                   一般纳税人</w:t>
      </w:r>
    </w:p>
    <w:tbl>
      <w:tblPr>
        <w:tblStyle w:val="23"/>
        <w:tblW w:w="7872" w:type="dxa"/>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7"/>
        <w:gridCol w:w="4935"/>
      </w:tblGrid>
      <w:tr w14:paraId="3304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0536E7A7">
            <w:pP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2498725</wp:posOffset>
                      </wp:positionH>
                      <wp:positionV relativeFrom="paragraph">
                        <wp:posOffset>-309245</wp:posOffset>
                      </wp:positionV>
                      <wp:extent cx="366395" cy="269875"/>
                      <wp:effectExtent l="4445" t="4445" r="10160" b="1143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14:paraId="07B0B034">
                                  <w:pPr>
                                    <w:rPr>
                                      <w:b/>
                                      <w:bCs/>
                                      <w:sz w:val="24"/>
                                      <w:szCs w:val="28"/>
                                    </w:rPr>
                                  </w:pPr>
                                  <w:r>
                                    <w:rPr>
                                      <w:rFonts w:hint="eastAsia"/>
                                      <w:b/>
                                      <w:bCs/>
                                      <w:sz w:val="24"/>
                                      <w:szCs w:val="28"/>
                                    </w:rPr>
                                    <w:t>√</w:t>
                                  </w:r>
                                </w:p>
                                <w:p w14:paraId="566B5C22">
                                  <w:pPr>
                                    <w:rPr>
                                      <w:sz w:val="24"/>
                                      <w:szCs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6.75pt;margin-top:-24.35pt;height:21.25pt;width:28.85pt;z-index:251661312;mso-width-relative:page;mso-height-relative:page;" fillcolor="#FFFFFF" filled="t" stroked="t" coordsize="21600,21600" o:gfxdata="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4T0F9kAAAAKAQAADwAAAAAAAAABACAAAAAiAAAAZHJzL2Rv&#10;d25yZXYueG1sUEsBAhQAFAAAAAgAh07iQH4Fr8U5AgAAeQQAAA4AAAAAAAAAAQAgAAAAKAEAAGRy&#10;cy9lMm9Eb2MueG1sUEsFBgAAAAAGAAYAWQEAANMFAAAAAA==&#10;">
                      <v:fill on="t" focussize="0,0"/>
                      <v:stroke color="#000000" miterlimit="8" joinstyle="miter"/>
                      <v:imagedata o:title=""/>
                      <o:lock v:ext="edit" aspectratio="f"/>
                      <v:textbox>
                        <w:txbxContent>
                          <w:p w14:paraId="07B0B034">
                            <w:pPr>
                              <w:rPr>
                                <w:b/>
                                <w:bCs/>
                                <w:sz w:val="24"/>
                                <w:szCs w:val="28"/>
                              </w:rPr>
                            </w:pPr>
                            <w:r>
                              <w:rPr>
                                <w:rFonts w:hint="eastAsia"/>
                                <w:b/>
                                <w:bCs/>
                                <w:sz w:val="24"/>
                                <w:szCs w:val="28"/>
                              </w:rPr>
                              <w:t>√</w:t>
                            </w:r>
                          </w:p>
                          <w:p w14:paraId="566B5C22">
                            <w:pPr>
                              <w:rPr>
                                <w:sz w:val="24"/>
                                <w:szCs w:val="28"/>
                              </w:rPr>
                            </w:pPr>
                          </w:p>
                        </w:txbxContent>
                      </v:textbox>
                    </v:rect>
                  </w:pict>
                </mc:Fallback>
              </mc:AlternateContent>
            </w:r>
            <w:r>
              <w:rPr>
                <w:rFonts w:hint="eastAsia" w:ascii="仿宋" w:hAnsi="仿宋" w:eastAsia="仿宋" w:cs="仿宋"/>
                <w:color w:val="auto"/>
                <w:sz w:val="24"/>
                <w:highlight w:val="none"/>
              </w:rPr>
              <w:t>公司名称</w:t>
            </w:r>
          </w:p>
        </w:tc>
        <w:tc>
          <w:tcPr>
            <w:tcW w:w="4935" w:type="dxa"/>
            <w:vAlign w:val="center"/>
          </w:tcPr>
          <w:p w14:paraId="1388FD31">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广州白云棠涌置地有限公司</w:t>
            </w:r>
          </w:p>
        </w:tc>
      </w:tr>
      <w:tr w14:paraId="510A6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2EA0708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c>
          <w:tcPr>
            <w:tcW w:w="4935" w:type="dxa"/>
            <w:vAlign w:val="center"/>
          </w:tcPr>
          <w:p w14:paraId="392C4930">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91440111MAE98KFB47</w:t>
            </w:r>
          </w:p>
        </w:tc>
      </w:tr>
      <w:tr w14:paraId="11E8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0B638C1F">
            <w:pP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地址、邮编</w:t>
            </w:r>
          </w:p>
        </w:tc>
        <w:tc>
          <w:tcPr>
            <w:tcW w:w="4935" w:type="dxa"/>
            <w:vAlign w:val="center"/>
          </w:tcPr>
          <w:p w14:paraId="11BE3FF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广州市白云区棠涌大埔西街12号102房</w:t>
            </w:r>
          </w:p>
        </w:tc>
      </w:tr>
      <w:tr w14:paraId="5050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4CF1D77B">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935" w:type="dxa"/>
            <w:vAlign w:val="center"/>
          </w:tcPr>
          <w:p w14:paraId="28AB7AEB">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p>
        </w:tc>
      </w:tr>
      <w:tr w14:paraId="066AE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66AD5941">
            <w:pP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935" w:type="dxa"/>
            <w:vAlign w:val="center"/>
          </w:tcPr>
          <w:p w14:paraId="7D86C979">
            <w:pPr>
              <w:spacing w:line="48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中国农业银行股份有限公司广州三元里支行</w:t>
            </w:r>
          </w:p>
        </w:tc>
      </w:tr>
      <w:tr w14:paraId="1CB3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3344C6C9">
            <w:pPr>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tc>
        <w:tc>
          <w:tcPr>
            <w:tcW w:w="4935" w:type="dxa"/>
            <w:vAlign w:val="center"/>
          </w:tcPr>
          <w:p w14:paraId="703D3108">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44067201040026670</w:t>
            </w:r>
          </w:p>
        </w:tc>
      </w:tr>
    </w:tbl>
    <w:p w14:paraId="12EA46D1">
      <w:pPr>
        <w:spacing w:after="157" w:afterLines="50"/>
        <w:ind w:firstLine="480" w:firstLineChars="200"/>
        <w:jc w:val="left"/>
        <w:rPr>
          <w:rFonts w:hint="eastAsia" w:ascii="仿宋" w:hAnsi="仿宋" w:eastAsia="仿宋" w:cs="仿宋"/>
          <w:color w:val="auto"/>
          <w:sz w:val="24"/>
          <w:szCs w:val="24"/>
          <w:highlight w:val="none"/>
        </w:rPr>
      </w:pPr>
      <w:r>
        <w:rPr>
          <w:rFonts w:hint="default" w:ascii="仿宋" w:hAnsi="仿宋" w:eastAsia="仿宋" w:cs="仿宋"/>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563245</wp:posOffset>
                </wp:positionH>
                <wp:positionV relativeFrom="paragraph">
                  <wp:posOffset>248920</wp:posOffset>
                </wp:positionV>
                <wp:extent cx="366395" cy="269875"/>
                <wp:effectExtent l="4445" t="4445" r="10160" b="1143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4.35pt;margin-top:19.6pt;height:21.25pt;width:28.85pt;z-index:251662336;mso-width-relative:page;mso-height-relative:page;" fillcolor="#FFFFFF" filled="t" stroked="t" coordsize="21600,21600" o:gfxdata="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Jsqk7XAAAACAEAAA8AAAAAAAAAAQAgAAAAIgAAAGRycy9kb3ducmV2Lnht&#10;bFBLAQIUABQAAAAIAIdO4kDvWJhJMwIAAG4EAAAOAAAAAAAAAAEAIAAAACY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s="仿宋"/>
          <w:color w:val="auto"/>
          <w:sz w:val="24"/>
          <w:highlight w:val="none"/>
          <w:lang w:val="en-US" w:eastAsia="zh-CN"/>
        </w:rPr>
        <w:t>3.10</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承包人</w:t>
      </w:r>
      <w:r>
        <w:rPr>
          <w:rFonts w:hint="eastAsia" w:ascii="仿宋" w:hAnsi="仿宋" w:eastAsia="仿宋" w:cs="仿宋"/>
          <w:color w:val="auto"/>
          <w:sz w:val="24"/>
          <w:szCs w:val="24"/>
          <w:highlight w:val="none"/>
        </w:rPr>
        <w:t>信息</w:t>
      </w:r>
    </w:p>
    <w:p w14:paraId="22E5DBE6">
      <w:pPr>
        <w:autoSpaceDE w:val="0"/>
        <w:autoSpaceDN w:val="0"/>
        <w:adjustRightInd w:val="0"/>
        <w:spacing w:line="500" w:lineRule="exact"/>
        <w:ind w:left="1050" w:leftChars="500" w:firstLine="1320" w:firstLineChars="550"/>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3098165</wp:posOffset>
                </wp:positionH>
                <wp:positionV relativeFrom="paragraph">
                  <wp:posOffset>2540</wp:posOffset>
                </wp:positionV>
                <wp:extent cx="366395" cy="269875"/>
                <wp:effectExtent l="4445" t="4445" r="10160" b="1143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14:paraId="472CE298">
                            <w:pPr>
                              <w:rPr>
                                <w:b/>
                                <w:bCs/>
                                <w:sz w:val="24"/>
                                <w:szCs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3.95pt;margin-top:0.2pt;height:21.25pt;width:28.85pt;z-index:251663360;mso-width-relative:page;mso-height-relative:page;" fillcolor="#FFFFFF" filled="t" stroked="t" coordsize="21600,21600" o:gfxdata="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QbZDVAAAABwEAAA8AAAAAAAAAAQAgAAAAIgAAAGRycy9kb3ducmV2&#10;LnhtbFBLAQIUABQAAAAIAIdO4kAagKSLOAIAAHkEAAAOAAAAAAAAAAEAIAAAACQBAABkcnMvZTJv&#10;RG9jLnhtbFBLBQYAAAAABgAGAFkBAADOBQAAAAA=&#10;">
                <v:fill on="t" focussize="0,0"/>
                <v:stroke color="#000000" miterlimit="8" joinstyle="miter"/>
                <v:imagedata o:title=""/>
                <o:lock v:ext="edit" aspectratio="f"/>
                <v:textbox>
                  <w:txbxContent>
                    <w:p w14:paraId="472CE298">
                      <w:pPr>
                        <w:rPr>
                          <w:b/>
                          <w:bCs/>
                          <w:sz w:val="24"/>
                          <w:szCs w:val="28"/>
                        </w:rPr>
                      </w:pPr>
                    </w:p>
                  </w:txbxContent>
                </v:textbox>
              </v:rect>
            </w:pict>
          </mc:Fallback>
        </mc:AlternateContent>
      </w:r>
      <w:r>
        <w:rPr>
          <w:rFonts w:hint="eastAsia" w:ascii="仿宋" w:hAnsi="仿宋" w:eastAsia="仿宋" w:cs="仿宋"/>
          <w:color w:val="auto"/>
          <w:sz w:val="24"/>
          <w:highlight w:val="none"/>
        </w:rPr>
        <w:t>小规模纳税人               一般纳税人</w:t>
      </w:r>
    </w:p>
    <w:tbl>
      <w:tblPr>
        <w:tblStyle w:val="23"/>
        <w:tblW w:w="7857" w:type="dxa"/>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22"/>
        <w:gridCol w:w="4935"/>
      </w:tblGrid>
      <w:tr w14:paraId="1FB7B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4B565EB2">
            <w:pPr>
              <w:rPr>
                <w:rFonts w:hint="eastAsia" w:ascii="仿宋" w:hAnsi="仿宋" w:eastAsia="仿宋" w:cs="仿宋"/>
                <w:color w:val="auto"/>
                <w:sz w:val="24"/>
                <w:highlight w:val="none"/>
              </w:rPr>
            </w:pPr>
            <w:r>
              <w:rPr>
                <w:rFonts w:hint="eastAsia" w:ascii="仿宋" w:hAnsi="仿宋" w:eastAsia="仿宋" w:cs="仿宋"/>
                <w:color w:val="auto"/>
                <w:sz w:val="24"/>
                <w:highlight w:val="none"/>
              </w:rPr>
              <w:t>公司名称</w:t>
            </w:r>
          </w:p>
        </w:tc>
        <w:tc>
          <w:tcPr>
            <w:tcW w:w="4935" w:type="dxa"/>
            <w:vAlign w:val="center"/>
          </w:tcPr>
          <w:p w14:paraId="017E5811">
            <w:pPr>
              <w:rPr>
                <w:rFonts w:hint="eastAsia" w:ascii="仿宋" w:hAnsi="仿宋" w:eastAsia="仿宋" w:cs="仿宋"/>
                <w:color w:val="auto"/>
                <w:sz w:val="24"/>
                <w:highlight w:val="none"/>
              </w:rPr>
            </w:pPr>
          </w:p>
        </w:tc>
      </w:tr>
      <w:tr w14:paraId="07E8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679421F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c>
          <w:tcPr>
            <w:tcW w:w="4935" w:type="dxa"/>
            <w:vAlign w:val="center"/>
          </w:tcPr>
          <w:p w14:paraId="1CDA539D">
            <w:pPr>
              <w:rPr>
                <w:rFonts w:hint="eastAsia" w:ascii="仿宋" w:hAnsi="仿宋" w:eastAsia="仿宋" w:cs="仿宋"/>
                <w:color w:val="auto"/>
                <w:sz w:val="24"/>
                <w:highlight w:val="none"/>
              </w:rPr>
            </w:pPr>
          </w:p>
        </w:tc>
      </w:tr>
      <w:tr w14:paraId="7AE9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450178EB">
            <w:pP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地址、邮编</w:t>
            </w:r>
          </w:p>
        </w:tc>
        <w:tc>
          <w:tcPr>
            <w:tcW w:w="4935" w:type="dxa"/>
            <w:vAlign w:val="center"/>
          </w:tcPr>
          <w:p w14:paraId="7B95E5CB">
            <w:pPr>
              <w:rPr>
                <w:rFonts w:hint="eastAsia" w:ascii="仿宋" w:hAnsi="仿宋" w:eastAsia="仿宋" w:cs="仿宋"/>
                <w:color w:val="auto"/>
                <w:sz w:val="24"/>
                <w:highlight w:val="none"/>
              </w:rPr>
            </w:pPr>
          </w:p>
        </w:tc>
      </w:tr>
      <w:tr w14:paraId="50108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5A71BF63">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935" w:type="dxa"/>
            <w:vAlign w:val="center"/>
          </w:tcPr>
          <w:p w14:paraId="28083348">
            <w:pPr>
              <w:rPr>
                <w:rFonts w:hint="eastAsia" w:ascii="仿宋" w:hAnsi="仿宋" w:eastAsia="仿宋" w:cs="仿宋"/>
                <w:color w:val="auto"/>
                <w:sz w:val="24"/>
                <w:highlight w:val="none"/>
              </w:rPr>
            </w:pPr>
          </w:p>
        </w:tc>
      </w:tr>
      <w:tr w14:paraId="662D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63DB11CD">
            <w:pP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935" w:type="dxa"/>
            <w:vAlign w:val="center"/>
          </w:tcPr>
          <w:p w14:paraId="4CAA4FD0">
            <w:pPr>
              <w:rPr>
                <w:rFonts w:hint="eastAsia" w:ascii="仿宋" w:hAnsi="仿宋" w:eastAsia="仿宋" w:cs="仿宋"/>
                <w:color w:val="auto"/>
                <w:sz w:val="24"/>
                <w:highlight w:val="none"/>
              </w:rPr>
            </w:pPr>
          </w:p>
        </w:tc>
      </w:tr>
      <w:tr w14:paraId="1A8E3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0A861721">
            <w:pPr>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tc>
        <w:tc>
          <w:tcPr>
            <w:tcW w:w="4935" w:type="dxa"/>
            <w:vAlign w:val="center"/>
          </w:tcPr>
          <w:p w14:paraId="304CD0F0">
            <w:pPr>
              <w:rPr>
                <w:rFonts w:hint="eastAsia" w:ascii="仿宋" w:hAnsi="仿宋" w:eastAsia="仿宋" w:cs="仿宋"/>
                <w:color w:val="auto"/>
                <w:sz w:val="24"/>
                <w:highlight w:val="none"/>
              </w:rPr>
            </w:pPr>
          </w:p>
        </w:tc>
      </w:tr>
    </w:tbl>
    <w:p w14:paraId="71AD01A0">
      <w:pPr>
        <w:ind w:firstLine="480" w:firstLineChars="200"/>
        <w:jc w:val="left"/>
        <w:rPr>
          <w:rFonts w:hint="eastAsia" w:ascii="仿宋" w:hAnsi="仿宋" w:eastAsia="仿宋" w:cs="仿宋"/>
          <w:bCs w:val="0"/>
          <w:snapToGrid/>
          <w:color w:val="auto"/>
          <w:kern w:val="2"/>
          <w:sz w:val="24"/>
          <w:szCs w:val="20"/>
          <w:highlight w:val="none"/>
        </w:rPr>
      </w:pPr>
    </w:p>
    <w:p w14:paraId="1F480B74">
      <w:pPr>
        <w:ind w:firstLine="480" w:firstLineChars="200"/>
        <w:jc w:val="left"/>
        <w:rPr>
          <w:rFonts w:hint="eastAsia" w:ascii="仿宋" w:hAnsi="仿宋" w:eastAsia="仿宋" w:cs="仿宋"/>
          <w:bCs w:val="0"/>
          <w:snapToGrid/>
          <w:color w:val="auto"/>
          <w:kern w:val="2"/>
          <w:sz w:val="24"/>
          <w:szCs w:val="20"/>
          <w:highlight w:val="none"/>
        </w:rPr>
      </w:pPr>
    </w:p>
    <w:p w14:paraId="3E58B3FC">
      <w:pPr>
        <w:widowControl/>
        <w:shd w:val="clear" w:color="auto" w:fill="FFFFFF"/>
        <w:spacing w:after="0" w:line="360" w:lineRule="auto"/>
        <w:ind w:right="317"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val="0"/>
          <w:snapToGrid/>
          <w:color w:val="auto"/>
          <w:kern w:val="2"/>
          <w:sz w:val="24"/>
          <w:szCs w:val="20"/>
          <w:highlight w:val="none"/>
        </w:rPr>
        <w:t>上述资料若有修改，须书面通知对方并获对方书面确认。</w:t>
      </w:r>
    </w:p>
    <w:p w14:paraId="089B2EA5">
      <w:pPr>
        <w:widowControl/>
        <w:numPr>
          <w:ilvl w:val="0"/>
          <w:numId w:val="3"/>
        </w:numPr>
        <w:shd w:val="clear"/>
        <w:tabs>
          <w:tab w:val="left" w:pos="5475"/>
        </w:tabs>
        <w:spacing w:line="360" w:lineRule="auto"/>
        <w:ind w:firstLine="482" w:firstLineChars="200"/>
        <w:jc w:val="left"/>
        <w:rPr>
          <w:rFonts w:hint="eastAsia" w:ascii="仿宋" w:hAnsi="仿宋" w:eastAsia="仿宋" w:cs="仿宋"/>
          <w:b/>
          <w:bCs/>
          <w:snapToGrid w:val="0"/>
          <w:color w:val="auto"/>
          <w:kern w:val="0"/>
          <w:sz w:val="24"/>
          <w:szCs w:val="20"/>
          <w:highlight w:val="none"/>
          <w:lang w:eastAsia="zh-CN"/>
        </w:rPr>
      </w:pPr>
      <w:r>
        <w:rPr>
          <w:rFonts w:hint="eastAsia" w:ascii="仿宋" w:hAnsi="仿宋" w:eastAsia="仿宋" w:cs="仿宋"/>
          <w:b/>
          <w:bCs/>
          <w:i w:val="0"/>
          <w:iCs w:val="0"/>
          <w:snapToGrid w:val="0"/>
          <w:color w:val="auto"/>
          <w:kern w:val="0"/>
          <w:sz w:val="24"/>
          <w:szCs w:val="20"/>
          <w:highlight w:val="none"/>
          <w:lang w:eastAsia="zh-CN"/>
        </w:rPr>
        <w:t>工程担保</w:t>
      </w:r>
    </w:p>
    <w:p w14:paraId="36338AD9">
      <w:pPr>
        <w:widowControl/>
        <w:numPr>
          <w:ilvl w:val="0"/>
          <w:numId w:val="0"/>
        </w:numPr>
        <w:shd w:val="clear" w:color="auto" w:fill="FFFFFF"/>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4.1</w:t>
      </w:r>
      <w:r>
        <w:rPr>
          <w:rFonts w:hint="eastAsia" w:ascii="仿宋" w:hAnsi="仿宋" w:eastAsia="仿宋" w:cs="仿宋"/>
          <w:bCs/>
          <w:snapToGrid w:val="0"/>
          <w:color w:val="auto"/>
          <w:kern w:val="0"/>
          <w:sz w:val="24"/>
          <w:szCs w:val="22"/>
          <w:highlight w:val="none"/>
          <w:lang w:eastAsia="zh-CN"/>
        </w:rPr>
        <w:t>承包人提供履约担保的约定</w:t>
      </w:r>
    </w:p>
    <w:p w14:paraId="50E8DFF1">
      <w:pPr>
        <w:widowControl/>
        <w:numPr>
          <w:ilvl w:val="0"/>
          <w:numId w:val="0"/>
        </w:numPr>
        <w:shd w:val="clear" w:color="auto" w:fill="FFFFFF"/>
        <w:spacing w:line="360" w:lineRule="auto"/>
        <w:ind w:left="0" w:leftChars="0"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（1）履约担保金额：合同价的10%，即为（大写）</w:t>
      </w:r>
      <w:r>
        <w:rPr>
          <w:rFonts w:hint="eastAsia" w:ascii="仿宋" w:hAnsi="仿宋" w:eastAsia="仿宋" w:cs="仿宋"/>
          <w:bCs/>
          <w:snapToGrid w:val="0"/>
          <w:color w:val="auto"/>
          <w:kern w:val="0"/>
          <w:sz w:val="24"/>
          <w:szCs w:val="22"/>
          <w:highlight w:val="none"/>
          <w:u w:val="none"/>
          <w:lang w:eastAsia="zh-CN"/>
        </w:rPr>
        <w:t>人民币XXX元整</w:t>
      </w:r>
      <w:r>
        <w:rPr>
          <w:rFonts w:hint="eastAsia" w:ascii="仿宋" w:hAnsi="仿宋" w:eastAsia="仿宋" w:cs="仿宋"/>
          <w:bCs/>
          <w:snapToGrid w:val="0"/>
          <w:color w:val="auto"/>
          <w:kern w:val="0"/>
          <w:sz w:val="24"/>
          <w:szCs w:val="22"/>
          <w:highlight w:val="none"/>
          <w:lang w:eastAsia="zh-CN"/>
        </w:rPr>
        <w:t>（小写¥</w:t>
      </w:r>
      <w:r>
        <w:rPr>
          <w:rFonts w:hint="eastAsia" w:ascii="仿宋" w:hAnsi="仿宋" w:eastAsia="仿宋" w:cs="仿宋"/>
          <w:bCs/>
          <w:snapToGrid w:val="0"/>
          <w:color w:val="auto"/>
          <w:kern w:val="0"/>
          <w:sz w:val="24"/>
          <w:szCs w:val="22"/>
          <w:highlight w:val="none"/>
          <w:u w:val="none"/>
          <w:lang w:eastAsia="zh-CN"/>
        </w:rPr>
        <w:t xml:space="preserve"> XX.00</w:t>
      </w:r>
      <w:r>
        <w:rPr>
          <w:rFonts w:hint="eastAsia" w:ascii="仿宋" w:hAnsi="仿宋" w:eastAsia="仿宋" w:cs="仿宋"/>
          <w:bCs/>
          <w:snapToGrid w:val="0"/>
          <w:color w:val="auto"/>
          <w:kern w:val="0"/>
          <w:sz w:val="24"/>
          <w:szCs w:val="22"/>
          <w:highlight w:val="none"/>
          <w:lang w:eastAsia="zh-CN"/>
        </w:rPr>
        <w:t>元）</w:t>
      </w:r>
    </w:p>
    <w:p w14:paraId="56662A4E">
      <w:pPr>
        <w:widowControl/>
        <w:numPr>
          <w:ilvl w:val="0"/>
          <w:numId w:val="0"/>
        </w:numPr>
        <w:shd w:val="clear" w:color="auto" w:fill="FFFFFF"/>
        <w:spacing w:line="360" w:lineRule="auto"/>
        <w:ind w:left="0" w:leftChars="0" w:firstLine="48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（2）提供履约担保的时间：</w:t>
      </w:r>
    </w:p>
    <w:p w14:paraId="28A0758D">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□签订本合同时</w:t>
      </w:r>
    </w:p>
    <w:p w14:paraId="0310E577">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sym w:font="Wingdings 2" w:char="0052"/>
      </w:r>
      <w:r>
        <w:rPr>
          <w:rFonts w:hint="eastAsia" w:ascii="仿宋" w:hAnsi="仿宋" w:eastAsia="仿宋" w:cs="仿宋"/>
          <w:bCs/>
          <w:snapToGrid w:val="0"/>
          <w:color w:val="auto"/>
          <w:kern w:val="0"/>
          <w:sz w:val="24"/>
          <w:szCs w:val="22"/>
          <w:highlight w:val="none"/>
          <w:lang w:eastAsia="zh-CN"/>
        </w:rPr>
        <w:t>另作约定：</w:t>
      </w:r>
      <w:r>
        <w:rPr>
          <w:rFonts w:hint="eastAsia" w:ascii="仿宋" w:hAnsi="仿宋" w:eastAsia="仿宋" w:cs="仿宋"/>
          <w:bCs/>
          <w:snapToGrid w:val="0"/>
          <w:color w:val="auto"/>
          <w:kern w:val="0"/>
          <w:sz w:val="24"/>
          <w:szCs w:val="22"/>
          <w:highlight w:val="none"/>
          <w:u w:val="none"/>
          <w:lang w:eastAsia="zh-CN"/>
        </w:rPr>
        <w:t>承包人必须在签订合同后15天内或工程预付款支付15天之前向发包人提交履约担保。</w:t>
      </w:r>
    </w:p>
    <w:p w14:paraId="749E0BB8">
      <w:pPr>
        <w:widowControl/>
        <w:numPr>
          <w:ilvl w:val="0"/>
          <w:numId w:val="0"/>
        </w:numPr>
        <w:shd w:val="clear" w:color="auto" w:fill="FFFFFF"/>
        <w:spacing w:line="360" w:lineRule="auto"/>
        <w:ind w:left="0" w:leftChars="0"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（3）履约担保的形式</w:t>
      </w:r>
    </w:p>
    <w:p w14:paraId="03CE24B0">
      <w:pPr>
        <w:widowControl/>
        <w:numPr>
          <w:ilvl w:val="0"/>
          <w:numId w:val="0"/>
        </w:numPr>
        <w:shd w:val="clear" w:color="auto" w:fill="FFFFFF"/>
        <w:spacing w:line="360" w:lineRule="auto"/>
        <w:ind w:firstLine="48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☑出具履约保函的担保人：</w:t>
      </w:r>
      <w:r>
        <w:rPr>
          <w:rFonts w:hint="eastAsia" w:ascii="仿宋" w:hAnsi="仿宋" w:eastAsia="仿宋" w:cs="仿宋"/>
          <w:bCs/>
          <w:snapToGrid w:val="0"/>
          <w:color w:val="auto"/>
          <w:kern w:val="0"/>
          <w:sz w:val="24"/>
          <w:szCs w:val="22"/>
          <w:highlight w:val="none"/>
          <w:u w:val="none"/>
          <w:lang w:eastAsia="zh-CN"/>
        </w:rPr>
        <w:t>提供国内商业银行或担保机构不可撤销的无条件履约保函，履约保函内容、方式和责任等事项详见本合同</w:t>
      </w:r>
      <w:r>
        <w:rPr>
          <w:rFonts w:hint="eastAsia" w:ascii="仿宋" w:hAnsi="仿宋" w:eastAsia="仿宋" w:cs="仿宋"/>
          <w:bCs/>
          <w:snapToGrid w:val="0"/>
          <w:color w:val="auto"/>
          <w:kern w:val="0"/>
          <w:sz w:val="24"/>
          <w:szCs w:val="22"/>
          <w:highlight w:val="none"/>
          <w:u w:val="none"/>
          <w:lang w:val="en-US" w:eastAsia="zh-CN"/>
        </w:rPr>
        <w:t>附件七</w:t>
      </w:r>
      <w:r>
        <w:rPr>
          <w:rFonts w:hint="eastAsia" w:ascii="仿宋" w:hAnsi="仿宋" w:eastAsia="仿宋" w:cs="仿宋"/>
          <w:bCs/>
          <w:snapToGrid w:val="0"/>
          <w:color w:val="auto"/>
          <w:kern w:val="0"/>
          <w:sz w:val="24"/>
          <w:szCs w:val="22"/>
          <w:highlight w:val="none"/>
          <w:u w:val="none"/>
          <w:lang w:eastAsia="zh-CN"/>
        </w:rPr>
        <w:t>。</w:t>
      </w:r>
    </w:p>
    <w:p w14:paraId="6DB9F725">
      <w:pPr>
        <w:widowControl/>
        <w:numPr>
          <w:ilvl w:val="0"/>
          <w:numId w:val="0"/>
        </w:numPr>
        <w:shd w:val="clear" w:color="auto" w:fill="FFFFFF"/>
        <w:spacing w:line="360" w:lineRule="auto"/>
        <w:ind w:firstLine="48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□出具履约担保的担保人：</w:t>
      </w:r>
    </w:p>
    <w:p w14:paraId="32658DC9">
      <w:pPr>
        <w:widowControl/>
        <w:numPr>
          <w:ilvl w:val="0"/>
          <w:numId w:val="0"/>
        </w:numPr>
        <w:shd w:val="clear" w:color="auto" w:fill="FFFFFF"/>
        <w:spacing w:line="360" w:lineRule="auto"/>
        <w:ind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□出具履约保证保险的担保人：</w:t>
      </w:r>
    </w:p>
    <w:p w14:paraId="35E9294A">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sym w:font="Wingdings 2" w:char="0052"/>
      </w:r>
      <w:r>
        <w:rPr>
          <w:rFonts w:hint="eastAsia" w:ascii="仿宋" w:hAnsi="仿宋" w:eastAsia="仿宋" w:cs="仿宋"/>
          <w:bCs/>
          <w:snapToGrid w:val="0"/>
          <w:color w:val="auto"/>
          <w:kern w:val="0"/>
          <w:sz w:val="24"/>
          <w:szCs w:val="22"/>
          <w:highlight w:val="none"/>
          <w:lang w:eastAsia="zh-CN"/>
        </w:rPr>
        <w:t>其他：</w:t>
      </w:r>
      <w:r>
        <w:rPr>
          <w:rFonts w:hint="eastAsia" w:ascii="仿宋" w:hAnsi="仿宋" w:eastAsia="仿宋" w:cs="仿宋"/>
          <w:bCs/>
          <w:snapToGrid w:val="0"/>
          <w:color w:val="auto"/>
          <w:kern w:val="0"/>
          <w:sz w:val="24"/>
          <w:szCs w:val="22"/>
          <w:highlight w:val="none"/>
          <w:u w:val="none"/>
          <w:lang w:eastAsia="zh-CN"/>
        </w:rPr>
        <w:t>采用其他履约担保形式的，须经发包人批准。</w:t>
      </w:r>
    </w:p>
    <w:p w14:paraId="1A2D181A">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bookmarkStart w:id="6" w:name="_Toc7964"/>
      <w:r>
        <w:rPr>
          <w:rFonts w:hint="eastAsia" w:ascii="仿宋" w:hAnsi="仿宋" w:eastAsia="仿宋" w:cs="仿宋"/>
          <w:bCs/>
          <w:snapToGrid w:val="0"/>
          <w:color w:val="auto"/>
          <w:kern w:val="0"/>
          <w:sz w:val="24"/>
          <w:szCs w:val="22"/>
          <w:highlight w:val="none"/>
          <w:lang w:eastAsia="zh-CN"/>
        </w:rPr>
        <w:t>4.2履约担保期限和退还</w:t>
      </w:r>
    </w:p>
    <w:p w14:paraId="37830695">
      <w:pPr>
        <w:widowControl/>
        <w:numPr>
          <w:ilvl w:val="0"/>
          <w:numId w:val="0"/>
        </w:numPr>
        <w:shd w:val="clear" w:color="auto" w:fill="FFFFFF"/>
        <w:spacing w:line="360" w:lineRule="auto"/>
        <w:ind w:left="0" w:leftChars="0"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（1）履约担保的期限：</w:t>
      </w:r>
      <w:r>
        <w:rPr>
          <w:rFonts w:hint="eastAsia" w:ascii="仿宋" w:hAnsi="仿宋" w:eastAsia="仿宋" w:cs="仿宋"/>
          <w:bCs/>
          <w:snapToGrid w:val="0"/>
          <w:color w:val="auto"/>
          <w:kern w:val="0"/>
          <w:sz w:val="24"/>
          <w:szCs w:val="22"/>
          <w:highlight w:val="none"/>
          <w:u w:val="none"/>
          <w:lang w:eastAsia="zh-CN"/>
        </w:rPr>
        <w:t>从承包人向发包人提供履约担保之日起，至合同工程验收合格、承包人向发包人提交完整的结算资料后30天止。若承包人提供的履约担保在上述期限内到期，承包人应在履约担保到期之前将其续期，提供履约担保所发生的费用由承包人承担。否则发包人有权停止支付进度款并要求承包人支付与履约担保同等金额的违约金，由此造成的工程延误和损失由承包人承担。</w:t>
      </w:r>
    </w:p>
    <w:p w14:paraId="3905ACD3">
      <w:pPr>
        <w:widowControl/>
        <w:numPr>
          <w:ilvl w:val="0"/>
          <w:numId w:val="0"/>
        </w:numPr>
        <w:shd w:val="clear" w:color="auto" w:fill="FFFFFF"/>
        <w:spacing w:line="360" w:lineRule="auto"/>
        <w:ind w:left="0" w:leftChars="0"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（2）履约担保的退还：</w:t>
      </w:r>
      <w:r>
        <w:rPr>
          <w:rFonts w:hint="eastAsia" w:ascii="仿宋" w:hAnsi="仿宋" w:eastAsia="仿宋" w:cs="仿宋"/>
          <w:bCs/>
          <w:snapToGrid w:val="0"/>
          <w:color w:val="auto"/>
          <w:kern w:val="0"/>
          <w:sz w:val="24"/>
          <w:szCs w:val="22"/>
          <w:highlight w:val="none"/>
          <w:u w:val="none"/>
          <w:lang w:eastAsia="zh-CN"/>
        </w:rPr>
        <w:t>承包人向发包人提供的履约担保，发包人在合同工程验收合格（取得验收合格文件）、工程已移交给发包人，且承包人向发包人提交完整的结算资料后30天内由承包人提出申请，经监理人和发包人同意，退回履约担保（不计利息）。</w:t>
      </w:r>
    </w:p>
    <w:p w14:paraId="11ADB595">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lang w:eastAsia="zh-CN"/>
        </w:rPr>
        <w:t>发包人提供支付担保</w:t>
      </w:r>
      <w:bookmarkEnd w:id="6"/>
    </w:p>
    <w:p w14:paraId="663157A6">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发包人提供支付担保的约定</w:t>
      </w:r>
    </w:p>
    <w:p w14:paraId="47CC8F91">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bookmarkStart w:id="7" w:name="_Toc30432"/>
      <w:r>
        <w:rPr>
          <w:rFonts w:hint="eastAsia" w:ascii="仿宋" w:hAnsi="仿宋" w:eastAsia="仿宋" w:cs="仿宋"/>
          <w:bCs/>
          <w:snapToGrid w:val="0"/>
          <w:color w:val="auto"/>
          <w:kern w:val="0"/>
          <w:sz w:val="24"/>
          <w:szCs w:val="22"/>
          <w:highlight w:val="none"/>
          <w:lang w:eastAsia="zh-CN"/>
        </w:rPr>
        <w:t>①支付担保的金额：（大写）</w:t>
      </w:r>
      <w:r>
        <w:rPr>
          <w:rFonts w:hint="eastAsia" w:ascii="仿宋" w:hAnsi="仿宋" w:eastAsia="仿宋" w:cs="仿宋"/>
          <w:bCs/>
          <w:snapToGrid w:val="0"/>
          <w:color w:val="auto"/>
          <w:kern w:val="0"/>
          <w:sz w:val="24"/>
          <w:szCs w:val="22"/>
          <w:highlight w:val="none"/>
          <w:u w:val="none"/>
          <w:lang w:eastAsia="zh-CN"/>
        </w:rPr>
        <w:t>/</w:t>
      </w:r>
      <w:r>
        <w:rPr>
          <w:rFonts w:hint="eastAsia" w:ascii="仿宋" w:hAnsi="仿宋" w:eastAsia="仿宋" w:cs="仿宋"/>
          <w:bCs/>
          <w:snapToGrid w:val="0"/>
          <w:color w:val="auto"/>
          <w:kern w:val="0"/>
          <w:sz w:val="24"/>
          <w:szCs w:val="22"/>
          <w:highlight w:val="none"/>
          <w:lang w:eastAsia="zh-CN"/>
        </w:rPr>
        <w:t>元（小写</w:t>
      </w:r>
      <w:r>
        <w:rPr>
          <w:rFonts w:hint="eastAsia" w:ascii="仿宋" w:hAnsi="仿宋" w:eastAsia="仿宋" w:cs="仿宋"/>
          <w:bCs/>
          <w:snapToGrid w:val="0"/>
          <w:color w:val="auto"/>
          <w:kern w:val="0"/>
          <w:sz w:val="24"/>
          <w:szCs w:val="22"/>
          <w:highlight w:val="none"/>
          <w:u w:val="none"/>
          <w:lang w:eastAsia="zh-CN"/>
        </w:rPr>
        <w:t>/</w:t>
      </w:r>
      <w:r>
        <w:rPr>
          <w:rFonts w:hint="eastAsia" w:ascii="仿宋" w:hAnsi="仿宋" w:eastAsia="仿宋" w:cs="仿宋"/>
          <w:bCs/>
          <w:snapToGrid w:val="0"/>
          <w:color w:val="auto"/>
          <w:kern w:val="0"/>
          <w:sz w:val="24"/>
          <w:szCs w:val="22"/>
          <w:highlight w:val="none"/>
          <w:lang w:eastAsia="zh-CN"/>
        </w:rPr>
        <w:t>元）</w:t>
      </w:r>
      <w:bookmarkEnd w:id="7"/>
    </w:p>
    <w:p w14:paraId="21E9349A">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②提供支付担保的时间：</w:t>
      </w:r>
    </w:p>
    <w:p w14:paraId="0414BAB3">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□签订本合同时</w:t>
      </w:r>
    </w:p>
    <w:p w14:paraId="67B9E500">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□另作约定：</w:t>
      </w:r>
      <w:r>
        <w:rPr>
          <w:rFonts w:hint="eastAsia" w:ascii="仿宋" w:hAnsi="仿宋" w:eastAsia="仿宋" w:cs="仿宋"/>
          <w:bCs/>
          <w:snapToGrid w:val="0"/>
          <w:color w:val="auto"/>
          <w:kern w:val="0"/>
          <w:sz w:val="24"/>
          <w:szCs w:val="22"/>
          <w:highlight w:val="none"/>
          <w:u w:val="none"/>
          <w:lang w:eastAsia="zh-CN"/>
        </w:rPr>
        <w:t>发包人不提供支付担保。</w:t>
      </w:r>
    </w:p>
    <w:p w14:paraId="082E60B5">
      <w:pPr>
        <w:widowControl/>
        <w:numPr>
          <w:ilvl w:val="0"/>
          <w:numId w:val="0"/>
        </w:numPr>
        <w:shd w:val="clear" w:color="auto" w:fill="FFFFFF"/>
        <w:spacing w:line="360" w:lineRule="auto"/>
        <w:ind w:firstLine="480"/>
        <w:rPr>
          <w:rFonts w:hint="eastAsia" w:ascii="仿宋" w:hAnsi="仿宋" w:eastAsia="仿宋" w:cs="仿宋"/>
          <w:bCs/>
          <w:snapToGrid w:val="0"/>
          <w:color w:val="auto"/>
          <w:kern w:val="0"/>
          <w:sz w:val="24"/>
          <w:szCs w:val="22"/>
          <w:highlight w:val="none"/>
          <w:lang w:eastAsia="zh-CN"/>
        </w:rPr>
      </w:pPr>
      <w:bookmarkStart w:id="8" w:name="_Toc22170"/>
      <w:r>
        <w:rPr>
          <w:rFonts w:hint="eastAsia" w:ascii="仿宋" w:hAnsi="仿宋" w:eastAsia="仿宋" w:cs="仿宋"/>
          <w:bCs/>
          <w:snapToGrid w:val="0"/>
          <w:color w:val="auto"/>
          <w:kern w:val="0"/>
          <w:sz w:val="24"/>
          <w:szCs w:val="22"/>
          <w:highlight w:val="none"/>
          <w:lang w:eastAsia="zh-CN"/>
        </w:rPr>
        <w:t>③支付担保的形式</w:t>
      </w:r>
      <w:bookmarkEnd w:id="8"/>
    </w:p>
    <w:p w14:paraId="2DD56910">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□出具支付保函的担保人：</w:t>
      </w:r>
    </w:p>
    <w:p w14:paraId="4D325063">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□出具支付担保的担保人：</w:t>
      </w:r>
    </w:p>
    <w:p w14:paraId="4CD72163">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□出具支付保证保险的担保人：</w:t>
      </w:r>
    </w:p>
    <w:p w14:paraId="724E268B">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□其他：</w:t>
      </w:r>
    </w:p>
    <w:p w14:paraId="513C62A3">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.4</w:t>
      </w:r>
      <w:r>
        <w:rPr>
          <w:rFonts w:hint="eastAsia" w:ascii="仿宋" w:hAnsi="仿宋" w:eastAsia="仿宋" w:cs="仿宋"/>
          <w:bCs/>
          <w:snapToGrid w:val="0"/>
          <w:color w:val="auto"/>
          <w:kern w:val="0"/>
          <w:sz w:val="24"/>
          <w:szCs w:val="22"/>
          <w:highlight w:val="none"/>
          <w:lang w:eastAsia="zh-CN"/>
        </w:rPr>
        <w:t>约定担保事项</w:t>
      </w:r>
    </w:p>
    <w:p w14:paraId="66B92ED4">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□担保内容、方式和责任等事项的约定：</w:t>
      </w:r>
    </w:p>
    <w:p w14:paraId="6A7D2BDB">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sym w:font="Wingdings 2" w:char="0052"/>
      </w:r>
      <w:r>
        <w:rPr>
          <w:rFonts w:hint="eastAsia" w:ascii="仿宋" w:hAnsi="仿宋" w:eastAsia="仿宋" w:cs="仿宋"/>
          <w:bCs/>
          <w:snapToGrid w:val="0"/>
          <w:color w:val="auto"/>
          <w:kern w:val="0"/>
          <w:sz w:val="24"/>
          <w:szCs w:val="22"/>
          <w:highlight w:val="none"/>
          <w:u w:val="none"/>
          <w:lang w:eastAsia="zh-CN"/>
        </w:rPr>
        <w:t>双方协商一致，增加</w:t>
      </w:r>
      <w:r>
        <w:rPr>
          <w:rFonts w:hint="eastAsia" w:ascii="仿宋" w:hAnsi="仿宋" w:eastAsia="仿宋" w:cs="仿宋"/>
          <w:bCs/>
          <w:snapToGrid w:val="0"/>
          <w:color w:val="auto"/>
          <w:kern w:val="0"/>
          <w:sz w:val="24"/>
          <w:szCs w:val="22"/>
          <w:highlight w:val="none"/>
          <w:u w:val="none"/>
          <w:lang w:val="en-US" w:eastAsia="zh-CN"/>
        </w:rPr>
        <w:t>4.5</w:t>
      </w:r>
      <w:r>
        <w:rPr>
          <w:rFonts w:hint="eastAsia" w:ascii="仿宋" w:hAnsi="仿宋" w:eastAsia="仿宋" w:cs="仿宋"/>
          <w:bCs/>
          <w:snapToGrid w:val="0"/>
          <w:color w:val="auto"/>
          <w:kern w:val="0"/>
          <w:sz w:val="24"/>
          <w:szCs w:val="22"/>
          <w:highlight w:val="none"/>
          <w:u w:val="none"/>
          <w:lang w:eastAsia="zh-CN"/>
        </w:rPr>
        <w:t>-</w:t>
      </w:r>
      <w:r>
        <w:rPr>
          <w:rFonts w:hint="eastAsia" w:ascii="仿宋" w:hAnsi="仿宋" w:eastAsia="仿宋" w:cs="仿宋"/>
          <w:bCs/>
          <w:snapToGrid w:val="0"/>
          <w:color w:val="auto"/>
          <w:kern w:val="0"/>
          <w:sz w:val="24"/>
          <w:szCs w:val="22"/>
          <w:highlight w:val="none"/>
          <w:u w:val="none"/>
          <w:lang w:val="en-US" w:eastAsia="zh-CN"/>
        </w:rPr>
        <w:t>4.10</w:t>
      </w:r>
      <w:r>
        <w:rPr>
          <w:rFonts w:hint="eastAsia" w:ascii="仿宋" w:hAnsi="仿宋" w:eastAsia="仿宋" w:cs="仿宋"/>
          <w:bCs/>
          <w:snapToGrid w:val="0"/>
          <w:color w:val="auto"/>
          <w:kern w:val="0"/>
          <w:sz w:val="24"/>
          <w:szCs w:val="22"/>
          <w:highlight w:val="none"/>
          <w:u w:val="none"/>
          <w:lang w:eastAsia="zh-CN"/>
        </w:rPr>
        <w:t>款：</w:t>
      </w:r>
    </w:p>
    <w:p w14:paraId="6A87793D">
      <w:pPr>
        <w:widowControl/>
        <w:numPr>
          <w:ilvl w:val="0"/>
          <w:numId w:val="0"/>
        </w:numPr>
        <w:shd w:val="clear" w:color="auto" w:fill="FFFFFF"/>
        <w:autoSpaceDE/>
        <w:autoSpaceDN/>
        <w:spacing w:line="360" w:lineRule="auto"/>
        <w:ind w:firstLine="480" w:firstLineChars="0"/>
        <w:rPr>
          <w:rFonts w:hint="eastAsia" w:ascii="仿宋" w:hAnsi="仿宋" w:eastAsia="仿宋" w:cs="仿宋"/>
          <w:b w:val="0"/>
          <w:bCs/>
          <w:snapToGrid w:val="0"/>
          <w:color w:val="auto"/>
          <w:kern w:val="0"/>
          <w:sz w:val="24"/>
          <w:szCs w:val="22"/>
          <w:highlight w:val="none"/>
          <w:lang w:eastAsia="zh-CN"/>
        </w:rPr>
      </w:pPr>
      <w:r>
        <w:rPr>
          <w:rFonts w:hint="eastAsia" w:ascii="仿宋" w:hAnsi="仿宋" w:eastAsia="仿宋" w:cs="仿宋"/>
          <w:b w:val="0"/>
          <w:bCs/>
          <w:snapToGrid w:val="0"/>
          <w:color w:val="auto"/>
          <w:kern w:val="0"/>
          <w:sz w:val="24"/>
          <w:szCs w:val="22"/>
          <w:highlight w:val="none"/>
          <w:lang w:eastAsia="zh-CN"/>
        </w:rPr>
        <w:t>4</w:t>
      </w:r>
      <w:r>
        <w:rPr>
          <w:rFonts w:hint="eastAsia" w:ascii="仿宋" w:hAnsi="仿宋" w:eastAsia="仿宋" w:cs="仿宋"/>
          <w:b w:val="0"/>
          <w:bCs/>
          <w:snapToGrid w:val="0"/>
          <w:color w:val="auto"/>
          <w:kern w:val="0"/>
          <w:sz w:val="24"/>
          <w:szCs w:val="22"/>
          <w:highlight w:val="none"/>
          <w:lang w:val="en-US" w:eastAsia="zh-CN"/>
        </w:rPr>
        <w:t>.5</w:t>
      </w:r>
      <w:r>
        <w:rPr>
          <w:rFonts w:hint="eastAsia" w:ascii="仿宋" w:hAnsi="仿宋" w:eastAsia="仿宋" w:cs="仿宋"/>
          <w:b w:val="0"/>
          <w:bCs/>
          <w:snapToGrid w:val="0"/>
          <w:color w:val="auto"/>
          <w:kern w:val="0"/>
          <w:sz w:val="24"/>
          <w:szCs w:val="22"/>
          <w:highlight w:val="none"/>
          <w:lang w:eastAsia="zh-CN"/>
        </w:rPr>
        <w:t>承包人提交的履约担保是对本合同约定的承包人的全部义务（包括但不限于承包人违约后应支付的违约金和赔偿金）的担保，承包人的任何一次不履行或不完全履行合同义务的行为，发包人均有权向担保机构提出索赔。</w:t>
      </w:r>
    </w:p>
    <w:p w14:paraId="590DE4B6">
      <w:pPr>
        <w:widowControl/>
        <w:numPr>
          <w:ilvl w:val="0"/>
          <w:numId w:val="0"/>
        </w:numPr>
        <w:shd w:val="clear" w:color="auto" w:fill="FFFFFF"/>
        <w:autoSpaceDE/>
        <w:autoSpaceDN/>
        <w:spacing w:line="360" w:lineRule="auto"/>
        <w:ind w:firstLine="480" w:firstLineChars="0"/>
        <w:rPr>
          <w:rFonts w:hint="eastAsia" w:ascii="仿宋" w:hAnsi="仿宋" w:eastAsia="仿宋" w:cs="仿宋"/>
          <w:b w:val="0"/>
          <w:bCs/>
          <w:snapToGrid w:val="0"/>
          <w:color w:val="auto"/>
          <w:kern w:val="0"/>
          <w:sz w:val="24"/>
          <w:szCs w:val="22"/>
          <w:highlight w:val="none"/>
          <w:lang w:eastAsia="zh-CN"/>
        </w:rPr>
      </w:pPr>
      <w:r>
        <w:rPr>
          <w:rFonts w:hint="eastAsia" w:ascii="仿宋" w:hAnsi="仿宋" w:eastAsia="仿宋" w:cs="仿宋"/>
          <w:b w:val="0"/>
          <w:bCs/>
          <w:snapToGrid w:val="0"/>
          <w:color w:val="auto"/>
          <w:kern w:val="0"/>
          <w:sz w:val="24"/>
          <w:szCs w:val="22"/>
          <w:highlight w:val="none"/>
          <w:lang w:eastAsia="zh-CN"/>
        </w:rPr>
        <w:t>4</w:t>
      </w:r>
      <w:r>
        <w:rPr>
          <w:rFonts w:hint="eastAsia" w:ascii="仿宋" w:hAnsi="仿宋" w:eastAsia="仿宋" w:cs="仿宋"/>
          <w:b w:val="0"/>
          <w:bCs/>
          <w:snapToGrid w:val="0"/>
          <w:color w:val="auto"/>
          <w:kern w:val="0"/>
          <w:sz w:val="24"/>
          <w:szCs w:val="22"/>
          <w:highlight w:val="none"/>
          <w:lang w:val="en-US" w:eastAsia="zh-CN"/>
        </w:rPr>
        <w:t>.6</w:t>
      </w:r>
      <w:r>
        <w:rPr>
          <w:rFonts w:hint="eastAsia" w:ascii="仿宋" w:hAnsi="仿宋" w:eastAsia="仿宋" w:cs="仿宋"/>
          <w:b w:val="0"/>
          <w:bCs/>
          <w:snapToGrid w:val="0"/>
          <w:color w:val="auto"/>
          <w:kern w:val="0"/>
          <w:sz w:val="24"/>
          <w:szCs w:val="22"/>
          <w:highlight w:val="none"/>
          <w:lang w:eastAsia="zh-CN"/>
        </w:rPr>
        <w:t>当出现下列情形时，发包人有权启用履约担保：</w:t>
      </w:r>
    </w:p>
    <w:p w14:paraId="2C39497C">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（1）因承包人原因导致本项目进度比约定的节点工期滞后30天以上或因承包人原因导致本合同被解除的；</w:t>
      </w:r>
    </w:p>
    <w:p w14:paraId="2DBB4F1A">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（2）因承包人原因，导致本项目或发包人受到影响或损失的；</w:t>
      </w:r>
    </w:p>
    <w:p w14:paraId="2404B274">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（3）因承包人违约计扣的违约金或赔偿金累计超过当期应付进度款总额的；</w:t>
      </w:r>
    </w:p>
    <w:p w14:paraId="71CE7406">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（4）发包人认为或本合同约定的其他部分或全部需要启动履约担保的情形；</w:t>
      </w:r>
    </w:p>
    <w:p w14:paraId="2DD6846C">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（5）承包人在履行合同过程中，由于以上且不仅限于以上的违约行为，发包人进行违约处罚，承包人及承包人的履约担保方须无条件执行。</w:t>
      </w:r>
    </w:p>
    <w:p w14:paraId="404FCEE9">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.7</w:t>
      </w:r>
      <w:r>
        <w:rPr>
          <w:rFonts w:hint="eastAsia" w:ascii="仿宋" w:hAnsi="仿宋" w:eastAsia="仿宋" w:cs="仿宋"/>
          <w:bCs/>
          <w:snapToGrid w:val="0"/>
          <w:color w:val="auto"/>
          <w:kern w:val="0"/>
          <w:sz w:val="24"/>
          <w:szCs w:val="22"/>
          <w:highlight w:val="none"/>
          <w:lang w:eastAsia="zh-CN"/>
        </w:rPr>
        <w:t>承包人不履行或不完全履行合同义务的行为导致发包人依据履约担保向担保机构索赔履约担保金额的一部分或者全部的，承包人必须在发包人规定的时间内补充提交履约担保，使得本合同履行期间有效的履约担保金额等于承包人第一次提交的履约担保金额。如果承包人不按发包人的要求及时补充提交履约担保，则发包人有权单方面部分解除或解除本合同。</w:t>
      </w:r>
    </w:p>
    <w:p w14:paraId="254DC191">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.8</w:t>
      </w:r>
      <w:r>
        <w:rPr>
          <w:rFonts w:hint="eastAsia" w:ascii="仿宋" w:hAnsi="仿宋" w:eastAsia="仿宋" w:cs="仿宋"/>
          <w:bCs/>
          <w:snapToGrid w:val="0"/>
          <w:color w:val="auto"/>
          <w:kern w:val="0"/>
          <w:sz w:val="24"/>
          <w:szCs w:val="22"/>
          <w:highlight w:val="none"/>
          <w:lang w:eastAsia="zh-CN"/>
        </w:rPr>
        <w:t>履约担保的保证范围为承包人按本合同的约定应履行的全部义务，履约保证期间从本合同生效之日起至履约担保退回之日。</w:t>
      </w:r>
    </w:p>
    <w:p w14:paraId="7B227EB3">
      <w:pPr>
        <w:widowControl/>
        <w:numPr>
          <w:ilvl w:val="0"/>
          <w:numId w:val="0"/>
        </w:numPr>
        <w:shd w:val="clear" w:color="auto" w:fill="FFFFFF"/>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.9</w:t>
      </w:r>
      <w:r>
        <w:rPr>
          <w:rFonts w:hint="eastAsia" w:ascii="仿宋" w:hAnsi="仿宋" w:eastAsia="仿宋" w:cs="仿宋"/>
          <w:bCs/>
          <w:snapToGrid w:val="0"/>
          <w:color w:val="auto"/>
          <w:kern w:val="0"/>
          <w:sz w:val="24"/>
          <w:szCs w:val="22"/>
          <w:highlight w:val="none"/>
          <w:lang w:eastAsia="zh-CN"/>
        </w:rPr>
        <w:t>在承包人按照合同要求实施和完成本合同工程之前，履约担保一直有效。如果履约担保因有效期届满，致使履约担保自动失效，而承包人尚未按合同要求实施和完成本合同工程的，承包人应在保函有效期满前3个月无条件办理担保续保，并向发包人提交同样格式且更新日期后的有效担保。否则发包人有权从应付价款中扣除相应金额（中标价的10%），作为履约担保。</w:t>
      </w:r>
    </w:p>
    <w:p w14:paraId="769FE63A">
      <w:pPr>
        <w:widowControl/>
        <w:numPr>
          <w:ilvl w:val="0"/>
          <w:numId w:val="0"/>
        </w:numPr>
        <w:shd w:val="clear" w:color="auto" w:fill="FFFFFF"/>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.10</w:t>
      </w:r>
      <w:r>
        <w:rPr>
          <w:rFonts w:hint="eastAsia" w:ascii="仿宋" w:hAnsi="仿宋" w:eastAsia="仿宋" w:cs="仿宋"/>
          <w:bCs/>
          <w:snapToGrid w:val="0"/>
          <w:color w:val="auto"/>
          <w:kern w:val="0"/>
          <w:sz w:val="24"/>
          <w:szCs w:val="22"/>
          <w:highlight w:val="none"/>
          <w:lang w:eastAsia="zh-CN"/>
        </w:rPr>
        <w:t>承包人如约履行合同义务和责任的，在竣工验收合格且承包人提交完整符合要求的竣工档案和完整的结算资料后，承包人向发包人提出履约担保退还申请，发包人在收到承包人退保申请后的14天内无息退回履约担保。如承包人违反本合同约定的任何义务，发包人有权根据履约担保申请获得承包人应向发包人支付的违约金或损失赔偿额，如有不足的，承包人应另行承担赔偿责任。</w:t>
      </w:r>
    </w:p>
    <w:p w14:paraId="37CC5FE8">
      <w:pPr>
        <w:numPr>
          <w:ilvl w:val="0"/>
          <w:numId w:val="3"/>
        </w:numPr>
        <w:tabs>
          <w:tab w:val="left" w:pos="5475"/>
        </w:tabs>
        <w:spacing w:line="360" w:lineRule="auto"/>
        <w:ind w:firstLine="482" w:firstLineChars="200"/>
        <w:jc w:val="left"/>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合同工期</w:t>
      </w:r>
    </w:p>
    <w:p w14:paraId="2D7DDF6F">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lang w:val="en-US" w:eastAsia="zh-CN"/>
        </w:rPr>
        <w:t>5</w:t>
      </w:r>
      <w:r>
        <w:rPr>
          <w:rFonts w:hint="eastAsia" w:ascii="仿宋" w:hAnsi="仿宋" w:eastAsia="仿宋" w:cs="仿宋"/>
          <w:bCs/>
          <w:snapToGrid w:val="0"/>
          <w:color w:val="auto"/>
          <w:kern w:val="0"/>
          <w:sz w:val="24"/>
          <w:szCs w:val="22"/>
          <w:highlight w:val="none"/>
        </w:rPr>
        <w:t>.1工程合同工期总日历天数：总合同工期</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60</w:t>
      </w:r>
      <w:r>
        <w:rPr>
          <w:rFonts w:hint="eastAsia" w:ascii="仿宋" w:hAnsi="仿宋" w:eastAsia="仿宋" w:cs="仿宋"/>
          <w:bCs/>
          <w:snapToGrid w:val="0"/>
          <w:color w:val="auto"/>
          <w:kern w:val="0"/>
          <w:sz w:val="24"/>
          <w:szCs w:val="22"/>
          <w:highlight w:val="none"/>
        </w:rPr>
        <w:t>日历天，</w:t>
      </w:r>
    </w:p>
    <w:p w14:paraId="76E2F4F0">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开工日期：</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年</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月</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日（以监理签发的开工通知为开工日期）</w:t>
      </w:r>
    </w:p>
    <w:p w14:paraId="2D413F57">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竣工日期：</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年</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月</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rPr>
        <w:t>日（待定）</w:t>
      </w:r>
    </w:p>
    <w:p w14:paraId="17FA9BD1">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lang w:val="en-US" w:eastAsia="zh-CN"/>
        </w:rPr>
        <w:t>5</w:t>
      </w:r>
      <w:r>
        <w:rPr>
          <w:rFonts w:hint="eastAsia" w:ascii="仿宋" w:hAnsi="仿宋" w:eastAsia="仿宋" w:cs="仿宋"/>
          <w:bCs/>
          <w:snapToGrid w:val="0"/>
          <w:color w:val="auto"/>
          <w:kern w:val="0"/>
          <w:sz w:val="24"/>
          <w:szCs w:val="22"/>
          <w:highlight w:val="none"/>
        </w:rPr>
        <w:t>.2主要节点工期：</w:t>
      </w:r>
    </w:p>
    <w:p w14:paraId="179B8DF8">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设计节点工期：初步设计评审后</w:t>
      </w:r>
      <w:r>
        <w:rPr>
          <w:rFonts w:hint="eastAsia" w:ascii="仿宋" w:hAnsi="仿宋" w:eastAsia="仿宋" w:cs="仿宋"/>
          <w:bCs/>
          <w:snapToGrid w:val="0"/>
          <w:color w:val="auto"/>
          <w:kern w:val="0"/>
          <w:sz w:val="24"/>
          <w:szCs w:val="22"/>
          <w:highlight w:val="none"/>
          <w:u w:val="single"/>
        </w:rPr>
        <w:t xml:space="preserve">  </w:t>
      </w:r>
      <w:r>
        <w:rPr>
          <w:rFonts w:ascii="仿宋" w:hAnsi="仿宋" w:eastAsia="仿宋" w:cs="仿宋"/>
          <w:bCs/>
          <w:snapToGrid w:val="0"/>
          <w:color w:val="auto"/>
          <w:kern w:val="0"/>
          <w:sz w:val="24"/>
          <w:szCs w:val="22"/>
          <w:highlight w:val="none"/>
          <w:u w:val="single"/>
        </w:rPr>
        <w:t>/</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日历天内提交施工图；</w:t>
      </w:r>
    </w:p>
    <w:p w14:paraId="5129934D">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施工节点工期：开工令发出后</w:t>
      </w:r>
      <w:r>
        <w:rPr>
          <w:rFonts w:hint="eastAsia" w:ascii="仿宋" w:hAnsi="仿宋" w:eastAsia="仿宋" w:cs="仿宋"/>
          <w:bCs/>
          <w:snapToGrid w:val="0"/>
          <w:color w:val="auto"/>
          <w:kern w:val="0"/>
          <w:sz w:val="24"/>
          <w:szCs w:val="22"/>
          <w:highlight w:val="none"/>
          <w:u w:val="single"/>
          <w:lang w:val="en-US" w:eastAsia="zh-CN"/>
        </w:rPr>
        <w:t>60</w:t>
      </w:r>
      <w:r>
        <w:rPr>
          <w:rFonts w:hint="eastAsia" w:ascii="仿宋" w:hAnsi="仿宋" w:eastAsia="仿宋" w:cs="仿宋"/>
          <w:bCs/>
          <w:snapToGrid w:val="0"/>
          <w:color w:val="auto"/>
          <w:kern w:val="0"/>
          <w:sz w:val="24"/>
          <w:szCs w:val="22"/>
          <w:highlight w:val="none"/>
        </w:rPr>
        <w:t>日历天内完成；</w:t>
      </w:r>
    </w:p>
    <w:p w14:paraId="64DEFF7F">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发包人根据工程实际情况，有权对本工程中的关键节点工期进行适当调整，承包人必须在符合施工及安全的前提下采取一切有效措施保证关键节点工期的调整。</w:t>
      </w:r>
    </w:p>
    <w:p w14:paraId="60CC5F19">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承包人必须采取一切有效措施保证竣工日期，不得延误。如因承包人原因未能如期按合同工期完成设计和施工任务，或承包人施工进度滞后、不符合本合同约定的，承包人应承担相应的违约责任。</w:t>
      </w:r>
    </w:p>
    <w:p w14:paraId="38B6B614">
      <w:pPr>
        <w:numPr>
          <w:ilvl w:val="0"/>
          <w:numId w:val="3"/>
        </w:numPr>
        <w:tabs>
          <w:tab w:val="left" w:pos="5475"/>
        </w:tabs>
        <w:adjustRightInd/>
        <w:snapToGrid/>
        <w:spacing w:line="360" w:lineRule="auto"/>
        <w:ind w:right="0" w:firstLine="482" w:firstLineChars="200"/>
        <w:jc w:val="left"/>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质量标准和目标</w:t>
      </w:r>
    </w:p>
    <w:p w14:paraId="4FAC330C">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6</w:t>
      </w:r>
      <w:r>
        <w:rPr>
          <w:rFonts w:hint="eastAsia" w:ascii="仿宋" w:hAnsi="仿宋" w:eastAsia="仿宋" w:cs="仿宋"/>
          <w:bCs/>
          <w:snapToGrid w:val="0"/>
          <w:color w:val="auto"/>
          <w:kern w:val="0"/>
          <w:sz w:val="24"/>
          <w:highlight w:val="none"/>
        </w:rPr>
        <w:t>.1设计质量标准：符合国家建设工程设计的相关技术规范。</w:t>
      </w:r>
    </w:p>
    <w:p w14:paraId="6A0C583D">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6</w:t>
      </w:r>
      <w:r>
        <w:rPr>
          <w:rFonts w:hint="eastAsia" w:ascii="仿宋" w:hAnsi="仿宋" w:eastAsia="仿宋" w:cs="仿宋"/>
          <w:bCs/>
          <w:snapToGrid w:val="0"/>
          <w:color w:val="auto"/>
          <w:kern w:val="0"/>
          <w:sz w:val="24"/>
          <w:highlight w:val="none"/>
        </w:rPr>
        <w:t>.2工程质量标准：</w:t>
      </w:r>
    </w:p>
    <w:p w14:paraId="406D9DE3">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确保符合《建筑工程施工质量验收统一标准》《建筑装饰装修工程质量验收规范》及相应配套的各专业验收规范，符合国家、行业相关规范规定合格以上标准。</w:t>
      </w:r>
    </w:p>
    <w:p w14:paraId="300D6470">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6</w:t>
      </w:r>
      <w:r>
        <w:rPr>
          <w:rFonts w:hint="eastAsia" w:ascii="仿宋" w:hAnsi="仿宋" w:eastAsia="仿宋" w:cs="仿宋"/>
          <w:bCs/>
          <w:snapToGrid w:val="0"/>
          <w:color w:val="auto"/>
          <w:kern w:val="0"/>
          <w:sz w:val="24"/>
          <w:highlight w:val="none"/>
        </w:rPr>
        <w:t>.3质量目标：</w:t>
      </w:r>
      <w:r>
        <w:rPr>
          <w:rFonts w:hint="eastAsia" w:ascii="仿宋" w:hAnsi="仿宋" w:eastAsia="仿宋" w:cs="仿宋"/>
          <w:bCs/>
          <w:snapToGrid w:val="0"/>
          <w:color w:val="auto"/>
          <w:kern w:val="0"/>
          <w:sz w:val="24"/>
          <w:highlight w:val="none"/>
          <w:u w:val="single"/>
        </w:rPr>
        <w:t>合格</w:t>
      </w:r>
      <w:r>
        <w:rPr>
          <w:rFonts w:hint="eastAsia" w:ascii="仿宋" w:hAnsi="仿宋" w:eastAsia="仿宋" w:cs="仿宋"/>
          <w:bCs/>
          <w:snapToGrid w:val="0"/>
          <w:color w:val="auto"/>
          <w:kern w:val="0"/>
          <w:sz w:val="24"/>
          <w:highlight w:val="none"/>
        </w:rPr>
        <w:t>。</w:t>
      </w:r>
    </w:p>
    <w:p w14:paraId="446A588E">
      <w:pPr>
        <w:numPr>
          <w:ilvl w:val="0"/>
          <w:numId w:val="3"/>
        </w:numPr>
        <w:tabs>
          <w:tab w:val="left" w:pos="5475"/>
        </w:tabs>
        <w:adjustRightInd/>
        <w:snapToGrid/>
        <w:spacing w:line="360" w:lineRule="auto"/>
        <w:ind w:right="0" w:firstLine="482" w:firstLineChars="200"/>
        <w:jc w:val="left"/>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职业健康安全管理目标和环境管理目标</w:t>
      </w:r>
    </w:p>
    <w:p w14:paraId="6D81AE1C">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7</w:t>
      </w:r>
      <w:r>
        <w:rPr>
          <w:rFonts w:hint="eastAsia" w:ascii="仿宋" w:hAnsi="仿宋" w:eastAsia="仿宋" w:cs="仿宋"/>
          <w:bCs/>
          <w:snapToGrid w:val="0"/>
          <w:color w:val="auto"/>
          <w:kern w:val="0"/>
          <w:sz w:val="24"/>
          <w:highlight w:val="none"/>
        </w:rPr>
        <w:t>.1职业健康安全管理目标：</w:t>
      </w:r>
    </w:p>
    <w:p w14:paraId="3DAFC525">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杜绝发生一般事故等级及以上的伤亡事故且工伤责任事故死亡人数为零。</w:t>
      </w:r>
    </w:p>
    <w:p w14:paraId="51D416DE">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7</w:t>
      </w:r>
      <w:r>
        <w:rPr>
          <w:rFonts w:hint="eastAsia" w:ascii="仿宋" w:hAnsi="仿宋" w:eastAsia="仿宋" w:cs="仿宋"/>
          <w:bCs/>
          <w:snapToGrid w:val="0"/>
          <w:color w:val="auto"/>
          <w:kern w:val="0"/>
          <w:sz w:val="24"/>
          <w:highlight w:val="none"/>
        </w:rPr>
        <w:t>.2环境管理目标：严格执行《广州市建设工程现场文明施工管理办法》（2012年1月5日广州市人民政府令第62号公布）《广州市城乡建设委员会关于印发广州市加强建筑工地环保管理工作方案的通知》</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穗建质〔2011〕420号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 xml:space="preserve"> 《广州市提升建设工程安全文明施工管理水平的工作指引》（穗建质〔2017〕815号）《危险性较大的分部分项工程安全管理规定》</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中华人民共和国住房和城乡建设部令第37号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《广州市住房和城乡建设局关于印发加强建设工程安全生产管理落实建设各方主体责任的暂行规定的通知》（穗建规字〔2020〕34号）《广州市建设工程绿色施工围蔽指导图集（V2.0版）》（穗建质〔2020〕1号）和</w:t>
      </w:r>
      <w:r>
        <w:rPr>
          <w:rFonts w:hint="eastAsia" w:ascii="仿宋" w:hAnsi="仿宋" w:eastAsia="仿宋" w:cs="仿宋"/>
          <w:bCs/>
          <w:snapToGrid w:val="0"/>
          <w:color w:val="auto"/>
          <w:kern w:val="0"/>
          <w:sz w:val="24"/>
          <w:szCs w:val="24"/>
          <w:highlight w:val="none"/>
        </w:rPr>
        <w:t>《广州市住房和城乡建设委员会关于印发建设工程扬尘防治“6个100%”管理标准细化措施的通知》（</w:t>
      </w:r>
      <w:r>
        <w:rPr>
          <w:rFonts w:hint="eastAsia" w:ascii="仿宋" w:hAnsi="仿宋" w:eastAsia="仿宋" w:cs="仿宋"/>
          <w:bCs/>
          <w:snapToGrid w:val="0"/>
          <w:color w:val="auto"/>
          <w:kern w:val="0"/>
          <w:sz w:val="24"/>
          <w:highlight w:val="none"/>
        </w:rPr>
        <w:t>穗建质〔2018〕1394号</w:t>
      </w:r>
      <w:r>
        <w:rPr>
          <w:rFonts w:hint="eastAsia" w:ascii="仿宋" w:hAnsi="仿宋" w:eastAsia="仿宋" w:cs="仿宋"/>
          <w:bCs/>
          <w:snapToGrid w:val="0"/>
          <w:color w:val="auto"/>
          <w:kern w:val="0"/>
          <w:sz w:val="24"/>
          <w:szCs w:val="24"/>
          <w:highlight w:val="none"/>
        </w:rPr>
        <w:t>）</w:t>
      </w:r>
      <w:r>
        <w:rPr>
          <w:rFonts w:hint="eastAsia" w:ascii="仿宋" w:hAnsi="仿宋" w:eastAsia="仿宋" w:cs="仿宋"/>
          <w:bCs/>
          <w:snapToGrid w:val="0"/>
          <w:color w:val="auto"/>
          <w:kern w:val="0"/>
          <w:sz w:val="24"/>
          <w:highlight w:val="none"/>
        </w:rPr>
        <w:t>等国家、省、市现行标准、规定和文件要求。</w:t>
      </w:r>
    </w:p>
    <w:p w14:paraId="21FE7EA0">
      <w:pPr>
        <w:numPr>
          <w:ilvl w:val="0"/>
          <w:numId w:val="3"/>
        </w:numPr>
        <w:tabs>
          <w:tab w:val="left" w:pos="5475"/>
        </w:tabs>
        <w:adjustRightInd/>
        <w:snapToGrid/>
        <w:spacing w:line="360" w:lineRule="auto"/>
        <w:ind w:right="0" w:firstLine="482" w:firstLineChars="200"/>
        <w:jc w:val="lef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组成合同的文件</w:t>
      </w:r>
    </w:p>
    <w:p w14:paraId="7765BFBD">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下列文件应被认为是组成本合同的一部分，并互为补充和解释，如各文件存在冲突之处，以如下排列次序在前者优先适用：</w:t>
      </w:r>
    </w:p>
    <w:p w14:paraId="601C14AF">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（1）本合同履行期间发包人与承包人双方签订的补充合同（协议）或修正文件；</w:t>
      </w:r>
    </w:p>
    <w:p w14:paraId="2732B45E">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（2）合同协议书；</w:t>
      </w:r>
    </w:p>
    <w:p w14:paraId="2EDEC9DB">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（3）中标通知书；</w:t>
      </w:r>
    </w:p>
    <w:p w14:paraId="393AD5E2">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（4）合同条款；</w:t>
      </w:r>
    </w:p>
    <w:p w14:paraId="62ADCAFC">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（5）合同附件[属本条第（1）项的除外]；</w:t>
      </w:r>
    </w:p>
    <w:p w14:paraId="3642C33E">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highlight w:val="none"/>
        </w:rPr>
        <w:t>（6）招标文件[含招标文件补充文件、澄清文件、答疑文件、招标图等</w:t>
      </w:r>
      <w:r>
        <w:rPr>
          <w:rFonts w:hint="eastAsia" w:ascii="仿宋" w:hAnsi="仿宋" w:eastAsia="仿宋" w:cs="仿宋"/>
          <w:bCs/>
          <w:snapToGrid w:val="0"/>
          <w:color w:val="auto"/>
          <w:kern w:val="0"/>
          <w:sz w:val="24"/>
          <w:szCs w:val="22"/>
          <w:highlight w:val="none"/>
        </w:rPr>
        <w:t>]；</w:t>
      </w:r>
    </w:p>
    <w:p w14:paraId="668D11BD">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（7）承包人投标文件及其附件[含投标文件澄清等，属本条第（6）项内容的除外]；</w:t>
      </w:r>
    </w:p>
    <w:p w14:paraId="5D386E97">
      <w:pPr>
        <w:spacing w:after="156" w:afterLines="5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bCs/>
          <w:snapToGrid w:val="0"/>
          <w:color w:val="auto"/>
          <w:kern w:val="0"/>
          <w:sz w:val="24"/>
          <w:szCs w:val="22"/>
          <w:highlight w:val="none"/>
        </w:rPr>
        <w:t>（8）</w:t>
      </w:r>
      <w:r>
        <w:rPr>
          <w:rFonts w:hint="eastAsia" w:ascii="仿宋" w:hAnsi="仿宋" w:eastAsia="仿宋" w:cs="仿宋"/>
          <w:color w:val="auto"/>
          <w:sz w:val="24"/>
          <w:highlight w:val="none"/>
        </w:rPr>
        <w:t>经发包人确认的工程量清单；</w:t>
      </w:r>
    </w:p>
    <w:p w14:paraId="5ACDBBDB">
      <w:pP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（9）</w:t>
      </w:r>
      <w:r>
        <w:rPr>
          <w:rFonts w:hint="eastAsia" w:ascii="仿宋" w:hAnsi="仿宋" w:eastAsia="仿宋" w:cs="仿宋"/>
          <w:color w:val="auto"/>
          <w:sz w:val="24"/>
          <w:highlight w:val="none"/>
        </w:rPr>
        <w:t>经发包人批准的设计文件、资料和图纸；</w:t>
      </w:r>
    </w:p>
    <w:p w14:paraId="6887B5DB">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szCs w:val="22"/>
          <w:highlight w:val="none"/>
        </w:rPr>
        <w:t>（10）国</w:t>
      </w:r>
      <w:r>
        <w:rPr>
          <w:rFonts w:hint="eastAsia" w:ascii="仿宋" w:hAnsi="仿宋" w:eastAsia="仿宋" w:cs="仿宋"/>
          <w:bCs/>
          <w:snapToGrid w:val="0"/>
          <w:color w:val="auto"/>
          <w:kern w:val="0"/>
          <w:sz w:val="24"/>
          <w:highlight w:val="none"/>
        </w:rPr>
        <w:t>家及广东省、广州市的标准、规范及有关技术文件；</w:t>
      </w:r>
    </w:p>
    <w:p w14:paraId="2D10958A">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szCs w:val="22"/>
          <w:highlight w:val="none"/>
        </w:rPr>
        <w:t>（11）</w:t>
      </w:r>
      <w:r>
        <w:rPr>
          <w:rFonts w:hint="eastAsia" w:ascii="仿宋" w:hAnsi="仿宋" w:eastAsia="仿宋" w:cs="仿宋"/>
          <w:bCs/>
          <w:snapToGrid w:val="0"/>
          <w:color w:val="auto"/>
          <w:kern w:val="0"/>
          <w:sz w:val="24"/>
          <w:highlight w:val="none"/>
        </w:rPr>
        <w:t>发包人针对本建设项目管理的各项制度、规定。</w:t>
      </w:r>
    </w:p>
    <w:p w14:paraId="603EA484">
      <w:pPr>
        <w:adjustRightInd w:val="0"/>
        <w:snapToGrid w:val="0"/>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（12）组成合同的其它文件。</w:t>
      </w:r>
    </w:p>
    <w:p w14:paraId="05E4072B">
      <w:pPr>
        <w:adjustRightInd w:val="0"/>
        <w:snapToGrid w:val="0"/>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上述合同组成部分中图纸与技术标准和要求之间有矛盾或者不一致的，以其中要求较严格的标准为准。</w:t>
      </w:r>
    </w:p>
    <w:p w14:paraId="251C5CA6">
      <w:pPr>
        <w:adjustRightInd w:val="0"/>
        <w:snapToGrid w:val="0"/>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还不服的，可按合同</w:t>
      </w:r>
      <w:r>
        <w:rPr>
          <w:rFonts w:hint="eastAsia" w:ascii="仿宋" w:hAnsi="仿宋" w:eastAsia="仿宋" w:cs="仿宋"/>
          <w:snapToGrid w:val="0"/>
          <w:color w:val="auto"/>
          <w:kern w:val="0"/>
          <w:sz w:val="24"/>
          <w:szCs w:val="22"/>
          <w:highlight w:val="none"/>
          <w:lang w:val="en-US" w:eastAsia="zh-CN"/>
        </w:rPr>
        <w:t>专用</w:t>
      </w:r>
      <w:r>
        <w:rPr>
          <w:rFonts w:hint="eastAsia" w:ascii="仿宋" w:hAnsi="仿宋" w:eastAsia="仿宋" w:cs="仿宋"/>
          <w:snapToGrid w:val="0"/>
          <w:color w:val="auto"/>
          <w:kern w:val="0"/>
          <w:sz w:val="24"/>
          <w:szCs w:val="22"/>
          <w:highlight w:val="none"/>
        </w:rPr>
        <w:t>条款第4</w:t>
      </w:r>
      <w:r>
        <w:rPr>
          <w:rFonts w:hint="eastAsia" w:ascii="仿宋" w:hAnsi="仿宋" w:eastAsia="仿宋" w:cs="仿宋"/>
          <w:snapToGrid w:val="0"/>
          <w:color w:val="auto"/>
          <w:kern w:val="0"/>
          <w:sz w:val="24"/>
          <w:szCs w:val="22"/>
          <w:highlight w:val="none"/>
          <w:lang w:val="en-US" w:eastAsia="zh-CN"/>
        </w:rPr>
        <w:t>2</w:t>
      </w:r>
      <w:r>
        <w:rPr>
          <w:rFonts w:hint="eastAsia" w:ascii="仿宋" w:hAnsi="仿宋" w:eastAsia="仿宋" w:cs="仿宋"/>
          <w:snapToGrid w:val="0"/>
          <w:color w:val="auto"/>
          <w:kern w:val="0"/>
          <w:sz w:val="24"/>
          <w:szCs w:val="22"/>
          <w:highlight w:val="none"/>
        </w:rPr>
        <w:t>条的约定处理，但在有关部门没有作出正式裁决之前，承包人必须无条件先行执行发包人的决定。</w:t>
      </w:r>
    </w:p>
    <w:p w14:paraId="65862EA8">
      <w:pPr>
        <w:adjustRightInd w:val="0"/>
        <w:snapToGrid w:val="0"/>
        <w:spacing w:line="360" w:lineRule="auto"/>
        <w:ind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szCs w:val="22"/>
          <w:highlight w:val="none"/>
          <w:lang w:val="en-US" w:eastAsia="zh-CN"/>
        </w:rPr>
        <w:t>9.</w:t>
      </w:r>
      <w:r>
        <w:rPr>
          <w:rFonts w:hint="eastAsia" w:ascii="仿宋" w:hAnsi="仿宋" w:eastAsia="仿宋" w:cs="仿宋"/>
          <w:snapToGrid w:val="0"/>
          <w:color w:val="auto"/>
          <w:kern w:val="0"/>
          <w:sz w:val="24"/>
          <w:szCs w:val="22"/>
          <w:highlight w:val="none"/>
        </w:rPr>
        <w:t>承包人应在收到中标通知书之日起5日内以书面形式向发包人提交其法定代表人、项目经理（项目</w:t>
      </w:r>
      <w:r>
        <w:rPr>
          <w:rFonts w:hint="eastAsia" w:ascii="仿宋" w:hAnsi="仿宋" w:eastAsia="仿宋" w:cs="仿宋"/>
          <w:bCs/>
          <w:snapToGrid w:val="0"/>
          <w:color w:val="auto"/>
          <w:kern w:val="0"/>
          <w:sz w:val="24"/>
          <w:highlight w:val="none"/>
        </w:rPr>
        <w:t>负责人）的姓名、身份证复印件、职务、职称、联系方式（包括办公电话、手机、传真号码）、通信地址等信息作为合同附件。</w:t>
      </w:r>
    </w:p>
    <w:p w14:paraId="7E3DC6C6">
      <w:pP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10.</w:t>
      </w:r>
      <w:r>
        <w:rPr>
          <w:rFonts w:hint="eastAsia" w:ascii="仿宋" w:hAnsi="仿宋" w:eastAsia="仿宋" w:cs="仿宋"/>
          <w:bCs/>
          <w:snapToGrid w:val="0"/>
          <w:color w:val="auto"/>
          <w:kern w:val="0"/>
          <w:sz w:val="24"/>
          <w:highlight w:val="none"/>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14:paraId="622F2809">
      <w:pP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11.</w:t>
      </w:r>
      <w:r>
        <w:rPr>
          <w:rFonts w:hint="eastAsia" w:ascii="仿宋" w:hAnsi="仿宋" w:eastAsia="仿宋" w:cs="仿宋"/>
          <w:bCs/>
          <w:snapToGrid w:val="0"/>
          <w:color w:val="auto"/>
          <w:kern w:val="0"/>
          <w:sz w:val="24"/>
          <w:highlight w:val="none"/>
        </w:rPr>
        <w:t>在本合同有效期内，承包人更换项目经理（项目负责人）的，除按合同条款的有关约定承担违约责任外，还应在更换后7日内将新项目经理（项目负责人）的姓名、职务、职称、联系电话、通信地址等信息提交给发包人。</w:t>
      </w:r>
    </w:p>
    <w:p w14:paraId="329C437A">
      <w:pP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12.</w:t>
      </w:r>
      <w:r>
        <w:rPr>
          <w:rFonts w:hint="eastAsia" w:ascii="仿宋" w:hAnsi="仿宋" w:eastAsia="仿宋" w:cs="仿宋"/>
          <w:bCs/>
          <w:snapToGrid w:val="0"/>
          <w:color w:val="auto"/>
          <w:sz w:val="24"/>
          <w:highlight w:val="none"/>
        </w:rPr>
        <w:t>承包人为联合体的，联合体主办方</w:t>
      </w:r>
      <w:r>
        <w:rPr>
          <w:rFonts w:hint="eastAsia" w:ascii="仿宋" w:hAnsi="仿宋" w:eastAsia="仿宋" w:cs="仿宋"/>
          <w:bCs/>
          <w:color w:val="auto"/>
          <w:sz w:val="24"/>
          <w:highlight w:val="none"/>
        </w:rPr>
        <w:t>作为本项目总负责单位，对本项目的进度、质量、安全、投资控制、管理、协调等负总责，同时，</w:t>
      </w:r>
      <w:r>
        <w:rPr>
          <w:rFonts w:hint="eastAsia" w:ascii="仿宋" w:hAnsi="仿宋" w:eastAsia="仿宋" w:cs="仿宋"/>
          <w:bCs/>
          <w:snapToGrid w:val="0"/>
          <w:color w:val="auto"/>
          <w:sz w:val="24"/>
          <w:highlight w:val="none"/>
        </w:rPr>
        <w:t>联合体各成员应当共同与发包人签订合同，并就合同项下彼此的责任和义务，包</w:t>
      </w:r>
      <w:r>
        <w:rPr>
          <w:rFonts w:hint="eastAsia" w:ascii="仿宋" w:hAnsi="仿宋" w:eastAsia="仿宋" w:cs="仿宋"/>
          <w:bCs/>
          <w:snapToGrid w:val="0"/>
          <w:color w:val="auto"/>
          <w:sz w:val="24"/>
          <w:highlight w:val="none"/>
          <w:lang w:eastAsia="zh-CN"/>
        </w:rPr>
        <w:t>括但</w:t>
      </w:r>
      <w:r>
        <w:rPr>
          <w:rFonts w:hint="eastAsia" w:ascii="仿宋" w:hAnsi="仿宋" w:eastAsia="仿宋" w:cs="仿宋"/>
          <w:bCs/>
          <w:snapToGrid w:val="0"/>
          <w:color w:val="auto"/>
          <w:sz w:val="24"/>
          <w:highlight w:val="none"/>
        </w:rPr>
        <w:t>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等方面，按照招标文件及合同约定向发包人承担不可撤销的连带责任，联合体各成员中任一成员的行为都视为承包人行为</w:t>
      </w:r>
      <w:r>
        <w:rPr>
          <w:rFonts w:hint="eastAsia" w:ascii="仿宋" w:hAnsi="仿宋" w:eastAsia="仿宋" w:cs="仿宋"/>
          <w:bCs/>
          <w:snapToGrid w:val="0"/>
          <w:color w:val="auto"/>
          <w:sz w:val="24"/>
          <w:highlight w:val="none"/>
          <w:lang w:eastAsia="zh-CN"/>
        </w:rPr>
        <w:t>，</w:t>
      </w:r>
      <w:r>
        <w:rPr>
          <w:rFonts w:hint="eastAsia" w:ascii="仿宋" w:hAnsi="仿宋" w:eastAsia="仿宋" w:cs="仿宋"/>
          <w:bCs/>
          <w:snapToGrid w:val="0"/>
          <w:color w:val="auto"/>
          <w:sz w:val="24"/>
          <w:highlight w:val="none"/>
        </w:rPr>
        <w:t>发包人通知任一联合体成员</w:t>
      </w:r>
      <w:r>
        <w:rPr>
          <w:rFonts w:hint="eastAsia" w:ascii="仿宋" w:hAnsi="仿宋" w:eastAsia="仿宋" w:cs="仿宋"/>
          <w:bCs/>
          <w:snapToGrid w:val="0"/>
          <w:color w:val="auto"/>
          <w:sz w:val="24"/>
          <w:highlight w:val="none"/>
          <w:lang w:eastAsia="zh-CN"/>
        </w:rPr>
        <w:t>，</w:t>
      </w:r>
      <w:r>
        <w:rPr>
          <w:rFonts w:hint="eastAsia" w:ascii="仿宋" w:hAnsi="仿宋" w:eastAsia="仿宋" w:cs="仿宋"/>
          <w:bCs/>
          <w:snapToGrid w:val="0"/>
          <w:color w:val="auto"/>
          <w:sz w:val="24"/>
          <w:highlight w:val="none"/>
        </w:rPr>
        <w:t>视为通知承包人，发包人向任一联合体成员履行合同义务，视为向承包人履行义务。</w:t>
      </w:r>
    </w:p>
    <w:p w14:paraId="75B2D3BE">
      <w:pP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13.</w:t>
      </w:r>
      <w:r>
        <w:rPr>
          <w:rFonts w:hint="eastAsia" w:ascii="仿宋" w:hAnsi="仿宋" w:eastAsia="仿宋" w:cs="仿宋"/>
          <w:bCs/>
          <w:snapToGrid w:val="0"/>
          <w:color w:val="auto"/>
          <w:kern w:val="0"/>
          <w:sz w:val="24"/>
          <w:highlight w:val="none"/>
        </w:rPr>
        <w:t>承包人向发包人承诺按照合同约定进行设计、采购、施工、竣工验收、移交、结算、管理及配合服务，并在缺陷责任期及质量保修期内承担工程质量保修责任。</w:t>
      </w:r>
    </w:p>
    <w:p w14:paraId="3CF6D2E5">
      <w:pPr>
        <w:adjustRightInd w:val="0"/>
        <w:snapToGrid w:val="0"/>
        <w:spacing w:line="360" w:lineRule="auto"/>
        <w:ind w:right="11" w:firstLine="482" w:firstLineChars="200"/>
        <w:rPr>
          <w:rFonts w:ascii="仿宋" w:hAnsi="仿宋" w:eastAsia="仿宋" w:cs="仿宋"/>
          <w:b/>
          <w:snapToGrid w:val="0"/>
          <w:color w:val="auto"/>
          <w:highlight w:val="none"/>
          <w:u w:val="single"/>
        </w:rPr>
      </w:pPr>
      <w:r>
        <w:rPr>
          <w:rFonts w:hint="eastAsia" w:ascii="仿宋" w:hAnsi="仿宋" w:eastAsia="仿宋" w:cs="仿宋"/>
          <w:b/>
          <w:bCs/>
          <w:snapToGrid w:val="0"/>
          <w:color w:val="auto"/>
          <w:kern w:val="0"/>
          <w:sz w:val="24"/>
          <w:highlight w:val="none"/>
          <w:lang w:val="en-US" w:eastAsia="zh-CN"/>
        </w:rPr>
        <w:t>14.</w:t>
      </w:r>
      <w:r>
        <w:rPr>
          <w:rFonts w:hint="eastAsia" w:ascii="仿宋" w:hAnsi="仿宋" w:eastAsia="仿宋" w:cs="仿宋"/>
          <w:bCs/>
          <w:snapToGrid w:val="0"/>
          <w:color w:val="auto"/>
          <w:kern w:val="0"/>
          <w:sz w:val="24"/>
          <w:highlight w:val="none"/>
        </w:rPr>
        <w:t>发包人向承包人承诺按照合同约定的期限和方式支付合同价款及按合同约定应支付的其他款项。</w:t>
      </w:r>
    </w:p>
    <w:p w14:paraId="562E777E">
      <w:pP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sz w:val="24"/>
          <w:szCs w:val="24"/>
          <w:highlight w:val="none"/>
          <w:lang w:val="en-US" w:eastAsia="zh-CN"/>
        </w:rPr>
        <w:t>15.</w:t>
      </w:r>
      <w:r>
        <w:rPr>
          <w:rFonts w:hint="eastAsia" w:ascii="仿宋" w:hAnsi="仿宋" w:eastAsia="仿宋" w:cs="仿宋"/>
          <w:bCs/>
          <w:snapToGrid w:val="0"/>
          <w:color w:val="auto"/>
          <w:sz w:val="24"/>
          <w:szCs w:val="24"/>
          <w:highlight w:val="none"/>
        </w:rPr>
        <w:t>合同协议书中有关词语含义与合同</w:t>
      </w:r>
      <w:r>
        <w:rPr>
          <w:rFonts w:hint="eastAsia" w:ascii="仿宋" w:hAnsi="仿宋" w:eastAsia="仿宋" w:cs="仿宋"/>
          <w:bCs/>
          <w:snapToGrid w:val="0"/>
          <w:color w:val="auto"/>
          <w:sz w:val="24"/>
          <w:szCs w:val="24"/>
          <w:highlight w:val="none"/>
          <w:lang w:val="en-US" w:eastAsia="zh-CN"/>
        </w:rPr>
        <w:t>专用</w:t>
      </w:r>
      <w:r>
        <w:rPr>
          <w:rFonts w:hint="eastAsia" w:ascii="仿宋" w:hAnsi="仿宋" w:eastAsia="仿宋" w:cs="仿宋"/>
          <w:bCs/>
          <w:snapToGrid w:val="0"/>
          <w:color w:val="auto"/>
          <w:sz w:val="24"/>
          <w:szCs w:val="24"/>
          <w:highlight w:val="none"/>
        </w:rPr>
        <w:t>条款中赋予它们的定义相同。</w:t>
      </w:r>
    </w:p>
    <w:p w14:paraId="4A1DA0C9">
      <w:pP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lang w:val="en-US" w:eastAsia="zh-CN"/>
        </w:rPr>
        <w:t>6</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合同生效</w:t>
      </w:r>
    </w:p>
    <w:p w14:paraId="51A6FD30">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本合同自发包人、承包人双方法定代表人签字盖章（公章或合同专用章）之日起生效，委托代理人签字的需经另一方书面同意。本合同有效期至本工程质量保修期满且竣工结算满60日及双方的责任、义务履行完毕时终止。</w:t>
      </w:r>
    </w:p>
    <w:p w14:paraId="00810893">
      <w:pP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lang w:val="en-US" w:eastAsia="zh-CN"/>
        </w:rPr>
        <w:t>7</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合同份数</w:t>
      </w:r>
    </w:p>
    <w:p w14:paraId="7A8A3600">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本合同正本一式</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份，发包人一份、承包人各执一份；副本</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份，发包人执</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份，承包人执</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份。合同正、副本具有同等效力，但当合同正本与副本的表述不一致时，以合同正本为准。</w:t>
      </w:r>
    </w:p>
    <w:p w14:paraId="206E5BFB">
      <w:pP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lang w:val="en-US" w:eastAsia="zh-CN"/>
        </w:rPr>
        <w:t>8</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双方确认本合同约定的地址、邮政编码是真实有效的，如任何一方有变更，则在变更之日起10日内以书面方式通知另一方，如发包方或承包方按上述地址以邮寄方式送达文件资料的，则寄出之日（以收件单位签收或印鉴为准）起第五日视为对方已收到文件资料，即使邮件被以拒收或此地址无效等理由退回，均视为寄出方的文件资料已送达对方。</w:t>
      </w:r>
    </w:p>
    <w:p w14:paraId="3332ADB7">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承包方的各单位之间组成联合体，发包方对任一承包方单位送达的通知，视为对承包方全体已送达。</w:t>
      </w:r>
    </w:p>
    <w:p w14:paraId="7FB483D6">
      <w:pPr>
        <w:pStyle w:val="3"/>
        <w:rPr>
          <w:rFonts w:hint="eastAsia" w:ascii="仿宋" w:hAnsi="仿宋" w:eastAsia="仿宋" w:cs="仿宋"/>
          <w:b w:val="0"/>
          <w:snapToGrid w:val="0"/>
          <w:color w:val="auto"/>
          <w:kern w:val="0"/>
          <w:sz w:val="24"/>
          <w:szCs w:val="20"/>
          <w:highlight w:val="none"/>
          <w:lang w:eastAsia="zh-CN"/>
        </w:rPr>
      </w:pPr>
      <w:r>
        <w:rPr>
          <w:rFonts w:hint="eastAsia" w:ascii="仿宋" w:hAnsi="仿宋" w:eastAsia="仿宋" w:cs="仿宋"/>
          <w:b w:val="0"/>
          <w:snapToGrid w:val="0"/>
          <w:color w:val="auto"/>
          <w:kern w:val="0"/>
          <w:sz w:val="24"/>
          <w:szCs w:val="20"/>
          <w:highlight w:val="none"/>
          <w:lang w:eastAsia="zh-CN"/>
        </w:rPr>
        <w:t>（</w:t>
      </w:r>
      <w:r>
        <w:rPr>
          <w:rFonts w:hint="eastAsia" w:ascii="仿宋" w:hAnsi="仿宋" w:eastAsia="仿宋" w:cs="仿宋"/>
          <w:b w:val="0"/>
          <w:snapToGrid w:val="0"/>
          <w:color w:val="auto"/>
          <w:kern w:val="0"/>
          <w:sz w:val="24"/>
          <w:szCs w:val="20"/>
          <w:highlight w:val="none"/>
          <w:lang w:val="en-US" w:eastAsia="zh-CN"/>
        </w:rPr>
        <w:t>以下无正文</w:t>
      </w:r>
      <w:r>
        <w:rPr>
          <w:rFonts w:hint="eastAsia" w:ascii="仿宋" w:hAnsi="仿宋" w:eastAsia="仿宋" w:cs="仿宋"/>
          <w:b w:val="0"/>
          <w:snapToGrid w:val="0"/>
          <w:color w:val="auto"/>
          <w:kern w:val="0"/>
          <w:sz w:val="24"/>
          <w:szCs w:val="20"/>
          <w:highlight w:val="none"/>
          <w:lang w:eastAsia="zh-CN"/>
        </w:rPr>
        <w:t>）</w:t>
      </w:r>
    </w:p>
    <w:p w14:paraId="72C06D4B">
      <w:pPr>
        <w:rPr>
          <w:rFonts w:hint="eastAsia" w:ascii="仿宋" w:hAnsi="仿宋" w:eastAsia="仿宋" w:cs="仿宋"/>
          <w:b w:val="0"/>
          <w:snapToGrid w:val="0"/>
          <w:color w:val="auto"/>
          <w:kern w:val="0"/>
          <w:sz w:val="24"/>
          <w:szCs w:val="20"/>
          <w:highlight w:val="none"/>
          <w:lang w:eastAsia="zh-CN"/>
        </w:rPr>
      </w:pPr>
    </w:p>
    <w:p w14:paraId="41749CB2">
      <w:pPr>
        <w:pStyle w:val="3"/>
        <w:rPr>
          <w:rFonts w:hint="default" w:eastAsia="宋体"/>
          <w:color w:val="auto"/>
          <w:highlight w:val="none"/>
          <w:lang w:eastAsia="zh-CN"/>
        </w:rPr>
      </w:pPr>
      <w:r>
        <w:rPr>
          <w:rFonts w:hint="eastAsia" w:ascii="仿宋" w:hAnsi="仿宋" w:eastAsia="仿宋" w:cs="仿宋"/>
          <w:b w:val="0"/>
          <w:snapToGrid w:val="0"/>
          <w:color w:val="auto"/>
          <w:kern w:val="0"/>
          <w:sz w:val="24"/>
          <w:szCs w:val="20"/>
          <w:highlight w:val="none"/>
          <w:lang w:eastAsia="zh-CN"/>
        </w:rPr>
        <w:t>（</w:t>
      </w:r>
      <w:r>
        <w:rPr>
          <w:rFonts w:hint="eastAsia" w:ascii="仿宋" w:hAnsi="仿宋" w:eastAsia="仿宋" w:cs="仿宋"/>
          <w:b w:val="0"/>
          <w:snapToGrid w:val="0"/>
          <w:color w:val="auto"/>
          <w:kern w:val="0"/>
          <w:sz w:val="24"/>
          <w:szCs w:val="20"/>
          <w:highlight w:val="none"/>
          <w:lang w:val="en-US" w:eastAsia="zh-CN"/>
        </w:rPr>
        <w:t>本页为签署页</w:t>
      </w:r>
      <w:r>
        <w:rPr>
          <w:rFonts w:hint="eastAsia" w:ascii="仿宋" w:hAnsi="仿宋" w:eastAsia="仿宋" w:cs="仿宋"/>
          <w:b w:val="0"/>
          <w:snapToGrid w:val="0"/>
          <w:color w:val="auto"/>
          <w:kern w:val="0"/>
          <w:sz w:val="24"/>
          <w:szCs w:val="20"/>
          <w:highlight w:val="none"/>
          <w:lang w:eastAsia="zh-CN"/>
        </w:rPr>
        <w:t>）</w:t>
      </w:r>
    </w:p>
    <w:p w14:paraId="577398A9">
      <w:pPr>
        <w:adjustRightInd w:val="0"/>
        <w:snapToGrid w:val="0"/>
        <w:spacing w:line="360" w:lineRule="auto"/>
        <w:ind w:right="11"/>
        <w:rPr>
          <w:rFonts w:hint="eastAsia" w:ascii="仿宋" w:hAnsi="仿宋" w:eastAsia="仿宋" w:cs="仿宋"/>
          <w:color w:val="auto"/>
          <w:sz w:val="24"/>
          <w:highlight w:val="none"/>
          <w:lang w:eastAsia="zh-CN"/>
        </w:rPr>
      </w:pPr>
      <w:r>
        <w:rPr>
          <w:rFonts w:hint="eastAsia" w:ascii="仿宋" w:hAnsi="仿宋" w:eastAsia="仿宋" w:cs="仿宋"/>
          <w:snapToGrid w:val="0"/>
          <w:color w:val="auto"/>
          <w:spacing w:val="-20"/>
          <w:kern w:val="0"/>
          <w:sz w:val="24"/>
          <w:highlight w:val="none"/>
        </w:rPr>
        <w:t>发包人：广州白云棠涌置地有限公司</w:t>
      </w:r>
      <w:r>
        <w:rPr>
          <w:rFonts w:hint="eastAsia" w:ascii="仿宋" w:hAnsi="仿宋" w:eastAsia="仿宋" w:cs="仿宋"/>
          <w:color w:val="auto"/>
          <w:sz w:val="24"/>
          <w:highlight w:val="none"/>
          <w:lang w:val="en-US" w:eastAsia="zh-CN"/>
        </w:rPr>
        <w:t xml:space="preserve"> </w:t>
      </w:r>
    </w:p>
    <w:p w14:paraId="7AA01B1D">
      <w:pP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法定代表人：                           </w:t>
      </w:r>
    </w:p>
    <w:p w14:paraId="240E75F9">
      <w:pPr>
        <w:tabs>
          <w:tab w:val="left" w:pos="5460"/>
        </w:tabs>
        <w:adjustRightInd w:val="0"/>
        <w:snapToGrid w:val="0"/>
        <w:spacing w:line="360" w:lineRule="auto"/>
        <w:ind w:left="-2" w:leftChars="-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委托代理人：                           </w:t>
      </w:r>
    </w:p>
    <w:p w14:paraId="32A796F2">
      <w:pP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地址：广州市白云区棠涌大埔西街12号102房     </w:t>
      </w:r>
    </w:p>
    <w:p w14:paraId="0E11DB03">
      <w:pP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邮政编码</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                       </w:t>
      </w:r>
    </w:p>
    <w:p w14:paraId="78698F5E">
      <w:pP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电话：  </w:t>
      </w:r>
      <w:r>
        <w:rPr>
          <w:rFonts w:hint="eastAsia" w:ascii="仿宋" w:hAnsi="仿宋" w:eastAsia="仿宋" w:cs="仿宋"/>
          <w:snapToGrid w:val="0"/>
          <w:color w:val="auto"/>
          <w:kern w:val="0"/>
          <w:sz w:val="24"/>
          <w:highlight w:val="none"/>
          <w:lang w:val="en-US" w:eastAsia="zh-CN"/>
        </w:rPr>
        <w:t>/</w:t>
      </w:r>
      <w:r>
        <w:rPr>
          <w:rFonts w:hint="eastAsia" w:ascii="仿宋" w:hAnsi="仿宋" w:eastAsia="仿宋" w:cs="仿宋"/>
          <w:snapToGrid w:val="0"/>
          <w:color w:val="auto"/>
          <w:kern w:val="0"/>
          <w:sz w:val="24"/>
          <w:highlight w:val="none"/>
        </w:rPr>
        <w:t xml:space="preserve">              </w:t>
      </w:r>
    </w:p>
    <w:p w14:paraId="28828FA3">
      <w:pPr>
        <w:tabs>
          <w:tab w:val="left" w:pos="5460"/>
        </w:tabs>
        <w:adjustRightInd w:val="0"/>
        <w:snapToGrid w:val="0"/>
        <w:spacing w:line="360" w:lineRule="auto"/>
        <w:ind w:left="-2" w:leftChars="-1" w:right="11"/>
        <w:rPr>
          <w:color w:val="auto"/>
          <w:highlight w:val="none"/>
        </w:rPr>
      </w:pPr>
      <w:r>
        <w:rPr>
          <w:rFonts w:hint="eastAsia" w:ascii="仿宋" w:hAnsi="仿宋" w:eastAsia="仿宋" w:cs="仿宋"/>
          <w:snapToGrid w:val="0"/>
          <w:color w:val="auto"/>
          <w:kern w:val="0"/>
          <w:sz w:val="24"/>
          <w:highlight w:val="none"/>
        </w:rPr>
        <w:t xml:space="preserve">签订时间： 年   月   日               </w:t>
      </w:r>
    </w:p>
    <w:p w14:paraId="0E96ACD6">
      <w:pPr>
        <w:tabs>
          <w:tab w:val="left" w:pos="5103"/>
        </w:tabs>
        <w:adjustRightInd w:val="0"/>
        <w:snapToGrid w:val="0"/>
        <w:spacing w:line="360" w:lineRule="auto"/>
        <w:ind w:left="2400" w:right="11" w:hanging="2400" w:hangingChars="1000"/>
        <w:jc w:val="left"/>
        <w:rPr>
          <w:rFonts w:hint="eastAsia" w:ascii="仿宋" w:hAnsi="仿宋" w:eastAsia="仿宋" w:cs="仿宋"/>
          <w:snapToGrid w:val="0"/>
          <w:color w:val="auto"/>
          <w:kern w:val="0"/>
          <w:sz w:val="24"/>
          <w:highlight w:val="none"/>
        </w:rPr>
      </w:pPr>
    </w:p>
    <w:p w14:paraId="32EF0C8A">
      <w:pPr>
        <w:tabs>
          <w:tab w:val="left" w:pos="5103"/>
        </w:tabs>
        <w:adjustRightInd w:val="0"/>
        <w:snapToGrid w:val="0"/>
        <w:spacing w:line="360" w:lineRule="auto"/>
        <w:ind w:left="2400" w:right="11" w:hanging="2400" w:hangingChars="1000"/>
        <w:jc w:val="left"/>
        <w:rPr>
          <w:rFonts w:hint="eastAsia" w:ascii="仿宋" w:hAnsi="仿宋" w:eastAsia="仿宋" w:cs="仿宋"/>
          <w:snapToGrid w:val="0"/>
          <w:color w:val="auto"/>
          <w:kern w:val="0"/>
          <w:sz w:val="24"/>
          <w:highlight w:val="none"/>
        </w:rPr>
      </w:pPr>
    </w:p>
    <w:p w14:paraId="41BA5594">
      <w:pPr>
        <w:tabs>
          <w:tab w:val="left" w:pos="5103"/>
        </w:tabs>
        <w:adjustRightInd w:val="0"/>
        <w:snapToGrid w:val="0"/>
        <w:spacing w:line="360" w:lineRule="auto"/>
        <w:ind w:left="2400" w:right="11" w:hanging="2400" w:hangingChars="10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承包人：                </w:t>
      </w:r>
    </w:p>
    <w:p w14:paraId="5F42B1D5">
      <w:pPr>
        <w:tabs>
          <w:tab w:val="center" w:pos="4535"/>
        </w:tabs>
        <w:adjustRightInd w:val="0"/>
        <w:snapToGrid w:val="0"/>
        <w:spacing w:line="360" w:lineRule="auto"/>
        <w:ind w:right="11"/>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w:t>
      </w:r>
      <w:r>
        <w:rPr>
          <w:rFonts w:hint="eastAsia" w:ascii="仿宋" w:hAnsi="仿宋" w:eastAsia="仿宋" w:cs="仿宋"/>
          <w:snapToGrid w:val="0"/>
          <w:color w:val="auto"/>
          <w:kern w:val="0"/>
          <w:sz w:val="24"/>
          <w:highlight w:val="none"/>
        </w:rPr>
        <w:tab/>
      </w:r>
    </w:p>
    <w:p w14:paraId="56F50995">
      <w:pPr>
        <w:tabs>
          <w:tab w:val="left" w:pos="5460"/>
        </w:tabs>
        <w:adjustRightInd w:val="0"/>
        <w:snapToGrid w:val="0"/>
        <w:spacing w:line="360" w:lineRule="auto"/>
        <w:ind w:right="11"/>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委托代理人：                         </w:t>
      </w:r>
    </w:p>
    <w:p w14:paraId="6224FB55">
      <w:pPr>
        <w:tabs>
          <w:tab w:val="center" w:pos="4535"/>
        </w:tabs>
        <w:adjustRightInd w:val="0"/>
        <w:snapToGrid w:val="0"/>
        <w:spacing w:line="360" w:lineRule="auto"/>
        <w:ind w:right="11"/>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地址：                                </w:t>
      </w:r>
    </w:p>
    <w:p w14:paraId="16C16DC2">
      <w:pPr>
        <w:tabs>
          <w:tab w:val="center" w:pos="4535"/>
        </w:tabs>
        <w:adjustRightInd w:val="0"/>
        <w:snapToGrid w:val="0"/>
        <w:spacing w:line="360" w:lineRule="auto"/>
        <w:ind w:right="11"/>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邮政编码：                           </w:t>
      </w:r>
    </w:p>
    <w:p w14:paraId="67F6FAC3">
      <w:pPr>
        <w:tabs>
          <w:tab w:val="left" w:pos="5460"/>
        </w:tabs>
        <w:adjustRightInd w:val="0"/>
        <w:snapToGrid w:val="0"/>
        <w:spacing w:line="360" w:lineRule="auto"/>
        <w:ind w:right="11" w:firstLine="0" w:firstLineChars="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签订时间：   年  月  日               </w:t>
      </w:r>
    </w:p>
    <w:p w14:paraId="1B562259">
      <w:pPr>
        <w:adjustRightInd w:val="0"/>
        <w:snapToGrid w:val="0"/>
        <w:spacing w:line="360" w:lineRule="auto"/>
        <w:ind w:right="11" w:firstLine="0" w:firstLineChars="0"/>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合同订立地点： 广州</w:t>
      </w:r>
      <w:r>
        <w:rPr>
          <w:rFonts w:hint="eastAsia" w:ascii="仿宋" w:hAnsi="仿宋" w:eastAsia="仿宋" w:cs="仿宋"/>
          <w:snapToGrid w:val="0"/>
          <w:color w:val="auto"/>
          <w:kern w:val="0"/>
          <w:sz w:val="24"/>
          <w:highlight w:val="none"/>
          <w:lang w:val="en-US" w:eastAsia="zh-CN"/>
        </w:rPr>
        <w:t>市白云区</w:t>
      </w:r>
    </w:p>
    <w:p w14:paraId="45B8AC8A">
      <w:pPr>
        <w:adjustRightInd w:val="0"/>
        <w:snapToGrid w:val="0"/>
        <w:spacing w:line="360" w:lineRule="auto"/>
        <w:ind w:right="11"/>
        <w:rPr>
          <w:rFonts w:ascii="仿宋" w:hAnsi="仿宋" w:eastAsia="仿宋" w:cs="仿宋"/>
          <w:b/>
          <w:bCs/>
          <w:color w:val="auto"/>
          <w:highlight w:val="none"/>
          <w:u w:val="single"/>
        </w:rPr>
      </w:pPr>
    </w:p>
    <w:p w14:paraId="6C363952">
      <w:pPr>
        <w:adjustRightInd w:val="0"/>
        <w:snapToGrid w:val="0"/>
        <w:spacing w:line="360" w:lineRule="auto"/>
        <w:ind w:right="11" w:firstLine="480"/>
        <w:rPr>
          <w:rFonts w:ascii="仿宋" w:hAnsi="仿宋" w:eastAsia="仿宋" w:cs="仿宋"/>
          <w:bCs/>
          <w:snapToGrid w:val="0"/>
          <w:color w:val="auto"/>
          <w:kern w:val="0"/>
          <w:sz w:val="24"/>
          <w:highlight w:val="none"/>
        </w:rPr>
        <w:sectPr>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B73D529">
      <w:pPr>
        <w:tabs>
          <w:tab w:val="left" w:pos="5460"/>
        </w:tabs>
        <w:adjustRightInd w:val="0"/>
        <w:snapToGrid w:val="0"/>
        <w:spacing w:line="360" w:lineRule="auto"/>
        <w:ind w:left="-2" w:leftChars="-1" w:right="11"/>
        <w:jc w:val="center"/>
        <w:outlineLvl w:val="0"/>
        <w:rPr>
          <w:rFonts w:ascii="仿宋" w:hAnsi="仿宋" w:eastAsia="仿宋" w:cs="仿宋"/>
          <w:b/>
          <w:bCs/>
          <w:snapToGrid w:val="0"/>
          <w:color w:val="auto"/>
          <w:kern w:val="0"/>
          <w:sz w:val="44"/>
          <w:szCs w:val="44"/>
          <w:highlight w:val="none"/>
        </w:rPr>
      </w:pPr>
      <w:bookmarkStart w:id="9" w:name="_Toc12320"/>
      <w:bookmarkStart w:id="10" w:name="_Toc122759216"/>
      <w:bookmarkStart w:id="11" w:name="_Toc115711031"/>
      <w:bookmarkStart w:id="12" w:name="_Toc504465874"/>
      <w:bookmarkStart w:id="13" w:name="_Toc502215471"/>
      <w:bookmarkStart w:id="14" w:name="_Toc2784852"/>
      <w:bookmarkStart w:id="15" w:name="_Toc83377240"/>
      <w:r>
        <w:rPr>
          <w:rFonts w:hint="eastAsia" w:ascii="仿宋" w:hAnsi="仿宋" w:eastAsia="仿宋" w:cs="仿宋"/>
          <w:b/>
          <w:bCs/>
          <w:snapToGrid w:val="0"/>
          <w:color w:val="auto"/>
          <w:kern w:val="0"/>
          <w:sz w:val="44"/>
          <w:szCs w:val="44"/>
          <w:highlight w:val="none"/>
        </w:rPr>
        <w:t>第二篇  合同</w:t>
      </w:r>
      <w:r>
        <w:rPr>
          <w:rFonts w:hint="eastAsia" w:ascii="仿宋" w:hAnsi="仿宋" w:eastAsia="仿宋" w:cs="仿宋"/>
          <w:b/>
          <w:bCs/>
          <w:snapToGrid w:val="0"/>
          <w:color w:val="auto"/>
          <w:kern w:val="0"/>
          <w:sz w:val="44"/>
          <w:szCs w:val="44"/>
          <w:highlight w:val="none"/>
          <w:lang w:val="en-US" w:eastAsia="zh-CN"/>
        </w:rPr>
        <w:t>专用</w:t>
      </w:r>
      <w:r>
        <w:rPr>
          <w:rFonts w:hint="eastAsia" w:ascii="仿宋" w:hAnsi="仿宋" w:eastAsia="仿宋" w:cs="仿宋"/>
          <w:b/>
          <w:bCs/>
          <w:snapToGrid w:val="0"/>
          <w:color w:val="auto"/>
          <w:kern w:val="0"/>
          <w:sz w:val="44"/>
          <w:szCs w:val="44"/>
          <w:highlight w:val="none"/>
        </w:rPr>
        <w:t>条款</w:t>
      </w:r>
      <w:bookmarkEnd w:id="9"/>
      <w:bookmarkEnd w:id="10"/>
      <w:bookmarkEnd w:id="11"/>
      <w:bookmarkEnd w:id="12"/>
      <w:bookmarkEnd w:id="13"/>
      <w:bookmarkEnd w:id="14"/>
      <w:bookmarkEnd w:id="15"/>
    </w:p>
    <w:p w14:paraId="3701523B">
      <w:pPr>
        <w:adjustRightInd w:val="0"/>
        <w:snapToGrid w:val="0"/>
        <w:spacing w:line="360" w:lineRule="auto"/>
        <w:jc w:val="center"/>
        <w:outlineLvl w:val="1"/>
        <w:rPr>
          <w:rFonts w:ascii="仿宋" w:hAnsi="仿宋" w:eastAsia="仿宋" w:cs="仿宋"/>
          <w:b/>
          <w:snapToGrid w:val="0"/>
          <w:color w:val="auto"/>
          <w:kern w:val="0"/>
          <w:sz w:val="28"/>
          <w:szCs w:val="28"/>
          <w:highlight w:val="none"/>
        </w:rPr>
      </w:pPr>
      <w:bookmarkStart w:id="16" w:name="_Toc83377241"/>
      <w:bookmarkStart w:id="17" w:name="_Toc2784853"/>
      <w:bookmarkStart w:id="18" w:name="_Toc504465875"/>
      <w:bookmarkStart w:id="19" w:name="_Toc28097"/>
      <w:bookmarkStart w:id="20" w:name="_Toc502215472"/>
      <w:r>
        <w:rPr>
          <w:rFonts w:hint="eastAsia" w:ascii="仿宋" w:hAnsi="仿宋" w:eastAsia="仿宋" w:cs="仿宋"/>
          <w:b/>
          <w:snapToGrid w:val="0"/>
          <w:color w:val="auto"/>
          <w:kern w:val="0"/>
          <w:sz w:val="28"/>
          <w:szCs w:val="28"/>
          <w:highlight w:val="none"/>
        </w:rPr>
        <w:t>总  则</w:t>
      </w:r>
      <w:bookmarkEnd w:id="16"/>
      <w:bookmarkEnd w:id="17"/>
      <w:bookmarkEnd w:id="18"/>
      <w:bookmarkEnd w:id="19"/>
      <w:bookmarkEnd w:id="20"/>
    </w:p>
    <w:p w14:paraId="1E6B6CE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1.</w:t>
      </w:r>
      <w:r>
        <w:rPr>
          <w:rFonts w:hint="eastAsia" w:ascii="仿宋" w:hAnsi="仿宋" w:eastAsia="仿宋" w:cs="仿宋"/>
          <w:snapToGrid w:val="0"/>
          <w:color w:val="auto"/>
          <w:kern w:val="0"/>
          <w:sz w:val="24"/>
          <w:highlight w:val="none"/>
        </w:rPr>
        <w:t>本工程将实行社会化、专业化的管理模式。发包人将授权监理单位依据有关法律法规、规范和合同，充分行使其严格控制工程进度、质量、安全、投资以及合同、信息管理和协调处理现场有关工程问题的权力。</w:t>
      </w:r>
    </w:p>
    <w:p w14:paraId="1FE7FDA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2.</w:t>
      </w:r>
      <w:r>
        <w:rPr>
          <w:rFonts w:hint="eastAsia" w:ascii="仿宋" w:hAnsi="仿宋" w:eastAsia="仿宋" w:cs="仿宋"/>
          <w:snapToGrid w:val="0"/>
          <w:color w:val="auto"/>
          <w:kern w:val="0"/>
          <w:sz w:val="24"/>
          <w:highlight w:val="none"/>
        </w:rPr>
        <w:t>发包人通过监理单位下达指令，监督承包人履约行为，承包人所有请求事项由监理单位协调并一般均由监理单位接受或提出处理意见（发包人有特别要求和规定的除外）。</w:t>
      </w:r>
    </w:p>
    <w:p w14:paraId="4BF9235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3.</w:t>
      </w:r>
      <w:r>
        <w:rPr>
          <w:rFonts w:hint="eastAsia" w:ascii="仿宋" w:hAnsi="仿宋" w:eastAsia="仿宋" w:cs="仿宋"/>
          <w:snapToGrid w:val="0"/>
          <w:color w:val="auto"/>
          <w:kern w:val="0"/>
          <w:sz w:val="24"/>
          <w:highlight w:val="none"/>
        </w:rPr>
        <w:t>发包人根据工程推进实际情况，有权要求承包人的法定代表人或总经理必须常驻施工现场，协调各种事项。</w:t>
      </w:r>
    </w:p>
    <w:p w14:paraId="65C01A6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4.</w:t>
      </w:r>
      <w:r>
        <w:rPr>
          <w:rFonts w:hint="eastAsia" w:ascii="仿宋" w:hAnsi="仿宋" w:eastAsia="仿宋" w:cs="仿宋"/>
          <w:snapToGrid w:val="0"/>
          <w:color w:val="auto"/>
          <w:kern w:val="0"/>
          <w:sz w:val="24"/>
          <w:highlight w:val="none"/>
        </w:rPr>
        <w:t>为保证本建设项目建设有序、规范和顺利进行，承包人必须主动支持发包人工作，对发包人的指令和书面通知，若无正当理由又未提前报告、得到认可，而公开或变相拒不执行的，应按合同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.2.3（12）款的约定承担违约责任并赔偿由此造成发包人的一切经济损失。</w:t>
      </w:r>
    </w:p>
    <w:p w14:paraId="0D0FFD3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5.</w:t>
      </w:r>
      <w:r>
        <w:rPr>
          <w:rFonts w:hint="eastAsia" w:ascii="仿宋" w:hAnsi="仿宋" w:eastAsia="仿宋" w:cs="仿宋"/>
          <w:snapToGrid w:val="0"/>
          <w:color w:val="auto"/>
          <w:kern w:val="0"/>
          <w:sz w:val="24"/>
          <w:highlight w:val="none"/>
        </w:rPr>
        <w:t>承包人承诺遵守发包人所制订的针对本建设项目管理的各项制度、规定，这些管理制度、规定必须符合下列原则：</w:t>
      </w:r>
    </w:p>
    <w:p w14:paraId="147E54D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（1）符合国家、广东省、广州市的有关法律法规、规范和标准；</w:t>
      </w:r>
    </w:p>
    <w:p w14:paraId="079720B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（2）符合对本工程进行有效管理的基本精神和要求；</w:t>
      </w:r>
    </w:p>
    <w:p w14:paraId="6FA9129E">
      <w:pPr>
        <w:adjustRightInd w:val="0"/>
        <w:snapToGrid w:val="0"/>
        <w:spacing w:line="360" w:lineRule="auto"/>
        <w:ind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（3）为确保工程质量、进度、安全文明施工管理所</w:t>
      </w:r>
      <w:r>
        <w:rPr>
          <w:rFonts w:hint="eastAsia" w:ascii="仿宋" w:hAnsi="仿宋" w:eastAsia="仿宋" w:cs="仿宋"/>
          <w:snapToGrid w:val="0"/>
          <w:color w:val="auto"/>
          <w:kern w:val="0"/>
          <w:sz w:val="24"/>
          <w:highlight w:val="none"/>
          <w:lang w:eastAsia="zh-CN"/>
        </w:rPr>
        <w:t>必须</w:t>
      </w:r>
      <w:r>
        <w:rPr>
          <w:rFonts w:hint="eastAsia" w:ascii="仿宋" w:hAnsi="仿宋" w:eastAsia="仿宋" w:cs="仿宋"/>
          <w:snapToGrid w:val="0"/>
          <w:color w:val="auto"/>
          <w:kern w:val="0"/>
          <w:sz w:val="24"/>
          <w:highlight w:val="none"/>
        </w:rPr>
        <w:t>；</w:t>
      </w:r>
    </w:p>
    <w:p w14:paraId="365958A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（4）不是针对某一特定的承包人。</w:t>
      </w:r>
    </w:p>
    <w:p w14:paraId="10A45827">
      <w:pPr>
        <w:adjustRightInd w:val="0"/>
        <w:snapToGrid w:val="0"/>
        <w:spacing w:line="360" w:lineRule="auto"/>
        <w:ind w:firstLine="480" w:firstLineChars="200"/>
        <w:rPr>
          <w:rFonts w:ascii="仿宋" w:hAnsi="仿宋" w:eastAsia="仿宋" w:cs="仿宋"/>
          <w:bCs/>
          <w:snapToGrid w:val="0"/>
          <w:color w:val="auto"/>
          <w:kern w:val="0"/>
          <w:sz w:val="24"/>
          <w:highlight w:val="none"/>
        </w:rPr>
      </w:pPr>
    </w:p>
    <w:p w14:paraId="21F47FD4">
      <w:pPr>
        <w:pStyle w:val="13"/>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21" w:name="_Toc502215473"/>
      <w:bookmarkStart w:id="22" w:name="_Toc83377242"/>
      <w:bookmarkStart w:id="23" w:name="_Toc3237"/>
      <w:bookmarkStart w:id="24" w:name="_Toc2784854"/>
      <w:bookmarkStart w:id="25" w:name="_Toc504465876"/>
      <w:r>
        <w:rPr>
          <w:rFonts w:hint="eastAsia" w:ascii="仿宋" w:hAnsi="仿宋" w:eastAsia="仿宋" w:cs="仿宋"/>
          <w:b/>
          <w:snapToGrid w:val="0"/>
          <w:color w:val="auto"/>
          <w:sz w:val="28"/>
          <w:szCs w:val="28"/>
          <w:highlight w:val="none"/>
        </w:rPr>
        <w:t>一、词语定义及合同文件</w:t>
      </w:r>
      <w:bookmarkEnd w:id="21"/>
      <w:bookmarkEnd w:id="22"/>
      <w:bookmarkEnd w:id="23"/>
      <w:bookmarkEnd w:id="24"/>
      <w:bookmarkEnd w:id="25"/>
    </w:p>
    <w:p w14:paraId="6883AAE0">
      <w:pPr>
        <w:numPr>
          <w:ilvl w:val="0"/>
          <w:numId w:val="4"/>
        </w:numPr>
        <w:adjustRightInd w:val="0"/>
        <w:snapToGrid w:val="0"/>
        <w:spacing w:line="360" w:lineRule="auto"/>
        <w:outlineLvl w:val="2"/>
        <w:rPr>
          <w:rFonts w:ascii="仿宋" w:hAnsi="仿宋" w:eastAsia="仿宋" w:cs="仿宋"/>
          <w:b/>
          <w:snapToGrid w:val="0"/>
          <w:color w:val="auto"/>
          <w:kern w:val="0"/>
          <w:sz w:val="24"/>
          <w:highlight w:val="none"/>
        </w:rPr>
      </w:pPr>
      <w:bookmarkStart w:id="26" w:name="_Toc502215474"/>
      <w:bookmarkStart w:id="27" w:name="_Toc504465877"/>
      <w:bookmarkStart w:id="28" w:name="_Toc83377243"/>
      <w:bookmarkStart w:id="29" w:name="_Toc2784855"/>
      <w:bookmarkStart w:id="30" w:name="_Toc19923"/>
      <w:bookmarkStart w:id="31" w:name="_Toc504735606"/>
      <w:r>
        <w:rPr>
          <w:rFonts w:hint="eastAsia" w:ascii="仿宋" w:hAnsi="仿宋" w:eastAsia="仿宋" w:cs="仿宋"/>
          <w:b/>
          <w:snapToGrid w:val="0"/>
          <w:color w:val="auto"/>
          <w:kern w:val="0"/>
          <w:sz w:val="24"/>
          <w:highlight w:val="none"/>
        </w:rPr>
        <w:t>词语定义</w:t>
      </w:r>
      <w:bookmarkEnd w:id="26"/>
      <w:bookmarkEnd w:id="27"/>
      <w:bookmarkEnd w:id="28"/>
      <w:bookmarkEnd w:id="29"/>
      <w:bookmarkEnd w:id="30"/>
      <w:bookmarkEnd w:id="31"/>
    </w:p>
    <w:p w14:paraId="616CF95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下列词语除合同另有约定外，应具有本条所赋予的定义：</w:t>
      </w:r>
    </w:p>
    <w:p w14:paraId="11B8E4B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1.1工程：指发包人、承包人在合同协议书中约定的承包范围内的工程。</w:t>
      </w:r>
    </w:p>
    <w:p w14:paraId="0F3CC5F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1.2发包人：指在合同协议书中约定，具有工程发包主体资格和支付工程价款能力的当事人以及取得该当事人资格的合法继承人。</w:t>
      </w:r>
    </w:p>
    <w:p w14:paraId="3E470FC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（1）发包人：在本合同中特指</w:t>
      </w:r>
      <w:r>
        <w:rPr>
          <w:rFonts w:hint="eastAsia" w:ascii="仿宋" w:hAnsi="仿宋" w:eastAsia="仿宋" w:cs="仿宋"/>
          <w:snapToGrid w:val="0"/>
          <w:color w:val="auto"/>
          <w:kern w:val="0"/>
          <w:sz w:val="24"/>
          <w:szCs w:val="21"/>
          <w:highlight w:val="none"/>
          <w:lang w:eastAsia="zh-CN"/>
        </w:rPr>
        <w:t>广州白云棠涌置地有限公司</w:t>
      </w:r>
      <w:r>
        <w:rPr>
          <w:rFonts w:hint="eastAsia" w:ascii="仿宋" w:hAnsi="仿宋" w:eastAsia="仿宋" w:cs="仿宋"/>
          <w:snapToGrid w:val="0"/>
          <w:color w:val="auto"/>
          <w:kern w:val="0"/>
          <w:sz w:val="24"/>
          <w:highlight w:val="none"/>
        </w:rPr>
        <w:t>。</w:t>
      </w:r>
    </w:p>
    <w:p w14:paraId="169F851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（2）合法继承人：指工程竣工验收合格后，发包人将工程移交给其承接使用的产权管理单位。在继承生效后，合法继承人享有发包人在本合同中的一切权利及承担相应的义务。</w:t>
      </w:r>
    </w:p>
    <w:p w14:paraId="1502DBC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1.3承包人：指在合同协议书中约定，被发包人接受的具有工程设计、施工承包主体资格的当事人以及取得该当事人资格的合法继承人。</w:t>
      </w:r>
    </w:p>
    <w:p w14:paraId="5332091A">
      <w:pPr>
        <w:adjustRightInd w:val="0"/>
        <w:snapToGrid w:val="0"/>
        <w:spacing w:line="360" w:lineRule="auto"/>
        <w:ind w:firstLine="480" w:firstLineChars="200"/>
        <w:rPr>
          <w:rFonts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施工单位：在本合同中特指</w:t>
      </w:r>
      <w:r>
        <w:rPr>
          <w:rFonts w:hint="eastAsia" w:ascii="仿宋" w:hAnsi="仿宋" w:eastAsia="仿宋" w:cs="仿宋"/>
          <w:snapToGrid w:val="0"/>
          <w:color w:val="auto"/>
          <w:kern w:val="0"/>
          <w:sz w:val="24"/>
          <w:highlight w:val="none"/>
          <w:u w:val="none"/>
          <w:lang w:eastAsia="zh-CN"/>
        </w:rPr>
        <w:t xml:space="preserve"> </w:t>
      </w:r>
      <w:r>
        <w:rPr>
          <w:rFonts w:hint="eastAsia" w:ascii="仿宋" w:hAnsi="仿宋" w:eastAsia="仿宋" w:cs="仿宋"/>
          <w:snapToGrid w:val="0"/>
          <w:color w:val="auto"/>
          <w:kern w:val="0"/>
          <w:sz w:val="24"/>
          <w:highlight w:val="none"/>
        </w:rPr>
        <w:t>。</w:t>
      </w:r>
    </w:p>
    <w:p w14:paraId="212DA6F2">
      <w:pPr>
        <w:pStyle w:val="21"/>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设计单位：在本合同中特指</w:t>
      </w:r>
      <w:r>
        <w:rPr>
          <w:rFonts w:hint="eastAsia" w:ascii="仿宋" w:hAnsi="仿宋" w:eastAsia="仿宋" w:cs="仿宋"/>
          <w:snapToGrid w:val="0"/>
          <w:color w:val="auto"/>
          <w:sz w:val="24"/>
          <w:highlight w:val="none"/>
          <w:u w:val="none"/>
          <w:lang w:val="en-US" w:eastAsia="zh-CN"/>
        </w:rPr>
        <w:t xml:space="preserve">  </w:t>
      </w:r>
      <w:r>
        <w:rPr>
          <w:rFonts w:hint="eastAsia" w:ascii="仿宋" w:hAnsi="仿宋" w:eastAsia="仿宋" w:cs="仿宋"/>
          <w:snapToGrid w:val="0"/>
          <w:color w:val="auto"/>
          <w:sz w:val="24"/>
          <w:highlight w:val="none"/>
        </w:rPr>
        <w:t xml:space="preserve">。        </w:t>
      </w:r>
    </w:p>
    <w:p w14:paraId="36661B8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1.4项目经理（项目负责人）：指承包人在合同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条款中指定的负责工程设计、施工管理和合同履行的代表。</w:t>
      </w:r>
    </w:p>
    <w:p w14:paraId="654D4F5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1.5监理人和监理单位：</w:t>
      </w:r>
    </w:p>
    <w:p w14:paraId="225D8090">
      <w:pP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kern w:val="0"/>
          <w:sz w:val="24"/>
          <w:highlight w:val="none"/>
        </w:rPr>
        <w:t>监理人</w:t>
      </w:r>
      <w:r>
        <w:rPr>
          <w:rFonts w:hint="eastAsia" w:ascii="仿宋" w:hAnsi="仿宋" w:eastAsia="仿宋" w:cs="仿宋"/>
          <w:snapToGrid w:val="0"/>
          <w:color w:val="auto"/>
          <w:sz w:val="24"/>
          <w:highlight w:val="none"/>
        </w:rPr>
        <w:t>是指在专用合同条款中指明的，受发包人委托按照法律规定进行工程监督管理的法人或其他组织。</w:t>
      </w:r>
    </w:p>
    <w:p w14:paraId="5D543C83">
      <w:pP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kern w:val="0"/>
          <w:sz w:val="24"/>
          <w:highlight w:val="none"/>
        </w:rPr>
        <w:t>监理单位：指发包人委托的负责本工程监理并取得相应工程监理资质等级证书的单位。</w:t>
      </w:r>
    </w:p>
    <w:p w14:paraId="07AD1B1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本合同的监理单位：                   。</w:t>
      </w:r>
    </w:p>
    <w:p w14:paraId="06A4EF7D">
      <w:pPr>
        <w:adjustRightInd w:val="0"/>
        <w:snapToGrid w:val="0"/>
        <w:spacing w:line="360" w:lineRule="auto"/>
        <w:ind w:firstLine="480" w:firstLineChars="200"/>
        <w:rPr>
          <w:rFonts w:hint="default" w:ascii="仿宋" w:hAnsi="仿宋" w:eastAsia="仿宋" w:cs="仿宋"/>
          <w:snapToGrid w:val="0"/>
          <w:color w:val="auto"/>
          <w:kern w:val="0"/>
          <w:sz w:val="24"/>
          <w:highlight w:val="none"/>
          <w:lang w:val="en-US"/>
        </w:rPr>
      </w:pPr>
      <w:r>
        <w:rPr>
          <w:rFonts w:hint="eastAsia" w:ascii="仿宋" w:hAnsi="仿宋" w:eastAsia="仿宋" w:cs="仿宋"/>
          <w:snapToGrid w:val="0"/>
          <w:color w:val="auto"/>
          <w:kern w:val="0"/>
          <w:sz w:val="24"/>
          <w:highlight w:val="none"/>
        </w:rPr>
        <w:t>1.6本工程的施工图审查单位是</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 xml:space="preserve"> </w:t>
      </w:r>
    </w:p>
    <w:p w14:paraId="1E3C7EA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1.7总监理工程师：指本工程监理单位委派的总监理工程师，其具体身份和职权由发包人、承包人在合同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条款中约定。</w:t>
      </w:r>
    </w:p>
    <w:p w14:paraId="1D00A15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1.8合同价款：指发包人、承包人在合同中约定，发包人用以支付承包人按照合同约定完成承包范围内全部工程并承担缺陷修复责任及质量保修责任的款项。</w:t>
      </w:r>
    </w:p>
    <w:p w14:paraId="1A32062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1.9追加合同价款：指在合同履行中发生需要增加合同价款的情况，经发包人确认后按计算合同价款的方法增加的合同价款。</w:t>
      </w:r>
    </w:p>
    <w:p w14:paraId="3E1AA25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1.10费用：指不包含在合同价款之内的应当由发包人或承包人承担的经济支出。</w:t>
      </w:r>
    </w:p>
    <w:p w14:paraId="333CE50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1.11工期：指发包人、承包人在合同协议书中约定，按总日历天数（包括法定节假日）计算的承包天数。</w:t>
      </w:r>
    </w:p>
    <w:p w14:paraId="0EF9F110">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1.12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1CA2860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1.13开始工作日期：指发包人、承包人在合同协议书中约定，承包人开始工作的绝对或相对的日期。</w:t>
      </w:r>
    </w:p>
    <w:p w14:paraId="47A0737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1.14竣工日期：指发包人、承包人在合同协议书中约定，承包人完成承包范围内工程的绝对或相对的日期。</w:t>
      </w:r>
    </w:p>
    <w:p w14:paraId="4171BB6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1.15设计成果文件：指由承包人提交，能满足投资与质量控制要求和作为下阶段设计依据或能指导施工实施的设计图纸、文件、计算书及说明书（含设计变更）、效果图、政府报批所需的模型及存有AutoCAD 2004软件生成的电子格式文件的光盘、工程概算、配合发包人招标工作而提供的技术规格书等技术资料。</w:t>
      </w:r>
    </w:p>
    <w:p w14:paraId="34547A5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1.16设计完整性：指承包人每批次交付的设计文件是合同及附件中约定的全部文件，并保证与提交人自己保留的该部分文件完全一致。</w:t>
      </w:r>
    </w:p>
    <w:p w14:paraId="21CCC59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1.17设计有效性：指设计成果文件符合合同约定并符合现行相关规范和标准规定的要求。</w:t>
      </w:r>
    </w:p>
    <w:p w14:paraId="4CEEB91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1.18设计正确性：指设计成果文件均符合本合同的有关约定，同时保证设计输入的基础资料完整、正确，设计方法、计算方法与结果、技术参数的选用正确、合理，构造合理，图面表达清楚、文字叙述准确，各专业设计协调统一。</w:t>
      </w:r>
    </w:p>
    <w:p w14:paraId="0ED4139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1.19设计经济合理性：指设计成果文件是在符合有效性要求的基础上，采用方案经济比选、价值工程等评价手段，经过发包人组织的评审产生确定的。</w:t>
      </w:r>
    </w:p>
    <w:p w14:paraId="0A0E283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1.20设计可靠性：指根据设计成果文件明示的条件情况投入的设备，所采用的工艺、工法满足技术控制指标要求，之后所形成的已完工程及投入使用的系统、生产工艺满足合同约定且能够在设计年限内充分、正常地实现其设计功能。 </w:t>
      </w:r>
    </w:p>
    <w:p w14:paraId="49B5AC0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1.21设计先进性：指设计成果文件采用国内先进和适用的施工方案、技术、工艺、工法、设备。</w:t>
      </w:r>
    </w:p>
    <w:p w14:paraId="343524BF">
      <w:pPr>
        <w:adjustRightInd w:val="0"/>
        <w:snapToGrid w:val="0"/>
        <w:spacing w:line="360" w:lineRule="auto"/>
        <w:ind w:firstLine="480" w:firstLineChars="200"/>
        <w:rPr>
          <w:rFonts w:ascii="仿宋" w:hAnsi="仿宋" w:eastAsia="仿宋" w:cs="仿宋"/>
          <w:bCs/>
          <w:color w:val="auto"/>
          <w:sz w:val="20"/>
          <w:highlight w:val="none"/>
        </w:rPr>
      </w:pPr>
      <w:r>
        <w:rPr>
          <w:rFonts w:hint="eastAsia" w:ascii="仿宋" w:hAnsi="仿宋" w:eastAsia="仿宋" w:cs="仿宋"/>
          <w:snapToGrid w:val="0"/>
          <w:color w:val="auto"/>
          <w:kern w:val="0"/>
          <w:sz w:val="24"/>
          <w:highlight w:val="none"/>
        </w:rPr>
        <w:t>1.22设计清晰：是指每次交付的设计成果文件中的图样、线条、术语、符号、尺寸标准、文字说明等清楚准确。</w:t>
      </w:r>
    </w:p>
    <w:p w14:paraId="1B7A7752">
      <w:pPr>
        <w:pStyle w:val="19"/>
        <w:adjustRightInd w:val="0"/>
        <w:snapToGrid w:val="0"/>
        <w:spacing w:line="360" w:lineRule="auto"/>
        <w:ind w:firstLine="480" w:firstLineChars="200"/>
        <w:rPr>
          <w:rFonts w:ascii="仿宋" w:hAnsi="仿宋" w:eastAsia="仿宋" w:cs="仿宋"/>
          <w:snapToGrid w:val="0"/>
          <w:color w:val="auto"/>
          <w:highlight w:val="none"/>
        </w:rPr>
      </w:pPr>
      <w:r>
        <w:rPr>
          <w:rFonts w:hint="eastAsia" w:ascii="仿宋" w:hAnsi="仿宋" w:eastAsia="仿宋" w:cs="仿宋"/>
          <w:snapToGrid w:val="0"/>
          <w:color w:val="auto"/>
          <w:highlight w:val="none"/>
        </w:rPr>
        <w:t>1.23设计事故：指因承包人不履行或不完全履行合同约定的设计义务或履行的设计义务不符合合同约定，对本合同项目造成极其严重恶劣影响的行为。</w:t>
      </w:r>
    </w:p>
    <w:p w14:paraId="4531F1B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1.24施工场地：指由发包人提供的用于工程施工的场所以及发包人在图纸中具体指定的供施工使用的任何</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场所。</w:t>
      </w:r>
    </w:p>
    <w:p w14:paraId="79C291D8">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1.25违约责任：指合同任何一方不履行或不完全履行合同约定的义务或者履行义务不符合合同约定所应承担的责任。</w:t>
      </w:r>
    </w:p>
    <w:p w14:paraId="4D9F6CB0">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（1）一般违约责任：指虽然违反本合同的约定，但其违约行为不对本合同的履行造成严重影响而应承担的责任。</w:t>
      </w:r>
    </w:p>
    <w:p w14:paraId="5A612F44">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（2）严重违约责任：指违反本合同的约定且其违约行为足以对本合同的履行造成严重或实质性的影响而应承担的责任。</w:t>
      </w:r>
    </w:p>
    <w:p w14:paraId="48A4279D">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1.26安全事故等级[《安全生产事故报告和调查处理条例》]：</w:t>
      </w:r>
    </w:p>
    <w:p w14:paraId="0E35A5D9">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（1）特别重大事故，是指造成30人以</w:t>
      </w:r>
      <w:bookmarkStart w:id="32" w:name="修改1"/>
      <w:bookmarkEnd w:id="32"/>
      <w:r>
        <w:rPr>
          <w:rFonts w:hint="eastAsia" w:ascii="仿宋" w:hAnsi="仿宋" w:eastAsia="仿宋" w:cs="仿宋"/>
          <w:bCs/>
          <w:snapToGrid w:val="0"/>
          <w:color w:val="auto"/>
          <w:kern w:val="0"/>
          <w:sz w:val="24"/>
          <w:highlight w:val="none"/>
        </w:rPr>
        <w:t>上死亡，或者100人以上重伤（包括急性工业中毒，下同），或者1亿元以上直接经济损失的事故；</w:t>
      </w:r>
    </w:p>
    <w:p w14:paraId="3D3F4BF6">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（2）重大事故，是指造成10人以上30人以下死亡，或者50人以上100人以下重伤，或者5000万元以上1亿元以下直接经济损失的事故；</w:t>
      </w:r>
    </w:p>
    <w:p w14:paraId="44606C6C">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（3）较大事故，是指造成3人以上10人以下死亡，或者10人以上50人以下重伤，或者1000万元以上5000万元以下直接经济损失的事故；</w:t>
      </w:r>
    </w:p>
    <w:p w14:paraId="5F7B4697">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（4）一般事故，是指造成3人以下死亡，或者10人以下重伤，或者1000万元以下直接经济损失的事故。</w:t>
      </w:r>
    </w:p>
    <w:p w14:paraId="5076434C">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上述所称的“以上”包括本数，所称的“以下”不包括本数。</w:t>
      </w:r>
    </w:p>
    <w:p w14:paraId="6AAE178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snapToGrid w:val="0"/>
          <w:color w:val="auto"/>
          <w:kern w:val="0"/>
          <w:sz w:val="24"/>
          <w:highlight w:val="none"/>
        </w:rPr>
        <w:t>1.27质量事故等级[</w:t>
      </w:r>
      <w:r>
        <w:rPr>
          <w:rFonts w:hint="eastAsia" w:ascii="仿宋" w:hAnsi="仿宋" w:eastAsia="仿宋" w:cs="仿宋"/>
          <w:color w:val="auto"/>
          <w:sz w:val="24"/>
          <w:szCs w:val="24"/>
          <w:highlight w:val="none"/>
        </w:rPr>
        <w:t>《安全生产事故报告和调查处理条例》《关于做好房屋建筑和市政基础设施工程质量事故报告和调查处理工作的通知》（建质〔2010〕111号）]：</w:t>
      </w:r>
    </w:p>
    <w:p w14:paraId="60621CC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根据工程质量事故造成的人员伤亡或者直接经济损失，工程质量事故分为4个等级：</w:t>
      </w:r>
    </w:p>
    <w:p w14:paraId="030B7B83">
      <w:pPr>
        <w:adjustRightInd w:val="0"/>
        <w:snapToGrid w:val="0"/>
        <w:spacing w:line="360" w:lineRule="auto"/>
        <w:ind w:firstLine="360" w:firstLineChars="15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（1）特别重大事故，是指造成30人以上死亡，或者100人以上重伤（包括急性工业中毒，下同），或者1亿元以上直接经济损失的事故；</w:t>
      </w:r>
    </w:p>
    <w:p w14:paraId="36C3F246">
      <w:pPr>
        <w:adjustRightInd w:val="0"/>
        <w:snapToGrid w:val="0"/>
        <w:spacing w:line="360" w:lineRule="auto"/>
        <w:ind w:firstLine="360" w:firstLineChars="15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（2）重大事故，是指造成10人以上30人以下死亡，或者50人以上100人以下重伤，或者5000万元以上1亿元以下直接经济损失的事故；</w:t>
      </w:r>
    </w:p>
    <w:p w14:paraId="52F2E8BE">
      <w:pPr>
        <w:adjustRightInd w:val="0"/>
        <w:snapToGrid w:val="0"/>
        <w:spacing w:line="360" w:lineRule="auto"/>
        <w:ind w:firstLine="360" w:firstLineChars="15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（3）较大事故，是指造成3人以上10人以下死亡，或者10人以上50人以下重伤，或者1000万元以上5000万元以下直接经济损失的事故；</w:t>
      </w:r>
    </w:p>
    <w:p w14:paraId="00AF79CF">
      <w:pPr>
        <w:adjustRightInd w:val="0"/>
        <w:snapToGrid w:val="0"/>
        <w:spacing w:line="360" w:lineRule="auto"/>
        <w:ind w:firstLine="360" w:firstLineChars="15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highlight w:val="none"/>
        </w:rPr>
        <w:t>（4）一般事故，是指造成3人以下死亡，或者10人以下重伤，</w:t>
      </w:r>
      <w:r>
        <w:rPr>
          <w:rFonts w:hint="eastAsia" w:ascii="仿宋" w:hAnsi="仿宋" w:eastAsia="仿宋" w:cs="仿宋"/>
          <w:bCs/>
          <w:snapToGrid w:val="0"/>
          <w:color w:val="auto"/>
          <w:kern w:val="0"/>
          <w:sz w:val="24"/>
          <w:szCs w:val="22"/>
          <w:highlight w:val="none"/>
        </w:rPr>
        <w:t>或者100万元以上1000万元以下直接经济损失的事故。</w:t>
      </w:r>
    </w:p>
    <w:p w14:paraId="5C964E24">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本等级划分所称的“以上”包括本数，所称的“以下”不包括本数。</w:t>
      </w:r>
    </w:p>
    <w:p w14:paraId="2319256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1.28“综合单价（合价）包干项目</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分部分项工程量清单计价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措施项目清单计价</w:t>
      </w:r>
      <w:r>
        <w:rPr>
          <w:rFonts w:hint="eastAsia" w:ascii="仿宋" w:hAnsi="仿宋" w:eastAsia="仿宋" w:cs="仿宋"/>
          <w:bCs/>
          <w:snapToGrid w:val="0"/>
          <w:color w:val="auto"/>
          <w:kern w:val="0"/>
          <w:sz w:val="24"/>
          <w:highlight w:val="none"/>
          <w:lang w:eastAsia="zh-CN"/>
        </w:rPr>
        <w:t>”“其他</w:t>
      </w:r>
      <w:r>
        <w:rPr>
          <w:rFonts w:hint="eastAsia" w:ascii="仿宋" w:hAnsi="仿宋" w:eastAsia="仿宋" w:cs="仿宋"/>
          <w:bCs/>
          <w:snapToGrid w:val="0"/>
          <w:color w:val="auto"/>
          <w:kern w:val="0"/>
          <w:sz w:val="24"/>
          <w:highlight w:val="none"/>
        </w:rPr>
        <w:t>项目清单计价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安全生产措施费”等费用项目词语定义以招标文件解释的内容为准。</w:t>
      </w:r>
    </w:p>
    <w:p w14:paraId="4B4587F6">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1.29元：指人民币元。</w:t>
      </w:r>
    </w:p>
    <w:p w14:paraId="29B55BB7">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1.30变更工程和新增工程：按合同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条款第34、35、36条所定义的工程变更执行。</w:t>
      </w:r>
    </w:p>
    <w:p w14:paraId="16DAD56B">
      <w:pPr>
        <w:tabs>
          <w:tab w:val="left" w:pos="6663"/>
        </w:tabs>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1.31乙供材料设备：属承包人采购材料设备范围，是指由承包人根据招标文件和合同约定自行采购并支付货款的材料设备。</w:t>
      </w:r>
    </w:p>
    <w:p w14:paraId="5F46F683">
      <w:pPr>
        <w:tabs>
          <w:tab w:val="left" w:pos="6663"/>
        </w:tabs>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1.32工程造价管理部门：指国务院有关部门、县级以上人民政府建设行政主管部门或其委托的工程造价管理机构。</w:t>
      </w:r>
    </w:p>
    <w:p w14:paraId="0288CFCF">
      <w:pPr>
        <w:tabs>
          <w:tab w:val="left" w:pos="6663"/>
        </w:tabs>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1.33索赔：指在合同履行过程中，对于并非自己的过错，而是应由对方承担责任的情况造成的实际损失，向对方提出经济补偿和（或）工期顺延的要求。</w:t>
      </w:r>
    </w:p>
    <w:p w14:paraId="75438A7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1.34不可抗力：指不能预见、不能避免并不能克服的客观情况。</w:t>
      </w:r>
    </w:p>
    <w:p w14:paraId="771E112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1.35小时或天：本合同中规定按小时计算时间的，从事件有效开始时计算（不扣除休息时间）；规定按天计算时间的，开始当天不计入，从次日开始计算。时限的最后一天是休息日或者</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法定节假日的，以节假日次日为时限的最后一天，但竣工日期除外。时限的最后一天的截止时间为当日24时。</w:t>
      </w:r>
    </w:p>
    <w:p w14:paraId="0F94D4A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1.36书面形式：指合同书、信件和数据电文（包括电报、电传、传真、电子数据交换和电子邮件）等可以有形地表现所载内容的形式。</w:t>
      </w:r>
    </w:p>
    <w:p w14:paraId="2C22A70C">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1.37通知：指合同中所提及的各方之间传达意思表示的方式，包括但不限于申请、报告、同意、答复、批准、指令、证书、决定等。除合同有特别约定外，只有采用书面形式的通知才有效。</w:t>
      </w:r>
    </w:p>
    <w:p w14:paraId="0084488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1.38中国或国家：指中华人民共和国。</w:t>
      </w:r>
    </w:p>
    <w:p w14:paraId="25B27E9F">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1.39</w:t>
      </w:r>
      <w:r>
        <w:rPr>
          <w:rFonts w:hint="eastAsia" w:ascii="仿宋" w:hAnsi="仿宋" w:eastAsia="仿宋" w:cs="仿宋"/>
          <w:bCs/>
          <w:snapToGrid w:val="0"/>
          <w:color w:val="auto"/>
          <w:kern w:val="0"/>
          <w:sz w:val="24"/>
          <w:highlight w:val="none"/>
        </w:rPr>
        <w:t>国内：指中华人民共和国大陆境内。</w:t>
      </w:r>
    </w:p>
    <w:p w14:paraId="7985831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1.40单项工程：指具备独立施工条件并能形成独立使用功能的建筑物及构筑物。</w:t>
      </w:r>
    </w:p>
    <w:p w14:paraId="1E8B7FB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1.41单位工程：指一个独立建筑物或构筑物中的每个专业工程，如：建筑工程、土建工程、安装工程等。</w:t>
      </w:r>
    </w:p>
    <w:p w14:paraId="399966B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1.42缺陷责任期：是指承包人按照合同约定承担缺陷修复义务，且发包人预留质量保证金的期限。本工程缺陷责任期为</w:t>
      </w:r>
      <w:r>
        <w:rPr>
          <w:rFonts w:hint="eastAsia" w:ascii="仿宋" w:hAnsi="仿宋" w:eastAsia="仿宋" w:cs="仿宋"/>
          <w:snapToGrid w:val="0"/>
          <w:color w:val="auto"/>
          <w:kern w:val="0"/>
          <w:sz w:val="24"/>
          <w:highlight w:val="none"/>
          <w:lang w:val="en-US" w:eastAsia="zh-CN"/>
        </w:rPr>
        <w:t>24</w:t>
      </w:r>
      <w:r>
        <w:rPr>
          <w:rFonts w:hint="eastAsia" w:ascii="仿宋" w:hAnsi="仿宋" w:eastAsia="仿宋" w:cs="仿宋"/>
          <w:snapToGrid w:val="0"/>
          <w:color w:val="auto"/>
          <w:kern w:val="0"/>
          <w:sz w:val="24"/>
          <w:highlight w:val="none"/>
        </w:rPr>
        <w:t>个月，自工程竣工验收合格之日起计算。</w:t>
      </w:r>
    </w:p>
    <w:p w14:paraId="5A999E6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单位工程先于全部工程进行验收，经验收合格并交付使用的，该单位工程缺陷责任期自单位工程验收合格之日起算。</w:t>
      </w:r>
    </w:p>
    <w:p w14:paraId="38FF4E1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1.43质量保证金：是指发包人与承包人在本合同中约定，从应付的工程款中预留，用以保证承包人在缺陷责任期内对建设工程出现的缺陷进行维修的资金。</w:t>
      </w:r>
    </w:p>
    <w:p w14:paraId="6DB6234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2"/>
          <w:highlight w:val="none"/>
        </w:rPr>
        <w:t>1.44工程保险：指建筑工程一切险、安装工程一切险（为合同工程办理）、第三者责任险（为第三者办理）及其他保险（为运至施工场地内用于永久工程材料和待安装工程设备办理）。保险期从办理保险之日起至工程竣工验收合格之日止。</w:t>
      </w:r>
    </w:p>
    <w:p w14:paraId="33DDDD70">
      <w:pPr>
        <w:numPr>
          <w:ilvl w:val="0"/>
          <w:numId w:val="4"/>
        </w:numPr>
        <w:adjustRightInd w:val="0"/>
        <w:snapToGrid w:val="0"/>
        <w:spacing w:line="360" w:lineRule="auto"/>
        <w:outlineLvl w:val="2"/>
        <w:rPr>
          <w:rFonts w:ascii="仿宋" w:hAnsi="仿宋" w:eastAsia="仿宋" w:cs="仿宋"/>
          <w:b/>
          <w:snapToGrid w:val="0"/>
          <w:color w:val="auto"/>
          <w:kern w:val="0"/>
          <w:sz w:val="24"/>
          <w:highlight w:val="none"/>
        </w:rPr>
      </w:pPr>
      <w:bookmarkStart w:id="33" w:name="_Toc504735607"/>
      <w:bookmarkStart w:id="34" w:name="_Toc83377244"/>
      <w:bookmarkStart w:id="35" w:name="_Toc299"/>
      <w:bookmarkStart w:id="36" w:name="_Toc2784856"/>
      <w:bookmarkStart w:id="37" w:name="_Toc504465878"/>
      <w:bookmarkStart w:id="38" w:name="_Toc502215475"/>
      <w:r>
        <w:rPr>
          <w:rFonts w:hint="eastAsia" w:ascii="仿宋" w:hAnsi="仿宋" w:eastAsia="仿宋" w:cs="仿宋"/>
          <w:b/>
          <w:snapToGrid w:val="0"/>
          <w:color w:val="auto"/>
          <w:kern w:val="0"/>
          <w:sz w:val="24"/>
          <w:highlight w:val="none"/>
        </w:rPr>
        <w:t>合同文件及解释顺序</w:t>
      </w:r>
      <w:bookmarkEnd w:id="33"/>
      <w:bookmarkEnd w:id="34"/>
      <w:bookmarkEnd w:id="35"/>
      <w:bookmarkEnd w:id="36"/>
      <w:bookmarkEnd w:id="37"/>
      <w:bookmarkEnd w:id="38"/>
    </w:p>
    <w:p w14:paraId="3FDDBF3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合同文件应能相互解释，互为说明。组成本合同的文件及优先解释顺序按合同协议书第7条的约定执行。</w:t>
      </w:r>
    </w:p>
    <w:p w14:paraId="5257C045">
      <w:pPr>
        <w:adjustRightInd w:val="0"/>
        <w:snapToGrid w:val="0"/>
        <w:spacing w:line="360" w:lineRule="auto"/>
        <w:ind w:firstLine="480" w:firstLineChars="200"/>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合同履行中，发包人、承包人有关工程的洽商、变更等书面协议或文件视为本合同的组成部分。</w:t>
      </w:r>
    </w:p>
    <w:p w14:paraId="67047AC2">
      <w:pPr>
        <w:numPr>
          <w:ilvl w:val="0"/>
          <w:numId w:val="4"/>
        </w:numPr>
        <w:adjustRightInd w:val="0"/>
        <w:snapToGrid w:val="0"/>
        <w:spacing w:line="360" w:lineRule="auto"/>
        <w:outlineLvl w:val="2"/>
        <w:rPr>
          <w:rFonts w:ascii="仿宋" w:hAnsi="仿宋" w:eastAsia="仿宋" w:cs="仿宋"/>
          <w:b/>
          <w:snapToGrid w:val="0"/>
          <w:color w:val="auto"/>
          <w:kern w:val="0"/>
          <w:sz w:val="24"/>
          <w:highlight w:val="none"/>
        </w:rPr>
      </w:pPr>
      <w:bookmarkStart w:id="39" w:name="_Toc83377245"/>
      <w:bookmarkStart w:id="40" w:name="_Toc502215476"/>
      <w:bookmarkStart w:id="41" w:name="_Toc20776"/>
      <w:bookmarkStart w:id="42" w:name="_Toc2784857"/>
      <w:bookmarkStart w:id="43" w:name="_Toc504465879"/>
      <w:bookmarkStart w:id="44" w:name="_Toc504735608"/>
      <w:r>
        <w:rPr>
          <w:rFonts w:hint="eastAsia" w:ascii="仿宋" w:hAnsi="仿宋" w:eastAsia="仿宋" w:cs="仿宋"/>
          <w:b/>
          <w:snapToGrid w:val="0"/>
          <w:color w:val="auto"/>
          <w:kern w:val="0"/>
          <w:sz w:val="24"/>
          <w:highlight w:val="none"/>
        </w:rPr>
        <w:t>语言文字</w:t>
      </w:r>
      <w:bookmarkEnd w:id="39"/>
    </w:p>
    <w:p w14:paraId="51FD479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3.1语言文字</w:t>
      </w:r>
    </w:p>
    <w:p w14:paraId="260CF04B">
      <w:pPr>
        <w:pStyle w:val="21"/>
        <w:ind w:firstLine="480" w:firstLineChars="200"/>
        <w:rPr>
          <w:rFonts w:ascii="仿宋" w:hAnsi="仿宋" w:eastAsia="仿宋" w:cs="仿宋"/>
          <w:color w:val="auto"/>
          <w:highlight w:val="none"/>
        </w:rPr>
      </w:pPr>
      <w:r>
        <w:rPr>
          <w:rFonts w:hint="eastAsia" w:ascii="仿宋" w:hAnsi="仿宋" w:eastAsia="仿宋" w:cs="仿宋"/>
          <w:snapToGrid w:val="0"/>
          <w:color w:val="auto"/>
          <w:sz w:val="24"/>
          <w:highlight w:val="none"/>
        </w:rPr>
        <w:t>本合同文件使用汉语语言文字书写、解释和说明。</w:t>
      </w:r>
    </w:p>
    <w:p w14:paraId="1493E367">
      <w:pPr>
        <w:numPr>
          <w:ilvl w:val="0"/>
          <w:numId w:val="4"/>
        </w:numPr>
        <w:adjustRightInd w:val="0"/>
        <w:snapToGrid w:val="0"/>
        <w:spacing w:line="360" w:lineRule="auto"/>
        <w:outlineLvl w:val="2"/>
        <w:rPr>
          <w:rFonts w:ascii="仿宋" w:hAnsi="仿宋" w:eastAsia="仿宋" w:cs="仿宋"/>
          <w:b/>
          <w:snapToGrid w:val="0"/>
          <w:color w:val="auto"/>
          <w:kern w:val="0"/>
          <w:sz w:val="24"/>
          <w:highlight w:val="none"/>
        </w:rPr>
      </w:pPr>
      <w:bookmarkStart w:id="45" w:name="_Toc83377246"/>
      <w:r>
        <w:rPr>
          <w:rFonts w:hint="eastAsia" w:ascii="仿宋" w:hAnsi="仿宋" w:eastAsia="仿宋" w:cs="仿宋"/>
          <w:b/>
          <w:snapToGrid w:val="0"/>
          <w:color w:val="auto"/>
          <w:kern w:val="0"/>
          <w:sz w:val="24"/>
          <w:highlight w:val="none"/>
        </w:rPr>
        <w:t>适用法律、标准及规范</w:t>
      </w:r>
      <w:bookmarkEnd w:id="40"/>
      <w:bookmarkEnd w:id="41"/>
      <w:bookmarkEnd w:id="42"/>
      <w:bookmarkEnd w:id="43"/>
      <w:bookmarkEnd w:id="44"/>
      <w:bookmarkEnd w:id="45"/>
    </w:p>
    <w:p w14:paraId="63ACF82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4.1适用法律和法规</w:t>
      </w:r>
    </w:p>
    <w:p w14:paraId="425AC097">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适用于本合同的法律法规是中华人民共和国法律、法规，合同约定的部门规章及工程所在地的地方法规。</w:t>
      </w:r>
    </w:p>
    <w:p w14:paraId="62E1384C">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需要明示的法律、行政法规为：《中华人民共和国民法典》《中华人民共和国建筑法》</w:t>
      </w:r>
      <w:r>
        <w:rPr>
          <w:rFonts w:hint="eastAsia" w:ascii="仿宋" w:hAnsi="仿宋" w:eastAsia="仿宋" w:cs="仿宋"/>
          <w:snapToGrid w:val="0"/>
          <w:color w:val="auto"/>
          <w:kern w:val="0"/>
          <w:sz w:val="24"/>
          <w:highlight w:val="none"/>
        </w:rPr>
        <w:t>《中华人民共和国招标投标法》《中华人民共和国城乡规划法》《建设工程勘察设计管理条例》</w:t>
      </w:r>
      <w:r>
        <w:rPr>
          <w:rFonts w:hint="eastAsia" w:ascii="仿宋" w:hAnsi="仿宋" w:eastAsia="仿宋" w:cs="仿宋"/>
          <w:bCs/>
          <w:snapToGrid w:val="0"/>
          <w:color w:val="auto"/>
          <w:kern w:val="0"/>
          <w:sz w:val="24"/>
          <w:highlight w:val="none"/>
        </w:rPr>
        <w:t>《建设工程质量管理条例》《</w:t>
      </w:r>
      <w:r>
        <w:rPr>
          <w:rFonts w:hint="eastAsia" w:ascii="仿宋" w:hAnsi="仿宋" w:eastAsia="仿宋" w:cs="仿宋"/>
          <w:bCs/>
          <w:snapToGrid w:val="0"/>
          <w:color w:val="auto"/>
          <w:kern w:val="0"/>
          <w:sz w:val="24"/>
          <w:highlight w:val="none"/>
          <w:lang w:eastAsia="zh-CN"/>
        </w:rPr>
        <w:t>建设工程安全生产管理条例</w:t>
      </w:r>
      <w:r>
        <w:rPr>
          <w:rFonts w:hint="eastAsia" w:ascii="仿宋" w:hAnsi="仿宋" w:eastAsia="仿宋" w:cs="仿宋"/>
          <w:bCs/>
          <w:snapToGrid w:val="0"/>
          <w:color w:val="auto"/>
          <w:kern w:val="0"/>
          <w:sz w:val="24"/>
          <w:highlight w:val="none"/>
        </w:rPr>
        <w:t>》。</w:t>
      </w:r>
    </w:p>
    <w:p w14:paraId="316AD8B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4.2适用标准、规范</w:t>
      </w:r>
    </w:p>
    <w:p w14:paraId="54851A2D">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4D0635B7">
      <w:pPr>
        <w:pStyle w:val="13"/>
        <w:adjustRightInd w:val="0"/>
        <w:snapToGrid w:val="0"/>
        <w:spacing w:line="360" w:lineRule="auto"/>
        <w:ind w:left="5250"/>
        <w:rPr>
          <w:rFonts w:ascii="仿宋" w:hAnsi="仿宋" w:eastAsia="仿宋" w:cs="仿宋"/>
          <w:snapToGrid w:val="0"/>
          <w:color w:val="auto"/>
          <w:highlight w:val="none"/>
        </w:rPr>
      </w:pPr>
    </w:p>
    <w:p w14:paraId="78F8FE7E">
      <w:pPr>
        <w:pStyle w:val="13"/>
        <w:adjustRightInd w:val="0"/>
        <w:snapToGrid w:val="0"/>
        <w:spacing w:line="360" w:lineRule="auto"/>
        <w:ind w:left="99" w:leftChars="47"/>
        <w:jc w:val="left"/>
        <w:outlineLvl w:val="1"/>
        <w:rPr>
          <w:rFonts w:ascii="仿宋" w:hAnsi="仿宋" w:eastAsia="仿宋" w:cs="仿宋"/>
          <w:b/>
          <w:snapToGrid w:val="0"/>
          <w:color w:val="auto"/>
          <w:sz w:val="28"/>
          <w:szCs w:val="28"/>
          <w:highlight w:val="none"/>
        </w:rPr>
      </w:pPr>
      <w:bookmarkStart w:id="46" w:name="_Toc2003"/>
      <w:bookmarkStart w:id="47" w:name="_Toc2784859"/>
      <w:bookmarkStart w:id="48" w:name="_Toc83377247"/>
      <w:bookmarkStart w:id="49" w:name="_Toc504465881"/>
      <w:bookmarkStart w:id="50" w:name="_Toc502215478"/>
      <w:r>
        <w:rPr>
          <w:rFonts w:hint="eastAsia" w:ascii="仿宋" w:hAnsi="仿宋" w:eastAsia="仿宋" w:cs="仿宋"/>
          <w:b/>
          <w:snapToGrid w:val="0"/>
          <w:color w:val="auto"/>
          <w:sz w:val="28"/>
          <w:szCs w:val="28"/>
          <w:highlight w:val="none"/>
        </w:rPr>
        <w:t>二、双方一般权利和义务</w:t>
      </w:r>
      <w:bookmarkEnd w:id="46"/>
      <w:bookmarkEnd w:id="47"/>
      <w:bookmarkEnd w:id="48"/>
      <w:bookmarkEnd w:id="49"/>
      <w:bookmarkEnd w:id="50"/>
    </w:p>
    <w:p w14:paraId="294121F1">
      <w:pPr>
        <w:adjustRightInd w:val="0"/>
        <w:snapToGrid w:val="0"/>
        <w:spacing w:line="360" w:lineRule="auto"/>
        <w:outlineLvl w:val="2"/>
        <w:rPr>
          <w:rFonts w:ascii="仿宋" w:hAnsi="仿宋" w:eastAsia="仿宋" w:cs="仿宋"/>
          <w:b/>
          <w:snapToGrid w:val="0"/>
          <w:color w:val="auto"/>
          <w:kern w:val="0"/>
          <w:sz w:val="24"/>
          <w:highlight w:val="none"/>
        </w:rPr>
      </w:pPr>
      <w:bookmarkStart w:id="51" w:name="_Toc83377248"/>
      <w:bookmarkStart w:id="52" w:name="_Toc504465882"/>
      <w:bookmarkStart w:id="53" w:name="_Toc502215479"/>
      <w:bookmarkStart w:id="54" w:name="_Toc2784860"/>
      <w:bookmarkStart w:id="55" w:name="_Toc16758"/>
      <w:r>
        <w:rPr>
          <w:rFonts w:hint="eastAsia" w:ascii="仿宋" w:hAnsi="仿宋" w:eastAsia="仿宋" w:cs="仿宋"/>
          <w:b/>
          <w:snapToGrid w:val="0"/>
          <w:color w:val="auto"/>
          <w:kern w:val="0"/>
          <w:sz w:val="24"/>
          <w:highlight w:val="none"/>
          <w:lang w:eastAsia="zh-CN"/>
        </w:rPr>
        <w:t>5.</w:t>
      </w:r>
      <w:r>
        <w:rPr>
          <w:rFonts w:hint="eastAsia" w:ascii="仿宋" w:hAnsi="仿宋" w:eastAsia="仿宋" w:cs="仿宋"/>
          <w:b/>
          <w:snapToGrid w:val="0"/>
          <w:color w:val="auto"/>
          <w:kern w:val="0"/>
          <w:sz w:val="24"/>
          <w:highlight w:val="none"/>
        </w:rPr>
        <w:t>总监理工程师</w:t>
      </w:r>
      <w:bookmarkEnd w:id="51"/>
      <w:bookmarkEnd w:id="52"/>
      <w:bookmarkEnd w:id="53"/>
      <w:bookmarkEnd w:id="54"/>
      <w:bookmarkEnd w:id="55"/>
    </w:p>
    <w:p w14:paraId="336E8DA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5.1本项目实行工程监理。</w:t>
      </w:r>
    </w:p>
    <w:p w14:paraId="242243D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w:t>
      </w:r>
      <w:r>
        <w:rPr>
          <w:rFonts w:hint="eastAsia" w:ascii="仿宋" w:hAnsi="仿宋" w:eastAsia="仿宋" w:cs="仿宋"/>
          <w:bCs/>
          <w:snapToGrid w:val="0"/>
          <w:color w:val="auto"/>
          <w:kern w:val="0"/>
          <w:sz w:val="24"/>
          <w:highlight w:val="none"/>
        </w:rPr>
        <w:t>本工程的监理单位，总监理工程师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lang w:eastAsia="zh-CN"/>
        </w:rPr>
        <w:t xml:space="preserve"> </w:t>
      </w:r>
      <w:r>
        <w:rPr>
          <w:rFonts w:hint="eastAsia" w:ascii="仿宋" w:hAnsi="仿宋" w:eastAsia="仿宋" w:cs="仿宋"/>
          <w:bCs/>
          <w:snapToGrid w:val="0"/>
          <w:color w:val="auto"/>
          <w:kern w:val="0"/>
          <w:sz w:val="24"/>
          <w:highlight w:val="none"/>
        </w:rPr>
        <w:t>。监理单位的职责以发包人与监理单位签订的委托监理合同为准。</w:t>
      </w:r>
    </w:p>
    <w:p w14:paraId="72D83E7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总监理工程师按合同约定行使职权，如涉及工程变更、工期调整、合同价款调整等事项，总监理工程师应征得发包人批准。</w:t>
      </w:r>
    </w:p>
    <w:p w14:paraId="24116A51">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5.3发包人派驻施工场地履行合同的代表在本合同中称发包人代表，</w:t>
      </w:r>
      <w:r>
        <w:rPr>
          <w:rFonts w:hint="eastAsia" w:ascii="仿宋" w:hAnsi="仿宋" w:eastAsia="仿宋" w:cs="仿宋"/>
          <w:bCs/>
          <w:snapToGrid w:val="0"/>
          <w:color w:val="auto"/>
          <w:kern w:val="0"/>
          <w:sz w:val="24"/>
          <w:highlight w:val="none"/>
        </w:rPr>
        <w:t>其姓名、职务如下：</w:t>
      </w:r>
    </w:p>
    <w:p w14:paraId="6073BFA4">
      <w:pPr>
        <w:adjustRightInd w:val="0"/>
        <w:snapToGrid w:val="0"/>
        <w:spacing w:line="360" w:lineRule="auto"/>
        <w:ind w:right="11" w:firstLine="460" w:firstLineChars="192"/>
        <w:rPr>
          <w:rFonts w:ascii="仿宋" w:hAnsi="仿宋" w:eastAsia="仿宋" w:cs="仿宋"/>
          <w:snapToGrid w:val="0"/>
          <w:color w:val="auto"/>
          <w:kern w:val="0"/>
          <w:sz w:val="24"/>
          <w:highlight w:val="none"/>
          <w:u w:val="single"/>
        </w:rPr>
      </w:pPr>
      <w:r>
        <w:rPr>
          <w:rFonts w:hint="eastAsia" w:ascii="仿宋" w:hAnsi="仿宋" w:eastAsia="仿宋" w:cs="仿宋"/>
          <w:bCs/>
          <w:snapToGrid w:val="0"/>
          <w:color w:val="auto"/>
          <w:kern w:val="0"/>
          <w:sz w:val="24"/>
          <w:highlight w:val="none"/>
        </w:rPr>
        <w:t>姓名：</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none"/>
        </w:rPr>
        <w:t xml:space="preserve"> 电话：</w:t>
      </w:r>
      <w:r>
        <w:rPr>
          <w:rFonts w:ascii="仿宋" w:hAnsi="仿宋" w:eastAsia="仿宋" w:cs="仿宋"/>
          <w:snapToGrid w:val="0"/>
          <w:color w:val="auto"/>
          <w:kern w:val="0"/>
          <w:sz w:val="24"/>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仿宋" w:hAnsi="仿宋" w:eastAsia="仿宋" w:cs="仿宋"/>
          <w:bCs/>
          <w:snapToGrid w:val="0"/>
          <w:color w:val="auto"/>
          <w:kern w:val="0"/>
          <w:sz w:val="24"/>
          <w:szCs w:val="20"/>
          <w:highlight w:val="none"/>
          <w:u w:val="single"/>
          <w:lang w:val="en-US" w:eastAsia="zh-CN"/>
        </w:rPr>
        <w:t xml:space="preserve"> </w:t>
      </w:r>
      <w:r>
        <w:rPr>
          <w:rFonts w:ascii="仿宋" w:hAnsi="仿宋" w:eastAsia="仿宋" w:cs="仿宋"/>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w:t>
      </w:r>
    </w:p>
    <w:p w14:paraId="0BD5D8C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5.4合同履行中，发生影响发包人、承包人双方权利或义务的事件时，总监理工程师应依据合同在其职权范围内客观公正地进行处理。一方对总监理工程师的处理有异议时，按合同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条关于争议的约定处理。</w:t>
      </w:r>
    </w:p>
    <w:p w14:paraId="5ABE1CC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5.5除合同内有明确约定或经发包人同意外，总监理工程师无权解释本合同约定的承包人任何权利与义务。</w:t>
      </w:r>
    </w:p>
    <w:p w14:paraId="238950CC">
      <w:pPr>
        <w:adjustRightInd w:val="0"/>
        <w:snapToGrid w:val="0"/>
        <w:spacing w:line="360" w:lineRule="auto"/>
        <w:rPr>
          <w:rFonts w:ascii="仿宋" w:hAnsi="仿宋" w:eastAsia="仿宋" w:cs="仿宋"/>
          <w:b/>
          <w:snapToGrid w:val="0"/>
          <w:color w:val="auto"/>
          <w:kern w:val="0"/>
          <w:sz w:val="24"/>
          <w:highlight w:val="none"/>
        </w:rPr>
      </w:pPr>
    </w:p>
    <w:p w14:paraId="08E1EC4B">
      <w:pPr>
        <w:adjustRightInd w:val="0"/>
        <w:snapToGrid w:val="0"/>
        <w:spacing w:line="360" w:lineRule="auto"/>
        <w:outlineLvl w:val="2"/>
        <w:rPr>
          <w:rFonts w:ascii="仿宋" w:hAnsi="仿宋" w:eastAsia="仿宋" w:cs="仿宋"/>
          <w:b/>
          <w:snapToGrid w:val="0"/>
          <w:color w:val="auto"/>
          <w:kern w:val="0"/>
          <w:sz w:val="24"/>
          <w:highlight w:val="none"/>
        </w:rPr>
      </w:pPr>
      <w:bookmarkStart w:id="56" w:name="_Toc504465883"/>
      <w:bookmarkStart w:id="57" w:name="_Toc13988"/>
      <w:bookmarkStart w:id="58" w:name="_Toc83377249"/>
      <w:bookmarkStart w:id="59" w:name="_Toc2784861"/>
      <w:bookmarkStart w:id="60" w:name="_Toc502215480"/>
      <w:r>
        <w:rPr>
          <w:rFonts w:hint="eastAsia" w:ascii="仿宋" w:hAnsi="仿宋" w:eastAsia="仿宋" w:cs="仿宋"/>
          <w:b/>
          <w:snapToGrid w:val="0"/>
          <w:color w:val="auto"/>
          <w:kern w:val="0"/>
          <w:sz w:val="24"/>
          <w:highlight w:val="none"/>
          <w:lang w:eastAsia="zh-CN"/>
        </w:rPr>
        <w:t>6.</w:t>
      </w:r>
      <w:r>
        <w:rPr>
          <w:rFonts w:hint="eastAsia" w:ascii="仿宋" w:hAnsi="仿宋" w:eastAsia="仿宋" w:cs="仿宋"/>
          <w:b/>
          <w:snapToGrid w:val="0"/>
          <w:color w:val="auto"/>
          <w:kern w:val="0"/>
          <w:sz w:val="24"/>
          <w:highlight w:val="none"/>
        </w:rPr>
        <w:t>总监理工程师的委派和指令</w:t>
      </w:r>
      <w:bookmarkEnd w:id="56"/>
      <w:bookmarkEnd w:id="57"/>
      <w:bookmarkEnd w:id="58"/>
      <w:bookmarkEnd w:id="59"/>
      <w:bookmarkEnd w:id="60"/>
    </w:p>
    <w:p w14:paraId="443C6F2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6.1总监理工程师可委派总监理工程师代表，行使合同约定的自己的职权，并可在认为必要时撤回委派。委派和撤回均应提前7天以书面形式通知承包人，总监理工程师还应将委派和撤回通知发包人。委派书和撤回通知作为合同附件。</w:t>
      </w:r>
    </w:p>
    <w:p w14:paraId="2A32552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总监理工程师代表在总监理工程师授权范围内向承包人发出的任何书面形式的函件，与总监理工程师发出的函件具有同等效力。承包人对总监理工程师代表向其发出的任何书面形式的函件有疑问时，可将此函件提交总监理工程师，总监理工程师应进行确认。总监理工程师代表发出指令有失误时，总监理工程师应进行改正。</w:t>
      </w:r>
    </w:p>
    <w:p w14:paraId="7290479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除发包人代表和总监理工程师或总监理工程师代表外，发包人派驻工地的</w:t>
      </w:r>
      <w:r>
        <w:rPr>
          <w:rFonts w:hint="eastAsia" w:ascii="仿宋" w:hAnsi="仿宋" w:eastAsia="仿宋" w:cs="仿宋"/>
          <w:snapToGrid w:val="0"/>
          <w:color w:val="auto"/>
          <w:kern w:val="0"/>
          <w:sz w:val="24"/>
          <w:highlight w:val="none"/>
          <w:lang w:eastAsia="zh-CN"/>
        </w:rPr>
        <w:t>其他人员</w:t>
      </w:r>
      <w:r>
        <w:rPr>
          <w:rFonts w:hint="eastAsia" w:ascii="仿宋" w:hAnsi="仿宋" w:eastAsia="仿宋" w:cs="仿宋"/>
          <w:snapToGrid w:val="0"/>
          <w:color w:val="auto"/>
          <w:kern w:val="0"/>
          <w:sz w:val="24"/>
          <w:highlight w:val="none"/>
        </w:rPr>
        <w:t>均无权向承包人发出任何指令。</w:t>
      </w:r>
    </w:p>
    <w:p w14:paraId="484D16CD">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14:paraId="1CE1BFF6">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6.3由于总监理工程师未能按合同约定履行义务造成工期延误的，工期顺延情形只适用于一般节点工期。</w:t>
      </w:r>
    </w:p>
    <w:p w14:paraId="679F9A0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6.4如需更换总监理工程师，发包人应至少提前7天以书面形式通知承包人，后任继续行使合同文件约定的前任的职权，履行前任的义务。</w:t>
      </w:r>
    </w:p>
    <w:p w14:paraId="29C6420A">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6.5除特别指明外，总监理工程师对承包人的任何工作、工程或其采用的材料和设备未提出否定意见的，不应视为已获批准，也不影响总监理工程师在以后拒绝该项工作、工程、材料设备的权利。</w:t>
      </w:r>
    </w:p>
    <w:p w14:paraId="15147CA6">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6.6总监理工程师的指令应该有总监理工程师的签字，并加盖监理单位驻施工场地机构印章。</w:t>
      </w:r>
    </w:p>
    <w:p w14:paraId="0A54ED49">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6.7合同约定应由承包人承担的义务和责任，不因监理单位对承包人文件的审查或批准，对工程、材料和工程设备的检查和检验，以及为实施监理作出的指示等职务行为而减轻或解除。</w:t>
      </w:r>
    </w:p>
    <w:p w14:paraId="19B5312B">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p>
    <w:p w14:paraId="7D37A82A">
      <w:pPr>
        <w:adjustRightInd w:val="0"/>
        <w:snapToGrid w:val="0"/>
        <w:spacing w:line="360" w:lineRule="auto"/>
        <w:outlineLvl w:val="2"/>
        <w:rPr>
          <w:rFonts w:ascii="仿宋" w:hAnsi="仿宋" w:eastAsia="仿宋" w:cs="仿宋"/>
          <w:b/>
          <w:snapToGrid w:val="0"/>
          <w:color w:val="auto"/>
          <w:kern w:val="0"/>
          <w:sz w:val="24"/>
          <w:highlight w:val="none"/>
        </w:rPr>
      </w:pPr>
      <w:bookmarkStart w:id="61" w:name="_Toc502215481"/>
      <w:bookmarkStart w:id="62" w:name="_Toc504465884"/>
      <w:bookmarkStart w:id="63" w:name="_Toc83377250"/>
      <w:bookmarkStart w:id="64" w:name="_Toc32711"/>
      <w:bookmarkStart w:id="65" w:name="_Toc2784862"/>
      <w:r>
        <w:rPr>
          <w:rFonts w:hint="eastAsia" w:ascii="仿宋" w:hAnsi="仿宋" w:eastAsia="仿宋" w:cs="仿宋"/>
          <w:b/>
          <w:snapToGrid w:val="0"/>
          <w:color w:val="auto"/>
          <w:kern w:val="0"/>
          <w:sz w:val="24"/>
          <w:highlight w:val="none"/>
          <w:lang w:eastAsia="zh-CN"/>
        </w:rPr>
        <w:t>7.</w:t>
      </w:r>
      <w:bookmarkEnd w:id="61"/>
      <w:bookmarkEnd w:id="62"/>
      <w:r>
        <w:rPr>
          <w:rFonts w:hint="eastAsia" w:ascii="仿宋" w:hAnsi="仿宋" w:eastAsia="仿宋" w:cs="仿宋"/>
          <w:b/>
          <w:snapToGrid w:val="0"/>
          <w:color w:val="auto"/>
          <w:kern w:val="0"/>
          <w:sz w:val="24"/>
          <w:highlight w:val="none"/>
        </w:rPr>
        <w:t>项目管理团队</w:t>
      </w:r>
      <w:bookmarkEnd w:id="63"/>
      <w:bookmarkEnd w:id="64"/>
      <w:bookmarkEnd w:id="65"/>
    </w:p>
    <w:p w14:paraId="0DA478C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7.1本项目主要管理负责人：</w:t>
      </w:r>
    </w:p>
    <w:p w14:paraId="4B2C02F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w:t>
      </w: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姓名：</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rPr>
        <w:t xml:space="preserve"> </w:t>
      </w:r>
      <w:r>
        <w:rPr>
          <w:rFonts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rPr>
        <w:t>电话</w:t>
      </w:r>
      <w:r>
        <w:rPr>
          <w:rFonts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06116FD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（2）设计负责人姓名：</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3FC2CE5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应为承包人的员工，承包人应保证其在投标文件中向发包人提交的相关证明文件真实有效，否则施工负责人和施工协办方施工负责人（如有）无权履行职责，由此影响工程进度或发生其他问题的，由承包人承担全部责任。</w:t>
      </w:r>
    </w:p>
    <w:p w14:paraId="0A9D185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应常驻项目现场，且每月在现场的时间不得少于发包人规定的天数。</w:t>
      </w: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不得同时担任其他项目的施工负责人。</w:t>
      </w:r>
    </w:p>
    <w:p w14:paraId="3E28F6D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7.2承包人依据合同发出的通知，以书面形式由项目经理签字后送交总监理工程师，总监理工程师在回执上签署姓名和收到时间后生效。</w:t>
      </w:r>
    </w:p>
    <w:p w14:paraId="0F48BAD6">
      <w:pPr>
        <w:adjustRightInd w:val="0"/>
        <w:snapToGrid w:val="0"/>
        <w:spacing w:line="360" w:lineRule="auto"/>
        <w:ind w:firstLine="480" w:firstLineChars="200"/>
        <w:rPr>
          <w:rFonts w:ascii="仿宋" w:hAnsi="仿宋" w:eastAsia="仿宋" w:cs="仿宋"/>
          <w:dstrike/>
          <w:snapToGrid w:val="0"/>
          <w:color w:val="auto"/>
          <w:kern w:val="0"/>
          <w:sz w:val="24"/>
          <w:highlight w:val="none"/>
        </w:rPr>
      </w:pPr>
      <w:r>
        <w:rPr>
          <w:rFonts w:hint="eastAsia" w:ascii="仿宋" w:hAnsi="仿宋" w:eastAsia="仿宋" w:cs="仿宋"/>
          <w:snapToGrid w:val="0"/>
          <w:color w:val="auto"/>
          <w:kern w:val="0"/>
          <w:sz w:val="24"/>
          <w:highlight w:val="none"/>
        </w:rPr>
        <w:t>7.3施工负责人按经总监理工程师审批认可的施工组织设计（施工方案）和总监理工程师依据合同发出的指令组织施工。在情况紧急且无法与总监理工程师联系时，施工负责人应当采取保证人员生命和工程、财产安全的紧急措施，并在采取措施后48小时内向总监理工程师送交报告。</w:t>
      </w:r>
    </w:p>
    <w:p w14:paraId="49C075F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7.4承包人如需更换设计负责人、施工负责人，应至少提前7天以书面形式通知发包人，并征得发包人同意。后任继续行使合同文件约定的前任的职权，履行前任的义务，若更换项目经理而未征得发包人同意的，不得计量项目经理的现场组织实施管理费（本合同另有约定的除外）。</w:t>
      </w:r>
    </w:p>
    <w:p w14:paraId="76D7ABF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7.5发包人有权要求承包人更换其认为不称职的</w:t>
      </w:r>
      <w:r>
        <w:rPr>
          <w:rFonts w:hint="eastAsia" w:ascii="仿宋" w:hAnsi="仿宋" w:eastAsia="仿宋" w:cs="仿宋"/>
          <w:color w:val="auto"/>
          <w:sz w:val="24"/>
          <w:szCs w:val="24"/>
          <w:highlight w:val="none"/>
        </w:rPr>
        <w:t>项目负责人（兼施工项目负责人）</w:t>
      </w:r>
    </w:p>
    <w:p w14:paraId="14EFAEA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7.6现场管理机构</w:t>
      </w:r>
    </w:p>
    <w:p w14:paraId="193EF9DC">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（1）承包人必须按照投标文件的承诺建立现场管理机构，严格执行《建设工程项目管理规范》（GB/T50326-2017），并积极主动接受建设行政主管部门的监督和检查。</w:t>
      </w:r>
    </w:p>
    <w:p w14:paraId="530BF1D1">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主要技术管理人员在开工前必须全部到位，并接受总监理工程师和发包人代表的查验。</w:t>
      </w:r>
    </w:p>
    <w:p w14:paraId="1E3EBC07">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承包人委派的现场管理机构各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主要技术管理人员不得有兼职情况存在，并需接受监理单位的监督。</w:t>
      </w:r>
    </w:p>
    <w:p w14:paraId="0DC4AA72">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7.7现场管理机构各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35050A00">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更换人员必须履行建设行政主管部门规定的人员变更手续，后任人员继续行使前任的职权，履行前任的义务。</w:t>
      </w:r>
    </w:p>
    <w:p w14:paraId="6E7387C3">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7.8现场管理机构各部主要技术管理人员的</w:t>
      </w:r>
      <w:r>
        <w:rPr>
          <w:rFonts w:hint="eastAsia" w:ascii="仿宋" w:hAnsi="仿宋" w:eastAsia="仿宋" w:cs="仿宋"/>
          <w:iCs/>
          <w:snapToGrid w:val="0"/>
          <w:color w:val="auto"/>
          <w:kern w:val="0"/>
          <w:sz w:val="24"/>
          <w:highlight w:val="none"/>
        </w:rPr>
        <w:t>实际工作能力和工作效果达不到招标文件的明确要求</w:t>
      </w:r>
      <w:r>
        <w:rPr>
          <w:rFonts w:hint="eastAsia" w:ascii="仿宋" w:hAnsi="仿宋" w:eastAsia="仿宋" w:cs="仿宋"/>
          <w:snapToGrid w:val="0"/>
          <w:color w:val="auto"/>
          <w:kern w:val="0"/>
          <w:sz w:val="24"/>
          <w:highlight w:val="none"/>
        </w:rPr>
        <w:t>或投标文件的承诺或工作态度存在严重不足，不适应现场工作需要的，发包人有权向承包人提出撤换。承包人可以提出整改意见，如发包人不予接受或认为整改效果不明显的，则承包人必须在7天内无条件撤换，所</w:t>
      </w:r>
      <w:r>
        <w:rPr>
          <w:rFonts w:hint="eastAsia" w:ascii="仿宋" w:hAnsi="仿宋" w:eastAsia="仿宋" w:cs="仿宋"/>
          <w:snapToGrid w:val="0"/>
          <w:color w:val="auto"/>
          <w:kern w:val="0"/>
          <w:sz w:val="24"/>
          <w:highlight w:val="none"/>
          <w:lang w:eastAsia="zh-CN"/>
        </w:rPr>
        <w:t>调换</w:t>
      </w:r>
      <w:r>
        <w:rPr>
          <w:rFonts w:hint="eastAsia" w:ascii="仿宋" w:hAnsi="仿宋" w:eastAsia="仿宋" w:cs="仿宋"/>
          <w:snapToGrid w:val="0"/>
          <w:color w:val="auto"/>
          <w:kern w:val="0"/>
          <w:sz w:val="24"/>
          <w:highlight w:val="none"/>
        </w:rPr>
        <w:t>人员的资质、资历、学历、职称、业绩、实际工作能力不低于原投标文件中所承诺人员的素质。</w:t>
      </w:r>
    </w:p>
    <w:p w14:paraId="12AC12D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发包人要求承包人撤换不合格人员，如承包人既不立即撤换，也不及时提出整改意见，则视同拒绝执行发包人的指令，承包人需按合同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.2.3（12）款的约定承担违约责任。</w:t>
      </w:r>
    </w:p>
    <w:p w14:paraId="477BBFFE">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发包人要求承包人以实际工作</w:t>
      </w:r>
      <w:r>
        <w:rPr>
          <w:rFonts w:hint="eastAsia" w:ascii="仿宋" w:hAnsi="仿宋" w:eastAsia="仿宋" w:cs="仿宋"/>
          <w:snapToGrid w:val="0"/>
          <w:color w:val="auto"/>
          <w:kern w:val="0"/>
          <w:sz w:val="24"/>
          <w:highlight w:val="none"/>
          <w:lang w:eastAsia="zh-CN"/>
        </w:rPr>
        <w:t>能力较强</w:t>
      </w:r>
      <w:r>
        <w:rPr>
          <w:rFonts w:hint="eastAsia" w:ascii="仿宋" w:hAnsi="仿宋" w:eastAsia="仿宋" w:cs="仿宋"/>
          <w:snapToGrid w:val="0"/>
          <w:color w:val="auto"/>
          <w:kern w:val="0"/>
          <w:sz w:val="24"/>
          <w:highlight w:val="none"/>
        </w:rPr>
        <w:t>的人员调换实际工作能力较低的现场人员</w:t>
      </w:r>
      <w:r>
        <w:rPr>
          <w:rFonts w:hint="eastAsia" w:ascii="仿宋" w:hAnsi="仿宋" w:eastAsia="仿宋" w:cs="仿宋"/>
          <w:snapToGrid w:val="0"/>
          <w:color w:val="auto"/>
          <w:kern w:val="0"/>
          <w:sz w:val="24"/>
          <w:highlight w:val="none"/>
          <w:lang w:eastAsia="zh-CN"/>
        </w:rPr>
        <w:t>，或者</w:t>
      </w:r>
      <w:r>
        <w:rPr>
          <w:rFonts w:hint="eastAsia" w:ascii="仿宋" w:hAnsi="仿宋" w:eastAsia="仿宋" w:cs="仿宋"/>
          <w:snapToGrid w:val="0"/>
          <w:color w:val="auto"/>
          <w:kern w:val="0"/>
          <w:sz w:val="24"/>
          <w:highlight w:val="none"/>
        </w:rPr>
        <w:t>承包人主动要求以实际工作</w:t>
      </w:r>
      <w:r>
        <w:rPr>
          <w:rFonts w:hint="eastAsia" w:ascii="仿宋" w:hAnsi="仿宋" w:eastAsia="仿宋" w:cs="仿宋"/>
          <w:snapToGrid w:val="0"/>
          <w:color w:val="auto"/>
          <w:kern w:val="0"/>
          <w:sz w:val="24"/>
          <w:highlight w:val="none"/>
          <w:lang w:eastAsia="zh-CN"/>
        </w:rPr>
        <w:t>能力较强</w:t>
      </w:r>
      <w:r>
        <w:rPr>
          <w:rFonts w:hint="eastAsia" w:ascii="仿宋" w:hAnsi="仿宋" w:eastAsia="仿宋" w:cs="仿宋"/>
          <w:snapToGrid w:val="0"/>
          <w:color w:val="auto"/>
          <w:kern w:val="0"/>
          <w:sz w:val="24"/>
          <w:highlight w:val="none"/>
        </w:rPr>
        <w:t>的人员调换实际工作能力较低的现场人员并经总监理工程师及发包人批准且经实践检验证实</w:t>
      </w:r>
      <w:r>
        <w:rPr>
          <w:rFonts w:hint="eastAsia" w:ascii="仿宋" w:hAnsi="仿宋" w:eastAsia="仿宋" w:cs="仿宋"/>
          <w:snapToGrid w:val="0"/>
          <w:color w:val="auto"/>
          <w:kern w:val="0"/>
          <w:sz w:val="24"/>
          <w:highlight w:val="none"/>
          <w:lang w:eastAsia="zh-CN"/>
        </w:rPr>
        <w:t>，或者</w:t>
      </w:r>
      <w:r>
        <w:rPr>
          <w:rFonts w:hint="eastAsia" w:ascii="仿宋" w:hAnsi="仿宋" w:eastAsia="仿宋" w:cs="仿宋"/>
          <w:snapToGrid w:val="0"/>
          <w:color w:val="auto"/>
          <w:kern w:val="0"/>
          <w:sz w:val="24"/>
          <w:highlight w:val="none"/>
        </w:rPr>
        <w:t>承包人有合法的理由提出申请并经总监理工程师及发包人批准更换相关人员的，承包人可不承担违约责任。</w:t>
      </w:r>
    </w:p>
    <w:p w14:paraId="1BF262CE">
      <w:pP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7.9</w:t>
      </w:r>
      <w:r>
        <w:rPr>
          <w:rFonts w:hint="eastAsia" w:ascii="仿宋" w:hAnsi="仿宋" w:eastAsia="仿宋" w:cs="仿宋"/>
          <w:snapToGrid w:val="0"/>
          <w:color w:val="auto"/>
          <w:kern w:val="0"/>
          <w:sz w:val="24"/>
          <w:highlight w:val="none"/>
        </w:rPr>
        <w:t>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w:t>
      </w:r>
      <w:r>
        <w:rPr>
          <w:rFonts w:hint="eastAsia" w:ascii="仿宋" w:hAnsi="仿宋" w:eastAsia="仿宋" w:cs="仿宋"/>
          <w:iCs/>
          <w:snapToGrid w:val="0"/>
          <w:color w:val="auto"/>
          <w:kern w:val="0"/>
          <w:sz w:val="24"/>
          <w:highlight w:val="none"/>
        </w:rPr>
        <w:t>必须全职在现场办公，不得兼职或者擅自离岗。因特殊情况需短暂离岗的，应当事先报总监理工程师批准，且须妥善安排工作交接。</w:t>
      </w:r>
    </w:p>
    <w:p w14:paraId="1A53BBEE">
      <w:pP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承包人若违反上述约定，应按照合同</w:t>
      </w:r>
      <w:r>
        <w:rPr>
          <w:rFonts w:hint="eastAsia" w:ascii="仿宋" w:hAnsi="仿宋" w:eastAsia="仿宋" w:cs="仿宋"/>
          <w:iCs/>
          <w:snapToGrid w:val="0"/>
          <w:color w:val="auto"/>
          <w:kern w:val="0"/>
          <w:sz w:val="24"/>
          <w:highlight w:val="none"/>
          <w:lang w:val="en-US" w:eastAsia="zh-CN"/>
        </w:rPr>
        <w:t>专用</w:t>
      </w:r>
      <w:r>
        <w:rPr>
          <w:rFonts w:hint="eastAsia" w:ascii="仿宋" w:hAnsi="仿宋" w:eastAsia="仿宋" w:cs="仿宋"/>
          <w:iCs/>
          <w:snapToGrid w:val="0"/>
          <w:color w:val="auto"/>
          <w:kern w:val="0"/>
          <w:sz w:val="24"/>
          <w:highlight w:val="none"/>
        </w:rPr>
        <w:t>条款第4</w:t>
      </w:r>
      <w:r>
        <w:rPr>
          <w:rFonts w:hint="eastAsia" w:ascii="仿宋" w:hAnsi="仿宋" w:eastAsia="仿宋" w:cs="仿宋"/>
          <w:iCs/>
          <w:snapToGrid w:val="0"/>
          <w:color w:val="auto"/>
          <w:kern w:val="0"/>
          <w:sz w:val="24"/>
          <w:highlight w:val="none"/>
          <w:lang w:val="en-US" w:eastAsia="zh-CN"/>
        </w:rPr>
        <w:t>0</w:t>
      </w:r>
      <w:r>
        <w:rPr>
          <w:rFonts w:hint="eastAsia" w:ascii="仿宋" w:hAnsi="仿宋" w:eastAsia="仿宋" w:cs="仿宋"/>
          <w:iCs/>
          <w:snapToGrid w:val="0"/>
          <w:color w:val="auto"/>
          <w:kern w:val="0"/>
          <w:sz w:val="24"/>
          <w:highlight w:val="none"/>
        </w:rPr>
        <w:t>.2.3（14）款的相关约定承担违约责任。</w:t>
      </w:r>
    </w:p>
    <w:p w14:paraId="2C3974D2">
      <w:pP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本合同所称现场办公，是指在工程实施过程中，现场管理机构各部主要组织管理人员必须在施工场地全职上班，履行各自的职责。</w:t>
      </w:r>
    </w:p>
    <w:p w14:paraId="09DC227C">
      <w:pP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现场管理机构各</w:t>
      </w:r>
      <w:r>
        <w:rPr>
          <w:rFonts w:hint="eastAsia" w:ascii="仿宋" w:hAnsi="仿宋" w:eastAsia="仿宋" w:cs="仿宋"/>
          <w:iCs/>
          <w:snapToGrid w:val="0"/>
          <w:color w:val="auto"/>
          <w:kern w:val="0"/>
          <w:sz w:val="24"/>
          <w:highlight w:val="none"/>
          <w:lang w:eastAsia="zh-CN"/>
        </w:rPr>
        <w:t>部门</w:t>
      </w:r>
      <w:r>
        <w:rPr>
          <w:rFonts w:hint="eastAsia" w:ascii="仿宋" w:hAnsi="仿宋" w:eastAsia="仿宋" w:cs="仿宋"/>
          <w:iCs/>
          <w:snapToGrid w:val="0"/>
          <w:color w:val="auto"/>
          <w:kern w:val="0"/>
          <w:sz w:val="24"/>
          <w:highlight w:val="none"/>
        </w:rPr>
        <w:t>主要组织管理人员现场办公天数，由总监理工程师及发包人现场管理负责人按实计量。</w:t>
      </w:r>
    </w:p>
    <w:p w14:paraId="7B475800">
      <w:pPr>
        <w:adjustRightInd w:val="0"/>
        <w:snapToGrid w:val="0"/>
        <w:spacing w:line="360" w:lineRule="auto"/>
        <w:rPr>
          <w:rFonts w:ascii="仿宋" w:hAnsi="仿宋" w:eastAsia="仿宋" w:cs="仿宋"/>
          <w:snapToGrid w:val="0"/>
          <w:color w:val="auto"/>
          <w:kern w:val="0"/>
          <w:sz w:val="24"/>
          <w:highlight w:val="none"/>
        </w:rPr>
      </w:pPr>
    </w:p>
    <w:p w14:paraId="3AF391A9">
      <w:pPr>
        <w:adjustRightInd w:val="0"/>
        <w:snapToGrid w:val="0"/>
        <w:spacing w:line="360" w:lineRule="auto"/>
        <w:outlineLvl w:val="2"/>
        <w:rPr>
          <w:rFonts w:ascii="仿宋" w:hAnsi="仿宋" w:eastAsia="仿宋" w:cs="仿宋"/>
          <w:b/>
          <w:snapToGrid w:val="0"/>
          <w:color w:val="auto"/>
          <w:kern w:val="0"/>
          <w:sz w:val="24"/>
          <w:highlight w:val="none"/>
        </w:rPr>
      </w:pPr>
      <w:bookmarkStart w:id="66" w:name="_Toc83377251"/>
      <w:bookmarkStart w:id="67" w:name="_Toc2784863"/>
      <w:bookmarkStart w:id="68" w:name="_Toc504465885"/>
      <w:bookmarkStart w:id="69" w:name="_Toc502215482"/>
      <w:bookmarkStart w:id="70" w:name="_Toc15756"/>
      <w:r>
        <w:rPr>
          <w:rFonts w:hint="eastAsia" w:ascii="仿宋" w:hAnsi="仿宋" w:eastAsia="仿宋" w:cs="仿宋"/>
          <w:b/>
          <w:snapToGrid w:val="0"/>
          <w:color w:val="auto"/>
          <w:kern w:val="0"/>
          <w:sz w:val="24"/>
          <w:highlight w:val="none"/>
          <w:lang w:eastAsia="zh-CN"/>
        </w:rPr>
        <w:t>8.</w:t>
      </w:r>
      <w:r>
        <w:rPr>
          <w:rFonts w:hint="eastAsia" w:ascii="仿宋" w:hAnsi="仿宋" w:eastAsia="仿宋" w:cs="仿宋"/>
          <w:b/>
          <w:snapToGrid w:val="0"/>
          <w:color w:val="auto"/>
          <w:kern w:val="0"/>
          <w:sz w:val="24"/>
          <w:highlight w:val="none"/>
        </w:rPr>
        <w:t>发包人权利和义务</w:t>
      </w:r>
      <w:bookmarkEnd w:id="66"/>
      <w:bookmarkEnd w:id="67"/>
      <w:bookmarkEnd w:id="68"/>
      <w:bookmarkEnd w:id="69"/>
      <w:bookmarkEnd w:id="70"/>
    </w:p>
    <w:p w14:paraId="6CA4D07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8.1发包人的权利：</w:t>
      </w:r>
    </w:p>
    <w:p w14:paraId="12EEEC9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（1）享有承包人工作成果（包括但不限于设计文件等）的知识产权、所有权和全部使用权。</w:t>
      </w:r>
    </w:p>
    <w:p w14:paraId="5F61948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（2）承包人在设计</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施工进度、设计</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施工质量、指派人员、提供服务、协作等方面义务的履行不符合本合同约定时，发包人有追究违约责任、要求赔偿损失</w:t>
      </w:r>
      <w:r>
        <w:rPr>
          <w:rFonts w:hint="eastAsia" w:ascii="仿宋" w:hAnsi="仿宋" w:eastAsia="仿宋" w:cs="仿宋"/>
          <w:snapToGrid w:val="0"/>
          <w:color w:val="auto"/>
          <w:kern w:val="0"/>
          <w:sz w:val="24"/>
          <w:highlight w:val="none"/>
          <w:lang w:eastAsia="zh-CN"/>
        </w:rPr>
        <w:t>直至</w:t>
      </w:r>
      <w:r>
        <w:rPr>
          <w:rFonts w:hint="eastAsia" w:ascii="仿宋" w:hAnsi="仿宋" w:eastAsia="仿宋" w:cs="仿宋"/>
          <w:snapToGrid w:val="0"/>
          <w:color w:val="auto"/>
          <w:kern w:val="0"/>
          <w:sz w:val="24"/>
          <w:highlight w:val="none"/>
        </w:rPr>
        <w:t>解除合同等权利；同时，发包人还有权将承包人存在的上述违约事实</w:t>
      </w:r>
      <w:r>
        <w:rPr>
          <w:rFonts w:hint="eastAsia" w:ascii="仿宋" w:hAnsi="仿宋" w:eastAsia="仿宋" w:cs="仿宋"/>
          <w:snapToGrid w:val="0"/>
          <w:color w:val="auto"/>
          <w:kern w:val="0"/>
          <w:sz w:val="24"/>
          <w:highlight w:val="none"/>
          <w:lang w:eastAsia="zh-CN"/>
        </w:rPr>
        <w:t>公之于众</w:t>
      </w:r>
      <w:r>
        <w:rPr>
          <w:rFonts w:hint="eastAsia" w:ascii="仿宋" w:hAnsi="仿宋" w:eastAsia="仿宋" w:cs="仿宋"/>
          <w:snapToGrid w:val="0"/>
          <w:color w:val="auto"/>
          <w:kern w:val="0"/>
          <w:sz w:val="24"/>
          <w:highlight w:val="none"/>
        </w:rPr>
        <w:t>和向有关部门反映情况。</w:t>
      </w:r>
    </w:p>
    <w:p w14:paraId="6ED31BE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（3）发包人有权聘请施工图审查单位作为本合同工程的施工图设计审查单位，承包人应接受该施工图审查单位按照相关</w:t>
      </w:r>
      <w:r>
        <w:rPr>
          <w:rFonts w:hint="eastAsia" w:ascii="仿宋" w:hAnsi="仿宋" w:eastAsia="仿宋" w:cs="仿宋"/>
          <w:snapToGrid w:val="0"/>
          <w:color w:val="auto"/>
          <w:kern w:val="0"/>
          <w:sz w:val="24"/>
          <w:highlight w:val="none"/>
          <w:lang w:eastAsia="zh-CN"/>
        </w:rPr>
        <w:t>法律法规</w:t>
      </w:r>
      <w:r>
        <w:rPr>
          <w:rFonts w:hint="eastAsia" w:ascii="仿宋" w:hAnsi="仿宋" w:eastAsia="仿宋" w:cs="仿宋"/>
          <w:snapToGrid w:val="0"/>
          <w:color w:val="auto"/>
          <w:kern w:val="0"/>
          <w:sz w:val="24"/>
          <w:highlight w:val="none"/>
        </w:rPr>
        <w:t>和发包人赋予的权利所进行的施工图审查工作。</w:t>
      </w:r>
    </w:p>
    <w:p w14:paraId="6D684ED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（4）设计图纸及设计变更的审批权，设计、施工进度的监督权，材料、设备选用的审定权。</w:t>
      </w:r>
    </w:p>
    <w:p w14:paraId="2D2460B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（5）其他权利。</w:t>
      </w:r>
    </w:p>
    <w:p w14:paraId="20CC735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8.2 发包人的义务：</w:t>
      </w:r>
    </w:p>
    <w:p w14:paraId="017EE2B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（1）按本合同约定及时向承包人提供设计、施工所需的项目基础资料。</w:t>
      </w:r>
    </w:p>
    <w:p w14:paraId="254177A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（2）按本合同约定按时支付合同款项。</w:t>
      </w:r>
    </w:p>
    <w:p w14:paraId="05221C9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（3）非承包人原因变更委托设计项目、规模、条件或所提交资料作较大修改，以致造成承包人设计返工时，双方应酌情签订补充协议。</w:t>
      </w:r>
    </w:p>
    <w:p w14:paraId="16D065E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在合同实施过程中，因适用的设计规范及标准发生变化，承包人应向发包人提交有关新标准、新规范的建议书，造成承包人对已经被发包人确认的设计返工时，双方共同承担相关风险，双方须共同按照新规范、新标准推进设计工作，同时给予承包人合理设计时间和成果资料重复制作的费用，在规模投资不变的情况下，不再另行支付承包人设计修改的设计费用。设计中如遇国家和地区无相应规范、标准和依据的，由承包人提出建议，由发包人报送有关主管部门审查确认或解释所采用的标准、规定和依据。</w:t>
      </w:r>
    </w:p>
    <w:p w14:paraId="709593F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（4）发包人应做的</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工作。</w:t>
      </w:r>
    </w:p>
    <w:p w14:paraId="598B2F1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8.3发包人未能履行合同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条款第8.2款各项义务，导致工期延误或给承包人造成损失的，发包人赔偿承包人有关损失，顺延延误的工期。</w:t>
      </w:r>
    </w:p>
    <w:p w14:paraId="3F8E6AEC">
      <w:pPr>
        <w:adjustRightInd w:val="0"/>
        <w:snapToGrid w:val="0"/>
        <w:spacing w:line="360" w:lineRule="auto"/>
        <w:rPr>
          <w:rFonts w:ascii="仿宋" w:hAnsi="仿宋" w:eastAsia="仿宋" w:cs="仿宋"/>
          <w:snapToGrid w:val="0"/>
          <w:color w:val="auto"/>
          <w:kern w:val="0"/>
          <w:sz w:val="24"/>
          <w:highlight w:val="none"/>
        </w:rPr>
      </w:pPr>
    </w:p>
    <w:p w14:paraId="17625A60">
      <w:pPr>
        <w:adjustRightInd w:val="0"/>
        <w:snapToGrid w:val="0"/>
        <w:spacing w:line="360" w:lineRule="auto"/>
        <w:outlineLvl w:val="2"/>
        <w:rPr>
          <w:rFonts w:ascii="仿宋" w:hAnsi="仿宋" w:eastAsia="仿宋" w:cs="仿宋"/>
          <w:b/>
          <w:snapToGrid w:val="0"/>
          <w:color w:val="auto"/>
          <w:kern w:val="0"/>
          <w:sz w:val="24"/>
          <w:highlight w:val="none"/>
        </w:rPr>
      </w:pPr>
      <w:bookmarkStart w:id="71" w:name="_Toc502215483"/>
      <w:bookmarkStart w:id="72" w:name="_Toc16161"/>
      <w:bookmarkStart w:id="73" w:name="_Toc2784864"/>
      <w:bookmarkStart w:id="74" w:name="_Toc504465886"/>
      <w:bookmarkStart w:id="75" w:name="_Toc83377252"/>
      <w:r>
        <w:rPr>
          <w:rFonts w:hint="eastAsia" w:ascii="仿宋" w:hAnsi="仿宋" w:eastAsia="仿宋" w:cs="仿宋"/>
          <w:b/>
          <w:snapToGrid w:val="0"/>
          <w:color w:val="auto"/>
          <w:kern w:val="0"/>
          <w:sz w:val="24"/>
          <w:highlight w:val="none"/>
          <w:lang w:eastAsia="zh-CN"/>
        </w:rPr>
        <w:t>9.</w:t>
      </w:r>
      <w:r>
        <w:rPr>
          <w:rFonts w:hint="eastAsia" w:ascii="仿宋" w:hAnsi="仿宋" w:eastAsia="仿宋" w:cs="仿宋"/>
          <w:b/>
          <w:snapToGrid w:val="0"/>
          <w:color w:val="auto"/>
          <w:kern w:val="0"/>
          <w:sz w:val="24"/>
          <w:highlight w:val="none"/>
        </w:rPr>
        <w:t>承包人权利和义务</w:t>
      </w:r>
      <w:bookmarkEnd w:id="71"/>
      <w:bookmarkEnd w:id="72"/>
      <w:bookmarkEnd w:id="73"/>
      <w:bookmarkEnd w:id="74"/>
      <w:bookmarkEnd w:id="75"/>
    </w:p>
    <w:p w14:paraId="72B9833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9.1承包人的权利：</w:t>
      </w:r>
    </w:p>
    <w:p w14:paraId="4DD8106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（1）根据合同约定收取设计费、施工费。</w:t>
      </w:r>
    </w:p>
    <w:p w14:paraId="4D09CA9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（2）拥有设计成果文件的署名权。</w:t>
      </w:r>
    </w:p>
    <w:p w14:paraId="789888BA">
      <w:pPr>
        <w:adjustRightInd w:val="0"/>
        <w:snapToGrid w:val="0"/>
        <w:spacing w:line="360" w:lineRule="auto"/>
        <w:ind w:firstLine="480" w:firstLineChars="200"/>
        <w:rPr>
          <w:rFonts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（3）其他。</w:t>
      </w:r>
    </w:p>
    <w:p w14:paraId="4CC3A58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9.2承包人的义务：</w:t>
      </w:r>
    </w:p>
    <w:p w14:paraId="488FFBD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（1）按照合同约定的标准、规范、工程的功能、规模、考核目标和竣工日期，完成设计、采购、施工、缺陷修复等工作，不得违反国家强制性标准、规范的规定。</w:t>
      </w:r>
    </w:p>
    <w:p w14:paraId="2BF8148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（2）按照合同约定，监理单位可以随时发出指示，要求承包人自费修复因承包人原因引起的设计、文件、设备、材料、部件、施工中存在的缺陷</w:t>
      </w:r>
      <w:r>
        <w:rPr>
          <w:rFonts w:hint="eastAsia" w:ascii="仿宋" w:hAnsi="仿宋" w:eastAsia="仿宋" w:cs="仿宋"/>
          <w:snapToGrid w:val="0"/>
          <w:color w:val="auto"/>
          <w:kern w:val="0"/>
          <w:sz w:val="24"/>
          <w:highlight w:val="none"/>
          <w:lang w:eastAsia="zh-CN"/>
        </w:rPr>
        <w:t>或</w:t>
      </w:r>
      <w:r>
        <w:rPr>
          <w:rFonts w:hint="eastAsia" w:ascii="仿宋" w:hAnsi="仿宋" w:eastAsia="仿宋" w:cs="仿宋"/>
          <w:snapToGrid w:val="0"/>
          <w:color w:val="auto"/>
          <w:kern w:val="0"/>
          <w:sz w:val="24"/>
          <w:highlight w:val="none"/>
        </w:rPr>
        <w:t>在缺陷责任期发现的缺陷，直至达到合同要求的质量标准。</w:t>
      </w:r>
    </w:p>
    <w:p w14:paraId="3142A16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（3）按照合同约定和国家有关安全生产的法律规定，对所有现场作业、所有施工方法和全部工程的完备性、稳定性和安全性负责。</w:t>
      </w:r>
    </w:p>
    <w:p w14:paraId="7ADE2C6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按照合同约定的质量标准规范，确保设计、采购、加工制造、施工、竣工验收等各项工作的质量，建立有效的质量保证体系，并按照国家有关规定和工程质量保修书约定的保修范围和保修期限履行保修责任。</w:t>
      </w:r>
    </w:p>
    <w:p w14:paraId="11976BE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（5）按照合同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14条约定的项目进度计划及施工组织设计，合理有序地组织设计、采购、施工等所需要的各类资源，采用有效的实施方法和组织措施，保证项目进度计划的实现。项目进度计划经发包人批准后实施，但发包人的批准并不能减轻或免除承包人的责任。</w:t>
      </w:r>
    </w:p>
    <w:p w14:paraId="45316BE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（6）承担其进入现场、施工开工至发包人接收单项工程或（和）工程之前的现场安全保障责任，责任范围包括但不限于施工安全等，并负责编制相关的安全制度、责任制度和报告制度，提交给发包人。</w:t>
      </w:r>
    </w:p>
    <w:p w14:paraId="4E281510">
      <w:pPr>
        <w:adjustRightInd w:val="0"/>
        <w:snapToGrid w:val="0"/>
        <w:spacing w:line="360" w:lineRule="auto"/>
        <w:ind w:firstLine="480" w:firstLineChars="200"/>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（7）根据发包人委托，</w:t>
      </w:r>
      <w:r>
        <w:rPr>
          <w:rFonts w:hint="eastAsia" w:ascii="仿宋" w:hAnsi="仿宋" w:eastAsia="仿宋" w:cs="仿宋"/>
          <w:color w:val="auto"/>
          <w:kern w:val="0"/>
          <w:sz w:val="24"/>
          <w:highlight w:val="none"/>
        </w:rPr>
        <w:t>按照法律规定以及国家、行业和地方的规范和标准完成合同范围内的设计工作，并符合设计任务书及发包人要求</w:t>
      </w:r>
      <w:r>
        <w:rPr>
          <w:rFonts w:hint="eastAsia" w:ascii="仿宋" w:hAnsi="仿宋" w:eastAsia="仿宋" w:cs="仿宋"/>
          <w:color w:val="auto"/>
          <w:kern w:val="0"/>
          <w:sz w:val="24"/>
          <w:highlight w:val="none"/>
          <w:lang w:eastAsia="zh-CN"/>
        </w:rPr>
        <w:t>，</w:t>
      </w:r>
      <w:r>
        <w:rPr>
          <w:rFonts w:hint="eastAsia" w:ascii="仿宋" w:hAnsi="仿宋" w:eastAsia="仿宋" w:cs="仿宋"/>
          <w:snapToGrid w:val="0"/>
          <w:color w:val="auto"/>
          <w:kern w:val="0"/>
          <w:sz w:val="24"/>
          <w:highlight w:val="none"/>
        </w:rPr>
        <w:t>确保通过政府主管部门的技术审查，经发包人确认后使用；</w:t>
      </w:r>
    </w:p>
    <w:p w14:paraId="72F4B82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（8）向总监理工程师提供年、季、月度工程进度计划及相应进度统计报表；</w:t>
      </w:r>
    </w:p>
    <w:p w14:paraId="33FDCC3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（9）根据工程需要，提供和维修非夜间施工使用的照明、围栏设施；</w:t>
      </w:r>
    </w:p>
    <w:p w14:paraId="242C2BE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（10）按照合同约定的数量和要求，向发包人提供施工场地办公和生活的房屋及设施。</w:t>
      </w:r>
    </w:p>
    <w:p w14:paraId="18C2E11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（11）遵守政府有关主管部门对施工内外场地交通、施工噪音以及环境保护和安全生产等的管理规定，按规定办理有关手续，并以书面形式通知发包人</w:t>
      </w:r>
      <w:r>
        <w:rPr>
          <w:rFonts w:hint="eastAsia" w:ascii="仿宋" w:hAnsi="仿宋" w:eastAsia="仿宋" w:cs="仿宋"/>
          <w:snapToGrid w:val="0"/>
          <w:color w:val="auto"/>
          <w:kern w:val="0"/>
          <w:sz w:val="24"/>
          <w:highlight w:val="none"/>
          <w:lang w:eastAsia="zh-CN"/>
        </w:rPr>
        <w:t>，由</w:t>
      </w:r>
      <w:r>
        <w:rPr>
          <w:rFonts w:hint="eastAsia" w:ascii="仿宋" w:hAnsi="仿宋" w:eastAsia="仿宋" w:cs="仿宋"/>
          <w:snapToGrid w:val="0"/>
          <w:color w:val="auto"/>
          <w:kern w:val="0"/>
          <w:sz w:val="24"/>
          <w:highlight w:val="none"/>
        </w:rPr>
        <w:t>承包人自行办理手续及承担费用，如因承包人责任造成的罚款，亦应由承包人自行承担；</w:t>
      </w:r>
    </w:p>
    <w:p w14:paraId="7141CC3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（12）已竣工工程未交付发包人之前，承包人按合同约定负责已完工程的保护工作，保护期间发生损坏，承包人自费予以修复；如发包人要求承包人采取特殊措施保护，双方另行约定；</w:t>
      </w:r>
    </w:p>
    <w:p w14:paraId="6985DB9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（13）做好施工场地地下管线和邻近建筑物、构筑物（包括文物保护建筑）、古树名木的保护工作；</w:t>
      </w:r>
    </w:p>
    <w:p w14:paraId="1FB5385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（14）保证施工场地清洁符合环境卫生管理的有关规定，交工前清理现场达到合同约定的要求，承担因自身原因违反有关规定造成的损失和罚款；</w:t>
      </w:r>
    </w:p>
    <w:p w14:paraId="4CB51D5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承包人应在工程开工20日前，通知发包人向有关部门办理须由发包人办理的开工批准或施工许可证、工程质量监督手续及其他许可、证件、批件等。发包人需要时，承包人有义务提供协助。发包人委托承包人代办时，承包人应接受该委托事项。</w:t>
      </w:r>
    </w:p>
    <w:p w14:paraId="7F6DA3F2">
      <w:pP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（16）</w:t>
      </w:r>
      <w:r>
        <w:rPr>
          <w:rFonts w:hint="eastAsia" w:ascii="仿宋" w:hAnsi="仿宋" w:eastAsia="仿宋" w:cs="仿宋"/>
          <w:color w:val="auto"/>
          <w:kern w:val="0"/>
          <w:sz w:val="24"/>
          <w:highlight w:val="none"/>
        </w:rPr>
        <w:t>其他义务：</w:t>
      </w:r>
    </w:p>
    <w:p w14:paraId="48BCF95A">
      <w:pP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（a</w:t>
      </w:r>
      <w:r>
        <w:rPr>
          <w:rFonts w:hint="eastAsia" w:ascii="仿宋" w:hAnsi="仿宋" w:eastAsia="仿宋" w:cs="仿宋"/>
          <w:snapToGrid w:val="0"/>
          <w:color w:val="auto"/>
          <w:kern w:val="0"/>
          <w:sz w:val="24"/>
          <w:highlight w:val="none"/>
        </w:rPr>
        <w:t>）</w:t>
      </w:r>
      <w:r>
        <w:rPr>
          <w:rFonts w:hint="eastAsia" w:ascii="仿宋" w:hAnsi="仿宋" w:eastAsia="仿宋" w:cs="仿宋"/>
          <w:color w:val="auto"/>
          <w:kern w:val="0"/>
          <w:sz w:val="24"/>
          <w:highlight w:val="none"/>
        </w:rPr>
        <w:t>承包人应保证其设计文件的质量，并确保按期通过发包人、政府主管部门的审查。</w:t>
      </w:r>
    </w:p>
    <w:p w14:paraId="63873F79">
      <w:pP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（b</w:t>
      </w:r>
      <w:r>
        <w:rPr>
          <w:rFonts w:hint="eastAsia" w:ascii="仿宋" w:hAnsi="仿宋" w:eastAsia="仿宋" w:cs="仿宋"/>
          <w:snapToGrid w:val="0"/>
          <w:color w:val="auto"/>
          <w:kern w:val="0"/>
          <w:sz w:val="24"/>
          <w:highlight w:val="none"/>
        </w:rPr>
        <w:t>）</w:t>
      </w:r>
      <w:r>
        <w:rPr>
          <w:rFonts w:hint="eastAsia" w:ascii="仿宋" w:hAnsi="仿宋" w:eastAsia="仿宋" w:cs="仿宋"/>
          <w:color w:val="auto"/>
          <w:kern w:val="0"/>
          <w:sz w:val="24"/>
          <w:highlight w:val="none"/>
        </w:rPr>
        <w:t>承包人应保证工程资料整理与工程进度同步，并接受总监理工程师的检查。</w:t>
      </w:r>
    </w:p>
    <w:p w14:paraId="0470C4F9">
      <w:pP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（c</w:t>
      </w:r>
      <w:r>
        <w:rPr>
          <w:rFonts w:hint="eastAsia" w:ascii="仿宋" w:hAnsi="仿宋" w:eastAsia="仿宋" w:cs="仿宋"/>
          <w:snapToGrid w:val="0"/>
          <w:color w:val="auto"/>
          <w:kern w:val="0"/>
          <w:sz w:val="24"/>
          <w:highlight w:val="none"/>
        </w:rPr>
        <w:t>）</w:t>
      </w:r>
      <w:r>
        <w:rPr>
          <w:rFonts w:hint="eastAsia" w:ascii="仿宋" w:hAnsi="仿宋" w:eastAsia="仿宋" w:cs="仿宋"/>
          <w:color w:val="auto"/>
          <w:kern w:val="0"/>
          <w:sz w:val="24"/>
          <w:highlight w:val="none"/>
        </w:rPr>
        <w:t>承包人应当清楚地预计到施工期间对外界可能产生的必需的不可避免的干扰，并为此保证主动努力减少这些干扰对外界的影响，且应当积极主动与外界进行协调。</w:t>
      </w:r>
    </w:p>
    <w:p w14:paraId="46759AC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d</w:t>
      </w:r>
      <w:r>
        <w:rPr>
          <w:rFonts w:hint="eastAsia" w:ascii="仿宋" w:hAnsi="仿宋" w:eastAsia="仿宋" w:cs="仿宋"/>
          <w:snapToGrid w:val="0"/>
          <w:color w:val="auto"/>
          <w:kern w:val="0"/>
          <w:sz w:val="24"/>
          <w:highlight w:val="none"/>
        </w:rPr>
        <w:t>）承包人在施工中若发生破坏施工成果的现象，应无条件服从现场发包人委派的监理单位人员及发包人代表协调，并承担相应的补救施工工作，由此而产生的费用自行承担。</w:t>
      </w:r>
    </w:p>
    <w:p w14:paraId="3DD321EF">
      <w:pPr>
        <w:adjustRightInd w:val="0"/>
        <w:snapToGrid w:val="0"/>
        <w:spacing w:line="360" w:lineRule="auto"/>
        <w:ind w:right="11" w:firstLine="460" w:firstLineChars="192"/>
        <w:rPr>
          <w:rFonts w:ascii="仿宋" w:hAnsi="仿宋" w:eastAsia="仿宋" w:cs="仿宋"/>
          <w:dstrike/>
          <w:snapToGrid w:val="0"/>
          <w:color w:val="auto"/>
          <w:kern w:val="0"/>
          <w:sz w:val="24"/>
          <w:highlight w:val="none"/>
        </w:rPr>
      </w:pPr>
      <w:r>
        <w:rPr>
          <w:rFonts w:hint="eastAsia" w:ascii="仿宋" w:hAnsi="仿宋" w:eastAsia="仿宋" w:cs="仿宋"/>
          <w:snapToGrid w:val="0"/>
          <w:color w:val="auto"/>
          <w:kern w:val="0"/>
          <w:sz w:val="24"/>
          <w:highlight w:val="none"/>
        </w:rPr>
        <w:t>（e）设计及施工过程中，承包人应充分尊重和理解发包人对设计成果提出的书面意见与要求，如无充分的否定理由应尽快予以处理和实施。</w:t>
      </w:r>
    </w:p>
    <w:p w14:paraId="28457094">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f</w:t>
      </w:r>
      <w:r>
        <w:rPr>
          <w:rFonts w:hint="eastAsia" w:ascii="仿宋" w:hAnsi="仿宋" w:eastAsia="仿宋" w:cs="仿宋"/>
          <w:snapToGrid w:val="0"/>
          <w:color w:val="auto"/>
          <w:kern w:val="0"/>
          <w:sz w:val="24"/>
          <w:highlight w:val="none"/>
        </w:rPr>
        <w:t>）在设计阶段，承包人应根据发包人的意见，及时修改、完善设计文件，负责完成由于设计失误未获发包人批准而出现的反复修改的工作。</w:t>
      </w:r>
    </w:p>
    <w:p w14:paraId="5CB7CB0F">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g</w:t>
      </w:r>
      <w:r>
        <w:rPr>
          <w:rFonts w:hint="eastAsia" w:ascii="仿宋" w:hAnsi="仿宋" w:eastAsia="仿宋" w:cs="仿宋"/>
          <w:snapToGrid w:val="0"/>
          <w:color w:val="auto"/>
          <w:kern w:val="0"/>
          <w:sz w:val="24"/>
          <w:highlight w:val="none"/>
        </w:rPr>
        <w:t>）承包人不享有对设计文件的留置权，由承包人或其专业承包单位完成的设计文件应依据本合同约定的时间提交给发包人，不论承包人与其专业承包单位有何种约定或分工，均不得拒绝或拖延向发包人提交。</w:t>
      </w:r>
    </w:p>
    <w:p w14:paraId="238AE044">
      <w:pP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h</w:t>
      </w:r>
      <w:r>
        <w:rPr>
          <w:rFonts w:hint="eastAsia" w:ascii="仿宋" w:hAnsi="仿宋" w:eastAsia="仿宋" w:cs="仿宋"/>
          <w:snapToGrid w:val="0"/>
          <w:color w:val="auto"/>
          <w:kern w:val="0"/>
          <w:sz w:val="24"/>
          <w:highlight w:val="none"/>
        </w:rPr>
        <w:t>）承包人对设计文件及施工过程中的所有设计变更的合理性、合规性、合法性负责。</w:t>
      </w:r>
    </w:p>
    <w:p w14:paraId="43B12576">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iCs/>
          <w:snapToGrid w:val="0"/>
          <w:color w:val="auto"/>
          <w:kern w:val="0"/>
          <w:sz w:val="24"/>
          <w:highlight w:val="none"/>
        </w:rPr>
        <w:t>9.3</w:t>
      </w:r>
      <w:r>
        <w:rPr>
          <w:rFonts w:hint="eastAsia" w:ascii="仿宋" w:hAnsi="仿宋" w:eastAsia="仿宋" w:cs="仿宋"/>
          <w:snapToGrid w:val="0"/>
          <w:color w:val="auto"/>
          <w:kern w:val="0"/>
          <w:sz w:val="24"/>
          <w:highlight w:val="none"/>
        </w:rPr>
        <w:t>承包人应当按照国家及广东省、广州市的有关规定和本合同的有关约定加强其参与本工程建设人员（包括施工人员）的管理。</w:t>
      </w:r>
    </w:p>
    <w:p w14:paraId="42E35DFD">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iCs/>
          <w:snapToGrid w:val="0"/>
          <w:color w:val="auto"/>
          <w:kern w:val="0"/>
          <w:sz w:val="24"/>
          <w:highlight w:val="none"/>
        </w:rPr>
        <w:t>（1）对工人（包括施工人员，下同）工资</w:t>
      </w:r>
      <w:r>
        <w:rPr>
          <w:rFonts w:hint="eastAsia" w:ascii="仿宋" w:hAnsi="仿宋" w:eastAsia="仿宋" w:cs="仿宋"/>
          <w:bCs/>
          <w:iCs/>
          <w:snapToGrid w:val="0"/>
          <w:color w:val="auto"/>
          <w:kern w:val="0"/>
          <w:sz w:val="24"/>
          <w:highlight w:val="none"/>
          <w:lang w:eastAsia="zh-CN"/>
        </w:rPr>
        <w:t>实行分账</w:t>
      </w:r>
      <w:r>
        <w:rPr>
          <w:rFonts w:hint="eastAsia" w:ascii="仿宋" w:hAnsi="仿宋" w:eastAsia="仿宋" w:cs="仿宋"/>
          <w:bCs/>
          <w:iCs/>
          <w:snapToGrid w:val="0"/>
          <w:color w:val="auto"/>
          <w:kern w:val="0"/>
          <w:sz w:val="24"/>
          <w:highlight w:val="none"/>
        </w:rPr>
        <w:t>管理，</w:t>
      </w:r>
      <w:r>
        <w:rPr>
          <w:rFonts w:hint="eastAsia" w:ascii="仿宋" w:hAnsi="仿宋" w:eastAsia="仿宋" w:cs="仿宋"/>
          <w:snapToGrid w:val="0"/>
          <w:color w:val="auto"/>
          <w:kern w:val="0"/>
          <w:sz w:val="24"/>
          <w:highlight w:val="none"/>
        </w:rPr>
        <w:t>按时足额支付工人工资。</w:t>
      </w:r>
    </w:p>
    <w:p w14:paraId="58A8D6B0">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（a）</w:t>
      </w:r>
      <w:r>
        <w:rPr>
          <w:rFonts w:hint="eastAsia" w:ascii="仿宋" w:hAnsi="仿宋" w:eastAsia="仿宋" w:cs="仿宋"/>
          <w:snapToGrid w:val="0"/>
          <w:color w:val="auto"/>
          <w:kern w:val="0"/>
          <w:sz w:val="24"/>
          <w:highlight w:val="none"/>
        </w:rPr>
        <w:t xml:space="preserve"> 承包人应当根据劳动合同约定的工人工资标准等内容，按照依法签订的集体合同或劳动合同约定的日期按月支付工资，并不得低于当地最低工资标准。</w:t>
      </w:r>
    </w:p>
    <w:p w14:paraId="168D0DE4">
      <w:pP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lang w:eastAsia="zh-CN"/>
        </w:rPr>
        <w:t>（b）</w:t>
      </w:r>
      <w:r>
        <w:rPr>
          <w:rFonts w:hint="eastAsia" w:ascii="仿宋" w:hAnsi="仿宋" w:eastAsia="仿宋" w:cs="仿宋"/>
          <w:bCs/>
          <w:iCs/>
          <w:snapToGrid w:val="0"/>
          <w:color w:val="auto"/>
          <w:kern w:val="0"/>
          <w:sz w:val="24"/>
          <w:highlight w:val="none"/>
        </w:rPr>
        <w:t xml:space="preserve"> 承包人应每月编制</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工资支付表，如实记录支付时间、支付对象、支付金额等工资支付情况，并于每月底在其现场管理机构办公场所显眼位置公示，接受监督。</w:t>
      </w:r>
    </w:p>
    <w:p w14:paraId="52FD1FE9">
      <w:pP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lang w:eastAsia="zh-CN"/>
        </w:rPr>
        <w:t>（c）</w:t>
      </w:r>
      <w:r>
        <w:rPr>
          <w:rFonts w:hint="eastAsia" w:ascii="仿宋" w:hAnsi="仿宋" w:eastAsia="仿宋" w:cs="仿宋"/>
          <w:bCs/>
          <w:iCs/>
          <w:snapToGrid w:val="0"/>
          <w:color w:val="auto"/>
          <w:kern w:val="0"/>
          <w:sz w:val="24"/>
          <w:highlight w:val="none"/>
        </w:rPr>
        <w:t xml:space="preserve"> 承包人应对其专业分包或劳务分包单位工资支付进行监督，督促其依法支付</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工资。</w:t>
      </w:r>
    </w:p>
    <w:p w14:paraId="4A9B5FC2">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iCs/>
          <w:snapToGrid w:val="0"/>
          <w:color w:val="auto"/>
          <w:kern w:val="0"/>
          <w:sz w:val="24"/>
          <w:highlight w:val="none"/>
          <w:lang w:eastAsia="zh-CN"/>
        </w:rPr>
        <w:t>（d）</w:t>
      </w:r>
      <w:r>
        <w:rPr>
          <w:rFonts w:hint="eastAsia" w:ascii="仿宋" w:hAnsi="仿宋" w:eastAsia="仿宋" w:cs="仿宋"/>
          <w:bCs/>
          <w:iCs/>
          <w:snapToGrid w:val="0"/>
          <w:color w:val="auto"/>
          <w:kern w:val="0"/>
          <w:sz w:val="24"/>
          <w:highlight w:val="none"/>
        </w:rPr>
        <w:t xml:space="preserve"> 承包人</w:t>
      </w:r>
      <w:r>
        <w:rPr>
          <w:rFonts w:hint="eastAsia" w:ascii="仿宋" w:hAnsi="仿宋" w:eastAsia="仿宋" w:cs="仿宋"/>
          <w:snapToGrid w:val="0"/>
          <w:color w:val="auto"/>
          <w:kern w:val="0"/>
          <w:sz w:val="24"/>
          <w:highlight w:val="none"/>
        </w:rPr>
        <w:t>不按合同及有关规定按时、足额支付分包单位合同价款及工人工资而被投诉或上访属实的，发包人将严格按照合同约定追究其违约责任。</w:t>
      </w:r>
    </w:p>
    <w:p w14:paraId="7433BF55">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（e）</w:t>
      </w:r>
      <w:r>
        <w:rPr>
          <w:rFonts w:hint="eastAsia" w:ascii="仿宋" w:hAnsi="仿宋" w:eastAsia="仿宋" w:cs="仿宋"/>
          <w:snapToGrid w:val="0"/>
          <w:color w:val="auto"/>
          <w:kern w:val="0"/>
          <w:sz w:val="24"/>
          <w:highlight w:val="none"/>
        </w:rPr>
        <w:t xml:space="preserve"> 由于</w:t>
      </w:r>
      <w:r>
        <w:rPr>
          <w:rFonts w:hint="eastAsia" w:ascii="仿宋" w:hAnsi="仿宋" w:eastAsia="仿宋" w:cs="仿宋"/>
          <w:bCs/>
          <w:iCs/>
          <w:snapToGrid w:val="0"/>
          <w:color w:val="auto"/>
          <w:kern w:val="0"/>
          <w:sz w:val="24"/>
          <w:highlight w:val="none"/>
        </w:rPr>
        <w:t>承包人</w:t>
      </w:r>
      <w:r>
        <w:rPr>
          <w:rFonts w:hint="eastAsia" w:ascii="仿宋" w:hAnsi="仿宋" w:eastAsia="仿宋" w:cs="仿宋"/>
          <w:snapToGrid w:val="0"/>
          <w:color w:val="auto"/>
          <w:kern w:val="0"/>
          <w:sz w:val="24"/>
          <w:highlight w:val="none"/>
        </w:rPr>
        <w:t>或其管理的分包单位、劳务合作单位拖欠工人工资，致使发包人被投诉或起诉并被判令先行垫付工人工资的，发包人除追究承包人和</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相关责任单位的违约责任外，还将在工程结算时按合同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.2.3（17）款的约定扣除相关款项作为补偿。</w:t>
      </w:r>
    </w:p>
    <w:p w14:paraId="7CA72F1D">
      <w:pP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snapToGrid w:val="0"/>
          <w:color w:val="auto"/>
          <w:kern w:val="0"/>
          <w:sz w:val="24"/>
          <w:highlight w:val="none"/>
          <w:lang w:eastAsia="zh-CN"/>
        </w:rPr>
        <w:t>（f）</w:t>
      </w:r>
      <w:r>
        <w:rPr>
          <w:rFonts w:hint="eastAsia" w:ascii="仿宋" w:hAnsi="仿宋" w:eastAsia="仿宋" w:cs="仿宋"/>
          <w:snapToGrid w:val="0"/>
          <w:color w:val="auto"/>
          <w:kern w:val="0"/>
          <w:sz w:val="24"/>
          <w:highlight w:val="none"/>
        </w:rPr>
        <w:t xml:space="preserve"> </w:t>
      </w:r>
      <w:r>
        <w:rPr>
          <w:rFonts w:hint="eastAsia" w:ascii="仿宋" w:hAnsi="仿宋" w:eastAsia="仿宋" w:cs="仿宋"/>
          <w:bCs/>
          <w:iCs/>
          <w:snapToGrid w:val="0"/>
          <w:color w:val="auto"/>
          <w:kern w:val="0"/>
          <w:sz w:val="24"/>
          <w:highlight w:val="none"/>
        </w:rPr>
        <w:t>承包人必须</w:t>
      </w:r>
      <w:r>
        <w:rPr>
          <w:rFonts w:hint="eastAsia" w:ascii="仿宋" w:hAnsi="仿宋" w:eastAsia="仿宋" w:cs="仿宋"/>
          <w:snapToGrid w:val="0"/>
          <w:color w:val="auto"/>
          <w:kern w:val="0"/>
          <w:sz w:val="24"/>
          <w:highlight w:val="none"/>
        </w:rPr>
        <w:t>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551E130B">
      <w:pP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rPr>
        <w:t>（2）成立处理劳资纠纷的协调机构</w:t>
      </w:r>
    </w:p>
    <w:p w14:paraId="2556B674">
      <w:pPr>
        <w:adjustRightInd w:val="0"/>
        <w:snapToGrid w:val="0"/>
        <w:spacing w:line="360" w:lineRule="auto"/>
        <w:ind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rPr>
        <w:t>承包人</w:t>
      </w:r>
      <w:r>
        <w:rPr>
          <w:rFonts w:hint="eastAsia" w:ascii="仿宋" w:hAnsi="仿宋" w:eastAsia="仿宋" w:cs="仿宋"/>
          <w:snapToGrid w:val="0"/>
          <w:color w:val="auto"/>
          <w:kern w:val="0"/>
          <w:sz w:val="24"/>
          <w:highlight w:val="none"/>
        </w:rPr>
        <w:t>必须成立处理劳资纠纷的协调机构，</w:t>
      </w:r>
      <w:r>
        <w:rPr>
          <w:rFonts w:hint="eastAsia" w:ascii="仿宋" w:hAnsi="仿宋" w:eastAsia="仿宋" w:cs="仿宋"/>
          <w:bCs/>
          <w:iCs/>
          <w:snapToGrid w:val="0"/>
          <w:color w:val="auto"/>
          <w:kern w:val="0"/>
          <w:sz w:val="24"/>
          <w:highlight w:val="none"/>
        </w:rPr>
        <w:t>承包人主管领导和项目经理要亲自负责，配备专职人员，及时化解劳资矛盾及纠纷，并及时揭露、制止恶意煽动</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集体上访、集聚围阻的行为，保证不发生</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集体上访、集聚围阻等事件。</w:t>
      </w:r>
    </w:p>
    <w:p w14:paraId="3D4A8C4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9.4承包人未能履行合同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条款第9.2、9.3款各项义务，造成发包人损失的，承包人赔偿发包人有关损失。</w:t>
      </w:r>
    </w:p>
    <w:p w14:paraId="4DB73F26">
      <w:pP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rPr>
        <w:t>9.5承包人应在签订本合同的同时按合同附件与格式与发包人签订《合同价款组成表》《工程质量保修书》等文件。</w:t>
      </w:r>
    </w:p>
    <w:p w14:paraId="3F0E0506">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9.6承包人须于每月最后一日前向总监理工程师提供综合报表（内容包括但不限于如下计划、报表或报告），经总监理工程师审核，并报发包人批准后实施：</w:t>
      </w:r>
    </w:p>
    <w:p w14:paraId="0E774D31">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1</w:t>
      </w:r>
      <w:r>
        <w:rPr>
          <w:rFonts w:hint="eastAsia" w:ascii="仿宋" w:hAnsi="仿宋" w:eastAsia="仿宋" w:cs="仿宋"/>
          <w:bCs/>
          <w:snapToGrid w:val="0"/>
          <w:color w:val="auto"/>
          <w:kern w:val="0"/>
          <w:sz w:val="24"/>
          <w:highlight w:val="none"/>
        </w:rPr>
        <w:t>）当月应完成的工程进度和实际完成进度统计报表，当月完成的工程量申报（要求分细项申报，并含有完成金额），当月工程质量、安全生产、文明施工情况报告，当月工程事故报告（如果发生时，须同时报政府相关部门），当月</w:t>
      </w:r>
      <w:r>
        <w:rPr>
          <w:rFonts w:hint="eastAsia" w:ascii="仿宋" w:hAnsi="仿宋" w:eastAsia="仿宋" w:cs="仿宋"/>
          <w:snapToGrid w:val="0"/>
          <w:color w:val="auto"/>
          <w:kern w:val="0"/>
          <w:sz w:val="24"/>
          <w:highlight w:val="none"/>
        </w:rPr>
        <w:t>其协调管理范围内各专业工程</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如有）之</w:t>
      </w:r>
      <w:r>
        <w:rPr>
          <w:rFonts w:hint="eastAsia" w:ascii="仿宋" w:hAnsi="仿宋" w:eastAsia="仿宋" w:cs="仿宋"/>
          <w:snapToGrid w:val="0"/>
          <w:color w:val="auto"/>
          <w:kern w:val="0"/>
          <w:sz w:val="24"/>
          <w:highlight w:val="none"/>
        </w:rPr>
        <w:t>间的组织管理、协调、配合等方面情况及所出现问题的专项报告</w:t>
      </w:r>
      <w:r>
        <w:rPr>
          <w:rFonts w:hint="eastAsia" w:ascii="仿宋" w:hAnsi="仿宋" w:eastAsia="仿宋" w:cs="仿宋"/>
          <w:bCs/>
          <w:snapToGrid w:val="0"/>
          <w:color w:val="auto"/>
          <w:kern w:val="0"/>
          <w:sz w:val="24"/>
          <w:highlight w:val="none"/>
        </w:rPr>
        <w:t>（统计时段从上月二十五日至当月二十四日）。</w:t>
      </w:r>
    </w:p>
    <w:p w14:paraId="0567D340">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2</w:t>
      </w:r>
      <w:r>
        <w:rPr>
          <w:rFonts w:hint="eastAsia" w:ascii="仿宋" w:hAnsi="仿宋" w:eastAsia="仿宋" w:cs="仿宋"/>
          <w:bCs/>
          <w:snapToGrid w:val="0"/>
          <w:color w:val="auto"/>
          <w:kern w:val="0"/>
          <w:sz w:val="24"/>
          <w:highlight w:val="none"/>
        </w:rPr>
        <w:t>）下月资金使用计划，下月施工进度计划，下月施工拟投入设备，劳动力计划（统计时段从本月二十五日至下月二十四日）。</w:t>
      </w:r>
    </w:p>
    <w:p w14:paraId="009EFA34">
      <w:pP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所有计划、报表及报告的具体格式，应按照发包人或监理人要求填报。</w:t>
      </w:r>
    </w:p>
    <w:p w14:paraId="167E70EB">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9.7联合体（若有）</w:t>
      </w:r>
    </w:p>
    <w:p w14:paraId="58007A1C">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本合同工程承包人如为联合体的，须遵照如下约定：</w:t>
      </w:r>
    </w:p>
    <w:p w14:paraId="077DCF13">
      <w:pP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（1）联合体各成员应当按照招标文件提供的格式签订联合体协议书，明确联合体牵头人、联合体授权代表和各成员权利义务。</w:t>
      </w:r>
    </w:p>
    <w:p w14:paraId="29EA829D">
      <w:pP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（2）联合体协议书经发包人确认后作为合同附件。在履行合同过程中，未经发包人同意，不得修改联合体协议书。</w:t>
      </w:r>
    </w:p>
    <w:p w14:paraId="166ABD72">
      <w:pP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（3）联合体主办方或联合体授权的代表负责与发包人和监理单位联系，并接受指示，负责组织联合体各成员全面履行合同。</w:t>
      </w:r>
    </w:p>
    <w:p w14:paraId="7D27751C">
      <w:pPr>
        <w:adjustRightInd w:val="0"/>
        <w:snapToGrid w:val="0"/>
        <w:spacing w:line="360" w:lineRule="auto"/>
        <w:rPr>
          <w:rFonts w:ascii="仿宋" w:hAnsi="仿宋" w:eastAsia="仿宋" w:cs="仿宋"/>
          <w:b/>
          <w:snapToGrid w:val="0"/>
          <w:color w:val="auto"/>
          <w:kern w:val="0"/>
          <w:sz w:val="24"/>
          <w:highlight w:val="none"/>
        </w:rPr>
      </w:pPr>
    </w:p>
    <w:p w14:paraId="29C50BD0">
      <w:pPr>
        <w:adjustRightInd w:val="0"/>
        <w:snapToGrid w:val="0"/>
        <w:spacing w:line="360" w:lineRule="auto"/>
        <w:outlineLvl w:val="1"/>
        <w:rPr>
          <w:rFonts w:ascii="仿宋" w:hAnsi="仿宋" w:eastAsia="仿宋" w:cs="仿宋"/>
          <w:b/>
          <w:snapToGrid w:val="0"/>
          <w:color w:val="auto"/>
          <w:kern w:val="0"/>
          <w:sz w:val="24"/>
          <w:highlight w:val="none"/>
        </w:rPr>
      </w:pPr>
      <w:bookmarkStart w:id="76" w:name="_Toc2784865"/>
      <w:bookmarkStart w:id="77" w:name="_Toc504465887"/>
      <w:bookmarkStart w:id="78" w:name="_Toc13927"/>
      <w:bookmarkStart w:id="79" w:name="_Toc83377253"/>
      <w:bookmarkStart w:id="80" w:name="_Toc502215484"/>
      <w:r>
        <w:rPr>
          <w:rFonts w:hint="eastAsia" w:ascii="仿宋" w:hAnsi="仿宋" w:eastAsia="仿宋" w:cs="仿宋"/>
          <w:b/>
          <w:snapToGrid w:val="0"/>
          <w:color w:val="auto"/>
          <w:kern w:val="0"/>
          <w:sz w:val="24"/>
          <w:highlight w:val="none"/>
        </w:rPr>
        <w:t>三、工程设计</w:t>
      </w:r>
      <w:bookmarkEnd w:id="76"/>
      <w:bookmarkEnd w:id="77"/>
      <w:bookmarkEnd w:id="78"/>
      <w:bookmarkEnd w:id="79"/>
      <w:bookmarkEnd w:id="80"/>
    </w:p>
    <w:p w14:paraId="0932325F">
      <w:pPr>
        <w:adjustRightInd w:val="0"/>
        <w:snapToGrid w:val="0"/>
        <w:spacing w:line="360" w:lineRule="auto"/>
        <w:outlineLvl w:val="2"/>
        <w:rPr>
          <w:rFonts w:ascii="仿宋" w:hAnsi="仿宋" w:eastAsia="仿宋" w:cs="仿宋"/>
          <w:b/>
          <w:bCs/>
          <w:snapToGrid w:val="0"/>
          <w:color w:val="auto"/>
          <w:kern w:val="0"/>
          <w:sz w:val="24"/>
          <w:highlight w:val="none"/>
        </w:rPr>
      </w:pPr>
      <w:bookmarkStart w:id="81" w:name="_Toc83377254"/>
      <w:bookmarkStart w:id="82" w:name="_Toc504465888"/>
      <w:bookmarkStart w:id="83" w:name="_Toc2784866"/>
      <w:bookmarkStart w:id="84" w:name="_Toc502215485"/>
      <w:bookmarkStart w:id="85" w:name="_Toc5749"/>
      <w:r>
        <w:rPr>
          <w:rFonts w:hint="eastAsia" w:ascii="仿宋" w:hAnsi="仿宋" w:eastAsia="仿宋" w:cs="仿宋"/>
          <w:b/>
          <w:bCs/>
          <w:snapToGrid w:val="0"/>
          <w:color w:val="auto"/>
          <w:kern w:val="0"/>
          <w:sz w:val="24"/>
          <w:highlight w:val="none"/>
          <w:lang w:eastAsia="zh-CN"/>
        </w:rPr>
        <w:t>10.</w:t>
      </w:r>
      <w:r>
        <w:rPr>
          <w:rFonts w:hint="eastAsia" w:ascii="仿宋" w:hAnsi="仿宋" w:eastAsia="仿宋" w:cs="仿宋"/>
          <w:b/>
          <w:color w:val="auto"/>
          <w:sz w:val="24"/>
          <w:highlight w:val="none"/>
        </w:rPr>
        <w:t>工程</w:t>
      </w:r>
      <w:r>
        <w:rPr>
          <w:rFonts w:hint="eastAsia" w:ascii="仿宋" w:hAnsi="仿宋" w:eastAsia="仿宋" w:cs="仿宋"/>
          <w:b/>
          <w:bCs/>
          <w:snapToGrid w:val="0"/>
          <w:color w:val="auto"/>
          <w:kern w:val="0"/>
          <w:sz w:val="24"/>
          <w:highlight w:val="none"/>
        </w:rPr>
        <w:t>设计范围、内容、设计人员要求、设计成果要求</w:t>
      </w:r>
      <w:bookmarkEnd w:id="81"/>
      <w:bookmarkEnd w:id="82"/>
      <w:bookmarkEnd w:id="83"/>
      <w:bookmarkEnd w:id="84"/>
      <w:bookmarkEnd w:id="85"/>
    </w:p>
    <w:p w14:paraId="0A093C9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10.1设计范围：按合同协议书约定。</w:t>
      </w:r>
    </w:p>
    <w:p w14:paraId="1D4D856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10.2设计内容：按合同协议书约定。</w:t>
      </w:r>
      <w:bookmarkStart w:id="86" w:name="_Toc357857073"/>
    </w:p>
    <w:p w14:paraId="3EB125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10.3设计人员要求</w:t>
      </w:r>
      <w:bookmarkEnd w:id="86"/>
    </w:p>
    <w:p w14:paraId="4075378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（1）应根据设计任务建立项目组，从组织上保证投入的人力、物力能满足设计开展的需要，保证设计工作的连续性和外部条件接口衔接的连贯性。</w:t>
      </w:r>
    </w:p>
    <w:p w14:paraId="56F865E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（2）在设计高峰或发包人认为有必要时，承包人必须集中力量确保设计进度。</w:t>
      </w:r>
    </w:p>
    <w:p w14:paraId="3FD3CDD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（3）在明确分工各负其责的基础上，承包人承诺为本合同约定项目指定的设计负责人为：</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06B8FD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（4）项目设计负责人、专业设计负责人的经验、能力和健康状况应能够胜任所承担任务的设计、组织、计划、协调工作。</w:t>
      </w:r>
    </w:p>
    <w:p w14:paraId="1B5539E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（5）承包人须向发包人报送项目设计负责人、专业设计负责人、其他参与设计工作的人员的姓名、年龄、学历、专业、职称、职务、相关经历和主要技术成果以及在本合同约定项目中负责的设计任务等资料。</w:t>
      </w:r>
    </w:p>
    <w:p w14:paraId="38993B66">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snapToGrid w:val="0"/>
          <w:color w:val="auto"/>
          <w:kern w:val="0"/>
          <w:sz w:val="24"/>
          <w:highlight w:val="none"/>
        </w:rPr>
        <w:t>承包人如为境外机构，必须自行配备专业翻译一名。</w:t>
      </w:r>
    </w:p>
    <w:p w14:paraId="7E79B958">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认为设计负责人、</w:t>
      </w:r>
      <w:r>
        <w:rPr>
          <w:rFonts w:hint="eastAsia" w:ascii="仿宋" w:hAnsi="仿宋" w:eastAsia="仿宋" w:cs="仿宋"/>
          <w:color w:val="auto"/>
          <w:sz w:val="24"/>
          <w:highlight w:val="none"/>
        </w:rPr>
        <w:t>专业设计负责人</w:t>
      </w:r>
      <w:r>
        <w:rPr>
          <w:rFonts w:hint="eastAsia" w:ascii="仿宋" w:hAnsi="仿宋" w:eastAsia="仿宋" w:cs="仿宋"/>
          <w:snapToGrid w:val="0"/>
          <w:color w:val="auto"/>
          <w:kern w:val="0"/>
          <w:sz w:val="24"/>
          <w:highlight w:val="none"/>
        </w:rPr>
        <w:t>不称职时，有权向承包人发出书面更换人员通知，承包人应当在收到</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的书面通知后5天内更换，更换人员的职务、资历、资格不得低于本合同相应条款的要求，且更换人员须先经过发包人确认。若承包人对</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要求更换人员有异议时，可申请复议一次，若经复议后</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仍然要求更换，则承包人应无条件进行更换，否则</w:t>
      </w:r>
      <w:r>
        <w:rPr>
          <w:rFonts w:hint="eastAsia" w:ascii="仿宋" w:hAnsi="仿宋" w:eastAsia="仿宋" w:cs="仿宋"/>
          <w:snapToGrid w:val="0"/>
          <w:color w:val="auto"/>
          <w:kern w:val="0"/>
          <w:sz w:val="24"/>
          <w:highlight w:val="none"/>
          <w:lang w:eastAsia="zh-CN"/>
        </w:rPr>
        <w:t>视为</w:t>
      </w:r>
      <w:r>
        <w:rPr>
          <w:rFonts w:hint="eastAsia" w:ascii="仿宋" w:hAnsi="仿宋" w:eastAsia="仿宋" w:cs="仿宋"/>
          <w:snapToGrid w:val="0"/>
          <w:color w:val="auto"/>
          <w:kern w:val="0"/>
          <w:sz w:val="24"/>
          <w:highlight w:val="none"/>
        </w:rPr>
        <w:t>承包人该人员从发包人发出更换通知的时间开始擅自离岗。</w:t>
      </w:r>
    </w:p>
    <w:p w14:paraId="106FFA4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snapToGrid w:val="0"/>
          <w:color w:val="auto"/>
          <w:kern w:val="0"/>
          <w:sz w:val="24"/>
          <w:highlight w:val="none"/>
        </w:rPr>
        <w:t>当发包人认为承包人的</w:t>
      </w:r>
      <w:r>
        <w:rPr>
          <w:rFonts w:hint="eastAsia" w:ascii="仿宋" w:hAnsi="仿宋" w:eastAsia="仿宋" w:cs="仿宋"/>
          <w:snapToGrid w:val="0"/>
          <w:color w:val="auto"/>
          <w:kern w:val="0"/>
          <w:sz w:val="24"/>
          <w:szCs w:val="22"/>
          <w:highlight w:val="none"/>
        </w:rPr>
        <w:t>设计人员及管理服务人员的数量、专业水平、专业配套等达不到设计所需时，发包人有权要求承包人更换及补充相关人员，直至满足设计工</w:t>
      </w:r>
      <w:r>
        <w:rPr>
          <w:rFonts w:hint="eastAsia" w:ascii="仿宋" w:hAnsi="仿宋" w:eastAsia="仿宋" w:cs="仿宋"/>
          <w:snapToGrid w:val="0"/>
          <w:color w:val="auto"/>
          <w:kern w:val="0"/>
          <w:sz w:val="24"/>
          <w:highlight w:val="none"/>
        </w:rPr>
        <w:t>作要求为止，否则发包人有权扣减设计费直至解除合同等。</w:t>
      </w:r>
    </w:p>
    <w:p w14:paraId="143AF83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10.4设计成果文件的提交</w:t>
      </w:r>
    </w:p>
    <w:p w14:paraId="2A32500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（1）设计文件包括设计图纸、说明书、计算书、概算文件及其电子版本。</w:t>
      </w:r>
    </w:p>
    <w:p w14:paraId="4E8F14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（2）设计</w:t>
      </w:r>
      <w:r>
        <w:rPr>
          <w:rFonts w:hint="eastAsia" w:ascii="仿宋" w:hAnsi="仿宋" w:eastAsia="仿宋" w:cs="仿宋"/>
          <w:snapToGrid w:val="0"/>
          <w:color w:val="auto"/>
          <w:kern w:val="0"/>
          <w:sz w:val="24"/>
          <w:szCs w:val="22"/>
          <w:highlight w:val="none"/>
        </w:rPr>
        <w:t>成果</w:t>
      </w:r>
      <w:r>
        <w:rPr>
          <w:rFonts w:hint="eastAsia" w:ascii="仿宋" w:hAnsi="仿宋" w:eastAsia="仿宋" w:cs="仿宋"/>
          <w:color w:val="auto"/>
          <w:sz w:val="24"/>
          <w:highlight w:val="none"/>
        </w:rPr>
        <w:t>包含施工图设计。设计文件除应提供设计范围的相关图纸、总设计说明、工程项目及数量汇总表外，还应提供所需设计图纸以及必要的设计资料和设计计算书。交付设计文件和资料时应附带清单。</w:t>
      </w:r>
    </w:p>
    <w:p w14:paraId="5719D0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（3）应按项目编码方式进行文件、图纸的编码，并遵守发包人制定的设计文件、图纸、资料的发放、回收和验收制度。</w:t>
      </w:r>
    </w:p>
    <w:p w14:paraId="41520715">
      <w:pPr>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2"/>
          <w:highlight w:val="none"/>
        </w:rPr>
        <w:t>设计送审稿资料须向发包人提交8</w:t>
      </w:r>
      <w:r>
        <w:rPr>
          <w:rFonts w:hint="eastAsia" w:ascii="仿宋" w:hAnsi="仿宋" w:eastAsia="仿宋" w:cs="仿宋"/>
          <w:color w:val="auto"/>
          <w:highlight w:val="none"/>
        </w:rPr>
        <w:t>套</w:t>
      </w:r>
      <w:r>
        <w:rPr>
          <w:rFonts w:hint="eastAsia" w:ascii="仿宋" w:hAnsi="仿宋" w:eastAsia="仿宋" w:cs="仿宋"/>
          <w:color w:val="auto"/>
          <w:sz w:val="24"/>
          <w:szCs w:val="22"/>
          <w:highlight w:val="none"/>
        </w:rPr>
        <w:t>，含电子光盘1份。</w:t>
      </w:r>
    </w:p>
    <w:p w14:paraId="110ED8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（5）设</w:t>
      </w:r>
      <w:r>
        <w:rPr>
          <w:rFonts w:hint="eastAsia" w:ascii="仿宋" w:hAnsi="仿宋" w:eastAsia="仿宋" w:cs="仿宋"/>
          <w:color w:val="auto"/>
          <w:sz w:val="24"/>
          <w:highlight w:val="none"/>
        </w:rPr>
        <w:t>计终稿资料质量须一次性通过发包人委托的第三方根据合同约定标准进行的审核，须向发包人提交份数具体如下：</w:t>
      </w:r>
    </w:p>
    <w:p w14:paraId="24A96D9B">
      <w:pPr>
        <w:rPr>
          <w:rFonts w:hint="eastAsia" w:ascii="仿宋" w:hAnsi="仿宋" w:eastAsia="仿宋" w:cs="仿宋"/>
          <w:color w:val="auto"/>
          <w:sz w:val="24"/>
          <w:highlight w:val="none"/>
        </w:rPr>
      </w:pPr>
    </w:p>
    <w:tbl>
      <w:tblPr>
        <w:tblStyle w:val="23"/>
        <w:tblW w:w="4998" w:type="pct"/>
        <w:tblInd w:w="0" w:type="dxa"/>
        <w:tblLayout w:type="autofit"/>
        <w:tblCellMar>
          <w:top w:w="0" w:type="dxa"/>
          <w:left w:w="108" w:type="dxa"/>
          <w:bottom w:w="0" w:type="dxa"/>
          <w:right w:w="108" w:type="dxa"/>
        </w:tblCellMar>
      </w:tblPr>
      <w:tblGrid>
        <w:gridCol w:w="711"/>
        <w:gridCol w:w="1773"/>
        <w:gridCol w:w="1510"/>
        <w:gridCol w:w="1508"/>
        <w:gridCol w:w="1783"/>
        <w:gridCol w:w="1234"/>
      </w:tblGrid>
      <w:tr w14:paraId="484B7609">
        <w:tblPrEx>
          <w:tblCellMar>
            <w:top w:w="0" w:type="dxa"/>
            <w:left w:w="108" w:type="dxa"/>
            <w:bottom w:w="0" w:type="dxa"/>
            <w:right w:w="108" w:type="dxa"/>
          </w:tblCellMar>
        </w:tblPrEx>
        <w:trPr>
          <w:trHeight w:val="285" w:hRule="atLeast"/>
        </w:trPr>
        <w:tc>
          <w:tcPr>
            <w:tcW w:w="417" w:type="pct"/>
            <w:tcBorders>
              <w:top w:val="single" w:color="auto" w:sz="4" w:space="0"/>
              <w:left w:val="single" w:color="auto" w:sz="4" w:space="0"/>
              <w:bottom w:val="single" w:color="auto" w:sz="4" w:space="0"/>
              <w:right w:val="single" w:color="auto" w:sz="4" w:space="0"/>
            </w:tcBorders>
            <w:vAlign w:val="center"/>
          </w:tcPr>
          <w:p w14:paraId="26403DC9">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926" w:type="pct"/>
            <w:gridSpan w:val="2"/>
            <w:tcBorders>
              <w:top w:val="single" w:color="auto" w:sz="4" w:space="0"/>
              <w:left w:val="nil"/>
              <w:bottom w:val="single" w:color="auto" w:sz="4" w:space="0"/>
              <w:right w:val="single" w:color="auto" w:sz="4" w:space="0"/>
            </w:tcBorders>
            <w:vAlign w:val="center"/>
          </w:tcPr>
          <w:p w14:paraId="7B2856EB">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成果文件名称</w:t>
            </w:r>
          </w:p>
        </w:tc>
        <w:tc>
          <w:tcPr>
            <w:tcW w:w="885" w:type="pct"/>
            <w:tcBorders>
              <w:top w:val="single" w:color="auto" w:sz="4" w:space="0"/>
              <w:left w:val="nil"/>
              <w:bottom w:val="single" w:color="auto" w:sz="4" w:space="0"/>
              <w:right w:val="single" w:color="auto" w:sz="4" w:space="0"/>
            </w:tcBorders>
            <w:vAlign w:val="center"/>
          </w:tcPr>
          <w:p w14:paraId="6E70C710">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提交日期</w:t>
            </w:r>
          </w:p>
        </w:tc>
        <w:tc>
          <w:tcPr>
            <w:tcW w:w="1046" w:type="pct"/>
            <w:tcBorders>
              <w:top w:val="single" w:color="auto" w:sz="4" w:space="0"/>
              <w:left w:val="nil"/>
              <w:bottom w:val="single" w:color="auto" w:sz="4" w:space="0"/>
              <w:right w:val="single" w:color="auto" w:sz="4" w:space="0"/>
            </w:tcBorders>
            <w:vAlign w:val="center"/>
          </w:tcPr>
          <w:p w14:paraId="7EDB0AEC">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套（份）数</w:t>
            </w:r>
          </w:p>
        </w:tc>
        <w:tc>
          <w:tcPr>
            <w:tcW w:w="724" w:type="pct"/>
            <w:tcBorders>
              <w:top w:val="single" w:color="auto" w:sz="4" w:space="0"/>
              <w:left w:val="nil"/>
              <w:bottom w:val="single" w:color="auto" w:sz="4" w:space="0"/>
              <w:right w:val="single" w:color="auto" w:sz="4" w:space="0"/>
            </w:tcBorders>
            <w:vAlign w:val="center"/>
          </w:tcPr>
          <w:p w14:paraId="212E17E0">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43FFAFCB">
        <w:tblPrEx>
          <w:tblCellMar>
            <w:top w:w="0" w:type="dxa"/>
            <w:left w:w="108" w:type="dxa"/>
            <w:bottom w:w="0" w:type="dxa"/>
            <w:right w:w="108" w:type="dxa"/>
          </w:tblCellMar>
        </w:tblPrEx>
        <w:trPr>
          <w:trHeight w:val="465" w:hRule="atLeast"/>
        </w:trPr>
        <w:tc>
          <w:tcPr>
            <w:tcW w:w="417" w:type="pct"/>
            <w:tcBorders>
              <w:top w:val="nil"/>
              <w:left w:val="single" w:color="auto" w:sz="4" w:space="0"/>
              <w:bottom w:val="single" w:color="auto" w:sz="4" w:space="0"/>
              <w:right w:val="single" w:color="auto" w:sz="4" w:space="0"/>
            </w:tcBorders>
            <w:vAlign w:val="center"/>
          </w:tcPr>
          <w:p w14:paraId="5C5FB8BC">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926" w:type="pct"/>
            <w:gridSpan w:val="2"/>
            <w:tcBorders>
              <w:top w:val="single" w:color="auto" w:sz="4" w:space="0"/>
              <w:left w:val="nil"/>
              <w:bottom w:val="single" w:color="auto" w:sz="4" w:space="0"/>
              <w:right w:val="single" w:color="auto" w:sz="4" w:space="0"/>
            </w:tcBorders>
            <w:vAlign w:val="center"/>
          </w:tcPr>
          <w:p w14:paraId="60B5FEF0">
            <w:pPr>
              <w:widowControl/>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施工图设计成果文件（含投资分析报告、主要设备材料技术要求书）</w:t>
            </w:r>
          </w:p>
        </w:tc>
        <w:tc>
          <w:tcPr>
            <w:tcW w:w="885" w:type="pct"/>
            <w:tcBorders>
              <w:top w:val="nil"/>
              <w:left w:val="nil"/>
              <w:bottom w:val="single" w:color="auto" w:sz="4" w:space="0"/>
              <w:right w:val="single" w:color="auto" w:sz="4" w:space="0"/>
            </w:tcBorders>
            <w:vAlign w:val="center"/>
          </w:tcPr>
          <w:p w14:paraId="21E4440C">
            <w:pPr>
              <w:widowControl/>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按工作计划或发包人要求</w:t>
            </w:r>
          </w:p>
        </w:tc>
        <w:tc>
          <w:tcPr>
            <w:tcW w:w="1046" w:type="pct"/>
            <w:tcBorders>
              <w:top w:val="nil"/>
              <w:left w:val="nil"/>
              <w:bottom w:val="single" w:color="auto" w:sz="4" w:space="0"/>
              <w:right w:val="single" w:color="auto" w:sz="4" w:space="0"/>
            </w:tcBorders>
          </w:tcPr>
          <w:p w14:paraId="3DB4E11C">
            <w:pPr>
              <w:spacing w:line="312" w:lineRule="auto"/>
              <w:rPr>
                <w:rFonts w:ascii="仿宋" w:hAnsi="仿宋" w:eastAsia="仿宋" w:cs="仿宋"/>
                <w:color w:val="auto"/>
                <w:highlight w:val="none"/>
              </w:rPr>
            </w:pPr>
            <w:r>
              <w:rPr>
                <w:rFonts w:hint="eastAsia" w:ascii="仿宋" w:hAnsi="仿宋" w:eastAsia="仿宋" w:cs="仿宋"/>
                <w:color w:val="auto"/>
                <w:highlight w:val="none"/>
                <w:lang w:eastAsia="zh-CN"/>
              </w:rPr>
              <w:t>4.</w:t>
            </w:r>
            <w:r>
              <w:rPr>
                <w:rFonts w:hint="eastAsia" w:ascii="仿宋" w:hAnsi="仿宋" w:eastAsia="仿宋" w:cs="仿宋"/>
                <w:color w:val="auto"/>
                <w:highlight w:val="none"/>
              </w:rPr>
              <w:t>或按发包人要求提供</w:t>
            </w:r>
          </w:p>
        </w:tc>
        <w:tc>
          <w:tcPr>
            <w:tcW w:w="724" w:type="pct"/>
            <w:tcBorders>
              <w:top w:val="nil"/>
              <w:left w:val="nil"/>
              <w:bottom w:val="single" w:color="auto" w:sz="4" w:space="0"/>
              <w:right w:val="single" w:color="auto" w:sz="4" w:space="0"/>
            </w:tcBorders>
          </w:tcPr>
          <w:p w14:paraId="445B0793">
            <w:pPr>
              <w:spacing w:line="312" w:lineRule="auto"/>
              <w:rPr>
                <w:rFonts w:ascii="仿宋" w:hAnsi="仿宋" w:eastAsia="仿宋" w:cs="仿宋"/>
                <w:color w:val="auto"/>
                <w:highlight w:val="none"/>
              </w:rPr>
            </w:pPr>
            <w:r>
              <w:rPr>
                <w:rFonts w:hint="eastAsia" w:ascii="仿宋" w:hAnsi="仿宋" w:eastAsia="仿宋" w:cs="仿宋"/>
                <w:color w:val="auto"/>
                <w:highlight w:val="none"/>
              </w:rPr>
              <w:t>投资分析报告3份、电子文档1份</w:t>
            </w:r>
            <w:r>
              <w:rPr>
                <w:rFonts w:hint="eastAsia" w:ascii="仿宋" w:hAnsi="仿宋" w:eastAsia="仿宋" w:cs="仿宋"/>
                <w:color w:val="auto"/>
                <w:highlight w:val="none"/>
                <w:lang w:eastAsia="zh-CN"/>
              </w:rPr>
              <w:t>，纸质</w:t>
            </w:r>
            <w:r>
              <w:rPr>
                <w:rFonts w:hint="eastAsia" w:ascii="仿宋" w:hAnsi="仿宋" w:eastAsia="仿宋" w:cs="仿宋"/>
                <w:color w:val="auto"/>
                <w:highlight w:val="none"/>
                <w:lang w:val="en-US" w:eastAsia="zh-CN"/>
              </w:rPr>
              <w:t>4份</w:t>
            </w:r>
          </w:p>
        </w:tc>
      </w:tr>
      <w:tr w14:paraId="0D7A98B7">
        <w:tblPrEx>
          <w:tblCellMar>
            <w:top w:w="0" w:type="dxa"/>
            <w:left w:w="108" w:type="dxa"/>
            <w:bottom w:w="0" w:type="dxa"/>
            <w:right w:w="108" w:type="dxa"/>
          </w:tblCellMar>
        </w:tblPrEx>
        <w:trPr>
          <w:trHeight w:val="1173" w:hRule="atLeast"/>
        </w:trPr>
        <w:tc>
          <w:tcPr>
            <w:tcW w:w="417" w:type="pct"/>
            <w:vMerge w:val="restart"/>
            <w:tcBorders>
              <w:top w:val="nil"/>
              <w:left w:val="single" w:color="auto" w:sz="4" w:space="0"/>
              <w:right w:val="single" w:color="auto" w:sz="4" w:space="0"/>
            </w:tcBorders>
            <w:vAlign w:val="center"/>
          </w:tcPr>
          <w:p w14:paraId="198C4294">
            <w:pPr>
              <w:widowControl/>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040" w:type="pct"/>
            <w:vMerge w:val="restart"/>
            <w:tcBorders>
              <w:top w:val="single" w:color="auto" w:sz="4" w:space="0"/>
              <w:left w:val="single" w:color="auto" w:sz="4" w:space="0"/>
              <w:right w:val="single" w:color="auto" w:sz="4" w:space="0"/>
            </w:tcBorders>
            <w:vAlign w:val="center"/>
          </w:tcPr>
          <w:p w14:paraId="3845F1EC">
            <w:pPr>
              <w:widowControl/>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施工图（</w:t>
            </w:r>
            <w:r>
              <w:rPr>
                <w:rFonts w:hint="eastAsia" w:ascii="仿宋" w:hAnsi="仿宋" w:eastAsia="仿宋" w:cs="仿宋"/>
                <w:color w:val="auto"/>
                <w:kern w:val="0"/>
                <w:szCs w:val="21"/>
                <w:highlight w:val="none"/>
                <w:lang w:val="en-US" w:eastAsia="zh-CN"/>
              </w:rPr>
              <w:t>含</w:t>
            </w:r>
            <w:r>
              <w:rPr>
                <w:rFonts w:hint="eastAsia" w:ascii="仿宋" w:hAnsi="仿宋" w:eastAsia="仿宋" w:cs="仿宋"/>
                <w:color w:val="auto"/>
                <w:kern w:val="0"/>
                <w:szCs w:val="21"/>
                <w:highlight w:val="none"/>
              </w:rPr>
              <w:t>主要材料设备清单和技术要求等文件）</w:t>
            </w:r>
          </w:p>
        </w:tc>
        <w:tc>
          <w:tcPr>
            <w:tcW w:w="886" w:type="pct"/>
            <w:vMerge w:val="restart"/>
            <w:tcBorders>
              <w:top w:val="nil"/>
              <w:left w:val="nil"/>
              <w:right w:val="single" w:color="auto" w:sz="4" w:space="0"/>
            </w:tcBorders>
            <w:vAlign w:val="center"/>
          </w:tcPr>
          <w:p w14:paraId="3AA15AF9">
            <w:pP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工程完工的完整版施工图</w:t>
            </w:r>
          </w:p>
        </w:tc>
        <w:tc>
          <w:tcPr>
            <w:tcW w:w="885" w:type="pct"/>
            <w:tcBorders>
              <w:top w:val="nil"/>
              <w:left w:val="nil"/>
              <w:right w:val="single" w:color="auto" w:sz="4" w:space="0"/>
            </w:tcBorders>
          </w:tcPr>
          <w:p w14:paraId="77B53571">
            <w:pPr>
              <w:spacing w:line="312" w:lineRule="auto"/>
              <w:rPr>
                <w:rFonts w:ascii="仿宋" w:hAnsi="仿宋" w:eastAsia="仿宋" w:cs="仿宋"/>
                <w:strike/>
                <w:color w:val="auto"/>
                <w:kern w:val="0"/>
                <w:szCs w:val="21"/>
                <w:highlight w:val="none"/>
              </w:rPr>
            </w:pPr>
            <w:r>
              <w:rPr>
                <w:rFonts w:hint="eastAsia" w:ascii="仿宋" w:hAnsi="仿宋" w:eastAsia="仿宋" w:cs="仿宋"/>
                <w:color w:val="auto"/>
                <w:kern w:val="0"/>
                <w:szCs w:val="21"/>
                <w:highlight w:val="none"/>
              </w:rPr>
              <w:t>按工作计划或发包人要求</w:t>
            </w:r>
          </w:p>
        </w:tc>
        <w:tc>
          <w:tcPr>
            <w:tcW w:w="1046" w:type="pct"/>
            <w:tcBorders>
              <w:top w:val="nil"/>
              <w:left w:val="nil"/>
              <w:right w:val="single" w:color="auto" w:sz="4" w:space="0"/>
            </w:tcBorders>
          </w:tcPr>
          <w:p w14:paraId="76EEE124">
            <w:pPr>
              <w:spacing w:line="312" w:lineRule="auto"/>
              <w:rPr>
                <w:rFonts w:ascii="仿宋" w:hAnsi="仿宋" w:eastAsia="仿宋" w:cs="仿宋"/>
                <w:strike/>
                <w:color w:val="auto"/>
                <w:kern w:val="0"/>
                <w:szCs w:val="21"/>
                <w:highlight w:val="none"/>
              </w:rPr>
            </w:pPr>
            <w:r>
              <w:rPr>
                <w:rFonts w:hint="eastAsia" w:ascii="仿宋" w:hAnsi="仿宋" w:eastAsia="仿宋" w:cs="仿宋"/>
                <w:color w:val="auto"/>
                <w:highlight w:val="none"/>
              </w:rPr>
              <w:t>按发包人要求提供</w:t>
            </w:r>
          </w:p>
        </w:tc>
        <w:tc>
          <w:tcPr>
            <w:tcW w:w="724" w:type="pct"/>
            <w:tcBorders>
              <w:top w:val="nil"/>
              <w:left w:val="single" w:color="auto" w:sz="4" w:space="0"/>
              <w:bottom w:val="single" w:color="auto" w:sz="4" w:space="0"/>
              <w:right w:val="single" w:color="auto" w:sz="4" w:space="0"/>
            </w:tcBorders>
          </w:tcPr>
          <w:p w14:paraId="1E3B75F8">
            <w:pPr>
              <w:spacing w:line="312" w:lineRule="auto"/>
              <w:rPr>
                <w:rFonts w:hint="default" w:ascii="仿宋" w:hAnsi="仿宋" w:eastAsia="仿宋" w:cs="仿宋"/>
                <w:strike/>
                <w:color w:val="auto"/>
                <w:kern w:val="0"/>
                <w:szCs w:val="21"/>
                <w:highlight w:val="none"/>
                <w:lang w:val="en-US" w:eastAsia="zh-CN"/>
              </w:rPr>
            </w:pPr>
            <w:r>
              <w:rPr>
                <w:rFonts w:hint="eastAsia" w:ascii="仿宋" w:hAnsi="仿宋" w:eastAsia="仿宋" w:cs="仿宋"/>
                <w:color w:val="auto"/>
                <w:highlight w:val="none"/>
              </w:rPr>
              <w:t>电子文档1份</w:t>
            </w:r>
            <w:r>
              <w:rPr>
                <w:rFonts w:hint="eastAsia" w:ascii="仿宋" w:hAnsi="仿宋" w:eastAsia="仿宋" w:cs="仿宋"/>
                <w:color w:val="auto"/>
                <w:highlight w:val="none"/>
                <w:lang w:eastAsia="zh-CN"/>
              </w:rPr>
              <w:t>，纸质</w:t>
            </w:r>
            <w:r>
              <w:rPr>
                <w:rFonts w:hint="eastAsia" w:ascii="仿宋" w:hAnsi="仿宋" w:eastAsia="仿宋" w:cs="仿宋"/>
                <w:color w:val="auto"/>
                <w:highlight w:val="none"/>
                <w:lang w:val="en-US" w:eastAsia="zh-CN"/>
              </w:rPr>
              <w:t>4份</w:t>
            </w:r>
          </w:p>
        </w:tc>
      </w:tr>
      <w:tr w14:paraId="12D6486B">
        <w:tblPrEx>
          <w:tblCellMar>
            <w:top w:w="0" w:type="dxa"/>
            <w:left w:w="108" w:type="dxa"/>
            <w:bottom w:w="0" w:type="dxa"/>
            <w:right w:w="108" w:type="dxa"/>
          </w:tblCellMar>
        </w:tblPrEx>
        <w:trPr>
          <w:trHeight w:val="764" w:hRule="atLeast"/>
        </w:trPr>
        <w:tc>
          <w:tcPr>
            <w:tcW w:w="417" w:type="pct"/>
            <w:vMerge w:val="continue"/>
            <w:tcBorders>
              <w:left w:val="single" w:color="auto" w:sz="4" w:space="0"/>
              <w:bottom w:val="single" w:color="auto" w:sz="4" w:space="0"/>
              <w:right w:val="single" w:color="auto" w:sz="4" w:space="0"/>
            </w:tcBorders>
            <w:vAlign w:val="center"/>
          </w:tcPr>
          <w:p w14:paraId="0A1A1293">
            <w:pPr>
              <w:widowControl/>
              <w:spacing w:line="312" w:lineRule="auto"/>
              <w:jc w:val="left"/>
              <w:rPr>
                <w:rFonts w:ascii="仿宋" w:hAnsi="仿宋" w:eastAsia="仿宋" w:cs="仿宋"/>
                <w:color w:val="auto"/>
                <w:kern w:val="0"/>
                <w:szCs w:val="21"/>
                <w:highlight w:val="none"/>
              </w:rPr>
            </w:pPr>
          </w:p>
        </w:tc>
        <w:tc>
          <w:tcPr>
            <w:tcW w:w="1040" w:type="pct"/>
            <w:vMerge w:val="continue"/>
            <w:tcBorders>
              <w:left w:val="single" w:color="auto" w:sz="4" w:space="0"/>
              <w:bottom w:val="single" w:color="auto" w:sz="4" w:space="0"/>
              <w:right w:val="single" w:color="auto" w:sz="4" w:space="0"/>
            </w:tcBorders>
            <w:vAlign w:val="center"/>
          </w:tcPr>
          <w:p w14:paraId="01D3DBE1">
            <w:pPr>
              <w:widowControl/>
              <w:spacing w:line="312" w:lineRule="auto"/>
              <w:jc w:val="left"/>
              <w:rPr>
                <w:rFonts w:ascii="仿宋" w:hAnsi="仿宋" w:eastAsia="仿宋" w:cs="仿宋"/>
                <w:color w:val="auto"/>
                <w:kern w:val="0"/>
                <w:szCs w:val="21"/>
                <w:highlight w:val="none"/>
              </w:rPr>
            </w:pPr>
          </w:p>
        </w:tc>
        <w:tc>
          <w:tcPr>
            <w:tcW w:w="886" w:type="pct"/>
            <w:vMerge w:val="continue"/>
            <w:tcBorders>
              <w:left w:val="nil"/>
              <w:bottom w:val="single" w:color="auto" w:sz="4" w:space="0"/>
              <w:right w:val="single" w:color="auto" w:sz="4" w:space="0"/>
            </w:tcBorders>
            <w:vAlign w:val="center"/>
          </w:tcPr>
          <w:p w14:paraId="7120B002">
            <w:pPr>
              <w:spacing w:line="312" w:lineRule="auto"/>
              <w:rPr>
                <w:rFonts w:ascii="仿宋" w:hAnsi="仿宋" w:eastAsia="仿宋" w:cs="仿宋"/>
                <w:color w:val="auto"/>
                <w:kern w:val="0"/>
                <w:szCs w:val="21"/>
                <w:highlight w:val="none"/>
              </w:rPr>
            </w:pPr>
          </w:p>
        </w:tc>
        <w:tc>
          <w:tcPr>
            <w:tcW w:w="885" w:type="pct"/>
            <w:tcBorders>
              <w:top w:val="single" w:color="auto" w:sz="4" w:space="0"/>
              <w:left w:val="single" w:color="auto" w:sz="4" w:space="0"/>
              <w:bottom w:val="single" w:color="auto" w:sz="4" w:space="0"/>
              <w:right w:val="single" w:color="auto" w:sz="4" w:space="0"/>
            </w:tcBorders>
          </w:tcPr>
          <w:p w14:paraId="7C449401">
            <w:pP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竣工验收前</w:t>
            </w:r>
          </w:p>
        </w:tc>
        <w:tc>
          <w:tcPr>
            <w:tcW w:w="1046" w:type="pct"/>
            <w:tcBorders>
              <w:top w:val="single" w:color="auto" w:sz="4" w:space="0"/>
              <w:left w:val="single" w:color="auto" w:sz="4" w:space="0"/>
              <w:bottom w:val="single" w:color="auto" w:sz="4" w:space="0"/>
              <w:right w:val="single" w:color="auto" w:sz="4" w:space="0"/>
            </w:tcBorders>
          </w:tcPr>
          <w:p w14:paraId="6A942819">
            <w:pP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4.</w:t>
            </w:r>
            <w:r>
              <w:rPr>
                <w:rFonts w:hint="eastAsia" w:ascii="仿宋" w:hAnsi="仿宋" w:eastAsia="仿宋" w:cs="仿宋"/>
                <w:color w:val="auto"/>
                <w:kern w:val="0"/>
                <w:szCs w:val="21"/>
                <w:highlight w:val="none"/>
              </w:rPr>
              <w:t>或按发包人要求提供</w:t>
            </w:r>
          </w:p>
        </w:tc>
        <w:tc>
          <w:tcPr>
            <w:tcW w:w="724" w:type="pct"/>
            <w:tcBorders>
              <w:top w:val="single" w:color="auto" w:sz="4" w:space="0"/>
              <w:left w:val="single" w:color="auto" w:sz="4" w:space="0"/>
              <w:bottom w:val="single" w:color="auto" w:sz="4" w:space="0"/>
              <w:right w:val="single" w:color="auto" w:sz="4" w:space="0"/>
            </w:tcBorders>
          </w:tcPr>
          <w:p w14:paraId="437EFA5E">
            <w:pPr>
              <w:spacing w:line="312" w:lineRule="auto"/>
              <w:rPr>
                <w:rFonts w:ascii="仿宋" w:hAnsi="仿宋" w:eastAsia="仿宋" w:cs="仿宋"/>
                <w:color w:val="auto"/>
                <w:kern w:val="0"/>
                <w:szCs w:val="21"/>
                <w:highlight w:val="none"/>
              </w:rPr>
            </w:pPr>
            <w:r>
              <w:rPr>
                <w:rFonts w:hint="eastAsia" w:ascii="仿宋" w:hAnsi="仿宋" w:eastAsia="仿宋" w:cs="仿宋"/>
                <w:color w:val="auto"/>
                <w:highlight w:val="none"/>
              </w:rPr>
              <w:t>电子文档1份</w:t>
            </w:r>
            <w:r>
              <w:rPr>
                <w:rFonts w:hint="eastAsia" w:ascii="仿宋" w:hAnsi="仿宋" w:eastAsia="仿宋" w:cs="仿宋"/>
                <w:color w:val="auto"/>
                <w:highlight w:val="none"/>
                <w:lang w:eastAsia="zh-CN"/>
              </w:rPr>
              <w:t>，纸质</w:t>
            </w:r>
            <w:r>
              <w:rPr>
                <w:rFonts w:hint="eastAsia" w:ascii="仿宋" w:hAnsi="仿宋" w:eastAsia="仿宋" w:cs="仿宋"/>
                <w:color w:val="auto"/>
                <w:highlight w:val="none"/>
                <w:lang w:val="en-US" w:eastAsia="zh-CN"/>
              </w:rPr>
              <w:t>4份</w:t>
            </w:r>
          </w:p>
        </w:tc>
      </w:tr>
    </w:tbl>
    <w:p w14:paraId="0A9DCC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（6）项目报审需要的审查文件，按照相关主管部门要求文件及份数提交。</w:t>
      </w:r>
    </w:p>
    <w:p w14:paraId="18F75EFF">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（7）承包人按合同约定的时限将设计成果文件或资料交付至</w:t>
      </w:r>
      <w:r>
        <w:rPr>
          <w:rFonts w:hint="eastAsia" w:ascii="仿宋" w:hAnsi="仿宋" w:eastAsia="仿宋" w:cs="仿宋"/>
          <w:snapToGrid w:val="0"/>
          <w:color w:val="auto"/>
          <w:sz w:val="24"/>
          <w:highlight w:val="none"/>
        </w:rPr>
        <w:t>发包人</w:t>
      </w:r>
      <w:r>
        <w:rPr>
          <w:rFonts w:hint="eastAsia" w:ascii="仿宋" w:hAnsi="仿宋" w:eastAsia="仿宋" w:cs="仿宋"/>
          <w:snapToGrid w:val="0"/>
          <w:color w:val="auto"/>
          <w:kern w:val="0"/>
          <w:sz w:val="24"/>
          <w:highlight w:val="none"/>
        </w:rPr>
        <w:t>指定的地点，相关费用（包括运输、邮寄、电传、关税等费用）已经含于本合同价款之中。</w:t>
      </w:r>
    </w:p>
    <w:p w14:paraId="159DDB6C">
      <w:pPr>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highlight w:val="none"/>
        </w:rPr>
        <w:t>（8）</w:t>
      </w:r>
      <w:r>
        <w:rPr>
          <w:rFonts w:hint="eastAsia" w:ascii="仿宋" w:hAnsi="仿宋" w:eastAsia="仿宋" w:cs="仿宋"/>
          <w:snapToGrid w:val="0"/>
          <w:color w:val="auto"/>
          <w:kern w:val="0"/>
          <w:sz w:val="24"/>
          <w:szCs w:val="22"/>
          <w:highlight w:val="none"/>
        </w:rPr>
        <w:t>在报审过程中需要提供设计成果文件或设计中间资料的电子文档的，承包人应无偿提供。</w:t>
      </w:r>
    </w:p>
    <w:p w14:paraId="19475C62">
      <w:pPr>
        <w:spacing w:line="360" w:lineRule="auto"/>
        <w:ind w:firstLine="480" w:firstLineChars="200"/>
        <w:rPr>
          <w:rFonts w:ascii="仿宋" w:hAnsi="仿宋" w:eastAsia="仿宋" w:cs="仿宋"/>
          <w:bCs/>
          <w:snapToGrid w:val="0"/>
          <w:color w:val="auto"/>
          <w:kern w:val="0"/>
          <w:sz w:val="24"/>
          <w:highlight w:val="none"/>
        </w:rPr>
      </w:pPr>
    </w:p>
    <w:p w14:paraId="7FCEE5DE">
      <w:pPr>
        <w:adjustRightInd w:val="0"/>
        <w:snapToGrid w:val="0"/>
        <w:spacing w:line="360" w:lineRule="auto"/>
        <w:outlineLvl w:val="2"/>
        <w:rPr>
          <w:rFonts w:ascii="仿宋" w:hAnsi="仿宋" w:eastAsia="仿宋" w:cs="仿宋"/>
          <w:b/>
          <w:bCs/>
          <w:snapToGrid w:val="0"/>
          <w:color w:val="auto"/>
          <w:kern w:val="0"/>
          <w:sz w:val="24"/>
          <w:highlight w:val="none"/>
        </w:rPr>
      </w:pPr>
      <w:bookmarkStart w:id="87" w:name="_Toc83377255"/>
      <w:bookmarkStart w:id="88" w:name="_Toc14045"/>
      <w:bookmarkStart w:id="89" w:name="_Toc2784867"/>
      <w:r>
        <w:rPr>
          <w:rFonts w:hint="eastAsia" w:ascii="仿宋" w:hAnsi="仿宋" w:eastAsia="仿宋" w:cs="仿宋"/>
          <w:b/>
          <w:bCs/>
          <w:snapToGrid w:val="0"/>
          <w:color w:val="auto"/>
          <w:kern w:val="0"/>
          <w:sz w:val="24"/>
          <w:highlight w:val="none"/>
          <w:lang w:eastAsia="zh-CN"/>
        </w:rPr>
        <w:t>11.</w:t>
      </w:r>
      <w:r>
        <w:rPr>
          <w:rFonts w:hint="eastAsia" w:ascii="仿宋" w:hAnsi="仿宋" w:eastAsia="仿宋" w:cs="仿宋"/>
          <w:b/>
          <w:bCs/>
          <w:snapToGrid w:val="0"/>
          <w:color w:val="auto"/>
          <w:kern w:val="0"/>
          <w:sz w:val="24"/>
          <w:szCs w:val="22"/>
          <w:highlight w:val="none"/>
        </w:rPr>
        <w:t>设</w:t>
      </w:r>
      <w:r>
        <w:rPr>
          <w:rFonts w:hint="eastAsia" w:ascii="仿宋" w:hAnsi="仿宋" w:eastAsia="仿宋" w:cs="仿宋"/>
          <w:b/>
          <w:bCs/>
          <w:snapToGrid w:val="0"/>
          <w:color w:val="auto"/>
          <w:kern w:val="0"/>
          <w:sz w:val="24"/>
          <w:highlight w:val="none"/>
        </w:rPr>
        <w:t>计进度计划</w:t>
      </w:r>
      <w:bookmarkEnd w:id="87"/>
      <w:bookmarkEnd w:id="88"/>
      <w:bookmarkEnd w:id="89"/>
    </w:p>
    <w:p w14:paraId="78FA9A5C">
      <w:pPr>
        <w:spacing w:line="360" w:lineRule="auto"/>
        <w:ind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highlight w:val="none"/>
        </w:rPr>
        <w:t>11.1承包人须在中标后3天内，</w:t>
      </w:r>
      <w:r>
        <w:rPr>
          <w:rFonts w:hint="eastAsia" w:ascii="仿宋" w:hAnsi="仿宋" w:eastAsia="仿宋" w:cs="仿宋"/>
          <w:bCs/>
          <w:snapToGrid w:val="0"/>
          <w:color w:val="auto"/>
          <w:kern w:val="0"/>
          <w:sz w:val="24"/>
          <w:szCs w:val="22"/>
          <w:highlight w:val="none"/>
        </w:rPr>
        <w:t>编制设计进度计划，报发包人审批后实施。设计进度计划经发包人批准后执行，但发包人的认可并不能减轻或免除承包人的合同责任。</w:t>
      </w:r>
    </w:p>
    <w:p w14:paraId="3EBCAC11">
      <w:pPr>
        <w:spacing w:line="360" w:lineRule="auto"/>
        <w:ind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11.2设计进度计划的编制，应充分考虑项目的整体进度，合理安排设计工作。</w:t>
      </w:r>
    </w:p>
    <w:p w14:paraId="20A145A9">
      <w:pP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11.3如因承包人原因造</w:t>
      </w:r>
      <w:r>
        <w:rPr>
          <w:rFonts w:hint="eastAsia" w:ascii="仿宋" w:hAnsi="仿宋" w:eastAsia="仿宋" w:cs="仿宋"/>
          <w:bCs/>
          <w:snapToGrid w:val="0"/>
          <w:color w:val="auto"/>
          <w:kern w:val="0"/>
          <w:sz w:val="24"/>
          <w:szCs w:val="22"/>
          <w:highlight w:val="none"/>
        </w:rPr>
        <w:t>成设</w:t>
      </w:r>
      <w:r>
        <w:rPr>
          <w:rFonts w:hint="eastAsia" w:ascii="仿宋" w:hAnsi="仿宋" w:eastAsia="仿宋" w:cs="仿宋"/>
          <w:bCs/>
          <w:snapToGrid w:val="0"/>
          <w:color w:val="auto"/>
          <w:kern w:val="0"/>
          <w:sz w:val="24"/>
          <w:highlight w:val="none"/>
        </w:rPr>
        <w:t>计进度延迟，导致项目总体进度滞后，承包人除自费采取措施赶工外，还须按合同约定承担工期违约的责任。</w:t>
      </w:r>
    </w:p>
    <w:p w14:paraId="57E10A29">
      <w:pPr>
        <w:adjustRightInd w:val="0"/>
        <w:snapToGrid w:val="0"/>
        <w:spacing w:line="360" w:lineRule="auto"/>
        <w:ind w:firstLine="472" w:firstLineChars="196"/>
        <w:rPr>
          <w:rFonts w:ascii="仿宋" w:hAnsi="仿宋" w:eastAsia="仿宋" w:cs="仿宋"/>
          <w:b/>
          <w:bCs/>
          <w:snapToGrid w:val="0"/>
          <w:color w:val="auto"/>
          <w:kern w:val="0"/>
          <w:sz w:val="24"/>
          <w:highlight w:val="none"/>
        </w:rPr>
      </w:pPr>
      <w:bookmarkStart w:id="90" w:name="_Toc504465889"/>
    </w:p>
    <w:p w14:paraId="477D0D1F">
      <w:pPr>
        <w:adjustRightInd w:val="0"/>
        <w:snapToGrid w:val="0"/>
        <w:spacing w:line="360" w:lineRule="auto"/>
        <w:outlineLvl w:val="2"/>
        <w:rPr>
          <w:rFonts w:ascii="仿宋" w:hAnsi="仿宋" w:eastAsia="仿宋" w:cs="仿宋"/>
          <w:bCs/>
          <w:snapToGrid w:val="0"/>
          <w:color w:val="auto"/>
          <w:kern w:val="0"/>
          <w:sz w:val="24"/>
          <w:highlight w:val="none"/>
        </w:rPr>
      </w:pPr>
      <w:bookmarkStart w:id="91" w:name="_Toc2784868"/>
      <w:bookmarkStart w:id="92" w:name="_Toc502215486"/>
      <w:bookmarkStart w:id="93" w:name="_Toc83377256"/>
      <w:bookmarkStart w:id="94" w:name="_Toc7514"/>
      <w:r>
        <w:rPr>
          <w:rFonts w:hint="eastAsia" w:ascii="仿宋" w:hAnsi="仿宋" w:eastAsia="仿宋" w:cs="仿宋"/>
          <w:b/>
          <w:bCs/>
          <w:snapToGrid w:val="0"/>
          <w:color w:val="auto"/>
          <w:kern w:val="0"/>
          <w:sz w:val="24"/>
          <w:highlight w:val="none"/>
          <w:lang w:eastAsia="zh-CN"/>
        </w:rPr>
        <w:t>12.</w:t>
      </w:r>
      <w:r>
        <w:rPr>
          <w:rFonts w:hint="eastAsia" w:ascii="仿宋" w:hAnsi="仿宋" w:eastAsia="仿宋" w:cs="仿宋"/>
          <w:b/>
          <w:bCs/>
          <w:snapToGrid w:val="0"/>
          <w:color w:val="auto"/>
          <w:kern w:val="0"/>
          <w:sz w:val="24"/>
          <w:highlight w:val="none"/>
        </w:rPr>
        <w:t>设计服务</w:t>
      </w:r>
      <w:bookmarkEnd w:id="90"/>
      <w:bookmarkEnd w:id="91"/>
      <w:bookmarkEnd w:id="92"/>
      <w:bookmarkEnd w:id="93"/>
      <w:bookmarkEnd w:id="94"/>
    </w:p>
    <w:p w14:paraId="5B4AE8FB">
      <w:pP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12.1承包人的服务应符合国际通用的GB/T—19001质量管理体系</w:t>
      </w:r>
      <w:r>
        <w:rPr>
          <w:rFonts w:hint="eastAsia" w:ascii="仿宋" w:hAnsi="仿宋" w:eastAsia="仿宋" w:cs="仿宋"/>
          <w:snapToGrid w:val="0"/>
          <w:color w:val="auto"/>
          <w:kern w:val="0"/>
          <w:sz w:val="24"/>
          <w:highlight w:val="none"/>
          <w:lang w:eastAsia="zh-CN"/>
        </w:rPr>
        <w:t>对</w:t>
      </w:r>
      <w:r>
        <w:rPr>
          <w:rFonts w:hint="eastAsia" w:ascii="仿宋" w:hAnsi="仿宋" w:eastAsia="仿宋" w:cs="仿宋"/>
          <w:snapToGrid w:val="0"/>
          <w:color w:val="auto"/>
          <w:kern w:val="0"/>
          <w:sz w:val="24"/>
          <w:highlight w:val="none"/>
        </w:rPr>
        <w:t>工程设计所规定的标准及质量要求。承包人应及时地提供服务，满足发包人的要求。</w:t>
      </w:r>
    </w:p>
    <w:p w14:paraId="1C9E288F">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14:paraId="52950394">
      <w:pPr>
        <w:adjustRightInd w:val="0"/>
        <w:snapToGrid w:val="0"/>
        <w:spacing w:line="360" w:lineRule="auto"/>
        <w:ind w:firstLine="480"/>
        <w:rPr>
          <w:rFonts w:ascii="仿宋" w:hAnsi="仿宋" w:eastAsia="仿宋" w:cs="仿宋"/>
          <w:snapToGrid w:val="0"/>
          <w:color w:val="auto"/>
          <w:kern w:val="0"/>
          <w:sz w:val="24"/>
          <w:highlight w:val="none"/>
        </w:rPr>
      </w:pPr>
    </w:p>
    <w:p w14:paraId="5FE98A19">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12.2报审服务</w:t>
      </w:r>
    </w:p>
    <w:p w14:paraId="63FF49FC">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（1）承包人应在设计过</w:t>
      </w:r>
      <w:r>
        <w:rPr>
          <w:rFonts w:hint="eastAsia" w:ascii="仿宋" w:hAnsi="仿宋" w:eastAsia="仿宋" w:cs="仿宋"/>
          <w:snapToGrid w:val="0"/>
          <w:color w:val="auto"/>
          <w:kern w:val="0"/>
          <w:sz w:val="24"/>
          <w:highlight w:val="none"/>
          <w:lang w:eastAsia="zh-CN"/>
        </w:rPr>
        <w:t>程中</w:t>
      </w:r>
      <w:r>
        <w:rPr>
          <w:rFonts w:hint="eastAsia" w:ascii="仿宋" w:hAnsi="仿宋" w:eastAsia="仿宋" w:cs="仿宋"/>
          <w:snapToGrid w:val="0"/>
          <w:color w:val="auto"/>
          <w:kern w:val="0"/>
          <w:sz w:val="24"/>
          <w:highlight w:val="none"/>
        </w:rPr>
        <w:t>按照本项目报审的要求，准备好所有必需的文件、图纸</w:t>
      </w:r>
      <w:r>
        <w:rPr>
          <w:rFonts w:hint="eastAsia" w:ascii="仿宋" w:hAnsi="仿宋" w:eastAsia="仿宋" w:cs="仿宋"/>
          <w:snapToGrid w:val="0"/>
          <w:color w:val="auto"/>
          <w:kern w:val="0"/>
          <w:sz w:val="24"/>
          <w:highlight w:val="none"/>
          <w:lang w:eastAsia="zh-CN"/>
        </w:rPr>
        <w:t>及</w:t>
      </w:r>
      <w:r>
        <w:rPr>
          <w:rFonts w:hint="eastAsia" w:ascii="仿宋" w:hAnsi="仿宋" w:eastAsia="仿宋" w:cs="仿宋"/>
          <w:snapToGrid w:val="0"/>
          <w:color w:val="auto"/>
          <w:kern w:val="0"/>
          <w:sz w:val="24"/>
          <w:highlight w:val="none"/>
        </w:rPr>
        <w:t>相应的电子文件（刻制成光盘），负责报审过程中必要的技术协调、送审技术性文件等工作，直至完成所有审批手续。</w:t>
      </w:r>
    </w:p>
    <w:p w14:paraId="1844C412">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（2）对承包人提交报审资料的要求：提交的文件、图纸</w:t>
      </w:r>
      <w:r>
        <w:rPr>
          <w:rFonts w:hint="eastAsia" w:ascii="仿宋" w:hAnsi="仿宋" w:eastAsia="仿宋" w:cs="仿宋"/>
          <w:snapToGrid w:val="0"/>
          <w:color w:val="auto"/>
          <w:kern w:val="0"/>
          <w:sz w:val="24"/>
          <w:highlight w:val="none"/>
          <w:lang w:eastAsia="zh-CN"/>
        </w:rPr>
        <w:t>及</w:t>
      </w:r>
      <w:r>
        <w:rPr>
          <w:rFonts w:hint="eastAsia" w:ascii="仿宋" w:hAnsi="仿宋" w:eastAsia="仿宋" w:cs="仿宋"/>
          <w:snapToGrid w:val="0"/>
          <w:color w:val="auto"/>
          <w:kern w:val="0"/>
          <w:sz w:val="24"/>
          <w:highlight w:val="none"/>
        </w:rPr>
        <w:t>相应的电子文件按照相关报审职能部门或主管部门的要求和份数提交。</w:t>
      </w:r>
    </w:p>
    <w:p w14:paraId="26891ED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12.3施工阶段的设计服务要求</w:t>
      </w:r>
    </w:p>
    <w:p w14:paraId="127F20A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承包人承诺将根据本合同工程建设进展情况和发包人的要求提供现场设计服务，及时派出各专业工程师解决工程中</w:t>
      </w:r>
      <w:r>
        <w:rPr>
          <w:rFonts w:hint="eastAsia" w:ascii="仿宋" w:hAnsi="仿宋" w:eastAsia="仿宋" w:cs="仿宋"/>
          <w:snapToGrid w:val="0"/>
          <w:color w:val="auto"/>
          <w:kern w:val="0"/>
          <w:sz w:val="24"/>
          <w:highlight w:val="none"/>
          <w:lang w:eastAsia="zh-CN"/>
        </w:rPr>
        <w:t>涉及</w:t>
      </w:r>
      <w:r>
        <w:rPr>
          <w:rFonts w:hint="eastAsia" w:ascii="仿宋" w:hAnsi="仿宋" w:eastAsia="仿宋" w:cs="仿宋"/>
          <w:snapToGrid w:val="0"/>
          <w:color w:val="auto"/>
          <w:kern w:val="0"/>
          <w:sz w:val="24"/>
          <w:highlight w:val="none"/>
        </w:rPr>
        <w:t>的设计问题。主要工作如下（包括但不限于）：</w:t>
      </w:r>
    </w:p>
    <w:p w14:paraId="517FE2F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（1）参与设计的技术协调会。</w:t>
      </w:r>
    </w:p>
    <w:p w14:paraId="728F63A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（2）承包人应在设备、材料采购订货前对有关性能、参数、规格及主要设备数量进行确认；按发包人要求对</w:t>
      </w:r>
      <w:r>
        <w:rPr>
          <w:rFonts w:hint="eastAsia" w:ascii="仿宋" w:hAnsi="仿宋" w:eastAsia="仿宋" w:cs="仿宋"/>
          <w:snapToGrid w:val="0"/>
          <w:color w:val="auto"/>
          <w:kern w:val="0"/>
          <w:sz w:val="24"/>
          <w:highlight w:val="none"/>
          <w:lang w:eastAsia="zh-CN"/>
        </w:rPr>
        <w:t>已</w:t>
      </w:r>
      <w:r>
        <w:rPr>
          <w:rFonts w:hint="eastAsia" w:ascii="仿宋" w:hAnsi="仿宋" w:eastAsia="仿宋" w:cs="仿宋"/>
          <w:snapToGrid w:val="0"/>
          <w:color w:val="auto"/>
          <w:kern w:val="0"/>
          <w:sz w:val="24"/>
          <w:highlight w:val="none"/>
        </w:rPr>
        <w:t>订购的主要设备、材料进行到货或出厂验收，必要时须进行中间验收。</w:t>
      </w:r>
    </w:p>
    <w:p w14:paraId="3B41E14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12.4缺陷责任及保修阶段的设计服务</w:t>
      </w:r>
    </w:p>
    <w:p w14:paraId="0FFAAAB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sz w:val="24"/>
          <w:highlight w:val="none"/>
        </w:rPr>
        <w:t>承包人应根据发包人的要求积极配合并参与工程的缺陷责任修复及质量保修工作，提供相应的技术支持，对工程缺陷责任期及质量保修期内发生的工程问题提交书面的技术建议及相关的工程设计资料。</w:t>
      </w:r>
    </w:p>
    <w:p w14:paraId="6A2796C3">
      <w:pP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12.5材料、设备选型的设计工作</w:t>
      </w:r>
    </w:p>
    <w:p w14:paraId="4103C9F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（1）设计成果文件中选用的建筑材料、建筑构配件和设备，其质量标准必须符合国家规范、标准要求。</w:t>
      </w:r>
    </w:p>
    <w:p w14:paraId="6C34BF4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26F8031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（3）设计文件对于工艺、技术、材料、设备的选用应该满足施工工期的要求，充分考虑设计的可实施性，并充分考虑自身的施工能力。</w:t>
      </w:r>
    </w:p>
    <w:p w14:paraId="2F9CDAB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20223BB1">
      <w:pPr>
        <w:adjustRightInd w:val="0"/>
        <w:snapToGrid w:val="0"/>
        <w:spacing w:line="360" w:lineRule="auto"/>
        <w:ind w:firstLine="480" w:firstLineChars="200"/>
        <w:rPr>
          <w:rFonts w:ascii="仿宋" w:hAnsi="仿宋" w:eastAsia="仿宋" w:cs="仿宋"/>
          <w:strike/>
          <w:snapToGrid w:val="0"/>
          <w:color w:val="auto"/>
          <w:kern w:val="0"/>
          <w:sz w:val="24"/>
          <w:highlight w:val="none"/>
        </w:rPr>
      </w:pPr>
      <w:r>
        <w:rPr>
          <w:rFonts w:hint="eastAsia" w:ascii="仿宋" w:hAnsi="仿宋" w:eastAsia="仿宋" w:cs="仿宋"/>
          <w:snapToGrid w:val="0"/>
          <w:color w:val="auto"/>
          <w:kern w:val="0"/>
          <w:sz w:val="24"/>
          <w:highlight w:val="none"/>
        </w:rPr>
        <w:t>（5）承包人应及时提供工程的各主要建筑材料和设备的生产厂商及价格等资料，供发包人选择时参考。</w:t>
      </w:r>
    </w:p>
    <w:p w14:paraId="1B89CCA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（6）承包人的设计文件在对本合同工程设备材料的技术要求进行描述时不得带有倾向性、</w:t>
      </w:r>
      <w:r>
        <w:rPr>
          <w:rFonts w:hint="eastAsia" w:ascii="仿宋" w:hAnsi="仿宋" w:eastAsia="仿宋" w:cs="仿宋"/>
          <w:snapToGrid w:val="0"/>
          <w:color w:val="auto"/>
          <w:kern w:val="0"/>
          <w:sz w:val="24"/>
          <w:highlight w:val="none"/>
          <w:lang w:eastAsia="zh-CN"/>
        </w:rPr>
        <w:t>排他性</w:t>
      </w:r>
      <w:r>
        <w:rPr>
          <w:rFonts w:hint="eastAsia" w:ascii="仿宋" w:hAnsi="仿宋" w:eastAsia="仿宋" w:cs="仿宋"/>
          <w:snapToGrid w:val="0"/>
          <w:color w:val="auto"/>
          <w:kern w:val="0"/>
          <w:sz w:val="24"/>
          <w:highlight w:val="none"/>
        </w:rPr>
        <w:t>、指向某一特定厂商品牌或指向某一具有独一性的材料设备。如根据项目的定位、功能等的要求必须选用某种品牌或某一具有独一性的材料、设备时，承包人应事前书面详细报告发包人并获得发包人批准。</w:t>
      </w:r>
    </w:p>
    <w:p w14:paraId="5011EDE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对于由发包人拟定的候选建筑材料和设备，在厂商提供符合设计要求的技术资料后，承包人须协助发包人鉴别其优劣并提供相关咨询意见。同时，承包人应派本项目专业负责人参与发包人组织的相关看样定板工作，出具材料</w:t>
      </w:r>
      <w:r>
        <w:rPr>
          <w:rFonts w:hint="eastAsia" w:ascii="仿宋" w:hAnsi="仿宋" w:eastAsia="仿宋" w:cs="仿宋"/>
          <w:snapToGrid w:val="0"/>
          <w:color w:val="auto"/>
          <w:kern w:val="0"/>
          <w:sz w:val="24"/>
          <w:highlight w:val="none"/>
          <w:lang w:eastAsia="zh-CN"/>
        </w:rPr>
        <w:t>和</w:t>
      </w:r>
      <w:r>
        <w:rPr>
          <w:rFonts w:hint="eastAsia" w:ascii="仿宋" w:hAnsi="仿宋" w:eastAsia="仿宋" w:cs="仿宋"/>
          <w:snapToGrid w:val="0"/>
          <w:color w:val="auto"/>
          <w:kern w:val="0"/>
          <w:sz w:val="24"/>
          <w:highlight w:val="none"/>
        </w:rPr>
        <w:t>设备选型的相关技术意见。</w:t>
      </w:r>
    </w:p>
    <w:p w14:paraId="7572512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6501D71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6B30F17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承包人应详细了解市场上本合同工程的主要材料和设备生产商的供货能力和供货周期（包括生产时间和运输时间），并据此向发包人提出各种主要材料和设备（包括国产和国外进口的）的提前订货时间的建议。</w:t>
      </w:r>
    </w:p>
    <w:p w14:paraId="01DC64F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12.6承包人应认真阅读、复核发包人提供的项目基础资料，如发现项目基础资料中存在短缺、遗漏、错误、疑问的，承包人应在收到发包人提供的项目基础资料后10日内及时书面通知发包人并向发包人提出进一步的要求。因承包人未能在上述时间内提出要求而发生的损失由承包人自行承担。</w:t>
      </w:r>
    </w:p>
    <w:p w14:paraId="1021DA5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12.7承包人应按照发包人提供的项目基础资料和国家相关部门、行业工程建设标准规范规定的设计深度开展工程设计，并对其设计的工艺技术或建筑功能，</w:t>
      </w:r>
      <w:r>
        <w:rPr>
          <w:rFonts w:hint="eastAsia" w:ascii="仿宋" w:hAnsi="仿宋" w:eastAsia="仿宋" w:cs="仿宋"/>
          <w:snapToGrid w:val="0"/>
          <w:color w:val="auto"/>
          <w:kern w:val="0"/>
          <w:sz w:val="24"/>
          <w:highlight w:val="none"/>
          <w:lang w:eastAsia="zh-CN"/>
        </w:rPr>
        <w:t>以</w:t>
      </w:r>
      <w:r>
        <w:rPr>
          <w:rFonts w:hint="eastAsia" w:ascii="仿宋" w:hAnsi="仿宋" w:eastAsia="仿宋" w:cs="仿宋"/>
          <w:snapToGrid w:val="0"/>
          <w:color w:val="auto"/>
          <w:kern w:val="0"/>
          <w:sz w:val="24"/>
          <w:highlight w:val="none"/>
        </w:rPr>
        <w:t>及工程的安全、环境保护、职业健康的标准，设备材料的质量、工程质量和完成的时间负责。因承包人原因造成设计文件存在遗漏、错误、缺陷或不足的，承包人应自费修复、弥补、纠正和完善。由此造成设计进度延误的，承包人应自费采取措施赶上。</w:t>
      </w:r>
    </w:p>
    <w:p w14:paraId="44021A46">
      <w:pPr>
        <w:adjustRightInd w:val="0"/>
        <w:snapToGrid w:val="0"/>
        <w:spacing w:line="360" w:lineRule="auto"/>
        <w:ind w:right="11" w:firstLine="460" w:firstLineChars="192"/>
        <w:rPr>
          <w:rFonts w:ascii="仿宋" w:hAnsi="仿宋" w:eastAsia="仿宋" w:cs="仿宋"/>
          <w:bCs/>
          <w:strike w:val="0"/>
          <w:snapToGrid w:val="0"/>
          <w:color w:val="auto"/>
          <w:kern w:val="0"/>
          <w:sz w:val="24"/>
          <w:highlight w:val="none"/>
        </w:rPr>
      </w:pPr>
      <w:r>
        <w:rPr>
          <w:rFonts w:hint="eastAsia" w:ascii="仿宋" w:hAnsi="仿宋" w:eastAsia="仿宋" w:cs="仿宋"/>
          <w:bCs/>
          <w:strike w:val="0"/>
          <w:snapToGrid w:val="0"/>
          <w:color w:val="auto"/>
          <w:kern w:val="0"/>
          <w:sz w:val="24"/>
          <w:highlight w:val="none"/>
        </w:rPr>
        <w:t>12.8工程概算</w:t>
      </w:r>
      <w:r>
        <w:rPr>
          <w:rFonts w:hint="eastAsia" w:ascii="仿宋" w:hAnsi="仿宋" w:eastAsia="仿宋" w:cs="仿宋"/>
          <w:strike w:val="0"/>
          <w:snapToGrid w:val="0"/>
          <w:color w:val="auto"/>
          <w:sz w:val="24"/>
          <w:szCs w:val="24"/>
          <w:highlight w:val="none"/>
        </w:rPr>
        <w:t>编制及确定原则如下：</w:t>
      </w:r>
    </w:p>
    <w:p w14:paraId="3BFC79B8">
      <w:pPr>
        <w:adjustRightInd w:val="0"/>
        <w:snapToGrid w:val="0"/>
        <w:spacing w:line="360" w:lineRule="auto"/>
        <w:ind w:right="11" w:firstLine="460" w:firstLineChars="192"/>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详见合同协议书第三点第2.3.4款的约定。</w:t>
      </w:r>
    </w:p>
    <w:p w14:paraId="77224CB1">
      <w:pPr>
        <w:adjustRightInd w:val="0"/>
        <w:snapToGrid w:val="0"/>
        <w:spacing w:line="360" w:lineRule="auto"/>
        <w:ind w:firstLine="470" w:firstLineChars="196"/>
        <w:rPr>
          <w:rFonts w:ascii="仿宋" w:hAnsi="仿宋" w:eastAsia="仿宋" w:cs="仿宋"/>
          <w:bCs/>
          <w:snapToGrid w:val="0"/>
          <w:color w:val="auto"/>
          <w:kern w:val="0"/>
          <w:sz w:val="24"/>
          <w:highlight w:val="none"/>
        </w:rPr>
      </w:pPr>
    </w:p>
    <w:p w14:paraId="6DFA2EA5">
      <w:pPr>
        <w:adjustRightInd w:val="0"/>
        <w:snapToGrid w:val="0"/>
        <w:spacing w:line="360" w:lineRule="auto"/>
        <w:outlineLvl w:val="2"/>
        <w:rPr>
          <w:rFonts w:ascii="仿宋" w:hAnsi="仿宋" w:eastAsia="仿宋" w:cs="仿宋"/>
          <w:b/>
          <w:bCs/>
          <w:snapToGrid w:val="0"/>
          <w:color w:val="auto"/>
          <w:kern w:val="0"/>
          <w:sz w:val="24"/>
          <w:highlight w:val="none"/>
        </w:rPr>
      </w:pPr>
      <w:bookmarkStart w:id="95" w:name="_Toc504465890"/>
      <w:bookmarkStart w:id="96" w:name="_Toc83377257"/>
      <w:bookmarkStart w:id="97" w:name="_Toc13941"/>
      <w:bookmarkStart w:id="98" w:name="_Toc502215487"/>
      <w:bookmarkStart w:id="99" w:name="_Toc2784869"/>
      <w:r>
        <w:rPr>
          <w:rFonts w:hint="eastAsia" w:ascii="仿宋" w:hAnsi="仿宋" w:eastAsia="仿宋" w:cs="仿宋"/>
          <w:b/>
          <w:bCs/>
          <w:snapToGrid w:val="0"/>
          <w:color w:val="auto"/>
          <w:kern w:val="0"/>
          <w:sz w:val="24"/>
          <w:highlight w:val="none"/>
          <w:lang w:eastAsia="zh-CN"/>
        </w:rPr>
        <w:t>13.</w:t>
      </w:r>
      <w:r>
        <w:rPr>
          <w:rFonts w:hint="eastAsia" w:ascii="仿宋" w:hAnsi="仿宋" w:eastAsia="仿宋" w:cs="仿宋"/>
          <w:b/>
          <w:bCs/>
          <w:snapToGrid w:val="0"/>
          <w:color w:val="auto"/>
          <w:kern w:val="0"/>
          <w:sz w:val="24"/>
          <w:highlight w:val="none"/>
        </w:rPr>
        <w:t>设计评审</w:t>
      </w:r>
      <w:bookmarkEnd w:id="95"/>
      <w:bookmarkEnd w:id="96"/>
      <w:bookmarkEnd w:id="97"/>
      <w:bookmarkEnd w:id="98"/>
      <w:bookmarkEnd w:id="99"/>
    </w:p>
    <w:p w14:paraId="6467FFE9">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13.1承包人设计成果文件需经国家相关行政主管部门及行业主管部门的审查。</w:t>
      </w:r>
    </w:p>
    <w:p w14:paraId="0E567EDE">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13.2设计评审的依据包括：</w:t>
      </w:r>
    </w:p>
    <w:p w14:paraId="22E8D825">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（1）国家、省、市的施工图设计审查的相关规定；</w:t>
      </w:r>
    </w:p>
    <w:p w14:paraId="6963EB47">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（2）消防、节能、环保、抗震、卫生等有关工程建设的强制性标准和规范；</w:t>
      </w:r>
    </w:p>
    <w:p w14:paraId="12FBB04D">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（3）本合同工程的相关政府批文（包括但不限于立项许可文件、用地规划文件等）；</w:t>
      </w:r>
    </w:p>
    <w:p w14:paraId="54DA6466">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（4）本合同中与设计工作的内容、范围、管理、服务相关的约定；</w:t>
      </w:r>
    </w:p>
    <w:p w14:paraId="7A1A4A8B">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（5）发包人关于设计、图档、图文、工程等的相关管理办法及规定；</w:t>
      </w:r>
    </w:p>
    <w:p w14:paraId="5C4956F5">
      <w:pPr>
        <w:adjustRightInd w:val="0"/>
        <w:snapToGrid w:val="0"/>
        <w:spacing w:line="360" w:lineRule="auto"/>
        <w:ind w:firstLine="48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（6）政府相关行政主管部门、行业主管部门对承包人设计成果文件的审批意见；</w:t>
      </w:r>
    </w:p>
    <w:p w14:paraId="01F90F98">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（7）发包人在设计过程中提出的明确书面意见。</w:t>
      </w:r>
    </w:p>
    <w:p w14:paraId="238DD58F">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13.3承包人应根据政府相关行政主管部门、行业主管部门的审批意见无条件地修改、完善设计成果文件（包括概算调整），确保其满足相关的审批要求；承包人应根据发包人的设计评审、发包人组织的专家评审的意见对设计成果文件进行修改、完善。</w:t>
      </w:r>
    </w:p>
    <w:p w14:paraId="2958F999">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13.4承包人对发包人组织的专家评审意见存在异议的，在不违反消防、节能、环保、抗震、卫生等国家有关工程建设的强制性标准和规范以及不影响安全的前提下，以发包人最终认定的意见为准。承包人应在设计评审的最终意见发出之日起7日内完成其设计范围内设计成果文件的修改完善并提交发包人。</w:t>
      </w:r>
    </w:p>
    <w:p w14:paraId="3C559452">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13.5如承包人未能在设计评审的最终意见发出之日起7日内积极响应或逾期未能完成相关设计成果文件的修改完善工作，承包人应按合同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0200B42C">
      <w:pP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13.6发包人根据承包人提交的设计成果文件的设计评审意见、承包人在履行合同提供的设计服务（包括报审服务，施工阶段的现场服务，概算、设计变更预算、结算服务，缺陷责任及保修阶段的服务）的实际情况对承包人进行考核。</w:t>
      </w:r>
    </w:p>
    <w:p w14:paraId="2ADFE886">
      <w:pPr>
        <w:adjustRightInd w:val="0"/>
        <w:snapToGrid w:val="0"/>
        <w:spacing w:line="360" w:lineRule="auto"/>
        <w:ind w:firstLine="480"/>
        <w:rPr>
          <w:rFonts w:ascii="仿宋" w:hAnsi="仿宋" w:eastAsia="仿宋" w:cs="仿宋"/>
          <w:bCs/>
          <w:snapToGrid w:val="0"/>
          <w:color w:val="auto"/>
          <w:kern w:val="0"/>
          <w:sz w:val="24"/>
          <w:highlight w:val="none"/>
        </w:rPr>
      </w:pPr>
    </w:p>
    <w:p w14:paraId="646F87E7">
      <w:pPr>
        <w:pStyle w:val="13"/>
        <w:adjustRightInd w:val="0"/>
        <w:snapToGrid w:val="0"/>
        <w:spacing w:line="360" w:lineRule="auto"/>
        <w:ind w:left="0" w:leftChars="0"/>
        <w:outlineLvl w:val="1"/>
        <w:rPr>
          <w:rFonts w:ascii="仿宋" w:hAnsi="仿宋" w:eastAsia="仿宋" w:cs="仿宋"/>
          <w:b/>
          <w:snapToGrid w:val="0"/>
          <w:color w:val="auto"/>
          <w:sz w:val="28"/>
          <w:szCs w:val="28"/>
          <w:highlight w:val="none"/>
        </w:rPr>
      </w:pPr>
      <w:bookmarkStart w:id="100" w:name="_Toc23139"/>
      <w:bookmarkStart w:id="101" w:name="_Toc83377258"/>
      <w:bookmarkStart w:id="102" w:name="_Toc504465891"/>
      <w:bookmarkStart w:id="103" w:name="_Toc2784870"/>
      <w:bookmarkStart w:id="104" w:name="_Toc502215488"/>
      <w:r>
        <w:rPr>
          <w:rFonts w:hint="eastAsia" w:ascii="仿宋" w:hAnsi="仿宋" w:eastAsia="仿宋" w:cs="仿宋"/>
          <w:b/>
          <w:snapToGrid w:val="0"/>
          <w:color w:val="auto"/>
          <w:sz w:val="28"/>
          <w:szCs w:val="28"/>
          <w:highlight w:val="none"/>
        </w:rPr>
        <w:t>四、总承包组织实施</w:t>
      </w:r>
      <w:bookmarkEnd w:id="100"/>
      <w:bookmarkEnd w:id="101"/>
      <w:bookmarkEnd w:id="102"/>
      <w:bookmarkEnd w:id="103"/>
      <w:bookmarkEnd w:id="104"/>
    </w:p>
    <w:p w14:paraId="0EA86284">
      <w:pPr>
        <w:adjustRightInd w:val="0"/>
        <w:snapToGrid w:val="0"/>
        <w:spacing w:line="360" w:lineRule="auto"/>
        <w:outlineLvl w:val="2"/>
        <w:rPr>
          <w:rFonts w:ascii="仿宋" w:hAnsi="仿宋" w:eastAsia="仿宋" w:cs="仿宋"/>
          <w:b/>
          <w:snapToGrid w:val="0"/>
          <w:color w:val="auto"/>
          <w:kern w:val="0"/>
          <w:sz w:val="24"/>
          <w:highlight w:val="none"/>
        </w:rPr>
      </w:pPr>
      <w:bookmarkStart w:id="105" w:name="_Toc502215489"/>
      <w:bookmarkStart w:id="106" w:name="_Toc504465892"/>
      <w:bookmarkStart w:id="107" w:name="_Toc2784871"/>
      <w:bookmarkStart w:id="108" w:name="_Toc83377259"/>
      <w:bookmarkStart w:id="109" w:name="_Toc25101"/>
      <w:r>
        <w:rPr>
          <w:rFonts w:hint="eastAsia" w:ascii="仿宋" w:hAnsi="仿宋" w:eastAsia="仿宋" w:cs="仿宋"/>
          <w:b/>
          <w:snapToGrid w:val="0"/>
          <w:color w:val="auto"/>
          <w:kern w:val="0"/>
          <w:sz w:val="24"/>
          <w:highlight w:val="none"/>
          <w:lang w:eastAsia="zh-CN"/>
        </w:rPr>
        <w:t>14.</w:t>
      </w:r>
      <w:r>
        <w:rPr>
          <w:rFonts w:hint="eastAsia" w:ascii="仿宋" w:hAnsi="仿宋" w:eastAsia="仿宋" w:cs="仿宋"/>
          <w:b/>
          <w:snapToGrid w:val="0"/>
          <w:color w:val="auto"/>
          <w:kern w:val="0"/>
          <w:sz w:val="24"/>
          <w:highlight w:val="none"/>
        </w:rPr>
        <w:t>施工组织设计及</w:t>
      </w:r>
      <w:bookmarkEnd w:id="105"/>
      <w:bookmarkEnd w:id="106"/>
      <w:r>
        <w:rPr>
          <w:rFonts w:hint="eastAsia" w:ascii="仿宋" w:hAnsi="仿宋" w:eastAsia="仿宋" w:cs="仿宋"/>
          <w:b/>
          <w:snapToGrid w:val="0"/>
          <w:color w:val="auto"/>
          <w:kern w:val="0"/>
          <w:sz w:val="24"/>
          <w:highlight w:val="none"/>
        </w:rPr>
        <w:t>项目进度计划</w:t>
      </w:r>
      <w:bookmarkEnd w:id="107"/>
      <w:bookmarkEnd w:id="108"/>
      <w:bookmarkEnd w:id="109"/>
    </w:p>
    <w:p w14:paraId="106704E7">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14.1项目进度计划</w:t>
      </w:r>
    </w:p>
    <w:p w14:paraId="725D1DE4">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0"/>
          <w:sz w:val="24"/>
          <w:highlight w:val="none"/>
        </w:rPr>
        <w:t>项目进度计划</w:t>
      </w:r>
      <w:r>
        <w:rPr>
          <w:rFonts w:hint="eastAsia" w:ascii="仿宋" w:hAnsi="仿宋" w:eastAsia="仿宋" w:cs="仿宋"/>
          <w:color w:val="auto"/>
          <w:kern w:val="0"/>
          <w:sz w:val="24"/>
          <w:highlight w:val="none"/>
        </w:rPr>
        <w:t>及施工组织设计的提交时间约定：合同签订后3日内提供项目整体进度节点计划。</w:t>
      </w:r>
    </w:p>
    <w:p w14:paraId="1C6C01F6">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进度计划的内容约定：承包人应按合同约定的内容和期限，编制详细的工程进度计划，进度计划内容应全面详实，包括但不限于设计计划、承包人文件提交、材料设备采购及制作计划、运达现场、现场施工安装计划、试验验收计划等。除此之外，还应提出现场工作面的移交时间计划等。</w:t>
      </w:r>
    </w:p>
    <w:p w14:paraId="4B0956A6">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（3）监理单位批复项目进度计划时间的约定：监理单位应在收到承包人提交的完整项目进度计划后7日内批复或提出修改意见。</w:t>
      </w:r>
    </w:p>
    <w:p w14:paraId="286DFA7C">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（4）项目进度计划的修订</w:t>
      </w:r>
    </w:p>
    <w:p w14:paraId="025A7156">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1）承包人提交项目进度计划的修订报告的时间约定：在承包人能够预计可能</w:t>
      </w:r>
      <w:r>
        <w:rPr>
          <w:rFonts w:hint="eastAsia" w:ascii="仿宋" w:hAnsi="仿宋" w:eastAsia="仿宋" w:cs="仿宋"/>
          <w:color w:val="auto"/>
          <w:kern w:val="0"/>
          <w:sz w:val="24"/>
          <w:highlight w:val="none"/>
          <w:lang w:eastAsia="zh-CN"/>
        </w:rPr>
        <w:t>会与</w:t>
      </w:r>
      <w:r>
        <w:rPr>
          <w:rFonts w:hint="eastAsia" w:ascii="仿宋" w:hAnsi="仿宋" w:eastAsia="仿宋" w:cs="仿宋"/>
          <w:color w:val="auto"/>
          <w:kern w:val="0"/>
          <w:sz w:val="24"/>
          <w:highlight w:val="none"/>
        </w:rPr>
        <w:t>实际进度计划不符后的7日内或实际已经不符的3日内提出。</w:t>
      </w:r>
    </w:p>
    <w:p w14:paraId="4F3F2C50">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2）监理单位批复项目进度计划修订报告时间的约定：监理单位应在收到承包人提交的完整合同计划修订报告后</w:t>
      </w:r>
      <w:r>
        <w:rPr>
          <w:rFonts w:hint="eastAsia" w:ascii="仿宋" w:hAnsi="仿宋" w:eastAsia="仿宋" w:cs="仿宋"/>
          <w:color w:val="auto"/>
          <w:kern w:val="0"/>
          <w:sz w:val="24"/>
          <w:highlight w:val="none"/>
          <w:u w:val="single"/>
        </w:rPr>
        <w:t>5</w:t>
      </w:r>
      <w:r>
        <w:rPr>
          <w:rFonts w:hint="eastAsia" w:ascii="仿宋" w:hAnsi="仿宋" w:eastAsia="仿宋" w:cs="仿宋"/>
          <w:color w:val="auto"/>
          <w:kern w:val="0"/>
          <w:sz w:val="24"/>
          <w:highlight w:val="none"/>
        </w:rPr>
        <w:t>日内批复或提出修改意见。</w:t>
      </w:r>
    </w:p>
    <w:p w14:paraId="30F0F659">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14.2施工组织设计</w:t>
      </w:r>
    </w:p>
    <w:p w14:paraId="7AB61629">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（1）承包人应当根据经发包人确认的项目进度计划在施工开始前将施工组织设计报送监理单位审批。承包人提交的施工组织设计应当载明如下内容</w:t>
      </w:r>
      <w:r>
        <w:rPr>
          <w:rFonts w:hint="eastAsia" w:ascii="仿宋" w:hAnsi="仿宋" w:eastAsia="仿宋" w:cs="仿宋"/>
          <w:bCs/>
          <w:snapToGrid w:val="0"/>
          <w:color w:val="auto"/>
          <w:kern w:val="0"/>
          <w:sz w:val="24"/>
          <w:highlight w:val="none"/>
        </w:rPr>
        <w:t>（包括但不限于）</w:t>
      </w:r>
      <w:r>
        <w:rPr>
          <w:rFonts w:hint="eastAsia" w:ascii="仿宋" w:hAnsi="仿宋" w:eastAsia="仿宋" w:cs="仿宋"/>
          <w:snapToGrid w:val="0"/>
          <w:color w:val="auto"/>
          <w:kern w:val="0"/>
          <w:sz w:val="24"/>
          <w:highlight w:val="none"/>
        </w:rPr>
        <w:t>：</w:t>
      </w:r>
    </w:p>
    <w:p w14:paraId="7DD43D36">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1）各分部分项工程完整的施工方案；</w:t>
      </w:r>
    </w:p>
    <w:p w14:paraId="3C9DAD64">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2）施工资源投入计划，包括：机械设备进场计划、工程材料和物料进场及仓储计划、施工人员进场计划等；</w:t>
      </w:r>
    </w:p>
    <w:p w14:paraId="533AE2F9">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3）施工现场平面布置图（包括施工道路平面图、各种临时设施、施工用水、监控设施、施工机具、材料构配件存放位置）；</w:t>
      </w:r>
    </w:p>
    <w:p w14:paraId="6D69E4C3">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4）季节性施工措施；</w:t>
      </w:r>
    </w:p>
    <w:p w14:paraId="3419BE58">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5）地下管线及其它地下设施的处理措施；</w:t>
      </w:r>
    </w:p>
    <w:p w14:paraId="3BC7C923">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6）保证工期、质量的措施；</w:t>
      </w:r>
    </w:p>
    <w:p w14:paraId="16DF6353">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7）保证安全生产、文明施工、减少扰民，且满足环境保护要求的措施；</w:t>
      </w:r>
    </w:p>
    <w:p w14:paraId="61429478">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8）妥善处理与相邻施工作业现场关系的措施；</w:t>
      </w:r>
    </w:p>
    <w:p w14:paraId="21968D73">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9）消防、安全、健康等各类事故的应急预案；</w:t>
      </w:r>
    </w:p>
    <w:p w14:paraId="217D1870">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与工程施工有关的管理方案、措施。</w:t>
      </w:r>
    </w:p>
    <w:p w14:paraId="4724E8E9">
      <w:pPr>
        <w:autoSpaceDE w:val="0"/>
        <w:autoSpaceDN w:val="0"/>
        <w:adjustRightInd w:val="0"/>
        <w:spacing w:line="360" w:lineRule="auto"/>
        <w:ind w:firstLine="470" w:firstLineChars="196"/>
        <w:jc w:val="left"/>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总监理工程师和发包人在接到承包人提交的施工组织设计后7天内予以确认或提出修改意见（总监理工程师在4天内审核并签署意见，发包人在3天内审核并签署意见）。逾期既不确认，也不提出书面意见的视为同意，但如遇到重大或技术复杂、难度大的施工方案，则应按政府有关规定召开专家评审会评审。</w:t>
      </w:r>
    </w:p>
    <w:p w14:paraId="50361FFC">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14.3项目进度计划及施工组织设计的执行</w:t>
      </w:r>
    </w:p>
    <w:p w14:paraId="423AEC1C">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（1）承包人应当加强计划管理，严格按照总监理工程师确认的工程进度计划组织设计、施工，并接受总监理工程师对设计、施工进度的检查、监督。</w:t>
      </w:r>
    </w:p>
    <w:p w14:paraId="38F7301C">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程实际进度与经确认的进度计划不符时，承包人应按总监理工程师的要求提出改进措施，经总监理工程师确认后执行。因承包人的原因导致实际进度与进度计划不符，承包人无权就改进措施提出追加合同价款。</w:t>
      </w:r>
    </w:p>
    <w:p w14:paraId="235E1F21">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（3）为便于总监理工程师掌握和控制工期，承包人应于每月底向总监理工程师填报当月工程进度计划完成情况（没完成计划的必须说明原因），</w:t>
      </w:r>
      <w:r>
        <w:rPr>
          <w:rFonts w:hint="eastAsia" w:ascii="仿宋" w:hAnsi="仿宋" w:eastAsia="仿宋" w:cs="仿宋"/>
          <w:bCs/>
          <w:snapToGrid w:val="0"/>
          <w:color w:val="auto"/>
          <w:kern w:val="0"/>
          <w:sz w:val="24"/>
          <w:highlight w:val="none"/>
        </w:rPr>
        <w:t>并在此基础上更新工程进度计划、</w:t>
      </w:r>
      <w:r>
        <w:rPr>
          <w:rFonts w:hint="eastAsia" w:ascii="仿宋" w:hAnsi="仿宋" w:eastAsia="仿宋" w:cs="仿宋"/>
          <w:snapToGrid w:val="0"/>
          <w:color w:val="auto"/>
          <w:kern w:val="0"/>
          <w:sz w:val="24"/>
          <w:highlight w:val="none"/>
        </w:rPr>
        <w:t>资金计划和</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工作计划。总监理工程师在接到报告后应当予以确认或提出书面意见，承包人必须按照总监理工程师的确认或者书面意见执行。</w:t>
      </w:r>
    </w:p>
    <w:p w14:paraId="586BF585">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rFonts w:hint="eastAsia" w:ascii="仿宋" w:hAnsi="仿宋" w:eastAsia="仿宋" w:cs="仿宋"/>
          <w:iCs/>
          <w:snapToGrid w:val="0"/>
          <w:color w:val="auto"/>
          <w:kern w:val="0"/>
          <w:sz w:val="24"/>
          <w:highlight w:val="none"/>
        </w:rPr>
        <w:t>后10天</w:t>
      </w:r>
      <w:r>
        <w:rPr>
          <w:rFonts w:hint="eastAsia" w:ascii="仿宋" w:hAnsi="仿宋" w:eastAsia="仿宋" w:cs="仿宋"/>
          <w:iCs/>
          <w:snapToGrid w:val="0"/>
          <w:color w:val="auto"/>
          <w:kern w:val="0"/>
          <w:sz w:val="24"/>
          <w:highlight w:val="none"/>
          <w:lang w:eastAsia="zh-CN"/>
        </w:rPr>
        <w:t>内</w:t>
      </w:r>
      <w:r>
        <w:rPr>
          <w:rFonts w:hint="eastAsia" w:ascii="仿宋" w:hAnsi="仿宋" w:eastAsia="仿宋" w:cs="仿宋"/>
          <w:iCs/>
          <w:snapToGrid w:val="0"/>
          <w:color w:val="auto"/>
          <w:kern w:val="0"/>
          <w:sz w:val="24"/>
          <w:highlight w:val="none"/>
        </w:rPr>
        <w:t>采取措施推动工程进度，工程进度仍然无明显改</w:t>
      </w:r>
      <w:r>
        <w:rPr>
          <w:rFonts w:hint="eastAsia" w:ascii="仿宋" w:hAnsi="仿宋" w:eastAsia="仿宋" w:cs="仿宋"/>
          <w:snapToGrid w:val="0"/>
          <w:color w:val="auto"/>
          <w:kern w:val="0"/>
          <w:sz w:val="24"/>
          <w:highlight w:val="none"/>
        </w:rPr>
        <w:t>进或滞后的</w:t>
      </w:r>
      <w:r>
        <w:rPr>
          <w:rFonts w:hint="eastAsia" w:ascii="仿宋" w:hAnsi="仿宋" w:eastAsia="仿宋" w:cs="仿宋"/>
          <w:snapToGrid w:val="0"/>
          <w:color w:val="auto"/>
          <w:kern w:val="0"/>
          <w:sz w:val="24"/>
          <w:highlight w:val="none"/>
          <w:lang w:val="en-US" w:eastAsia="zh-CN"/>
        </w:rPr>
        <w:t>或</w:t>
      </w:r>
      <w:r>
        <w:rPr>
          <w:rFonts w:hint="eastAsia" w:ascii="仿宋" w:hAnsi="仿宋" w:eastAsia="仿宋" w:cs="仿宋"/>
          <w:iCs/>
          <w:snapToGrid w:val="0"/>
          <w:color w:val="auto"/>
          <w:kern w:val="0"/>
          <w:sz w:val="24"/>
          <w:highlight w:val="none"/>
        </w:rPr>
        <w:t>明确表明不再继续施工的</w:t>
      </w:r>
      <w:r>
        <w:rPr>
          <w:rFonts w:hint="eastAsia" w:ascii="仿宋" w:hAnsi="仿宋" w:eastAsia="仿宋" w:cs="仿宋"/>
          <w:snapToGrid w:val="0"/>
          <w:color w:val="auto"/>
          <w:kern w:val="0"/>
          <w:sz w:val="24"/>
          <w:highlight w:val="none"/>
        </w:rPr>
        <w:t>，发包人有权部分或全部解除合同，承包单位按合同第十一条约定承担违约责任，发包人有权将未完工程另行发包给其它有能力的施工单位；承包人必须无条件服从，由此所造成的损失全部由承包人承担。</w:t>
      </w:r>
    </w:p>
    <w:p w14:paraId="321798C7">
      <w:pP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14.4</w:t>
      </w:r>
      <w:r>
        <w:rPr>
          <w:rFonts w:hint="eastAsia" w:ascii="仿宋" w:hAnsi="仿宋" w:eastAsia="仿宋" w:cs="仿宋"/>
          <w:color w:val="auto"/>
          <w:kern w:val="0"/>
          <w:sz w:val="24"/>
          <w:highlight w:val="none"/>
        </w:rPr>
        <w:t>项目进度计划及施工组织设计经监理单位和发包人批准后实施，但监理单位和发包人的批准并不能减轻或免除承包人的合同责任。</w:t>
      </w:r>
    </w:p>
    <w:p w14:paraId="7C8F6900">
      <w:pP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14.5因承包人原因使工程实际进度明显落后于项目进度计划及施工组织设计时，承包人有义务、发包人也有权利要求承包人自费采取措施，赶上项目进度计划。</w:t>
      </w:r>
    </w:p>
    <w:p w14:paraId="3E740D66">
      <w:pPr>
        <w:autoSpaceDE w:val="0"/>
        <w:autoSpaceDN w:val="0"/>
        <w:adjustRightInd w:val="0"/>
        <w:spacing w:line="360" w:lineRule="auto"/>
        <w:ind w:firstLine="472" w:firstLineChars="196"/>
        <w:jc w:val="left"/>
        <w:rPr>
          <w:rFonts w:ascii="仿宋" w:hAnsi="仿宋" w:eastAsia="仿宋" w:cs="仿宋"/>
          <w:b/>
          <w:snapToGrid w:val="0"/>
          <w:color w:val="auto"/>
          <w:kern w:val="0"/>
          <w:sz w:val="24"/>
          <w:highlight w:val="none"/>
        </w:rPr>
      </w:pPr>
    </w:p>
    <w:p w14:paraId="03731777">
      <w:pPr>
        <w:adjustRightInd w:val="0"/>
        <w:snapToGrid w:val="0"/>
        <w:spacing w:line="360" w:lineRule="auto"/>
        <w:ind w:right="11"/>
        <w:outlineLvl w:val="2"/>
        <w:rPr>
          <w:rFonts w:ascii="仿宋" w:hAnsi="仿宋" w:eastAsia="仿宋" w:cs="仿宋"/>
          <w:snapToGrid w:val="0"/>
          <w:color w:val="auto"/>
          <w:kern w:val="0"/>
          <w:sz w:val="24"/>
          <w:highlight w:val="none"/>
        </w:rPr>
      </w:pPr>
      <w:bookmarkStart w:id="110" w:name="_Toc502215490"/>
      <w:bookmarkStart w:id="111" w:name="_Toc504465893"/>
      <w:bookmarkStart w:id="112" w:name="_Toc83377260"/>
      <w:bookmarkStart w:id="113" w:name="_Toc27938"/>
      <w:bookmarkStart w:id="114" w:name="_Toc2784872"/>
      <w:r>
        <w:rPr>
          <w:rFonts w:hint="eastAsia" w:ascii="仿宋" w:hAnsi="仿宋" w:eastAsia="仿宋" w:cs="仿宋"/>
          <w:b/>
          <w:snapToGrid w:val="0"/>
          <w:color w:val="auto"/>
          <w:kern w:val="0"/>
          <w:sz w:val="24"/>
          <w:highlight w:val="none"/>
          <w:lang w:eastAsia="zh-CN"/>
        </w:rPr>
        <w:t>15.</w:t>
      </w:r>
      <w:r>
        <w:rPr>
          <w:rFonts w:hint="eastAsia" w:ascii="仿宋" w:hAnsi="仿宋" w:eastAsia="仿宋" w:cs="仿宋"/>
          <w:b/>
          <w:snapToGrid w:val="0"/>
          <w:color w:val="auto"/>
          <w:kern w:val="0"/>
          <w:sz w:val="24"/>
          <w:highlight w:val="none"/>
        </w:rPr>
        <w:t>暂停施工</w:t>
      </w:r>
      <w:bookmarkEnd w:id="110"/>
      <w:bookmarkEnd w:id="111"/>
      <w:r>
        <w:rPr>
          <w:rFonts w:hint="eastAsia" w:ascii="仿宋" w:hAnsi="仿宋" w:eastAsia="仿宋" w:cs="仿宋"/>
          <w:b/>
          <w:snapToGrid w:val="0"/>
          <w:color w:val="auto"/>
          <w:kern w:val="0"/>
          <w:sz w:val="24"/>
          <w:highlight w:val="none"/>
        </w:rPr>
        <w:t>和复工</w:t>
      </w:r>
      <w:bookmarkEnd w:id="112"/>
      <w:bookmarkEnd w:id="113"/>
      <w:bookmarkEnd w:id="114"/>
    </w:p>
    <w:p w14:paraId="7C77425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15.1</w:t>
      </w:r>
      <w:r>
        <w:rPr>
          <w:rFonts w:hint="eastAsia" w:ascii="仿宋" w:hAnsi="仿宋" w:eastAsia="仿宋" w:cs="仿宋"/>
          <w:snapToGrid w:val="0"/>
          <w:color w:val="auto"/>
          <w:kern w:val="0"/>
          <w:sz w:val="24"/>
          <w:highlight w:val="none"/>
        </w:rPr>
        <w:t>因下列原因，总监理工程师报经发包人同意，可通知承包人暂停施工：</w:t>
      </w:r>
    </w:p>
    <w:p w14:paraId="568883CE">
      <w:pP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（1）非承包人原因导致工程设计发生重大变更；</w:t>
      </w:r>
    </w:p>
    <w:p w14:paraId="6AECDD72">
      <w:pP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（2）不可抗力；</w:t>
      </w:r>
    </w:p>
    <w:p w14:paraId="7051082B">
      <w:pP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（3）质量事故；</w:t>
      </w:r>
    </w:p>
    <w:p w14:paraId="0753D043">
      <w:pP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（4）安全生产事故。</w:t>
      </w:r>
    </w:p>
    <w:p w14:paraId="7C70CEC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因发生上述（1）、（2）项原因而暂停施工，工期调整适用合同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条款第16条的有关约定</w:t>
      </w:r>
      <w:r>
        <w:rPr>
          <w:rFonts w:hint="eastAsia" w:ascii="仿宋" w:hAnsi="仿宋" w:eastAsia="仿宋" w:cs="仿宋"/>
          <w:snapToGrid w:val="0"/>
          <w:color w:val="auto"/>
          <w:kern w:val="0"/>
          <w:sz w:val="24"/>
          <w:highlight w:val="none"/>
          <w:lang w:val="en-US" w:eastAsia="zh-CN"/>
        </w:rPr>
        <w:t>并赔偿</w:t>
      </w:r>
      <w:r>
        <w:rPr>
          <w:rFonts w:hint="eastAsia" w:ascii="仿宋" w:hAnsi="仿宋" w:eastAsia="仿宋" w:cs="仿宋"/>
          <w:i w:val="0"/>
          <w:iCs w:val="0"/>
          <w:caps w:val="0"/>
          <w:snapToGrid w:val="0"/>
          <w:color w:val="auto"/>
          <w:spacing w:val="0"/>
          <w:kern w:val="0"/>
          <w:sz w:val="24"/>
          <w:szCs w:val="20"/>
          <w:highlight w:val="none"/>
        </w:rPr>
        <w:t>承包人因此造成的</w:t>
      </w:r>
      <w:r>
        <w:rPr>
          <w:rFonts w:hint="eastAsia" w:ascii="仿宋" w:hAnsi="仿宋" w:eastAsia="仿宋" w:cs="仿宋"/>
          <w:i w:val="0"/>
          <w:iCs w:val="0"/>
          <w:caps w:val="0"/>
          <w:snapToGrid w:val="0"/>
          <w:color w:val="auto"/>
          <w:spacing w:val="0"/>
          <w:kern w:val="0"/>
          <w:sz w:val="24"/>
          <w:szCs w:val="20"/>
          <w:highlight w:val="none"/>
          <w:lang w:val="en-US" w:eastAsia="zh-CN"/>
        </w:rPr>
        <w:t>损失及预期利润</w:t>
      </w:r>
      <w:r>
        <w:rPr>
          <w:rFonts w:hint="eastAsia" w:ascii="仿宋" w:hAnsi="仿宋" w:eastAsia="仿宋" w:cs="仿宋"/>
          <w:snapToGrid w:val="0"/>
          <w:color w:val="auto"/>
          <w:kern w:val="0"/>
          <w:sz w:val="24"/>
          <w:highlight w:val="none"/>
        </w:rPr>
        <w:t>；因发生上述第（3）、（4）项原因而暂停施工，工期不予顺延，承包人必须承担由此发生的费用，并按合同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.2款约定向发包人承担违约责任。</w:t>
      </w:r>
    </w:p>
    <w:p w14:paraId="16A399B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15.2为了保证工程质量安全，凡出现下列情况之一（不限于此）的，总监理工程师有权下达停工令，责令承包人停工整改，由此造成的损失由承包人自行负责，造成工期延误的由承包人按合同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.2款的有关约定承担违约责任：</w:t>
      </w:r>
    </w:p>
    <w:p w14:paraId="16E18EE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（1）拒绝监理等单位管理；</w:t>
      </w:r>
    </w:p>
    <w:p w14:paraId="1A6FF2D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（2）施工组织设计（方案）未获总监理工程师批准而进行施工；</w:t>
      </w:r>
    </w:p>
    <w:p w14:paraId="5A33D3C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（3）未经监理单位检验而进行下一道工序作业；</w:t>
      </w:r>
    </w:p>
    <w:p w14:paraId="748DE41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（4）擅自采用未经监理单位及发包人认可或批准的材料，或者使用的原材料、构配件不合格或未经检查确认，或者擅自采用未经认可的代用材料；</w:t>
      </w:r>
    </w:p>
    <w:p w14:paraId="5901ED2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（5）擅自变更设计图纸的要求；</w:t>
      </w:r>
    </w:p>
    <w:p w14:paraId="2D775DE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（6）转包工程；</w:t>
      </w:r>
    </w:p>
    <w:p w14:paraId="516C1AC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（7）违法分包或擅自让未经发包人批准的分包单位进场作业；</w:t>
      </w:r>
    </w:p>
    <w:p w14:paraId="7CAAB82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（8）存在安全隐患，未按监理单位要求及时进行整改；</w:t>
      </w:r>
    </w:p>
    <w:p w14:paraId="41C0B55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（9）未按双方约定的要求上报所需的资料。</w:t>
      </w:r>
    </w:p>
    <w:p w14:paraId="34FF58B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15.3当发生合同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15.1款约定的暂停施工时，承包人应立即停止现场的实施工作，并根据合同约定负责在暂停期间，对工程、工程物资及承包人文件等进行照管和保护。因承包人原因未能尽到照管、保护的责任，造成损坏、丢失等，使发包人的费用增减，和（或）竣工日期延误的，承包人承担足额损害赔偿责任。</w:t>
      </w:r>
    </w:p>
    <w:p w14:paraId="29D1402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15.4当工程具备复工条件时，监理单位应当及时发出复工通知；或承包人</w:t>
      </w:r>
      <w:r>
        <w:rPr>
          <w:rFonts w:hint="eastAsia" w:ascii="仿宋" w:hAnsi="仿宋" w:eastAsia="仿宋" w:cs="仿宋"/>
          <w:snapToGrid w:val="0"/>
          <w:color w:val="auto"/>
          <w:kern w:val="0"/>
          <w:sz w:val="24"/>
          <w:highlight w:val="none"/>
          <w:lang w:eastAsia="zh-CN"/>
        </w:rPr>
        <w:t>可以</w:t>
      </w:r>
      <w:r>
        <w:rPr>
          <w:rFonts w:hint="eastAsia" w:ascii="仿宋" w:hAnsi="仿宋" w:eastAsia="仿宋" w:cs="仿宋"/>
          <w:snapToGrid w:val="0"/>
          <w:color w:val="auto"/>
          <w:kern w:val="0"/>
          <w:sz w:val="24"/>
          <w:highlight w:val="none"/>
        </w:rPr>
        <w:t>直接向监理单位提出复工建议，经发包人批准后，监理单位发出复工通知。承包人应当按通知要求立即组织实施复工工作，不得拖延，否则按合同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条款第41.2约定承担违约责任。</w:t>
      </w:r>
    </w:p>
    <w:p w14:paraId="5AC1E79B">
      <w:pPr>
        <w:adjustRightInd w:val="0"/>
        <w:snapToGrid w:val="0"/>
        <w:spacing w:line="360" w:lineRule="auto"/>
        <w:ind w:right="11"/>
        <w:rPr>
          <w:rFonts w:ascii="仿宋" w:hAnsi="仿宋" w:eastAsia="仿宋" w:cs="仿宋"/>
          <w:snapToGrid w:val="0"/>
          <w:color w:val="auto"/>
          <w:kern w:val="0"/>
          <w:sz w:val="24"/>
          <w:highlight w:val="none"/>
        </w:rPr>
      </w:pPr>
    </w:p>
    <w:p w14:paraId="50061132">
      <w:pPr>
        <w:adjustRightInd w:val="0"/>
        <w:snapToGrid w:val="0"/>
        <w:spacing w:line="360" w:lineRule="auto"/>
        <w:ind w:right="11"/>
        <w:outlineLvl w:val="2"/>
        <w:rPr>
          <w:rFonts w:ascii="仿宋" w:hAnsi="仿宋" w:eastAsia="仿宋" w:cs="仿宋"/>
          <w:b/>
          <w:snapToGrid w:val="0"/>
          <w:color w:val="auto"/>
          <w:kern w:val="0"/>
          <w:sz w:val="24"/>
          <w:highlight w:val="none"/>
        </w:rPr>
      </w:pPr>
      <w:bookmarkStart w:id="115" w:name="_Toc502215491"/>
      <w:bookmarkStart w:id="116" w:name="_Toc12376"/>
      <w:bookmarkStart w:id="117" w:name="_Toc504465894"/>
      <w:bookmarkStart w:id="118" w:name="_Toc2784873"/>
      <w:bookmarkStart w:id="119" w:name="_Toc83377261"/>
      <w:r>
        <w:rPr>
          <w:rFonts w:hint="eastAsia" w:ascii="仿宋" w:hAnsi="仿宋" w:eastAsia="仿宋" w:cs="仿宋"/>
          <w:b/>
          <w:snapToGrid w:val="0"/>
          <w:color w:val="auto"/>
          <w:kern w:val="0"/>
          <w:sz w:val="24"/>
          <w:highlight w:val="none"/>
          <w:lang w:eastAsia="zh-CN"/>
        </w:rPr>
        <w:t>16.</w:t>
      </w:r>
      <w:r>
        <w:rPr>
          <w:rFonts w:hint="eastAsia" w:ascii="仿宋" w:hAnsi="仿宋" w:eastAsia="仿宋" w:cs="仿宋"/>
          <w:b/>
          <w:snapToGrid w:val="0"/>
          <w:color w:val="auto"/>
          <w:kern w:val="0"/>
          <w:sz w:val="24"/>
          <w:highlight w:val="none"/>
        </w:rPr>
        <w:t>工期</w:t>
      </w:r>
      <w:bookmarkEnd w:id="115"/>
      <w:bookmarkEnd w:id="116"/>
      <w:bookmarkEnd w:id="117"/>
      <w:bookmarkEnd w:id="118"/>
      <w:bookmarkEnd w:id="119"/>
    </w:p>
    <w:p w14:paraId="2F2FF5C4">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16.1工期控制与调整</w:t>
      </w:r>
    </w:p>
    <w:p w14:paraId="55DF0E8C">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（1）本工程工期分为关键节点工期和一般节点工期两类，承包人必须在施工组织设计文件中分专业详细区分和列明本工程的关键节点工期和一般节点工期，并报总监理工程师和发包人批准后实施。</w:t>
      </w:r>
    </w:p>
    <w:p w14:paraId="7C28DD7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w:t>
      </w:r>
      <w:r>
        <w:rPr>
          <w:rFonts w:hint="eastAsia" w:ascii="仿宋" w:hAnsi="仿宋" w:eastAsia="仿宋" w:cs="仿宋"/>
          <w:snapToGrid w:val="0"/>
          <w:color w:val="auto"/>
          <w:kern w:val="0"/>
          <w:sz w:val="24"/>
          <w:szCs w:val="22"/>
          <w:highlight w:val="none"/>
        </w:rPr>
        <w:t>承包人应当采取合理有效的赶工措施予以消化，相关赶工措施费</w:t>
      </w:r>
      <w:r>
        <w:rPr>
          <w:rFonts w:hint="eastAsia" w:ascii="仿宋" w:hAnsi="仿宋" w:eastAsia="仿宋" w:cs="仿宋"/>
          <w:snapToGrid w:val="0"/>
          <w:color w:val="auto"/>
          <w:kern w:val="0"/>
          <w:sz w:val="24"/>
          <w:highlight w:val="none"/>
        </w:rPr>
        <w:t>由发包人和承包人双方另行签订补充协议约定</w:t>
      </w:r>
      <w:r>
        <w:rPr>
          <w:rFonts w:hint="eastAsia" w:ascii="仿宋" w:hAnsi="仿宋" w:eastAsia="仿宋" w:cs="仿宋"/>
          <w:snapToGrid w:val="0"/>
          <w:color w:val="auto"/>
          <w:kern w:val="0"/>
          <w:sz w:val="24"/>
          <w:szCs w:val="22"/>
          <w:highlight w:val="none"/>
        </w:rPr>
        <w:t>。</w:t>
      </w:r>
    </w:p>
    <w:p w14:paraId="26E95A1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在特殊情况下，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w:t>
      </w:r>
      <w:r>
        <w:rPr>
          <w:rFonts w:hint="eastAsia" w:ascii="仿宋" w:hAnsi="仿宋" w:eastAsia="仿宋" w:cs="仿宋"/>
          <w:bCs/>
          <w:snapToGrid w:val="0"/>
          <w:color w:val="auto"/>
          <w:kern w:val="0"/>
          <w:sz w:val="24"/>
          <w:highlight w:val="none"/>
        </w:rPr>
        <w:t>承包人必须按照调整后的总工期控制计划和关键节点工期计划执行。</w:t>
      </w:r>
    </w:p>
    <w:p w14:paraId="46E39A17">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16.2工期延误的原因及其处理</w:t>
      </w:r>
    </w:p>
    <w:p w14:paraId="33F8754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hint="eastAsia" w:ascii="仿宋" w:hAnsi="仿宋" w:eastAsia="仿宋" w:cs="仿宋"/>
          <w:snapToGrid w:val="0"/>
          <w:color w:val="auto"/>
          <w:kern w:val="0"/>
          <w:sz w:val="24"/>
          <w:highlight w:val="none"/>
        </w:rPr>
        <w:t>非承包人原因造成的工期延误中的特殊情况，是指有确凿证据证实因下列原因而直接造成承包人的原定工期计划延误：</w:t>
      </w:r>
    </w:p>
    <w:p w14:paraId="7D9B5CB6">
      <w:pP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1）不可抗力（含政府对本工程建设项目作出停建、缓建的决定）；</w:t>
      </w:r>
    </w:p>
    <w:p w14:paraId="24BF7602">
      <w:pPr>
        <w:adjustRightInd w:val="0"/>
        <w:snapToGrid w:val="0"/>
        <w:spacing w:line="360" w:lineRule="auto"/>
        <w:ind w:firstLine="566" w:firstLineChars="23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2）工程设计有重大变更，并经总监理工程师和发包人确认会造成工期延误的；</w:t>
      </w:r>
    </w:p>
    <w:p w14:paraId="2F126810">
      <w:pP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3）发包人延期交付施工场地；</w:t>
      </w:r>
    </w:p>
    <w:p w14:paraId="755620EF">
      <w:pP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4）发包人指令（非承包人原因）引起的停工；</w:t>
      </w:r>
    </w:p>
    <w:p w14:paraId="24682077">
      <w:pP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5）发包人不按合同约定支付工程款而影响工期进度，并经总监理工程师确认的；</w:t>
      </w:r>
    </w:p>
    <w:p w14:paraId="630E5F7E">
      <w:pP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6）由于政府部门举行特殊活动引起暂停工作的；</w:t>
      </w:r>
    </w:p>
    <w:p w14:paraId="603C9E59">
      <w:pP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7）其余非承包人原因导致的。</w:t>
      </w:r>
    </w:p>
    <w:p w14:paraId="4B360717">
      <w:pPr>
        <w:adjustRightInd w:val="0"/>
        <w:snapToGrid w:val="0"/>
        <w:spacing w:line="360" w:lineRule="auto"/>
        <w:ind w:right="11" w:firstLine="424" w:firstLineChars="177"/>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（2）因承包人原因造成的工期延误，工期一概不得顺延。承包人还应当按照合同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.2款的有关约定承担违约责任。</w:t>
      </w:r>
    </w:p>
    <w:p w14:paraId="5370CACD">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（3）因承包人对</w:t>
      </w:r>
      <w:r>
        <w:rPr>
          <w:rFonts w:hint="eastAsia" w:ascii="仿宋" w:hAnsi="仿宋" w:eastAsia="仿宋" w:cs="仿宋"/>
          <w:bCs/>
          <w:snapToGrid w:val="0"/>
          <w:color w:val="auto"/>
          <w:kern w:val="0"/>
          <w:sz w:val="24"/>
          <w:highlight w:val="none"/>
        </w:rPr>
        <w:t>现场组织管理不力或未能提供协调、配合服务，以致专业工程的进度影响工期，承包人不得以此为由提出延长工期的要求。</w:t>
      </w:r>
    </w:p>
    <w:p w14:paraId="4CD7D378">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snapToGrid w:val="0"/>
          <w:color w:val="auto"/>
          <w:kern w:val="0"/>
          <w:sz w:val="24"/>
          <w:highlight w:val="none"/>
        </w:rPr>
        <w:t>16.3</w:t>
      </w:r>
      <w:r>
        <w:rPr>
          <w:rFonts w:hint="eastAsia" w:ascii="仿宋" w:hAnsi="仿宋" w:eastAsia="仿宋" w:cs="仿宋"/>
          <w:color w:val="auto"/>
          <w:sz w:val="24"/>
          <w:szCs w:val="24"/>
          <w:highlight w:val="none"/>
        </w:rPr>
        <w:t>承包人应当对工期全面负责，对项目进度计划和各阶段的进度进行管理，通过设计、采购、施工、试运行各阶段的协调、配合与合理交叉，科学制定、实施、控制进度计划，确保工程按期竣工。</w:t>
      </w:r>
    </w:p>
    <w:p w14:paraId="6A3C3F9C">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16.4因非承包人原因造成的工期延误，</w:t>
      </w:r>
      <w:r>
        <w:rPr>
          <w:rFonts w:hint="eastAsia" w:ascii="仿宋" w:hAnsi="仿宋" w:eastAsia="仿宋" w:cs="仿宋"/>
          <w:color w:val="auto"/>
          <w:sz w:val="24"/>
          <w:szCs w:val="24"/>
          <w:highlight w:val="none"/>
          <w:lang w:eastAsia="zh-CN"/>
        </w:rPr>
        <w:t>须报</w:t>
      </w:r>
      <w:r>
        <w:rPr>
          <w:rFonts w:hint="eastAsia" w:ascii="仿宋" w:hAnsi="仿宋" w:eastAsia="仿宋" w:cs="仿宋"/>
          <w:color w:val="auto"/>
          <w:kern w:val="0"/>
          <w:sz w:val="24"/>
          <w:szCs w:val="24"/>
          <w:highlight w:val="none"/>
        </w:rPr>
        <w:t>监理人审批同意后报发包人才予以认可及顺延。</w:t>
      </w:r>
    </w:p>
    <w:p w14:paraId="39A9C67C">
      <w:pPr>
        <w:adjustRightInd w:val="0"/>
        <w:snapToGrid w:val="0"/>
        <w:spacing w:line="360" w:lineRule="auto"/>
        <w:rPr>
          <w:rFonts w:ascii="仿宋" w:hAnsi="仿宋" w:eastAsia="仿宋" w:cs="仿宋"/>
          <w:b/>
          <w:snapToGrid w:val="0"/>
          <w:color w:val="auto"/>
          <w:kern w:val="0"/>
          <w:sz w:val="24"/>
          <w:highlight w:val="none"/>
        </w:rPr>
      </w:pPr>
    </w:p>
    <w:p w14:paraId="5DF2C069">
      <w:pPr>
        <w:adjustRightInd w:val="0"/>
        <w:snapToGrid w:val="0"/>
        <w:spacing w:line="360" w:lineRule="auto"/>
        <w:outlineLvl w:val="2"/>
        <w:rPr>
          <w:rFonts w:ascii="仿宋" w:hAnsi="仿宋" w:eastAsia="仿宋" w:cs="仿宋"/>
          <w:b/>
          <w:snapToGrid w:val="0"/>
          <w:color w:val="auto"/>
          <w:kern w:val="0"/>
          <w:sz w:val="24"/>
          <w:highlight w:val="none"/>
        </w:rPr>
      </w:pPr>
      <w:bookmarkStart w:id="120" w:name="_Toc83377262"/>
      <w:bookmarkStart w:id="121" w:name="_Toc6465"/>
      <w:bookmarkStart w:id="122" w:name="_Toc502215492"/>
      <w:bookmarkStart w:id="123" w:name="_Toc2784874"/>
      <w:bookmarkStart w:id="124" w:name="_Toc504465895"/>
      <w:r>
        <w:rPr>
          <w:rFonts w:hint="eastAsia" w:ascii="仿宋" w:hAnsi="仿宋" w:eastAsia="仿宋" w:cs="仿宋"/>
          <w:b/>
          <w:snapToGrid w:val="0"/>
          <w:color w:val="auto"/>
          <w:kern w:val="0"/>
          <w:sz w:val="24"/>
          <w:highlight w:val="none"/>
          <w:lang w:eastAsia="zh-CN"/>
        </w:rPr>
        <w:t>17.</w:t>
      </w:r>
      <w:r>
        <w:rPr>
          <w:rFonts w:hint="eastAsia" w:ascii="仿宋" w:hAnsi="仿宋" w:eastAsia="仿宋" w:cs="仿宋"/>
          <w:b/>
          <w:snapToGrid w:val="0"/>
          <w:color w:val="auto"/>
          <w:kern w:val="0"/>
          <w:sz w:val="24"/>
          <w:highlight w:val="none"/>
        </w:rPr>
        <w:t>工程竣工</w:t>
      </w:r>
      <w:bookmarkEnd w:id="120"/>
      <w:bookmarkEnd w:id="121"/>
      <w:bookmarkEnd w:id="122"/>
      <w:bookmarkEnd w:id="123"/>
      <w:bookmarkEnd w:id="124"/>
    </w:p>
    <w:p w14:paraId="7016A1FC">
      <w:pPr>
        <w:adjustRightInd w:val="0"/>
        <w:snapToGrid w:val="0"/>
        <w:spacing w:line="360" w:lineRule="auto"/>
        <w:ind w:right="11" w:firstLine="460" w:firstLineChars="192"/>
        <w:outlineLvl w:val="3"/>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承包人必须采取一切有效措施保证按照合同协议书约定或者</w:t>
      </w:r>
      <w:r>
        <w:rPr>
          <w:rFonts w:hint="eastAsia" w:ascii="仿宋" w:hAnsi="仿宋" w:eastAsia="仿宋" w:cs="仿宋"/>
          <w:bCs/>
          <w:snapToGrid w:val="0"/>
          <w:color w:val="auto"/>
          <w:kern w:val="0"/>
          <w:sz w:val="24"/>
          <w:highlight w:val="none"/>
        </w:rPr>
        <w:t>发包人根据工程实施情况调整</w:t>
      </w:r>
      <w:r>
        <w:rPr>
          <w:rFonts w:hint="eastAsia" w:ascii="仿宋" w:hAnsi="仿宋" w:eastAsia="仿宋" w:cs="仿宋"/>
          <w:snapToGrid w:val="0"/>
          <w:color w:val="auto"/>
          <w:kern w:val="0"/>
          <w:sz w:val="24"/>
          <w:highlight w:val="none"/>
        </w:rPr>
        <w:t>的竣工日期竣工，不得延误，除非发生了以下情形：</w:t>
      </w:r>
    </w:p>
    <w:p w14:paraId="36164D84">
      <w:pP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（1）政府对本工程建设项目作出停建、缓建的决定；</w:t>
      </w:r>
    </w:p>
    <w:p w14:paraId="0713DC6E">
      <w:pP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（2）重大设计变更导致本工程在规划、使用、功能方面有重大调整；</w:t>
      </w:r>
    </w:p>
    <w:p w14:paraId="3AE42B6C">
      <w:pP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（3）非因承包人原因造成关键节点工期延误达到30天以上；</w:t>
      </w:r>
    </w:p>
    <w:p w14:paraId="3F32D957">
      <w:pP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（4）其他非因承包人原因造成的竣工日期延误。</w:t>
      </w:r>
    </w:p>
    <w:p w14:paraId="149A2084">
      <w:pPr>
        <w:pStyle w:val="13"/>
        <w:adjustRightInd w:val="0"/>
        <w:snapToGrid w:val="0"/>
        <w:spacing w:line="360" w:lineRule="auto"/>
        <w:ind w:left="5250"/>
        <w:rPr>
          <w:rFonts w:ascii="仿宋" w:hAnsi="仿宋" w:eastAsia="仿宋" w:cs="仿宋"/>
          <w:snapToGrid w:val="0"/>
          <w:color w:val="auto"/>
          <w:highlight w:val="none"/>
        </w:rPr>
      </w:pPr>
    </w:p>
    <w:p w14:paraId="1FF9AC48">
      <w:pPr>
        <w:pStyle w:val="13"/>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125" w:name="_Toc2784875"/>
      <w:bookmarkStart w:id="126" w:name="_Toc504465896"/>
      <w:bookmarkStart w:id="127" w:name="_Toc83377263"/>
      <w:bookmarkStart w:id="128" w:name="_Toc26390"/>
      <w:bookmarkStart w:id="129" w:name="_Toc502215493"/>
      <w:r>
        <w:rPr>
          <w:rFonts w:hint="eastAsia" w:ascii="仿宋" w:hAnsi="仿宋" w:eastAsia="仿宋" w:cs="仿宋"/>
          <w:b/>
          <w:snapToGrid w:val="0"/>
          <w:color w:val="auto"/>
          <w:sz w:val="28"/>
          <w:szCs w:val="28"/>
          <w:highlight w:val="none"/>
        </w:rPr>
        <w:t>五、质量与检验</w:t>
      </w:r>
      <w:bookmarkEnd w:id="125"/>
      <w:bookmarkEnd w:id="126"/>
      <w:bookmarkEnd w:id="127"/>
      <w:bookmarkEnd w:id="128"/>
      <w:bookmarkEnd w:id="129"/>
    </w:p>
    <w:p w14:paraId="29DE7668">
      <w:pPr>
        <w:adjustRightInd w:val="0"/>
        <w:snapToGrid w:val="0"/>
        <w:spacing w:line="360" w:lineRule="auto"/>
        <w:outlineLvl w:val="2"/>
        <w:rPr>
          <w:rFonts w:ascii="仿宋" w:hAnsi="仿宋" w:eastAsia="仿宋" w:cs="仿宋"/>
          <w:b/>
          <w:snapToGrid w:val="0"/>
          <w:color w:val="auto"/>
          <w:kern w:val="0"/>
          <w:sz w:val="24"/>
          <w:highlight w:val="none"/>
        </w:rPr>
      </w:pPr>
      <w:bookmarkStart w:id="130" w:name="_Toc502215494"/>
      <w:bookmarkStart w:id="131" w:name="_Toc83377264"/>
      <w:bookmarkStart w:id="132" w:name="_Toc17236"/>
      <w:bookmarkStart w:id="133" w:name="_Toc2784876"/>
      <w:bookmarkStart w:id="134" w:name="_Toc504465897"/>
      <w:r>
        <w:rPr>
          <w:rFonts w:hint="eastAsia" w:ascii="仿宋" w:hAnsi="仿宋" w:eastAsia="仿宋" w:cs="仿宋"/>
          <w:b/>
          <w:snapToGrid w:val="0"/>
          <w:color w:val="auto"/>
          <w:kern w:val="0"/>
          <w:sz w:val="24"/>
          <w:highlight w:val="none"/>
          <w:lang w:eastAsia="zh-CN"/>
        </w:rPr>
        <w:t>18.</w:t>
      </w:r>
      <w:r>
        <w:rPr>
          <w:rFonts w:hint="eastAsia" w:ascii="仿宋" w:hAnsi="仿宋" w:eastAsia="仿宋" w:cs="仿宋"/>
          <w:b/>
          <w:snapToGrid w:val="0"/>
          <w:color w:val="auto"/>
          <w:kern w:val="0"/>
          <w:sz w:val="24"/>
          <w:highlight w:val="none"/>
        </w:rPr>
        <w:t>工程质量</w:t>
      </w:r>
      <w:bookmarkEnd w:id="130"/>
      <w:bookmarkEnd w:id="131"/>
      <w:bookmarkEnd w:id="132"/>
      <w:bookmarkEnd w:id="133"/>
      <w:bookmarkEnd w:id="134"/>
    </w:p>
    <w:p w14:paraId="588D7BA1">
      <w:pPr>
        <w:adjustRightInd w:val="0"/>
        <w:snapToGrid w:val="0"/>
        <w:spacing w:line="360" w:lineRule="auto"/>
        <w:ind w:firstLine="420" w:firstLineChars="175"/>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18.1工程质量标准</w:t>
      </w:r>
    </w:p>
    <w:p w14:paraId="0B17323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（1）本合同工程质量标准按合同协议书第4条的约定执行。</w:t>
      </w:r>
    </w:p>
    <w:p w14:paraId="285D2C2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（2）承包人必须确保工程一次验收合格。因承包人原因致使工程未一次验收合格的，由承包人按照合同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.2约定承担违约责任。</w:t>
      </w:r>
    </w:p>
    <w:p w14:paraId="493E74E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18.2</w:t>
      </w:r>
      <w:r>
        <w:rPr>
          <w:rFonts w:hint="eastAsia" w:ascii="仿宋" w:hAnsi="仿宋" w:eastAsia="仿宋" w:cs="仿宋"/>
          <w:snapToGrid w:val="0"/>
          <w:color w:val="auto"/>
          <w:kern w:val="0"/>
          <w:sz w:val="24"/>
          <w:highlight w:val="none"/>
        </w:rPr>
        <w:t>工程质量应当达到合同协议书约定的质量标准，质量标准的评定以国家或行业的质量检验评定标准为依据。因承包人原因工程质量达不到约定的质量标准，承包人承担违约责任。</w:t>
      </w:r>
    </w:p>
    <w:p w14:paraId="778DE289">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18.3因承包人原因造成工程质量不符合法律的规定和合同约定的，发包人有权要求承包人返工直至符合合同要求为止，由此造成的费用增加和（或）工期延误由承包人承担。</w:t>
      </w:r>
    </w:p>
    <w:p w14:paraId="099D5A7E">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18.4因发包人原因造成工程质量达不到合同约定验收标准的，发包人应承担由于承包人返工造成的费用增加和（或）工期延误。</w:t>
      </w:r>
    </w:p>
    <w:p w14:paraId="6CFC3979">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18.5设计质量要求：</w:t>
      </w:r>
    </w:p>
    <w:p w14:paraId="7BF2C922">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设计是安全、可行、实用、经济、美观的、符合建设工程设计的技术规范及本项目设计任务书的要求，并能顺利通过主管部门或其委托部门的技术审查及发包人组织的设计成果验收。</w:t>
      </w:r>
      <w:bookmarkStart w:id="135" w:name="_Toc497206412"/>
      <w:bookmarkStart w:id="136" w:name="_Toc496887378"/>
    </w:p>
    <w:bookmarkEnd w:id="135"/>
    <w:bookmarkEnd w:id="136"/>
    <w:p w14:paraId="7FA1427D">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bookmarkStart w:id="137" w:name="_Toc496887381"/>
      <w:bookmarkStart w:id="138" w:name="_Toc497206415"/>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0"/>
          <w:sz w:val="24"/>
          <w:highlight w:val="none"/>
        </w:rPr>
        <w:t>设计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bookmarkEnd w:id="137"/>
      <w:bookmarkEnd w:id="138"/>
    </w:p>
    <w:p w14:paraId="3573A02F">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w:t>
      </w:r>
      <w:r>
        <w:rPr>
          <w:rFonts w:hint="eastAsia" w:ascii="仿宋" w:hAnsi="仿宋" w:eastAsia="仿宋" w:cs="仿宋"/>
          <w:snapToGrid w:val="0"/>
          <w:color w:val="auto"/>
          <w:kern w:val="0"/>
          <w:sz w:val="24"/>
          <w:highlight w:val="none"/>
        </w:rPr>
        <w:t>承包人的设计成果文件应满足《建筑工程设计文件编制深度规定》（2016年版）、</w:t>
      </w:r>
      <w:r>
        <w:rPr>
          <w:rFonts w:hint="eastAsia" w:ascii="仿宋" w:hAnsi="仿宋" w:eastAsia="仿宋" w:cs="仿宋"/>
          <w:bCs/>
          <w:snapToGrid w:val="0"/>
          <w:color w:val="auto"/>
          <w:kern w:val="0"/>
          <w:sz w:val="24"/>
          <w:highlight w:val="none"/>
        </w:rPr>
        <w:t>本工程设计任务书要求</w:t>
      </w:r>
      <w:r>
        <w:rPr>
          <w:rFonts w:hint="eastAsia" w:ascii="仿宋" w:hAnsi="仿宋" w:eastAsia="仿宋" w:cs="仿宋"/>
          <w:snapToGrid w:val="0"/>
          <w:color w:val="auto"/>
          <w:kern w:val="0"/>
          <w:sz w:val="24"/>
          <w:highlight w:val="none"/>
        </w:rPr>
        <w:t>，并按照专家评审意见和发包人要求对设计进行深化、优化。承包人对本合同范围内的设计成果文件达到合同约定的相应设计深度负总体责任。</w:t>
      </w:r>
    </w:p>
    <w:p w14:paraId="46277506">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（3）承包人在设计过程中应考虑工程实施的可操作性，对工序方案提出相应的技术要求，应明确提出关键工序的工艺要求、质量控制要求及安全技术措施方案。</w:t>
      </w:r>
    </w:p>
    <w:p w14:paraId="7DCE0784">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（4）设计成果文件的计量单位均应采用国际标准计量单位。</w:t>
      </w:r>
    </w:p>
    <w:p w14:paraId="003784E1">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（5）设计图纸必须按照国家对工程图纸规格的规定绘制，保持同类图纸规格统一。</w:t>
      </w:r>
    </w:p>
    <w:p w14:paraId="7CEE92AA">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6）承包人应根据政府主管部门、发包人的审核意见对设计成果文件进行必要的修改。当承包人提交的设计成果文件不符合本合同所约定的质量要求时，承包人应在收到政府主管部门、发包人的通知后5天内将经过修改的符合规定的设计文件交付发包人。</w:t>
      </w:r>
    </w:p>
    <w:p w14:paraId="19D3835C">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18.6现场施工质量</w:t>
      </w:r>
    </w:p>
    <w:p w14:paraId="49C57788">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（1）符合国家、地方及相关行业质量技术及安全规范的要求；</w:t>
      </w:r>
    </w:p>
    <w:p w14:paraId="60A1A91E">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（2）符合经监理单位和发包人以及政府主管部门审批通过的深化设计图纸要求；</w:t>
      </w:r>
    </w:p>
    <w:p w14:paraId="5AB8362E">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（3）符合国家、地方及发包人认可的施工验收标准。</w:t>
      </w:r>
    </w:p>
    <w:p w14:paraId="0D751BBA">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18.7工程质量争议与鉴定</w:t>
      </w:r>
    </w:p>
    <w:p w14:paraId="2F3A554A">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双方一致同意，对于本合同履行过程中的工程质量争议，由工程所在地负责工程质量监督的政府主管机构或部门依据《建筑工程施工质量验收统一标准》（GB50300-2013）（如有新版本颁发，则按最新版本执行）系列各专业验收规范及设计文件等进行鉴定并按鉴定结论及有关规定承担责任。</w:t>
      </w:r>
    </w:p>
    <w:p w14:paraId="4FC1DCBB">
      <w:pPr>
        <w:adjustRightInd w:val="0"/>
        <w:snapToGrid w:val="0"/>
        <w:spacing w:line="360" w:lineRule="auto"/>
        <w:rPr>
          <w:rFonts w:ascii="仿宋" w:hAnsi="仿宋" w:eastAsia="仿宋" w:cs="仿宋"/>
          <w:color w:val="auto"/>
          <w:kern w:val="0"/>
          <w:sz w:val="24"/>
          <w:highlight w:val="none"/>
          <w:u w:val="single"/>
        </w:rPr>
      </w:pPr>
    </w:p>
    <w:p w14:paraId="02F794B0">
      <w:pPr>
        <w:adjustRightInd w:val="0"/>
        <w:snapToGrid w:val="0"/>
        <w:spacing w:line="360" w:lineRule="auto"/>
        <w:outlineLvl w:val="2"/>
        <w:rPr>
          <w:rFonts w:ascii="仿宋" w:hAnsi="仿宋" w:eastAsia="仿宋" w:cs="仿宋"/>
          <w:b/>
          <w:snapToGrid w:val="0"/>
          <w:color w:val="auto"/>
          <w:kern w:val="0"/>
          <w:sz w:val="24"/>
          <w:highlight w:val="none"/>
        </w:rPr>
      </w:pPr>
      <w:bookmarkStart w:id="139" w:name="_Toc504465898"/>
      <w:bookmarkStart w:id="140" w:name="_Toc32533"/>
      <w:bookmarkStart w:id="141" w:name="_Toc502215495"/>
      <w:bookmarkStart w:id="142" w:name="_Toc2784877"/>
      <w:bookmarkStart w:id="143" w:name="_Toc83377265"/>
      <w:r>
        <w:rPr>
          <w:rFonts w:hint="eastAsia" w:ascii="仿宋" w:hAnsi="仿宋" w:eastAsia="仿宋" w:cs="仿宋"/>
          <w:b/>
          <w:snapToGrid w:val="0"/>
          <w:color w:val="auto"/>
          <w:kern w:val="0"/>
          <w:sz w:val="24"/>
          <w:highlight w:val="none"/>
          <w:lang w:eastAsia="zh-CN"/>
        </w:rPr>
        <w:t>19.</w:t>
      </w:r>
      <w:r>
        <w:rPr>
          <w:rFonts w:hint="eastAsia" w:ascii="仿宋" w:hAnsi="仿宋" w:eastAsia="仿宋" w:cs="仿宋"/>
          <w:b/>
          <w:snapToGrid w:val="0"/>
          <w:color w:val="auto"/>
          <w:kern w:val="0"/>
          <w:sz w:val="24"/>
          <w:highlight w:val="none"/>
        </w:rPr>
        <w:t>工程质量保证体系</w:t>
      </w:r>
      <w:bookmarkEnd w:id="139"/>
      <w:bookmarkEnd w:id="140"/>
      <w:bookmarkEnd w:id="141"/>
      <w:bookmarkEnd w:id="142"/>
      <w:bookmarkEnd w:id="143"/>
    </w:p>
    <w:p w14:paraId="1A968C1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应当完善质量管理制度，建立质量控制流程，进行全面质量管理（TQC），以《质量管理体系标准要求》（GB/T19000-2016）为标准，建立并保持一个有效的工程质量管理体系。为此，承包人必须做到（不限于）：</w:t>
      </w:r>
    </w:p>
    <w:p w14:paraId="06B7E1EE">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r>
        <w:rPr>
          <w:rFonts w:hint="eastAsia" w:ascii="仿宋" w:hAnsi="仿宋" w:eastAsia="仿宋" w:cs="仿宋"/>
          <w:bCs/>
          <w:snapToGrid w:val="0"/>
          <w:color w:val="auto"/>
          <w:kern w:val="0"/>
          <w:sz w:val="24"/>
          <w:highlight w:val="none"/>
        </w:rPr>
        <w:t>同时，承包人应积极配合工程质量第三方检测工作，并积极采用新材料、新工艺、新技术。</w:t>
      </w:r>
    </w:p>
    <w:p w14:paraId="06C09009">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（2）承包人提交总监理工程师批准的施工组织设计或者施工方案必须附有完备的工程质量保证措施，包括：工程质量预控措施，</w:t>
      </w:r>
      <w:r>
        <w:rPr>
          <w:rFonts w:hint="eastAsia" w:ascii="仿宋" w:hAnsi="仿宋" w:eastAsia="仿宋" w:cs="仿宋"/>
          <w:iCs/>
          <w:snapToGrid w:val="0"/>
          <w:color w:val="auto"/>
          <w:kern w:val="0"/>
          <w:sz w:val="24"/>
          <w:highlight w:val="none"/>
        </w:rPr>
        <w:t>工序质量控制点，</w:t>
      </w:r>
      <w:r>
        <w:rPr>
          <w:rFonts w:hint="eastAsia" w:ascii="仿宋" w:hAnsi="仿宋" w:eastAsia="仿宋" w:cs="仿宋"/>
          <w:snapToGrid w:val="0"/>
          <w:color w:val="auto"/>
          <w:kern w:val="0"/>
          <w:sz w:val="24"/>
          <w:highlight w:val="none"/>
        </w:rPr>
        <w:t>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3D237EA1">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（3）单项工程开工前，承包人必须按要求对职工分级进行技术交底，组织学习有关规程、标准、规范和工艺要求（规程包括但不限于施工企业标准和作业指导书），在施工中必须按规程及工艺进行操作。</w:t>
      </w:r>
    </w:p>
    <w:p w14:paraId="6A443C7E">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74768507">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按照《关于加强房屋建筑和市政基础设施工程混凝土试件标准养护管理的通知》的要求，在建房屋建筑和市政基础设施工程，现场有混凝土结构施工部位的，必须在施工现场建立混凝土试件标准养护室或放置标准养护箱，而且监督见证检验次数不少于同类材料进场检验频次的10%且不少于一次。</w:t>
      </w:r>
    </w:p>
    <w:p w14:paraId="0863450F">
      <w:pPr>
        <w:adjustRightInd w:val="0"/>
        <w:snapToGrid w:val="0"/>
        <w:spacing w:line="360" w:lineRule="auto"/>
        <w:rPr>
          <w:rFonts w:ascii="仿宋" w:hAnsi="仿宋" w:eastAsia="仿宋" w:cs="仿宋"/>
          <w:color w:val="auto"/>
          <w:highlight w:val="none"/>
        </w:rPr>
      </w:pPr>
    </w:p>
    <w:p w14:paraId="0D6310B8">
      <w:pPr>
        <w:adjustRightInd w:val="0"/>
        <w:snapToGrid w:val="0"/>
        <w:spacing w:line="360" w:lineRule="auto"/>
        <w:outlineLvl w:val="2"/>
        <w:rPr>
          <w:rFonts w:ascii="仿宋" w:hAnsi="仿宋" w:eastAsia="仿宋" w:cs="仿宋"/>
          <w:b/>
          <w:snapToGrid w:val="0"/>
          <w:color w:val="auto"/>
          <w:kern w:val="0"/>
          <w:sz w:val="24"/>
          <w:highlight w:val="none"/>
        </w:rPr>
      </w:pPr>
      <w:bookmarkStart w:id="144" w:name="_Toc13651"/>
      <w:bookmarkStart w:id="145" w:name="_Toc502215496"/>
      <w:bookmarkStart w:id="146" w:name="_Toc2784878"/>
      <w:bookmarkStart w:id="147" w:name="_Toc504465899"/>
      <w:bookmarkStart w:id="148" w:name="_Toc83377266"/>
      <w:r>
        <w:rPr>
          <w:rFonts w:hint="eastAsia" w:ascii="仿宋" w:hAnsi="仿宋" w:eastAsia="仿宋" w:cs="仿宋"/>
          <w:b/>
          <w:snapToGrid w:val="0"/>
          <w:color w:val="auto"/>
          <w:kern w:val="0"/>
          <w:sz w:val="24"/>
          <w:highlight w:val="none"/>
          <w:lang w:eastAsia="zh-CN"/>
        </w:rPr>
        <w:t>20.</w:t>
      </w:r>
      <w:r>
        <w:rPr>
          <w:rFonts w:hint="eastAsia" w:ascii="仿宋" w:hAnsi="仿宋" w:eastAsia="仿宋" w:cs="仿宋"/>
          <w:b/>
          <w:snapToGrid w:val="0"/>
          <w:color w:val="auto"/>
          <w:kern w:val="0"/>
          <w:sz w:val="24"/>
          <w:highlight w:val="none"/>
        </w:rPr>
        <w:t>检查和返工</w:t>
      </w:r>
      <w:bookmarkEnd w:id="144"/>
      <w:bookmarkEnd w:id="145"/>
      <w:bookmarkEnd w:id="146"/>
      <w:bookmarkEnd w:id="147"/>
      <w:bookmarkEnd w:id="148"/>
    </w:p>
    <w:p w14:paraId="79A9502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20.1承包人应认真按照标准、规范和经批准的设计图纸要求以及总监理工程师依据合同发出的指令施工，随时接受总监理工程师的检查检验，为检查检验提供便利条件。</w:t>
      </w:r>
    </w:p>
    <w:p w14:paraId="239D7E4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20.2工程质量达不到约定标准的部分，总监理工程师一经发现，应要求承包人拆除和重新施工，承包人应按总监理工程师的要求拆除和重新施工，直到符合约定标准。因承包人原因达不到约定标准，由承包人承担拆除和重新施工的费用，工期不予顺延。</w:t>
      </w:r>
    </w:p>
    <w:p w14:paraId="62355D1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20.3总监理工程师的检查检验不应影响施工正常进行。如影响施工正常进行，检查检验不合格时，影响正常施工的费用由承包人承担，工期不予顺延。除此之外影响正常施工的追加合同价款由发包人承担，相应顺延工期。</w:t>
      </w:r>
    </w:p>
    <w:p w14:paraId="3CFE766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20.4因总监理工程师指令失误或</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非承包人原因发生的追加合同价款，由发包人承担。</w:t>
      </w:r>
    </w:p>
    <w:p w14:paraId="2740C435">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20.5对承包人采购的工程材料、设备及采用的工艺的查验</w:t>
      </w:r>
    </w:p>
    <w:p w14:paraId="284A3FD5">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实施工程的一切材料、设备及工艺，都必须符合经批准的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34508B3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04B7DD3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发包人和总监理工程师认为有必要的，有权对已检查、检验过的材料、设备进行重复检查、检验，承包人应遵照执行。重复检查、检验的程序和内容适用前述约定。</w:t>
      </w:r>
    </w:p>
    <w:p w14:paraId="3BD343E7">
      <w:pPr>
        <w:adjustRightInd w:val="0"/>
        <w:snapToGrid w:val="0"/>
        <w:spacing w:line="360" w:lineRule="auto"/>
        <w:ind w:firstLine="420"/>
        <w:rPr>
          <w:rFonts w:ascii="仿宋" w:hAnsi="仿宋" w:eastAsia="仿宋" w:cs="仿宋"/>
          <w:iCs/>
          <w:snapToGrid w:val="0"/>
          <w:color w:val="auto"/>
          <w:kern w:val="0"/>
          <w:sz w:val="24"/>
          <w:highlight w:val="none"/>
        </w:rPr>
      </w:pPr>
      <w:r>
        <w:rPr>
          <w:rFonts w:hint="eastAsia" w:ascii="仿宋" w:hAnsi="仿宋" w:eastAsia="仿宋" w:cs="仿宋"/>
          <w:bCs/>
          <w:snapToGrid w:val="0"/>
          <w:color w:val="auto"/>
          <w:kern w:val="0"/>
          <w:sz w:val="24"/>
          <w:highlight w:val="none"/>
        </w:rPr>
        <w:t>（3）</w:t>
      </w:r>
      <w:r>
        <w:rPr>
          <w:rFonts w:hint="eastAsia" w:ascii="仿宋" w:hAnsi="仿宋" w:eastAsia="仿宋" w:cs="仿宋"/>
          <w:snapToGrid w:val="0"/>
          <w:color w:val="auto"/>
          <w:kern w:val="0"/>
          <w:sz w:val="24"/>
          <w:highlight w:val="none"/>
        </w:rPr>
        <w:t>在施工过程中，总监理工程师有权随时对工程材料、设备的使用进行抽查，包括成品、半成品、器具、设备、附件、小五金等。抽查范围、比例、数量、批次及检查深度可比国家</w:t>
      </w:r>
      <w:r>
        <w:rPr>
          <w:rFonts w:hint="eastAsia" w:ascii="仿宋" w:hAnsi="仿宋" w:eastAsia="仿宋" w:cs="仿宋"/>
          <w:iCs/>
          <w:snapToGrid w:val="0"/>
          <w:color w:val="auto"/>
          <w:kern w:val="0"/>
          <w:sz w:val="24"/>
          <w:highlight w:val="none"/>
        </w:rPr>
        <w:t>现行施工质量验收规范和</w:t>
      </w:r>
      <w:r>
        <w:rPr>
          <w:rFonts w:hint="eastAsia" w:ascii="仿宋" w:hAnsi="仿宋" w:eastAsia="仿宋" w:cs="仿宋"/>
          <w:snapToGrid w:val="0"/>
          <w:color w:val="auto"/>
          <w:kern w:val="0"/>
          <w:sz w:val="24"/>
          <w:highlight w:val="none"/>
        </w:rPr>
        <w:t>相关规定有所提高。</w:t>
      </w:r>
    </w:p>
    <w:p w14:paraId="1EDB822D">
      <w:pP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工程材料、设备的质量依据下列顺序之标准认定（排序在前者优先）：</w:t>
      </w:r>
    </w:p>
    <w:p w14:paraId="42CBE329">
      <w:pP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1）本工程经批准的设计图纸规定的设计标准和发包人制定的材料标准及技术要求[不符合下列第2）项标准要求的除外]；</w:t>
      </w:r>
    </w:p>
    <w:p w14:paraId="7A150A02">
      <w:pP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2）国家或行业强制执行的技术标准、技术规范。</w:t>
      </w:r>
    </w:p>
    <w:p w14:paraId="62AF8291">
      <w:pP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工程材料、设备的抽查、检验结果与前款约定不符的，总监理工程师必须扩大对该批材料的抽查范围、增加数量抽检，同时，涉及工程结构安全和使用功能的检测必须配合发包人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70C982A5">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iCs/>
          <w:snapToGrid w:val="0"/>
          <w:color w:val="auto"/>
          <w:kern w:val="0"/>
          <w:sz w:val="24"/>
          <w:highlight w:val="none"/>
        </w:rPr>
        <w:t>（4）总监理工程师对材料、设备或工程进行检查、检验的费用由承包人负担。总监理工程师或发包人进</w:t>
      </w:r>
      <w:r>
        <w:rPr>
          <w:rFonts w:hint="eastAsia" w:ascii="仿宋" w:hAnsi="仿宋" w:eastAsia="仿宋" w:cs="仿宋"/>
          <w:snapToGrid w:val="0"/>
          <w:color w:val="auto"/>
          <w:kern w:val="0"/>
          <w:sz w:val="24"/>
          <w:highlight w:val="none"/>
        </w:rPr>
        <w:t>行</w:t>
      </w:r>
      <w:r>
        <w:rPr>
          <w:rFonts w:hint="eastAsia" w:ascii="仿宋" w:hAnsi="仿宋" w:eastAsia="仿宋" w:cs="仿宋"/>
          <w:bCs/>
          <w:snapToGrid w:val="0"/>
          <w:color w:val="auto"/>
          <w:kern w:val="0"/>
          <w:sz w:val="24"/>
          <w:highlight w:val="none"/>
        </w:rPr>
        <w:t>重复检查、检验的，检查、检验的结果证明材料、设备或工程不符合合同、技术规范要求的，费用由承包人承担；符合合同、招标文件、技术规范要求的，费用由发包人承担。</w:t>
      </w:r>
    </w:p>
    <w:p w14:paraId="1B44E5F4">
      <w:pPr>
        <w:adjustRightInd w:val="0"/>
        <w:snapToGrid w:val="0"/>
        <w:spacing w:line="360" w:lineRule="auto"/>
        <w:ind w:firstLine="42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20.6承包人应当</w:t>
      </w:r>
      <w:r>
        <w:rPr>
          <w:rFonts w:hint="eastAsia" w:ascii="仿宋" w:hAnsi="仿宋" w:eastAsia="仿宋" w:cs="仿宋"/>
          <w:snapToGrid w:val="0"/>
          <w:color w:val="auto"/>
          <w:kern w:val="0"/>
          <w:sz w:val="24"/>
          <w:highlight w:val="none"/>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rFonts w:hint="eastAsia" w:ascii="仿宋" w:hAnsi="仿宋" w:eastAsia="仿宋" w:cs="仿宋"/>
          <w:bCs/>
          <w:snapToGrid w:val="0"/>
          <w:color w:val="auto"/>
          <w:kern w:val="0"/>
          <w:sz w:val="24"/>
          <w:highlight w:val="none"/>
        </w:rPr>
        <w:t>由此所产生的工期延误和费用增加等全部损失由承包人承担，并由承包人按照</w:t>
      </w:r>
      <w:r>
        <w:rPr>
          <w:rFonts w:hint="eastAsia" w:ascii="仿宋" w:hAnsi="仿宋" w:eastAsia="仿宋" w:cs="仿宋"/>
          <w:snapToGrid w:val="0"/>
          <w:color w:val="auto"/>
          <w:kern w:val="0"/>
          <w:sz w:val="24"/>
          <w:highlight w:val="none"/>
        </w:rPr>
        <w:t>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w:t>
      </w:r>
      <w:r>
        <w:rPr>
          <w:rFonts w:hint="eastAsia" w:ascii="仿宋" w:hAnsi="仿宋" w:eastAsia="仿宋" w:cs="仿宋"/>
          <w:bCs/>
          <w:snapToGrid w:val="0"/>
          <w:color w:val="auto"/>
          <w:kern w:val="0"/>
          <w:sz w:val="24"/>
          <w:highlight w:val="none"/>
        </w:rPr>
        <w:t>款的约定承担违约责任。</w:t>
      </w:r>
    </w:p>
    <w:p w14:paraId="1F981678">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20.7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逾期未提出整改措施或拒绝整改的，视为承包人严重违约，发包人有权暂停拨付工程款，同时，发包人有权部分或全部解除合同，承包单位按合同第十一条约定承担违约责任，并有权将未完工程另行发包。</w:t>
      </w:r>
    </w:p>
    <w:p w14:paraId="4B3B227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14:paraId="702270D5">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20.9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.2款的约定承担违约责任。若发现原始记录数据不存在、不真实、不完整，经监理单位确认，发包人有权拒绝相应部分工程的工程量计量与支付，并视情节轻重，由承包人按照合同</w:t>
      </w:r>
      <w:r>
        <w:rPr>
          <w:rFonts w:hint="eastAsia" w:ascii="仿宋" w:hAnsi="仿宋" w:eastAsia="仿宋" w:cs="仿宋"/>
          <w:snapToGrid w:val="0"/>
          <w:color w:val="auto"/>
          <w:kern w:val="0"/>
          <w:sz w:val="24"/>
          <w:highlight w:val="none"/>
          <w:lang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53EEFF43">
      <w:pPr>
        <w:adjustRightInd w:val="0"/>
        <w:snapToGrid w:val="0"/>
        <w:spacing w:line="360" w:lineRule="auto"/>
        <w:rPr>
          <w:rFonts w:ascii="仿宋" w:hAnsi="仿宋" w:eastAsia="仿宋" w:cs="仿宋"/>
          <w:snapToGrid w:val="0"/>
          <w:color w:val="auto"/>
          <w:kern w:val="0"/>
          <w:sz w:val="24"/>
          <w:highlight w:val="none"/>
        </w:rPr>
      </w:pPr>
    </w:p>
    <w:p w14:paraId="12ACA370">
      <w:pPr>
        <w:adjustRightInd w:val="0"/>
        <w:snapToGrid w:val="0"/>
        <w:spacing w:line="360" w:lineRule="auto"/>
        <w:outlineLvl w:val="2"/>
        <w:rPr>
          <w:rFonts w:ascii="仿宋" w:hAnsi="仿宋" w:eastAsia="仿宋" w:cs="仿宋"/>
          <w:b/>
          <w:snapToGrid w:val="0"/>
          <w:color w:val="auto"/>
          <w:kern w:val="0"/>
          <w:sz w:val="24"/>
          <w:highlight w:val="none"/>
        </w:rPr>
      </w:pPr>
      <w:bookmarkStart w:id="149" w:name="_Toc1348"/>
      <w:bookmarkStart w:id="150" w:name="_Toc502215497"/>
      <w:bookmarkStart w:id="151" w:name="_Toc504465900"/>
      <w:bookmarkStart w:id="152" w:name="_Toc2784879"/>
      <w:bookmarkStart w:id="153" w:name="_Toc83377267"/>
      <w:r>
        <w:rPr>
          <w:rFonts w:hint="eastAsia" w:ascii="仿宋" w:hAnsi="仿宋" w:eastAsia="仿宋" w:cs="仿宋"/>
          <w:b/>
          <w:snapToGrid w:val="0"/>
          <w:color w:val="auto"/>
          <w:kern w:val="0"/>
          <w:sz w:val="24"/>
          <w:highlight w:val="none"/>
          <w:lang w:eastAsia="zh-CN"/>
        </w:rPr>
        <w:t>21.</w:t>
      </w:r>
      <w:r>
        <w:rPr>
          <w:rFonts w:hint="eastAsia" w:ascii="仿宋" w:hAnsi="仿宋" w:eastAsia="仿宋" w:cs="仿宋"/>
          <w:b/>
          <w:snapToGrid w:val="0"/>
          <w:color w:val="auto"/>
          <w:kern w:val="0"/>
          <w:sz w:val="24"/>
          <w:highlight w:val="none"/>
        </w:rPr>
        <w:t>隐蔽工程和中间验收</w:t>
      </w:r>
      <w:bookmarkEnd w:id="149"/>
      <w:bookmarkEnd w:id="150"/>
      <w:bookmarkEnd w:id="151"/>
      <w:bookmarkEnd w:id="152"/>
      <w:bookmarkEnd w:id="153"/>
    </w:p>
    <w:p w14:paraId="355D003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21.1工程具备隐蔽条件的中间验收部位，承包人进行自检，并在隐蔽或中间验收前48小时以书面形式通知总监理工程师验收。通知包括隐蔽和中间验收的内容、验收时间和地点。承包人准备验收记录，验收合格，总监理工程师在验收记录上签字后，承包人可进行隐蔽和继续施工。验收不合格，承包人在总监理工程师限定的时间内修改后重新验收。</w:t>
      </w:r>
    </w:p>
    <w:p w14:paraId="2282B31A">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21.2</w:t>
      </w:r>
      <w:r>
        <w:rPr>
          <w:rFonts w:hint="eastAsia" w:ascii="仿宋" w:hAnsi="仿宋" w:eastAsia="仿宋" w:cs="仿宋"/>
          <w:snapToGrid w:val="0"/>
          <w:color w:val="auto"/>
          <w:kern w:val="0"/>
          <w:sz w:val="24"/>
          <w:highlight w:val="none"/>
        </w:rPr>
        <w:t>隐蔽工程或中间验收部位未经专业监理工程师验收合格，不得隐蔽或继续施工，否则该部分工程被视为不合格，</w:t>
      </w:r>
      <w:r>
        <w:rPr>
          <w:rFonts w:hint="eastAsia" w:ascii="仿宋" w:hAnsi="仿宋" w:eastAsia="仿宋" w:cs="仿宋"/>
          <w:bCs/>
          <w:snapToGrid w:val="0"/>
          <w:color w:val="auto"/>
          <w:kern w:val="0"/>
          <w:sz w:val="24"/>
          <w:highlight w:val="none"/>
        </w:rPr>
        <w:t>由此所产生的返工费用由承包人承担。</w:t>
      </w:r>
    </w:p>
    <w:p w14:paraId="32DAE8F2">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21.3本项目重要分部（子分部）工程质量验收工作，须按《广州市住房和城乡建设委员会关于加强房屋建筑重要分部（子分部）工程质量验收工作的通知》执行，加强工程质量验收工作。</w:t>
      </w:r>
    </w:p>
    <w:p w14:paraId="0C8D7EC9">
      <w:pPr>
        <w:adjustRightInd w:val="0"/>
        <w:snapToGrid w:val="0"/>
        <w:spacing w:line="360" w:lineRule="auto"/>
        <w:rPr>
          <w:rFonts w:ascii="仿宋" w:hAnsi="仿宋" w:eastAsia="仿宋" w:cs="仿宋"/>
          <w:snapToGrid w:val="0"/>
          <w:color w:val="auto"/>
          <w:kern w:val="0"/>
          <w:sz w:val="24"/>
          <w:highlight w:val="none"/>
        </w:rPr>
      </w:pPr>
    </w:p>
    <w:p w14:paraId="7CC965CA">
      <w:pPr>
        <w:adjustRightInd w:val="0"/>
        <w:snapToGrid w:val="0"/>
        <w:spacing w:line="360" w:lineRule="auto"/>
        <w:outlineLvl w:val="2"/>
        <w:rPr>
          <w:rFonts w:ascii="仿宋" w:hAnsi="仿宋" w:eastAsia="仿宋" w:cs="仿宋"/>
          <w:b/>
          <w:snapToGrid w:val="0"/>
          <w:color w:val="auto"/>
          <w:kern w:val="0"/>
          <w:sz w:val="24"/>
          <w:highlight w:val="none"/>
        </w:rPr>
      </w:pPr>
      <w:bookmarkStart w:id="154" w:name="_Toc504465901"/>
      <w:bookmarkStart w:id="155" w:name="_Toc2784880"/>
      <w:bookmarkStart w:id="156" w:name="_Toc28643"/>
      <w:bookmarkStart w:id="157" w:name="_Toc83377268"/>
      <w:bookmarkStart w:id="158" w:name="_Toc502215498"/>
      <w:r>
        <w:rPr>
          <w:rFonts w:hint="eastAsia" w:ascii="仿宋" w:hAnsi="仿宋" w:eastAsia="仿宋" w:cs="仿宋"/>
          <w:b/>
          <w:snapToGrid w:val="0"/>
          <w:color w:val="auto"/>
          <w:kern w:val="0"/>
          <w:sz w:val="24"/>
          <w:highlight w:val="none"/>
          <w:lang w:eastAsia="zh-CN"/>
        </w:rPr>
        <w:t>22.</w:t>
      </w:r>
      <w:r>
        <w:rPr>
          <w:rFonts w:hint="eastAsia" w:ascii="仿宋" w:hAnsi="仿宋" w:eastAsia="仿宋" w:cs="仿宋"/>
          <w:b/>
          <w:snapToGrid w:val="0"/>
          <w:color w:val="auto"/>
          <w:kern w:val="0"/>
          <w:sz w:val="24"/>
          <w:highlight w:val="none"/>
        </w:rPr>
        <w:t>重新检验</w:t>
      </w:r>
      <w:bookmarkEnd w:id="154"/>
      <w:bookmarkEnd w:id="155"/>
      <w:bookmarkEnd w:id="156"/>
      <w:bookmarkEnd w:id="157"/>
      <w:bookmarkEnd w:id="158"/>
    </w:p>
    <w:p w14:paraId="41B429A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无论总监理工程师是否进行验收，当其要求对已经隐蔽的工程重新检验时，承包人应按要求进行剥离或开孔，并</w:t>
      </w:r>
      <w:r>
        <w:rPr>
          <w:rFonts w:hint="eastAsia" w:ascii="仿宋" w:hAnsi="仿宋" w:eastAsia="仿宋" w:cs="仿宋"/>
          <w:snapToGrid w:val="0"/>
          <w:color w:val="auto"/>
          <w:kern w:val="0"/>
          <w:sz w:val="24"/>
          <w:highlight w:val="none"/>
          <w:lang w:eastAsia="zh-CN"/>
        </w:rPr>
        <w:t>要求</w:t>
      </w:r>
      <w:r>
        <w:rPr>
          <w:rFonts w:hint="eastAsia" w:ascii="仿宋" w:hAnsi="仿宋" w:eastAsia="仿宋" w:cs="仿宋"/>
          <w:snapToGrid w:val="0"/>
          <w:color w:val="auto"/>
          <w:kern w:val="0"/>
          <w:sz w:val="24"/>
          <w:highlight w:val="none"/>
        </w:rPr>
        <w:t>检验后重新覆盖或修复。检验合格，发包人承担由此发生的全部追加合同价款，赔偿承包人损失，并相应顺延工期。检验不合格，承包人承担发生的全部费用，工期不予顺延。</w:t>
      </w:r>
    </w:p>
    <w:p w14:paraId="6947EFB4">
      <w:pPr>
        <w:adjustRightInd w:val="0"/>
        <w:snapToGrid w:val="0"/>
        <w:spacing w:line="360" w:lineRule="auto"/>
        <w:rPr>
          <w:rFonts w:ascii="仿宋" w:hAnsi="仿宋" w:eastAsia="仿宋" w:cs="仿宋"/>
          <w:b/>
          <w:snapToGrid w:val="0"/>
          <w:color w:val="auto"/>
          <w:kern w:val="0"/>
          <w:sz w:val="24"/>
          <w:highlight w:val="none"/>
        </w:rPr>
      </w:pPr>
    </w:p>
    <w:p w14:paraId="2B05599B">
      <w:pPr>
        <w:pStyle w:val="13"/>
        <w:adjustRightInd w:val="0"/>
        <w:snapToGrid w:val="0"/>
        <w:spacing w:line="360" w:lineRule="auto"/>
        <w:ind w:left="99" w:leftChars="47"/>
        <w:rPr>
          <w:rFonts w:ascii="仿宋" w:hAnsi="仿宋" w:eastAsia="仿宋" w:cs="仿宋"/>
          <w:b/>
          <w:snapToGrid w:val="0"/>
          <w:color w:val="auto"/>
          <w:sz w:val="28"/>
          <w:szCs w:val="28"/>
          <w:highlight w:val="none"/>
        </w:rPr>
      </w:pPr>
      <w:r>
        <w:rPr>
          <w:rFonts w:hint="eastAsia" w:ascii="仿宋" w:hAnsi="仿宋" w:eastAsia="仿宋" w:cs="仿宋"/>
          <w:b/>
          <w:snapToGrid w:val="0"/>
          <w:color w:val="auto"/>
          <w:sz w:val="28"/>
          <w:szCs w:val="28"/>
          <w:highlight w:val="none"/>
        </w:rPr>
        <w:t>六、安全文明施工</w:t>
      </w:r>
    </w:p>
    <w:p w14:paraId="7F193356">
      <w:pPr>
        <w:adjustRightInd w:val="0"/>
        <w:snapToGrid w:val="0"/>
        <w:spacing w:line="360" w:lineRule="auto"/>
        <w:outlineLvl w:val="2"/>
        <w:rPr>
          <w:rFonts w:ascii="仿宋" w:hAnsi="仿宋" w:eastAsia="仿宋" w:cs="仿宋"/>
          <w:b/>
          <w:snapToGrid w:val="0"/>
          <w:color w:val="auto"/>
          <w:kern w:val="0"/>
          <w:sz w:val="24"/>
          <w:highlight w:val="none"/>
        </w:rPr>
      </w:pPr>
      <w:bookmarkStart w:id="159" w:name="_Toc18784"/>
      <w:bookmarkStart w:id="160" w:name="_Toc2784881"/>
      <w:bookmarkStart w:id="161" w:name="_Toc502215499"/>
      <w:bookmarkStart w:id="162" w:name="_Toc504465902"/>
      <w:bookmarkStart w:id="163" w:name="_Toc83377269"/>
      <w:r>
        <w:rPr>
          <w:rFonts w:hint="eastAsia" w:ascii="仿宋" w:hAnsi="仿宋" w:eastAsia="仿宋" w:cs="仿宋"/>
          <w:b/>
          <w:snapToGrid w:val="0"/>
          <w:color w:val="auto"/>
          <w:kern w:val="0"/>
          <w:sz w:val="24"/>
          <w:highlight w:val="none"/>
          <w:lang w:eastAsia="zh-CN"/>
        </w:rPr>
        <w:t>23.</w:t>
      </w:r>
      <w:r>
        <w:rPr>
          <w:rFonts w:hint="eastAsia" w:ascii="仿宋" w:hAnsi="仿宋" w:eastAsia="仿宋" w:cs="仿宋"/>
          <w:b/>
          <w:snapToGrid w:val="0"/>
          <w:color w:val="auto"/>
          <w:kern w:val="0"/>
          <w:sz w:val="24"/>
          <w:highlight w:val="none"/>
        </w:rPr>
        <w:t>施工场地的占用和管理</w:t>
      </w:r>
      <w:bookmarkEnd w:id="159"/>
      <w:bookmarkEnd w:id="160"/>
      <w:bookmarkEnd w:id="161"/>
      <w:bookmarkEnd w:id="162"/>
      <w:bookmarkEnd w:id="163"/>
    </w:p>
    <w:p w14:paraId="34AFEB8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23.1发包人应当依照合同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4303C7A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23.2</w:t>
      </w:r>
      <w:r>
        <w:rPr>
          <w:rFonts w:hint="eastAsia" w:ascii="仿宋" w:hAnsi="仿宋" w:eastAsia="仿宋" w:cs="仿宋"/>
          <w:snapToGrid w:val="0"/>
          <w:color w:val="auto"/>
          <w:kern w:val="0"/>
          <w:sz w:val="24"/>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7E06657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23.3承包人必须在工程竣工初验后30天内或发包人规定的时间内（发包人将提前通知承包人），无条件清退所有施工场地。拒不清退的，发包人除向承包人收取租金（租金为每天人民币1元/m</w:t>
      </w:r>
      <w:r>
        <w:rPr>
          <w:rFonts w:hint="eastAsia" w:ascii="仿宋" w:hAnsi="仿宋" w:eastAsia="仿宋" w:cs="仿宋"/>
          <w:snapToGrid w:val="0"/>
          <w:color w:val="auto"/>
          <w:kern w:val="0"/>
          <w:sz w:val="24"/>
          <w:highlight w:val="none"/>
          <w:vertAlign w:val="superscript"/>
        </w:rPr>
        <w:t>2</w:t>
      </w:r>
      <w:r>
        <w:rPr>
          <w:rFonts w:hint="eastAsia" w:ascii="仿宋" w:hAnsi="仿宋" w:eastAsia="仿宋" w:cs="仿宋"/>
          <w:snapToGrid w:val="0"/>
          <w:color w:val="auto"/>
          <w:kern w:val="0"/>
          <w:sz w:val="24"/>
          <w:highlight w:val="none"/>
        </w:rPr>
        <w:t>）外，还有权暂停计价支付、工程结算、工程验收等工作，并由承包人承担由此而产生的一切后果（包括发包人因此而被第三方索赔所产生的损失）。</w:t>
      </w:r>
    </w:p>
    <w:p w14:paraId="2A7EF35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对于临时房屋及设施，发包人认为有必要保留的，承包人在清退场地时应无条件保持完好并移交给发包人使用，相关设施使用费由发、承包双方协商确定。</w:t>
      </w:r>
    </w:p>
    <w:p w14:paraId="6B6741C0">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23.4承包人必须服从政府主管部门的执法检查和处罚，并按照检查结果进行整改。</w:t>
      </w:r>
    </w:p>
    <w:p w14:paraId="689E4AFF">
      <w:pPr>
        <w:adjustRightInd w:val="0"/>
        <w:snapToGrid w:val="0"/>
        <w:spacing w:line="360" w:lineRule="auto"/>
        <w:ind w:right="11" w:firstLine="460" w:firstLineChars="192"/>
        <w:rPr>
          <w:rFonts w:ascii="仿宋" w:hAnsi="仿宋" w:eastAsia="仿宋" w:cs="仿宋"/>
          <w:snapToGrid w:val="0"/>
          <w:color w:val="auto"/>
          <w:kern w:val="0"/>
          <w:sz w:val="24"/>
          <w:highlight w:val="none"/>
        </w:rPr>
      </w:pPr>
    </w:p>
    <w:p w14:paraId="099D0D23">
      <w:pPr>
        <w:adjustRightInd w:val="0"/>
        <w:snapToGrid w:val="0"/>
        <w:spacing w:line="360" w:lineRule="auto"/>
        <w:ind w:right="11"/>
        <w:outlineLvl w:val="2"/>
        <w:rPr>
          <w:rFonts w:ascii="仿宋" w:hAnsi="仿宋" w:eastAsia="仿宋" w:cs="仿宋"/>
          <w:b/>
          <w:snapToGrid w:val="0"/>
          <w:color w:val="auto"/>
          <w:kern w:val="0"/>
          <w:sz w:val="24"/>
          <w:highlight w:val="none"/>
        </w:rPr>
      </w:pPr>
      <w:bookmarkStart w:id="164" w:name="_Toc504465903"/>
      <w:bookmarkStart w:id="165" w:name="_Toc502215500"/>
      <w:bookmarkStart w:id="166" w:name="_Toc83377270"/>
      <w:bookmarkStart w:id="167" w:name="_Toc2784882"/>
      <w:bookmarkStart w:id="168" w:name="_Toc14031"/>
      <w:r>
        <w:rPr>
          <w:rFonts w:hint="eastAsia" w:ascii="仿宋" w:hAnsi="仿宋" w:eastAsia="仿宋" w:cs="仿宋"/>
          <w:b/>
          <w:snapToGrid w:val="0"/>
          <w:color w:val="auto"/>
          <w:kern w:val="0"/>
          <w:sz w:val="24"/>
          <w:highlight w:val="none"/>
          <w:lang w:eastAsia="zh-CN"/>
        </w:rPr>
        <w:t>24.</w:t>
      </w:r>
      <w:r>
        <w:rPr>
          <w:rFonts w:hint="eastAsia" w:ascii="仿宋" w:hAnsi="仿宋" w:eastAsia="仿宋" w:cs="仿宋"/>
          <w:b/>
          <w:snapToGrid w:val="0"/>
          <w:color w:val="auto"/>
          <w:kern w:val="0"/>
          <w:sz w:val="24"/>
          <w:highlight w:val="none"/>
        </w:rPr>
        <w:t>安全施工与检查</w:t>
      </w:r>
      <w:bookmarkEnd w:id="164"/>
      <w:bookmarkEnd w:id="165"/>
      <w:bookmarkEnd w:id="166"/>
      <w:bookmarkEnd w:id="167"/>
      <w:bookmarkEnd w:id="168"/>
    </w:p>
    <w:p w14:paraId="502DF7D9">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24.1</w:t>
      </w:r>
      <w:r>
        <w:rPr>
          <w:rFonts w:hint="eastAsia" w:ascii="仿宋" w:hAnsi="仿宋" w:eastAsia="仿宋" w:cs="仿宋"/>
          <w:snapToGrid w:val="0"/>
          <w:color w:val="auto"/>
          <w:kern w:val="0"/>
          <w:sz w:val="24"/>
          <w:highlight w:val="none"/>
        </w:rPr>
        <w:t>承包人应建立健全建筑施工</w:t>
      </w:r>
      <w:r>
        <w:rPr>
          <w:rFonts w:hint="eastAsia" w:ascii="仿宋" w:hAnsi="仿宋" w:eastAsia="仿宋" w:cs="仿宋"/>
          <w:bCs/>
          <w:snapToGrid w:val="0"/>
          <w:color w:val="auto"/>
          <w:kern w:val="0"/>
          <w:sz w:val="24"/>
          <w:highlight w:val="none"/>
        </w:rPr>
        <w:t>安全生产组织机构和</w:t>
      </w:r>
      <w:r>
        <w:rPr>
          <w:rFonts w:hint="eastAsia" w:ascii="仿宋" w:hAnsi="仿宋" w:eastAsia="仿宋" w:cs="仿宋"/>
          <w:snapToGrid w:val="0"/>
          <w:color w:val="auto"/>
          <w:kern w:val="0"/>
          <w:sz w:val="24"/>
          <w:highlight w:val="none"/>
        </w:rPr>
        <w:t>安全保证体系，</w:t>
      </w:r>
      <w:r>
        <w:rPr>
          <w:rFonts w:hint="eastAsia" w:ascii="仿宋" w:hAnsi="仿宋" w:eastAsia="仿宋" w:cs="仿宋"/>
          <w:bCs/>
          <w:snapToGrid w:val="0"/>
          <w:color w:val="auto"/>
          <w:kern w:val="0"/>
          <w:sz w:val="24"/>
          <w:highlight w:val="none"/>
        </w:rPr>
        <w:t>落实安全生产责任制，</w:t>
      </w:r>
      <w:r>
        <w:rPr>
          <w:rFonts w:hint="eastAsia" w:ascii="仿宋" w:hAnsi="仿宋" w:eastAsia="仿宋" w:cs="仿宋"/>
          <w:snapToGrid w:val="0"/>
          <w:color w:val="auto"/>
          <w:kern w:val="0"/>
          <w:sz w:val="24"/>
          <w:highlight w:val="none"/>
        </w:rPr>
        <w:t>按照工程建设安全生产的有关管理规定，采取相应措施，负责现场全部作业的安全，并对此承担全部责任。</w:t>
      </w:r>
    </w:p>
    <w:p w14:paraId="324E191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24.2</w:t>
      </w:r>
      <w:r>
        <w:rPr>
          <w:rFonts w:hint="eastAsia" w:ascii="仿宋" w:hAnsi="仿宋" w:eastAsia="仿宋" w:cs="仿宋"/>
          <w:snapToGrid w:val="0"/>
          <w:color w:val="auto"/>
          <w:kern w:val="0"/>
          <w:sz w:val="24"/>
          <w:highlight w:val="none"/>
        </w:rPr>
        <w:t>承包人在施工中必须制定定期检查制度，加强对自身及其协调管理范围内各专业单位在安全施工方面的检查、监督管理；若被发现存在严重安全隐患的，应按照合同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5089784A">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24.3</w:t>
      </w:r>
      <w:r>
        <w:rPr>
          <w:rFonts w:hint="eastAsia" w:ascii="仿宋" w:hAnsi="仿宋" w:eastAsia="仿宋" w:cs="仿宋"/>
          <w:color w:val="auto"/>
          <w:sz w:val="24"/>
          <w:szCs w:val="24"/>
          <w:highlight w:val="none"/>
        </w:rPr>
        <w:t>承包人应当对施工现场的安全生产负总责</w:t>
      </w:r>
      <w:r>
        <w:rPr>
          <w:rFonts w:hint="eastAsia" w:ascii="仿宋" w:hAnsi="仿宋" w:eastAsia="仿宋" w:cs="仿宋"/>
          <w:bCs/>
          <w:snapToGrid w:val="0"/>
          <w:color w:val="auto"/>
          <w:kern w:val="0"/>
          <w:sz w:val="24"/>
          <w:highlight w:val="none"/>
        </w:rPr>
        <w:t>，保障所有进入施工场地的人员的安全。因承包人原因所发生的人身伤害、安全事故，由承包人负责。</w:t>
      </w:r>
    </w:p>
    <w:p w14:paraId="362447E0">
      <w:pPr>
        <w:adjustRightInd w:val="0"/>
        <w:snapToGrid w:val="0"/>
        <w:spacing w:line="360" w:lineRule="auto"/>
        <w:ind w:firstLine="480" w:firstLineChars="200"/>
        <w:rPr>
          <w:rFonts w:ascii="仿宋" w:hAnsi="仿宋" w:eastAsia="仿宋" w:cs="仿宋"/>
          <w:bCs/>
          <w:snapToGrid w:val="0"/>
          <w:color w:val="auto"/>
          <w:kern w:val="0"/>
          <w:sz w:val="24"/>
          <w:highlight w:val="none"/>
        </w:rPr>
      </w:pPr>
    </w:p>
    <w:p w14:paraId="2C553383">
      <w:pPr>
        <w:adjustRightInd w:val="0"/>
        <w:snapToGrid w:val="0"/>
        <w:spacing w:line="360" w:lineRule="auto"/>
        <w:outlineLvl w:val="2"/>
        <w:rPr>
          <w:rFonts w:ascii="仿宋" w:hAnsi="仿宋" w:eastAsia="仿宋" w:cs="仿宋"/>
          <w:b/>
          <w:snapToGrid w:val="0"/>
          <w:color w:val="auto"/>
          <w:kern w:val="0"/>
          <w:sz w:val="24"/>
          <w:highlight w:val="none"/>
        </w:rPr>
      </w:pPr>
      <w:bookmarkStart w:id="169" w:name="_Toc504465904"/>
      <w:bookmarkStart w:id="170" w:name="_Toc28415"/>
      <w:bookmarkStart w:id="171" w:name="_Toc2784883"/>
      <w:bookmarkStart w:id="172" w:name="_Toc502215501"/>
      <w:bookmarkStart w:id="173" w:name="_Toc83377271"/>
      <w:r>
        <w:rPr>
          <w:rFonts w:hint="eastAsia" w:ascii="仿宋" w:hAnsi="仿宋" w:eastAsia="仿宋" w:cs="仿宋"/>
          <w:b/>
          <w:snapToGrid w:val="0"/>
          <w:color w:val="auto"/>
          <w:kern w:val="0"/>
          <w:sz w:val="24"/>
          <w:highlight w:val="none"/>
          <w:lang w:eastAsia="zh-CN"/>
        </w:rPr>
        <w:t>25.</w:t>
      </w:r>
      <w:r>
        <w:rPr>
          <w:rFonts w:hint="eastAsia" w:ascii="仿宋" w:hAnsi="仿宋" w:eastAsia="仿宋" w:cs="仿宋"/>
          <w:b/>
          <w:snapToGrid w:val="0"/>
          <w:color w:val="auto"/>
          <w:kern w:val="0"/>
          <w:sz w:val="24"/>
          <w:highlight w:val="none"/>
        </w:rPr>
        <w:t>安全防护</w:t>
      </w:r>
      <w:bookmarkEnd w:id="169"/>
      <w:bookmarkEnd w:id="170"/>
      <w:bookmarkEnd w:id="171"/>
      <w:bookmarkEnd w:id="172"/>
      <w:bookmarkEnd w:id="173"/>
    </w:p>
    <w:p w14:paraId="5C0A509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25.1承包人在动力设备、输电线路、地下管道、密封防震车间、易燃易爆地段以及临街交通要道附近施工时，施工开始前应向总监理工程师提出安全防护措施，经总监理工程师认可后实施。</w:t>
      </w:r>
    </w:p>
    <w:p w14:paraId="6F4D85BF">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25.2实施爆破作业，在放射、毒害性环境中施工（含储存、运输、使用）及使用毒害性、腐蚀性物品施工时，承包人应在施工前14天以书面形式通知总监理工程师，并提出相应的安全防护措施，经总监理工程师认可后实施。</w:t>
      </w:r>
    </w:p>
    <w:p w14:paraId="78306C0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25.3本工程的安全防护及文明施工措施费包括但不限于合同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条款第25.1款、第25.2款所列明的费用，所有安全防护及文明施工措施费已包含在合同价款之</w:t>
      </w:r>
      <w:r>
        <w:rPr>
          <w:rFonts w:hint="eastAsia" w:ascii="仿宋" w:hAnsi="仿宋" w:eastAsia="仿宋" w:cs="仿宋"/>
          <w:snapToGrid w:val="0"/>
          <w:color w:val="auto"/>
          <w:kern w:val="0"/>
          <w:sz w:val="24"/>
          <w:highlight w:val="none"/>
        </w:rPr>
        <w:t>中。</w:t>
      </w:r>
    </w:p>
    <w:p w14:paraId="281A1D9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安全防护和文明施工的实施须满足《建筑施工安全检查标准》（JGJ59-2011）、《广州市建设工程现场文明施工管理办法》（穗建质〔2008〕937号）、《广州市城乡建设委员会关于印发广州市加强建筑工地环保管理工作方案的通知</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穗建质〔2014〕754号</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广州市住房和城乡建设局等9部门关于印发</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广州市建设工程绿色施工围蔽指导（V2.0试行版）</w:t>
      </w:r>
      <w:r>
        <w:rPr>
          <w:rFonts w:hint="eastAsia" w:ascii="仿宋" w:hAnsi="仿宋" w:eastAsia="仿宋" w:cs="仿宋"/>
          <w:snapToGrid w:val="0"/>
          <w:color w:val="auto"/>
          <w:kern w:val="0"/>
          <w:sz w:val="24"/>
          <w:highlight w:val="none"/>
          <w:lang w:eastAsia="zh-CN"/>
        </w:rPr>
        <w:t>〉的通知》</w:t>
      </w:r>
      <w:r>
        <w:rPr>
          <w:rFonts w:hint="eastAsia" w:ascii="仿宋" w:hAnsi="仿宋" w:eastAsia="仿宋" w:cs="仿宋"/>
          <w:snapToGrid w:val="0"/>
          <w:color w:val="auto"/>
          <w:kern w:val="0"/>
          <w:sz w:val="24"/>
          <w:highlight w:val="none"/>
        </w:rPr>
        <w:t>（穗建质〔2020〕1号）、《广州市提升建设工程安全文明施工管理水平的工作指引》（穗建质[2017]815号）和《广州市建筑工程安全生产措施费管理办法》（穗建筑〔2003〕106号）各项规定和招标文件要求等省、市相关规范性文件的规定及发包人制定相关规定，安全文明施工的内容包括但不限于：</w:t>
      </w:r>
    </w:p>
    <w:p w14:paraId="3D19087B">
      <w:pPr>
        <w:autoSpaceDE w:val="0"/>
        <w:autoSpaceDN w:val="0"/>
        <w:adjustRightInd w:val="0"/>
        <w:spacing w:line="360" w:lineRule="auto"/>
        <w:ind w:firstLine="480" w:firstLineChars="200"/>
        <w:jc w:val="left"/>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（1）加强对职业健康安全应急预案、安全技术方案的审查管理工作。</w:t>
      </w:r>
    </w:p>
    <w:p w14:paraId="4F3D1459">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（2）保护所有在现场人员的安全，保护其管辖范围内的现场以及尚未完</w:t>
      </w:r>
      <w:r>
        <w:rPr>
          <w:rFonts w:hint="eastAsia" w:ascii="仿宋" w:hAnsi="仿宋" w:eastAsia="仿宋" w:cs="仿宋"/>
          <w:snapToGrid w:val="0"/>
          <w:color w:val="auto"/>
          <w:kern w:val="0"/>
          <w:sz w:val="24"/>
          <w:highlight w:val="none"/>
        </w:rPr>
        <w:t>工的和发包人尚未占用的工程处于良好的安全状态。</w:t>
      </w:r>
    </w:p>
    <w:p w14:paraId="0DAD794F">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（3）在需要的时间和地点，根据总监理工程师、发包人或者当地政府的要求，提供和维持所有的照明灯光、护板、围墙、栅栏、警告信号标志和值班人员，对工程进行保护和为公众提供安全和方便。</w:t>
      </w:r>
    </w:p>
    <w:p w14:paraId="1E659546">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型冠状病毒肺炎）时，承包人必须遵守并执行省市卫生部门为处理和控制上述传染病而制定的规章、命令和要求，迅速向发包人和工程所在地疾病控制中心报告。疫情所需的防控需增加的口罩、酒精、消毒水、手套、体温检测器、电动喷雾器等物资采购、疫情防控人工</w:t>
      </w:r>
      <w:r>
        <w:rPr>
          <w:rFonts w:hint="eastAsia" w:ascii="仿宋" w:hAnsi="仿宋" w:eastAsia="仿宋" w:cs="仿宋"/>
          <w:snapToGrid w:val="0"/>
          <w:color w:val="auto"/>
          <w:kern w:val="0"/>
          <w:sz w:val="24"/>
          <w:highlight w:val="none"/>
          <w:lang w:eastAsia="zh-CN"/>
        </w:rPr>
        <w:t>，以及</w:t>
      </w:r>
      <w:r>
        <w:rPr>
          <w:rFonts w:hint="eastAsia" w:ascii="仿宋" w:hAnsi="仿宋" w:eastAsia="仿宋" w:cs="仿宋"/>
          <w:snapToGrid w:val="0"/>
          <w:color w:val="auto"/>
          <w:kern w:val="0"/>
          <w:sz w:val="24"/>
          <w:highlight w:val="none"/>
        </w:rPr>
        <w:t>被医学隔离观察的工人工资等费用，由承包人提交发包人签证确认后按实结算。</w:t>
      </w:r>
    </w:p>
    <w:p w14:paraId="7E4DE04A">
      <w:pPr>
        <w:autoSpaceDE w:val="0"/>
        <w:autoSpaceDN w:val="0"/>
        <w:adjustRightInd w:val="0"/>
        <w:spacing w:line="360" w:lineRule="auto"/>
        <w:jc w:val="left"/>
        <w:rPr>
          <w:rFonts w:ascii="仿宋" w:hAnsi="仿宋" w:eastAsia="仿宋" w:cs="仿宋"/>
          <w:snapToGrid w:val="0"/>
          <w:color w:val="auto"/>
          <w:kern w:val="0"/>
          <w:sz w:val="24"/>
          <w:highlight w:val="none"/>
        </w:rPr>
      </w:pPr>
    </w:p>
    <w:p w14:paraId="32A5CE95">
      <w:pPr>
        <w:adjustRightInd w:val="0"/>
        <w:snapToGrid w:val="0"/>
        <w:spacing w:line="360" w:lineRule="auto"/>
        <w:outlineLvl w:val="2"/>
        <w:rPr>
          <w:rFonts w:ascii="仿宋" w:hAnsi="仿宋" w:eastAsia="仿宋" w:cs="仿宋"/>
          <w:b/>
          <w:snapToGrid w:val="0"/>
          <w:color w:val="auto"/>
          <w:kern w:val="0"/>
          <w:sz w:val="24"/>
          <w:highlight w:val="none"/>
        </w:rPr>
      </w:pPr>
      <w:bookmarkStart w:id="174" w:name="_Toc502215502"/>
      <w:bookmarkStart w:id="175" w:name="_Toc14947"/>
      <w:bookmarkStart w:id="176" w:name="_Toc2784884"/>
      <w:bookmarkStart w:id="177" w:name="_Toc504465905"/>
      <w:bookmarkStart w:id="178" w:name="_Toc83377272"/>
      <w:r>
        <w:rPr>
          <w:rFonts w:hint="eastAsia" w:ascii="仿宋" w:hAnsi="仿宋" w:eastAsia="仿宋" w:cs="仿宋"/>
          <w:b/>
          <w:snapToGrid w:val="0"/>
          <w:color w:val="auto"/>
          <w:kern w:val="0"/>
          <w:sz w:val="24"/>
          <w:highlight w:val="none"/>
          <w:lang w:eastAsia="zh-CN"/>
        </w:rPr>
        <w:t>26.</w:t>
      </w:r>
      <w:r>
        <w:rPr>
          <w:rFonts w:hint="eastAsia" w:ascii="仿宋" w:hAnsi="仿宋" w:eastAsia="仿宋" w:cs="仿宋"/>
          <w:b/>
          <w:snapToGrid w:val="0"/>
          <w:color w:val="auto"/>
          <w:kern w:val="0"/>
          <w:sz w:val="24"/>
          <w:highlight w:val="none"/>
        </w:rPr>
        <w:t>事故处理</w:t>
      </w:r>
      <w:bookmarkEnd w:id="174"/>
      <w:bookmarkEnd w:id="175"/>
      <w:bookmarkEnd w:id="176"/>
      <w:bookmarkEnd w:id="177"/>
      <w:bookmarkEnd w:id="178"/>
    </w:p>
    <w:p w14:paraId="7A580E8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26.1发生重大伤亡及其它安全事故，承包人应按《建设工程安全管理条例》的规定立即上报有关部门并通知总监理工程师，同时按政府有关部门要求处理，由事故责任方承担发生的费用。</w:t>
      </w:r>
    </w:p>
    <w:p w14:paraId="12E6EAC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26.2发包人、承包人对事故责任有争议时，应按政府有关部门的认定处理。</w:t>
      </w:r>
    </w:p>
    <w:p w14:paraId="7A56B6F1">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26.3因承包人责任过失造成安全事故的，除按照国家规定由行政主管部门给予承包人处罚外，承包人还应负责赔偿发包人的损失，并按照合同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6D9FB102">
      <w:pPr>
        <w:pStyle w:val="12"/>
        <w:adjustRightInd w:val="0"/>
        <w:snapToGrid w:val="0"/>
        <w:spacing w:line="360" w:lineRule="auto"/>
        <w:ind w:firstLine="48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26.4承包人应保证发包人免于受到或承担应由承包人负责的因承包人现场施工所引起的或与之有关的索赔、诉讼以及</w:t>
      </w:r>
      <w:r>
        <w:rPr>
          <w:rFonts w:hint="eastAsia" w:ascii="仿宋" w:hAnsi="仿宋" w:eastAsia="仿宋" w:cs="仿宋"/>
          <w:snapToGrid w:val="0"/>
          <w:color w:val="auto"/>
          <w:sz w:val="24"/>
          <w:highlight w:val="none"/>
          <w:lang w:eastAsia="zh-CN"/>
        </w:rPr>
        <w:t>其他开支</w:t>
      </w:r>
      <w:r>
        <w:rPr>
          <w:rFonts w:hint="eastAsia" w:ascii="仿宋" w:hAnsi="仿宋" w:eastAsia="仿宋" w:cs="仿宋"/>
          <w:snapToGrid w:val="0"/>
          <w:color w:val="auto"/>
          <w:sz w:val="24"/>
          <w:highlight w:val="none"/>
        </w:rPr>
        <w:t>；若有证据证实发包人因此发生了索赔、诉讼以及</w:t>
      </w:r>
      <w:r>
        <w:rPr>
          <w:rFonts w:hint="eastAsia" w:ascii="仿宋" w:hAnsi="仿宋" w:eastAsia="仿宋" w:cs="仿宋"/>
          <w:snapToGrid w:val="0"/>
          <w:color w:val="auto"/>
          <w:sz w:val="24"/>
          <w:highlight w:val="none"/>
          <w:lang w:eastAsia="zh-CN"/>
        </w:rPr>
        <w:t>其他开支</w:t>
      </w:r>
      <w:r>
        <w:rPr>
          <w:rFonts w:hint="eastAsia" w:ascii="仿宋" w:hAnsi="仿宋" w:eastAsia="仿宋" w:cs="仿宋"/>
          <w:snapToGrid w:val="0"/>
          <w:color w:val="auto"/>
          <w:sz w:val="24"/>
          <w:highlight w:val="none"/>
        </w:rPr>
        <w:t>，承包人必须在接到发包人通知后三天内据实补偿发包人因此所受到的损失或者由发包人在承包人工程款项中予以扣除。</w:t>
      </w:r>
    </w:p>
    <w:p w14:paraId="4F289B69">
      <w:pPr>
        <w:pStyle w:val="12"/>
        <w:adjustRightInd w:val="0"/>
        <w:snapToGrid w:val="0"/>
        <w:spacing w:line="360" w:lineRule="auto"/>
        <w:ind w:firstLine="48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26.5因承包人原因致使建设工程在合理使用期限、设备保证期内造成人身和财产损害的，由承包人承担损害赔偿责任。</w:t>
      </w:r>
    </w:p>
    <w:p w14:paraId="0C6EC3C2">
      <w:pPr>
        <w:pStyle w:val="12"/>
        <w:adjustRightInd w:val="0"/>
        <w:snapToGrid w:val="0"/>
        <w:spacing w:line="360" w:lineRule="auto"/>
        <w:ind w:firstLine="480"/>
        <w:rPr>
          <w:rFonts w:ascii="仿宋" w:hAnsi="仿宋" w:eastAsia="仿宋" w:cs="仿宋"/>
          <w:snapToGrid w:val="0"/>
          <w:color w:val="auto"/>
          <w:sz w:val="24"/>
          <w:highlight w:val="none"/>
        </w:rPr>
      </w:pPr>
    </w:p>
    <w:p w14:paraId="69AAC275">
      <w:pPr>
        <w:adjustRightInd w:val="0"/>
        <w:snapToGrid w:val="0"/>
        <w:spacing w:line="360" w:lineRule="auto"/>
        <w:outlineLvl w:val="2"/>
        <w:rPr>
          <w:rFonts w:ascii="仿宋" w:hAnsi="仿宋" w:eastAsia="仿宋" w:cs="仿宋"/>
          <w:b/>
          <w:snapToGrid w:val="0"/>
          <w:color w:val="auto"/>
          <w:kern w:val="0"/>
          <w:sz w:val="24"/>
          <w:highlight w:val="none"/>
        </w:rPr>
      </w:pPr>
      <w:bookmarkStart w:id="179" w:name="_Toc502215503"/>
      <w:bookmarkStart w:id="180" w:name="_Toc504465906"/>
      <w:bookmarkStart w:id="181" w:name="_Toc23564"/>
      <w:bookmarkStart w:id="182" w:name="_Toc2784885"/>
      <w:bookmarkStart w:id="183" w:name="_Toc83377273"/>
      <w:r>
        <w:rPr>
          <w:rFonts w:hint="eastAsia" w:ascii="仿宋" w:hAnsi="仿宋" w:eastAsia="仿宋" w:cs="仿宋"/>
          <w:b/>
          <w:snapToGrid w:val="0"/>
          <w:color w:val="auto"/>
          <w:kern w:val="0"/>
          <w:sz w:val="24"/>
          <w:highlight w:val="none"/>
          <w:lang w:eastAsia="zh-CN"/>
        </w:rPr>
        <w:t>27.</w:t>
      </w:r>
      <w:r>
        <w:rPr>
          <w:rFonts w:hint="eastAsia" w:ascii="仿宋" w:hAnsi="仿宋" w:eastAsia="仿宋" w:cs="仿宋"/>
          <w:b/>
          <w:snapToGrid w:val="0"/>
          <w:color w:val="auto"/>
          <w:kern w:val="0"/>
          <w:sz w:val="24"/>
          <w:highlight w:val="none"/>
        </w:rPr>
        <w:t>文明施工与环境保护</w:t>
      </w:r>
      <w:bookmarkEnd w:id="179"/>
      <w:bookmarkEnd w:id="180"/>
      <w:bookmarkEnd w:id="181"/>
      <w:bookmarkEnd w:id="182"/>
      <w:bookmarkEnd w:id="183"/>
    </w:p>
    <w:p w14:paraId="4D65C06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27.1承包人应严格落实文明施工措施，否则按合同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58ABC621">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27</w:t>
      </w:r>
      <w:r>
        <w:rPr>
          <w:rFonts w:hint="eastAsia" w:ascii="仿宋" w:hAnsi="仿宋" w:eastAsia="仿宋" w:cs="仿宋"/>
          <w:bCs/>
          <w:snapToGrid w:val="0"/>
          <w:color w:val="auto"/>
          <w:kern w:val="0"/>
          <w:sz w:val="24"/>
          <w:highlight w:val="none"/>
        </w:rPr>
        <w:t>.2</w:t>
      </w:r>
      <w:r>
        <w:rPr>
          <w:rFonts w:hint="eastAsia" w:ascii="仿宋" w:hAnsi="仿宋" w:eastAsia="仿宋" w:cs="仿宋"/>
          <w:snapToGrid w:val="0"/>
          <w:color w:val="auto"/>
          <w:kern w:val="0"/>
          <w:sz w:val="24"/>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060B93A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承包人应在现场布置足量洒水车，消除扬尘，并使总监理工程师和发包人满意。</w:t>
      </w:r>
    </w:p>
    <w:p w14:paraId="3C0B2CE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29852D6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.2款的约定承担相应的违约责任。</w:t>
      </w:r>
    </w:p>
    <w:p w14:paraId="4E98B4A5">
      <w:pPr>
        <w:adjustRightInd w:val="0"/>
        <w:snapToGrid w:val="0"/>
        <w:spacing w:line="360" w:lineRule="auto"/>
        <w:ind w:right="11" w:firstLine="460" w:firstLineChars="192"/>
        <w:rPr>
          <w:rFonts w:ascii="仿宋" w:hAnsi="仿宋" w:eastAsia="仿宋" w:cs="仿宋"/>
          <w:bCs/>
          <w:iCs/>
          <w:snapToGrid w:val="0"/>
          <w:color w:val="auto"/>
          <w:kern w:val="0"/>
          <w:sz w:val="24"/>
          <w:highlight w:val="none"/>
        </w:rPr>
      </w:pPr>
      <w:r>
        <w:rPr>
          <w:rFonts w:hint="eastAsia" w:ascii="仿宋" w:hAnsi="仿宋" w:eastAsia="仿宋" w:cs="仿宋"/>
          <w:snapToGrid w:val="0"/>
          <w:color w:val="auto"/>
          <w:kern w:val="0"/>
          <w:sz w:val="24"/>
          <w:highlight w:val="none"/>
        </w:rPr>
        <w:t>27</w:t>
      </w:r>
      <w:r>
        <w:rPr>
          <w:rFonts w:hint="eastAsia" w:ascii="仿宋" w:hAnsi="仿宋" w:eastAsia="仿宋" w:cs="仿宋"/>
          <w:bCs/>
          <w:snapToGrid w:val="0"/>
          <w:color w:val="auto"/>
          <w:kern w:val="0"/>
          <w:sz w:val="24"/>
          <w:highlight w:val="none"/>
        </w:rPr>
        <w:t>.3</w:t>
      </w:r>
      <w:r>
        <w:rPr>
          <w:rFonts w:hint="eastAsia" w:ascii="仿宋" w:hAnsi="仿宋" w:eastAsia="仿宋" w:cs="仿宋"/>
          <w:bCs/>
          <w:iCs/>
          <w:snapToGrid w:val="0"/>
          <w:color w:val="auto"/>
          <w:kern w:val="0"/>
          <w:sz w:val="24"/>
          <w:highlight w:val="none"/>
        </w:rPr>
        <w:t>承包人承诺：所有施工的安全设施、机具以及围网、护栏、临边防护、施工通道等全部按发包人的要求统一标准、统一标识。安全防护、文明施工的内容按承包人向发包人提交且经总监理工程师批准的详细的施工组织设计实施，但安全防护、文明施工的投标总报价不变。</w:t>
      </w:r>
    </w:p>
    <w:p w14:paraId="5B512706">
      <w:pPr>
        <w:pStyle w:val="12"/>
        <w:adjustRightInd w:val="0"/>
        <w:snapToGrid w:val="0"/>
        <w:spacing w:line="360" w:lineRule="auto"/>
        <w:ind w:firstLine="465"/>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在合同工期内，发包人、总监理工程师对承包人的安全文明施工及环境保护措施进行定期检查，并按招标文件规定的项目和款项执行奖罚。</w:t>
      </w:r>
    </w:p>
    <w:p w14:paraId="18AA4885">
      <w:pPr>
        <w:pStyle w:val="12"/>
        <w:adjustRightInd w:val="0"/>
        <w:snapToGrid w:val="0"/>
        <w:spacing w:line="360" w:lineRule="auto"/>
        <w:ind w:firstLine="465"/>
        <w:rPr>
          <w:rFonts w:ascii="仿宋" w:hAnsi="仿宋" w:eastAsia="仿宋" w:cs="仿宋"/>
          <w:snapToGrid w:val="0"/>
          <w:color w:val="auto"/>
          <w:sz w:val="24"/>
          <w:highlight w:val="none"/>
        </w:rPr>
      </w:pPr>
    </w:p>
    <w:p w14:paraId="72250C1F">
      <w:pPr>
        <w:pStyle w:val="13"/>
        <w:adjustRightInd w:val="0"/>
        <w:snapToGrid w:val="0"/>
        <w:spacing w:line="360" w:lineRule="auto"/>
        <w:ind w:left="0" w:leftChars="0"/>
        <w:outlineLvl w:val="1"/>
        <w:rPr>
          <w:rFonts w:ascii="仿宋" w:hAnsi="仿宋" w:eastAsia="仿宋" w:cs="仿宋"/>
          <w:b/>
          <w:snapToGrid w:val="0"/>
          <w:color w:val="auto"/>
          <w:sz w:val="28"/>
          <w:szCs w:val="28"/>
          <w:highlight w:val="none"/>
        </w:rPr>
      </w:pPr>
      <w:bookmarkStart w:id="184" w:name="_Toc3207"/>
      <w:bookmarkStart w:id="185" w:name="_Toc2784886"/>
      <w:bookmarkStart w:id="186" w:name="_Toc83377274"/>
      <w:r>
        <w:rPr>
          <w:rFonts w:hint="eastAsia" w:ascii="仿宋" w:hAnsi="仿宋" w:eastAsia="仿宋" w:cs="仿宋"/>
          <w:b/>
          <w:snapToGrid w:val="0"/>
          <w:color w:val="auto"/>
          <w:sz w:val="28"/>
          <w:szCs w:val="28"/>
          <w:highlight w:val="none"/>
        </w:rPr>
        <w:t>七、合同价款与支付</w:t>
      </w:r>
      <w:bookmarkEnd w:id="184"/>
      <w:bookmarkEnd w:id="185"/>
      <w:bookmarkEnd w:id="186"/>
    </w:p>
    <w:p w14:paraId="175015BA">
      <w:pPr>
        <w:adjustRightInd w:val="0"/>
        <w:snapToGrid w:val="0"/>
        <w:spacing w:line="360" w:lineRule="auto"/>
        <w:outlineLvl w:val="2"/>
        <w:rPr>
          <w:rFonts w:ascii="仿宋" w:hAnsi="仿宋" w:eastAsia="仿宋" w:cs="仿宋"/>
          <w:b/>
          <w:snapToGrid w:val="0"/>
          <w:color w:val="auto"/>
          <w:kern w:val="0"/>
          <w:sz w:val="24"/>
          <w:highlight w:val="none"/>
        </w:rPr>
      </w:pPr>
      <w:bookmarkStart w:id="187" w:name="_Toc6117"/>
      <w:bookmarkStart w:id="188" w:name="_Toc2784887"/>
      <w:bookmarkStart w:id="189" w:name="_Toc83377275"/>
      <w:r>
        <w:rPr>
          <w:rFonts w:hint="eastAsia" w:ascii="仿宋" w:hAnsi="仿宋" w:eastAsia="仿宋" w:cs="仿宋"/>
          <w:b/>
          <w:snapToGrid w:val="0"/>
          <w:color w:val="auto"/>
          <w:kern w:val="0"/>
          <w:sz w:val="24"/>
          <w:highlight w:val="none"/>
          <w:lang w:eastAsia="zh-CN"/>
        </w:rPr>
        <w:t>28.</w:t>
      </w:r>
      <w:r>
        <w:rPr>
          <w:rFonts w:hint="eastAsia" w:ascii="仿宋" w:hAnsi="仿宋" w:eastAsia="仿宋" w:cs="仿宋"/>
          <w:b/>
          <w:snapToGrid w:val="0"/>
          <w:color w:val="auto"/>
          <w:kern w:val="0"/>
          <w:sz w:val="24"/>
          <w:highlight w:val="none"/>
        </w:rPr>
        <w:t>合同价款</w:t>
      </w:r>
      <w:bookmarkEnd w:id="187"/>
      <w:bookmarkEnd w:id="188"/>
      <w:bookmarkEnd w:id="189"/>
    </w:p>
    <w:p w14:paraId="3ED80B0A">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本合同价见合同协议书第</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条。</w:t>
      </w:r>
    </w:p>
    <w:p w14:paraId="49EC3529">
      <w:pPr>
        <w:pStyle w:val="12"/>
        <w:adjustRightInd w:val="0"/>
        <w:snapToGrid w:val="0"/>
        <w:spacing w:line="360" w:lineRule="auto"/>
        <w:ind w:firstLine="465"/>
        <w:rPr>
          <w:rFonts w:ascii="仿宋" w:hAnsi="仿宋" w:eastAsia="仿宋" w:cs="仿宋"/>
          <w:snapToGrid w:val="0"/>
          <w:color w:val="auto"/>
          <w:sz w:val="24"/>
          <w:szCs w:val="24"/>
          <w:highlight w:val="none"/>
        </w:rPr>
      </w:pPr>
    </w:p>
    <w:p w14:paraId="4520CEBC">
      <w:pPr>
        <w:adjustRightInd w:val="0"/>
        <w:snapToGrid w:val="0"/>
        <w:spacing w:line="360" w:lineRule="auto"/>
        <w:outlineLvl w:val="2"/>
        <w:rPr>
          <w:rFonts w:ascii="仿宋" w:hAnsi="仿宋" w:eastAsia="仿宋" w:cs="仿宋"/>
          <w:b/>
          <w:snapToGrid w:val="0"/>
          <w:color w:val="auto"/>
          <w:kern w:val="0"/>
          <w:sz w:val="24"/>
          <w:highlight w:val="none"/>
        </w:rPr>
      </w:pPr>
      <w:bookmarkStart w:id="190" w:name="_Toc83377276"/>
      <w:bookmarkStart w:id="191" w:name="_Toc2784888"/>
      <w:bookmarkStart w:id="192" w:name="_Toc18379"/>
      <w:r>
        <w:rPr>
          <w:rFonts w:hint="eastAsia" w:ascii="仿宋" w:hAnsi="仿宋" w:eastAsia="仿宋" w:cs="仿宋"/>
          <w:b/>
          <w:color w:val="auto"/>
          <w:sz w:val="24"/>
          <w:highlight w:val="none"/>
          <w:lang w:eastAsia="zh-CN"/>
        </w:rPr>
        <w:t>29.</w:t>
      </w:r>
      <w:r>
        <w:rPr>
          <w:rFonts w:hint="eastAsia" w:ascii="仿宋" w:hAnsi="仿宋" w:eastAsia="仿宋" w:cs="仿宋"/>
          <w:b/>
          <w:snapToGrid w:val="0"/>
          <w:color w:val="auto"/>
          <w:kern w:val="0"/>
          <w:sz w:val="24"/>
          <w:highlight w:val="none"/>
        </w:rPr>
        <w:t>预付款</w:t>
      </w:r>
      <w:bookmarkEnd w:id="190"/>
      <w:bookmarkEnd w:id="191"/>
      <w:bookmarkEnd w:id="192"/>
    </w:p>
    <w:p w14:paraId="258C26A7">
      <w:pPr>
        <w:pStyle w:val="12"/>
        <w:adjustRightInd w:val="0"/>
        <w:snapToGrid w:val="0"/>
        <w:spacing w:line="360" w:lineRule="auto"/>
        <w:ind w:firstLine="465"/>
        <w:rPr>
          <w:rFonts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29.1设计费预付款</w:t>
      </w:r>
    </w:p>
    <w:p w14:paraId="272B3713">
      <w:pPr>
        <w:pStyle w:val="12"/>
        <w:adjustRightInd w:val="0"/>
        <w:snapToGrid w:val="0"/>
        <w:spacing w:line="360" w:lineRule="auto"/>
        <w:ind w:firstLine="465"/>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sz w:val="24"/>
          <w:szCs w:val="24"/>
          <w:highlight w:val="none"/>
        </w:rPr>
        <w:t>双方合同签订后，发包人按合同中设计费总额的</w:t>
      </w:r>
      <w:r>
        <w:rPr>
          <w:rFonts w:hint="eastAsia" w:ascii="仿宋" w:hAnsi="仿宋" w:eastAsia="仿宋" w:cs="仿宋"/>
          <w:snapToGrid w:val="0"/>
          <w:color w:val="auto"/>
          <w:sz w:val="24"/>
          <w:szCs w:val="24"/>
          <w:highlight w:val="none"/>
          <w:lang w:eastAsia="zh-CN"/>
        </w:rPr>
        <w:t>2</w:t>
      </w:r>
      <w:r>
        <w:rPr>
          <w:rFonts w:hint="eastAsia" w:ascii="仿宋" w:hAnsi="仿宋" w:eastAsia="仿宋" w:cs="仿宋"/>
          <w:snapToGrid w:val="0"/>
          <w:color w:val="auto"/>
          <w:sz w:val="24"/>
          <w:szCs w:val="24"/>
          <w:highlight w:val="none"/>
          <w:lang w:val="en-US" w:eastAsia="zh-CN"/>
        </w:rPr>
        <w:t>0</w:t>
      </w:r>
      <w:r>
        <w:rPr>
          <w:rFonts w:hint="eastAsia" w:ascii="仿宋" w:hAnsi="仿宋" w:eastAsia="仿宋" w:cs="仿宋"/>
          <w:snapToGrid w:val="0"/>
          <w:color w:val="auto"/>
          <w:sz w:val="24"/>
          <w:szCs w:val="24"/>
          <w:highlight w:val="none"/>
        </w:rPr>
        <w:t>%向承包人（设计单位）支付预付款。即</w:t>
      </w:r>
      <w:r>
        <w:rPr>
          <w:rFonts w:hint="eastAsia" w:ascii="仿宋" w:hAnsi="仿宋" w:eastAsia="仿宋" w:cs="仿宋"/>
          <w:snapToGrid w:val="0"/>
          <w:color w:val="auto"/>
          <w:sz w:val="24"/>
          <w:szCs w:val="24"/>
          <w:highlight w:val="none"/>
          <w:u w:val="none"/>
        </w:rPr>
        <w:t xml:space="preserve"> </w:t>
      </w:r>
      <w:r>
        <w:rPr>
          <w:rFonts w:hint="eastAsia" w:ascii="仿宋" w:hAnsi="仿宋" w:eastAsia="仿宋" w:cs="仿宋"/>
          <w:bCs/>
          <w:snapToGrid w:val="0"/>
          <w:color w:val="auto"/>
          <w:kern w:val="0"/>
          <w:sz w:val="24"/>
          <w:highlight w:val="none"/>
        </w:rPr>
        <w:t>¥</w:t>
      </w:r>
      <w:r>
        <w:rPr>
          <w:rFonts w:hint="eastAsia" w:ascii="仿宋" w:hAnsi="仿宋" w:eastAsia="仿宋" w:cs="仿宋"/>
          <w:snapToGrid w:val="0"/>
          <w:color w:val="auto"/>
          <w:sz w:val="24"/>
          <w:szCs w:val="24"/>
          <w:highlight w:val="none"/>
          <w:u w:val="none"/>
          <w:lang w:val="en-US" w:eastAsia="zh-CN"/>
        </w:rPr>
        <w:t xml:space="preserve">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元。</w:t>
      </w:r>
    </w:p>
    <w:p w14:paraId="3B8013DB">
      <w:pPr>
        <w:adjustRightInd w:val="0"/>
        <w:snapToGrid w:val="0"/>
        <w:spacing w:line="360" w:lineRule="auto"/>
        <w:ind w:right="11" w:firstLine="460" w:firstLineChars="192"/>
        <w:rPr>
          <w:rFonts w:ascii="仿宋" w:hAnsi="仿宋" w:eastAsia="仿宋" w:cs="仿宋"/>
          <w:snapToGrid w:val="0"/>
          <w:color w:val="auto"/>
          <w:kern w:val="0"/>
          <w:sz w:val="24"/>
          <w:szCs w:val="24"/>
          <w:highlight w:val="none"/>
        </w:rPr>
      </w:pPr>
      <w:r>
        <w:rPr>
          <w:rFonts w:hint="eastAsia" w:ascii="仿宋" w:hAnsi="仿宋" w:eastAsia="仿宋" w:cs="仿宋"/>
          <w:color w:val="auto"/>
          <w:kern w:val="0"/>
          <w:sz w:val="24"/>
          <w:highlight w:val="none"/>
        </w:rPr>
        <w:t>29.2</w:t>
      </w:r>
      <w:r>
        <w:rPr>
          <w:rFonts w:hint="eastAsia" w:ascii="仿宋" w:hAnsi="仿宋" w:eastAsia="仿宋" w:cs="仿宋"/>
          <w:snapToGrid w:val="0"/>
          <w:color w:val="auto"/>
          <w:kern w:val="0"/>
          <w:sz w:val="24"/>
          <w:szCs w:val="24"/>
          <w:highlight w:val="none"/>
        </w:rPr>
        <w:t>施工费预付款</w:t>
      </w:r>
    </w:p>
    <w:p w14:paraId="7DC19594">
      <w:pPr>
        <w:pStyle w:val="12"/>
        <w:adjustRightInd w:val="0"/>
        <w:snapToGrid w:val="0"/>
        <w:spacing w:line="360" w:lineRule="auto"/>
        <w:ind w:firstLine="480" w:firstLineChars="200"/>
        <w:rPr>
          <w:rFonts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双方合同签订后，由承包人提交工程预付款申请书，发包人收到申请书后30天内向承包人（施工单位）支付施工合同价</w:t>
      </w:r>
      <w:r>
        <w:rPr>
          <w:rFonts w:hint="eastAsia" w:ascii="仿宋" w:hAnsi="仿宋" w:eastAsia="仿宋" w:cs="仿宋"/>
          <w:snapToGrid w:val="0"/>
          <w:color w:val="auto"/>
          <w:kern w:val="0"/>
          <w:sz w:val="24"/>
          <w:szCs w:val="24"/>
          <w:highlight w:val="none"/>
          <w:lang w:eastAsia="zh-CN"/>
        </w:rPr>
        <w:t>（扣除安全</w:t>
      </w:r>
      <w:r>
        <w:rPr>
          <w:rFonts w:hint="eastAsia" w:ascii="仿宋" w:hAnsi="仿宋" w:eastAsia="仿宋" w:cs="仿宋"/>
          <w:snapToGrid w:val="0"/>
          <w:color w:val="auto"/>
          <w:kern w:val="0"/>
          <w:sz w:val="24"/>
          <w:szCs w:val="24"/>
          <w:highlight w:val="none"/>
          <w:lang w:val="en-US" w:eastAsia="zh-CN"/>
        </w:rPr>
        <w:t>生产</w:t>
      </w:r>
      <w:r>
        <w:rPr>
          <w:rFonts w:hint="eastAsia" w:ascii="仿宋" w:hAnsi="仿宋" w:eastAsia="仿宋" w:cs="仿宋"/>
          <w:snapToGrid w:val="0"/>
          <w:color w:val="auto"/>
          <w:kern w:val="0"/>
          <w:sz w:val="24"/>
          <w:szCs w:val="24"/>
          <w:highlight w:val="none"/>
          <w:lang w:eastAsia="zh-CN"/>
        </w:rPr>
        <w:t>措施费）</w:t>
      </w:r>
      <w:r>
        <w:rPr>
          <w:rFonts w:hint="eastAsia" w:ascii="仿宋" w:hAnsi="仿宋" w:eastAsia="仿宋" w:cs="仿宋"/>
          <w:snapToGrid w:val="0"/>
          <w:color w:val="auto"/>
          <w:sz w:val="24"/>
          <w:szCs w:val="24"/>
          <w:highlight w:val="none"/>
        </w:rPr>
        <w:t>的20%即</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bCs/>
          <w:snapToGrid w:val="0"/>
          <w:color w:val="auto"/>
          <w:kern w:val="0"/>
          <w:sz w:val="24"/>
          <w:highlight w:val="none"/>
          <w:u w:val="single"/>
        </w:rPr>
        <w:t>¥</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元作为施工费预付款。</w:t>
      </w:r>
    </w:p>
    <w:p w14:paraId="379E4A76">
      <w:pPr>
        <w:pStyle w:val="12"/>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承包人须在申请第一笔工程进度款前完成预付款的申领手续，否则视为放弃。经监理人及发包人书面确认后14个工作日内凭合法单据支付预付款，支付预付款为合同价中建筑安装工程费（扣除</w:t>
      </w:r>
      <w:bookmarkStart w:id="319" w:name="_GoBack"/>
      <w:r>
        <w:rPr>
          <w:rFonts w:hint="eastAsia" w:ascii="仿宋" w:hAnsi="仿宋" w:eastAsia="仿宋" w:cs="仿宋"/>
          <w:snapToGrid w:val="0"/>
          <w:color w:val="auto"/>
          <w:kern w:val="0"/>
          <w:sz w:val="24"/>
          <w:szCs w:val="24"/>
          <w:highlight w:val="none"/>
          <w:lang w:eastAsia="zh-CN"/>
        </w:rPr>
        <w:t>安全</w:t>
      </w:r>
      <w:r>
        <w:rPr>
          <w:rFonts w:hint="eastAsia" w:ascii="仿宋" w:hAnsi="仿宋" w:eastAsia="仿宋" w:cs="仿宋"/>
          <w:snapToGrid w:val="0"/>
          <w:color w:val="auto"/>
          <w:kern w:val="0"/>
          <w:sz w:val="24"/>
          <w:szCs w:val="24"/>
          <w:highlight w:val="none"/>
          <w:lang w:val="en-US" w:eastAsia="zh-CN"/>
        </w:rPr>
        <w:t>生产</w:t>
      </w:r>
      <w:r>
        <w:rPr>
          <w:rFonts w:hint="eastAsia" w:ascii="仿宋" w:hAnsi="仿宋" w:eastAsia="仿宋" w:cs="仿宋"/>
          <w:snapToGrid w:val="0"/>
          <w:color w:val="auto"/>
          <w:kern w:val="0"/>
          <w:sz w:val="24"/>
          <w:szCs w:val="24"/>
          <w:highlight w:val="none"/>
          <w:lang w:eastAsia="zh-CN"/>
        </w:rPr>
        <w:t>措施</w:t>
      </w:r>
      <w:bookmarkEnd w:id="319"/>
      <w:r>
        <w:rPr>
          <w:rFonts w:hint="eastAsia" w:ascii="仿宋" w:hAnsi="仿宋" w:eastAsia="仿宋" w:cs="仿宋"/>
          <w:snapToGrid w:val="0"/>
          <w:color w:val="auto"/>
          <w:kern w:val="0"/>
          <w:sz w:val="24"/>
          <w:szCs w:val="24"/>
          <w:highlight w:val="none"/>
          <w:lang w:eastAsia="zh-CN"/>
        </w:rPr>
        <w:t>费）的</w:t>
      </w: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eastAsia="zh-CN"/>
        </w:rPr>
        <w:t>0%。</w:t>
      </w:r>
    </w:p>
    <w:p w14:paraId="32B730B4">
      <w:pPr>
        <w:pStyle w:val="12"/>
        <w:adjustRightInd w:val="0"/>
        <w:snapToGrid w:val="0"/>
        <w:spacing w:line="360" w:lineRule="auto"/>
        <w:ind w:firstLine="480" w:firstLineChars="200"/>
        <w:rPr>
          <w:rFonts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29.3承包人应将预付款专用于实施本工程所需的施工机械、材料设备及人员费用，并向总监理工程师提交发票或</w:t>
      </w:r>
      <w:r>
        <w:rPr>
          <w:rFonts w:hint="eastAsia" w:ascii="仿宋" w:hAnsi="仿宋" w:eastAsia="仿宋" w:cs="仿宋"/>
          <w:snapToGrid w:val="0"/>
          <w:color w:val="auto"/>
          <w:sz w:val="24"/>
          <w:szCs w:val="24"/>
          <w:highlight w:val="none"/>
          <w:lang w:eastAsia="zh-CN"/>
        </w:rPr>
        <w:t>其他</w:t>
      </w:r>
      <w:r>
        <w:rPr>
          <w:rFonts w:hint="eastAsia" w:ascii="仿宋" w:hAnsi="仿宋" w:eastAsia="仿宋" w:cs="仿宋"/>
          <w:snapToGrid w:val="0"/>
          <w:color w:val="auto"/>
          <w:sz w:val="24"/>
          <w:szCs w:val="24"/>
          <w:highlight w:val="none"/>
        </w:rPr>
        <w:t>证明文件的副本以证明预付款确实专款专用，否则应按合同</w:t>
      </w:r>
      <w:r>
        <w:rPr>
          <w:rFonts w:hint="eastAsia" w:ascii="仿宋" w:hAnsi="仿宋" w:eastAsia="仿宋" w:cs="仿宋"/>
          <w:snapToGrid w:val="0"/>
          <w:color w:val="auto"/>
          <w:sz w:val="24"/>
          <w:szCs w:val="24"/>
          <w:highlight w:val="none"/>
          <w:lang w:val="en-US" w:eastAsia="zh-CN"/>
        </w:rPr>
        <w:t>专用</w:t>
      </w:r>
      <w:r>
        <w:rPr>
          <w:rFonts w:hint="eastAsia" w:ascii="仿宋" w:hAnsi="仿宋" w:eastAsia="仿宋" w:cs="仿宋"/>
          <w:snapToGrid w:val="0"/>
          <w:color w:val="auto"/>
          <w:sz w:val="24"/>
          <w:szCs w:val="24"/>
          <w:highlight w:val="none"/>
        </w:rPr>
        <w:t>条款第4</w:t>
      </w:r>
      <w:r>
        <w:rPr>
          <w:rFonts w:hint="eastAsia" w:ascii="仿宋" w:hAnsi="仿宋" w:eastAsia="仿宋" w:cs="仿宋"/>
          <w:snapToGrid w:val="0"/>
          <w:color w:val="auto"/>
          <w:sz w:val="24"/>
          <w:szCs w:val="24"/>
          <w:highlight w:val="none"/>
          <w:lang w:val="en-US" w:eastAsia="zh-CN"/>
        </w:rPr>
        <w:t>0</w:t>
      </w:r>
      <w:r>
        <w:rPr>
          <w:rFonts w:hint="eastAsia" w:ascii="仿宋" w:hAnsi="仿宋" w:eastAsia="仿宋" w:cs="仿宋"/>
          <w:snapToGrid w:val="0"/>
          <w:color w:val="auto"/>
          <w:sz w:val="24"/>
          <w:szCs w:val="24"/>
          <w:highlight w:val="none"/>
        </w:rPr>
        <w:t>.2款承担违约责任。</w:t>
      </w:r>
    </w:p>
    <w:p w14:paraId="7062BD59">
      <w:pPr>
        <w:adjustRightInd w:val="0"/>
        <w:snapToGrid w:val="0"/>
        <w:spacing w:line="360" w:lineRule="auto"/>
        <w:outlineLvl w:val="2"/>
        <w:rPr>
          <w:rFonts w:ascii="仿宋" w:hAnsi="仿宋" w:eastAsia="仿宋" w:cs="仿宋"/>
          <w:b/>
          <w:snapToGrid w:val="0"/>
          <w:color w:val="auto"/>
          <w:kern w:val="0"/>
          <w:sz w:val="24"/>
          <w:highlight w:val="none"/>
        </w:rPr>
      </w:pPr>
      <w:bookmarkStart w:id="193" w:name="_Toc2784889"/>
      <w:bookmarkStart w:id="194" w:name="_Toc83377277"/>
      <w:bookmarkStart w:id="195" w:name="_Toc2245"/>
      <w:r>
        <w:rPr>
          <w:rFonts w:hint="eastAsia" w:ascii="仿宋" w:hAnsi="仿宋" w:eastAsia="仿宋" w:cs="仿宋"/>
          <w:b/>
          <w:snapToGrid w:val="0"/>
          <w:color w:val="auto"/>
          <w:kern w:val="0"/>
          <w:sz w:val="24"/>
          <w:highlight w:val="none"/>
          <w:lang w:eastAsia="zh-CN"/>
        </w:rPr>
        <w:t>30.</w:t>
      </w:r>
      <w:r>
        <w:rPr>
          <w:rFonts w:hint="eastAsia" w:ascii="仿宋" w:hAnsi="仿宋" w:eastAsia="仿宋" w:cs="仿宋"/>
          <w:b/>
          <w:snapToGrid w:val="0"/>
          <w:color w:val="auto"/>
          <w:kern w:val="0"/>
          <w:sz w:val="24"/>
          <w:highlight w:val="none"/>
        </w:rPr>
        <w:t>工程进度付款</w:t>
      </w:r>
      <w:bookmarkEnd w:id="193"/>
      <w:bookmarkEnd w:id="194"/>
      <w:bookmarkEnd w:id="195"/>
    </w:p>
    <w:p w14:paraId="502AB7F0">
      <w:pPr>
        <w:pStyle w:val="12"/>
        <w:adjustRightInd w:val="0"/>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30.1设计费进度款按如下方式分期支付：</w:t>
      </w:r>
    </w:p>
    <w:p w14:paraId="785157CC">
      <w:pPr>
        <w:pStyle w:val="12"/>
        <w:adjustRightInd w:val="0"/>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（1）设计进度款：承包人（设计单位）提交项目概算</w:t>
      </w:r>
      <w:r>
        <w:rPr>
          <w:rFonts w:hint="eastAsia" w:ascii="仿宋" w:hAnsi="仿宋" w:eastAsia="仿宋" w:cs="仿宋"/>
          <w:color w:val="auto"/>
          <w:sz w:val="24"/>
          <w:szCs w:val="24"/>
          <w:highlight w:val="none"/>
          <w:lang w:val="en-US" w:eastAsia="zh-CN"/>
        </w:rPr>
        <w:t>经第三方造价咨询单位和</w:t>
      </w: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lang w:val="en-US" w:eastAsia="zh-CN"/>
        </w:rPr>
        <w:t>审核确认后，且</w:t>
      </w:r>
      <w:r>
        <w:rPr>
          <w:rFonts w:hint="eastAsia" w:ascii="仿宋" w:hAnsi="仿宋" w:eastAsia="仿宋" w:cs="仿宋"/>
          <w:color w:val="auto"/>
          <w:sz w:val="24"/>
          <w:szCs w:val="24"/>
          <w:highlight w:val="none"/>
        </w:rPr>
        <w:t>施工图通过发包人</w:t>
      </w:r>
      <w:r>
        <w:rPr>
          <w:rFonts w:hint="eastAsia" w:ascii="仿宋" w:hAnsi="仿宋" w:eastAsia="仿宋" w:cs="仿宋"/>
          <w:color w:val="auto"/>
          <w:sz w:val="24"/>
          <w:szCs w:val="24"/>
          <w:highlight w:val="none"/>
          <w:lang w:val="en-US" w:eastAsia="zh-CN"/>
        </w:rPr>
        <w:t>及图审单位审核</w:t>
      </w:r>
      <w:r>
        <w:rPr>
          <w:rFonts w:hint="eastAsia" w:ascii="仿宋" w:hAnsi="仿宋" w:eastAsia="仿宋" w:cs="仿宋"/>
          <w:color w:val="auto"/>
          <w:sz w:val="24"/>
          <w:szCs w:val="24"/>
          <w:highlight w:val="none"/>
        </w:rPr>
        <w:t>确认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，支付至合同中设计费总额的</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%（含已支付</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lang w:val="en-US" w:eastAsia="zh-CN"/>
        </w:rPr>
        <w:t>1设计</w:t>
      </w:r>
      <w:r>
        <w:rPr>
          <w:rFonts w:hint="eastAsia" w:ascii="仿宋" w:hAnsi="仿宋" w:eastAsia="仿宋" w:cs="仿宋"/>
          <w:color w:val="auto"/>
          <w:sz w:val="24"/>
          <w:szCs w:val="24"/>
          <w:highlight w:val="none"/>
        </w:rPr>
        <w:t>费预付款约定费用）。</w:t>
      </w:r>
    </w:p>
    <w:p w14:paraId="391B0EC6">
      <w:pPr>
        <w:pStyle w:val="12"/>
        <w:adjustRightInd w:val="0"/>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（2）设计完工款：承包人（设计单位）完成本合同项下所有工程并通过监理、发包人的竣工验收后15个工作日内，发包人支付至结算价款中设计费总额的100%。</w:t>
      </w:r>
    </w:p>
    <w:p w14:paraId="4CC038CD">
      <w:pPr>
        <w:adjustRightInd w:val="0"/>
        <w:snapToGrid w:val="0"/>
        <w:spacing w:line="360" w:lineRule="auto"/>
        <w:ind w:right="11" w:firstLine="460" w:firstLineChars="19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（3）本合同约定的所有设计费统一由承包人中承担设计任务的联合体成员单位：</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收取。</w:t>
      </w:r>
    </w:p>
    <w:p w14:paraId="7109E9AC">
      <w:pPr>
        <w:adjustRightInd w:val="0"/>
        <w:snapToGrid w:val="0"/>
        <w:spacing w:line="360" w:lineRule="auto"/>
        <w:ind w:right="11" w:firstLine="460" w:firstLineChars="192"/>
        <w:rPr>
          <w:rFonts w:ascii="仿宋" w:hAnsi="仿宋" w:eastAsia="仿宋" w:cs="仿宋"/>
          <w:snapToGrid w:val="0"/>
          <w:color w:val="auto"/>
          <w:kern w:val="0"/>
          <w:sz w:val="24"/>
          <w:szCs w:val="24"/>
          <w:highlight w:val="none"/>
        </w:rPr>
      </w:pPr>
      <w:r>
        <w:rPr>
          <w:rFonts w:hint="eastAsia" w:ascii="仿宋" w:hAnsi="仿宋" w:eastAsia="仿宋" w:cs="仿宋"/>
          <w:color w:val="auto"/>
          <w:kern w:val="0"/>
          <w:sz w:val="24"/>
          <w:highlight w:val="none"/>
        </w:rPr>
        <w:t>30.2</w:t>
      </w:r>
      <w:r>
        <w:rPr>
          <w:rFonts w:hint="eastAsia" w:ascii="仿宋" w:hAnsi="仿宋" w:eastAsia="仿宋" w:cs="仿宋"/>
          <w:snapToGrid w:val="0"/>
          <w:color w:val="auto"/>
          <w:kern w:val="0"/>
          <w:sz w:val="24"/>
          <w:highlight w:val="none"/>
        </w:rPr>
        <w:t>施工费进度款支付原则</w:t>
      </w:r>
    </w:p>
    <w:p w14:paraId="4DFFBACC">
      <w:pPr>
        <w:pStyle w:val="8"/>
        <w:tabs>
          <w:tab w:val="left" w:pos="630"/>
        </w:tabs>
        <w:spacing w:line="360" w:lineRule="auto"/>
        <w:ind w:firstLine="2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olor w:val="auto"/>
          <w:sz w:val="24"/>
          <w:szCs w:val="24"/>
          <w:highlight w:val="none"/>
          <w:u w:val="single"/>
          <w:lang w:eastAsia="zh-CN"/>
        </w:rPr>
        <w:t>本项目第一期进度款（按月累计）需大于预付款且提供购买安全生产责任保险凭证和意外伤害保险凭证后方可申请。</w:t>
      </w:r>
    </w:p>
    <w:p w14:paraId="4CE5227D">
      <w:pPr>
        <w:pStyle w:val="8"/>
        <w:numPr>
          <w:ilvl w:val="-1"/>
          <w:numId w:val="0"/>
        </w:numPr>
        <w:spacing w:line="360" w:lineRule="auto"/>
        <w:ind w:firstLine="240" w:firstLineChars="100"/>
        <w:rPr>
          <w:rFonts w:hint="eastAsia" w:ascii="仿宋" w:hAnsi="仿宋" w:eastAsia="仿宋"/>
          <w:color w:val="auto"/>
          <w:sz w:val="24"/>
          <w:szCs w:val="24"/>
          <w:highlight w:val="none"/>
          <w:u w:val="single"/>
          <w:lang w:eastAsia="zh-CN"/>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hint="eastAsia" w:ascii="仿宋" w:hAnsi="仿宋" w:eastAsia="仿宋"/>
          <w:color w:val="auto"/>
          <w:sz w:val="24"/>
          <w:szCs w:val="24"/>
          <w:highlight w:val="none"/>
          <w:u w:val="single"/>
          <w:lang w:eastAsia="zh-CN"/>
        </w:rPr>
        <w:t>月进度款按经审核的已标价工程量清单计量，支付申请经审批后15个工作日内支付。月工程进度款=当月完成合格工程量的金额×80％-当月应扣款，且不超过已标价工程量清单造价的80%。进度款累计支付不超过合同价（不含设计费用）的80%。</w:t>
      </w:r>
    </w:p>
    <w:p w14:paraId="054EB9AE">
      <w:pPr>
        <w:pStyle w:val="8"/>
        <w:numPr>
          <w:ilvl w:val="-1"/>
          <w:numId w:val="0"/>
        </w:numPr>
        <w:spacing w:line="360" w:lineRule="auto"/>
        <w:ind w:firstLine="240" w:firstLineChars="100"/>
        <w:rPr>
          <w:rFonts w:hint="eastAsia" w:ascii="仿宋" w:hAnsi="仿宋" w:eastAsia="仿宋"/>
          <w:color w:val="auto"/>
          <w:sz w:val="24"/>
          <w:szCs w:val="24"/>
          <w:highlight w:val="none"/>
          <w:u w:val="singl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olor w:val="auto"/>
          <w:sz w:val="24"/>
          <w:szCs w:val="24"/>
          <w:highlight w:val="none"/>
          <w:u w:val="single"/>
          <w:lang w:eastAsia="zh-CN"/>
        </w:rPr>
        <w:t>按合同约定的计价方式签订补充协议之后，月进度款按签订的补充协议已标价工程量清单计量，月工程进度款=当月已完成合格工程量的金额×80％-当月应扣款。项目整体竣工验收前，进度款累计支付不超过签订的补充协议合同价（不含设计费用</w:t>
      </w:r>
      <w:r>
        <w:rPr>
          <w:rFonts w:hint="eastAsia" w:ascii="仿宋" w:hAnsi="仿宋" w:eastAsia="仿宋"/>
          <w:strike w:val="0"/>
          <w:color w:val="auto"/>
          <w:sz w:val="24"/>
          <w:szCs w:val="24"/>
          <w:highlight w:val="none"/>
          <w:u w:val="single"/>
          <w:lang w:eastAsia="zh-CN"/>
        </w:rPr>
        <w:t>，同时扣除</w:t>
      </w:r>
      <w:r>
        <w:rPr>
          <w:rFonts w:hint="eastAsia" w:ascii="仿宋" w:hAnsi="仿宋" w:eastAsia="仿宋"/>
          <w:color w:val="auto"/>
          <w:sz w:val="24"/>
          <w:szCs w:val="24"/>
          <w:highlight w:val="none"/>
          <w:u w:val="single"/>
          <w:lang w:eastAsia="zh-CN"/>
        </w:rPr>
        <w:t>暂列金额）的80%。</w:t>
      </w:r>
    </w:p>
    <w:p w14:paraId="613561DA">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olor w:val="auto"/>
          <w:sz w:val="24"/>
          <w:szCs w:val="24"/>
          <w:highlight w:val="none"/>
          <w:u w:val="single"/>
          <w:lang w:eastAsia="zh-CN"/>
        </w:rPr>
        <w:t>工程竣工结算经</w:t>
      </w:r>
      <w:r>
        <w:rPr>
          <w:rFonts w:hint="eastAsia" w:ascii="仿宋" w:hAnsi="仿宋" w:eastAsia="仿宋"/>
          <w:color w:val="auto"/>
          <w:sz w:val="24"/>
          <w:szCs w:val="24"/>
          <w:highlight w:val="none"/>
          <w:u w:val="single"/>
          <w:lang w:val="en-US" w:eastAsia="zh-CN"/>
        </w:rPr>
        <w:t>第三方造价咨询单位</w:t>
      </w:r>
      <w:r>
        <w:rPr>
          <w:rFonts w:hint="eastAsia" w:ascii="仿宋" w:hAnsi="仿宋" w:eastAsia="仿宋"/>
          <w:color w:val="auto"/>
          <w:sz w:val="24"/>
          <w:szCs w:val="24"/>
          <w:highlight w:val="none"/>
          <w:u w:val="single"/>
          <w:lang w:eastAsia="zh-CN"/>
        </w:rPr>
        <w:t>出具结算评审报告</w:t>
      </w:r>
      <w:r>
        <w:rPr>
          <w:rFonts w:hint="eastAsia" w:ascii="仿宋" w:hAnsi="仿宋" w:eastAsia="仿宋"/>
          <w:color w:val="auto"/>
          <w:sz w:val="24"/>
          <w:szCs w:val="24"/>
          <w:highlight w:val="none"/>
          <w:u w:val="single"/>
          <w:lang w:val="en-US" w:eastAsia="zh-CN"/>
        </w:rPr>
        <w:t>并经发包人确认</w:t>
      </w:r>
      <w:r>
        <w:rPr>
          <w:rFonts w:hint="eastAsia" w:ascii="仿宋" w:hAnsi="仿宋" w:eastAsia="仿宋"/>
          <w:color w:val="auto"/>
          <w:sz w:val="24"/>
          <w:szCs w:val="24"/>
          <w:highlight w:val="none"/>
          <w:u w:val="single"/>
          <w:lang w:eastAsia="zh-CN"/>
        </w:rPr>
        <w:t>后，支付至工程结算价的97%。</w:t>
      </w:r>
      <w:r>
        <w:rPr>
          <w:rFonts w:hint="eastAsia" w:ascii="仿宋" w:hAnsi="仿宋" w:eastAsia="仿宋" w:cs="仿宋"/>
          <w:color w:val="auto"/>
          <w:kern w:val="0"/>
          <w:sz w:val="24"/>
          <w:szCs w:val="24"/>
          <w:highlight w:val="none"/>
        </w:rPr>
        <w:t>预留结算金额的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作为工程质量保证金。工程质量保证金并按如下约定方式支付：</w:t>
      </w:r>
    </w:p>
    <w:p w14:paraId="424EB157">
      <w:pPr>
        <w:spacing w:line="360" w:lineRule="auto"/>
        <w:ind w:firstLine="480" w:firstLineChars="200"/>
        <w:rPr>
          <w:rFonts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保修期内，由承包人原因造成的缺陷，承包人应负责维修，并承担鉴定及维修费用；如承包人不维修也不承担费用，发包人可按合同约定扣除工程质量保证金，并由承包人承担违约责任；承包人维修并承担相应费用后，不免除承担对工程损失的赔偿责任。</w:t>
      </w:r>
    </w:p>
    <w:p w14:paraId="6706507B">
      <w:pPr>
        <w:spacing w:line="360" w:lineRule="auto"/>
        <w:ind w:firstLine="480" w:firstLineChars="200"/>
        <w:rPr>
          <w:rFonts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highlight w:val="none"/>
          <w:lang w:val="zh-CN"/>
        </w:rPr>
        <w:t>2）</w:t>
      </w:r>
      <w:r>
        <w:rPr>
          <w:rFonts w:hint="eastAsia" w:ascii="仿宋" w:hAnsi="仿宋" w:eastAsia="仿宋" w:cs="仿宋"/>
          <w:snapToGrid w:val="0"/>
          <w:color w:val="auto"/>
          <w:kern w:val="0"/>
          <w:sz w:val="24"/>
          <w:szCs w:val="22"/>
          <w:highlight w:val="none"/>
          <w:lang w:val="zh-CN"/>
        </w:rPr>
        <w:t>工程竣工验收合格后满</w:t>
      </w:r>
      <w:r>
        <w:rPr>
          <w:rFonts w:hint="eastAsia" w:ascii="仿宋" w:hAnsi="仿宋" w:eastAsia="仿宋" w:cs="仿宋"/>
          <w:snapToGrid w:val="0"/>
          <w:color w:val="auto"/>
          <w:kern w:val="0"/>
          <w:sz w:val="24"/>
          <w:szCs w:val="22"/>
          <w:highlight w:val="none"/>
          <w:lang w:val="en-US" w:eastAsia="zh-CN"/>
        </w:rPr>
        <w:t>2</w:t>
      </w:r>
      <w:r>
        <w:rPr>
          <w:rFonts w:ascii="仿宋" w:hAnsi="仿宋" w:eastAsia="仿宋" w:cs="仿宋"/>
          <w:snapToGrid w:val="0"/>
          <w:color w:val="auto"/>
          <w:kern w:val="0"/>
          <w:sz w:val="24"/>
          <w:szCs w:val="22"/>
          <w:highlight w:val="none"/>
          <w:lang w:val="zh-CN"/>
        </w:rPr>
        <w:t>年</w:t>
      </w:r>
      <w:r>
        <w:rPr>
          <w:rFonts w:hint="eastAsia" w:ascii="仿宋" w:hAnsi="仿宋" w:eastAsia="仿宋" w:cs="仿宋"/>
          <w:snapToGrid w:val="0"/>
          <w:color w:val="auto"/>
          <w:kern w:val="0"/>
          <w:sz w:val="24"/>
          <w:szCs w:val="22"/>
          <w:highlight w:val="none"/>
          <w:lang w:val="zh-CN"/>
        </w:rPr>
        <w:t>，且承包人在此</w:t>
      </w:r>
      <w:r>
        <w:rPr>
          <w:rFonts w:hint="eastAsia" w:ascii="仿宋" w:hAnsi="仿宋" w:eastAsia="仿宋" w:cs="仿宋"/>
          <w:snapToGrid w:val="0"/>
          <w:color w:val="auto"/>
          <w:kern w:val="0"/>
          <w:sz w:val="24"/>
          <w:szCs w:val="22"/>
          <w:highlight w:val="none"/>
          <w:lang w:val="en-US" w:eastAsia="zh-CN"/>
        </w:rPr>
        <w:t>2</w:t>
      </w:r>
      <w:r>
        <w:rPr>
          <w:rFonts w:hint="eastAsia" w:ascii="仿宋" w:hAnsi="仿宋" w:eastAsia="仿宋" w:cs="仿宋"/>
          <w:snapToGrid w:val="0"/>
          <w:color w:val="auto"/>
          <w:kern w:val="0"/>
          <w:sz w:val="24"/>
          <w:szCs w:val="22"/>
          <w:highlight w:val="none"/>
          <w:lang w:val="zh-CN"/>
        </w:rPr>
        <w:t>年内未出现违约情形，发包人应在收到承包人的款项申请手续且扣除应扣款项后</w:t>
      </w:r>
      <w:r>
        <w:rPr>
          <w:rFonts w:hint="default" w:ascii="仿宋" w:hAnsi="仿宋" w:eastAsia="仿宋" w:cs="仿宋"/>
          <w:snapToGrid w:val="0"/>
          <w:color w:val="auto"/>
          <w:kern w:val="0"/>
          <w:sz w:val="24"/>
          <w:szCs w:val="22"/>
          <w:highlight w:val="none"/>
          <w:lang w:val="en-US" w:eastAsia="zh-CN"/>
        </w:rPr>
        <w:t>45</w:t>
      </w:r>
      <w:r>
        <w:rPr>
          <w:rFonts w:hint="eastAsia" w:ascii="仿宋" w:hAnsi="仿宋" w:eastAsia="仿宋" w:cs="仿宋"/>
          <w:snapToGrid w:val="0"/>
          <w:color w:val="auto"/>
          <w:kern w:val="0"/>
          <w:sz w:val="24"/>
          <w:szCs w:val="22"/>
          <w:highlight w:val="none"/>
          <w:lang w:val="zh-CN"/>
        </w:rPr>
        <w:t>天内将本合同结算定审金额的3%无息支付给承包人。</w:t>
      </w:r>
    </w:p>
    <w:p w14:paraId="0D14DFD1">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结清工程款尾款不豁免承包人继续按照本合同（含合同附件）约定应承担的保修责任。</w:t>
      </w:r>
    </w:p>
    <w:p w14:paraId="340969DB">
      <w:pPr>
        <w:adjustRightInd w:val="0"/>
        <w:snapToGrid w:val="0"/>
        <w:spacing w:line="360" w:lineRule="auto"/>
        <w:ind w:firstLine="465"/>
        <w:rPr>
          <w:rFonts w:ascii="仿宋" w:hAnsi="仿宋" w:eastAsia="仿宋" w:cs="仿宋"/>
          <w:strike/>
          <w:snapToGrid w:val="0"/>
          <w:color w:val="auto"/>
          <w:kern w:val="0"/>
          <w:sz w:val="24"/>
          <w:szCs w:val="24"/>
          <w:highlight w:val="none"/>
        </w:rPr>
      </w:pPr>
      <w:r>
        <w:rPr>
          <w:rFonts w:hint="eastAsia" w:ascii="仿宋" w:hAnsi="仿宋" w:eastAsia="仿宋" w:cs="仿宋"/>
          <w:color w:val="auto"/>
          <w:kern w:val="0"/>
          <w:sz w:val="24"/>
          <w:szCs w:val="24"/>
          <w:highlight w:val="none"/>
        </w:rPr>
        <w:t>（4）本合同约定的所有施工费统一由承包人中承担施工任务的联合体主办单位：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收取。</w:t>
      </w:r>
    </w:p>
    <w:p w14:paraId="17CA61F2">
      <w:pPr>
        <w:adjustRightInd w:val="0"/>
        <w:snapToGrid w:val="0"/>
        <w:spacing w:line="360" w:lineRule="auto"/>
        <w:ind w:right="11" w:firstLine="460" w:firstLineChars="192"/>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highlight w:val="none"/>
        </w:rPr>
        <w:t>30.3承包人联合体成员方向发包人每次申请支付设计费或施工费或工程建设其他费时，必须经承包人联合体主办方盖章确认同意后方可申请支付，发包人收到经联合体主办方盖章确认的申请付款单经审核后拨付。</w:t>
      </w:r>
    </w:p>
    <w:p w14:paraId="0E1FA708">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30.4在发包人向承包人支付合同价款前，承包人必须向发包人提供由承包人按核定付款金额开具的、与合同内容一致并符合税务机关规定的合法、有效增值税专用发票，由于承包人提供的发票不规范、不合法引起税务问题的，承包人应承担赔偿责任，包括但不限于税款、附加费、滞纳金、罚款及相关损失。承包人不能及时提供符合发包人要求的合法发票，发包人有权顺延直至承包人提供后付款且无需承担任何责任。如给发包人造成严重损失的，致使合同无法继续履行等情况，发包人有权终止合同。</w:t>
      </w:r>
    </w:p>
    <w:p w14:paraId="6DB57552">
      <w:pPr>
        <w:adjustRightInd w:val="0"/>
        <w:snapToGrid w:val="0"/>
        <w:spacing w:line="360" w:lineRule="auto"/>
        <w:ind w:right="11" w:firstLine="460" w:firstLineChars="192"/>
        <w:rPr>
          <w:rFonts w:ascii="仿宋" w:hAnsi="仿宋" w:eastAsia="仿宋" w:cs="仿宋"/>
          <w:snapToGrid w:val="0"/>
          <w:color w:val="auto"/>
          <w:kern w:val="0"/>
          <w:sz w:val="24"/>
          <w:highlight w:val="none"/>
        </w:rPr>
      </w:pPr>
      <w:bookmarkStart w:id="196" w:name="OLE_LINK24"/>
      <w:bookmarkStart w:id="197" w:name="OLE_LINK23"/>
      <w:bookmarkStart w:id="198" w:name="OLE_LINK16"/>
      <w:bookmarkStart w:id="199" w:name="OLE_LINK15"/>
      <w:r>
        <w:rPr>
          <w:rFonts w:hint="eastAsia" w:ascii="仿宋" w:hAnsi="仿宋" w:eastAsia="仿宋" w:cs="仿宋"/>
          <w:snapToGrid w:val="0"/>
          <w:color w:val="auto"/>
          <w:kern w:val="0"/>
          <w:sz w:val="24"/>
          <w:highlight w:val="none"/>
        </w:rPr>
        <w:t>30.5承包人所提供发票的内容必须真实、准确、完整、合法合规，应在发票的备注栏注明项目名称及项目所在地具体地址。</w:t>
      </w:r>
      <w:bookmarkEnd w:id="196"/>
      <w:bookmarkEnd w:id="197"/>
      <w:bookmarkEnd w:id="198"/>
      <w:bookmarkEnd w:id="199"/>
    </w:p>
    <w:p w14:paraId="145B55BE">
      <w:pPr>
        <w:adjustRightInd w:val="0"/>
        <w:snapToGrid w:val="0"/>
        <w:spacing w:line="360" w:lineRule="auto"/>
        <w:ind w:right="11" w:firstLine="460" w:firstLineChars="192"/>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30.6承包人应在发票记载的开具时间之日起15个工作日内（不得跨公历年）送达发包人。若承包人开具的增值税发票信息不正确，应在接到发包人要求后的15日内重新开具正确的增值税发票并</w:t>
      </w:r>
      <w:r>
        <w:rPr>
          <w:rFonts w:hint="eastAsia" w:ascii="仿宋" w:hAnsi="仿宋" w:eastAsia="仿宋" w:cs="仿宋"/>
          <w:snapToGrid w:val="0"/>
          <w:color w:val="auto"/>
          <w:kern w:val="0"/>
          <w:sz w:val="24"/>
          <w:highlight w:val="none"/>
          <w:lang w:eastAsia="zh-CN"/>
        </w:rPr>
        <w:t>送达</w:t>
      </w:r>
      <w:r>
        <w:rPr>
          <w:rFonts w:hint="eastAsia" w:ascii="仿宋" w:hAnsi="仿宋" w:eastAsia="仿宋" w:cs="仿宋"/>
          <w:snapToGrid w:val="0"/>
          <w:color w:val="auto"/>
          <w:kern w:val="0"/>
          <w:sz w:val="24"/>
          <w:highlight w:val="none"/>
        </w:rPr>
        <w:t>发包人</w:t>
      </w:r>
      <w:r>
        <w:rPr>
          <w:rFonts w:hint="eastAsia" w:ascii="仿宋" w:hAnsi="仿宋" w:eastAsia="仿宋" w:cs="仿宋"/>
          <w:snapToGrid w:val="0"/>
          <w:color w:val="auto"/>
          <w:kern w:val="0"/>
          <w:sz w:val="24"/>
          <w:highlight w:val="none"/>
          <w:lang w:eastAsia="zh-CN"/>
        </w:rPr>
        <w:t>，由</w:t>
      </w:r>
      <w:r>
        <w:rPr>
          <w:rFonts w:hint="eastAsia" w:ascii="仿宋" w:hAnsi="仿宋" w:eastAsia="仿宋" w:cs="仿宋"/>
          <w:snapToGrid w:val="0"/>
          <w:color w:val="auto"/>
          <w:kern w:val="0"/>
          <w:sz w:val="24"/>
          <w:highlight w:val="none"/>
        </w:rPr>
        <w:t>承包人自行承担相关费用。发票无论何种原因丢失，承包人应配合发包人按照国家</w:t>
      </w:r>
      <w:r>
        <w:rPr>
          <w:rFonts w:hint="eastAsia" w:ascii="仿宋" w:hAnsi="仿宋" w:eastAsia="仿宋" w:cs="仿宋"/>
          <w:snapToGrid w:val="0"/>
          <w:color w:val="auto"/>
          <w:kern w:val="0"/>
          <w:sz w:val="24"/>
          <w:highlight w:val="none"/>
          <w:lang w:eastAsia="zh-CN"/>
        </w:rPr>
        <w:t>法律法规</w:t>
      </w:r>
      <w:r>
        <w:rPr>
          <w:rFonts w:hint="eastAsia" w:ascii="仿宋" w:hAnsi="仿宋" w:eastAsia="仿宋" w:cs="仿宋"/>
          <w:snapToGrid w:val="0"/>
          <w:color w:val="auto"/>
          <w:kern w:val="0"/>
          <w:sz w:val="24"/>
          <w:highlight w:val="none"/>
        </w:rPr>
        <w:t>、规章、政策等规定重新取得发包人可用作原始会计凭证并受税务机关认可的合法合规的相关凭证。</w:t>
      </w:r>
    </w:p>
    <w:p w14:paraId="3FAF806E">
      <w:pPr>
        <w:adjustRightInd w:val="0"/>
        <w:snapToGrid w:val="0"/>
        <w:spacing w:line="360" w:lineRule="auto"/>
        <w:ind w:right="11" w:firstLine="460" w:firstLineChars="192"/>
        <w:rPr>
          <w:rFonts w:hint="eastAsia" w:ascii="仿宋" w:hAnsi="仿宋" w:eastAsia="仿宋" w:cs="仿宋"/>
          <w:snapToGrid w:val="0"/>
          <w:color w:val="auto"/>
          <w:kern w:val="0"/>
          <w:sz w:val="24"/>
          <w:highlight w:val="none"/>
        </w:rPr>
      </w:pPr>
      <w:bookmarkStart w:id="200" w:name="OLE_LINK32"/>
      <w:bookmarkStart w:id="201" w:name="OLE_LINK9"/>
      <w:bookmarkStart w:id="202" w:name="OLE_LINK10"/>
      <w:bookmarkStart w:id="203" w:name="OLE_LINK33"/>
      <w:r>
        <w:rPr>
          <w:rFonts w:hint="eastAsia" w:ascii="仿宋" w:hAnsi="仿宋" w:eastAsia="仿宋" w:cs="仿宋"/>
          <w:snapToGrid w:val="0"/>
          <w:color w:val="auto"/>
          <w:kern w:val="0"/>
          <w:sz w:val="24"/>
          <w:highlight w:val="none"/>
        </w:rPr>
        <w:t>30.7本合同的罚款、违约金、赔偿均已包含增值税费及其附加，如为承包人收取，则承包人必须开具增值税发票，增值税发票类型要求同前述。承包人向发包人支付的罚款、违约赔偿款等并非原合同约定价款，因此合同总价款不变，承包人向发包人开具的发票金额不受该等罚款违约赔偿安排的影响。</w:t>
      </w:r>
    </w:p>
    <w:p w14:paraId="76DD2A4D">
      <w:pPr>
        <w:adjustRightInd w:val="0"/>
        <w:snapToGrid w:val="0"/>
        <w:spacing w:line="360" w:lineRule="auto"/>
        <w:ind w:right="11" w:firstLine="460" w:firstLineChars="192"/>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xml:space="preserve">30.8 </w:t>
      </w:r>
      <w:r>
        <w:rPr>
          <w:rFonts w:hint="eastAsia" w:ascii="仿宋" w:hAnsi="仿宋" w:eastAsia="仿宋" w:cs="仿宋"/>
          <w:i w:val="0"/>
          <w:iCs w:val="0"/>
          <w:caps w:val="0"/>
          <w:snapToGrid w:val="0"/>
          <w:color w:val="auto"/>
          <w:spacing w:val="0"/>
          <w:kern w:val="0"/>
          <w:sz w:val="24"/>
          <w:szCs w:val="20"/>
          <w:highlight w:val="none"/>
          <w:shd w:val="clear" w:fill="auto"/>
        </w:rPr>
        <w:t>如遇国家税收法律法规或政策调整或地方税收政策改革，双方同意本合同保持不含税价不变，自国家税收法律法规或政策调整或地方税收政策改革之日起，未支付合同款项按最新税率计算并进行相应调整，按改革后新政策执行。</w:t>
      </w:r>
    </w:p>
    <w:bookmarkEnd w:id="200"/>
    <w:bookmarkEnd w:id="201"/>
    <w:bookmarkEnd w:id="202"/>
    <w:bookmarkEnd w:id="203"/>
    <w:p w14:paraId="5524CE50">
      <w:pPr>
        <w:adjustRightInd w:val="0"/>
        <w:snapToGrid w:val="0"/>
        <w:spacing w:line="360" w:lineRule="auto"/>
        <w:ind w:right="11"/>
        <w:rPr>
          <w:rFonts w:ascii="仿宋" w:hAnsi="仿宋" w:eastAsia="仿宋" w:cs="仿宋"/>
          <w:snapToGrid w:val="0"/>
          <w:color w:val="auto"/>
          <w:kern w:val="0"/>
          <w:sz w:val="24"/>
          <w:highlight w:val="none"/>
          <w:u w:val="single"/>
        </w:rPr>
      </w:pPr>
    </w:p>
    <w:p w14:paraId="1370B650">
      <w:pPr>
        <w:adjustRightInd w:val="0"/>
        <w:snapToGrid w:val="0"/>
        <w:spacing w:line="360" w:lineRule="auto"/>
        <w:outlineLvl w:val="2"/>
        <w:rPr>
          <w:rFonts w:ascii="仿宋" w:hAnsi="仿宋" w:eastAsia="仿宋" w:cs="仿宋"/>
          <w:b/>
          <w:snapToGrid w:val="0"/>
          <w:color w:val="auto"/>
          <w:kern w:val="0"/>
          <w:sz w:val="24"/>
          <w:highlight w:val="none"/>
        </w:rPr>
      </w:pPr>
      <w:bookmarkStart w:id="204" w:name="_Toc83377278"/>
      <w:r>
        <w:rPr>
          <w:rFonts w:hint="eastAsia" w:ascii="仿宋" w:hAnsi="仿宋" w:eastAsia="仿宋" w:cs="仿宋"/>
          <w:b/>
          <w:snapToGrid w:val="0"/>
          <w:color w:val="auto"/>
          <w:kern w:val="0"/>
          <w:sz w:val="24"/>
          <w:highlight w:val="none"/>
          <w:lang w:eastAsia="zh-CN"/>
        </w:rPr>
        <w:t>31.</w:t>
      </w:r>
      <w:r>
        <w:rPr>
          <w:rFonts w:hint="eastAsia" w:ascii="仿宋" w:hAnsi="仿宋" w:eastAsia="仿宋" w:cs="仿宋"/>
          <w:b/>
          <w:snapToGrid w:val="0"/>
          <w:color w:val="auto"/>
          <w:kern w:val="0"/>
          <w:sz w:val="24"/>
          <w:highlight w:val="none"/>
        </w:rPr>
        <w:t>合同价款调整</w:t>
      </w:r>
      <w:bookmarkEnd w:id="204"/>
    </w:p>
    <w:p w14:paraId="1CD0AEB6">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31.1工程设计费：</w:t>
      </w:r>
      <w:r>
        <w:rPr>
          <w:rFonts w:hint="eastAsia" w:ascii="仿宋" w:hAnsi="仿宋" w:eastAsia="仿宋" w:cs="仿宋"/>
          <w:snapToGrid w:val="0"/>
          <w:color w:val="auto"/>
          <w:kern w:val="0"/>
          <w:sz w:val="24"/>
          <w:highlight w:val="none"/>
          <w:lang w:val="en-US" w:eastAsia="zh-CN"/>
        </w:rPr>
        <w:t>详见合同协议书第3条</w:t>
      </w:r>
      <w:r>
        <w:rPr>
          <w:rFonts w:hint="eastAsia" w:ascii="仿宋" w:hAnsi="仿宋" w:eastAsia="仿宋" w:cs="仿宋"/>
          <w:snapToGrid w:val="0"/>
          <w:color w:val="auto"/>
          <w:kern w:val="0"/>
          <w:sz w:val="24"/>
          <w:highlight w:val="none"/>
        </w:rPr>
        <w:t>。</w:t>
      </w:r>
    </w:p>
    <w:p w14:paraId="76CEBF15">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31.2施工费（建安工程费）：</w:t>
      </w:r>
      <w:r>
        <w:rPr>
          <w:rFonts w:hint="eastAsia" w:ascii="仿宋" w:hAnsi="仿宋" w:eastAsia="仿宋" w:cs="仿宋"/>
          <w:b w:val="0"/>
          <w:bCs/>
          <w:snapToGrid w:val="0"/>
          <w:color w:val="auto"/>
          <w:kern w:val="0"/>
          <w:sz w:val="24"/>
          <w:szCs w:val="22"/>
          <w:highlight w:val="none"/>
          <w:lang w:val="en-US" w:eastAsia="zh-CN"/>
        </w:rPr>
        <w:t>详见</w:t>
      </w:r>
      <w:r>
        <w:rPr>
          <w:rFonts w:hint="eastAsia" w:ascii="仿宋" w:hAnsi="仿宋" w:eastAsia="仿宋" w:cs="仿宋"/>
          <w:snapToGrid w:val="0"/>
          <w:color w:val="auto"/>
          <w:kern w:val="0"/>
          <w:sz w:val="24"/>
          <w:highlight w:val="none"/>
          <w:lang w:val="en-US" w:eastAsia="zh-CN"/>
        </w:rPr>
        <w:t>合同</w:t>
      </w:r>
      <w:r>
        <w:rPr>
          <w:rFonts w:hint="eastAsia" w:ascii="仿宋" w:hAnsi="仿宋" w:eastAsia="仿宋" w:cs="仿宋"/>
          <w:b w:val="0"/>
          <w:bCs/>
          <w:snapToGrid w:val="0"/>
          <w:color w:val="auto"/>
          <w:kern w:val="0"/>
          <w:sz w:val="24"/>
          <w:szCs w:val="22"/>
          <w:highlight w:val="none"/>
          <w:lang w:val="en-US" w:eastAsia="zh-CN"/>
        </w:rPr>
        <w:t>协议书第</w:t>
      </w:r>
      <w:r>
        <w:rPr>
          <w:rFonts w:hint="eastAsia" w:ascii="仿宋" w:hAnsi="仿宋" w:eastAsia="仿宋" w:cs="仿宋"/>
          <w:b w:val="0"/>
          <w:bCs/>
          <w:snapToGrid w:val="0"/>
          <w:color w:val="auto"/>
          <w:kern w:val="0"/>
          <w:sz w:val="24"/>
          <w:highlight w:val="none"/>
          <w:lang w:val="en-US" w:eastAsia="zh-CN"/>
        </w:rPr>
        <w:t>3条</w:t>
      </w:r>
      <w:r>
        <w:rPr>
          <w:rFonts w:hint="eastAsia" w:ascii="仿宋" w:hAnsi="仿宋" w:eastAsia="仿宋" w:cs="仿宋"/>
          <w:b w:val="0"/>
          <w:bCs/>
          <w:snapToGrid w:val="0"/>
          <w:color w:val="auto"/>
          <w:kern w:val="0"/>
          <w:sz w:val="24"/>
          <w:szCs w:val="22"/>
          <w:highlight w:val="none"/>
        </w:rPr>
        <w:t>。</w:t>
      </w:r>
    </w:p>
    <w:p w14:paraId="794D362A">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31.3对于报价文件范围内图纸已经明确、工程量清单已经包含的工程内容，不出现设计变更时，综合单价不变。在整个合同执行期内，除合同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条款另有约定外综合单价不作调整。分部分项工程结算原则如下：以合同综合单价或经双方确认的变更项目综合单价乘以经双方确认的工程实际施工工作量计算。</w:t>
      </w:r>
    </w:p>
    <w:p w14:paraId="5B4BDA39">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31.4分部分项清单项目的综合单价包含：人工费、材料费（含辅材）、机具费、综合管理费、不可预见费、利润、高层建筑增加费、暗室增加费等子目增加费用、一定范围内的风险费用</w:t>
      </w:r>
      <w:r>
        <w:rPr>
          <w:rFonts w:hint="eastAsia" w:ascii="仿宋" w:hAnsi="仿宋" w:eastAsia="仿宋" w:cs="仿宋"/>
          <w:snapToGrid w:val="0"/>
          <w:color w:val="auto"/>
          <w:kern w:val="0"/>
          <w:sz w:val="24"/>
          <w:highlight w:val="none"/>
          <w:lang w:eastAsia="zh-CN"/>
        </w:rPr>
        <w:t>，以及</w:t>
      </w:r>
      <w:r>
        <w:rPr>
          <w:rFonts w:hint="eastAsia" w:ascii="仿宋" w:hAnsi="仿宋" w:eastAsia="仿宋" w:cs="仿宋"/>
          <w:snapToGrid w:val="0"/>
          <w:color w:val="auto"/>
          <w:kern w:val="0"/>
          <w:sz w:val="24"/>
          <w:highlight w:val="none"/>
        </w:rPr>
        <w:t>完成该项目的所有施工工序的一切费用。</w:t>
      </w:r>
    </w:p>
    <w:p w14:paraId="17B9B9EC">
      <w:pPr>
        <w:adjustRightInd w:val="0"/>
        <w:snapToGrid w:val="0"/>
        <w:spacing w:line="360" w:lineRule="auto"/>
        <w:ind w:right="11" w:firstLine="460" w:firstLineChars="192"/>
        <w:rPr>
          <w:rFonts w:ascii="仿宋" w:hAnsi="仿宋" w:eastAsia="仿宋" w:cs="仿宋"/>
          <w:snapToGrid w:val="0"/>
          <w:color w:val="auto"/>
          <w:kern w:val="0"/>
          <w:sz w:val="24"/>
          <w:highlight w:val="none"/>
        </w:rPr>
      </w:pPr>
    </w:p>
    <w:p w14:paraId="0C66D833">
      <w:pPr>
        <w:adjustRightInd w:val="0"/>
        <w:snapToGrid w:val="0"/>
        <w:spacing w:line="360" w:lineRule="auto"/>
        <w:outlineLvl w:val="2"/>
        <w:rPr>
          <w:rFonts w:ascii="仿宋" w:hAnsi="仿宋" w:eastAsia="仿宋" w:cs="仿宋"/>
          <w:b/>
          <w:snapToGrid w:val="0"/>
          <w:color w:val="auto"/>
          <w:kern w:val="0"/>
          <w:sz w:val="24"/>
          <w:highlight w:val="none"/>
        </w:rPr>
      </w:pPr>
      <w:bookmarkStart w:id="205" w:name="_Toc2784890"/>
      <w:bookmarkStart w:id="206" w:name="_Toc16327"/>
      <w:bookmarkStart w:id="207" w:name="_Toc83377279"/>
      <w:r>
        <w:rPr>
          <w:rFonts w:hint="eastAsia" w:ascii="仿宋" w:hAnsi="仿宋" w:eastAsia="仿宋" w:cs="仿宋"/>
          <w:b/>
          <w:snapToGrid w:val="0"/>
          <w:color w:val="auto"/>
          <w:kern w:val="0"/>
          <w:sz w:val="24"/>
          <w:highlight w:val="none"/>
          <w:lang w:eastAsia="zh-CN"/>
        </w:rPr>
        <w:t>32.</w:t>
      </w:r>
      <w:r>
        <w:rPr>
          <w:rFonts w:hint="eastAsia" w:ascii="仿宋" w:hAnsi="仿宋" w:eastAsia="仿宋" w:cs="仿宋"/>
          <w:b/>
          <w:snapToGrid w:val="0"/>
          <w:color w:val="auto"/>
          <w:kern w:val="0"/>
          <w:sz w:val="24"/>
          <w:highlight w:val="none"/>
        </w:rPr>
        <w:t>工程量的确认</w:t>
      </w:r>
      <w:bookmarkEnd w:id="205"/>
      <w:bookmarkEnd w:id="206"/>
      <w:bookmarkEnd w:id="207"/>
    </w:p>
    <w:p w14:paraId="1C8C85BE">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32.1承包人每次申请工程进度款时应提交已完工程进度款申请报表。</w:t>
      </w:r>
    </w:p>
    <w:p w14:paraId="3977797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32.2总监理工程师收到承包人报告后7天内未进行计量，从第8天起，承包人报告中开列的工程量即视为被确认，作为工程价款支付的依据。总监理工程师不按约定时间通知承包人，致使承包人未能参加计量，计量结果无效。</w:t>
      </w:r>
    </w:p>
    <w:p w14:paraId="71F55C22">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32.3不予计量的情况：</w:t>
      </w:r>
    </w:p>
    <w:p w14:paraId="259F3D3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（1）隐蔽工程无验收记录表的；</w:t>
      </w:r>
    </w:p>
    <w:p w14:paraId="5070485A">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（2）施工图之外的工作量（签证项目除外）；</w:t>
      </w:r>
    </w:p>
    <w:p w14:paraId="6E2025F5">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（3）未经发包人批准的分包单位施工的工程；</w:t>
      </w:r>
    </w:p>
    <w:p w14:paraId="3FF15D65">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（4）不符合合同约定或设计要求的工程。</w:t>
      </w:r>
    </w:p>
    <w:p w14:paraId="64BF9035">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32.4除另有特别说明外，总监理工程师应根据合同的约定和批准的施工图纸、设计变更图纸通过计量来核实并确认已</w:t>
      </w:r>
      <w:r>
        <w:rPr>
          <w:rFonts w:hint="eastAsia" w:ascii="仿宋" w:hAnsi="仿宋" w:eastAsia="仿宋" w:cs="仿宋"/>
          <w:snapToGrid w:val="0"/>
          <w:color w:val="auto"/>
          <w:kern w:val="0"/>
          <w:sz w:val="24"/>
          <w:highlight w:val="none"/>
          <w:lang w:eastAsia="zh-CN"/>
        </w:rPr>
        <w:t>完成</w:t>
      </w:r>
      <w:r>
        <w:rPr>
          <w:rFonts w:hint="eastAsia" w:ascii="仿宋" w:hAnsi="仿宋" w:eastAsia="仿宋" w:cs="仿宋"/>
          <w:snapToGrid w:val="0"/>
          <w:color w:val="auto"/>
          <w:kern w:val="0"/>
          <w:sz w:val="24"/>
          <w:highlight w:val="none"/>
        </w:rPr>
        <w:t>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4BF82041">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32.5工程的计量应以合同约定为准，双方另有约定的除外。</w:t>
      </w:r>
    </w:p>
    <w:p w14:paraId="27E0249F">
      <w:pPr>
        <w:pStyle w:val="13"/>
        <w:adjustRightInd w:val="0"/>
        <w:snapToGrid w:val="0"/>
        <w:spacing w:line="360" w:lineRule="auto"/>
        <w:ind w:left="99" w:leftChars="47"/>
        <w:rPr>
          <w:rFonts w:ascii="仿宋" w:hAnsi="仿宋" w:eastAsia="仿宋" w:cs="仿宋"/>
          <w:b/>
          <w:snapToGrid w:val="0"/>
          <w:color w:val="auto"/>
          <w:sz w:val="28"/>
          <w:szCs w:val="28"/>
          <w:highlight w:val="none"/>
        </w:rPr>
      </w:pPr>
    </w:p>
    <w:p w14:paraId="0D0EA569">
      <w:pPr>
        <w:pStyle w:val="13"/>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208" w:name="_Toc10525"/>
      <w:bookmarkStart w:id="209" w:name="_Toc2784891"/>
      <w:bookmarkStart w:id="210" w:name="_Toc83377280"/>
      <w:r>
        <w:rPr>
          <w:rFonts w:hint="eastAsia" w:ascii="仿宋" w:hAnsi="仿宋" w:eastAsia="仿宋" w:cs="仿宋"/>
          <w:b/>
          <w:snapToGrid w:val="0"/>
          <w:color w:val="auto"/>
          <w:sz w:val="28"/>
          <w:szCs w:val="28"/>
          <w:highlight w:val="none"/>
        </w:rPr>
        <w:t>八、材料设备供应</w:t>
      </w:r>
      <w:bookmarkEnd w:id="208"/>
      <w:bookmarkEnd w:id="209"/>
      <w:bookmarkEnd w:id="210"/>
    </w:p>
    <w:p w14:paraId="67840200">
      <w:pPr>
        <w:adjustRightInd w:val="0"/>
        <w:snapToGrid w:val="0"/>
        <w:spacing w:line="360" w:lineRule="auto"/>
        <w:outlineLvl w:val="2"/>
        <w:rPr>
          <w:rFonts w:ascii="仿宋" w:hAnsi="仿宋" w:eastAsia="仿宋" w:cs="仿宋"/>
          <w:b/>
          <w:snapToGrid w:val="0"/>
          <w:color w:val="auto"/>
          <w:kern w:val="0"/>
          <w:sz w:val="24"/>
          <w:highlight w:val="none"/>
        </w:rPr>
      </w:pPr>
      <w:bookmarkStart w:id="211" w:name="_Toc3449"/>
      <w:bookmarkStart w:id="212" w:name="_Toc83377281"/>
      <w:bookmarkStart w:id="213" w:name="_Toc2784892"/>
      <w:r>
        <w:rPr>
          <w:rFonts w:hint="eastAsia" w:ascii="仿宋" w:hAnsi="仿宋" w:eastAsia="仿宋" w:cs="仿宋"/>
          <w:b/>
          <w:snapToGrid w:val="0"/>
          <w:color w:val="auto"/>
          <w:kern w:val="0"/>
          <w:sz w:val="24"/>
          <w:highlight w:val="none"/>
          <w:lang w:eastAsia="zh-CN"/>
        </w:rPr>
        <w:t>33.</w:t>
      </w:r>
      <w:r>
        <w:rPr>
          <w:rFonts w:hint="eastAsia" w:ascii="仿宋" w:hAnsi="仿宋" w:eastAsia="仿宋" w:cs="仿宋"/>
          <w:b/>
          <w:snapToGrid w:val="0"/>
          <w:color w:val="auto"/>
          <w:kern w:val="0"/>
          <w:sz w:val="24"/>
          <w:highlight w:val="none"/>
        </w:rPr>
        <w:t>承包人采购材料设备（本项目材料设备均由承包人负责供应）</w:t>
      </w:r>
      <w:bookmarkEnd w:id="211"/>
      <w:bookmarkEnd w:id="212"/>
      <w:bookmarkEnd w:id="213"/>
    </w:p>
    <w:p w14:paraId="420D2D39">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33.1承包人负责采购材料设备的，应按照合同条款约定及设计和有关标准要求采购，所有</w:t>
      </w:r>
      <w:r>
        <w:rPr>
          <w:rFonts w:hint="eastAsia" w:ascii="仿宋" w:hAnsi="仿宋" w:eastAsia="仿宋" w:cs="仿宋"/>
          <w:snapToGrid w:val="0"/>
          <w:color w:val="auto"/>
          <w:kern w:val="0"/>
          <w:sz w:val="24"/>
          <w:highlight w:val="none"/>
          <w:lang w:eastAsia="zh-CN"/>
        </w:rPr>
        <w:t>材料</w:t>
      </w:r>
      <w:r>
        <w:rPr>
          <w:rFonts w:hint="eastAsia" w:ascii="仿宋" w:hAnsi="仿宋" w:eastAsia="仿宋" w:cs="仿宋"/>
          <w:snapToGrid w:val="0"/>
          <w:color w:val="auto"/>
          <w:kern w:val="0"/>
          <w:sz w:val="24"/>
          <w:highlight w:val="none"/>
        </w:rPr>
        <w:t>设备必须报发包人批准后方可供货，其中主材（含主要材料及工程设备）应由承包人选定三家或以上厂家和品牌并提供样板等资料。并提供产品合格证明，报发包人最终选择确定。承包人对材料设备质量负责。承包人在材料设备到货前24小时通知总监理工程师清点。</w:t>
      </w:r>
    </w:p>
    <w:p w14:paraId="5A17C6AD">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33.2承包人采购的材料设备与设计或标准要求不符时，承包人应按总监理工程师要求的时间运出施工场地，重新采购符合要求的产品，承担由此发生的费用，由此延误的工期不予顺延。</w:t>
      </w:r>
    </w:p>
    <w:p w14:paraId="09DC5B10">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33.3承包人采购的材料设备在使用前，承包人应按总监理工程师的要求进行检验或试验，不合格的不得使用，检验或试验不合格的，检验或试验费用由承包人承担。</w:t>
      </w:r>
    </w:p>
    <w:p w14:paraId="7D165B5F">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33.4总监理工程师发现承包人采购并使用不符合设计或标准要求的材料或设备时，应要求由承包人负责修复、拆除或重新采购，并承担发生的费用，由此延误的工期不予顺延。</w:t>
      </w:r>
    </w:p>
    <w:p w14:paraId="37D8343D">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33.5承包人需要使用代用材料时，应经总监理工程师认可后才能使用，由此增减的合同价款双方以书面形式议定。</w:t>
      </w:r>
    </w:p>
    <w:p w14:paraId="629CB91C">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33.6由承包人采购的材料设备，发包人不得指定生产厂或供应商。</w:t>
      </w:r>
    </w:p>
    <w:p w14:paraId="7F293F1E">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33.7对材料设备采购的相关要求</w:t>
      </w:r>
    </w:p>
    <w:p w14:paraId="003EA1FB">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（1）乙供材料设备</w:t>
      </w:r>
    </w:p>
    <w:p w14:paraId="774C0813">
      <w:pP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①乙供材料设备品牌的选用按国内名牌、国家免检产品、省知名品牌的顺序确定。</w:t>
      </w:r>
    </w:p>
    <w:p w14:paraId="33F3E665">
      <w:pPr>
        <w:pStyle w:val="12"/>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②承包人必须在提交工程施工图预算时同时注明所选用材料设备的品牌、产地、规格、等级，该材料设备信息仅作为概算审核的依据，乙供材料最终的选用按合同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sz w:val="24"/>
          <w:highlight w:val="none"/>
        </w:rPr>
        <w:t>条款第33.1款约定及发包人下发的《乙供材料看样定板管理办法》执行。</w:t>
      </w:r>
    </w:p>
    <w:p w14:paraId="13BAA71E">
      <w:pPr>
        <w:pStyle w:val="12"/>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③承包人必须在满足或优于招标文件（包括各专业主要设备材料技术参数）、招标图纸和相关规范要求的前提下，可以选择一种或多种品牌；履约中只要发包人未有对各专业主要设备材料技术参数的相关要求进行调整，则均不因承包人改变选用的品牌而调整其承包价。</w:t>
      </w:r>
    </w:p>
    <w:p w14:paraId="503AFE38">
      <w:pPr>
        <w:pStyle w:val="12"/>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（2）承包人在投标报价时所选定的材料设备供应商，应是与承包人有长期合作关系</w:t>
      </w:r>
      <w:r>
        <w:rPr>
          <w:rFonts w:hint="eastAsia" w:ascii="仿宋" w:hAnsi="仿宋" w:eastAsia="仿宋" w:cs="仿宋"/>
          <w:snapToGrid w:val="0"/>
          <w:color w:val="auto"/>
          <w:sz w:val="24"/>
          <w:highlight w:val="none"/>
          <w:lang w:eastAsia="zh-CN"/>
        </w:rPr>
        <w:t>、具</w:t>
      </w:r>
      <w:r>
        <w:rPr>
          <w:rFonts w:hint="eastAsia" w:ascii="仿宋" w:hAnsi="仿宋" w:eastAsia="仿宋" w:cs="仿宋"/>
          <w:snapToGrid w:val="0"/>
          <w:color w:val="auto"/>
          <w:sz w:val="24"/>
          <w:highlight w:val="none"/>
        </w:rPr>
        <w:t>有良好商业信誉和雄厚实力的材料设备生产供应能力的合格供应商。以保证按项目的质量、数量和时间要求，以合理的价格和可靠的供货来源，获得所需的设备、材料及有关服务。</w:t>
      </w:r>
    </w:p>
    <w:p w14:paraId="420097C8">
      <w:pPr>
        <w:pStyle w:val="12"/>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承包人在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14:paraId="515BC427">
      <w:pPr>
        <w:pStyle w:val="12"/>
        <w:adjustRightInd w:val="0"/>
        <w:snapToGrid w:val="0"/>
        <w:spacing w:line="360" w:lineRule="auto"/>
        <w:ind w:firstLine="480" w:firstLineChars="200"/>
        <w:rPr>
          <w:rFonts w:ascii="仿宋" w:hAnsi="仿宋" w:eastAsia="仿宋" w:cs="仿宋"/>
          <w:snapToGrid w:val="0"/>
          <w:color w:val="auto"/>
          <w:sz w:val="24"/>
          <w:highlight w:val="none"/>
        </w:rPr>
      </w:pPr>
    </w:p>
    <w:p w14:paraId="60892835">
      <w:pPr>
        <w:adjustRightInd w:val="0"/>
        <w:snapToGrid w:val="0"/>
        <w:spacing w:line="360" w:lineRule="auto"/>
        <w:outlineLvl w:val="1"/>
        <w:rPr>
          <w:rFonts w:ascii="仿宋" w:hAnsi="仿宋" w:eastAsia="仿宋" w:cs="仿宋"/>
          <w:b/>
          <w:snapToGrid w:val="0"/>
          <w:color w:val="auto"/>
          <w:kern w:val="0"/>
          <w:sz w:val="30"/>
          <w:szCs w:val="30"/>
          <w:highlight w:val="none"/>
        </w:rPr>
      </w:pPr>
      <w:bookmarkStart w:id="214" w:name="_Toc2784893"/>
      <w:bookmarkStart w:id="215" w:name="_Toc23809"/>
      <w:bookmarkStart w:id="216" w:name="_Toc83377282"/>
      <w:r>
        <w:rPr>
          <w:rFonts w:hint="eastAsia" w:ascii="仿宋" w:hAnsi="仿宋" w:eastAsia="仿宋" w:cs="仿宋"/>
          <w:b/>
          <w:snapToGrid w:val="0"/>
          <w:color w:val="auto"/>
          <w:kern w:val="0"/>
          <w:sz w:val="30"/>
          <w:szCs w:val="30"/>
          <w:highlight w:val="none"/>
        </w:rPr>
        <w:t>九</w:t>
      </w:r>
      <w:r>
        <w:rPr>
          <w:rFonts w:hint="eastAsia" w:ascii="仿宋" w:hAnsi="仿宋" w:eastAsia="仿宋" w:cs="仿宋"/>
          <w:b/>
          <w:snapToGrid w:val="0"/>
          <w:color w:val="auto"/>
          <w:kern w:val="0"/>
          <w:sz w:val="28"/>
          <w:szCs w:val="28"/>
          <w:highlight w:val="none"/>
        </w:rPr>
        <w:t>、</w:t>
      </w:r>
      <w:r>
        <w:rPr>
          <w:rFonts w:hint="eastAsia" w:ascii="仿宋" w:hAnsi="仿宋" w:eastAsia="仿宋" w:cs="仿宋"/>
          <w:b/>
          <w:snapToGrid w:val="0"/>
          <w:color w:val="auto"/>
          <w:kern w:val="0"/>
          <w:sz w:val="30"/>
          <w:szCs w:val="30"/>
          <w:highlight w:val="none"/>
        </w:rPr>
        <w:t>工程变更</w:t>
      </w:r>
      <w:bookmarkEnd w:id="214"/>
      <w:bookmarkEnd w:id="215"/>
      <w:bookmarkEnd w:id="216"/>
    </w:p>
    <w:p w14:paraId="139D4EC9">
      <w:pPr>
        <w:adjustRightInd w:val="0"/>
        <w:snapToGrid w:val="0"/>
        <w:spacing w:line="360" w:lineRule="auto"/>
        <w:outlineLvl w:val="2"/>
        <w:rPr>
          <w:rFonts w:ascii="仿宋" w:hAnsi="仿宋" w:eastAsia="仿宋" w:cs="仿宋"/>
          <w:b/>
          <w:snapToGrid w:val="0"/>
          <w:color w:val="auto"/>
          <w:kern w:val="0"/>
          <w:sz w:val="24"/>
          <w:highlight w:val="none"/>
        </w:rPr>
      </w:pPr>
      <w:bookmarkStart w:id="217" w:name="_Toc2784894"/>
      <w:bookmarkStart w:id="218" w:name="_Toc8065"/>
      <w:bookmarkStart w:id="219" w:name="_Toc83377283"/>
      <w:r>
        <w:rPr>
          <w:rFonts w:hint="eastAsia" w:ascii="仿宋" w:hAnsi="仿宋" w:eastAsia="仿宋" w:cs="仿宋"/>
          <w:b/>
          <w:snapToGrid w:val="0"/>
          <w:color w:val="auto"/>
          <w:kern w:val="0"/>
          <w:sz w:val="24"/>
          <w:highlight w:val="none"/>
          <w:lang w:eastAsia="zh-CN"/>
        </w:rPr>
        <w:t>34.</w:t>
      </w:r>
      <w:r>
        <w:rPr>
          <w:rFonts w:hint="eastAsia" w:ascii="仿宋" w:hAnsi="仿宋" w:eastAsia="仿宋" w:cs="仿宋"/>
          <w:b/>
          <w:snapToGrid w:val="0"/>
          <w:color w:val="auto"/>
          <w:kern w:val="0"/>
          <w:sz w:val="24"/>
          <w:highlight w:val="none"/>
        </w:rPr>
        <w:t>工程变更</w:t>
      </w:r>
      <w:bookmarkEnd w:id="217"/>
      <w:bookmarkEnd w:id="218"/>
      <w:bookmarkEnd w:id="219"/>
    </w:p>
    <w:p w14:paraId="2CF7A6DE">
      <w:pPr>
        <w:pStyle w:val="19"/>
        <w:adjustRightInd w:val="0"/>
        <w:snapToGrid w:val="0"/>
        <w:spacing w:line="360" w:lineRule="auto"/>
        <w:ind w:firstLine="480" w:firstLineChars="200"/>
        <w:rPr>
          <w:rFonts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34.1工程变更调整按照如下约定执行：</w:t>
      </w:r>
    </w:p>
    <w:p w14:paraId="0FF120F6">
      <w:pPr>
        <w:pStyle w:val="19"/>
        <w:adjustRightInd w:val="0"/>
        <w:snapToGrid w:val="0"/>
        <w:spacing w:line="360" w:lineRule="auto"/>
        <w:ind w:firstLine="480" w:firstLineChars="200"/>
        <w:rPr>
          <w:rFonts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34.1.1变更的提出</w:t>
      </w:r>
    </w:p>
    <w:p w14:paraId="40B777FC">
      <w:pP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若经发包人批准的设计变更而增加的工程量按实际计算，如有发生新增项目，按以下顺序确定价格：</w:t>
      </w:r>
    </w:p>
    <w:p w14:paraId="5A150121">
      <w:pP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（1）合同预算价中已有适用的综合单价，按预算价中已有的综合单价确定；</w:t>
      </w:r>
    </w:p>
    <w:p w14:paraId="46EF96BC">
      <w:pP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（2）合同预算价中有类似的综合单价，参照类似的综合单价确定；</w:t>
      </w:r>
    </w:p>
    <w:p w14:paraId="2450352B">
      <w:pP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（3）合同预算中没有适用或类似的综合单价，由承包人（施工单位）提出综合单价，经发包人审核确认后执行。按以下方式定价：①计价依据执行《建设工程工程量清单计价规范</w:t>
      </w:r>
      <w:r>
        <w:rPr>
          <w:rFonts w:hint="eastAsia" w:ascii="仿宋" w:hAnsi="仿宋" w:eastAsia="仿宋" w:cs="仿宋"/>
          <w:snapToGrid w:val="0"/>
          <w:color w:val="auto"/>
          <w:spacing w:val="0"/>
          <w:kern w:val="0"/>
          <w:sz w:val="24"/>
          <w:szCs w:val="20"/>
          <w:highlight w:val="none"/>
        </w:rPr>
        <w:t>GB/T50500-2024</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广东省房屋建筑和市政修缮工程综合定额（2012）</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广东省房屋建筑与装饰工程综合定额（2018）</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广东省通用安装工程综合定额（2018）</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广东省市政工程综合定额（2018）》及其相应的文件规定；定额规定中，取值范围有上、下限的取中值。没有定额可执行的项目，双方通过协商确定。②人工工资、材料、机械台班单价按广州市工程造价管理部门发布的基准期《广州地区建设工程常用材料税前综合价格》及相应文件执行；《广州地区建设工程常用材料税前综合价格》中没有的材料（设备），参考2.3.4.2概算建安工程费第（2）点约定，报发包人审定。对必须进行市场询价的材料（设备），采用厂商询价予以计取材料（设备）单价；厂商询价由承包人（施工单位）至少提供三家以上同档次品牌报价，结合合理的市场价格，报发包人审核确认后执行。 </w:t>
      </w:r>
    </w:p>
    <w:p w14:paraId="3EA106B1">
      <w:pP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（4）承包人（施工单位）在施工过程中，如造成附近建筑物、构筑物及现场已完成的构件损坏，需要恢复的费用由承包人（施工单位）承担，此费用已包含在合同价款中，不得另行计算。</w:t>
      </w:r>
    </w:p>
    <w:p w14:paraId="7BF35CFA">
      <w:pPr>
        <w:pStyle w:val="19"/>
        <w:adjustRightInd w:val="0"/>
        <w:snapToGrid w:val="0"/>
        <w:spacing w:line="360" w:lineRule="auto"/>
        <w:ind w:firstLine="480" w:firstLineChars="200"/>
        <w:rPr>
          <w:rFonts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（5）工作期间要求承包人（施工单位）及时与其他单位做好施工配合工作，配合所需的相关费用已包含在合同价款中，不得另行计算。</w:t>
      </w:r>
    </w:p>
    <w:p w14:paraId="12CB98AB">
      <w:pPr>
        <w:pStyle w:val="19"/>
        <w:adjustRightInd w:val="0"/>
        <w:snapToGrid w:val="0"/>
        <w:spacing w:line="360" w:lineRule="auto"/>
        <w:ind w:firstLine="480" w:firstLineChars="200"/>
        <w:rPr>
          <w:rFonts w:ascii="仿宋" w:hAnsi="仿宋" w:eastAsia="仿宋" w:cs="仿宋"/>
          <w:snapToGrid w:val="0"/>
          <w:color w:val="auto"/>
          <w:kern w:val="0"/>
          <w:highlight w:val="none"/>
        </w:rPr>
      </w:pPr>
    </w:p>
    <w:p w14:paraId="5E68ACDF">
      <w:pPr>
        <w:adjustRightInd w:val="0"/>
        <w:snapToGrid w:val="0"/>
        <w:spacing w:line="360" w:lineRule="auto"/>
        <w:outlineLvl w:val="2"/>
        <w:rPr>
          <w:rFonts w:ascii="仿宋" w:hAnsi="仿宋" w:eastAsia="仿宋" w:cs="仿宋"/>
          <w:b/>
          <w:snapToGrid w:val="0"/>
          <w:color w:val="auto"/>
          <w:kern w:val="0"/>
          <w:sz w:val="24"/>
          <w:highlight w:val="none"/>
        </w:rPr>
      </w:pPr>
      <w:bookmarkStart w:id="220" w:name="_Toc2784895"/>
      <w:bookmarkStart w:id="221" w:name="_Toc4071"/>
      <w:bookmarkStart w:id="222" w:name="_Toc83377284"/>
      <w:r>
        <w:rPr>
          <w:rFonts w:hint="eastAsia" w:ascii="仿宋" w:hAnsi="仿宋" w:eastAsia="仿宋" w:cs="仿宋"/>
          <w:b/>
          <w:snapToGrid w:val="0"/>
          <w:color w:val="auto"/>
          <w:kern w:val="0"/>
          <w:sz w:val="24"/>
          <w:highlight w:val="none"/>
          <w:lang w:eastAsia="zh-CN"/>
        </w:rPr>
        <w:t>35.</w:t>
      </w:r>
      <w:bookmarkEnd w:id="220"/>
      <w:bookmarkEnd w:id="221"/>
      <w:r>
        <w:rPr>
          <w:rFonts w:hint="eastAsia" w:ascii="仿宋" w:hAnsi="仿宋" w:eastAsia="仿宋" w:cs="仿宋"/>
          <w:b/>
          <w:snapToGrid w:val="0"/>
          <w:color w:val="auto"/>
          <w:kern w:val="0"/>
          <w:sz w:val="24"/>
          <w:highlight w:val="none"/>
        </w:rPr>
        <w:t>工程量偏差</w:t>
      </w:r>
      <w:bookmarkEnd w:id="222"/>
    </w:p>
    <w:p w14:paraId="437C467A">
      <w:pPr>
        <w:adjustRightInd w:val="0"/>
        <w:snapToGrid w:val="0"/>
        <w:spacing w:line="360" w:lineRule="auto"/>
        <w:ind w:firstLine="470" w:firstLineChars="196"/>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35.1所有涉及工期、价款、质量标准的变更均应获得发包人正式批准才能生效。</w:t>
      </w:r>
    </w:p>
    <w:p w14:paraId="0AEBB657">
      <w:pPr>
        <w:adjustRightInd w:val="0"/>
        <w:snapToGrid w:val="0"/>
        <w:spacing w:line="360" w:lineRule="auto"/>
        <w:rPr>
          <w:rFonts w:ascii="仿宋" w:hAnsi="仿宋" w:eastAsia="仿宋" w:cs="仿宋"/>
          <w:snapToGrid w:val="0"/>
          <w:color w:val="auto"/>
          <w:kern w:val="0"/>
          <w:sz w:val="24"/>
          <w:highlight w:val="none"/>
        </w:rPr>
      </w:pPr>
    </w:p>
    <w:p w14:paraId="580A171F">
      <w:pPr>
        <w:adjustRightInd w:val="0"/>
        <w:snapToGrid w:val="0"/>
        <w:spacing w:line="360" w:lineRule="auto"/>
        <w:outlineLvl w:val="1"/>
        <w:rPr>
          <w:rFonts w:ascii="仿宋" w:hAnsi="仿宋" w:eastAsia="仿宋" w:cs="仿宋"/>
          <w:b/>
          <w:snapToGrid w:val="0"/>
          <w:color w:val="auto"/>
          <w:kern w:val="0"/>
          <w:sz w:val="30"/>
          <w:szCs w:val="30"/>
          <w:highlight w:val="none"/>
        </w:rPr>
      </w:pPr>
      <w:bookmarkStart w:id="223" w:name="_Toc17716"/>
      <w:bookmarkStart w:id="224" w:name="_Toc2784897"/>
      <w:bookmarkStart w:id="225" w:name="_Toc83377286"/>
      <w:r>
        <w:rPr>
          <w:rFonts w:hint="eastAsia" w:ascii="仿宋" w:hAnsi="仿宋" w:eastAsia="仿宋" w:cs="仿宋"/>
          <w:b/>
          <w:snapToGrid w:val="0"/>
          <w:color w:val="auto"/>
          <w:kern w:val="0"/>
          <w:sz w:val="30"/>
          <w:szCs w:val="30"/>
          <w:highlight w:val="none"/>
        </w:rPr>
        <w:t>十、竣工验收与结算</w:t>
      </w:r>
      <w:bookmarkEnd w:id="223"/>
      <w:bookmarkEnd w:id="224"/>
      <w:bookmarkEnd w:id="225"/>
    </w:p>
    <w:p w14:paraId="22B0254F">
      <w:pPr>
        <w:adjustRightInd w:val="0"/>
        <w:snapToGrid w:val="0"/>
        <w:spacing w:line="360" w:lineRule="auto"/>
        <w:outlineLvl w:val="2"/>
        <w:rPr>
          <w:rFonts w:ascii="仿宋" w:hAnsi="仿宋" w:eastAsia="仿宋" w:cs="仿宋"/>
          <w:b/>
          <w:snapToGrid w:val="0"/>
          <w:color w:val="auto"/>
          <w:kern w:val="0"/>
          <w:sz w:val="24"/>
          <w:highlight w:val="none"/>
        </w:rPr>
      </w:pPr>
      <w:bookmarkStart w:id="226" w:name="_Toc83377287"/>
      <w:bookmarkStart w:id="227" w:name="_Toc2784898"/>
      <w:bookmarkStart w:id="228" w:name="_Toc9895"/>
      <w:r>
        <w:rPr>
          <w:rFonts w:hint="eastAsia" w:ascii="仿宋" w:hAnsi="仿宋" w:eastAsia="仿宋" w:cs="仿宋"/>
          <w:b/>
          <w:snapToGrid w:val="0"/>
          <w:color w:val="auto"/>
          <w:kern w:val="0"/>
          <w:sz w:val="24"/>
          <w:highlight w:val="none"/>
          <w:lang w:eastAsia="zh-CN"/>
        </w:rPr>
        <w:t>36.</w:t>
      </w:r>
      <w:r>
        <w:rPr>
          <w:rFonts w:hint="eastAsia" w:ascii="仿宋" w:hAnsi="仿宋" w:eastAsia="仿宋" w:cs="仿宋"/>
          <w:b/>
          <w:snapToGrid w:val="0"/>
          <w:color w:val="auto"/>
          <w:kern w:val="0"/>
          <w:sz w:val="24"/>
          <w:highlight w:val="none"/>
        </w:rPr>
        <w:t>竣工验收</w:t>
      </w:r>
      <w:bookmarkEnd w:id="226"/>
      <w:bookmarkEnd w:id="227"/>
      <w:bookmarkEnd w:id="228"/>
    </w:p>
    <w:p w14:paraId="5A72777A">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.1工程具备竣工验收条件，承包人按国家工程竣工验收有关规定，向发包人提供完整竣工资料（包含竣工图）及竣工验收报告。</w:t>
      </w:r>
    </w:p>
    <w:p w14:paraId="503E4C28">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73F894DD">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.3发包人应在验收后14天内给予认可或提出修改意见。承包人按要求修改，并承担由自身原因造成修改的费用。</w:t>
      </w:r>
    </w:p>
    <w:p w14:paraId="418D105F">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.4发包人收到承包人送交的竣工验收报告后28天内无故不组织验收，或验收后14天内不提出修改意见，视为竣工验收报告已被认可。</w:t>
      </w:r>
    </w:p>
    <w:p w14:paraId="1229AE83">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.5工程竣工验收通过，承包人送交竣工验收报告的日期为实际竣工日期。工程按发包人要求修改后通过竣工验收的，实际竣工日期为承包人修改后提请发包人验收的日期。</w:t>
      </w:r>
    </w:p>
    <w:p w14:paraId="6C9F13DD">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.6发包人收到承包人竣工验收报告后28天内无故不组织验收，从第29天起承担工程保管及一切意外责任。</w:t>
      </w:r>
    </w:p>
    <w:p w14:paraId="7A3E4049">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.7中间交工工程的验收按合同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条款第21条的约定办理。</w:t>
      </w:r>
    </w:p>
    <w:p w14:paraId="521FCC53">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.8因特殊原因，发包人要求部分单位工程或工程部位甩项竣工的，双方另行签订甩项竣工协议，明确双方责任和工程价款的支付方法。</w:t>
      </w:r>
    </w:p>
    <w:p w14:paraId="73F5869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9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384EDECF">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.10工程未经竣工验收或竣工验收未通过的，发包人不得使用（经承包人同意除外）。发包人强行使用时，由此发生的质量问题及其它问题，由发包人承担责任。</w:t>
      </w:r>
    </w:p>
    <w:p w14:paraId="1FD976E7">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.11承包人应按如下程序进行竣工资料准备：</w:t>
      </w:r>
    </w:p>
    <w:p w14:paraId="0C370C01">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（1）承包人有责任根据竣工验收要求对分包单位所绘制的竣工图进行符合性审查。</w:t>
      </w:r>
    </w:p>
    <w:p w14:paraId="572B1CB8">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有义务对专业管理、分包单位的工程资料按照国家《城市建设档案管理规定》《建筑工程施工技术资料编制指南（2012年版）》（广州市建设工程质量监督站主编）《广州市建设工程档案编制指南（2009版）》（广州市城市建设档案馆主编）和发包人的具体要求进行收集、整理、编制、汇总和管理。</w:t>
      </w:r>
    </w:p>
    <w:p w14:paraId="253DDFDB">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12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14:paraId="1C0F4369">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.13专业分包工程需单独验收的，经承包人预验合格后，属专业分包项目的再报监理单位进行监理预验；不属专业分包项目的由监理单位进行监理预验，合格后由该分包单位与专业工程</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如有</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验收管理部门、监理单位、发包人协商确定验收时间，并及时通知承包人参与验收。</w:t>
      </w:r>
    </w:p>
    <w:p w14:paraId="0B5118E3">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14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0BC8983C">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.15承包人必须全力配合发包人组织的专项验收工作，包括但不限于质量验收、档案验收、消防验收、规划验收、电梯验收、环保验收、人防验收、卫生防疫验收、信息工程测评和信息安全测评等。</w:t>
      </w:r>
    </w:p>
    <w:p w14:paraId="601281D7">
      <w:pPr>
        <w:adjustRightInd w:val="0"/>
        <w:snapToGrid w:val="0"/>
        <w:spacing w:line="360" w:lineRule="auto"/>
        <w:rPr>
          <w:rFonts w:ascii="仿宋" w:hAnsi="仿宋" w:eastAsia="仿宋" w:cs="仿宋"/>
          <w:b/>
          <w:snapToGrid w:val="0"/>
          <w:color w:val="auto"/>
          <w:kern w:val="0"/>
          <w:sz w:val="24"/>
          <w:highlight w:val="none"/>
        </w:rPr>
      </w:pPr>
    </w:p>
    <w:p w14:paraId="74ACF2B7">
      <w:pPr>
        <w:adjustRightInd w:val="0"/>
        <w:snapToGrid w:val="0"/>
        <w:spacing w:line="360" w:lineRule="auto"/>
        <w:outlineLvl w:val="2"/>
        <w:rPr>
          <w:rFonts w:ascii="仿宋" w:hAnsi="仿宋" w:eastAsia="仿宋" w:cs="仿宋"/>
          <w:b/>
          <w:snapToGrid w:val="0"/>
          <w:color w:val="auto"/>
          <w:kern w:val="0"/>
          <w:sz w:val="24"/>
          <w:highlight w:val="none"/>
        </w:rPr>
      </w:pPr>
      <w:bookmarkStart w:id="229" w:name="_Toc23159"/>
      <w:bookmarkStart w:id="230" w:name="_Toc83377288"/>
      <w:bookmarkStart w:id="231" w:name="_Toc2784899"/>
      <w:r>
        <w:rPr>
          <w:rFonts w:hint="eastAsia" w:ascii="仿宋" w:hAnsi="仿宋" w:eastAsia="仿宋" w:cs="仿宋"/>
          <w:b/>
          <w:snapToGrid w:val="0"/>
          <w:color w:val="auto"/>
          <w:kern w:val="0"/>
          <w:sz w:val="24"/>
          <w:highlight w:val="none"/>
          <w:lang w:eastAsia="zh-CN"/>
        </w:rPr>
        <w:t>37.</w:t>
      </w:r>
      <w:r>
        <w:rPr>
          <w:rFonts w:hint="eastAsia" w:ascii="仿宋" w:hAnsi="仿宋" w:eastAsia="仿宋" w:cs="仿宋"/>
          <w:b/>
          <w:snapToGrid w:val="0"/>
          <w:color w:val="auto"/>
          <w:kern w:val="0"/>
          <w:sz w:val="24"/>
          <w:highlight w:val="none"/>
        </w:rPr>
        <w:t>工程移交</w:t>
      </w:r>
      <w:bookmarkEnd w:id="229"/>
      <w:bookmarkEnd w:id="230"/>
      <w:bookmarkEnd w:id="231"/>
    </w:p>
    <w:p w14:paraId="411859CE">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.1承包人应在工程项目移交前将场地清理干净，将无关机械设备及材料撤离现场，保证移交的工程项目环境洁净、安全卫生。</w:t>
      </w:r>
    </w:p>
    <w:p w14:paraId="30CCCCA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.2移交手册包括但不限于以下内容：</w:t>
      </w:r>
    </w:p>
    <w:p w14:paraId="24BD9EE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（1）工程项目各部分、各系统的工程概况；</w:t>
      </w:r>
    </w:p>
    <w:p w14:paraId="1E0DB514">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（2）工程项目全部的图纸及清单；</w:t>
      </w:r>
    </w:p>
    <w:p w14:paraId="1FA8E617">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（3）工程项目的承包人、主要材料设备供货商清单、联系人及电话；</w:t>
      </w:r>
    </w:p>
    <w:p w14:paraId="0FA9759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（4）各系统的设计功能、使用功能或使用说明；</w:t>
      </w:r>
    </w:p>
    <w:p w14:paraId="2445D991">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（5）空调、发电机（若有）等主要设备的运行参数；</w:t>
      </w:r>
    </w:p>
    <w:p w14:paraId="5B488754">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（6）主要材料设备的数量；</w:t>
      </w:r>
    </w:p>
    <w:p w14:paraId="3E21F81E">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（7）工程、材料、设备的保修书（包括保修内容、期限、联系人、电话等）。</w:t>
      </w:r>
    </w:p>
    <w:p w14:paraId="3A99CA8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.3承包人应在进行本条第3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.2款工作的同时编写工程项目移交计划，并于本条第3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.2款工作完成后3天内组织发包人、承包人、项目产权管理单位按如下程序进行工程项目移交：</w:t>
      </w:r>
    </w:p>
    <w:p w14:paraId="0CB8B9B6">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（1）按移交手册的资料清单移交图纸、资料；</w:t>
      </w:r>
    </w:p>
    <w:p w14:paraId="15275E5D">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（2）按移交手册的数量清单清点主要材料设备的数量；</w:t>
      </w:r>
    </w:p>
    <w:p w14:paraId="34EB361B">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（3）按移交手册的设计、使用功能说明进行必要的功能性试验（或组织各方参加政府指定机构、第三方检测机构进行的功能性试验）；</w:t>
      </w:r>
    </w:p>
    <w:p w14:paraId="0EAA390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（4）按移交手册的说明进行系统的试运行（或组织各方参加政府指定机构、第三方检测机构进行的功能性试验），测试主要设备的运行参数；</w:t>
      </w:r>
    </w:p>
    <w:p w14:paraId="138B473B">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（5）组织发包人、承包人、项目产权管理单位各方对上述移交过程进行签认；</w:t>
      </w:r>
    </w:p>
    <w:p w14:paraId="53E9230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（6）对移交过程中发现的质量问题进行记录并及时组织责任方进行维修，验收合格后重新组织移交；</w:t>
      </w:r>
    </w:p>
    <w:p w14:paraId="682F32DA">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（7）对于某些在操作上有专门要求的机电系统（如消防、智能化等）督促承包人编制培训计划，并按合同要求对项目产权管理单位人员进行培训。</w:t>
      </w:r>
    </w:p>
    <w:p w14:paraId="3B4D71FA">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.4承包人应按照国家《城市建设档案管理规定</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广州市城市建设档案管理办法》和发包人有关整理工程档案的要求，在工程施工期间及时收集、汇总、整理、编制竣工档案，包括：</w:t>
      </w:r>
    </w:p>
    <w:p w14:paraId="4D740D90">
      <w:pPr>
        <w:adjustRightInd w:val="0"/>
        <w:snapToGrid w:val="0"/>
        <w:spacing w:line="360" w:lineRule="auto"/>
        <w:ind w:left="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（1）竣工文件资料、竣工图档案（原件）各一式四份；</w:t>
      </w:r>
    </w:p>
    <w:p w14:paraId="5A94B7E8">
      <w:pPr>
        <w:adjustRightInd w:val="0"/>
        <w:snapToGrid w:val="0"/>
        <w:spacing w:line="360" w:lineRule="auto"/>
        <w:ind w:left="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（2）与本款（1）项内容相同的电子版档案一式二份；</w:t>
      </w:r>
    </w:p>
    <w:p w14:paraId="1180F882">
      <w:pPr>
        <w:adjustRightInd w:val="0"/>
        <w:snapToGrid w:val="0"/>
        <w:spacing w:line="360" w:lineRule="auto"/>
        <w:ind w:left="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（3）声像档案一式二份。</w:t>
      </w:r>
    </w:p>
    <w:p w14:paraId="2937CB9E">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4C7DAD9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.6电子版竣工图的编制，以发包人提供的电子版施工图为基础。承包人在移交竣工档案时，应一并移交发包人提供的电子版施工图。</w:t>
      </w:r>
    </w:p>
    <w:p w14:paraId="329E9CE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.7电子版施工图和电子版竣工图的知识产权归属发包人所有，非经发包人许可，承包人不得以任何方式复制、备份、转让和利用，否则由此引起的任何纠纷和责任由承包人承担。</w:t>
      </w:r>
    </w:p>
    <w:p w14:paraId="690536BD">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.8承包人应督促其工程分包单位及时做好竣工资料整理工作，于分包工程竣工验收后25天内将全部档案资料移交给承包人，由承包人汇总、归档，并在承包人移交竣工档案时一并移交。</w:t>
      </w:r>
    </w:p>
    <w:p w14:paraId="5D62C88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.9承包人不按时移交竣工档案，或者移交的竣工档案不完整且在发包人规定的期限内不补充完整的，发包人有权按合同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条款第30.2款约定的施工费进度款支付原则暂停支付余下的施工费扣取部分或者全部保证金，同时，并不免除承包人完整移交竣工档案的义务。</w:t>
      </w:r>
    </w:p>
    <w:p w14:paraId="5823ADE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.10因承包人的原因致使发包人未能按照国家规定向政府有关部门移交工程竣工档案而受到经济处罚的，由承包人承担全额赔偿责任。</w:t>
      </w:r>
    </w:p>
    <w:p w14:paraId="1A38D47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.11由承包人先移交给发包人、然后再由发包人移交给项目产权管理单位的工程项目，承包人仍应按发包人的要求及上述约定予以协助。</w:t>
      </w:r>
    </w:p>
    <w:p w14:paraId="1FD1733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.12工程项目移交给项目产权管理单位后，由项目产权管理单位替代发包人在本合同中的地位，承继发包人的权利义务。</w:t>
      </w:r>
    </w:p>
    <w:p w14:paraId="189A6689">
      <w:pPr>
        <w:adjustRightInd w:val="0"/>
        <w:snapToGrid w:val="0"/>
        <w:spacing w:line="360" w:lineRule="auto"/>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.13承包人参与移交或协助移交的所有费用均已包含在合同价款之内。</w:t>
      </w:r>
    </w:p>
    <w:p w14:paraId="352F3D02">
      <w:pPr>
        <w:adjustRightInd w:val="0"/>
        <w:snapToGrid w:val="0"/>
        <w:spacing w:line="360" w:lineRule="auto"/>
        <w:outlineLvl w:val="2"/>
        <w:rPr>
          <w:rFonts w:ascii="仿宋" w:hAnsi="仿宋" w:eastAsia="仿宋" w:cs="仿宋"/>
          <w:b/>
          <w:snapToGrid w:val="0"/>
          <w:color w:val="auto"/>
          <w:kern w:val="0"/>
          <w:sz w:val="24"/>
          <w:highlight w:val="none"/>
        </w:rPr>
      </w:pPr>
      <w:bookmarkStart w:id="232" w:name="_Toc6140"/>
      <w:bookmarkStart w:id="233" w:name="_Toc83377289"/>
      <w:bookmarkStart w:id="234" w:name="_Toc2784900"/>
    </w:p>
    <w:p w14:paraId="0FE5E778">
      <w:pPr>
        <w:adjustRightInd w:val="0"/>
        <w:snapToGrid w:val="0"/>
        <w:spacing w:line="360" w:lineRule="auto"/>
        <w:outlineLvl w:val="2"/>
        <w:rPr>
          <w:rFonts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lang w:eastAsia="zh-CN"/>
        </w:rPr>
        <w:t>38.</w:t>
      </w:r>
      <w:r>
        <w:rPr>
          <w:rFonts w:hint="eastAsia" w:ascii="仿宋" w:hAnsi="仿宋" w:eastAsia="仿宋" w:cs="仿宋"/>
          <w:b/>
          <w:snapToGrid w:val="0"/>
          <w:color w:val="auto"/>
          <w:kern w:val="0"/>
          <w:sz w:val="24"/>
          <w:highlight w:val="none"/>
        </w:rPr>
        <w:t>竣工结算</w:t>
      </w:r>
      <w:bookmarkEnd w:id="232"/>
      <w:bookmarkEnd w:id="233"/>
      <w:bookmarkEnd w:id="234"/>
    </w:p>
    <w:p w14:paraId="3B47E382">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8</w:t>
      </w:r>
      <w:r>
        <w:rPr>
          <w:rFonts w:hint="eastAsia" w:ascii="仿宋" w:hAnsi="仿宋" w:eastAsia="仿宋" w:cs="仿宋"/>
          <w:snapToGrid w:val="0"/>
          <w:color w:val="auto"/>
          <w:kern w:val="0"/>
          <w:sz w:val="24"/>
          <w:highlight w:val="none"/>
        </w:rPr>
        <w:t>.1</w:t>
      </w:r>
      <w:r>
        <w:rPr>
          <w:rFonts w:hint="eastAsia" w:ascii="仿宋" w:hAnsi="仿宋" w:eastAsia="仿宋" w:cs="仿宋"/>
          <w:bCs/>
          <w:snapToGrid w:val="0"/>
          <w:color w:val="auto"/>
          <w:kern w:val="0"/>
          <w:sz w:val="24"/>
          <w:highlight w:val="none"/>
        </w:rPr>
        <w:t>竣工结算的程序和时限：</w:t>
      </w:r>
    </w:p>
    <w:p w14:paraId="095E119F">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（1）承包人提交竣工结算资料的期限：在竣工验收报告批准后，承包人应按国家有关规定，在60个日历天内向发包人提出完整的工程结算文件、办理竣工结算。</w:t>
      </w:r>
    </w:p>
    <w:p w14:paraId="2F8912ED">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（2）竣工结算资料要求：承包人提交的工程结算文件（含电子文档）须签名、注明日期及加盖公章，包括但不限于以下内容：</w:t>
      </w:r>
    </w:p>
    <w:p w14:paraId="497E900A">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1）结算送审资料移交表；</w:t>
      </w:r>
    </w:p>
    <w:p w14:paraId="7BD1F6B8">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2）竣工结算书：包括封面、编制说明、工期证明、质量证明、结算汇总表、分部分项工程结算清单、工程量计算书、材料设备单价审核单、综合单价申报/审批表、材料验收/签收单等；</w:t>
      </w:r>
    </w:p>
    <w:p w14:paraId="20EBCA27">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3）合同结算依据：招标文件（含答疑和补充文件）、投标文件（技术标、经济标）、中标通知书、委托函、施工合同（含补充合同、协议书）；</w:t>
      </w:r>
    </w:p>
    <w:p w14:paraId="02B3B4B4">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4）招标图纸或预算施工图纸；</w:t>
      </w:r>
    </w:p>
    <w:p w14:paraId="090C0D89">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5）施工组织设计及施工方案（含分部及专项施工方案）；</w:t>
      </w:r>
    </w:p>
    <w:p w14:paraId="2102762B">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6）开工报告、竣工验收报告；</w:t>
      </w:r>
    </w:p>
    <w:p w14:paraId="1F65AA64">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ascii="仿宋" w:hAnsi="仿宋" w:eastAsia="仿宋" w:cs="仿宋"/>
          <w:bCs/>
          <w:snapToGrid w:val="0"/>
          <w:color w:val="auto"/>
          <w:kern w:val="0"/>
          <w:sz w:val="24"/>
          <w:highlight w:val="none"/>
        </w:rPr>
        <w:t>7</w:t>
      </w:r>
      <w:r>
        <w:rPr>
          <w:rFonts w:hint="eastAsia" w:ascii="仿宋" w:hAnsi="仿宋" w:eastAsia="仿宋" w:cs="仿宋"/>
          <w:bCs/>
          <w:snapToGrid w:val="0"/>
          <w:color w:val="auto"/>
          <w:kern w:val="0"/>
          <w:sz w:val="24"/>
          <w:highlight w:val="none"/>
        </w:rPr>
        <w:t>）工程变更资料或指令文件；</w:t>
      </w:r>
    </w:p>
    <w:p w14:paraId="65B869E1">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ascii="仿宋" w:hAnsi="仿宋" w:eastAsia="仿宋" w:cs="仿宋"/>
          <w:bCs/>
          <w:snapToGrid w:val="0"/>
          <w:color w:val="auto"/>
          <w:kern w:val="0"/>
          <w:sz w:val="24"/>
          <w:highlight w:val="none"/>
        </w:rPr>
        <w:t>8</w:t>
      </w:r>
      <w:r>
        <w:rPr>
          <w:rFonts w:hint="eastAsia" w:ascii="仿宋" w:hAnsi="仿宋" w:eastAsia="仿宋" w:cs="仿宋"/>
          <w:bCs/>
          <w:snapToGrid w:val="0"/>
          <w:color w:val="auto"/>
          <w:kern w:val="0"/>
          <w:sz w:val="24"/>
          <w:highlight w:val="none"/>
        </w:rPr>
        <w:t>）施工记录及相关票据：按实计算费用的证明材料，如桩基础施工记录以及消纳费、税费、材料检验试验费等相关发票；</w:t>
      </w:r>
    </w:p>
    <w:p w14:paraId="2C97D3D2">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ascii="仿宋" w:hAnsi="仿宋" w:eastAsia="仿宋" w:cs="仿宋"/>
          <w:bCs/>
          <w:snapToGrid w:val="0"/>
          <w:color w:val="auto"/>
          <w:kern w:val="0"/>
          <w:sz w:val="24"/>
          <w:highlight w:val="none"/>
        </w:rPr>
        <w:t>9</w:t>
      </w:r>
      <w:r>
        <w:rPr>
          <w:rFonts w:hint="eastAsia" w:ascii="仿宋" w:hAnsi="仿宋" w:eastAsia="仿宋" w:cs="仿宋"/>
          <w:bCs/>
          <w:snapToGrid w:val="0"/>
          <w:color w:val="auto"/>
          <w:kern w:val="0"/>
          <w:sz w:val="24"/>
          <w:highlight w:val="none"/>
        </w:rPr>
        <w:t>）发包人的送货通知书（如有）；</w:t>
      </w:r>
    </w:p>
    <w:p w14:paraId="0726BEEE">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0</w:t>
      </w:r>
      <w:r>
        <w:rPr>
          <w:rFonts w:hint="eastAsia" w:ascii="仿宋" w:hAnsi="仿宋" w:eastAsia="仿宋" w:cs="仿宋"/>
          <w:bCs/>
          <w:snapToGrid w:val="0"/>
          <w:color w:val="auto"/>
          <w:kern w:val="0"/>
          <w:sz w:val="24"/>
          <w:highlight w:val="none"/>
        </w:rPr>
        <w:t>）发包人出具的所有验收证明文件；</w:t>
      </w:r>
    </w:p>
    <w:p w14:paraId="4DC06FC5">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1</w:t>
      </w:r>
      <w:r>
        <w:rPr>
          <w:rFonts w:hint="eastAsia" w:ascii="仿宋" w:hAnsi="仿宋" w:eastAsia="仿宋" w:cs="仿宋"/>
          <w:bCs/>
          <w:snapToGrid w:val="0"/>
          <w:color w:val="auto"/>
          <w:kern w:val="0"/>
          <w:sz w:val="24"/>
          <w:highlight w:val="none"/>
        </w:rPr>
        <w:t>）约定的其它应收款及索赔相关资料；</w:t>
      </w:r>
    </w:p>
    <w:p w14:paraId="75ABC4F1">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2</w:t>
      </w:r>
      <w:r>
        <w:rPr>
          <w:rFonts w:hint="eastAsia" w:ascii="仿宋" w:hAnsi="仿宋" w:eastAsia="仿宋" w:cs="仿宋"/>
          <w:bCs/>
          <w:snapToGrid w:val="0"/>
          <w:color w:val="auto"/>
          <w:kern w:val="0"/>
          <w:sz w:val="24"/>
          <w:highlight w:val="none"/>
        </w:rPr>
        <w:t>）承包人已收到的各期货款明细及总金额，附相关财务凭证；</w:t>
      </w:r>
    </w:p>
    <w:p w14:paraId="2E29F331">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3</w:t>
      </w:r>
      <w:r>
        <w:rPr>
          <w:rFonts w:hint="eastAsia" w:ascii="仿宋" w:hAnsi="仿宋" w:eastAsia="仿宋" w:cs="仿宋"/>
          <w:bCs/>
          <w:snapToGrid w:val="0"/>
          <w:color w:val="auto"/>
          <w:kern w:val="0"/>
          <w:sz w:val="24"/>
          <w:highlight w:val="none"/>
        </w:rPr>
        <w:t>）结算承诺书；</w:t>
      </w:r>
    </w:p>
    <w:p w14:paraId="3F96F2E8">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4</w:t>
      </w:r>
      <w:r>
        <w:rPr>
          <w:rFonts w:hint="eastAsia" w:ascii="仿宋" w:hAnsi="仿宋" w:eastAsia="仿宋" w:cs="仿宋"/>
          <w:bCs/>
          <w:snapToGrid w:val="0"/>
          <w:color w:val="auto"/>
          <w:kern w:val="0"/>
          <w:sz w:val="24"/>
          <w:highlight w:val="none"/>
        </w:rPr>
        <w:t>）竣工图：要求竣工图必须是经过建设单位、设计院、监理、总包单位确认，设计变更和实际的施工变更必须在竣工图上全面、准确地反映。</w:t>
      </w:r>
    </w:p>
    <w:p w14:paraId="5A23F4F4">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其中对于编制竣工图的形式和深度，主要有以下几种不同的情况：</w:t>
      </w:r>
    </w:p>
    <w:p w14:paraId="0337D6AE">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A</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 xml:space="preserve">施工图施工没有变动的，则由承包人在原施工图上加盖“竣工图”章后，即作为竣工图。 </w:t>
      </w:r>
    </w:p>
    <w:p w14:paraId="501BE565">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B</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凡在施工中，虽有一般性设计变更，但图面改动量较小的，可不重新绘制，将原施工图加以修改补充作为竣工图。由承包人负责在原施工图（必须是新蓝图）上注明修改的部分（采用不同于蓝图的颜色表示），并附以设计变更通知单和施工说明，加盖“竣工图”标志后，即作为竣工图。</w:t>
      </w:r>
    </w:p>
    <w:p w14:paraId="74368DC8">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C</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结构形式改变、工艺改变、平面布置改变、项目改变以及有其他重大改变，图面改动量较大，不宜再在原施工图上修改、补充的，应重新绘制改变后的图纸作为竣工图。其中，设计原因造成的图纸变动，由原设计单位负责重新绘图；其他原因造成的，由承包人委托原设计人重新绘图，相关费用已经包含在投标报价内。对于重新绘制的竣工图纸，设计人要在新的图纸上用云线标记改动的部分以与原设计图纸进行区分，并在图纸上标示改动部分相对应的变更编号。设计院出图后，承包人在新图上加盖“竣工图”章并附以有关记录和说明，作为竣工图。</w:t>
      </w:r>
    </w:p>
    <w:p w14:paraId="1F2774AD">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D</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竣工图一定要与实际施工情况相符，保证图纸质量，做到规格统一，图面整洁、字迹清楚，不得用圆珠笔或其他易于褪色的墨水绘制。竣工图要经承包人的技术负责人审核签认。竣工图上无反映的，不结算（除现场签证）。竣工图上反映不正确的，需改正后才能结算。施工图改绘竣工图若变更部分超过图面1/3的，应当重新绘制竣工图。</w:t>
      </w:r>
    </w:p>
    <w:p w14:paraId="0C438000">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承包人应向监理人、工程造价咨询人及发包人一次性提交完整的结算资料原件伍份（监理一份，发包人四份），结算资料不得后补。如监理合同中无审核造价义务，则监理人在收到承包人完整结算书之日起14个工作日内依据合同对报审工程进行工程质量、合同履约情况（明确合同内未做及新增项目）、工程实际工期节点、隐蔽工程验收情况及资料等进行审核并出具专项报告后提交至发包人项目部。如监理人合同中有审核造价义务，则监理人审核结算时间按发包人要求时间执行。如果不在规定时间内提交结算资料的，发包人可单方面确定本工程的结算造价。由于承包人提交结算资料不完整而影响发包人审核结算价的视为承包人同意该结算资料不完整部分的工程结算价由发包人单方面确定。</w:t>
      </w:r>
    </w:p>
    <w:p w14:paraId="46A3E4D7">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承包人必须无条件配合发包人提出的结算对数时间和地点，承包人须根据发包人安排参与结算对数工作，承包人不在发包人要求的时间或地点内参与对数的视为承包人同意该工程的结算价由发包人单方面确定。</w:t>
      </w:r>
    </w:p>
    <w:p w14:paraId="18D1D43C">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（5）若承包人对发包人提出的结算核减拒不接受且不能提出合理依据或不在规定的时间内配合对数并最终书面确认，则视为承包人放弃合同中约定的权利，发包人可单方面确定本工程的结算造价。</w:t>
      </w:r>
    </w:p>
    <w:p w14:paraId="446189DD">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本合同履行过程中所有往来文件如图纸会审记录、工作联系单、合同变更单、签证单等一切来往资料涉及到结算时增加费用，必须以发包人盖章（公司公章或其授权的施工现场管理机构章）确认为准，其他任何形式的文件（如监理人、咨询公司、设计单位盖章或个人签名文件、复印件等文件、发包人非授权部门公章或个人签订原件或复印件等文件）一律无效；涉及到结算金额减少的来往文件则不限发包人盖章（公司公章或其授权的施工现场管理机构章）确认，如承包人不按发包人要求在规定时间内书面确认上述减少金额的，发包人可单方面确定扣减金额并从合同结算总价中扣除。</w:t>
      </w:r>
    </w:p>
    <w:p w14:paraId="2260074F">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7）属于承包人合同范围内的工程或变更新增工程，承包人应及时按变更进行施工，不得以任何理由拒绝，如承包人不按合同约定施工的，发包人可安排第三方单位施工，由此发包人支付给第三方单位的费用且在该费用上增加20%的管理费均由承包人承担并在结算总价中直接扣除。</w:t>
      </w:r>
    </w:p>
    <w:p w14:paraId="64582652">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（8）如承包人不能按上述要求报送结算资料，则按1000元/天扣罚，罚金在工程款支付中扣减。</w:t>
      </w:r>
    </w:p>
    <w:p w14:paraId="46999EC1">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（9）施工较独立的具备分段结算的工程项目，须按发包人要求的时间提交结算资料办理分段结算。</w:t>
      </w:r>
    </w:p>
    <w:p w14:paraId="52D8D7CF">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w:t>
      </w:r>
      <w:r>
        <w:rPr>
          <w:rFonts w:ascii="仿宋" w:hAnsi="仿宋" w:eastAsia="仿宋" w:cs="仿宋"/>
          <w:bCs/>
          <w:snapToGrid w:val="0"/>
          <w:color w:val="auto"/>
          <w:kern w:val="0"/>
          <w:sz w:val="24"/>
          <w:highlight w:val="none"/>
        </w:rPr>
        <w:t>8</w:t>
      </w:r>
      <w:r>
        <w:rPr>
          <w:rFonts w:hint="eastAsia" w:ascii="仿宋" w:hAnsi="仿宋" w:eastAsia="仿宋" w:cs="仿宋"/>
          <w:bCs/>
          <w:snapToGrid w:val="0"/>
          <w:color w:val="auto"/>
          <w:kern w:val="0"/>
          <w:sz w:val="24"/>
          <w:highlight w:val="none"/>
        </w:rPr>
        <w:t>.2关于承包人高估冒算的约定</w:t>
      </w:r>
    </w:p>
    <w:p w14:paraId="22B8E075">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承包人编制造价文件（即涉及确定费用的文件，含变更签证费用、工程结算书等）应实事求是，不得高估冒算，否则承包人应承担相应的违约费用，超出合同约定的核减率，每次审核按以下方法计算相应违约费用（以发包方审核结果为准）：</w:t>
      </w:r>
    </w:p>
    <w:p w14:paraId="06950921">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核减额=承包人编报金额-发包人最终审核金额</w:t>
      </w:r>
    </w:p>
    <w:p w14:paraId="1F099A46">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核减率=核减额/承包人编报金额×100%。</w:t>
      </w:r>
    </w:p>
    <w:p w14:paraId="3F38ACF5">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（1）若5%＜核减率≤10%，承包人承担违约费用=（核减率-5%）×承包人编报金额×5%。</w:t>
      </w:r>
    </w:p>
    <w:p w14:paraId="65F84FE9">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（2）若核减率＞10%，承包人承担违约费用=核减额×5%。</w:t>
      </w:r>
    </w:p>
    <w:p w14:paraId="4A6229B4">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（3）签证、变更的违约费用在审核造价中扣减；结算审核的违约费用在结算款支付中扣减。</w:t>
      </w:r>
    </w:p>
    <w:p w14:paraId="1C2903E0">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14:paraId="6EF9987E">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w:t>
      </w:r>
      <w:r>
        <w:rPr>
          <w:rFonts w:ascii="仿宋" w:hAnsi="仿宋" w:eastAsia="仿宋" w:cs="仿宋"/>
          <w:bCs/>
          <w:snapToGrid w:val="0"/>
          <w:color w:val="auto"/>
          <w:kern w:val="0"/>
          <w:sz w:val="24"/>
          <w:highlight w:val="none"/>
        </w:rPr>
        <w:t>8</w:t>
      </w:r>
      <w:r>
        <w:rPr>
          <w:rFonts w:hint="eastAsia" w:ascii="仿宋" w:hAnsi="仿宋" w:eastAsia="仿宋" w:cs="仿宋"/>
          <w:bCs/>
          <w:snapToGrid w:val="0"/>
          <w:color w:val="auto"/>
          <w:kern w:val="0"/>
          <w:sz w:val="24"/>
          <w:highlight w:val="none"/>
        </w:rPr>
        <w:t>.3竣工结算审核</w:t>
      </w:r>
    </w:p>
    <w:p w14:paraId="63AA3803">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发包人审批竣工结算的期限：监理人及工程造价咨询人应在收到竣工结算文件后90天内完成核查并报送发包人。发包人应在收到监理人及工程造价咨询人提交的经审核的竣工结算文件后90天内完成审批。监理人及工程造价咨询人或发包人对竣工结算文件有异议的，有权要求承包人进行修正和提供补充资料，承包人应提交修正后的竣工结算文件。</w:t>
      </w:r>
    </w:p>
    <w:p w14:paraId="26C34009">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（2）发包人可根据需要对结算进行复审（不限制次数），承包人须无条件配合，否则视为承包人违约；属于承包人违约的，结算工作每延误一天完成的承包人须向发包人支付合同总价0.1%的违约金。</w:t>
      </w:r>
    </w:p>
    <w:p w14:paraId="69F87F29">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关于竣工结算异议部分复核的方式和程序：承包人对发包人审核的竣工结算有异议的，对于有异议部分应在收到发包人的审核意见后7天内提出异议，并由合同当事人按照专用合同条款约定的方式和程序进行复核。承包人逾期未提出异议的，视为认可发包人的审批结果。</w:t>
      </w:r>
    </w:p>
    <w:p w14:paraId="61D6515D">
      <w:pPr>
        <w:adjustRightInd w:val="0"/>
        <w:snapToGrid w:val="0"/>
        <w:spacing w:line="360" w:lineRule="auto"/>
        <w:ind w:firstLine="480" w:firstLineChars="200"/>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 xml:space="preserve">    </w:t>
      </w:r>
    </w:p>
    <w:p w14:paraId="15A07507">
      <w:pPr>
        <w:adjustRightInd w:val="0"/>
        <w:snapToGrid w:val="0"/>
        <w:spacing w:line="360" w:lineRule="auto"/>
        <w:outlineLvl w:val="2"/>
        <w:rPr>
          <w:rFonts w:ascii="仿宋" w:hAnsi="仿宋" w:eastAsia="仿宋" w:cs="仿宋"/>
          <w:b/>
          <w:snapToGrid w:val="0"/>
          <w:color w:val="auto"/>
          <w:kern w:val="0"/>
          <w:sz w:val="24"/>
          <w:highlight w:val="none"/>
        </w:rPr>
      </w:pPr>
      <w:bookmarkStart w:id="235" w:name="_Toc2784901"/>
      <w:bookmarkStart w:id="236" w:name="_Toc28739"/>
      <w:bookmarkStart w:id="237" w:name="_Toc83377290"/>
      <w:r>
        <w:rPr>
          <w:rFonts w:hint="eastAsia" w:ascii="仿宋" w:hAnsi="仿宋" w:eastAsia="仿宋" w:cs="仿宋"/>
          <w:b/>
          <w:snapToGrid w:val="0"/>
          <w:color w:val="auto"/>
          <w:kern w:val="0"/>
          <w:sz w:val="24"/>
          <w:highlight w:val="none"/>
          <w:lang w:eastAsia="zh-CN"/>
        </w:rPr>
        <w:t>39.</w:t>
      </w:r>
      <w:r>
        <w:rPr>
          <w:rFonts w:hint="eastAsia" w:ascii="仿宋" w:hAnsi="仿宋" w:eastAsia="仿宋" w:cs="仿宋"/>
          <w:b/>
          <w:snapToGrid w:val="0"/>
          <w:color w:val="auto"/>
          <w:kern w:val="0"/>
          <w:sz w:val="24"/>
          <w:highlight w:val="none"/>
        </w:rPr>
        <w:t>缺陷责任及质量保修</w:t>
      </w:r>
      <w:bookmarkEnd w:id="235"/>
      <w:bookmarkEnd w:id="236"/>
      <w:bookmarkEnd w:id="237"/>
    </w:p>
    <w:p w14:paraId="37554175">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ascii="仿宋" w:hAnsi="仿宋" w:eastAsia="仿宋" w:cs="仿宋"/>
          <w:snapToGrid w:val="0"/>
          <w:color w:val="auto"/>
          <w:kern w:val="0"/>
          <w:sz w:val="24"/>
          <w:highlight w:val="none"/>
        </w:rPr>
        <w:t>39</w:t>
      </w:r>
      <w:r>
        <w:rPr>
          <w:rFonts w:hint="eastAsia" w:ascii="仿宋" w:hAnsi="仿宋" w:eastAsia="仿宋" w:cs="仿宋"/>
          <w:snapToGrid w:val="0"/>
          <w:color w:val="auto"/>
          <w:kern w:val="0"/>
          <w:sz w:val="24"/>
          <w:highlight w:val="none"/>
        </w:rPr>
        <w:t>.1承包人应按法律、行政法规或国家关于工程质量保修的有关规定，对交付发包人（或项目产权管理单位）使用的工程在缺陷责任期及质量保修期内承担质量保修责任。</w:t>
      </w:r>
    </w:p>
    <w:p w14:paraId="40F3290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ascii="仿宋" w:hAnsi="仿宋" w:eastAsia="仿宋" w:cs="仿宋"/>
          <w:snapToGrid w:val="0"/>
          <w:color w:val="auto"/>
          <w:kern w:val="0"/>
          <w:sz w:val="24"/>
          <w:highlight w:val="none"/>
        </w:rPr>
        <w:t>39</w:t>
      </w:r>
      <w:r>
        <w:rPr>
          <w:rFonts w:hint="eastAsia" w:ascii="仿宋" w:hAnsi="仿宋" w:eastAsia="仿宋" w:cs="仿宋"/>
          <w:snapToGrid w:val="0"/>
          <w:color w:val="auto"/>
          <w:kern w:val="0"/>
          <w:sz w:val="24"/>
          <w:highlight w:val="none"/>
        </w:rPr>
        <w:t>.2承包人应在签订本合同的同时与发包人签订工程质量保修书（见合同附件）。</w:t>
      </w:r>
    </w:p>
    <w:p w14:paraId="3FAB4C0A">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snapToGrid w:val="0"/>
          <w:color w:val="auto"/>
          <w:kern w:val="0"/>
          <w:sz w:val="24"/>
          <w:highlight w:val="none"/>
        </w:rPr>
        <w:t>39</w:t>
      </w:r>
      <w:r>
        <w:rPr>
          <w:rFonts w:hint="eastAsia" w:ascii="仿宋" w:hAnsi="仿宋" w:eastAsia="仿宋" w:cs="仿宋"/>
          <w:snapToGrid w:val="0"/>
          <w:color w:val="auto"/>
          <w:kern w:val="0"/>
          <w:sz w:val="24"/>
          <w:highlight w:val="none"/>
        </w:rPr>
        <w:t>.3</w:t>
      </w:r>
      <w:r>
        <w:rPr>
          <w:rFonts w:hint="eastAsia" w:ascii="仿宋" w:hAnsi="仿宋" w:eastAsia="仿宋" w:cs="仿宋"/>
          <w:color w:val="auto"/>
          <w:sz w:val="24"/>
          <w:szCs w:val="24"/>
          <w:highlight w:val="none"/>
        </w:rPr>
        <w:t>保修期内，承包人应当根据法律规定以及合同约定承担缺陷修复及质量保修责任，承包人不得以其与分包单位之间保修责任划分而拒绝履行缺陷修复及质量保修责任。</w:t>
      </w:r>
    </w:p>
    <w:p w14:paraId="03BEB9F9">
      <w:pPr>
        <w:adjustRightInd w:val="0"/>
        <w:snapToGrid w:val="0"/>
        <w:spacing w:line="360" w:lineRule="auto"/>
        <w:ind w:firstLine="480" w:firstLineChars="200"/>
        <w:rPr>
          <w:rFonts w:ascii="仿宋" w:hAnsi="仿宋" w:eastAsia="仿宋" w:cs="仿宋"/>
          <w:snapToGrid w:val="0"/>
          <w:color w:val="auto"/>
          <w:kern w:val="0"/>
          <w:sz w:val="24"/>
          <w:highlight w:val="none"/>
        </w:rPr>
      </w:pPr>
    </w:p>
    <w:p w14:paraId="7914C008">
      <w:pPr>
        <w:adjustRightInd w:val="0"/>
        <w:snapToGrid w:val="0"/>
        <w:spacing w:line="360" w:lineRule="auto"/>
        <w:outlineLvl w:val="1"/>
        <w:rPr>
          <w:rFonts w:ascii="仿宋" w:hAnsi="仿宋" w:eastAsia="仿宋" w:cs="仿宋"/>
          <w:b/>
          <w:snapToGrid w:val="0"/>
          <w:color w:val="auto"/>
          <w:kern w:val="0"/>
          <w:sz w:val="30"/>
          <w:szCs w:val="30"/>
          <w:highlight w:val="none"/>
        </w:rPr>
      </w:pPr>
      <w:bookmarkStart w:id="238" w:name="_Toc83377291"/>
      <w:bookmarkStart w:id="239" w:name="_Toc2784902"/>
      <w:bookmarkStart w:id="240" w:name="_Toc8665"/>
      <w:r>
        <w:rPr>
          <w:rFonts w:hint="eastAsia" w:ascii="仿宋" w:hAnsi="仿宋" w:eastAsia="仿宋" w:cs="仿宋"/>
          <w:b/>
          <w:snapToGrid w:val="0"/>
          <w:color w:val="auto"/>
          <w:kern w:val="0"/>
          <w:sz w:val="30"/>
          <w:szCs w:val="30"/>
          <w:highlight w:val="none"/>
        </w:rPr>
        <w:t>十一、违约、索赔和争议</w:t>
      </w:r>
      <w:bookmarkEnd w:id="238"/>
      <w:bookmarkEnd w:id="239"/>
      <w:bookmarkEnd w:id="240"/>
    </w:p>
    <w:p w14:paraId="0DE10EC0">
      <w:pPr>
        <w:adjustRightInd w:val="0"/>
        <w:snapToGrid w:val="0"/>
        <w:spacing w:line="360" w:lineRule="auto"/>
        <w:outlineLvl w:val="2"/>
        <w:rPr>
          <w:rFonts w:ascii="仿宋" w:hAnsi="仿宋" w:eastAsia="仿宋" w:cs="仿宋"/>
          <w:b/>
          <w:snapToGrid w:val="0"/>
          <w:color w:val="auto"/>
          <w:kern w:val="0"/>
          <w:sz w:val="24"/>
          <w:highlight w:val="none"/>
        </w:rPr>
      </w:pPr>
      <w:bookmarkStart w:id="241" w:name="_Toc2784903"/>
      <w:bookmarkStart w:id="242" w:name="_Toc83377292"/>
      <w:bookmarkStart w:id="243" w:name="_Toc22275"/>
      <w:r>
        <w:rPr>
          <w:rFonts w:hint="eastAsia" w:ascii="仿宋" w:hAnsi="仿宋" w:eastAsia="仿宋" w:cs="仿宋"/>
          <w:b/>
          <w:snapToGrid w:val="0"/>
          <w:color w:val="auto"/>
          <w:kern w:val="0"/>
          <w:sz w:val="24"/>
          <w:highlight w:val="none"/>
          <w:lang w:eastAsia="zh-CN"/>
        </w:rPr>
        <w:t>40.</w:t>
      </w:r>
      <w:r>
        <w:rPr>
          <w:rFonts w:hint="eastAsia" w:ascii="仿宋" w:hAnsi="仿宋" w:eastAsia="仿宋" w:cs="仿宋"/>
          <w:b/>
          <w:snapToGrid w:val="0"/>
          <w:color w:val="auto"/>
          <w:kern w:val="0"/>
          <w:sz w:val="24"/>
          <w:highlight w:val="none"/>
        </w:rPr>
        <w:t>违约</w:t>
      </w:r>
      <w:bookmarkEnd w:id="241"/>
      <w:bookmarkEnd w:id="242"/>
      <w:bookmarkEnd w:id="243"/>
    </w:p>
    <w:p w14:paraId="2B92E7E1">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4</w:t>
      </w:r>
      <w:r>
        <w:rPr>
          <w:rFonts w:ascii="仿宋" w:hAnsi="仿宋" w:eastAsia="仿宋" w:cs="仿宋"/>
          <w:bCs/>
          <w:snapToGrid w:val="0"/>
          <w:color w:val="auto"/>
          <w:kern w:val="0"/>
          <w:sz w:val="24"/>
          <w:highlight w:val="none"/>
        </w:rPr>
        <w:t>0</w:t>
      </w:r>
      <w:r>
        <w:rPr>
          <w:rFonts w:hint="eastAsia" w:ascii="仿宋" w:hAnsi="仿宋" w:eastAsia="仿宋" w:cs="仿宋"/>
          <w:bCs/>
          <w:snapToGrid w:val="0"/>
          <w:color w:val="auto"/>
          <w:kern w:val="0"/>
          <w:sz w:val="24"/>
          <w:highlight w:val="none"/>
        </w:rPr>
        <w:t>.1</w:t>
      </w:r>
      <w:r>
        <w:rPr>
          <w:rFonts w:hint="eastAsia" w:ascii="仿宋" w:hAnsi="仿宋" w:eastAsia="仿宋" w:cs="仿宋"/>
          <w:snapToGrid w:val="0"/>
          <w:color w:val="auto"/>
          <w:kern w:val="0"/>
          <w:sz w:val="24"/>
          <w:highlight w:val="none"/>
        </w:rPr>
        <w:t>发包人的违约责任</w:t>
      </w:r>
    </w:p>
    <w:p w14:paraId="0D498C57">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（1）发包人无正当理由不按合同约定支付工程预付款、进度款和竣工结算款的，除应继续支付本合同约定的工程预付款、进度款和竣工结算款外，承包人有权根据应付未付合同款要求发包人按照</w:t>
      </w:r>
      <w:bookmarkStart w:id="244" w:name="OLE_LINK29"/>
      <w:bookmarkStart w:id="245" w:name="OLE_LINK30"/>
      <w:r>
        <w:rPr>
          <w:rFonts w:hint="eastAsia" w:ascii="仿宋" w:hAnsi="仿宋" w:eastAsia="仿宋" w:cs="仿宋"/>
          <w:snapToGrid w:val="0"/>
          <w:color w:val="auto"/>
          <w:kern w:val="0"/>
          <w:sz w:val="24"/>
          <w:highlight w:val="none"/>
        </w:rPr>
        <w:t>中国人民银行发布的同期活期存款基准利率</w:t>
      </w:r>
      <w:bookmarkEnd w:id="244"/>
      <w:bookmarkEnd w:id="245"/>
      <w:r>
        <w:rPr>
          <w:rFonts w:hint="eastAsia" w:ascii="仿宋" w:hAnsi="仿宋" w:eastAsia="仿宋" w:cs="仿宋"/>
          <w:snapToGrid w:val="0"/>
          <w:color w:val="auto"/>
          <w:kern w:val="0"/>
          <w:sz w:val="24"/>
          <w:highlight w:val="none"/>
        </w:rPr>
        <w:t>支付违约金。</w:t>
      </w:r>
    </w:p>
    <w:p w14:paraId="00624225">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（2）因发包人违约或者过错给承包人造成损失的，在承包人提交足够证据并经查证属实的情况下，发包人应赔偿其直接经济损失。</w:t>
      </w:r>
    </w:p>
    <w:p w14:paraId="77A230C7">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4</w:t>
      </w:r>
      <w:r>
        <w:rPr>
          <w:rFonts w:ascii="仿宋" w:hAnsi="仿宋" w:eastAsia="仿宋" w:cs="仿宋"/>
          <w:bCs/>
          <w:snapToGrid w:val="0"/>
          <w:color w:val="auto"/>
          <w:kern w:val="0"/>
          <w:sz w:val="24"/>
          <w:highlight w:val="none"/>
        </w:rPr>
        <w:t>0</w:t>
      </w:r>
      <w:r>
        <w:rPr>
          <w:rFonts w:hint="eastAsia" w:ascii="仿宋" w:hAnsi="仿宋" w:eastAsia="仿宋" w:cs="仿宋"/>
          <w:snapToGrid w:val="0"/>
          <w:color w:val="auto"/>
          <w:kern w:val="0"/>
          <w:sz w:val="24"/>
          <w:highlight w:val="none"/>
        </w:rPr>
        <w:t>.2承包人违约。</w:t>
      </w:r>
    </w:p>
    <w:p w14:paraId="43698A21">
      <w:pPr>
        <w:pStyle w:val="21"/>
        <w:spacing w:line="360" w:lineRule="auto"/>
        <w:ind w:firstLine="240"/>
        <w:rPr>
          <w:rFonts w:ascii="仿宋" w:hAnsi="仿宋" w:eastAsia="仿宋" w:cs="仿宋"/>
          <w:color w:val="auto"/>
          <w:highlight w:val="none"/>
        </w:rPr>
      </w:pPr>
      <w:r>
        <w:rPr>
          <w:rFonts w:hint="eastAsia" w:ascii="仿宋" w:hAnsi="仿宋" w:eastAsia="仿宋" w:cs="仿宋"/>
          <w:snapToGrid w:val="0"/>
          <w:color w:val="auto"/>
          <w:sz w:val="24"/>
          <w:highlight w:val="none"/>
        </w:rPr>
        <w:t>承包人一方在履行本合同时因自身原因导致违约或发包人要求赔偿时，相应的违约责任及赔偿由违约的一方承担。</w:t>
      </w:r>
    </w:p>
    <w:p w14:paraId="25C1CE2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4</w:t>
      </w:r>
      <w:r>
        <w:rPr>
          <w:rFonts w:ascii="仿宋" w:hAnsi="仿宋" w:eastAsia="仿宋" w:cs="仿宋"/>
          <w:bCs/>
          <w:snapToGrid w:val="0"/>
          <w:color w:val="auto"/>
          <w:kern w:val="0"/>
          <w:sz w:val="24"/>
          <w:highlight w:val="none"/>
        </w:rPr>
        <w:t>0</w:t>
      </w:r>
      <w:r>
        <w:rPr>
          <w:rFonts w:hint="eastAsia" w:ascii="仿宋" w:hAnsi="仿宋" w:eastAsia="仿宋" w:cs="仿宋"/>
          <w:snapToGrid w:val="0"/>
          <w:color w:val="auto"/>
          <w:kern w:val="0"/>
          <w:sz w:val="24"/>
          <w:highlight w:val="none"/>
        </w:rPr>
        <w:t>.2.1承包人违约的情形：</w:t>
      </w:r>
    </w:p>
    <w:p w14:paraId="0BFA255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（1）工程质量方面的违约责任；</w:t>
      </w:r>
    </w:p>
    <w:p w14:paraId="55631C7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（2）安全生产方面的违约责任；</w:t>
      </w:r>
    </w:p>
    <w:p w14:paraId="24D6F2E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（3）文明施工、环境保护方面的违约责任；</w:t>
      </w:r>
    </w:p>
    <w:p w14:paraId="2BD9E95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（4）工程分包、转包方面的违约责任；</w:t>
      </w:r>
    </w:p>
    <w:p w14:paraId="60C4377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（5）其他违约责任。</w:t>
      </w:r>
    </w:p>
    <w:p w14:paraId="114A21E5">
      <w:pPr>
        <w:pStyle w:val="21"/>
        <w:ind w:firstLine="480" w:firstLineChars="200"/>
        <w:rPr>
          <w:rFonts w:ascii="仿宋" w:hAnsi="仿宋" w:eastAsia="仿宋" w:cs="仿宋"/>
          <w:snapToGrid w:val="0"/>
          <w:color w:val="auto"/>
          <w:sz w:val="24"/>
          <w:highlight w:val="none"/>
        </w:rPr>
      </w:pPr>
      <w:r>
        <w:rPr>
          <w:rFonts w:hint="eastAsia" w:ascii="仿宋" w:hAnsi="仿宋" w:eastAsia="仿宋" w:cs="仿宋"/>
          <w:bCs/>
          <w:snapToGrid w:val="0"/>
          <w:color w:val="auto"/>
          <w:sz w:val="24"/>
          <w:highlight w:val="none"/>
        </w:rPr>
        <w:t>4</w:t>
      </w:r>
      <w:r>
        <w:rPr>
          <w:rFonts w:ascii="仿宋" w:hAnsi="仿宋" w:eastAsia="仿宋" w:cs="仿宋"/>
          <w:bCs/>
          <w:snapToGrid w:val="0"/>
          <w:color w:val="auto"/>
          <w:sz w:val="24"/>
          <w:highlight w:val="none"/>
        </w:rPr>
        <w:t>0</w:t>
      </w:r>
      <w:r>
        <w:rPr>
          <w:rFonts w:hint="eastAsia" w:ascii="仿宋" w:hAnsi="仿宋" w:eastAsia="仿宋" w:cs="仿宋"/>
          <w:snapToGrid w:val="0"/>
          <w:color w:val="auto"/>
          <w:sz w:val="24"/>
          <w:highlight w:val="none"/>
        </w:rPr>
        <w:t>.2.2承包人承担违约责任形式包括但不限于：</w:t>
      </w:r>
    </w:p>
    <w:p w14:paraId="01350D69">
      <w:pPr>
        <w:pStyle w:val="22"/>
        <w:ind w:firstLine="480"/>
        <w:rPr>
          <w:rFonts w:ascii="仿宋" w:hAnsi="仿宋" w:eastAsia="仿宋" w:cs="仿宋"/>
          <w:color w:val="auto"/>
          <w:highlight w:val="none"/>
        </w:rPr>
      </w:pPr>
      <w:r>
        <w:rPr>
          <w:rFonts w:hint="eastAsia" w:ascii="仿宋" w:hAnsi="仿宋" w:eastAsia="仿宋" w:cs="仿宋"/>
          <w:color w:val="auto"/>
          <w:highlight w:val="none"/>
        </w:rPr>
        <w:t>（1）书面警告。承包人未履行或未按时履行或未按质履行义务时，监理人或发包人有权向承包人发出书面警告，每次书面警告，承包人应当支付违约金人民币2000元给发包人。</w:t>
      </w:r>
    </w:p>
    <w:p w14:paraId="1735F576">
      <w:pPr>
        <w:pStyle w:val="22"/>
        <w:ind w:firstLine="480"/>
        <w:rPr>
          <w:rFonts w:ascii="仿宋" w:hAnsi="仿宋" w:eastAsia="仿宋" w:cs="仿宋"/>
          <w:color w:val="auto"/>
          <w:highlight w:val="none"/>
        </w:rPr>
      </w:pPr>
      <w:r>
        <w:rPr>
          <w:rFonts w:hint="eastAsia" w:ascii="仿宋" w:hAnsi="仿宋" w:eastAsia="仿宋" w:cs="仿宋"/>
          <w:color w:val="auto"/>
          <w:highlight w:val="none"/>
        </w:rPr>
        <w:t>（2）限期改正。承包人受到书面警告后仍不改正，监理人或发包人有权向承包人发出《违约责任通知书》，要求承包人必须在监理人或发包人限定的时间内履行义务，同时，承包人应当向发包人支付违约金人民币5000元。</w:t>
      </w:r>
    </w:p>
    <w:p w14:paraId="5E41F8BD">
      <w:pPr>
        <w:pStyle w:val="22"/>
        <w:ind w:firstLine="480"/>
        <w:rPr>
          <w:rFonts w:ascii="仿宋" w:hAnsi="仿宋" w:eastAsia="仿宋" w:cs="仿宋"/>
          <w:color w:val="auto"/>
          <w:highlight w:val="none"/>
        </w:rPr>
      </w:pPr>
      <w:r>
        <w:rPr>
          <w:rFonts w:hint="eastAsia" w:ascii="仿宋" w:hAnsi="仿宋" w:eastAsia="仿宋" w:cs="仿宋"/>
          <w:color w:val="auto"/>
          <w:highlight w:val="none"/>
        </w:rPr>
        <w:t>（3）一般违约责任。承包人违反本合同的约定须承担一般违约责任时，必须主动向发包人交纳违约金人民币5万元/次；若承包人再犯性质相同的违约行为，第2次7.5万元，2次以上（不含本数）10万元/次。</w:t>
      </w:r>
    </w:p>
    <w:p w14:paraId="016C1297">
      <w:pPr>
        <w:pStyle w:val="22"/>
        <w:ind w:firstLine="480"/>
        <w:rPr>
          <w:rFonts w:ascii="仿宋" w:hAnsi="仿宋" w:eastAsia="仿宋" w:cs="仿宋"/>
          <w:color w:val="auto"/>
          <w:highlight w:val="none"/>
        </w:rPr>
      </w:pPr>
      <w:r>
        <w:rPr>
          <w:rFonts w:hint="eastAsia" w:ascii="仿宋" w:hAnsi="仿宋" w:eastAsia="仿宋" w:cs="仿宋"/>
          <w:color w:val="auto"/>
          <w:highlight w:val="none"/>
        </w:rPr>
        <w:t>（4）严重违约责任。承包人违反本合同的约定须承担严重违约责任时，必须向发包人交纳违约金人民币25万元/次。</w:t>
      </w:r>
    </w:p>
    <w:p w14:paraId="5DBB7032">
      <w:pPr>
        <w:pStyle w:val="22"/>
        <w:ind w:firstLine="480"/>
        <w:rPr>
          <w:rFonts w:ascii="仿宋" w:hAnsi="仿宋" w:eastAsia="仿宋" w:cs="仿宋"/>
          <w:color w:val="auto"/>
          <w:highlight w:val="none"/>
        </w:rPr>
      </w:pPr>
      <w:r>
        <w:rPr>
          <w:rFonts w:hint="eastAsia" w:ascii="仿宋" w:hAnsi="仿宋" w:eastAsia="仿宋" w:cs="仿宋"/>
          <w:color w:val="auto"/>
          <w:highlight w:val="none"/>
        </w:rPr>
        <w:t>（5）部分解除合同。当承包人违反本合同的约定符合解除部分合同的条件时，发包人有权向承包人发出书面解除部分合同的通知，该通知在送达承包人时部分解除合同即生效。发包人有权从本合同价款中直接扣除被解除部分工程所需的全部费用。</w:t>
      </w:r>
    </w:p>
    <w:p w14:paraId="7DB0DE2A">
      <w:pPr>
        <w:pStyle w:val="22"/>
        <w:ind w:firstLine="480"/>
        <w:rPr>
          <w:rFonts w:ascii="仿宋" w:hAnsi="仿宋" w:eastAsia="仿宋" w:cs="仿宋"/>
          <w:color w:val="auto"/>
          <w:highlight w:val="none"/>
        </w:rPr>
      </w:pPr>
      <w:r>
        <w:rPr>
          <w:rFonts w:hint="eastAsia" w:ascii="仿宋" w:hAnsi="仿宋" w:eastAsia="仿宋" w:cs="仿宋"/>
          <w:color w:val="auto"/>
          <w:highlight w:val="none"/>
        </w:rPr>
        <w:t>（6）解除合同。当承包人违反本合同的约定符合解除全部合同的条件时，发包人有权向承包人发出书面解除全部合同的通知，该通知在送达承包人时解除合同即生效。解除合同的法律后果依照相关约定执行。</w:t>
      </w:r>
    </w:p>
    <w:p w14:paraId="41EA5DE3">
      <w:pPr>
        <w:pStyle w:val="22"/>
        <w:ind w:firstLine="480"/>
        <w:rPr>
          <w:rFonts w:ascii="仿宋" w:hAnsi="仿宋" w:eastAsia="仿宋" w:cs="仿宋"/>
          <w:color w:val="auto"/>
          <w:highlight w:val="none"/>
        </w:rPr>
      </w:pPr>
      <w:r>
        <w:rPr>
          <w:rFonts w:hint="eastAsia" w:ascii="仿宋" w:hAnsi="仿宋" w:eastAsia="仿宋" w:cs="仿宋"/>
          <w:color w:val="auto"/>
          <w:highlight w:val="none"/>
        </w:rPr>
        <w:t>（7）赔偿损失。因承包人原因造成发包人经济损失的，承包人应向发包人赔偿因其造成的直接经济损失，但赔偿金额累计不超过合同款项总额。</w:t>
      </w:r>
    </w:p>
    <w:p w14:paraId="56EE6F6D">
      <w:pPr>
        <w:pStyle w:val="22"/>
        <w:ind w:firstLine="480"/>
        <w:rPr>
          <w:rFonts w:hint="eastAsia" w:ascii="仿宋" w:hAnsi="仿宋" w:eastAsia="仿宋" w:cs="仿宋"/>
          <w:color w:val="auto"/>
          <w:highlight w:val="none"/>
        </w:rPr>
      </w:pPr>
      <w:r>
        <w:rPr>
          <w:rFonts w:hint="eastAsia" w:ascii="仿宋" w:hAnsi="仿宋" w:eastAsia="仿宋" w:cs="仿宋"/>
          <w:color w:val="auto"/>
          <w:highlight w:val="none"/>
        </w:rPr>
        <w:t>（8）承包人施工过程必须保证施工质量、进度以及安全。在发包人以及发包人上级单位组织的月度巡检中，巡检打分表内关于质量、安全、文明施工和进度（不含成本）：当月累计扣分≤5分，发包人奖励承包人2万元/次；当月累计扣分大于5分不大于10分时，不奖不罚；当月累计扣分大于10分不大于20分时，承包人应当向发包人支付违约金人民币5万元/次；当月累计扣分大于20分时，承包人应当向发包人支付违约金人民币15万元/次。</w:t>
      </w:r>
    </w:p>
    <w:p w14:paraId="6B2D9E9F">
      <w:pPr>
        <w:pStyle w:val="22"/>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w:t>
      </w:r>
      <w:r>
        <w:rPr>
          <w:rFonts w:hint="eastAsia" w:ascii="仿宋" w:hAnsi="仿宋" w:eastAsia="仿宋"/>
          <w:color w:val="auto"/>
          <w:highlight w:val="none"/>
          <w:lang w:eastAsia="zh-CN"/>
        </w:rPr>
        <w:t>承包人按本合同约定应缴纳的违约金和赔偿金应分别计算；违约金累计总额不超过本合同结算价款的25%。</w:t>
      </w:r>
    </w:p>
    <w:p w14:paraId="4726780F">
      <w:pPr>
        <w:pStyle w:val="22"/>
        <w:ind w:firstLine="480"/>
        <w:rPr>
          <w:rFonts w:ascii="仿宋" w:hAnsi="仿宋" w:eastAsia="仿宋" w:cs="仿宋"/>
          <w:color w:val="auto"/>
          <w:highlight w:val="none"/>
        </w:rPr>
      </w:pPr>
      <w:r>
        <w:rPr>
          <w:rFonts w:hint="eastAsia" w:ascii="仿宋" w:hAnsi="仿宋" w:eastAsia="仿宋" w:cs="仿宋"/>
          <w:bCs/>
          <w:snapToGrid w:val="0"/>
          <w:color w:val="auto"/>
          <w:highlight w:val="none"/>
        </w:rPr>
        <w:t>4</w:t>
      </w:r>
      <w:r>
        <w:rPr>
          <w:rFonts w:ascii="仿宋" w:hAnsi="仿宋" w:eastAsia="仿宋" w:cs="仿宋"/>
          <w:bCs/>
          <w:snapToGrid w:val="0"/>
          <w:color w:val="auto"/>
          <w:highlight w:val="none"/>
        </w:rPr>
        <w:t>0</w:t>
      </w:r>
      <w:r>
        <w:rPr>
          <w:rFonts w:hint="eastAsia" w:ascii="仿宋" w:hAnsi="仿宋" w:eastAsia="仿宋" w:cs="仿宋"/>
          <w:snapToGrid w:val="0"/>
          <w:color w:val="auto"/>
          <w:highlight w:val="none"/>
        </w:rPr>
        <w:t>.2.3承包人违约的责任</w:t>
      </w:r>
    </w:p>
    <w:p w14:paraId="43E557F9">
      <w:pPr>
        <w:pStyle w:val="22"/>
        <w:ind w:firstLine="480"/>
        <w:rPr>
          <w:rFonts w:ascii="仿宋" w:hAnsi="仿宋" w:eastAsia="仿宋" w:cs="仿宋"/>
          <w:color w:val="auto"/>
          <w:highlight w:val="none"/>
        </w:rPr>
      </w:pPr>
      <w:r>
        <w:rPr>
          <w:rFonts w:hint="eastAsia" w:ascii="仿宋" w:hAnsi="仿宋" w:eastAsia="仿宋" w:cs="仿宋"/>
          <w:color w:val="auto"/>
          <w:highlight w:val="none"/>
        </w:rPr>
        <w:t>承包人违约责任的承担方式和计算方法：承包人违约须向发包人支付违约金或赔偿金时，发包人有权从应支付给承包人的工程款中直接抵扣，承包人不得有异议。如在月工程款无法扣付，或扣除月工程款会影响工程正常施工时，发包人将</w:t>
      </w:r>
      <w:r>
        <w:rPr>
          <w:rFonts w:hint="eastAsia" w:ascii="仿宋" w:hAnsi="仿宋" w:eastAsia="仿宋" w:cs="仿宋"/>
          <w:color w:val="auto"/>
          <w:highlight w:val="none"/>
          <w:lang w:val="en-US" w:eastAsia="zh-CN"/>
        </w:rPr>
        <w:t>启用履约保函，详见合同</w:t>
      </w:r>
      <w:r>
        <w:rPr>
          <w:rFonts w:hint="eastAsia" w:ascii="仿宋" w:hAnsi="仿宋" w:eastAsia="仿宋" w:cs="仿宋"/>
          <w:color w:val="auto"/>
          <w:sz w:val="24"/>
          <w:szCs w:val="24"/>
          <w:highlight w:val="none"/>
          <w:lang w:eastAsia="zh-CN"/>
        </w:rPr>
        <w:t>本协议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条款</w:t>
      </w:r>
      <w:r>
        <w:rPr>
          <w:rFonts w:hint="eastAsia" w:ascii="仿宋" w:hAnsi="仿宋" w:eastAsia="仿宋" w:cs="仿宋"/>
          <w:color w:val="auto"/>
          <w:highlight w:val="none"/>
          <w:lang w:val="en-US" w:eastAsia="zh-CN"/>
        </w:rPr>
        <w:t>“工程担保”</w:t>
      </w:r>
      <w:r>
        <w:rPr>
          <w:rFonts w:hint="eastAsia" w:ascii="仿宋" w:hAnsi="仿宋" w:eastAsia="仿宋" w:cs="仿宋"/>
          <w:color w:val="auto"/>
          <w:highlight w:val="none"/>
        </w:rPr>
        <w:t>。</w:t>
      </w:r>
    </w:p>
    <w:p w14:paraId="74BD72E4">
      <w:pPr>
        <w:pStyle w:val="22"/>
        <w:ind w:firstLine="480"/>
        <w:rPr>
          <w:rFonts w:ascii="仿宋" w:hAnsi="仿宋" w:eastAsia="仿宋" w:cs="仿宋"/>
          <w:color w:val="auto"/>
          <w:highlight w:val="none"/>
        </w:rPr>
      </w:pPr>
      <w:r>
        <w:rPr>
          <w:rFonts w:hint="eastAsia" w:ascii="仿宋" w:hAnsi="仿宋" w:eastAsia="仿宋" w:cs="仿宋"/>
          <w:color w:val="auto"/>
          <w:highlight w:val="none"/>
        </w:rPr>
        <w:t>（1）承包人未按合同约定单方停工的，每停工1天</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应向发包人支付合同价款3‰的违约金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停工超过15天，发包人有权解除合同并不免除承包人的违约赔偿责任。</w:t>
      </w:r>
      <w:r>
        <w:rPr>
          <w:rFonts w:hint="eastAsia" w:ascii="仿宋" w:hAnsi="仿宋" w:eastAsia="仿宋" w:cs="仿宋"/>
          <w:bCs/>
          <w:snapToGrid w:val="0"/>
          <w:color w:val="auto"/>
          <w:szCs w:val="22"/>
          <w:highlight w:val="none"/>
        </w:rPr>
        <w:t>承包人未能如期按合同工期完成设计和施工任务，或承包人施工进度滞后、不符合本合同约定的，除本合同另有约定外，每延后1天，应向发包人支付合同价款</w:t>
      </w:r>
      <w:r>
        <w:rPr>
          <w:rFonts w:hint="eastAsia" w:ascii="仿宋" w:hAnsi="仿宋" w:eastAsia="仿宋" w:cs="仿宋"/>
          <w:color w:val="auto"/>
          <w:highlight w:val="none"/>
        </w:rPr>
        <w:t>3‰的违约金，延后超过15天，发包人有权解除合同并不免除承包人的违约责任。</w:t>
      </w:r>
    </w:p>
    <w:p w14:paraId="3879EE3E">
      <w:pPr>
        <w:pStyle w:val="22"/>
        <w:ind w:firstLine="480"/>
        <w:rPr>
          <w:rFonts w:ascii="仿宋" w:hAnsi="仿宋" w:eastAsia="仿宋" w:cs="仿宋"/>
          <w:color w:val="auto"/>
          <w:highlight w:val="none"/>
        </w:rPr>
      </w:pPr>
      <w:r>
        <w:rPr>
          <w:rFonts w:hint="eastAsia" w:ascii="仿宋" w:hAnsi="仿宋" w:eastAsia="仿宋" w:cs="仿宋"/>
          <w:color w:val="auto"/>
          <w:highlight w:val="none"/>
        </w:rPr>
        <w:t>（2）发包人和监理人按照本合同第20.5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14:paraId="79A463E4">
      <w:pPr>
        <w:pStyle w:val="22"/>
        <w:ind w:firstLine="480"/>
        <w:rPr>
          <w:rFonts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单宗或批次材料价值在10万元以上100万元以下（含100万元），承包人承担1次一般违约责任。</w:t>
      </w:r>
    </w:p>
    <w:p w14:paraId="645055E8">
      <w:pPr>
        <w:pStyle w:val="22"/>
        <w:ind w:firstLine="480"/>
        <w:rPr>
          <w:rFonts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单宗或批次材料价值</w:t>
      </w:r>
      <w:r>
        <w:rPr>
          <w:rFonts w:hint="eastAsia" w:ascii="仿宋" w:hAnsi="仿宋" w:eastAsia="仿宋" w:cs="仿宋"/>
          <w:color w:val="auto"/>
          <w:highlight w:val="none"/>
          <w:lang w:eastAsia="zh-CN"/>
        </w:rPr>
        <w:t>100万元-200万</w:t>
      </w:r>
      <w:r>
        <w:rPr>
          <w:rFonts w:hint="eastAsia" w:ascii="仿宋" w:hAnsi="仿宋" w:eastAsia="仿宋" w:cs="仿宋"/>
          <w:color w:val="auto"/>
          <w:highlight w:val="none"/>
        </w:rPr>
        <w:t>元（含200万元），承包人承担1次严重违约责任。</w:t>
      </w:r>
    </w:p>
    <w:p w14:paraId="0939348F">
      <w:pPr>
        <w:pStyle w:val="22"/>
        <w:ind w:firstLine="480"/>
        <w:rPr>
          <w:rFonts w:ascii="仿宋" w:hAnsi="仿宋" w:eastAsia="仿宋" w:cs="仿宋"/>
          <w:color w:val="auto"/>
          <w:highlight w:val="none"/>
        </w:rPr>
      </w:pPr>
      <w:r>
        <w:rPr>
          <w:rFonts w:hint="eastAsia" w:ascii="仿宋" w:hAnsi="仿宋" w:eastAsia="仿宋" w:cs="仿宋"/>
          <w:color w:val="auto"/>
          <w:highlight w:val="none"/>
        </w:rPr>
        <w:t>C</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单宗或批次材料价值在200万元以上的，发包人有权部分解除合同或解除合同，并要求承包人赔偿发包人由此遭受的实际损失。</w:t>
      </w:r>
    </w:p>
    <w:p w14:paraId="17D4C39F">
      <w:pPr>
        <w:pStyle w:val="22"/>
        <w:ind w:firstLine="480"/>
        <w:rPr>
          <w:rFonts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对于单宗或批次材料价值不高于10万元的（含10万元），但累计抽检不合格达5次，承包人承担1次一般违约责任。</w:t>
      </w:r>
    </w:p>
    <w:p w14:paraId="207AA57A">
      <w:pPr>
        <w:pStyle w:val="22"/>
        <w:ind w:firstLine="480"/>
        <w:rPr>
          <w:rFonts w:ascii="仿宋" w:hAnsi="仿宋" w:eastAsia="仿宋" w:cs="仿宋"/>
          <w:color w:val="auto"/>
          <w:highlight w:val="none"/>
        </w:rPr>
      </w:pPr>
      <w:r>
        <w:rPr>
          <w:rFonts w:hint="eastAsia" w:ascii="仿宋" w:hAnsi="仿宋" w:eastAsia="仿宋" w:cs="仿宋"/>
          <w:color w:val="auto"/>
          <w:highlight w:val="none"/>
        </w:rPr>
        <w:t>（3）承包人按合同约定对材料、工程设备以及工程的所有部位及其施工工艺进行全过程的质量检查和检验，如经监理人或发包人检查发现存在较大质量问题（如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承担一般违约责任；总计发现3次以上（不含本数）或连续发现2次以上（不含本数）质量控制点不合格的，承包人承担严重违约责任；承包人采取整改措施后效果仍不明显的，发包人有权部分解除合同，将该分项工程另行发包，并不免除承包人应承担的违约赔偿责任。</w:t>
      </w:r>
    </w:p>
    <w:p w14:paraId="6F46D720">
      <w:pPr>
        <w:pStyle w:val="22"/>
        <w:ind w:firstLine="480"/>
        <w:rPr>
          <w:rFonts w:ascii="仿宋" w:hAnsi="仿宋" w:eastAsia="仿宋" w:cs="仿宋"/>
          <w:color w:val="auto"/>
          <w:highlight w:val="none"/>
        </w:rPr>
      </w:pPr>
      <w:r>
        <w:rPr>
          <w:rFonts w:hint="eastAsia" w:ascii="仿宋" w:hAnsi="仿宋" w:eastAsia="仿宋" w:cs="仿宋"/>
          <w:color w:val="auto"/>
          <w:highlight w:val="none"/>
        </w:rPr>
        <w:t>（4）工程竣工验收达不到合同约定的质量标准的，承包人向发包人</w:t>
      </w:r>
      <w:r>
        <w:rPr>
          <w:rFonts w:hint="eastAsia" w:ascii="仿宋" w:hAnsi="仿宋" w:eastAsia="仿宋" w:cs="仿宋"/>
          <w:color w:val="auto"/>
          <w:highlight w:val="none"/>
          <w:lang w:eastAsia="zh-CN"/>
        </w:rPr>
        <w:t>缴纳</w:t>
      </w:r>
      <w:r>
        <w:rPr>
          <w:rFonts w:hint="eastAsia" w:ascii="仿宋" w:hAnsi="仿宋" w:eastAsia="仿宋" w:cs="仿宋"/>
          <w:color w:val="auto"/>
          <w:highlight w:val="none"/>
        </w:rPr>
        <w:t>审定税前结算总价2%的违约金。</w:t>
      </w:r>
    </w:p>
    <w:p w14:paraId="3F71DDEB">
      <w:pPr>
        <w:pStyle w:val="22"/>
        <w:ind w:firstLine="480"/>
        <w:rPr>
          <w:rFonts w:ascii="仿宋" w:hAnsi="仿宋" w:eastAsia="仿宋" w:cs="仿宋"/>
          <w:color w:val="auto"/>
          <w:highlight w:val="none"/>
        </w:rPr>
      </w:pPr>
      <w:r>
        <w:rPr>
          <w:rFonts w:hint="eastAsia" w:ascii="仿宋" w:hAnsi="仿宋" w:eastAsia="仿宋" w:cs="仿宋"/>
          <w:color w:val="auto"/>
          <w:highlight w:val="none"/>
        </w:rPr>
        <w:t>（5）工程保修期内发现重大质量不合格问题（该重大质量问题应界定为达不到要求的质量标准，属质量保修的问题除外），承包人必须在规定的期限返工并达到合同约定的质量等级，并按该不合格项目所处分项工程造价5%计算向发包人承担支付违约金的责任。</w:t>
      </w:r>
    </w:p>
    <w:p w14:paraId="76E801A4">
      <w:pPr>
        <w:pStyle w:val="22"/>
        <w:ind w:firstLine="480"/>
        <w:rPr>
          <w:rFonts w:ascii="仿宋" w:hAnsi="仿宋" w:eastAsia="仿宋" w:cs="仿宋"/>
          <w:color w:val="auto"/>
          <w:highlight w:val="none"/>
        </w:rPr>
      </w:pPr>
      <w:r>
        <w:rPr>
          <w:rFonts w:hint="eastAsia" w:ascii="仿宋" w:hAnsi="仿宋" w:eastAsia="仿宋" w:cs="仿宋"/>
          <w:color w:val="auto"/>
          <w:highlight w:val="none"/>
        </w:rPr>
        <w:t>（6）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14:paraId="25422F80">
      <w:pPr>
        <w:pStyle w:val="22"/>
        <w:ind w:firstLine="480"/>
        <w:rPr>
          <w:rFonts w:ascii="仿宋" w:hAnsi="仿宋" w:eastAsia="仿宋" w:cs="仿宋"/>
          <w:color w:val="auto"/>
          <w:highlight w:val="none"/>
        </w:rPr>
      </w:pPr>
      <w:r>
        <w:rPr>
          <w:rFonts w:hint="eastAsia" w:ascii="仿宋" w:hAnsi="仿宋" w:eastAsia="仿宋" w:cs="仿宋"/>
          <w:color w:val="auto"/>
          <w:highlight w:val="none"/>
        </w:rPr>
        <w:t>（7）承包人在发包人、监理人进行的日常质量安全检查中，被发现存在安全隐患的，承包人应限期改正。若同样问题被发现2次的或累计类似问题被发现3次，承包人必须承担一般违约责任1次；此类问题的认定，以发包人、监理人书面通知、指令、通报和会议纪要为准。</w:t>
      </w:r>
    </w:p>
    <w:p w14:paraId="53ECDA49">
      <w:pPr>
        <w:pStyle w:val="22"/>
        <w:ind w:firstLine="480"/>
        <w:rPr>
          <w:rFonts w:ascii="仿宋" w:hAnsi="仿宋" w:eastAsia="仿宋" w:cs="仿宋"/>
          <w:color w:val="auto"/>
          <w:highlight w:val="none"/>
        </w:rPr>
      </w:pPr>
      <w:r>
        <w:rPr>
          <w:rFonts w:hint="eastAsia" w:ascii="仿宋" w:hAnsi="仿宋" w:eastAsia="仿宋" w:cs="仿宋"/>
          <w:color w:val="auto"/>
          <w:highlight w:val="none"/>
        </w:rPr>
        <w:t>（8）发包人、监理人按照合同约定，对承包人文明施工措施进行对照检查。经检查发现承包人因自身原因未能落实的，承包人必须承担一般违约责任，并限期改正；如不限期改正，承包人须承担严重违约责任。</w:t>
      </w:r>
    </w:p>
    <w:p w14:paraId="6320A408">
      <w:pPr>
        <w:pStyle w:val="22"/>
        <w:ind w:firstLine="480"/>
        <w:rPr>
          <w:rFonts w:ascii="仿宋" w:hAnsi="仿宋" w:eastAsia="仿宋" w:cs="仿宋"/>
          <w:color w:val="auto"/>
          <w:highlight w:val="none"/>
        </w:rPr>
      </w:pPr>
      <w:r>
        <w:rPr>
          <w:rFonts w:hint="eastAsia" w:ascii="仿宋" w:hAnsi="仿宋" w:eastAsia="仿宋" w:cs="仿宋"/>
          <w:color w:val="auto"/>
          <w:highlight w:val="none"/>
        </w:rPr>
        <w:t>（9）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14:paraId="2B289085">
      <w:pPr>
        <w:pStyle w:val="22"/>
        <w:ind w:firstLine="480"/>
        <w:rPr>
          <w:rFonts w:ascii="仿宋" w:hAnsi="仿宋" w:eastAsia="仿宋" w:cs="仿宋"/>
          <w:color w:val="auto"/>
          <w:highlight w:val="none"/>
        </w:rPr>
      </w:pPr>
      <w:r>
        <w:rPr>
          <w:rFonts w:hint="eastAsia" w:ascii="仿宋" w:hAnsi="仿宋" w:eastAsia="仿宋" w:cs="仿宋"/>
          <w:color w:val="auto"/>
          <w:highlight w:val="none"/>
        </w:rPr>
        <w:t>（10）承包人在施工过程中因其自身原因造成周围环境卫生状况较差，被其他施工单位或周围居民投诉的，承包人必须在当天内整改。若故意拖延或同样问题累计被投诉2次，或累计被投诉3次，经查实，承包人必须承担一般违约责任1次。</w:t>
      </w:r>
    </w:p>
    <w:p w14:paraId="20F95A1C">
      <w:pPr>
        <w:pStyle w:val="22"/>
        <w:ind w:firstLine="480"/>
        <w:rPr>
          <w:rFonts w:ascii="仿宋" w:hAnsi="仿宋" w:eastAsia="仿宋" w:cs="仿宋"/>
          <w:color w:val="auto"/>
          <w:highlight w:val="none"/>
        </w:rPr>
      </w:pPr>
      <w:r>
        <w:rPr>
          <w:rFonts w:hint="eastAsia" w:ascii="仿宋" w:hAnsi="仿宋" w:eastAsia="仿宋" w:cs="仿宋"/>
          <w:color w:val="auto"/>
          <w:highlight w:val="none"/>
        </w:rPr>
        <w:t>（11）承包人擅自分包或者转包工程的，发包人有权单方部分解除合同或解除合同，由此而造成的经济损失由承包人负责赔偿。</w:t>
      </w:r>
    </w:p>
    <w:p w14:paraId="3697582E">
      <w:pPr>
        <w:pStyle w:val="22"/>
        <w:ind w:firstLine="480"/>
        <w:rPr>
          <w:rFonts w:ascii="仿宋" w:hAnsi="仿宋" w:eastAsia="仿宋" w:cs="仿宋"/>
          <w:color w:val="auto"/>
          <w:highlight w:val="none"/>
        </w:rPr>
      </w:pPr>
      <w:r>
        <w:rPr>
          <w:rFonts w:hint="eastAsia" w:ascii="仿宋" w:hAnsi="仿宋" w:eastAsia="仿宋" w:cs="仿宋"/>
          <w:color w:val="auto"/>
          <w:highlight w:val="none"/>
        </w:rPr>
        <w:t>（12）承包人必须服从发包人、监理人管理，主动支持发包人、监理人的工作，对发包人、监理人的指令，若无正当理由而公开或变相拒不执行的，承包人须承担严重违约责任，并承担由此造成的一切经济损失。</w:t>
      </w:r>
    </w:p>
    <w:p w14:paraId="35FE1E08">
      <w:pPr>
        <w:pStyle w:val="22"/>
        <w:ind w:firstLine="480"/>
        <w:rPr>
          <w:rFonts w:ascii="仿宋" w:hAnsi="仿宋" w:eastAsia="仿宋" w:cs="仿宋"/>
          <w:color w:val="auto"/>
          <w:highlight w:val="none"/>
        </w:rPr>
      </w:pPr>
      <w:r>
        <w:rPr>
          <w:rFonts w:hint="eastAsia" w:ascii="仿宋" w:hAnsi="仿宋" w:eastAsia="仿宋" w:cs="仿宋"/>
          <w:color w:val="auto"/>
          <w:highlight w:val="none"/>
        </w:rPr>
        <w:t>（13）承包人的承包人代表或技术负责人必须参加监理人或发包人主持的工程例会和其他要求的专题会议。除获得监理人或发包人批准外，每缺席1次，承包人须承担1次一般违约责任。</w:t>
      </w:r>
    </w:p>
    <w:p w14:paraId="454C407B">
      <w:pPr>
        <w:pStyle w:val="22"/>
        <w:ind w:firstLine="480"/>
        <w:rPr>
          <w:rFonts w:ascii="仿宋" w:hAnsi="仿宋" w:eastAsia="仿宋" w:cs="仿宋"/>
          <w:color w:val="auto"/>
          <w:highlight w:val="none"/>
        </w:rPr>
      </w:pPr>
      <w:r>
        <w:rPr>
          <w:rFonts w:hint="eastAsia" w:ascii="仿宋" w:hAnsi="仿宋" w:eastAsia="仿宋" w:cs="仿宋"/>
          <w:color w:val="auto"/>
          <w:highlight w:val="none"/>
        </w:rPr>
        <w:t>（14）承包人的工程管理人员和工程技术人员在收到中标通知书后未在合同规定的时间内全部及时到位，或未经监理人同意缺位超过24小时，或更换主要管理或技术人员的（无合理原因且未经发包人同意的）或被发包人发现有兼职情况而要求更换承包人代表及主要人员的，承包人需承担合同条款约定的全部责任，并按下表违约金额承担违约责任：</w:t>
      </w:r>
    </w:p>
    <w:p w14:paraId="48E00F10">
      <w:pPr>
        <w:spacing w:line="360" w:lineRule="auto"/>
        <w:ind w:firstLine="480" w:firstLineChars="200"/>
        <w:rPr>
          <w:rFonts w:ascii="仿宋" w:hAnsi="仿宋" w:eastAsia="仿宋" w:cs="仿宋"/>
          <w:color w:val="auto"/>
          <w:kern w:val="0"/>
          <w:sz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140"/>
        <w:gridCol w:w="2925"/>
      </w:tblGrid>
      <w:tr w14:paraId="320E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vAlign w:val="center"/>
          </w:tcPr>
          <w:p w14:paraId="38D45A8C">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140" w:type="dxa"/>
            <w:vAlign w:val="center"/>
          </w:tcPr>
          <w:p w14:paraId="24E799A9">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违约说明</w:t>
            </w:r>
          </w:p>
        </w:tc>
        <w:tc>
          <w:tcPr>
            <w:tcW w:w="2925" w:type="dxa"/>
            <w:vAlign w:val="center"/>
          </w:tcPr>
          <w:p w14:paraId="0B19C6EE">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违约金额（人民币元）</w:t>
            </w:r>
          </w:p>
        </w:tc>
      </w:tr>
      <w:tr w14:paraId="4DEE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restart"/>
            <w:vAlign w:val="center"/>
          </w:tcPr>
          <w:p w14:paraId="4E7323FF">
            <w:pPr>
              <w:widowControl/>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w:t>
            </w:r>
          </w:p>
        </w:tc>
        <w:tc>
          <w:tcPr>
            <w:tcW w:w="4140" w:type="dxa"/>
            <w:vAlign w:val="center"/>
          </w:tcPr>
          <w:p w14:paraId="175E748E">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更换承包人代表</w:t>
            </w:r>
          </w:p>
        </w:tc>
        <w:tc>
          <w:tcPr>
            <w:tcW w:w="2925" w:type="dxa"/>
          </w:tcPr>
          <w:p w14:paraId="4F99CCEC">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1000000元/人</w:t>
            </w:r>
          </w:p>
        </w:tc>
      </w:tr>
      <w:tr w14:paraId="17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14:paraId="25934E65">
            <w:pPr>
              <w:widowControl/>
              <w:spacing w:line="360" w:lineRule="auto"/>
              <w:jc w:val="left"/>
              <w:rPr>
                <w:rFonts w:ascii="仿宋" w:hAnsi="仿宋" w:eastAsia="仿宋" w:cs="仿宋"/>
                <w:color w:val="auto"/>
                <w:kern w:val="0"/>
                <w:sz w:val="24"/>
                <w:szCs w:val="18"/>
                <w:highlight w:val="none"/>
              </w:rPr>
            </w:pPr>
          </w:p>
        </w:tc>
        <w:tc>
          <w:tcPr>
            <w:tcW w:w="4140" w:type="dxa"/>
            <w:vAlign w:val="center"/>
          </w:tcPr>
          <w:p w14:paraId="4CCC914C">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更换总工或项目副经理</w:t>
            </w:r>
          </w:p>
        </w:tc>
        <w:tc>
          <w:tcPr>
            <w:tcW w:w="2925" w:type="dxa"/>
          </w:tcPr>
          <w:p w14:paraId="6E07ED06">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500000元/人</w:t>
            </w:r>
          </w:p>
        </w:tc>
      </w:tr>
      <w:tr w14:paraId="333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14:paraId="15B27068">
            <w:pPr>
              <w:widowControl/>
              <w:spacing w:line="360" w:lineRule="auto"/>
              <w:jc w:val="left"/>
              <w:rPr>
                <w:rFonts w:ascii="仿宋" w:hAnsi="仿宋" w:eastAsia="仿宋" w:cs="仿宋"/>
                <w:color w:val="auto"/>
                <w:kern w:val="0"/>
                <w:sz w:val="24"/>
                <w:szCs w:val="18"/>
                <w:highlight w:val="none"/>
              </w:rPr>
            </w:pPr>
          </w:p>
        </w:tc>
        <w:tc>
          <w:tcPr>
            <w:tcW w:w="4140" w:type="dxa"/>
            <w:vAlign w:val="center"/>
          </w:tcPr>
          <w:p w14:paraId="2E000647">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更换其他主要施工管理及技术人员</w:t>
            </w:r>
          </w:p>
        </w:tc>
        <w:tc>
          <w:tcPr>
            <w:tcW w:w="2925" w:type="dxa"/>
          </w:tcPr>
          <w:p w14:paraId="3F3E6370">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200000元/人</w:t>
            </w:r>
          </w:p>
        </w:tc>
      </w:tr>
      <w:tr w14:paraId="29E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14" w:type="dxa"/>
            <w:vMerge w:val="restart"/>
            <w:vAlign w:val="center"/>
          </w:tcPr>
          <w:p w14:paraId="4943CB59">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2</w:t>
            </w:r>
          </w:p>
        </w:tc>
        <w:tc>
          <w:tcPr>
            <w:tcW w:w="4140" w:type="dxa"/>
            <w:vAlign w:val="center"/>
          </w:tcPr>
          <w:p w14:paraId="2003CDE2">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承包人代表岗位空缺或未到位</w:t>
            </w:r>
          </w:p>
        </w:tc>
        <w:tc>
          <w:tcPr>
            <w:tcW w:w="2925" w:type="dxa"/>
            <w:vAlign w:val="center"/>
          </w:tcPr>
          <w:p w14:paraId="01E482EC">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10000元/人·天</w:t>
            </w:r>
          </w:p>
        </w:tc>
      </w:tr>
      <w:tr w14:paraId="2E87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14:paraId="6EE90B85">
            <w:pPr>
              <w:widowControl/>
              <w:spacing w:line="360" w:lineRule="auto"/>
              <w:jc w:val="left"/>
              <w:rPr>
                <w:rFonts w:ascii="仿宋" w:hAnsi="仿宋" w:eastAsia="仿宋" w:cs="仿宋"/>
                <w:color w:val="auto"/>
                <w:kern w:val="0"/>
                <w:sz w:val="24"/>
                <w:szCs w:val="18"/>
                <w:highlight w:val="none"/>
              </w:rPr>
            </w:pPr>
          </w:p>
        </w:tc>
        <w:tc>
          <w:tcPr>
            <w:tcW w:w="4140" w:type="dxa"/>
            <w:vAlign w:val="center"/>
          </w:tcPr>
          <w:p w14:paraId="7199A8DA">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项目总工或项目副经理岗位空缺或未到位</w:t>
            </w:r>
          </w:p>
        </w:tc>
        <w:tc>
          <w:tcPr>
            <w:tcW w:w="2925" w:type="dxa"/>
          </w:tcPr>
          <w:p w14:paraId="4A59F1EA">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5000元/人·天</w:t>
            </w:r>
          </w:p>
        </w:tc>
      </w:tr>
      <w:tr w14:paraId="7219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14" w:type="dxa"/>
            <w:vMerge w:val="continue"/>
            <w:vAlign w:val="center"/>
          </w:tcPr>
          <w:p w14:paraId="731F6067">
            <w:pPr>
              <w:widowControl/>
              <w:spacing w:line="360" w:lineRule="auto"/>
              <w:jc w:val="left"/>
              <w:rPr>
                <w:rFonts w:ascii="仿宋" w:hAnsi="仿宋" w:eastAsia="仿宋" w:cs="仿宋"/>
                <w:color w:val="auto"/>
                <w:kern w:val="0"/>
                <w:sz w:val="24"/>
                <w:szCs w:val="18"/>
                <w:highlight w:val="none"/>
              </w:rPr>
            </w:pPr>
          </w:p>
        </w:tc>
        <w:tc>
          <w:tcPr>
            <w:tcW w:w="4140" w:type="dxa"/>
            <w:vAlign w:val="center"/>
          </w:tcPr>
          <w:p w14:paraId="2398F68A">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其他主要施工管理及技术人员岗位空缺或未到位</w:t>
            </w:r>
          </w:p>
        </w:tc>
        <w:tc>
          <w:tcPr>
            <w:tcW w:w="2925" w:type="dxa"/>
          </w:tcPr>
          <w:p w14:paraId="1B147FFE">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3000元/人·天</w:t>
            </w:r>
          </w:p>
        </w:tc>
      </w:tr>
      <w:tr w14:paraId="1E1C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14:paraId="56AD3C09">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3</w:t>
            </w:r>
          </w:p>
        </w:tc>
        <w:tc>
          <w:tcPr>
            <w:tcW w:w="4140" w:type="dxa"/>
            <w:vAlign w:val="center"/>
          </w:tcPr>
          <w:p w14:paraId="7F823579">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特种技术工人岗位空缺或未到位</w:t>
            </w:r>
          </w:p>
        </w:tc>
        <w:tc>
          <w:tcPr>
            <w:tcW w:w="2925" w:type="dxa"/>
          </w:tcPr>
          <w:p w14:paraId="2731CFD2">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1000元/人·天</w:t>
            </w:r>
          </w:p>
        </w:tc>
      </w:tr>
      <w:tr w14:paraId="71C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14:paraId="6601E644">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4</w:t>
            </w:r>
          </w:p>
        </w:tc>
        <w:tc>
          <w:tcPr>
            <w:tcW w:w="4140" w:type="dxa"/>
            <w:vAlign w:val="center"/>
          </w:tcPr>
          <w:p w14:paraId="5BAD6288">
            <w:pP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抽查的劳务人员经验达不到要求的</w:t>
            </w:r>
          </w:p>
        </w:tc>
        <w:tc>
          <w:tcPr>
            <w:tcW w:w="2925" w:type="dxa"/>
          </w:tcPr>
          <w:p w14:paraId="08B2CC31">
            <w:pP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1000元/人·天</w:t>
            </w:r>
          </w:p>
        </w:tc>
      </w:tr>
    </w:tbl>
    <w:p w14:paraId="31AE543C">
      <w:pPr>
        <w:pStyle w:val="22"/>
        <w:ind w:firstLine="480"/>
        <w:rPr>
          <w:rFonts w:ascii="仿宋" w:hAnsi="仿宋" w:eastAsia="仿宋" w:cs="仿宋"/>
          <w:color w:val="auto"/>
          <w:highlight w:val="none"/>
        </w:rPr>
      </w:pPr>
    </w:p>
    <w:p w14:paraId="75C9E0C6">
      <w:pPr>
        <w:pStyle w:val="22"/>
        <w:ind w:firstLine="480"/>
        <w:rPr>
          <w:rFonts w:ascii="仿宋" w:hAnsi="仿宋" w:eastAsia="仿宋" w:cs="仿宋"/>
          <w:color w:val="auto"/>
          <w:highlight w:val="none"/>
        </w:rPr>
      </w:pPr>
      <w:r>
        <w:rPr>
          <w:rFonts w:hint="eastAsia" w:ascii="仿宋" w:hAnsi="仿宋" w:eastAsia="仿宋" w:cs="仿宋"/>
          <w:color w:val="auto"/>
          <w:highlight w:val="none"/>
        </w:rPr>
        <w:t>（15）承包人需保证投标所报的全部主要机械设备按发包人批准计划全部投入本工程项目，并根据工程的实际需要适当增加投入。如果承包人的实际投入情况不满足投标文件的承诺，承包人需无条件接受合同条款的处罚，直至被清退出场，并为此承担赔偿及法律责任。</w:t>
      </w:r>
    </w:p>
    <w:p w14:paraId="1EC55B64">
      <w:pPr>
        <w:pStyle w:val="22"/>
        <w:ind w:firstLine="480"/>
        <w:rPr>
          <w:rFonts w:ascii="仿宋" w:hAnsi="仿宋" w:eastAsia="仿宋" w:cs="仿宋"/>
          <w:color w:val="auto"/>
          <w:highlight w:val="none"/>
        </w:rPr>
      </w:pPr>
      <w:r>
        <w:rPr>
          <w:rFonts w:hint="eastAsia" w:ascii="仿宋" w:hAnsi="仿宋" w:eastAsia="仿宋" w:cs="仿宋"/>
          <w:color w:val="auto"/>
          <w:highlight w:val="none"/>
        </w:rPr>
        <w:t>（16）承包人承担一般违约责任累计达3次的，另行追加严重违约责任1次；累计承担严重违约责任达3次的，发包人有权单方面部分解除合同或解除合同。</w:t>
      </w:r>
    </w:p>
    <w:p w14:paraId="16AADEF2">
      <w:pPr>
        <w:pStyle w:val="22"/>
        <w:ind w:firstLine="480"/>
        <w:rPr>
          <w:rFonts w:ascii="仿宋" w:hAnsi="仿宋" w:eastAsia="仿宋" w:cs="仿宋"/>
          <w:color w:val="auto"/>
          <w:highlight w:val="none"/>
        </w:rPr>
      </w:pPr>
      <w:r>
        <w:rPr>
          <w:rFonts w:hint="eastAsia" w:ascii="仿宋" w:hAnsi="仿宋" w:eastAsia="仿宋" w:cs="仿宋"/>
          <w:color w:val="auto"/>
          <w:highlight w:val="none"/>
        </w:rPr>
        <w:t>（17）由于承包人或其管理的分包单位（包括施工专业分包、供货分包及劳务分包单位等）拖欠工人工资致使发包人被投诉或起诉并被判令先行垫付工人工资的，承包人除承担1次严重违约责任外，发包人有权暂停支付工程款，承包人按照每人每次10000元的标准向发包人支付违约金。该违约金在当期支付工程款中直接扣除。</w:t>
      </w:r>
    </w:p>
    <w:p w14:paraId="18ECB528">
      <w:pPr>
        <w:adjustRightInd w:val="0"/>
        <w:snapToGrid w:val="0"/>
        <w:spacing w:line="360" w:lineRule="auto"/>
        <w:rPr>
          <w:rFonts w:ascii="仿宋" w:hAnsi="仿宋" w:eastAsia="仿宋" w:cs="仿宋"/>
          <w:snapToGrid w:val="0"/>
          <w:color w:val="auto"/>
          <w:kern w:val="0"/>
          <w:sz w:val="24"/>
          <w:highlight w:val="none"/>
        </w:rPr>
      </w:pPr>
    </w:p>
    <w:p w14:paraId="279D8AA4">
      <w:pPr>
        <w:adjustRightInd w:val="0"/>
        <w:snapToGrid w:val="0"/>
        <w:spacing w:line="360" w:lineRule="auto"/>
        <w:outlineLvl w:val="2"/>
        <w:rPr>
          <w:rFonts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lang w:eastAsia="zh-CN"/>
        </w:rPr>
        <w:t>41.</w:t>
      </w:r>
      <w:r>
        <w:rPr>
          <w:rFonts w:hint="eastAsia" w:ascii="仿宋" w:hAnsi="仿宋" w:eastAsia="仿宋" w:cs="仿宋"/>
          <w:b/>
          <w:snapToGrid w:val="0"/>
          <w:color w:val="auto"/>
          <w:kern w:val="0"/>
          <w:sz w:val="24"/>
          <w:highlight w:val="none"/>
        </w:rPr>
        <w:t>索赔</w:t>
      </w:r>
    </w:p>
    <w:p w14:paraId="38EB224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.1当一方向另一方提出索赔时，要有正当索赔理由，且有索赔事件发生时的有效证据。</w:t>
      </w:r>
    </w:p>
    <w:p w14:paraId="1FEE4ECF">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.2承包人向发包人索赔的程序</w:t>
      </w:r>
    </w:p>
    <w:p w14:paraId="66662D55">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20498B16">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3FE7EDBB">
      <w:pP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（3）承包人应在发出索赔意向通知后的14天内，向监理单位报送一份说明索赔所依据的理由和索赔款额的具体细节</w:t>
      </w:r>
      <w:r>
        <w:rPr>
          <w:rFonts w:hint="eastAsia" w:ascii="仿宋" w:hAnsi="仿宋" w:eastAsia="仿宋" w:cs="仿宋"/>
          <w:snapToGrid w:val="0"/>
          <w:color w:val="auto"/>
          <w:kern w:val="0"/>
          <w:sz w:val="24"/>
          <w:highlight w:val="none"/>
          <w:lang w:eastAsia="zh-CN"/>
        </w:rPr>
        <w:t>账目的</w:t>
      </w:r>
      <w:r>
        <w:rPr>
          <w:rFonts w:hint="eastAsia" w:ascii="仿宋" w:hAnsi="仿宋" w:eastAsia="仿宋" w:cs="仿宋"/>
          <w:snapToGrid w:val="0"/>
          <w:color w:val="auto"/>
          <w:kern w:val="0"/>
          <w:sz w:val="24"/>
          <w:highlight w:val="none"/>
        </w:rPr>
        <w:t>索赔报告。如果索赔事件尚未结束，承包人在索赔事件结束后的14天内，再报一份最终索赔报告给监理单位。</w:t>
      </w:r>
    </w:p>
    <w:p w14:paraId="23F30DE9">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（4）监理单位在收到承包人索赔报告或最终索赔报告后14天内，将处理意见书面通知发包人、承包人双方。若双方接受，此索赔事件结束；若任何一方不接受，经再次协商仍达不成一致的，则按合同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条的约定处理。</w:t>
      </w:r>
    </w:p>
    <w:p w14:paraId="2221BE52">
      <w:pP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val="zh-CN"/>
        </w:rPr>
        <w:t>.3承包人未能按合同约定履行自己的各项义务或发生错误，发包人按</w:t>
      </w:r>
      <w:r>
        <w:rPr>
          <w:rFonts w:hint="eastAsia" w:ascii="仿宋" w:hAnsi="仿宋" w:eastAsia="仿宋" w:cs="仿宋"/>
          <w:snapToGrid w:val="0"/>
          <w:color w:val="auto"/>
          <w:kern w:val="0"/>
          <w:sz w:val="24"/>
          <w:highlight w:val="none"/>
        </w:rPr>
        <w:t>如下约定向承包人索赔：</w:t>
      </w:r>
    </w:p>
    <w:p w14:paraId="49FDCC20">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（1）发包人将自己的索赔意向书面通知承包人，要求承包人在限期内纠正其违约行为，否则发包人将考虑按合同约定作出相关处理决定。</w:t>
      </w:r>
    </w:p>
    <w:p w14:paraId="7C3B44F3">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限期届满，承包人没有用实际行动纠正自己的违约行为或者纠正行为不能使发包人满意或者纠正行为无法弥补发包人的损失的，则发包人直接按合同约定作出相关处理决定并向本合同附件所述之银行发出正式书面索赔通知。</w:t>
      </w:r>
    </w:p>
    <w:p w14:paraId="3511319C">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4在任何索赔期间，不论索赔是否有据，均不能免除承包人按合同约定履行合同义务。承包人不得以此为借口，拒不履行或拖延合同的履行，否则发包人有权终止合同，并要求承包人赔偿由此导致的发包人的损失。</w:t>
      </w:r>
    </w:p>
    <w:p w14:paraId="567D5BE9">
      <w:pPr>
        <w:adjustRightInd w:val="0"/>
        <w:snapToGrid w:val="0"/>
        <w:spacing w:line="360" w:lineRule="auto"/>
        <w:rPr>
          <w:rFonts w:ascii="仿宋" w:hAnsi="仿宋" w:eastAsia="仿宋" w:cs="仿宋"/>
          <w:snapToGrid w:val="0"/>
          <w:color w:val="auto"/>
          <w:kern w:val="0"/>
          <w:sz w:val="24"/>
          <w:highlight w:val="none"/>
        </w:rPr>
      </w:pPr>
    </w:p>
    <w:p w14:paraId="2A3234DF">
      <w:pPr>
        <w:adjustRightInd w:val="0"/>
        <w:snapToGrid w:val="0"/>
        <w:spacing w:line="360" w:lineRule="auto"/>
        <w:outlineLvl w:val="2"/>
        <w:rPr>
          <w:rFonts w:ascii="仿宋" w:hAnsi="仿宋" w:eastAsia="仿宋" w:cs="仿宋"/>
          <w:b/>
          <w:snapToGrid w:val="0"/>
          <w:color w:val="auto"/>
          <w:kern w:val="0"/>
          <w:sz w:val="24"/>
          <w:highlight w:val="none"/>
        </w:rPr>
      </w:pPr>
      <w:bookmarkStart w:id="246" w:name="_Toc2784905"/>
      <w:bookmarkStart w:id="247" w:name="_Toc1852"/>
      <w:bookmarkStart w:id="248" w:name="_Toc83377294"/>
      <w:r>
        <w:rPr>
          <w:rFonts w:hint="eastAsia" w:ascii="仿宋" w:hAnsi="仿宋" w:eastAsia="仿宋" w:cs="仿宋"/>
          <w:b/>
          <w:snapToGrid w:val="0"/>
          <w:color w:val="auto"/>
          <w:kern w:val="0"/>
          <w:sz w:val="24"/>
          <w:highlight w:val="none"/>
          <w:lang w:eastAsia="zh-CN"/>
        </w:rPr>
        <w:t>42.</w:t>
      </w:r>
      <w:r>
        <w:rPr>
          <w:rFonts w:hint="eastAsia" w:ascii="仿宋" w:hAnsi="仿宋" w:eastAsia="仿宋" w:cs="仿宋"/>
          <w:b/>
          <w:snapToGrid w:val="0"/>
          <w:color w:val="auto"/>
          <w:kern w:val="0"/>
          <w:sz w:val="24"/>
          <w:highlight w:val="none"/>
        </w:rPr>
        <w:t>争议</w:t>
      </w:r>
      <w:bookmarkEnd w:id="246"/>
      <w:bookmarkEnd w:id="247"/>
      <w:bookmarkEnd w:id="248"/>
    </w:p>
    <w:p w14:paraId="21BFCFF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rPr>
        <w:t>.</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发生争议后，除非出现下列情况的，双方都应继续履行合同，保持施工连续，保护好已</w:t>
      </w:r>
      <w:r>
        <w:rPr>
          <w:rFonts w:hint="eastAsia" w:ascii="仿宋" w:hAnsi="仿宋" w:eastAsia="仿宋" w:cs="仿宋"/>
          <w:snapToGrid w:val="0"/>
          <w:color w:val="auto"/>
          <w:kern w:val="0"/>
          <w:sz w:val="24"/>
          <w:highlight w:val="none"/>
          <w:lang w:eastAsia="zh-CN"/>
        </w:rPr>
        <w:t>完成</w:t>
      </w:r>
      <w:r>
        <w:rPr>
          <w:rFonts w:hint="eastAsia" w:ascii="仿宋" w:hAnsi="仿宋" w:eastAsia="仿宋" w:cs="仿宋"/>
          <w:snapToGrid w:val="0"/>
          <w:color w:val="auto"/>
          <w:kern w:val="0"/>
          <w:sz w:val="24"/>
          <w:highlight w:val="none"/>
        </w:rPr>
        <w:t>工程：</w:t>
      </w:r>
    </w:p>
    <w:p w14:paraId="433C014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（1）单方违约导致合同确已无法履行，双方协议停止施工；</w:t>
      </w:r>
    </w:p>
    <w:p w14:paraId="48E4C0EE">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（2）调解要求停止施工，且为双方接受；</w:t>
      </w:r>
    </w:p>
    <w:p w14:paraId="7E1A4F1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（3）仲裁机构要求停止施工；</w:t>
      </w:r>
    </w:p>
    <w:p w14:paraId="00EF4B0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（4）法院要求停止施工。</w:t>
      </w:r>
    </w:p>
    <w:p w14:paraId="6905028F">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rPr>
        <w:t>.</w:t>
      </w:r>
      <w:r>
        <w:rPr>
          <w:rFonts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rPr>
        <w:t>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4A101CA8">
      <w:pPr>
        <w:pStyle w:val="13"/>
        <w:adjustRightInd w:val="0"/>
        <w:snapToGrid w:val="0"/>
        <w:spacing w:line="360" w:lineRule="auto"/>
        <w:ind w:left="99" w:leftChars="47"/>
        <w:rPr>
          <w:rFonts w:ascii="仿宋" w:hAnsi="仿宋" w:eastAsia="仿宋" w:cs="仿宋"/>
          <w:snapToGrid w:val="0"/>
          <w:color w:val="auto"/>
          <w:highlight w:val="none"/>
        </w:rPr>
      </w:pPr>
    </w:p>
    <w:p w14:paraId="00BF097F">
      <w:pPr>
        <w:rPr>
          <w:rFonts w:ascii="仿宋" w:hAnsi="仿宋" w:eastAsia="仿宋" w:cs="仿宋"/>
          <w:color w:val="auto"/>
          <w:highlight w:val="none"/>
        </w:rPr>
      </w:pPr>
    </w:p>
    <w:p w14:paraId="34E5EE03">
      <w:pPr>
        <w:pStyle w:val="13"/>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249" w:name="_Toc83377295"/>
      <w:bookmarkStart w:id="250" w:name="_Toc22592"/>
      <w:bookmarkStart w:id="251" w:name="_Toc2784906"/>
      <w:r>
        <w:rPr>
          <w:rFonts w:hint="eastAsia" w:ascii="仿宋" w:hAnsi="仿宋" w:eastAsia="仿宋" w:cs="仿宋"/>
          <w:b/>
          <w:snapToGrid w:val="0"/>
          <w:color w:val="auto"/>
          <w:sz w:val="28"/>
          <w:szCs w:val="28"/>
          <w:highlight w:val="none"/>
        </w:rPr>
        <w:t>十二、</w:t>
      </w:r>
      <w:r>
        <w:rPr>
          <w:rFonts w:hint="eastAsia" w:ascii="仿宋" w:hAnsi="仿宋" w:eastAsia="仿宋" w:cs="仿宋"/>
          <w:b/>
          <w:snapToGrid w:val="0"/>
          <w:color w:val="auto"/>
          <w:sz w:val="28"/>
          <w:szCs w:val="28"/>
          <w:highlight w:val="none"/>
          <w:lang w:eastAsia="zh-CN"/>
        </w:rPr>
        <w:t>其他</w:t>
      </w:r>
      <w:bookmarkEnd w:id="249"/>
      <w:bookmarkEnd w:id="250"/>
      <w:bookmarkEnd w:id="251"/>
    </w:p>
    <w:p w14:paraId="2EF35C43">
      <w:pPr>
        <w:adjustRightInd w:val="0"/>
        <w:snapToGrid w:val="0"/>
        <w:spacing w:line="360" w:lineRule="auto"/>
        <w:outlineLvl w:val="2"/>
        <w:rPr>
          <w:rFonts w:ascii="仿宋" w:hAnsi="仿宋" w:eastAsia="仿宋" w:cs="仿宋"/>
          <w:b/>
          <w:snapToGrid w:val="0"/>
          <w:color w:val="auto"/>
          <w:kern w:val="0"/>
          <w:sz w:val="24"/>
          <w:highlight w:val="none"/>
        </w:rPr>
      </w:pPr>
      <w:bookmarkStart w:id="252" w:name="_Toc10523"/>
      <w:bookmarkStart w:id="253" w:name="_Toc83377296"/>
      <w:bookmarkStart w:id="254" w:name="_Toc2784907"/>
      <w:r>
        <w:rPr>
          <w:rFonts w:hint="eastAsia" w:ascii="仿宋" w:hAnsi="仿宋" w:eastAsia="仿宋" w:cs="仿宋"/>
          <w:b/>
          <w:snapToGrid w:val="0"/>
          <w:color w:val="auto"/>
          <w:kern w:val="0"/>
          <w:sz w:val="24"/>
          <w:highlight w:val="none"/>
          <w:lang w:eastAsia="zh-CN"/>
        </w:rPr>
        <w:t>43.</w:t>
      </w:r>
      <w:r>
        <w:rPr>
          <w:rFonts w:hint="eastAsia" w:ascii="仿宋" w:hAnsi="仿宋" w:eastAsia="仿宋" w:cs="仿宋"/>
          <w:b/>
          <w:snapToGrid w:val="0"/>
          <w:color w:val="auto"/>
          <w:kern w:val="0"/>
          <w:sz w:val="24"/>
          <w:highlight w:val="none"/>
        </w:rPr>
        <w:t>工程分包</w:t>
      </w:r>
      <w:bookmarkEnd w:id="252"/>
      <w:bookmarkEnd w:id="253"/>
      <w:bookmarkEnd w:id="254"/>
    </w:p>
    <w:p w14:paraId="73095228">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.1本工程的主体必须由承包人自行完成，不得分包。非主体、非关键性工作的分包应当在投标文件中载明或者经发包人同意，承包人应严格按照投标文件的规定或发包人限定的时间与分包单位签订分包合同。</w:t>
      </w:r>
    </w:p>
    <w:p w14:paraId="04493B09">
      <w:pPr>
        <w:pStyle w:val="12"/>
        <w:adjustRightInd w:val="0"/>
        <w:snapToGrid w:val="0"/>
        <w:spacing w:line="360" w:lineRule="auto"/>
        <w:ind w:firstLine="46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承包人应当对其承包的全部建设工程负责，分包不免除承包人对全部建设工程所负的责任。分包人对其承接的分包工程负直接责任，</w:t>
      </w:r>
      <w:r>
        <w:rPr>
          <w:rFonts w:hint="eastAsia" w:ascii="仿宋" w:hAnsi="仿宋" w:eastAsia="仿宋" w:cs="仿宋"/>
          <w:snapToGrid w:val="0"/>
          <w:color w:val="auto"/>
          <w:sz w:val="24"/>
          <w:highlight w:val="none"/>
        </w:rPr>
        <w:t>承包人和分包人就分包工程向发包人承担连带责任。</w:t>
      </w:r>
    </w:p>
    <w:p w14:paraId="646E649C">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.2承包人应严格按照《房屋建筑和市政基础设施工程施工分包管理办法》（建设部令第124号）和本合同的约定做好分包管理工作，禁止将承包的工程进行转包或违法分包，禁止转让、出借企业资质证书</w:t>
      </w:r>
      <w:r>
        <w:rPr>
          <w:rFonts w:hint="eastAsia" w:ascii="仿宋" w:hAnsi="仿宋" w:eastAsia="仿宋" w:cs="仿宋"/>
          <w:snapToGrid w:val="0"/>
          <w:color w:val="auto"/>
          <w:kern w:val="0"/>
          <w:sz w:val="24"/>
          <w:highlight w:val="none"/>
          <w:lang w:eastAsia="zh-CN"/>
        </w:rPr>
        <w:t>或者以其他方式</w:t>
      </w:r>
      <w:r>
        <w:rPr>
          <w:rFonts w:hint="eastAsia" w:ascii="仿宋" w:hAnsi="仿宋" w:eastAsia="仿宋" w:cs="仿宋"/>
          <w:snapToGrid w:val="0"/>
          <w:color w:val="auto"/>
          <w:kern w:val="0"/>
          <w:sz w:val="24"/>
          <w:highlight w:val="none"/>
        </w:rPr>
        <w:t>允许他人以本企业名义承揽工程，严禁个人承揽分包工程业务。</w:t>
      </w:r>
    </w:p>
    <w:p w14:paraId="331D4571">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.3工程分包不能解除承包人任何责任与义务。承包人应在分包场地派驻相应管理人员，保证本合同的履行。分包单位的任何违约行为或疏忽导致工程损害或给发包人造成</w:t>
      </w:r>
      <w:r>
        <w:rPr>
          <w:rFonts w:hint="eastAsia" w:ascii="仿宋" w:hAnsi="仿宋" w:eastAsia="仿宋" w:cs="仿宋"/>
          <w:snapToGrid w:val="0"/>
          <w:color w:val="auto"/>
          <w:kern w:val="0"/>
          <w:sz w:val="24"/>
          <w:highlight w:val="none"/>
          <w:lang w:eastAsia="zh-CN"/>
        </w:rPr>
        <w:t>其他损失</w:t>
      </w:r>
      <w:r>
        <w:rPr>
          <w:rFonts w:hint="eastAsia" w:ascii="仿宋" w:hAnsi="仿宋" w:eastAsia="仿宋" w:cs="仿宋"/>
          <w:snapToGrid w:val="0"/>
          <w:color w:val="auto"/>
          <w:kern w:val="0"/>
          <w:sz w:val="24"/>
          <w:highlight w:val="none"/>
        </w:rPr>
        <w:t>，承包人承担连带责任。</w:t>
      </w:r>
    </w:p>
    <w:p w14:paraId="3553ABEF">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4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2C8D3D34">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color w:val="auto"/>
          <w:sz w:val="24"/>
          <w:szCs w:val="24"/>
          <w:highlight w:val="none"/>
        </w:rPr>
        <w:t>采用联合体方式承包工程的，在联合体分工协议中约定或者在项目实际实施过程中，联合体一方既不按照其资质实施设计或者施工业务，也不对工程实施组织管理，且向联合体其他成员收取管理费或者其他类似费用的，视为联合体一方将其承包的工程转包。</w:t>
      </w:r>
    </w:p>
    <w:p w14:paraId="08AD526C">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.5下列行为，属于违法分包：</w:t>
      </w:r>
    </w:p>
    <w:p w14:paraId="00F1F8FF">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（1）承包人将专业工程</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如有</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或者劳务作业分包给不具备相应资质条件的分包人的；</w:t>
      </w:r>
    </w:p>
    <w:p w14:paraId="44B43032">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（2）本合同中未有约定，又未经发包人认可，承包人将承包工程中的部分专业工程</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如有</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分包给他人的。</w:t>
      </w:r>
    </w:p>
    <w:p w14:paraId="2A27B48D">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6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349975EC">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.7承包人应参照合同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条款第7条、第9条的有关约定，在发包人批准分包后5天内将分包单位工程技术管理人员名单及劳动力、施工机械设备投入计划报送发包人且负责落实到位，并接受总监理工程师和发包人代表的查验。</w:t>
      </w:r>
    </w:p>
    <w:p w14:paraId="4EF6141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.8分包工程价款由承包人与发包人结算。承包人应按本合同及分包合同的有关约定及时审核、申请支付各种工程、劳务及材料设备款项，并向发包人提交下列资料：</w:t>
      </w:r>
    </w:p>
    <w:p w14:paraId="75B9DBD9">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（1）属专业工程</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如有</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分包的，应向发包人提交分包人提交给承包人的履约担保文件复印件（应同时携带原件供发包人复核），具体按招标文件或发包人要求执行。</w:t>
      </w:r>
    </w:p>
    <w:p w14:paraId="277214CA">
      <w:pP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（2）属材料设备供货的，应向发包人提交供货商提交给承包人的履约担保文件复印件（应同时携带原件供发包人复核），具体按招标文件或发包人要求执行。</w:t>
      </w:r>
    </w:p>
    <w:p w14:paraId="0D4C86FC">
      <w:pP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9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15A43E47">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10承包人擅自更换投标时填报或经发包人审核后认可的专业分包单位，承包人承担10万元/次的违约赔偿责任；如果承包人投标时填报的专业分包单位不能满足合同约定的要求，必须另择符合要求的专业分包单位，经发包人审核确认后承担专业工程</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如有</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任务（发包人的审核确认并不免除承包人的相关责任及义务）。</w:t>
      </w:r>
    </w:p>
    <w:p w14:paraId="03129DFA">
      <w:pPr>
        <w:adjustRightInd w:val="0"/>
        <w:snapToGrid w:val="0"/>
        <w:spacing w:line="360" w:lineRule="auto"/>
        <w:ind w:right="11" w:firstLine="480" w:firstLineChars="200"/>
        <w:rPr>
          <w:rFonts w:ascii="仿宋" w:hAnsi="仿宋" w:eastAsia="仿宋" w:cs="仿宋"/>
          <w:snapToGrid w:val="0"/>
          <w:color w:val="auto"/>
          <w:kern w:val="0"/>
          <w:sz w:val="24"/>
          <w:highlight w:val="none"/>
        </w:rPr>
      </w:pPr>
    </w:p>
    <w:p w14:paraId="1D4888A1">
      <w:pPr>
        <w:adjustRightInd w:val="0"/>
        <w:snapToGrid w:val="0"/>
        <w:spacing w:line="360" w:lineRule="auto"/>
        <w:outlineLvl w:val="2"/>
        <w:rPr>
          <w:rFonts w:ascii="仿宋" w:hAnsi="仿宋" w:eastAsia="仿宋" w:cs="仿宋"/>
          <w:b/>
          <w:snapToGrid w:val="0"/>
          <w:color w:val="auto"/>
          <w:kern w:val="0"/>
          <w:sz w:val="24"/>
          <w:highlight w:val="none"/>
        </w:rPr>
      </w:pPr>
      <w:bookmarkStart w:id="255" w:name="_Toc8774"/>
      <w:bookmarkStart w:id="256" w:name="_Toc2784908"/>
      <w:bookmarkStart w:id="257" w:name="_Toc83377297"/>
      <w:r>
        <w:rPr>
          <w:rFonts w:hint="eastAsia" w:ascii="仿宋" w:hAnsi="仿宋" w:eastAsia="仿宋" w:cs="仿宋"/>
          <w:b/>
          <w:snapToGrid w:val="0"/>
          <w:color w:val="auto"/>
          <w:kern w:val="0"/>
          <w:sz w:val="24"/>
          <w:highlight w:val="none"/>
          <w:lang w:eastAsia="zh-CN"/>
        </w:rPr>
        <w:t>44.</w:t>
      </w:r>
      <w:r>
        <w:rPr>
          <w:rFonts w:hint="eastAsia" w:ascii="仿宋" w:hAnsi="仿宋" w:eastAsia="仿宋" w:cs="仿宋"/>
          <w:b/>
          <w:snapToGrid w:val="0"/>
          <w:color w:val="auto"/>
          <w:kern w:val="0"/>
          <w:sz w:val="24"/>
          <w:highlight w:val="none"/>
        </w:rPr>
        <w:t>不可抗力</w:t>
      </w:r>
      <w:bookmarkEnd w:id="255"/>
      <w:bookmarkEnd w:id="256"/>
      <w:bookmarkEnd w:id="257"/>
    </w:p>
    <w:p w14:paraId="091BEEA2">
      <w:pP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1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14:paraId="6E621A22">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自然灾害的范围及其认定方式，按如下约定执行：</w:t>
      </w:r>
    </w:p>
    <w:p w14:paraId="7621037C">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w:t>
      </w:r>
      <w:r>
        <w:rPr>
          <w:rFonts w:hint="eastAsia" w:ascii="仿宋" w:hAnsi="仿宋" w:eastAsia="仿宋" w:cs="仿宋"/>
          <w:snapToGrid w:val="0"/>
          <w:color w:val="auto"/>
          <w:kern w:val="0"/>
          <w:sz w:val="24"/>
          <w:highlight w:val="none"/>
        </w:rPr>
        <w:t>施工</w:t>
      </w:r>
      <w:r>
        <w:rPr>
          <w:rFonts w:hint="eastAsia" w:ascii="仿宋" w:hAnsi="仿宋" w:eastAsia="仿宋" w:cs="仿宋"/>
          <w:bCs/>
          <w:snapToGrid w:val="0"/>
          <w:color w:val="auto"/>
          <w:kern w:val="0"/>
          <w:sz w:val="24"/>
          <w:highlight w:val="none"/>
        </w:rPr>
        <w:t>日志、现场照片办理证据保全公证，方可认定为是不可抗力。</w:t>
      </w:r>
    </w:p>
    <w:p w14:paraId="29B0CA26">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（2）里氏5级（含5级）以上的地震。</w:t>
      </w:r>
    </w:p>
    <w:p w14:paraId="0BBD0CEF">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（3）当地卫生部门规定的情形：仅指构成突发公共卫生事件的重大传染病疫情暴发而被卫生部门强行要求停工的情况发生。</w:t>
      </w:r>
    </w:p>
    <w:p w14:paraId="60D840F1">
      <w:pP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（4）征地，拆迁、迁坟。</w:t>
      </w:r>
    </w:p>
    <w:p w14:paraId="279887A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.2不可抗力事件发生后，承包人应立即通知总监理工程师，并在</w:t>
      </w:r>
      <w:r>
        <w:rPr>
          <w:rFonts w:hint="eastAsia" w:ascii="仿宋" w:hAnsi="仿宋" w:eastAsia="仿宋" w:cs="仿宋"/>
          <w:snapToGrid w:val="0"/>
          <w:color w:val="auto"/>
          <w:kern w:val="0"/>
          <w:sz w:val="24"/>
          <w:highlight w:val="none"/>
          <w:lang w:eastAsia="zh-CN"/>
        </w:rPr>
        <w:t>力所能及</w:t>
      </w:r>
      <w:r>
        <w:rPr>
          <w:rFonts w:hint="eastAsia" w:ascii="仿宋" w:hAnsi="仿宋" w:eastAsia="仿宋" w:cs="仿宋"/>
          <w:snapToGrid w:val="0"/>
          <w:color w:val="auto"/>
          <w:kern w:val="0"/>
          <w:sz w:val="24"/>
          <w:highlight w:val="none"/>
        </w:rPr>
        <w:t>的条件下迅速采取措施，尽力减少损失，发包人应协助承包人采取措施。总监理工程师认为应当暂停施工的，承包人应暂停施工。不可抗力事件结束后48小时内承包人向总监理工程师通报受害情况和损失情况</w:t>
      </w:r>
      <w:r>
        <w:rPr>
          <w:rFonts w:hint="eastAsia" w:ascii="仿宋" w:hAnsi="仿宋" w:eastAsia="仿宋" w:cs="仿宋"/>
          <w:snapToGrid w:val="0"/>
          <w:color w:val="auto"/>
          <w:kern w:val="0"/>
          <w:sz w:val="24"/>
          <w:highlight w:val="none"/>
          <w:lang w:eastAsia="zh-CN"/>
        </w:rPr>
        <w:t>，以</w:t>
      </w:r>
      <w:r>
        <w:rPr>
          <w:rFonts w:hint="eastAsia" w:ascii="仿宋" w:hAnsi="仿宋" w:eastAsia="仿宋" w:cs="仿宋"/>
          <w:snapToGrid w:val="0"/>
          <w:color w:val="auto"/>
          <w:kern w:val="0"/>
          <w:sz w:val="24"/>
          <w:highlight w:val="none"/>
        </w:rPr>
        <w:t>及预计清理和修复的费用。不可抗力事件持续发生，承包人应每隔7天向总监理工程师报告一次受害情况。不可抗力事件结束后14天内，承包人向总监理工程师提交清理和修复费用的正式报告及有关资料。</w:t>
      </w:r>
    </w:p>
    <w:p w14:paraId="23DE453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.3因不可抗力引起工程停工的，工期按合同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条款第16条的有关约定执行，费用承担按如下约定执行：</w:t>
      </w:r>
    </w:p>
    <w:p w14:paraId="68155E8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（1）工程本身的损害，由发包人承担。</w:t>
      </w:r>
    </w:p>
    <w:p w14:paraId="6D536E82">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（2）因工程损害导致第三方人员伤亡和财产损失，如系在工程竣工验收合格移交给发包人使用前造成的，费用由承包人承担；如系在工程竣工验收合格移交给发包人使用后发生的，费用由发包人承担。</w:t>
      </w:r>
    </w:p>
    <w:p w14:paraId="11DBE7C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（3）运至施工场地用于施工的材料和待安装的设备的损害，属发包人供应的由发包人承担；属承包人采购的由承包人承担。</w:t>
      </w:r>
    </w:p>
    <w:p w14:paraId="519339DA">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（4）发包人、承包人的人员伤亡由其所在单位负责，并承担相应费用。</w:t>
      </w:r>
    </w:p>
    <w:p w14:paraId="3AA9B366">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（5）承包人机械设备损坏及停工损失，由承包人承担。</w:t>
      </w:r>
    </w:p>
    <w:p w14:paraId="709C39DB">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（6）停工期间，承包人应总监理工程师要求留在施工场地的必要的管理人员及保卫人员的费</w:t>
      </w:r>
      <w:r>
        <w:rPr>
          <w:rFonts w:hint="eastAsia" w:ascii="仿宋" w:hAnsi="仿宋" w:eastAsia="仿宋" w:cs="仿宋"/>
          <w:snapToGrid w:val="0"/>
          <w:color w:val="auto"/>
          <w:kern w:val="0"/>
          <w:sz w:val="24"/>
          <w:highlight w:val="none"/>
          <w:lang w:eastAsia="zh-CN"/>
        </w:rPr>
        <w:t>用由</w:t>
      </w:r>
      <w:r>
        <w:rPr>
          <w:rFonts w:hint="eastAsia" w:ascii="仿宋" w:hAnsi="仿宋" w:eastAsia="仿宋" w:cs="仿宋"/>
          <w:snapToGrid w:val="0"/>
          <w:color w:val="auto"/>
          <w:kern w:val="0"/>
          <w:sz w:val="24"/>
          <w:szCs w:val="22"/>
          <w:highlight w:val="none"/>
        </w:rPr>
        <w:t>发包人承</w:t>
      </w:r>
      <w:r>
        <w:rPr>
          <w:rFonts w:hint="eastAsia" w:ascii="仿宋" w:hAnsi="仿宋" w:eastAsia="仿宋" w:cs="仿宋"/>
          <w:snapToGrid w:val="0"/>
          <w:color w:val="auto"/>
          <w:kern w:val="0"/>
          <w:sz w:val="24"/>
          <w:highlight w:val="none"/>
        </w:rPr>
        <w:t>担。</w:t>
      </w:r>
    </w:p>
    <w:p w14:paraId="09EF8ECC">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（7）工程所需清理、修复费用，由</w:t>
      </w:r>
      <w:r>
        <w:rPr>
          <w:rFonts w:hint="eastAsia" w:ascii="仿宋" w:hAnsi="仿宋" w:eastAsia="仿宋" w:cs="仿宋"/>
          <w:snapToGrid w:val="0"/>
          <w:color w:val="auto"/>
          <w:kern w:val="0"/>
          <w:sz w:val="24"/>
          <w:szCs w:val="22"/>
          <w:highlight w:val="none"/>
        </w:rPr>
        <w:t>发包人</w:t>
      </w:r>
      <w:r>
        <w:rPr>
          <w:rFonts w:hint="eastAsia" w:ascii="仿宋" w:hAnsi="仿宋" w:eastAsia="仿宋" w:cs="仿宋"/>
          <w:snapToGrid w:val="0"/>
          <w:color w:val="auto"/>
          <w:kern w:val="0"/>
          <w:sz w:val="24"/>
          <w:highlight w:val="none"/>
        </w:rPr>
        <w:t>承担。</w:t>
      </w:r>
    </w:p>
    <w:p w14:paraId="6136500D">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.4因合同一方迟延履行合同后发生不可抗力的，不能免除迟延履行方的相应责任。</w:t>
      </w:r>
    </w:p>
    <w:p w14:paraId="53724535">
      <w:pPr>
        <w:adjustRightInd w:val="0"/>
        <w:snapToGrid w:val="0"/>
        <w:spacing w:line="360" w:lineRule="auto"/>
        <w:ind w:right="11" w:firstLine="480" w:firstLineChars="200"/>
        <w:rPr>
          <w:rFonts w:ascii="仿宋" w:hAnsi="仿宋" w:eastAsia="仿宋" w:cs="仿宋"/>
          <w:snapToGrid w:val="0"/>
          <w:color w:val="auto"/>
          <w:kern w:val="0"/>
          <w:sz w:val="24"/>
          <w:highlight w:val="none"/>
        </w:rPr>
      </w:pPr>
    </w:p>
    <w:p w14:paraId="369C3241">
      <w:pPr>
        <w:adjustRightInd w:val="0"/>
        <w:snapToGrid w:val="0"/>
        <w:spacing w:line="360" w:lineRule="auto"/>
        <w:outlineLvl w:val="2"/>
        <w:rPr>
          <w:rFonts w:ascii="仿宋" w:hAnsi="仿宋" w:eastAsia="仿宋" w:cs="仿宋"/>
          <w:b/>
          <w:snapToGrid w:val="0"/>
          <w:color w:val="auto"/>
          <w:kern w:val="0"/>
          <w:sz w:val="24"/>
          <w:highlight w:val="none"/>
        </w:rPr>
      </w:pPr>
      <w:bookmarkStart w:id="258" w:name="_Toc18745"/>
      <w:bookmarkStart w:id="259" w:name="_Toc2784911"/>
      <w:bookmarkStart w:id="260" w:name="_Toc83377298"/>
      <w:r>
        <w:rPr>
          <w:rFonts w:hint="eastAsia" w:ascii="仿宋" w:hAnsi="仿宋" w:eastAsia="仿宋" w:cs="仿宋"/>
          <w:b/>
          <w:snapToGrid w:val="0"/>
          <w:color w:val="auto"/>
          <w:kern w:val="0"/>
          <w:sz w:val="24"/>
          <w:highlight w:val="none"/>
          <w:lang w:eastAsia="zh-CN"/>
        </w:rPr>
        <w:t>45.</w:t>
      </w:r>
      <w:r>
        <w:rPr>
          <w:rFonts w:hint="eastAsia" w:ascii="仿宋" w:hAnsi="仿宋" w:eastAsia="仿宋" w:cs="仿宋"/>
          <w:b/>
          <w:snapToGrid w:val="0"/>
          <w:color w:val="auto"/>
          <w:kern w:val="0"/>
          <w:sz w:val="24"/>
          <w:highlight w:val="none"/>
        </w:rPr>
        <w:t>保密、知识产权与专利技术及特殊工艺</w:t>
      </w:r>
      <w:bookmarkEnd w:id="258"/>
      <w:bookmarkEnd w:id="259"/>
      <w:bookmarkEnd w:id="260"/>
    </w:p>
    <w:p w14:paraId="40FC0150">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.1发包人、承包人双方均应保护对方的知识产权，未经对方同意，任何一方都不得对对方的资料及文件擅自修改或向他人转让。如发生以上情况，泄密方应承担由此引起的一切后果并承担赔偿责任。</w:t>
      </w:r>
    </w:p>
    <w:p w14:paraId="3EBB2524">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2本合同工程的知识产权归发包人所有。承包人享有本合同工程设计成果文件的设计署名权，并可在展览或书刊中进行展示、介绍及讨论其设计模型、外观图片、装饰效果图，但不享有知识产权中的其他权利。承包人承诺自本合同签订之日起，为本合同工程所做的全部工作的成果，包括方案设计、初步设计</w:t>
      </w:r>
      <w:r>
        <w:rPr>
          <w:rFonts w:hint="eastAsia" w:ascii="仿宋" w:hAnsi="仿宋" w:eastAsia="仿宋" w:cs="仿宋"/>
          <w:snapToGrid w:val="0"/>
          <w:color w:val="auto"/>
          <w:kern w:val="0"/>
          <w:sz w:val="24"/>
          <w:highlight w:val="none"/>
          <w:lang w:eastAsia="zh-CN"/>
        </w:rPr>
        <w:t>、概算编制</w:t>
      </w:r>
      <w:r>
        <w:rPr>
          <w:rFonts w:hint="eastAsia" w:ascii="仿宋" w:hAnsi="仿宋" w:eastAsia="仿宋" w:cs="仿宋"/>
          <w:snapToGrid w:val="0"/>
          <w:color w:val="auto"/>
          <w:kern w:val="0"/>
          <w:sz w:val="24"/>
          <w:highlight w:val="none"/>
        </w:rPr>
        <w:t>、施工图设计及其他设计文件、资料等不再用于其他任何项目的设计，否则发包人有权向承包人追究相关责任。</w:t>
      </w:r>
    </w:p>
    <w:p w14:paraId="0A650E04">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.3承包人保证本合同工程的设计文件、资料等均未侵犯第三方的知识产权及其他权利，否则必须承担由此而引起的全部法律责任。</w:t>
      </w:r>
    </w:p>
    <w:p w14:paraId="2C6B6AD4">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4发包人拥有承包人为本合同工程设计且按本合同要求所提交的全部设计文件、资料等的完全使用权，并在本合同执行完毕后继续拥有合法使用以上设计文件、资料等的权利。承包人不享有对设计文件的留置权，由承包人或其分包单位完成的设计文件应依据本合同约定的时间提交给</w:t>
      </w:r>
      <w:r>
        <w:rPr>
          <w:rFonts w:hint="eastAsia" w:ascii="仿宋" w:hAnsi="仿宋" w:eastAsia="仿宋" w:cs="仿宋"/>
          <w:snapToGrid w:val="0"/>
          <w:color w:val="auto"/>
          <w:kern w:val="0"/>
          <w:sz w:val="24"/>
          <w:highlight w:val="none"/>
          <w:lang w:eastAsia="zh-CN"/>
        </w:rPr>
        <w:t>发包人</w:t>
      </w:r>
      <w:r>
        <w:rPr>
          <w:rFonts w:hint="eastAsia" w:ascii="仿宋" w:hAnsi="仿宋" w:eastAsia="仿宋" w:cs="仿宋"/>
          <w:snapToGrid w:val="0"/>
          <w:color w:val="auto"/>
          <w:kern w:val="0"/>
          <w:sz w:val="24"/>
          <w:highlight w:val="none"/>
        </w:rPr>
        <w:t>，不论承包人与其分包单位由何种约定或分工，均不得拒绝或拖延向发包人提交。</w:t>
      </w:r>
    </w:p>
    <w:p w14:paraId="740D5AD3">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承包人完成的设计工作成果和建造完成的建筑物，除署名权以外的著作权以及建筑物形象使用收益等其他知识产权均归发包人享有。</w:t>
      </w:r>
    </w:p>
    <w:p w14:paraId="5CF88CC0">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.5发包人要求使用专利技术或特殊工艺，应负责办理相应的申报手续，承担申报、试验、使用等费用；承包人提出使用专利技术或特殊工艺，应取得总监理工程师认可，承包人负责办理申报手续并承担有关费用。</w:t>
      </w:r>
    </w:p>
    <w:p w14:paraId="7B5828CB">
      <w:pP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.6擅自使用专利技术侵犯他人专利权的，由责任方依法承担有关责任。</w:t>
      </w:r>
    </w:p>
    <w:p w14:paraId="37DEE17E">
      <w:pPr>
        <w:adjustRightInd w:val="0"/>
        <w:snapToGrid w:val="0"/>
        <w:spacing w:line="360" w:lineRule="auto"/>
        <w:rPr>
          <w:rFonts w:ascii="仿宋" w:hAnsi="仿宋" w:eastAsia="仿宋" w:cs="仿宋"/>
          <w:snapToGrid w:val="0"/>
          <w:color w:val="auto"/>
          <w:kern w:val="0"/>
          <w:sz w:val="24"/>
          <w:highlight w:val="none"/>
        </w:rPr>
      </w:pPr>
    </w:p>
    <w:p w14:paraId="00EA379C">
      <w:pPr>
        <w:adjustRightInd w:val="0"/>
        <w:snapToGrid w:val="0"/>
        <w:spacing w:line="360" w:lineRule="auto"/>
        <w:outlineLvl w:val="2"/>
        <w:rPr>
          <w:rFonts w:ascii="仿宋" w:hAnsi="仿宋" w:eastAsia="仿宋" w:cs="仿宋"/>
          <w:b/>
          <w:snapToGrid w:val="0"/>
          <w:color w:val="auto"/>
          <w:kern w:val="0"/>
          <w:sz w:val="24"/>
          <w:highlight w:val="none"/>
        </w:rPr>
      </w:pPr>
      <w:bookmarkStart w:id="261" w:name="_Toc83377299"/>
      <w:bookmarkStart w:id="262" w:name="_Toc25655"/>
      <w:bookmarkStart w:id="263" w:name="_Toc2784914"/>
      <w:r>
        <w:rPr>
          <w:rFonts w:hint="eastAsia" w:ascii="仿宋" w:hAnsi="仿宋" w:eastAsia="仿宋" w:cs="仿宋"/>
          <w:b/>
          <w:snapToGrid w:val="0"/>
          <w:color w:val="auto"/>
          <w:kern w:val="0"/>
          <w:sz w:val="24"/>
          <w:highlight w:val="none"/>
          <w:lang w:eastAsia="zh-CN"/>
        </w:rPr>
        <w:t>46.</w:t>
      </w:r>
      <w:r>
        <w:rPr>
          <w:rFonts w:hint="eastAsia" w:ascii="仿宋" w:hAnsi="仿宋" w:eastAsia="仿宋" w:cs="仿宋"/>
          <w:b/>
          <w:snapToGrid w:val="0"/>
          <w:color w:val="auto"/>
          <w:kern w:val="0"/>
          <w:sz w:val="24"/>
          <w:highlight w:val="none"/>
        </w:rPr>
        <w:t>合同生效与终止</w:t>
      </w:r>
      <w:bookmarkEnd w:id="261"/>
      <w:bookmarkEnd w:id="262"/>
      <w:bookmarkEnd w:id="263"/>
    </w:p>
    <w:p w14:paraId="08260659">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.1本合同生效及终止的方式均按合同协议书的约定执行。</w:t>
      </w:r>
    </w:p>
    <w:p w14:paraId="6740F5F8">
      <w:pP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.2合同的权利和义务终止时，发包人、承包人应当遵循诚实信用原则，履行通知，协助、保密等义务。</w:t>
      </w:r>
    </w:p>
    <w:p w14:paraId="7B60C872">
      <w:pPr>
        <w:pStyle w:val="21"/>
        <w:ind w:firstLine="200"/>
        <w:rPr>
          <w:rFonts w:ascii="仿宋" w:hAnsi="仿宋" w:eastAsia="仿宋" w:cs="仿宋"/>
          <w:color w:val="auto"/>
          <w:highlight w:val="none"/>
        </w:rPr>
      </w:pPr>
    </w:p>
    <w:p w14:paraId="2BE86002">
      <w:pPr>
        <w:adjustRightInd w:val="0"/>
        <w:snapToGrid w:val="0"/>
        <w:spacing w:line="360" w:lineRule="auto"/>
        <w:outlineLvl w:val="2"/>
        <w:rPr>
          <w:rFonts w:ascii="仿宋" w:hAnsi="仿宋" w:eastAsia="仿宋" w:cs="仿宋"/>
          <w:b/>
          <w:snapToGrid w:val="0"/>
          <w:color w:val="auto"/>
          <w:kern w:val="0"/>
          <w:sz w:val="24"/>
          <w:highlight w:val="none"/>
        </w:rPr>
      </w:pPr>
      <w:bookmarkStart w:id="264" w:name="_Toc83377300"/>
      <w:r>
        <w:rPr>
          <w:rFonts w:hint="eastAsia" w:ascii="仿宋" w:hAnsi="仿宋" w:eastAsia="仿宋" w:cs="仿宋"/>
          <w:b/>
          <w:snapToGrid w:val="0"/>
          <w:color w:val="auto"/>
          <w:kern w:val="0"/>
          <w:sz w:val="24"/>
          <w:highlight w:val="none"/>
          <w:lang w:eastAsia="zh-CN"/>
        </w:rPr>
        <w:t>47.</w:t>
      </w:r>
      <w:r>
        <w:rPr>
          <w:rFonts w:hint="eastAsia" w:ascii="仿宋" w:hAnsi="仿宋" w:eastAsia="仿宋" w:cs="仿宋"/>
          <w:b/>
          <w:snapToGrid w:val="0"/>
          <w:color w:val="auto"/>
          <w:kern w:val="0"/>
          <w:sz w:val="24"/>
          <w:highlight w:val="none"/>
        </w:rPr>
        <w:t>合同争议的解决</w:t>
      </w:r>
      <w:bookmarkEnd w:id="264"/>
    </w:p>
    <w:p w14:paraId="5FD86658">
      <w:pPr>
        <w:pStyle w:val="22"/>
        <w:ind w:firstLine="480"/>
        <w:rPr>
          <w:color w:val="auto"/>
          <w:highlight w:val="none"/>
        </w:rPr>
      </w:pPr>
      <w:r>
        <w:rPr>
          <w:rFonts w:hint="eastAsia" w:ascii="仿宋" w:hAnsi="仿宋" w:eastAsia="仿宋" w:cs="仿宋"/>
          <w:color w:val="auto"/>
          <w:highlight w:val="none"/>
        </w:rPr>
        <w:t>4</w:t>
      </w:r>
      <w:r>
        <w:rPr>
          <w:rFonts w:ascii="仿宋" w:hAnsi="仿宋" w:eastAsia="仿宋" w:cs="仿宋"/>
          <w:color w:val="auto"/>
          <w:highlight w:val="none"/>
        </w:rPr>
        <w:t>7</w:t>
      </w:r>
      <w:r>
        <w:rPr>
          <w:rFonts w:hint="eastAsia" w:ascii="仿宋" w:hAnsi="仿宋" w:eastAsia="仿宋" w:cs="仿宋"/>
          <w:color w:val="auto"/>
          <w:highlight w:val="none"/>
        </w:rPr>
        <w:t>.1本合同履行期间发生争议时，应本着不影响工程进度的原则协商解决或请有关部门调解，协商、调解不成时，任何一方可向发包人所在地人民法院提起诉讼。</w:t>
      </w:r>
    </w:p>
    <w:p w14:paraId="5168C247">
      <w:pPr>
        <w:adjustRightInd w:val="0"/>
        <w:snapToGrid w:val="0"/>
        <w:spacing w:line="360" w:lineRule="auto"/>
        <w:outlineLvl w:val="2"/>
        <w:rPr>
          <w:rFonts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lang w:eastAsia="zh-CN"/>
        </w:rPr>
        <w:t>48.</w:t>
      </w:r>
      <w:r>
        <w:rPr>
          <w:rFonts w:hint="eastAsia" w:ascii="仿宋" w:hAnsi="仿宋" w:eastAsia="仿宋" w:cs="仿宋"/>
          <w:b/>
          <w:snapToGrid w:val="0"/>
          <w:color w:val="auto"/>
          <w:kern w:val="0"/>
          <w:sz w:val="24"/>
          <w:highlight w:val="none"/>
        </w:rPr>
        <w:t>其他</w:t>
      </w:r>
    </w:p>
    <w:p w14:paraId="4D52EE82">
      <w:pPr>
        <w:ind w:firstLine="480" w:firstLineChars="200"/>
        <w:jc w:val="left"/>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为争取项目施工费用纳入项目改造成本，承包方需无条件配合发包方根据政府相关部门要求整理相关项目审核材料，包括但不限于相关图纸、合同、证明文件、设计素材等。</w:t>
      </w:r>
    </w:p>
    <w:p w14:paraId="602C6F2D">
      <w:pPr>
        <w:pStyle w:val="3"/>
        <w:rPr>
          <w:color w:val="auto"/>
          <w:highlight w:val="none"/>
        </w:rPr>
      </w:pPr>
    </w:p>
    <w:p w14:paraId="53896FC3">
      <w:pPr>
        <w:adjustRightInd w:val="0"/>
        <w:snapToGrid w:val="0"/>
        <w:spacing w:line="360" w:lineRule="auto"/>
        <w:outlineLvl w:val="2"/>
        <w:rPr>
          <w:rFonts w:ascii="仿宋" w:hAnsi="仿宋" w:eastAsia="仿宋" w:cs="仿宋"/>
          <w:b/>
          <w:snapToGrid w:val="0"/>
          <w:color w:val="auto"/>
          <w:kern w:val="0"/>
          <w:sz w:val="24"/>
          <w:highlight w:val="none"/>
        </w:rPr>
      </w:pPr>
      <w:bookmarkStart w:id="265" w:name="_Toc83377301"/>
      <w:r>
        <w:rPr>
          <w:rFonts w:hint="eastAsia" w:ascii="仿宋" w:hAnsi="仿宋" w:eastAsia="仿宋" w:cs="仿宋"/>
          <w:b/>
          <w:snapToGrid w:val="0"/>
          <w:color w:val="auto"/>
          <w:kern w:val="0"/>
          <w:sz w:val="24"/>
          <w:highlight w:val="none"/>
          <w:lang w:val="en-US" w:eastAsia="zh-CN"/>
        </w:rPr>
        <w:t>49</w:t>
      </w:r>
      <w:r>
        <w:rPr>
          <w:rFonts w:hint="eastAsia" w:ascii="仿宋" w:hAnsi="仿宋" w:eastAsia="仿宋" w:cs="仿宋"/>
          <w:b/>
          <w:snapToGrid w:val="0"/>
          <w:color w:val="auto"/>
          <w:kern w:val="0"/>
          <w:sz w:val="24"/>
          <w:highlight w:val="none"/>
          <w:lang w:eastAsia="zh-CN"/>
        </w:rPr>
        <w:t>.</w:t>
      </w:r>
      <w:r>
        <w:rPr>
          <w:rFonts w:hint="eastAsia" w:ascii="仿宋" w:hAnsi="仿宋" w:eastAsia="仿宋" w:cs="仿宋"/>
          <w:b/>
          <w:snapToGrid w:val="0"/>
          <w:color w:val="auto"/>
          <w:kern w:val="0"/>
          <w:sz w:val="24"/>
          <w:highlight w:val="none"/>
        </w:rPr>
        <w:t>附则</w:t>
      </w:r>
      <w:bookmarkEnd w:id="265"/>
    </w:p>
    <w:p w14:paraId="41CCE5E5">
      <w:pPr>
        <w:pStyle w:val="22"/>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rPr>
        <w:t>.1本合同适用于中华人民共和国法律，未尽事宜，双方可签订补充协议，有关协议及双方认可的来往电报、传真、会议纪要等，均为本合同组成部分。</w:t>
      </w:r>
    </w:p>
    <w:p w14:paraId="05BAE8F2">
      <w:pPr>
        <w:pStyle w:val="22"/>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rPr>
        <w:t>.2除有特殊约定外，本合同所指“以上”均含本数。</w:t>
      </w:r>
    </w:p>
    <w:p w14:paraId="5785C375">
      <w:pPr>
        <w:pStyle w:val="22"/>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rPr>
        <w:t>.3除有特殊约定外，本合同所指“日”均为自然日。</w:t>
      </w:r>
    </w:p>
    <w:p w14:paraId="48A6D925">
      <w:pPr>
        <w:pStyle w:val="22"/>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rPr>
        <w:t>.4本合同经双方签字盖章后生效。</w:t>
      </w:r>
    </w:p>
    <w:p w14:paraId="1B54CFC5">
      <w:pPr>
        <w:pStyle w:val="22"/>
        <w:ind w:firstLine="480"/>
        <w:rPr>
          <w:rFonts w:ascii="仿宋" w:hAnsi="仿宋" w:eastAsia="仿宋" w:cs="仿宋"/>
          <w:color w:val="auto"/>
          <w:highlight w:val="none"/>
        </w:rPr>
      </w:pPr>
    </w:p>
    <w:p w14:paraId="4704E659">
      <w:pPr>
        <w:autoSpaceDE w:val="0"/>
        <w:autoSpaceDN w:val="0"/>
        <w:adjustRightInd w:val="0"/>
        <w:snapToGrid w:val="0"/>
        <w:spacing w:line="360" w:lineRule="auto"/>
        <w:ind w:firstLine="480"/>
        <w:rPr>
          <w:rFonts w:ascii="仿宋" w:hAnsi="仿宋" w:eastAsia="仿宋" w:cs="仿宋"/>
          <w:snapToGrid w:val="0"/>
          <w:color w:val="auto"/>
          <w:kern w:val="0"/>
          <w:sz w:val="24"/>
          <w:highlight w:val="none"/>
        </w:rPr>
      </w:pPr>
    </w:p>
    <w:p w14:paraId="240C7D16">
      <w:pPr>
        <w:adjustRightInd w:val="0"/>
        <w:snapToGrid w:val="0"/>
        <w:spacing w:line="360" w:lineRule="auto"/>
        <w:jc w:val="center"/>
        <w:outlineLvl w:val="0"/>
        <w:rPr>
          <w:rFonts w:ascii="仿宋" w:hAnsi="仿宋" w:eastAsia="仿宋" w:cs="仿宋"/>
          <w:b/>
          <w:bCs/>
          <w:snapToGrid w:val="0"/>
          <w:color w:val="auto"/>
          <w:kern w:val="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FC5CC98">
      <w:pPr>
        <w:adjustRightInd w:val="0"/>
        <w:snapToGrid w:val="0"/>
        <w:spacing w:line="360" w:lineRule="auto"/>
        <w:jc w:val="center"/>
        <w:outlineLvl w:val="0"/>
        <w:rPr>
          <w:rFonts w:ascii="仿宋" w:hAnsi="仿宋" w:eastAsia="仿宋" w:cs="仿宋"/>
          <w:b/>
          <w:bCs/>
          <w:snapToGrid w:val="0"/>
          <w:color w:val="auto"/>
          <w:kern w:val="0"/>
          <w:sz w:val="44"/>
          <w:szCs w:val="44"/>
          <w:highlight w:val="none"/>
        </w:rPr>
      </w:pPr>
      <w:bookmarkStart w:id="266" w:name="_Toc2784916"/>
      <w:bookmarkStart w:id="267" w:name="_Toc20005"/>
      <w:bookmarkStart w:id="268" w:name="_Toc83377302"/>
      <w:r>
        <w:rPr>
          <w:rFonts w:hint="eastAsia" w:ascii="仿宋" w:hAnsi="仿宋" w:eastAsia="仿宋" w:cs="仿宋"/>
          <w:b/>
          <w:bCs/>
          <w:snapToGrid w:val="0"/>
          <w:color w:val="auto"/>
          <w:kern w:val="0"/>
          <w:sz w:val="44"/>
          <w:szCs w:val="44"/>
          <w:highlight w:val="none"/>
        </w:rPr>
        <w:t>第三篇  合同附件</w:t>
      </w:r>
      <w:bookmarkEnd w:id="266"/>
      <w:bookmarkEnd w:id="267"/>
      <w:r>
        <w:rPr>
          <w:rFonts w:hint="eastAsia" w:ascii="仿宋" w:hAnsi="仿宋" w:eastAsia="仿宋" w:cs="仿宋"/>
          <w:b/>
          <w:bCs/>
          <w:snapToGrid w:val="0"/>
          <w:color w:val="auto"/>
          <w:kern w:val="0"/>
          <w:sz w:val="44"/>
          <w:szCs w:val="44"/>
          <w:highlight w:val="none"/>
        </w:rPr>
        <w:t>与格式</w:t>
      </w:r>
      <w:bookmarkEnd w:id="268"/>
    </w:p>
    <w:p w14:paraId="0E445749">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附件一：合同价款组成表</w:t>
      </w:r>
    </w:p>
    <w:p w14:paraId="3197F4EC">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（按承包人投标文件经济部分）</w:t>
      </w:r>
    </w:p>
    <w:p w14:paraId="3C5F58B6">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附件二：联合体施工协议书（如有）</w:t>
      </w:r>
    </w:p>
    <w:p w14:paraId="3AF0EA95">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附件三：发包人供应材料设备一览表</w:t>
      </w:r>
    </w:p>
    <w:p w14:paraId="2E75D15C">
      <w:pP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附件四：工程质量保修书</w:t>
      </w:r>
    </w:p>
    <w:p w14:paraId="7D55DFD6">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附件五：廉政合同</w:t>
      </w:r>
    </w:p>
    <w:p w14:paraId="1A14AA54">
      <w:pP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附件六：安全责任书</w:t>
      </w:r>
    </w:p>
    <w:p w14:paraId="7C53559F">
      <w:pP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附件七：履约保函</w:t>
      </w:r>
    </w:p>
    <w:p w14:paraId="164CC1EC">
      <w:pPr>
        <w:pStyle w:val="22"/>
        <w:spacing w:line="360" w:lineRule="auto"/>
        <w:ind w:firstLine="480"/>
        <w:rPr>
          <w:rFonts w:ascii="仿宋" w:hAnsi="仿宋" w:eastAsia="仿宋" w:cs="仿宋"/>
          <w:color w:val="auto"/>
          <w:highlight w:val="none"/>
        </w:rPr>
      </w:pPr>
      <w:r>
        <w:rPr>
          <w:rFonts w:hint="eastAsia" w:ascii="仿宋" w:hAnsi="仿宋" w:eastAsia="仿宋" w:cs="仿宋"/>
          <w:bCs/>
          <w:snapToGrid w:val="0"/>
          <w:color w:val="auto"/>
          <w:kern w:val="0"/>
          <w:sz w:val="24"/>
          <w:highlight w:val="none"/>
        </w:rPr>
        <w:t>附件八：</w:t>
      </w:r>
      <w:r>
        <w:rPr>
          <w:rFonts w:hint="eastAsia" w:ascii="仿宋" w:hAnsi="仿宋" w:eastAsia="仿宋" w:cs="仿宋"/>
          <w:color w:val="auto"/>
          <w:highlight w:val="none"/>
        </w:rPr>
        <w:t>关于按时足额发放工人工资的承诺书</w:t>
      </w:r>
    </w:p>
    <w:p w14:paraId="7396DCD7">
      <w:pPr>
        <w:pStyle w:val="21"/>
        <w:ind w:firstLine="200"/>
        <w:rPr>
          <w:rFonts w:hint="default" w:ascii="仿宋" w:hAnsi="仿宋" w:eastAsia="仿宋" w:cs="仿宋"/>
          <w:bCs/>
          <w:snapToGrid w:val="0"/>
          <w:color w:val="auto"/>
          <w:sz w:val="24"/>
          <w:szCs w:val="18"/>
          <w:highlight w:val="none"/>
          <w:lang w:val="en-US" w:eastAsia="zh-CN"/>
        </w:rPr>
      </w:pPr>
      <w:r>
        <w:rPr>
          <w:rFonts w:hint="eastAsia" w:ascii="仿宋" w:hAnsi="仿宋" w:eastAsia="仿宋" w:cs="仿宋"/>
          <w:bCs/>
          <w:snapToGrid w:val="0"/>
          <w:color w:val="auto"/>
          <w:sz w:val="24"/>
          <w:szCs w:val="18"/>
          <w:highlight w:val="none"/>
          <w:lang w:val="en-US" w:eastAsia="zh-CN"/>
        </w:rPr>
        <w:t xml:space="preserve">  附件九：</w:t>
      </w:r>
      <w:r>
        <w:rPr>
          <w:rFonts w:hint="eastAsia" w:ascii="仿宋" w:hAnsi="仿宋" w:eastAsia="仿宋" w:cs="仿宋"/>
          <w:color w:val="auto"/>
          <w:sz w:val="24"/>
          <w:highlight w:val="none"/>
        </w:rPr>
        <w:t>关于设计变更及现场签证管理规定</w:t>
      </w:r>
    </w:p>
    <w:p w14:paraId="7B887D53">
      <w:pPr>
        <w:pStyle w:val="3"/>
        <w:numPr>
          <w:ilvl w:val="1"/>
          <w:numId w:val="0"/>
        </w:numPr>
        <w:spacing w:after="0"/>
        <w:rPr>
          <w:rFonts w:ascii="仿宋" w:hAnsi="仿宋" w:eastAsia="仿宋" w:cs="仿宋"/>
          <w:color w:val="auto"/>
          <w:sz w:val="24"/>
          <w:szCs w:val="24"/>
          <w:highlight w:val="none"/>
        </w:rPr>
      </w:pPr>
      <w:r>
        <w:rPr>
          <w:rFonts w:hint="eastAsia" w:ascii="仿宋" w:hAnsi="仿宋" w:eastAsia="仿宋" w:cs="仿宋"/>
          <w:bCs w:val="0"/>
          <w:snapToGrid w:val="0"/>
          <w:color w:val="auto"/>
          <w:sz w:val="24"/>
          <w:highlight w:val="none"/>
        </w:rPr>
        <w:br w:type="page"/>
      </w:r>
      <w:bookmarkStart w:id="269" w:name="_Toc8293708"/>
      <w:bookmarkStart w:id="270" w:name="_Toc83377303"/>
      <w:bookmarkStart w:id="271" w:name="_Toc82013100"/>
      <w:bookmarkStart w:id="272" w:name="_Toc2784917"/>
      <w:bookmarkStart w:id="273" w:name="_Toc28441"/>
      <w:r>
        <w:rPr>
          <w:rFonts w:hint="eastAsia" w:ascii="仿宋" w:hAnsi="仿宋" w:eastAsia="仿宋" w:cs="仿宋"/>
          <w:color w:val="auto"/>
          <w:sz w:val="24"/>
          <w:szCs w:val="24"/>
          <w:highlight w:val="none"/>
        </w:rPr>
        <w:t>附件一：</w:t>
      </w:r>
      <w:bookmarkEnd w:id="269"/>
      <w:r>
        <w:rPr>
          <w:rFonts w:hint="eastAsia" w:ascii="仿宋" w:hAnsi="仿宋" w:eastAsia="仿宋" w:cs="仿宋"/>
          <w:color w:val="auto"/>
          <w:sz w:val="24"/>
          <w:szCs w:val="24"/>
          <w:highlight w:val="none"/>
        </w:rPr>
        <w:t>合同价款组成表</w:t>
      </w:r>
      <w:bookmarkEnd w:id="270"/>
      <w:bookmarkEnd w:id="271"/>
    </w:p>
    <w:p w14:paraId="52CA24BA">
      <w:pPr>
        <w:pStyle w:val="9"/>
        <w:ind w:firstLine="200"/>
        <w:rPr>
          <w:rFonts w:ascii="仿宋" w:hAnsi="仿宋" w:eastAsia="仿宋" w:cs="仿宋"/>
          <w:color w:val="auto"/>
          <w:highlight w:val="none"/>
        </w:rPr>
      </w:pPr>
    </w:p>
    <w:p w14:paraId="6ADC0CE6">
      <w:pPr>
        <w:rPr>
          <w:rFonts w:ascii="仿宋" w:hAnsi="仿宋" w:eastAsia="仿宋" w:cs="仿宋"/>
          <w:color w:val="auto"/>
          <w:highlight w:val="none"/>
        </w:rPr>
      </w:pP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330"/>
        <w:gridCol w:w="6669"/>
      </w:tblGrid>
      <w:tr w14:paraId="7FC5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871" w:type="dxa"/>
            <w:gridSpan w:val="2"/>
            <w:vAlign w:val="center"/>
          </w:tcPr>
          <w:p w14:paraId="4A399943">
            <w:pPr>
              <w:spacing w:line="3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zh-CN"/>
              </w:rPr>
              <w:t>项目名称</w:t>
            </w:r>
          </w:p>
        </w:tc>
        <w:tc>
          <w:tcPr>
            <w:tcW w:w="6669" w:type="dxa"/>
            <w:vAlign w:val="center"/>
          </w:tcPr>
          <w:p w14:paraId="1DF0FF47">
            <w:pPr>
              <w:spacing w:line="30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eastAsia="zh-CN"/>
              </w:rPr>
              <w:t>广州市白云区棠涌村城中村改造－城中村展示中心项目</w:t>
            </w:r>
            <w:r>
              <w:rPr>
                <w:rFonts w:hint="eastAsia" w:ascii="仿宋" w:hAnsi="仿宋" w:eastAsia="仿宋" w:cs="仿宋"/>
                <w:b/>
                <w:color w:val="auto"/>
                <w:sz w:val="28"/>
                <w:szCs w:val="28"/>
                <w:highlight w:val="none"/>
                <w:lang w:val="zh-CN"/>
              </w:rPr>
              <w:t>设计施工总承包（EPC）</w:t>
            </w:r>
          </w:p>
        </w:tc>
      </w:tr>
      <w:tr w14:paraId="46EC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871" w:type="dxa"/>
            <w:gridSpan w:val="2"/>
            <w:vAlign w:val="center"/>
          </w:tcPr>
          <w:p w14:paraId="1982F47B">
            <w:pPr>
              <w:spacing w:line="3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zh-CN"/>
              </w:rPr>
              <w:t>投标总报价（元，</w:t>
            </w:r>
            <w:r>
              <w:rPr>
                <w:rFonts w:hint="eastAsia" w:ascii="仿宋" w:hAnsi="仿宋" w:eastAsia="仿宋" w:cs="仿宋"/>
                <w:b/>
                <w:color w:val="auto"/>
                <w:szCs w:val="21"/>
                <w:highlight w:val="none"/>
                <w:lang w:val="en-US" w:eastAsia="zh-CN"/>
              </w:rPr>
              <w:t>含税</w:t>
            </w:r>
            <w:r>
              <w:rPr>
                <w:rFonts w:hint="eastAsia" w:ascii="仿宋" w:hAnsi="仿宋" w:eastAsia="仿宋" w:cs="仿宋"/>
                <w:b/>
                <w:color w:val="auto"/>
                <w:szCs w:val="21"/>
                <w:highlight w:val="none"/>
                <w:lang w:val="zh-CN"/>
              </w:rPr>
              <w:t>）</w:t>
            </w:r>
          </w:p>
        </w:tc>
        <w:tc>
          <w:tcPr>
            <w:tcW w:w="6669" w:type="dxa"/>
            <w:vAlign w:val="center"/>
          </w:tcPr>
          <w:p w14:paraId="1BDC4089">
            <w:pPr>
              <w:snapToGrid w:val="0"/>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大写：</w:t>
            </w:r>
            <w:r>
              <w:rPr>
                <w:rFonts w:hint="eastAsia" w:ascii="仿宋" w:hAnsi="仿宋" w:eastAsia="仿宋" w:cs="仿宋"/>
                <w:b/>
                <w:color w:val="auto"/>
                <w:szCs w:val="21"/>
                <w:highlight w:val="none"/>
                <w:lang w:val="en-US" w:eastAsia="zh-CN"/>
              </w:rPr>
              <w:t xml:space="preserve"> </w:t>
            </w:r>
            <w:r>
              <w:rPr>
                <w:rFonts w:hint="eastAsia" w:ascii="仿宋" w:hAnsi="仿宋" w:eastAsia="仿宋" w:cs="仿宋"/>
                <w:b/>
                <w:color w:val="auto"/>
                <w:szCs w:val="21"/>
                <w:highlight w:val="none"/>
                <w:lang w:eastAsia="zh-CN"/>
              </w:rPr>
              <w:t>元整</w:t>
            </w:r>
          </w:p>
          <w:p w14:paraId="732AB51D">
            <w:pPr>
              <w:spacing w:line="3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小写：</w:t>
            </w:r>
            <w:r>
              <w:rPr>
                <w:rFonts w:hint="eastAsia" w:ascii="仿宋" w:hAnsi="仿宋" w:eastAsia="仿宋" w:cs="仿宋"/>
                <w:b/>
                <w:color w:val="auto"/>
                <w:szCs w:val="21"/>
                <w:highlight w:val="none"/>
                <w:lang w:val="en-US" w:eastAsia="zh-CN"/>
              </w:rPr>
              <w:t xml:space="preserve"> 元</w:t>
            </w:r>
          </w:p>
        </w:tc>
      </w:tr>
      <w:tr w14:paraId="29B0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41" w:type="dxa"/>
            <w:vMerge w:val="restart"/>
            <w:tcBorders>
              <w:right w:val="single" w:color="000000" w:sz="4" w:space="0"/>
            </w:tcBorders>
            <w:vAlign w:val="center"/>
          </w:tcPr>
          <w:p w14:paraId="30E53539">
            <w:pPr>
              <w:spacing w:line="300" w:lineRule="exact"/>
              <w:rPr>
                <w:rFonts w:hint="eastAsia" w:ascii="仿宋" w:hAnsi="仿宋" w:eastAsia="仿宋" w:cs="仿宋"/>
                <w:b/>
                <w:color w:val="auto"/>
                <w:szCs w:val="21"/>
                <w:highlight w:val="none"/>
                <w:lang w:val="zh-CN"/>
              </w:rPr>
            </w:pPr>
            <w:r>
              <w:rPr>
                <w:rFonts w:hint="eastAsia" w:ascii="仿宋" w:hAnsi="仿宋" w:eastAsia="仿宋" w:cs="仿宋"/>
                <w:b/>
                <w:color w:val="auto"/>
                <w:szCs w:val="21"/>
                <w:highlight w:val="none"/>
              </w:rPr>
              <w:t>其中：</w:t>
            </w:r>
          </w:p>
        </w:tc>
        <w:tc>
          <w:tcPr>
            <w:tcW w:w="2330" w:type="dxa"/>
            <w:tcBorders>
              <w:left w:val="single" w:color="000000" w:sz="4" w:space="0"/>
            </w:tcBorders>
            <w:vAlign w:val="center"/>
          </w:tcPr>
          <w:p w14:paraId="79795042">
            <w:pPr>
              <w:spacing w:line="300" w:lineRule="exact"/>
              <w:rPr>
                <w:rFonts w:hint="eastAsia" w:ascii="仿宋" w:hAnsi="仿宋" w:eastAsia="仿宋" w:cs="仿宋"/>
                <w:b/>
                <w:color w:val="auto"/>
                <w:szCs w:val="21"/>
                <w:highlight w:val="none"/>
                <w:lang w:val="zh-CN"/>
              </w:rPr>
            </w:pPr>
            <w:r>
              <w:rPr>
                <w:rFonts w:hint="eastAsia" w:ascii="仿宋" w:hAnsi="仿宋" w:eastAsia="仿宋" w:cs="仿宋"/>
                <w:b/>
                <w:color w:val="auto"/>
                <w:szCs w:val="21"/>
                <w:highlight w:val="none"/>
                <w:lang w:val="zh-CN"/>
              </w:rPr>
              <w:t>一、工程费报价</w:t>
            </w:r>
          </w:p>
        </w:tc>
        <w:tc>
          <w:tcPr>
            <w:tcW w:w="6669" w:type="dxa"/>
            <w:vAlign w:val="center"/>
          </w:tcPr>
          <w:p w14:paraId="4C7ADC47">
            <w:pPr>
              <w:spacing w:line="300" w:lineRule="exact"/>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val="en-US" w:eastAsia="zh-CN"/>
              </w:rPr>
              <w:t xml:space="preserve"> </w:t>
            </w:r>
            <w:r>
              <w:rPr>
                <w:rFonts w:hint="eastAsia" w:ascii="仿宋" w:hAnsi="仿宋" w:eastAsia="仿宋" w:cs="仿宋"/>
                <w:b/>
                <w:color w:val="auto"/>
                <w:szCs w:val="21"/>
                <w:highlight w:val="none"/>
              </w:rPr>
              <w:t>元（下浮率</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u w:val="single"/>
                <w:lang w:val="en-US" w:eastAsia="zh-CN"/>
              </w:rPr>
              <w:t xml:space="preserve"> </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rPr>
              <w:t>%）</w:t>
            </w:r>
          </w:p>
        </w:tc>
      </w:tr>
      <w:tr w14:paraId="7305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41" w:type="dxa"/>
            <w:vMerge w:val="continue"/>
            <w:tcBorders>
              <w:right w:val="single" w:color="000000" w:sz="4" w:space="0"/>
            </w:tcBorders>
            <w:vAlign w:val="center"/>
          </w:tcPr>
          <w:p w14:paraId="23B5EE82">
            <w:pPr>
              <w:spacing w:line="300" w:lineRule="exact"/>
              <w:ind w:firstLine="422" w:firstLineChars="200"/>
              <w:rPr>
                <w:rFonts w:hint="eastAsia" w:ascii="仿宋" w:hAnsi="仿宋" w:eastAsia="仿宋" w:cs="仿宋"/>
                <w:b/>
                <w:color w:val="auto"/>
                <w:szCs w:val="21"/>
                <w:highlight w:val="none"/>
              </w:rPr>
            </w:pPr>
          </w:p>
        </w:tc>
        <w:tc>
          <w:tcPr>
            <w:tcW w:w="2330" w:type="dxa"/>
            <w:tcBorders>
              <w:left w:val="single" w:color="000000" w:sz="4" w:space="0"/>
            </w:tcBorders>
            <w:vAlign w:val="center"/>
          </w:tcPr>
          <w:p w14:paraId="18450C60">
            <w:pPr>
              <w:spacing w:line="3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w:t>
            </w:r>
            <w:r>
              <w:rPr>
                <w:rFonts w:hint="eastAsia" w:ascii="仿宋" w:hAnsi="仿宋" w:eastAsia="仿宋" w:cs="仿宋"/>
                <w:b/>
                <w:color w:val="auto"/>
                <w:szCs w:val="21"/>
                <w:highlight w:val="none"/>
                <w:lang w:val="zh-CN"/>
              </w:rPr>
              <w:t>、设计费报价</w:t>
            </w:r>
          </w:p>
        </w:tc>
        <w:tc>
          <w:tcPr>
            <w:tcW w:w="6669" w:type="dxa"/>
            <w:vAlign w:val="center"/>
          </w:tcPr>
          <w:p w14:paraId="7AB7DD3A">
            <w:pPr>
              <w:spacing w:line="300" w:lineRule="exact"/>
              <w:jc w:val="left"/>
              <w:rPr>
                <w:rFonts w:hint="eastAsia" w:ascii="仿宋" w:hAnsi="仿宋" w:eastAsia="仿宋" w:cs="仿宋"/>
                <w:b/>
                <w:bCs/>
                <w:color w:val="auto"/>
                <w:szCs w:val="21"/>
                <w:highlight w:val="none"/>
                <w:u w:val="single"/>
              </w:rPr>
            </w:pP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u w:val="single"/>
                <w:lang w:val="en-US" w:eastAsia="zh-CN"/>
              </w:rPr>
              <w:t xml:space="preserve"> </w:t>
            </w:r>
            <w:r>
              <w:rPr>
                <w:rFonts w:hint="eastAsia" w:ascii="仿宋" w:hAnsi="仿宋" w:eastAsia="仿宋" w:cs="仿宋"/>
                <w:b/>
                <w:color w:val="auto"/>
                <w:szCs w:val="21"/>
                <w:highlight w:val="none"/>
                <w:u w:val="single"/>
              </w:rPr>
              <w:t xml:space="preserve"> </w:t>
            </w:r>
            <w:r>
              <w:rPr>
                <w:rFonts w:hint="eastAsia" w:ascii="仿宋" w:hAnsi="仿宋" w:eastAsia="仿宋" w:cs="仿宋"/>
                <w:b/>
                <w:bCs/>
                <w:color w:val="auto"/>
                <w:szCs w:val="21"/>
                <w:highlight w:val="none"/>
                <w:u w:val="single"/>
              </w:rPr>
              <w:t>元</w:t>
            </w:r>
            <w:r>
              <w:rPr>
                <w:rFonts w:hint="eastAsia" w:ascii="仿宋" w:hAnsi="仿宋" w:eastAsia="仿宋" w:cs="仿宋"/>
                <w:b/>
                <w:color w:val="auto"/>
                <w:szCs w:val="21"/>
                <w:highlight w:val="none"/>
              </w:rPr>
              <w:t>（下浮率</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u w:val="single"/>
                <w:lang w:val="en-US" w:eastAsia="zh-CN"/>
              </w:rPr>
              <w:t xml:space="preserve"> </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rPr>
              <w:t>%）</w:t>
            </w:r>
          </w:p>
        </w:tc>
      </w:tr>
      <w:tr w14:paraId="022E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71" w:type="dxa"/>
            <w:gridSpan w:val="2"/>
            <w:vAlign w:val="center"/>
          </w:tcPr>
          <w:p w14:paraId="740401F2">
            <w:pPr>
              <w:spacing w:line="300" w:lineRule="exact"/>
              <w:jc w:val="center"/>
              <w:rPr>
                <w:rFonts w:hint="eastAsia" w:ascii="仿宋" w:hAnsi="仿宋" w:eastAsia="仿宋" w:cs="仿宋"/>
                <w:b/>
                <w:color w:val="auto"/>
                <w:szCs w:val="21"/>
                <w:highlight w:val="none"/>
                <w:lang w:val="zh-CN"/>
              </w:rPr>
            </w:pPr>
            <w:r>
              <w:rPr>
                <w:rFonts w:hint="eastAsia" w:ascii="仿宋" w:hAnsi="仿宋" w:eastAsia="仿宋" w:cs="仿宋"/>
                <w:b/>
                <w:color w:val="auto"/>
                <w:szCs w:val="21"/>
                <w:highlight w:val="none"/>
                <w:lang w:val="zh-CN"/>
              </w:rPr>
              <w:t>投标工期</w:t>
            </w:r>
          </w:p>
        </w:tc>
        <w:tc>
          <w:tcPr>
            <w:tcW w:w="6669" w:type="dxa"/>
            <w:vAlign w:val="center"/>
          </w:tcPr>
          <w:p w14:paraId="4C14C597">
            <w:pPr>
              <w:spacing w:line="3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按招标文件</w:t>
            </w:r>
            <w:r>
              <w:rPr>
                <w:rFonts w:hint="eastAsia" w:ascii="仿宋" w:hAnsi="仿宋" w:eastAsia="仿宋" w:cs="仿宋"/>
                <w:b/>
                <w:color w:val="auto"/>
                <w:szCs w:val="21"/>
                <w:highlight w:val="none"/>
                <w:lang w:val="zh-CN"/>
              </w:rPr>
              <w:t>要求</w:t>
            </w:r>
          </w:p>
        </w:tc>
      </w:tr>
      <w:tr w14:paraId="343C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71" w:type="dxa"/>
            <w:gridSpan w:val="2"/>
            <w:vAlign w:val="center"/>
          </w:tcPr>
          <w:p w14:paraId="5029EF7B">
            <w:pPr>
              <w:spacing w:line="3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zh-CN"/>
              </w:rPr>
              <w:t>工程质量标准</w:t>
            </w:r>
          </w:p>
        </w:tc>
        <w:tc>
          <w:tcPr>
            <w:tcW w:w="6669" w:type="dxa"/>
            <w:vAlign w:val="center"/>
          </w:tcPr>
          <w:p w14:paraId="312DA43C">
            <w:pPr>
              <w:spacing w:line="3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按招标文件要求</w:t>
            </w:r>
          </w:p>
        </w:tc>
      </w:tr>
      <w:tr w14:paraId="09C8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71" w:type="dxa"/>
            <w:gridSpan w:val="2"/>
            <w:vAlign w:val="center"/>
          </w:tcPr>
          <w:p w14:paraId="17AA0724">
            <w:pPr>
              <w:spacing w:line="300" w:lineRule="exact"/>
              <w:jc w:val="center"/>
              <w:rPr>
                <w:rFonts w:hint="eastAsia" w:ascii="仿宋" w:hAnsi="仿宋" w:eastAsia="仿宋" w:cs="仿宋"/>
                <w:b/>
                <w:color w:val="auto"/>
                <w:szCs w:val="21"/>
                <w:highlight w:val="none"/>
                <w:lang w:val="zh-CN"/>
              </w:rPr>
            </w:pPr>
            <w:r>
              <w:rPr>
                <w:rFonts w:hint="eastAsia" w:ascii="仿宋" w:hAnsi="仿宋" w:eastAsia="仿宋" w:cs="仿宋"/>
                <w:b/>
                <w:color w:val="auto"/>
                <w:szCs w:val="21"/>
                <w:highlight w:val="none"/>
                <w:lang w:val="zh-CN"/>
              </w:rPr>
              <w:t>保修期限</w:t>
            </w:r>
          </w:p>
        </w:tc>
        <w:tc>
          <w:tcPr>
            <w:tcW w:w="6669" w:type="dxa"/>
            <w:vAlign w:val="center"/>
          </w:tcPr>
          <w:p w14:paraId="391B498B">
            <w:pPr>
              <w:spacing w:line="3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按招标文件</w:t>
            </w:r>
            <w:r>
              <w:rPr>
                <w:rFonts w:hint="eastAsia" w:ascii="仿宋" w:hAnsi="仿宋" w:eastAsia="仿宋" w:cs="仿宋"/>
                <w:b/>
                <w:color w:val="auto"/>
                <w:szCs w:val="21"/>
                <w:highlight w:val="none"/>
                <w:lang w:val="zh-CN"/>
              </w:rPr>
              <w:t>要求</w:t>
            </w:r>
          </w:p>
        </w:tc>
      </w:tr>
    </w:tbl>
    <w:p w14:paraId="77729FFA">
      <w:pPr>
        <w:pStyle w:val="3"/>
        <w:rPr>
          <w:rFonts w:ascii="仿宋" w:hAnsi="仿宋" w:eastAsia="仿宋" w:cs="仿宋"/>
          <w:color w:val="auto"/>
          <w:highlight w:val="none"/>
        </w:rPr>
      </w:pPr>
    </w:p>
    <w:p w14:paraId="25D612C2">
      <w:pPr>
        <w:rPr>
          <w:rFonts w:ascii="仿宋" w:hAnsi="仿宋" w:eastAsia="仿宋" w:cs="仿宋"/>
          <w:color w:val="auto"/>
          <w:highlight w:val="none"/>
        </w:rPr>
      </w:pPr>
    </w:p>
    <w:p w14:paraId="5372C10A">
      <w:pPr>
        <w:pStyle w:val="3"/>
        <w:rPr>
          <w:rFonts w:ascii="仿宋" w:hAnsi="仿宋" w:eastAsia="仿宋" w:cs="仿宋"/>
          <w:color w:val="auto"/>
          <w:highlight w:val="none"/>
        </w:rPr>
      </w:pPr>
    </w:p>
    <w:p w14:paraId="3FDA2B49">
      <w:pPr>
        <w:rPr>
          <w:rFonts w:ascii="仿宋" w:hAnsi="仿宋" w:eastAsia="仿宋" w:cs="仿宋"/>
          <w:color w:val="auto"/>
          <w:highlight w:val="none"/>
        </w:rPr>
      </w:pPr>
    </w:p>
    <w:p w14:paraId="00535D65">
      <w:pPr>
        <w:rPr>
          <w:rFonts w:ascii="仿宋" w:hAnsi="仿宋" w:eastAsia="仿宋" w:cs="仿宋"/>
          <w:color w:val="auto"/>
          <w:highlight w:val="none"/>
        </w:rPr>
      </w:pPr>
    </w:p>
    <w:p w14:paraId="48CEA10B">
      <w:pPr>
        <w:rPr>
          <w:rFonts w:ascii="仿宋" w:hAnsi="仿宋" w:eastAsia="仿宋" w:cs="仿宋"/>
          <w:color w:val="auto"/>
          <w:highlight w:val="none"/>
        </w:rPr>
      </w:pPr>
    </w:p>
    <w:p w14:paraId="00608325">
      <w:pPr>
        <w:rPr>
          <w:rFonts w:ascii="仿宋" w:hAnsi="仿宋" w:eastAsia="仿宋" w:cs="仿宋"/>
          <w:color w:val="auto"/>
          <w:highlight w:val="none"/>
        </w:rPr>
      </w:pPr>
    </w:p>
    <w:p w14:paraId="79161597">
      <w:pPr>
        <w:spacing w:after="0"/>
        <w:rPr>
          <w:rFonts w:hint="eastAsia" w:ascii="仿宋" w:hAnsi="仿宋" w:eastAsia="仿宋" w:cs="仿宋"/>
          <w:color w:val="auto"/>
          <w:sz w:val="24"/>
          <w:szCs w:val="24"/>
          <w:highlight w:val="none"/>
        </w:rPr>
      </w:pPr>
      <w:bookmarkStart w:id="274" w:name="_Toc266892923"/>
      <w:bookmarkStart w:id="275" w:name="_Toc83377304"/>
      <w:bookmarkStart w:id="276" w:name="_Toc20807"/>
      <w:bookmarkStart w:id="277" w:name="_Toc26369"/>
      <w:bookmarkStart w:id="278" w:name="_Toc82013101"/>
      <w:r>
        <w:rPr>
          <w:rFonts w:hint="eastAsia" w:ascii="仿宋" w:hAnsi="仿宋" w:eastAsia="仿宋" w:cs="仿宋"/>
          <w:color w:val="auto"/>
          <w:sz w:val="24"/>
          <w:szCs w:val="24"/>
          <w:highlight w:val="none"/>
        </w:rPr>
        <w:br w:type="page"/>
      </w:r>
    </w:p>
    <w:p w14:paraId="2655DE66">
      <w:pPr>
        <w:pStyle w:val="3"/>
        <w:numPr>
          <w:ilvl w:val="1"/>
          <w:numId w:val="0"/>
        </w:numPr>
        <w:spacing w:after="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bookmarkEnd w:id="274"/>
      <w:r>
        <w:rPr>
          <w:rFonts w:hint="eastAsia" w:ascii="仿宋" w:hAnsi="仿宋" w:eastAsia="仿宋" w:cs="仿宋"/>
          <w:color w:val="auto"/>
          <w:sz w:val="24"/>
          <w:szCs w:val="24"/>
          <w:highlight w:val="none"/>
        </w:rPr>
        <w:t>二：联合体施工协议书</w:t>
      </w:r>
      <w:bookmarkEnd w:id="275"/>
      <w:bookmarkEnd w:id="276"/>
      <w:bookmarkEnd w:id="277"/>
      <w:bookmarkEnd w:id="278"/>
    </w:p>
    <w:p w14:paraId="7BBDFA78">
      <w:pPr>
        <w:rPr>
          <w:rFonts w:ascii="仿宋" w:hAnsi="仿宋" w:eastAsia="仿宋" w:cs="仿宋"/>
          <w:color w:val="auto"/>
          <w:highlight w:val="none"/>
          <w:lang w:val="zh-CN"/>
        </w:rPr>
      </w:pPr>
    </w:p>
    <w:p w14:paraId="35A0BD1B">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联合体施工协议书</w:t>
      </w:r>
    </w:p>
    <w:p w14:paraId="528D6B7C">
      <w:pPr>
        <w:jc w:val="center"/>
        <w:rPr>
          <w:rFonts w:ascii="仿宋" w:hAnsi="仿宋" w:eastAsia="仿宋" w:cs="仿宋"/>
          <w:color w:val="auto"/>
          <w:highlight w:val="none"/>
        </w:rPr>
      </w:pPr>
    </w:p>
    <w:p w14:paraId="061A5A71">
      <w:pPr>
        <w:spacing w:line="360" w:lineRule="auto"/>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联合体主办人：</w:t>
      </w:r>
      <w:r>
        <w:rPr>
          <w:rFonts w:hint="eastAsia" w:ascii="仿宋" w:hAnsi="仿宋" w:eastAsia="仿宋" w:cs="仿宋"/>
          <w:b/>
          <w:color w:val="auto"/>
          <w:sz w:val="24"/>
          <w:highlight w:val="none"/>
          <w:u w:val="single"/>
          <w:lang w:val="en-US" w:eastAsia="zh-CN"/>
        </w:rPr>
        <w:t xml:space="preserve">  </w:t>
      </w:r>
    </w:p>
    <w:p w14:paraId="550A491D">
      <w:pPr>
        <w:spacing w:line="360" w:lineRule="auto"/>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联合体成员：</w:t>
      </w:r>
      <w:r>
        <w:rPr>
          <w:rFonts w:hint="eastAsia" w:ascii="仿宋" w:hAnsi="仿宋" w:eastAsia="仿宋" w:cs="仿宋"/>
          <w:b/>
          <w:color w:val="auto"/>
          <w:sz w:val="24"/>
          <w:highlight w:val="none"/>
          <w:u w:val="single"/>
          <w:lang w:val="en-US" w:eastAsia="zh-CN"/>
        </w:rPr>
        <w:t xml:space="preserve">    </w:t>
      </w:r>
    </w:p>
    <w:p w14:paraId="446E0F8B">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本协议书各方遵循平等、自愿、公平和诚实信用的原则，共同愿意组成联合体，实施、完成并保修合同工程。现就下列有关事宜，订立本协议书。</w:t>
      </w:r>
    </w:p>
    <w:p w14:paraId="1A8209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  </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为联合体主办人，</w:t>
      </w:r>
      <w:r>
        <w:rPr>
          <w:rFonts w:hint="eastAsia" w:ascii="仿宋" w:hAnsi="仿宋" w:eastAsia="仿宋" w:cs="仿宋"/>
          <w:color w:val="auto"/>
          <w:sz w:val="24"/>
          <w:highlight w:val="none"/>
          <w:u w:val="single"/>
        </w:rPr>
        <w:t xml:space="preserve"> </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为联合体成员；</w:t>
      </w:r>
    </w:p>
    <w:p w14:paraId="2575090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联合体各方当事人对内部有关事项规定如下：</w:t>
      </w:r>
    </w:p>
    <w:p w14:paraId="08C76E3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  联合体由主办人负责与发包人联系；</w:t>
      </w:r>
    </w:p>
    <w:p w14:paraId="5E50911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合同工程一切工作由联合体主办人负责组织，由联合体各方当事人按内部</w:t>
      </w:r>
      <w:r>
        <w:rPr>
          <w:rFonts w:hint="eastAsia" w:ascii="仿宋" w:hAnsi="仿宋" w:eastAsia="仿宋" w:cs="仿宋"/>
          <w:color w:val="auto"/>
          <w:sz w:val="24"/>
          <w:highlight w:val="none"/>
          <w:lang w:eastAsia="zh-CN"/>
        </w:rPr>
        <w:t>工作</w:t>
      </w:r>
      <w:r>
        <w:rPr>
          <w:rFonts w:hint="eastAsia" w:ascii="仿宋" w:hAnsi="仿宋" w:eastAsia="仿宋" w:cs="仿宋"/>
          <w:color w:val="auto"/>
          <w:sz w:val="24"/>
          <w:highlight w:val="none"/>
        </w:rPr>
        <w:t>范围具体实施；</w:t>
      </w:r>
    </w:p>
    <w:p w14:paraId="4A51C12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  联合体各方当事人将严格按照招标文件的各项要求，切实执行合同工程一切合同工程文件，共同承担合同约定的一切义务，同时按照内部工作范围划分的职责，各自承担自身的责任和风险；</w:t>
      </w:r>
    </w:p>
    <w:p w14:paraId="320CD90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  联合体各方当事人的内部工作范围划分如下：</w:t>
      </w:r>
    </w:p>
    <w:p w14:paraId="6B342361">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2.4.1</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承担合同工程工作内容：</w:t>
      </w:r>
      <w:r>
        <w:rPr>
          <w:rFonts w:hint="eastAsia" w:ascii="仿宋" w:hAnsi="仿宋" w:eastAsia="仿宋" w:cs="仿宋"/>
          <w:color w:val="auto"/>
          <w:kern w:val="0"/>
          <w:sz w:val="24"/>
          <w:highlight w:val="none"/>
          <w:u w:val="single"/>
        </w:rPr>
        <w:t>负责本项目的施工工作</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 xml:space="preserve"> </w:t>
      </w:r>
    </w:p>
    <w:p w14:paraId="44DC537C">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2.4.2</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承担合同工程工作内容：</w:t>
      </w:r>
      <w:r>
        <w:rPr>
          <w:rFonts w:hint="eastAsia" w:ascii="仿宋" w:hAnsi="仿宋" w:eastAsia="仿宋" w:cs="仿宋"/>
          <w:color w:val="auto"/>
          <w:kern w:val="0"/>
          <w:sz w:val="24"/>
          <w:highlight w:val="none"/>
          <w:u w:val="single"/>
        </w:rPr>
        <w:t>负责本项目的设计工作</w:t>
      </w:r>
      <w:r>
        <w:rPr>
          <w:rFonts w:hint="eastAsia" w:ascii="仿宋" w:hAnsi="仿宋" w:eastAsia="仿宋" w:cs="仿宋"/>
          <w:color w:val="auto"/>
          <w:kern w:val="0"/>
          <w:sz w:val="24"/>
          <w:highlight w:val="none"/>
          <w:u w:val="single"/>
          <w:lang w:val="zh-CN"/>
        </w:rPr>
        <w:t xml:space="preserve"> </w:t>
      </w:r>
    </w:p>
    <w:p w14:paraId="4D5FEF28">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 xml:space="preserve">2.5  </w:t>
      </w:r>
      <w:r>
        <w:rPr>
          <w:rFonts w:hint="eastAsia" w:ascii="仿宋" w:hAnsi="仿宋" w:eastAsia="仿宋" w:cs="仿宋"/>
          <w:color w:val="auto"/>
          <w:kern w:val="0"/>
          <w:sz w:val="24"/>
          <w:highlight w:val="none"/>
          <w:lang w:val="zh-CN"/>
        </w:rPr>
        <w:t>联合体各方当事人对合同工程的其他约定：</w:t>
      </w:r>
    </w:p>
    <w:p w14:paraId="25C4959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2.6  </w:t>
      </w:r>
      <w:r>
        <w:rPr>
          <w:rFonts w:hint="eastAsia" w:ascii="仿宋" w:hAnsi="仿宋" w:eastAsia="仿宋" w:cs="仿宋"/>
          <w:color w:val="auto"/>
          <w:kern w:val="0"/>
          <w:sz w:val="24"/>
          <w:highlight w:val="none"/>
          <w:lang w:val="zh-CN"/>
        </w:rPr>
        <w:t>联合体各方当事人在合同工程实施过程中的有关费用，按各自承担的工作量所占比例分摊，或由联合体各方当事人具体协商确定。</w:t>
      </w:r>
    </w:p>
    <w:p w14:paraId="5C191CE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  </w:t>
      </w:r>
      <w:r>
        <w:rPr>
          <w:rFonts w:hint="eastAsia" w:ascii="仿宋" w:hAnsi="仿宋" w:eastAsia="仿宋" w:cs="仿宋"/>
          <w:color w:val="auto"/>
          <w:kern w:val="0"/>
          <w:sz w:val="24"/>
          <w:highlight w:val="none"/>
          <w:lang w:val="zh-CN"/>
        </w:rPr>
        <w:t>本协议书签署后，联合体主办人应将本协议书及时送交发包人和监理工程师、造价工程师</w:t>
      </w:r>
      <w:r>
        <w:rPr>
          <w:rFonts w:hint="eastAsia" w:ascii="仿宋" w:hAnsi="仿宋" w:eastAsia="仿宋" w:cs="仿宋"/>
          <w:color w:val="auto"/>
          <w:kern w:val="0"/>
          <w:highlight w:val="none"/>
          <w:lang w:val="zh-CN"/>
        </w:rPr>
        <w:t>。</w:t>
      </w:r>
    </w:p>
    <w:p w14:paraId="6FBFD5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  本协议书自签署之日起生效，至各方当事人履行完施工合同全部义务后自行失效，并随施工合同的终止而终止。</w:t>
      </w:r>
    </w:p>
    <w:p w14:paraId="1BCE3D0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kern w:val="0"/>
          <w:sz w:val="24"/>
          <w:highlight w:val="none"/>
          <w:lang w:val="zh-CN"/>
        </w:rPr>
        <w:t>本协议书正本与副本具有同等效力，当正本与副本不一致时，以正本为准。</w:t>
      </w:r>
    </w:p>
    <w:p w14:paraId="1A949D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正本一式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份，联合体各方当事人各执一份，送交发包人和监理工程师、造价工程师各一份；副本一式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份，联合体各方当事人各执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78A78E6F">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（以下无正文）</w:t>
      </w:r>
    </w:p>
    <w:p w14:paraId="6A24E286">
      <w:pPr>
        <w:spacing w:line="360" w:lineRule="auto"/>
        <w:ind w:firstLine="480" w:firstLineChars="200"/>
        <w:rPr>
          <w:rFonts w:ascii="仿宋" w:hAnsi="仿宋" w:eastAsia="仿宋" w:cs="仿宋"/>
          <w:color w:val="auto"/>
          <w:sz w:val="24"/>
          <w:highlight w:val="none"/>
        </w:rPr>
      </w:pPr>
    </w:p>
    <w:p w14:paraId="052A814F">
      <w:pPr>
        <w:spacing w:line="360" w:lineRule="auto"/>
        <w:ind w:firstLine="480" w:firstLineChars="200"/>
        <w:rPr>
          <w:rFonts w:ascii="仿宋" w:hAnsi="仿宋" w:eastAsia="仿宋" w:cs="仿宋"/>
          <w:color w:val="auto"/>
          <w:sz w:val="24"/>
          <w:highlight w:val="none"/>
        </w:rPr>
      </w:pPr>
    </w:p>
    <w:p w14:paraId="465AA491">
      <w:pPr>
        <w:spacing w:line="360" w:lineRule="auto"/>
        <w:ind w:firstLine="480" w:firstLineChars="200"/>
        <w:rPr>
          <w:rFonts w:ascii="仿宋" w:hAnsi="仿宋" w:eastAsia="仿宋" w:cs="仿宋"/>
          <w:color w:val="auto"/>
          <w:sz w:val="24"/>
          <w:highlight w:val="none"/>
        </w:rPr>
      </w:pPr>
    </w:p>
    <w:p w14:paraId="7E73809D">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联合体主办人：</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sz w:val="24"/>
          <w:highlight w:val="none"/>
        </w:rPr>
        <w:t xml:space="preserve">                    </w:t>
      </w:r>
    </w:p>
    <w:p w14:paraId="09B40295">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w:t>
      </w:r>
    </w:p>
    <w:p w14:paraId="4538EF34">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委托代理人：</w:t>
      </w:r>
    </w:p>
    <w:p w14:paraId="0CE5A7D4">
      <w:pPr>
        <w:spacing w:line="360" w:lineRule="auto"/>
        <w:ind w:firstLine="360" w:firstLineChars="15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37BB21">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4B6EDD07">
      <w:pPr>
        <w:pStyle w:val="12"/>
        <w:spacing w:line="360" w:lineRule="auto"/>
        <w:ind w:firstLine="400" w:firstLineChars="200"/>
        <w:rPr>
          <w:rFonts w:ascii="仿宋" w:hAnsi="仿宋" w:eastAsia="仿宋" w:cs="仿宋"/>
          <w:color w:val="auto"/>
          <w:highlight w:val="none"/>
        </w:rPr>
      </w:pPr>
    </w:p>
    <w:p w14:paraId="17E36B0B">
      <w:pPr>
        <w:pStyle w:val="12"/>
        <w:spacing w:line="360" w:lineRule="auto"/>
        <w:ind w:firstLine="400" w:firstLineChars="200"/>
        <w:rPr>
          <w:rFonts w:ascii="仿宋" w:hAnsi="仿宋" w:eastAsia="仿宋" w:cs="仿宋"/>
          <w:color w:val="auto"/>
          <w:highlight w:val="none"/>
        </w:rPr>
      </w:pPr>
    </w:p>
    <w:p w14:paraId="0CA7B3FD">
      <w:pPr>
        <w:spacing w:line="360" w:lineRule="auto"/>
        <w:ind w:firstLine="480" w:firstLineChars="200"/>
        <w:rPr>
          <w:rFonts w:ascii="仿宋" w:hAnsi="仿宋" w:eastAsia="仿宋" w:cs="仿宋"/>
          <w:color w:val="auto"/>
          <w:sz w:val="24"/>
          <w:highlight w:val="none"/>
        </w:rPr>
      </w:pPr>
    </w:p>
    <w:p w14:paraId="4F19CA48">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联合体成员：</w:t>
      </w:r>
      <w:r>
        <w:rPr>
          <w:rFonts w:hint="eastAsia" w:ascii="仿宋" w:hAnsi="仿宋" w:eastAsia="仿宋" w:cs="仿宋"/>
          <w:color w:val="auto"/>
          <w:sz w:val="24"/>
          <w:highlight w:val="none"/>
          <w:u w:val="single"/>
          <w:lang w:val="en-US" w:eastAsia="zh-CN"/>
        </w:rPr>
        <w:t xml:space="preserve">  </w:t>
      </w:r>
    </w:p>
    <w:p w14:paraId="63A5FC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w:t>
      </w:r>
    </w:p>
    <w:p w14:paraId="42A4C60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p w14:paraId="61713C89">
      <w:pPr>
        <w:spacing w:line="360" w:lineRule="auto"/>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6DEF473">
      <w:pPr>
        <w:spacing w:line="360" w:lineRule="auto"/>
        <w:ind w:firstLine="480" w:firstLineChars="200"/>
        <w:jc w:val="left"/>
        <w:rPr>
          <w:rFonts w:hint="eastAsia" w:ascii="仿宋" w:hAnsi="仿宋" w:eastAsia="仿宋" w:cs="仿宋"/>
          <w:color w:val="auto"/>
          <w:sz w:val="24"/>
          <w:highlight w:val="none"/>
        </w:rPr>
        <w:sectPr>
          <w:footerReference r:id="rId7" w:type="default"/>
          <w:endnotePr>
            <w:numFmt w:val="decimal"/>
          </w:endnotePr>
          <w:pgSz w:w="11850" w:h="16783"/>
          <w:pgMar w:top="1361" w:right="1304" w:bottom="1361" w:left="1531" w:header="0" w:footer="0"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highlight w:val="none"/>
          <w:u w:val="none"/>
          <w:lang w:val="en-US"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p w14:paraId="630A1203">
      <w:pPr>
        <w:rPr>
          <w:rFonts w:ascii="仿宋" w:hAnsi="仿宋" w:eastAsia="仿宋" w:cs="仿宋"/>
          <w:color w:val="auto"/>
          <w:sz w:val="24"/>
          <w:highlight w:val="none"/>
        </w:rPr>
      </w:pPr>
    </w:p>
    <w:p w14:paraId="77DA5039">
      <w:pPr>
        <w:pStyle w:val="3"/>
        <w:numPr>
          <w:ilvl w:val="1"/>
          <w:numId w:val="0"/>
        </w:numPr>
        <w:spacing w:after="0"/>
        <w:rPr>
          <w:rFonts w:ascii="仿宋" w:hAnsi="仿宋" w:eastAsia="仿宋" w:cs="仿宋"/>
          <w:color w:val="auto"/>
          <w:spacing w:val="32"/>
          <w:kern w:val="36"/>
          <w:sz w:val="24"/>
          <w:szCs w:val="24"/>
          <w:highlight w:val="none"/>
        </w:rPr>
      </w:pPr>
      <w:bookmarkStart w:id="279" w:name="_Toc266892924"/>
      <w:bookmarkStart w:id="280" w:name="_Toc82013102"/>
      <w:bookmarkStart w:id="281" w:name="_Toc83377305"/>
      <w:bookmarkStart w:id="282" w:name="_Toc13437"/>
      <w:bookmarkStart w:id="283" w:name="_Toc10961"/>
      <w:r>
        <w:rPr>
          <w:rFonts w:hint="eastAsia" w:ascii="仿宋" w:hAnsi="仿宋" w:eastAsia="仿宋" w:cs="仿宋"/>
          <w:color w:val="auto"/>
          <w:sz w:val="24"/>
          <w:szCs w:val="24"/>
          <w:highlight w:val="none"/>
        </w:rPr>
        <w:t>附件</w:t>
      </w:r>
      <w:bookmarkEnd w:id="279"/>
      <w:r>
        <w:rPr>
          <w:rFonts w:hint="eastAsia" w:ascii="仿宋" w:hAnsi="仿宋" w:eastAsia="仿宋" w:cs="仿宋"/>
          <w:color w:val="auto"/>
          <w:sz w:val="24"/>
          <w:szCs w:val="24"/>
          <w:highlight w:val="none"/>
        </w:rPr>
        <w:t>三：</w:t>
      </w:r>
      <w:r>
        <w:rPr>
          <w:rFonts w:hint="eastAsia" w:ascii="仿宋" w:hAnsi="仿宋" w:eastAsia="仿宋" w:cs="仿宋"/>
          <w:color w:val="auto"/>
          <w:spacing w:val="32"/>
          <w:kern w:val="36"/>
          <w:sz w:val="24"/>
          <w:szCs w:val="24"/>
          <w:highlight w:val="none"/>
        </w:rPr>
        <w:t>发包人供应材料设备一览表</w:t>
      </w:r>
      <w:bookmarkEnd w:id="280"/>
      <w:bookmarkEnd w:id="281"/>
      <w:bookmarkEnd w:id="282"/>
      <w:bookmarkEnd w:id="283"/>
    </w:p>
    <w:p w14:paraId="210D3CB9">
      <w:pPr>
        <w:spacing w:line="360" w:lineRule="auto"/>
        <w:ind w:firstLine="771" w:firstLineChars="200"/>
        <w:jc w:val="center"/>
        <w:rPr>
          <w:rFonts w:ascii="仿宋" w:hAnsi="仿宋" w:eastAsia="仿宋" w:cs="仿宋"/>
          <w:b/>
          <w:bCs/>
          <w:color w:val="auto"/>
          <w:spacing w:val="32"/>
          <w:kern w:val="36"/>
          <w:sz w:val="32"/>
          <w:szCs w:val="32"/>
          <w:highlight w:val="none"/>
        </w:rPr>
      </w:pPr>
      <w:r>
        <w:rPr>
          <w:rFonts w:hint="eastAsia" w:ascii="仿宋" w:hAnsi="仿宋" w:eastAsia="仿宋" w:cs="仿宋"/>
          <w:b/>
          <w:bCs/>
          <w:color w:val="auto"/>
          <w:spacing w:val="32"/>
          <w:kern w:val="36"/>
          <w:sz w:val="32"/>
          <w:szCs w:val="32"/>
          <w:highlight w:val="none"/>
        </w:rPr>
        <w:t>发包人供应材料设备一览表</w:t>
      </w:r>
    </w:p>
    <w:p w14:paraId="352AC8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工程名称： 设计施工总承包                                   工程编号：</w:t>
      </w:r>
    </w:p>
    <w:tbl>
      <w:tblPr>
        <w:tblStyle w:val="23"/>
        <w:tblW w:w="147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40"/>
        <w:gridCol w:w="2515"/>
        <w:gridCol w:w="1330"/>
        <w:gridCol w:w="1328"/>
        <w:gridCol w:w="1179"/>
        <w:gridCol w:w="668"/>
        <w:gridCol w:w="1506"/>
        <w:gridCol w:w="1439"/>
        <w:gridCol w:w="1402"/>
        <w:gridCol w:w="989"/>
      </w:tblGrid>
      <w:tr w14:paraId="15C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4" w:type="dxa"/>
            <w:vAlign w:val="center"/>
          </w:tcPr>
          <w:p w14:paraId="084871C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40" w:type="dxa"/>
            <w:vAlign w:val="center"/>
          </w:tcPr>
          <w:p w14:paraId="59F4C16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编码</w:t>
            </w:r>
          </w:p>
        </w:tc>
        <w:tc>
          <w:tcPr>
            <w:tcW w:w="2515" w:type="dxa"/>
            <w:vAlign w:val="center"/>
          </w:tcPr>
          <w:p w14:paraId="02C1879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材料设备名称</w:t>
            </w:r>
          </w:p>
        </w:tc>
        <w:tc>
          <w:tcPr>
            <w:tcW w:w="1330" w:type="dxa"/>
            <w:vAlign w:val="center"/>
          </w:tcPr>
          <w:p w14:paraId="29F6310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w:t>
            </w:r>
          </w:p>
        </w:tc>
        <w:tc>
          <w:tcPr>
            <w:tcW w:w="1328" w:type="dxa"/>
            <w:vAlign w:val="center"/>
          </w:tcPr>
          <w:p w14:paraId="119BD6F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1179" w:type="dxa"/>
            <w:vAlign w:val="center"/>
          </w:tcPr>
          <w:p w14:paraId="5D882B4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668" w:type="dxa"/>
            <w:vAlign w:val="center"/>
          </w:tcPr>
          <w:p w14:paraId="5E23497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506" w:type="dxa"/>
            <w:vAlign w:val="center"/>
          </w:tcPr>
          <w:p w14:paraId="022B35F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439" w:type="dxa"/>
            <w:vAlign w:val="center"/>
          </w:tcPr>
          <w:p w14:paraId="0EBAEE6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总价（元）</w:t>
            </w:r>
          </w:p>
        </w:tc>
        <w:tc>
          <w:tcPr>
            <w:tcW w:w="1402" w:type="dxa"/>
            <w:vAlign w:val="center"/>
          </w:tcPr>
          <w:p w14:paraId="4EB733B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投产日期</w:t>
            </w:r>
          </w:p>
        </w:tc>
        <w:tc>
          <w:tcPr>
            <w:tcW w:w="989" w:type="dxa"/>
            <w:vAlign w:val="center"/>
          </w:tcPr>
          <w:p w14:paraId="44B3A71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45B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442EA3C7">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640" w:type="dxa"/>
          </w:tcPr>
          <w:p w14:paraId="48D0AF7A">
            <w:pPr>
              <w:spacing w:line="360" w:lineRule="auto"/>
              <w:ind w:firstLine="42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2515" w:type="dxa"/>
            <w:vAlign w:val="center"/>
          </w:tcPr>
          <w:p w14:paraId="151DC0F9">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330" w:type="dxa"/>
            <w:vAlign w:val="center"/>
          </w:tcPr>
          <w:p w14:paraId="1A55C475">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328" w:type="dxa"/>
            <w:vAlign w:val="center"/>
          </w:tcPr>
          <w:p w14:paraId="39774997">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179" w:type="dxa"/>
            <w:vAlign w:val="center"/>
          </w:tcPr>
          <w:p w14:paraId="12D3F3DF">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668" w:type="dxa"/>
            <w:vAlign w:val="center"/>
          </w:tcPr>
          <w:p w14:paraId="37CC49DC">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506" w:type="dxa"/>
            <w:vAlign w:val="center"/>
          </w:tcPr>
          <w:p w14:paraId="019531BF">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439" w:type="dxa"/>
            <w:vAlign w:val="center"/>
          </w:tcPr>
          <w:p w14:paraId="15F4210D">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402" w:type="dxa"/>
            <w:vAlign w:val="center"/>
          </w:tcPr>
          <w:p w14:paraId="0FB8BE76">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989" w:type="dxa"/>
            <w:vAlign w:val="center"/>
          </w:tcPr>
          <w:p w14:paraId="07DFEA5C">
            <w:pP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r>
      <w:tr w14:paraId="5B99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0E52422E">
            <w:pPr>
              <w:spacing w:line="360" w:lineRule="auto"/>
              <w:ind w:firstLine="420" w:firstLineChars="200"/>
              <w:jc w:val="center"/>
              <w:rPr>
                <w:rFonts w:ascii="仿宋" w:hAnsi="仿宋" w:eastAsia="仿宋" w:cs="仿宋"/>
                <w:color w:val="auto"/>
                <w:highlight w:val="none"/>
              </w:rPr>
            </w:pPr>
          </w:p>
        </w:tc>
        <w:tc>
          <w:tcPr>
            <w:tcW w:w="1640" w:type="dxa"/>
          </w:tcPr>
          <w:p w14:paraId="6A73CF80">
            <w:pPr>
              <w:spacing w:line="360" w:lineRule="auto"/>
              <w:ind w:firstLine="420" w:firstLineChars="200"/>
              <w:jc w:val="center"/>
              <w:rPr>
                <w:rFonts w:ascii="仿宋" w:hAnsi="仿宋" w:eastAsia="仿宋" w:cs="仿宋"/>
                <w:color w:val="auto"/>
                <w:highlight w:val="none"/>
              </w:rPr>
            </w:pPr>
          </w:p>
        </w:tc>
        <w:tc>
          <w:tcPr>
            <w:tcW w:w="2515" w:type="dxa"/>
            <w:vAlign w:val="center"/>
          </w:tcPr>
          <w:p w14:paraId="4A3EADF9">
            <w:pPr>
              <w:spacing w:line="360" w:lineRule="auto"/>
              <w:ind w:firstLine="420" w:firstLineChars="200"/>
              <w:jc w:val="center"/>
              <w:rPr>
                <w:rFonts w:ascii="仿宋" w:hAnsi="仿宋" w:eastAsia="仿宋" w:cs="仿宋"/>
                <w:color w:val="auto"/>
                <w:highlight w:val="none"/>
              </w:rPr>
            </w:pPr>
          </w:p>
        </w:tc>
        <w:tc>
          <w:tcPr>
            <w:tcW w:w="1330" w:type="dxa"/>
            <w:vAlign w:val="center"/>
          </w:tcPr>
          <w:p w14:paraId="69733FC1">
            <w:pPr>
              <w:spacing w:line="360" w:lineRule="auto"/>
              <w:ind w:firstLine="420" w:firstLineChars="200"/>
              <w:jc w:val="center"/>
              <w:rPr>
                <w:rFonts w:ascii="仿宋" w:hAnsi="仿宋" w:eastAsia="仿宋" w:cs="仿宋"/>
                <w:color w:val="auto"/>
                <w:highlight w:val="none"/>
              </w:rPr>
            </w:pPr>
          </w:p>
        </w:tc>
        <w:tc>
          <w:tcPr>
            <w:tcW w:w="1328" w:type="dxa"/>
            <w:vAlign w:val="center"/>
          </w:tcPr>
          <w:p w14:paraId="65F55286">
            <w:pPr>
              <w:spacing w:line="360" w:lineRule="auto"/>
              <w:ind w:firstLine="420" w:firstLineChars="200"/>
              <w:jc w:val="center"/>
              <w:rPr>
                <w:rFonts w:ascii="仿宋" w:hAnsi="仿宋" w:eastAsia="仿宋" w:cs="仿宋"/>
                <w:color w:val="auto"/>
                <w:highlight w:val="none"/>
              </w:rPr>
            </w:pPr>
          </w:p>
        </w:tc>
        <w:tc>
          <w:tcPr>
            <w:tcW w:w="1179" w:type="dxa"/>
            <w:vAlign w:val="center"/>
          </w:tcPr>
          <w:p w14:paraId="1AE8E3FE">
            <w:pPr>
              <w:spacing w:line="360" w:lineRule="auto"/>
              <w:ind w:firstLine="420" w:firstLineChars="200"/>
              <w:jc w:val="center"/>
              <w:rPr>
                <w:rFonts w:ascii="仿宋" w:hAnsi="仿宋" w:eastAsia="仿宋" w:cs="仿宋"/>
                <w:color w:val="auto"/>
                <w:highlight w:val="none"/>
              </w:rPr>
            </w:pPr>
          </w:p>
        </w:tc>
        <w:tc>
          <w:tcPr>
            <w:tcW w:w="668" w:type="dxa"/>
            <w:vAlign w:val="center"/>
          </w:tcPr>
          <w:p w14:paraId="085ED633">
            <w:pPr>
              <w:spacing w:line="360" w:lineRule="auto"/>
              <w:ind w:firstLine="420" w:firstLineChars="200"/>
              <w:jc w:val="center"/>
              <w:rPr>
                <w:rFonts w:ascii="仿宋" w:hAnsi="仿宋" w:eastAsia="仿宋" w:cs="仿宋"/>
                <w:color w:val="auto"/>
                <w:highlight w:val="none"/>
              </w:rPr>
            </w:pPr>
          </w:p>
        </w:tc>
        <w:tc>
          <w:tcPr>
            <w:tcW w:w="1506" w:type="dxa"/>
            <w:vAlign w:val="center"/>
          </w:tcPr>
          <w:p w14:paraId="0DA59C27">
            <w:pPr>
              <w:spacing w:line="360" w:lineRule="auto"/>
              <w:ind w:firstLine="420" w:firstLineChars="200"/>
              <w:jc w:val="center"/>
              <w:rPr>
                <w:rFonts w:ascii="仿宋" w:hAnsi="仿宋" w:eastAsia="仿宋" w:cs="仿宋"/>
                <w:color w:val="auto"/>
                <w:highlight w:val="none"/>
              </w:rPr>
            </w:pPr>
          </w:p>
        </w:tc>
        <w:tc>
          <w:tcPr>
            <w:tcW w:w="1439" w:type="dxa"/>
            <w:vAlign w:val="center"/>
          </w:tcPr>
          <w:p w14:paraId="197DB2EE">
            <w:pPr>
              <w:spacing w:line="360" w:lineRule="auto"/>
              <w:ind w:firstLine="420" w:firstLineChars="200"/>
              <w:jc w:val="center"/>
              <w:rPr>
                <w:rFonts w:ascii="仿宋" w:hAnsi="仿宋" w:eastAsia="仿宋" w:cs="仿宋"/>
                <w:color w:val="auto"/>
                <w:highlight w:val="none"/>
              </w:rPr>
            </w:pPr>
          </w:p>
        </w:tc>
        <w:tc>
          <w:tcPr>
            <w:tcW w:w="1402" w:type="dxa"/>
            <w:vAlign w:val="center"/>
          </w:tcPr>
          <w:p w14:paraId="1CA4FF24">
            <w:pPr>
              <w:spacing w:line="360" w:lineRule="auto"/>
              <w:ind w:firstLine="420" w:firstLineChars="200"/>
              <w:jc w:val="center"/>
              <w:rPr>
                <w:rFonts w:ascii="仿宋" w:hAnsi="仿宋" w:eastAsia="仿宋" w:cs="仿宋"/>
                <w:color w:val="auto"/>
                <w:highlight w:val="none"/>
              </w:rPr>
            </w:pPr>
          </w:p>
        </w:tc>
        <w:tc>
          <w:tcPr>
            <w:tcW w:w="989" w:type="dxa"/>
            <w:vAlign w:val="center"/>
          </w:tcPr>
          <w:p w14:paraId="68FF1014">
            <w:pPr>
              <w:spacing w:line="360" w:lineRule="auto"/>
              <w:ind w:firstLine="420" w:firstLineChars="200"/>
              <w:jc w:val="center"/>
              <w:rPr>
                <w:rFonts w:ascii="仿宋" w:hAnsi="仿宋" w:eastAsia="仿宋" w:cs="仿宋"/>
                <w:color w:val="auto"/>
                <w:highlight w:val="none"/>
              </w:rPr>
            </w:pPr>
          </w:p>
        </w:tc>
      </w:tr>
      <w:tr w14:paraId="4C52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4E69B270">
            <w:pPr>
              <w:spacing w:line="360" w:lineRule="auto"/>
              <w:ind w:firstLine="420" w:firstLineChars="200"/>
              <w:jc w:val="center"/>
              <w:rPr>
                <w:rFonts w:ascii="仿宋" w:hAnsi="仿宋" w:eastAsia="仿宋" w:cs="仿宋"/>
                <w:color w:val="auto"/>
                <w:highlight w:val="none"/>
              </w:rPr>
            </w:pPr>
          </w:p>
        </w:tc>
        <w:tc>
          <w:tcPr>
            <w:tcW w:w="1640" w:type="dxa"/>
          </w:tcPr>
          <w:p w14:paraId="35EB5735">
            <w:pPr>
              <w:spacing w:line="360" w:lineRule="auto"/>
              <w:ind w:firstLine="420" w:firstLineChars="200"/>
              <w:jc w:val="center"/>
              <w:rPr>
                <w:rFonts w:ascii="仿宋" w:hAnsi="仿宋" w:eastAsia="仿宋" w:cs="仿宋"/>
                <w:color w:val="auto"/>
                <w:highlight w:val="none"/>
              </w:rPr>
            </w:pPr>
          </w:p>
        </w:tc>
        <w:tc>
          <w:tcPr>
            <w:tcW w:w="2515" w:type="dxa"/>
            <w:vAlign w:val="center"/>
          </w:tcPr>
          <w:p w14:paraId="7800895D">
            <w:pPr>
              <w:spacing w:line="360" w:lineRule="auto"/>
              <w:ind w:firstLine="420" w:firstLineChars="200"/>
              <w:jc w:val="center"/>
              <w:rPr>
                <w:rFonts w:ascii="仿宋" w:hAnsi="仿宋" w:eastAsia="仿宋" w:cs="仿宋"/>
                <w:color w:val="auto"/>
                <w:highlight w:val="none"/>
              </w:rPr>
            </w:pPr>
          </w:p>
        </w:tc>
        <w:tc>
          <w:tcPr>
            <w:tcW w:w="1330" w:type="dxa"/>
            <w:vAlign w:val="center"/>
          </w:tcPr>
          <w:p w14:paraId="61452B07">
            <w:pPr>
              <w:spacing w:line="360" w:lineRule="auto"/>
              <w:ind w:firstLine="420" w:firstLineChars="200"/>
              <w:jc w:val="center"/>
              <w:rPr>
                <w:rFonts w:ascii="仿宋" w:hAnsi="仿宋" w:eastAsia="仿宋" w:cs="仿宋"/>
                <w:color w:val="auto"/>
                <w:highlight w:val="none"/>
              </w:rPr>
            </w:pPr>
          </w:p>
        </w:tc>
        <w:tc>
          <w:tcPr>
            <w:tcW w:w="1328" w:type="dxa"/>
            <w:vAlign w:val="center"/>
          </w:tcPr>
          <w:p w14:paraId="72C31BA0">
            <w:pPr>
              <w:spacing w:line="360" w:lineRule="auto"/>
              <w:ind w:firstLine="420" w:firstLineChars="200"/>
              <w:jc w:val="center"/>
              <w:rPr>
                <w:rFonts w:ascii="仿宋" w:hAnsi="仿宋" w:eastAsia="仿宋" w:cs="仿宋"/>
                <w:color w:val="auto"/>
                <w:highlight w:val="none"/>
              </w:rPr>
            </w:pPr>
          </w:p>
        </w:tc>
        <w:tc>
          <w:tcPr>
            <w:tcW w:w="1179" w:type="dxa"/>
            <w:vAlign w:val="center"/>
          </w:tcPr>
          <w:p w14:paraId="17CCB904">
            <w:pPr>
              <w:spacing w:line="360" w:lineRule="auto"/>
              <w:ind w:firstLine="420" w:firstLineChars="200"/>
              <w:jc w:val="center"/>
              <w:rPr>
                <w:rFonts w:ascii="仿宋" w:hAnsi="仿宋" w:eastAsia="仿宋" w:cs="仿宋"/>
                <w:color w:val="auto"/>
                <w:highlight w:val="none"/>
              </w:rPr>
            </w:pPr>
          </w:p>
        </w:tc>
        <w:tc>
          <w:tcPr>
            <w:tcW w:w="668" w:type="dxa"/>
            <w:vAlign w:val="center"/>
          </w:tcPr>
          <w:p w14:paraId="74D14892">
            <w:pPr>
              <w:spacing w:line="360" w:lineRule="auto"/>
              <w:ind w:firstLine="420" w:firstLineChars="200"/>
              <w:jc w:val="center"/>
              <w:rPr>
                <w:rFonts w:ascii="仿宋" w:hAnsi="仿宋" w:eastAsia="仿宋" w:cs="仿宋"/>
                <w:color w:val="auto"/>
                <w:highlight w:val="none"/>
              </w:rPr>
            </w:pPr>
          </w:p>
        </w:tc>
        <w:tc>
          <w:tcPr>
            <w:tcW w:w="1506" w:type="dxa"/>
            <w:vAlign w:val="center"/>
          </w:tcPr>
          <w:p w14:paraId="05AE7235">
            <w:pPr>
              <w:spacing w:line="360" w:lineRule="auto"/>
              <w:ind w:firstLine="420" w:firstLineChars="200"/>
              <w:jc w:val="center"/>
              <w:rPr>
                <w:rFonts w:ascii="仿宋" w:hAnsi="仿宋" w:eastAsia="仿宋" w:cs="仿宋"/>
                <w:color w:val="auto"/>
                <w:highlight w:val="none"/>
              </w:rPr>
            </w:pPr>
          </w:p>
        </w:tc>
        <w:tc>
          <w:tcPr>
            <w:tcW w:w="1439" w:type="dxa"/>
            <w:vAlign w:val="center"/>
          </w:tcPr>
          <w:p w14:paraId="21AD9BC3">
            <w:pPr>
              <w:spacing w:line="360" w:lineRule="auto"/>
              <w:ind w:firstLine="420" w:firstLineChars="200"/>
              <w:jc w:val="center"/>
              <w:rPr>
                <w:rFonts w:ascii="仿宋" w:hAnsi="仿宋" w:eastAsia="仿宋" w:cs="仿宋"/>
                <w:color w:val="auto"/>
                <w:highlight w:val="none"/>
              </w:rPr>
            </w:pPr>
          </w:p>
        </w:tc>
        <w:tc>
          <w:tcPr>
            <w:tcW w:w="1402" w:type="dxa"/>
            <w:vAlign w:val="center"/>
          </w:tcPr>
          <w:p w14:paraId="7D5C6FBF">
            <w:pPr>
              <w:spacing w:line="360" w:lineRule="auto"/>
              <w:ind w:firstLine="420" w:firstLineChars="200"/>
              <w:jc w:val="center"/>
              <w:rPr>
                <w:rFonts w:ascii="仿宋" w:hAnsi="仿宋" w:eastAsia="仿宋" w:cs="仿宋"/>
                <w:color w:val="auto"/>
                <w:highlight w:val="none"/>
              </w:rPr>
            </w:pPr>
          </w:p>
        </w:tc>
        <w:tc>
          <w:tcPr>
            <w:tcW w:w="989" w:type="dxa"/>
            <w:vAlign w:val="center"/>
          </w:tcPr>
          <w:p w14:paraId="057F00EE">
            <w:pPr>
              <w:spacing w:line="360" w:lineRule="auto"/>
              <w:ind w:firstLine="420" w:firstLineChars="200"/>
              <w:jc w:val="center"/>
              <w:rPr>
                <w:rFonts w:ascii="仿宋" w:hAnsi="仿宋" w:eastAsia="仿宋" w:cs="仿宋"/>
                <w:color w:val="auto"/>
                <w:highlight w:val="none"/>
              </w:rPr>
            </w:pPr>
          </w:p>
        </w:tc>
      </w:tr>
      <w:tr w14:paraId="220B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39A9A478">
            <w:pPr>
              <w:spacing w:line="360" w:lineRule="auto"/>
              <w:ind w:firstLine="420" w:firstLineChars="200"/>
              <w:jc w:val="center"/>
              <w:rPr>
                <w:rFonts w:ascii="仿宋" w:hAnsi="仿宋" w:eastAsia="仿宋" w:cs="仿宋"/>
                <w:color w:val="auto"/>
                <w:highlight w:val="none"/>
              </w:rPr>
            </w:pPr>
          </w:p>
        </w:tc>
        <w:tc>
          <w:tcPr>
            <w:tcW w:w="1640" w:type="dxa"/>
          </w:tcPr>
          <w:p w14:paraId="17205537">
            <w:pPr>
              <w:spacing w:line="360" w:lineRule="auto"/>
              <w:ind w:firstLine="420" w:firstLineChars="200"/>
              <w:jc w:val="center"/>
              <w:rPr>
                <w:rFonts w:ascii="仿宋" w:hAnsi="仿宋" w:eastAsia="仿宋" w:cs="仿宋"/>
                <w:color w:val="auto"/>
                <w:highlight w:val="none"/>
              </w:rPr>
            </w:pPr>
          </w:p>
        </w:tc>
        <w:tc>
          <w:tcPr>
            <w:tcW w:w="2515" w:type="dxa"/>
            <w:vAlign w:val="center"/>
          </w:tcPr>
          <w:p w14:paraId="672A975D">
            <w:pPr>
              <w:spacing w:line="360" w:lineRule="auto"/>
              <w:ind w:firstLine="420" w:firstLineChars="200"/>
              <w:jc w:val="center"/>
              <w:rPr>
                <w:rFonts w:ascii="仿宋" w:hAnsi="仿宋" w:eastAsia="仿宋" w:cs="仿宋"/>
                <w:color w:val="auto"/>
                <w:highlight w:val="none"/>
              </w:rPr>
            </w:pPr>
          </w:p>
        </w:tc>
        <w:tc>
          <w:tcPr>
            <w:tcW w:w="1330" w:type="dxa"/>
            <w:vAlign w:val="center"/>
          </w:tcPr>
          <w:p w14:paraId="60B62FD8">
            <w:pPr>
              <w:spacing w:line="360" w:lineRule="auto"/>
              <w:ind w:firstLine="420" w:firstLineChars="200"/>
              <w:jc w:val="center"/>
              <w:rPr>
                <w:rFonts w:ascii="仿宋" w:hAnsi="仿宋" w:eastAsia="仿宋" w:cs="仿宋"/>
                <w:color w:val="auto"/>
                <w:highlight w:val="none"/>
              </w:rPr>
            </w:pPr>
          </w:p>
        </w:tc>
        <w:tc>
          <w:tcPr>
            <w:tcW w:w="1328" w:type="dxa"/>
            <w:vAlign w:val="center"/>
          </w:tcPr>
          <w:p w14:paraId="307CB25C">
            <w:pPr>
              <w:spacing w:line="360" w:lineRule="auto"/>
              <w:ind w:firstLine="420" w:firstLineChars="200"/>
              <w:jc w:val="center"/>
              <w:rPr>
                <w:rFonts w:ascii="仿宋" w:hAnsi="仿宋" w:eastAsia="仿宋" w:cs="仿宋"/>
                <w:color w:val="auto"/>
                <w:highlight w:val="none"/>
              </w:rPr>
            </w:pPr>
          </w:p>
        </w:tc>
        <w:tc>
          <w:tcPr>
            <w:tcW w:w="1179" w:type="dxa"/>
            <w:vAlign w:val="center"/>
          </w:tcPr>
          <w:p w14:paraId="2BF28D37">
            <w:pPr>
              <w:spacing w:line="360" w:lineRule="auto"/>
              <w:ind w:firstLine="420" w:firstLineChars="200"/>
              <w:jc w:val="center"/>
              <w:rPr>
                <w:rFonts w:ascii="仿宋" w:hAnsi="仿宋" w:eastAsia="仿宋" w:cs="仿宋"/>
                <w:color w:val="auto"/>
                <w:highlight w:val="none"/>
              </w:rPr>
            </w:pPr>
          </w:p>
        </w:tc>
        <w:tc>
          <w:tcPr>
            <w:tcW w:w="668" w:type="dxa"/>
            <w:vAlign w:val="center"/>
          </w:tcPr>
          <w:p w14:paraId="60EF21B7">
            <w:pPr>
              <w:spacing w:line="360" w:lineRule="auto"/>
              <w:ind w:firstLine="420" w:firstLineChars="200"/>
              <w:jc w:val="center"/>
              <w:rPr>
                <w:rFonts w:ascii="仿宋" w:hAnsi="仿宋" w:eastAsia="仿宋" w:cs="仿宋"/>
                <w:color w:val="auto"/>
                <w:highlight w:val="none"/>
              </w:rPr>
            </w:pPr>
          </w:p>
        </w:tc>
        <w:tc>
          <w:tcPr>
            <w:tcW w:w="1506" w:type="dxa"/>
            <w:vAlign w:val="center"/>
          </w:tcPr>
          <w:p w14:paraId="78D51E8B">
            <w:pPr>
              <w:spacing w:line="360" w:lineRule="auto"/>
              <w:ind w:firstLine="420" w:firstLineChars="200"/>
              <w:jc w:val="center"/>
              <w:rPr>
                <w:rFonts w:ascii="仿宋" w:hAnsi="仿宋" w:eastAsia="仿宋" w:cs="仿宋"/>
                <w:color w:val="auto"/>
                <w:highlight w:val="none"/>
              </w:rPr>
            </w:pPr>
          </w:p>
        </w:tc>
        <w:tc>
          <w:tcPr>
            <w:tcW w:w="1439" w:type="dxa"/>
            <w:vAlign w:val="center"/>
          </w:tcPr>
          <w:p w14:paraId="4BA579E5">
            <w:pPr>
              <w:spacing w:line="360" w:lineRule="auto"/>
              <w:ind w:firstLine="420" w:firstLineChars="200"/>
              <w:jc w:val="center"/>
              <w:rPr>
                <w:rFonts w:ascii="仿宋" w:hAnsi="仿宋" w:eastAsia="仿宋" w:cs="仿宋"/>
                <w:color w:val="auto"/>
                <w:highlight w:val="none"/>
              </w:rPr>
            </w:pPr>
          </w:p>
        </w:tc>
        <w:tc>
          <w:tcPr>
            <w:tcW w:w="1402" w:type="dxa"/>
            <w:vAlign w:val="center"/>
          </w:tcPr>
          <w:p w14:paraId="403D56D2">
            <w:pPr>
              <w:spacing w:line="360" w:lineRule="auto"/>
              <w:ind w:firstLine="420" w:firstLineChars="200"/>
              <w:jc w:val="center"/>
              <w:rPr>
                <w:rFonts w:ascii="仿宋" w:hAnsi="仿宋" w:eastAsia="仿宋" w:cs="仿宋"/>
                <w:color w:val="auto"/>
                <w:highlight w:val="none"/>
              </w:rPr>
            </w:pPr>
          </w:p>
        </w:tc>
        <w:tc>
          <w:tcPr>
            <w:tcW w:w="989" w:type="dxa"/>
            <w:vAlign w:val="center"/>
          </w:tcPr>
          <w:p w14:paraId="63A39255">
            <w:pPr>
              <w:spacing w:line="360" w:lineRule="auto"/>
              <w:ind w:firstLine="420" w:firstLineChars="200"/>
              <w:jc w:val="center"/>
              <w:rPr>
                <w:rFonts w:ascii="仿宋" w:hAnsi="仿宋" w:eastAsia="仿宋" w:cs="仿宋"/>
                <w:color w:val="auto"/>
                <w:highlight w:val="none"/>
              </w:rPr>
            </w:pPr>
          </w:p>
        </w:tc>
      </w:tr>
      <w:tr w14:paraId="68EE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0CB5BFB0">
            <w:pPr>
              <w:spacing w:line="360" w:lineRule="auto"/>
              <w:ind w:firstLine="420" w:firstLineChars="200"/>
              <w:jc w:val="center"/>
              <w:rPr>
                <w:rFonts w:ascii="仿宋" w:hAnsi="仿宋" w:eastAsia="仿宋" w:cs="仿宋"/>
                <w:color w:val="auto"/>
                <w:highlight w:val="none"/>
              </w:rPr>
            </w:pPr>
          </w:p>
        </w:tc>
        <w:tc>
          <w:tcPr>
            <w:tcW w:w="1640" w:type="dxa"/>
          </w:tcPr>
          <w:p w14:paraId="57BA5D30">
            <w:pPr>
              <w:spacing w:line="360" w:lineRule="auto"/>
              <w:ind w:firstLine="420" w:firstLineChars="200"/>
              <w:jc w:val="center"/>
              <w:rPr>
                <w:rFonts w:ascii="仿宋" w:hAnsi="仿宋" w:eastAsia="仿宋" w:cs="仿宋"/>
                <w:color w:val="auto"/>
                <w:highlight w:val="none"/>
              </w:rPr>
            </w:pPr>
          </w:p>
        </w:tc>
        <w:tc>
          <w:tcPr>
            <w:tcW w:w="2515" w:type="dxa"/>
            <w:vAlign w:val="center"/>
          </w:tcPr>
          <w:p w14:paraId="1B8C2C36">
            <w:pPr>
              <w:spacing w:line="360" w:lineRule="auto"/>
              <w:ind w:firstLine="420" w:firstLineChars="200"/>
              <w:jc w:val="center"/>
              <w:rPr>
                <w:rFonts w:ascii="仿宋" w:hAnsi="仿宋" w:eastAsia="仿宋" w:cs="仿宋"/>
                <w:color w:val="auto"/>
                <w:highlight w:val="none"/>
              </w:rPr>
            </w:pPr>
          </w:p>
        </w:tc>
        <w:tc>
          <w:tcPr>
            <w:tcW w:w="1330" w:type="dxa"/>
            <w:vAlign w:val="center"/>
          </w:tcPr>
          <w:p w14:paraId="32FAD1B1">
            <w:pPr>
              <w:spacing w:line="360" w:lineRule="auto"/>
              <w:ind w:firstLine="420" w:firstLineChars="200"/>
              <w:jc w:val="center"/>
              <w:rPr>
                <w:rFonts w:ascii="仿宋" w:hAnsi="仿宋" w:eastAsia="仿宋" w:cs="仿宋"/>
                <w:color w:val="auto"/>
                <w:highlight w:val="none"/>
              </w:rPr>
            </w:pPr>
          </w:p>
        </w:tc>
        <w:tc>
          <w:tcPr>
            <w:tcW w:w="1328" w:type="dxa"/>
            <w:vAlign w:val="center"/>
          </w:tcPr>
          <w:p w14:paraId="78C23C11">
            <w:pPr>
              <w:spacing w:line="360" w:lineRule="auto"/>
              <w:ind w:firstLine="420" w:firstLineChars="200"/>
              <w:jc w:val="center"/>
              <w:rPr>
                <w:rFonts w:ascii="仿宋" w:hAnsi="仿宋" w:eastAsia="仿宋" w:cs="仿宋"/>
                <w:color w:val="auto"/>
                <w:highlight w:val="none"/>
              </w:rPr>
            </w:pPr>
          </w:p>
        </w:tc>
        <w:tc>
          <w:tcPr>
            <w:tcW w:w="1179" w:type="dxa"/>
            <w:vAlign w:val="center"/>
          </w:tcPr>
          <w:p w14:paraId="1E8A79C0">
            <w:pPr>
              <w:spacing w:line="360" w:lineRule="auto"/>
              <w:ind w:firstLine="420" w:firstLineChars="200"/>
              <w:jc w:val="center"/>
              <w:rPr>
                <w:rFonts w:ascii="仿宋" w:hAnsi="仿宋" w:eastAsia="仿宋" w:cs="仿宋"/>
                <w:color w:val="auto"/>
                <w:highlight w:val="none"/>
              </w:rPr>
            </w:pPr>
          </w:p>
        </w:tc>
        <w:tc>
          <w:tcPr>
            <w:tcW w:w="668" w:type="dxa"/>
            <w:vAlign w:val="center"/>
          </w:tcPr>
          <w:p w14:paraId="2C9E8DE3">
            <w:pPr>
              <w:spacing w:line="360" w:lineRule="auto"/>
              <w:ind w:firstLine="420" w:firstLineChars="200"/>
              <w:jc w:val="center"/>
              <w:rPr>
                <w:rFonts w:ascii="仿宋" w:hAnsi="仿宋" w:eastAsia="仿宋" w:cs="仿宋"/>
                <w:color w:val="auto"/>
                <w:highlight w:val="none"/>
              </w:rPr>
            </w:pPr>
          </w:p>
        </w:tc>
        <w:tc>
          <w:tcPr>
            <w:tcW w:w="1506" w:type="dxa"/>
            <w:vAlign w:val="center"/>
          </w:tcPr>
          <w:p w14:paraId="29011FA7">
            <w:pPr>
              <w:spacing w:line="360" w:lineRule="auto"/>
              <w:ind w:firstLine="420" w:firstLineChars="200"/>
              <w:jc w:val="center"/>
              <w:rPr>
                <w:rFonts w:ascii="仿宋" w:hAnsi="仿宋" w:eastAsia="仿宋" w:cs="仿宋"/>
                <w:color w:val="auto"/>
                <w:highlight w:val="none"/>
              </w:rPr>
            </w:pPr>
          </w:p>
        </w:tc>
        <w:tc>
          <w:tcPr>
            <w:tcW w:w="1439" w:type="dxa"/>
            <w:vAlign w:val="center"/>
          </w:tcPr>
          <w:p w14:paraId="16A79230">
            <w:pPr>
              <w:spacing w:line="360" w:lineRule="auto"/>
              <w:ind w:firstLine="420" w:firstLineChars="200"/>
              <w:jc w:val="center"/>
              <w:rPr>
                <w:rFonts w:ascii="仿宋" w:hAnsi="仿宋" w:eastAsia="仿宋" w:cs="仿宋"/>
                <w:color w:val="auto"/>
                <w:highlight w:val="none"/>
              </w:rPr>
            </w:pPr>
          </w:p>
        </w:tc>
        <w:tc>
          <w:tcPr>
            <w:tcW w:w="1402" w:type="dxa"/>
            <w:vAlign w:val="center"/>
          </w:tcPr>
          <w:p w14:paraId="04DC0A6D">
            <w:pPr>
              <w:spacing w:line="360" w:lineRule="auto"/>
              <w:ind w:firstLine="420" w:firstLineChars="200"/>
              <w:jc w:val="center"/>
              <w:rPr>
                <w:rFonts w:ascii="仿宋" w:hAnsi="仿宋" w:eastAsia="仿宋" w:cs="仿宋"/>
                <w:color w:val="auto"/>
                <w:highlight w:val="none"/>
              </w:rPr>
            </w:pPr>
          </w:p>
        </w:tc>
        <w:tc>
          <w:tcPr>
            <w:tcW w:w="989" w:type="dxa"/>
            <w:vAlign w:val="center"/>
          </w:tcPr>
          <w:p w14:paraId="40F2C6A0">
            <w:pPr>
              <w:spacing w:line="360" w:lineRule="auto"/>
              <w:ind w:firstLine="420" w:firstLineChars="200"/>
              <w:jc w:val="center"/>
              <w:rPr>
                <w:rFonts w:ascii="仿宋" w:hAnsi="仿宋" w:eastAsia="仿宋" w:cs="仿宋"/>
                <w:color w:val="auto"/>
                <w:highlight w:val="none"/>
              </w:rPr>
            </w:pPr>
          </w:p>
        </w:tc>
      </w:tr>
      <w:tr w14:paraId="5052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6DC793C0">
            <w:pPr>
              <w:spacing w:line="360" w:lineRule="auto"/>
              <w:ind w:firstLine="420" w:firstLineChars="200"/>
              <w:jc w:val="center"/>
              <w:rPr>
                <w:rFonts w:ascii="仿宋" w:hAnsi="仿宋" w:eastAsia="仿宋" w:cs="仿宋"/>
                <w:color w:val="auto"/>
                <w:highlight w:val="none"/>
              </w:rPr>
            </w:pPr>
          </w:p>
        </w:tc>
        <w:tc>
          <w:tcPr>
            <w:tcW w:w="1640" w:type="dxa"/>
          </w:tcPr>
          <w:p w14:paraId="6EE3E1E4">
            <w:pPr>
              <w:spacing w:line="360" w:lineRule="auto"/>
              <w:ind w:firstLine="420" w:firstLineChars="200"/>
              <w:jc w:val="center"/>
              <w:rPr>
                <w:rFonts w:ascii="仿宋" w:hAnsi="仿宋" w:eastAsia="仿宋" w:cs="仿宋"/>
                <w:color w:val="auto"/>
                <w:highlight w:val="none"/>
              </w:rPr>
            </w:pPr>
          </w:p>
        </w:tc>
        <w:tc>
          <w:tcPr>
            <w:tcW w:w="2515" w:type="dxa"/>
            <w:vAlign w:val="center"/>
          </w:tcPr>
          <w:p w14:paraId="35CDC8A8">
            <w:pPr>
              <w:spacing w:line="360" w:lineRule="auto"/>
              <w:ind w:firstLine="420" w:firstLineChars="200"/>
              <w:jc w:val="center"/>
              <w:rPr>
                <w:rFonts w:ascii="仿宋" w:hAnsi="仿宋" w:eastAsia="仿宋" w:cs="仿宋"/>
                <w:color w:val="auto"/>
                <w:highlight w:val="none"/>
              </w:rPr>
            </w:pPr>
          </w:p>
        </w:tc>
        <w:tc>
          <w:tcPr>
            <w:tcW w:w="1330" w:type="dxa"/>
            <w:vAlign w:val="center"/>
          </w:tcPr>
          <w:p w14:paraId="04D0ACF4">
            <w:pPr>
              <w:spacing w:line="360" w:lineRule="auto"/>
              <w:ind w:firstLine="420" w:firstLineChars="200"/>
              <w:jc w:val="center"/>
              <w:rPr>
                <w:rFonts w:ascii="仿宋" w:hAnsi="仿宋" w:eastAsia="仿宋" w:cs="仿宋"/>
                <w:color w:val="auto"/>
                <w:highlight w:val="none"/>
              </w:rPr>
            </w:pPr>
          </w:p>
        </w:tc>
        <w:tc>
          <w:tcPr>
            <w:tcW w:w="1328" w:type="dxa"/>
            <w:vAlign w:val="center"/>
          </w:tcPr>
          <w:p w14:paraId="575D8DFA">
            <w:pPr>
              <w:spacing w:line="360" w:lineRule="auto"/>
              <w:ind w:firstLine="420" w:firstLineChars="200"/>
              <w:jc w:val="center"/>
              <w:rPr>
                <w:rFonts w:ascii="仿宋" w:hAnsi="仿宋" w:eastAsia="仿宋" w:cs="仿宋"/>
                <w:color w:val="auto"/>
                <w:highlight w:val="none"/>
              </w:rPr>
            </w:pPr>
          </w:p>
        </w:tc>
        <w:tc>
          <w:tcPr>
            <w:tcW w:w="1179" w:type="dxa"/>
            <w:vAlign w:val="center"/>
          </w:tcPr>
          <w:p w14:paraId="4E9886F4">
            <w:pPr>
              <w:spacing w:line="360" w:lineRule="auto"/>
              <w:ind w:firstLine="420" w:firstLineChars="200"/>
              <w:jc w:val="center"/>
              <w:rPr>
                <w:rFonts w:ascii="仿宋" w:hAnsi="仿宋" w:eastAsia="仿宋" w:cs="仿宋"/>
                <w:color w:val="auto"/>
                <w:highlight w:val="none"/>
              </w:rPr>
            </w:pPr>
          </w:p>
        </w:tc>
        <w:tc>
          <w:tcPr>
            <w:tcW w:w="668" w:type="dxa"/>
            <w:vAlign w:val="center"/>
          </w:tcPr>
          <w:p w14:paraId="34C16E27">
            <w:pPr>
              <w:spacing w:line="360" w:lineRule="auto"/>
              <w:ind w:firstLine="420" w:firstLineChars="200"/>
              <w:jc w:val="center"/>
              <w:rPr>
                <w:rFonts w:ascii="仿宋" w:hAnsi="仿宋" w:eastAsia="仿宋" w:cs="仿宋"/>
                <w:color w:val="auto"/>
                <w:highlight w:val="none"/>
              </w:rPr>
            </w:pPr>
          </w:p>
        </w:tc>
        <w:tc>
          <w:tcPr>
            <w:tcW w:w="1506" w:type="dxa"/>
            <w:vAlign w:val="center"/>
          </w:tcPr>
          <w:p w14:paraId="05C2233A">
            <w:pPr>
              <w:spacing w:line="360" w:lineRule="auto"/>
              <w:ind w:firstLine="420" w:firstLineChars="200"/>
              <w:jc w:val="center"/>
              <w:rPr>
                <w:rFonts w:ascii="仿宋" w:hAnsi="仿宋" w:eastAsia="仿宋" w:cs="仿宋"/>
                <w:color w:val="auto"/>
                <w:highlight w:val="none"/>
              </w:rPr>
            </w:pPr>
          </w:p>
        </w:tc>
        <w:tc>
          <w:tcPr>
            <w:tcW w:w="1439" w:type="dxa"/>
            <w:vAlign w:val="center"/>
          </w:tcPr>
          <w:p w14:paraId="32EB87ED">
            <w:pPr>
              <w:spacing w:line="360" w:lineRule="auto"/>
              <w:ind w:firstLine="420" w:firstLineChars="200"/>
              <w:jc w:val="center"/>
              <w:rPr>
                <w:rFonts w:ascii="仿宋" w:hAnsi="仿宋" w:eastAsia="仿宋" w:cs="仿宋"/>
                <w:color w:val="auto"/>
                <w:highlight w:val="none"/>
              </w:rPr>
            </w:pPr>
          </w:p>
        </w:tc>
        <w:tc>
          <w:tcPr>
            <w:tcW w:w="1402" w:type="dxa"/>
            <w:vAlign w:val="center"/>
          </w:tcPr>
          <w:p w14:paraId="68E32BE6">
            <w:pPr>
              <w:spacing w:line="360" w:lineRule="auto"/>
              <w:ind w:firstLine="420" w:firstLineChars="200"/>
              <w:jc w:val="center"/>
              <w:rPr>
                <w:rFonts w:ascii="仿宋" w:hAnsi="仿宋" w:eastAsia="仿宋" w:cs="仿宋"/>
                <w:color w:val="auto"/>
                <w:highlight w:val="none"/>
              </w:rPr>
            </w:pPr>
          </w:p>
        </w:tc>
        <w:tc>
          <w:tcPr>
            <w:tcW w:w="989" w:type="dxa"/>
            <w:vAlign w:val="center"/>
          </w:tcPr>
          <w:p w14:paraId="191056E1">
            <w:pPr>
              <w:spacing w:line="360" w:lineRule="auto"/>
              <w:ind w:firstLine="420" w:firstLineChars="200"/>
              <w:jc w:val="center"/>
              <w:rPr>
                <w:rFonts w:ascii="仿宋" w:hAnsi="仿宋" w:eastAsia="仿宋" w:cs="仿宋"/>
                <w:color w:val="auto"/>
                <w:highlight w:val="none"/>
              </w:rPr>
            </w:pPr>
          </w:p>
        </w:tc>
      </w:tr>
      <w:tr w14:paraId="7F58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3FAFD00C">
            <w:pPr>
              <w:spacing w:line="360" w:lineRule="auto"/>
              <w:ind w:firstLine="420" w:firstLineChars="200"/>
              <w:jc w:val="center"/>
              <w:rPr>
                <w:rFonts w:ascii="仿宋" w:hAnsi="仿宋" w:eastAsia="仿宋" w:cs="仿宋"/>
                <w:color w:val="auto"/>
                <w:highlight w:val="none"/>
              </w:rPr>
            </w:pPr>
          </w:p>
        </w:tc>
        <w:tc>
          <w:tcPr>
            <w:tcW w:w="1640" w:type="dxa"/>
          </w:tcPr>
          <w:p w14:paraId="7B8D9D8F">
            <w:pPr>
              <w:spacing w:line="360" w:lineRule="auto"/>
              <w:ind w:firstLine="420" w:firstLineChars="200"/>
              <w:jc w:val="center"/>
              <w:rPr>
                <w:rFonts w:ascii="仿宋" w:hAnsi="仿宋" w:eastAsia="仿宋" w:cs="仿宋"/>
                <w:color w:val="auto"/>
                <w:highlight w:val="none"/>
              </w:rPr>
            </w:pPr>
          </w:p>
        </w:tc>
        <w:tc>
          <w:tcPr>
            <w:tcW w:w="2515" w:type="dxa"/>
            <w:vAlign w:val="center"/>
          </w:tcPr>
          <w:p w14:paraId="3B63DDBD">
            <w:pPr>
              <w:spacing w:line="360" w:lineRule="auto"/>
              <w:ind w:firstLine="420" w:firstLineChars="200"/>
              <w:jc w:val="center"/>
              <w:rPr>
                <w:rFonts w:ascii="仿宋" w:hAnsi="仿宋" w:eastAsia="仿宋" w:cs="仿宋"/>
                <w:color w:val="auto"/>
                <w:highlight w:val="none"/>
              </w:rPr>
            </w:pPr>
          </w:p>
        </w:tc>
        <w:tc>
          <w:tcPr>
            <w:tcW w:w="1330" w:type="dxa"/>
            <w:vAlign w:val="center"/>
          </w:tcPr>
          <w:p w14:paraId="133A114A">
            <w:pPr>
              <w:spacing w:line="360" w:lineRule="auto"/>
              <w:ind w:firstLine="420" w:firstLineChars="200"/>
              <w:jc w:val="center"/>
              <w:rPr>
                <w:rFonts w:ascii="仿宋" w:hAnsi="仿宋" w:eastAsia="仿宋" w:cs="仿宋"/>
                <w:color w:val="auto"/>
                <w:highlight w:val="none"/>
              </w:rPr>
            </w:pPr>
          </w:p>
        </w:tc>
        <w:tc>
          <w:tcPr>
            <w:tcW w:w="1328" w:type="dxa"/>
            <w:vAlign w:val="center"/>
          </w:tcPr>
          <w:p w14:paraId="61856B8D">
            <w:pPr>
              <w:spacing w:line="360" w:lineRule="auto"/>
              <w:ind w:firstLine="420" w:firstLineChars="200"/>
              <w:jc w:val="center"/>
              <w:rPr>
                <w:rFonts w:ascii="仿宋" w:hAnsi="仿宋" w:eastAsia="仿宋" w:cs="仿宋"/>
                <w:color w:val="auto"/>
                <w:highlight w:val="none"/>
              </w:rPr>
            </w:pPr>
          </w:p>
        </w:tc>
        <w:tc>
          <w:tcPr>
            <w:tcW w:w="1179" w:type="dxa"/>
            <w:vAlign w:val="center"/>
          </w:tcPr>
          <w:p w14:paraId="765B56B4">
            <w:pPr>
              <w:spacing w:line="360" w:lineRule="auto"/>
              <w:ind w:firstLine="420" w:firstLineChars="200"/>
              <w:jc w:val="center"/>
              <w:rPr>
                <w:rFonts w:ascii="仿宋" w:hAnsi="仿宋" w:eastAsia="仿宋" w:cs="仿宋"/>
                <w:color w:val="auto"/>
                <w:highlight w:val="none"/>
              </w:rPr>
            </w:pPr>
          </w:p>
        </w:tc>
        <w:tc>
          <w:tcPr>
            <w:tcW w:w="668" w:type="dxa"/>
            <w:vAlign w:val="center"/>
          </w:tcPr>
          <w:p w14:paraId="28CE666A">
            <w:pPr>
              <w:spacing w:line="360" w:lineRule="auto"/>
              <w:ind w:firstLine="420" w:firstLineChars="200"/>
              <w:jc w:val="center"/>
              <w:rPr>
                <w:rFonts w:ascii="仿宋" w:hAnsi="仿宋" w:eastAsia="仿宋" w:cs="仿宋"/>
                <w:color w:val="auto"/>
                <w:highlight w:val="none"/>
              </w:rPr>
            </w:pPr>
          </w:p>
        </w:tc>
        <w:tc>
          <w:tcPr>
            <w:tcW w:w="1506" w:type="dxa"/>
            <w:vAlign w:val="center"/>
          </w:tcPr>
          <w:p w14:paraId="79B455F3">
            <w:pPr>
              <w:spacing w:line="360" w:lineRule="auto"/>
              <w:ind w:firstLine="420" w:firstLineChars="200"/>
              <w:jc w:val="center"/>
              <w:rPr>
                <w:rFonts w:ascii="仿宋" w:hAnsi="仿宋" w:eastAsia="仿宋" w:cs="仿宋"/>
                <w:color w:val="auto"/>
                <w:highlight w:val="none"/>
              </w:rPr>
            </w:pPr>
          </w:p>
        </w:tc>
        <w:tc>
          <w:tcPr>
            <w:tcW w:w="1439" w:type="dxa"/>
            <w:vAlign w:val="center"/>
          </w:tcPr>
          <w:p w14:paraId="69572535">
            <w:pPr>
              <w:spacing w:line="360" w:lineRule="auto"/>
              <w:ind w:firstLine="420" w:firstLineChars="200"/>
              <w:jc w:val="center"/>
              <w:rPr>
                <w:rFonts w:ascii="仿宋" w:hAnsi="仿宋" w:eastAsia="仿宋" w:cs="仿宋"/>
                <w:color w:val="auto"/>
                <w:highlight w:val="none"/>
              </w:rPr>
            </w:pPr>
          </w:p>
        </w:tc>
        <w:tc>
          <w:tcPr>
            <w:tcW w:w="1402" w:type="dxa"/>
            <w:vAlign w:val="center"/>
          </w:tcPr>
          <w:p w14:paraId="1339CDCD">
            <w:pPr>
              <w:spacing w:line="360" w:lineRule="auto"/>
              <w:ind w:firstLine="420" w:firstLineChars="200"/>
              <w:jc w:val="center"/>
              <w:rPr>
                <w:rFonts w:ascii="仿宋" w:hAnsi="仿宋" w:eastAsia="仿宋" w:cs="仿宋"/>
                <w:color w:val="auto"/>
                <w:highlight w:val="none"/>
              </w:rPr>
            </w:pPr>
          </w:p>
        </w:tc>
        <w:tc>
          <w:tcPr>
            <w:tcW w:w="989" w:type="dxa"/>
            <w:vAlign w:val="center"/>
          </w:tcPr>
          <w:p w14:paraId="6B9E66DC">
            <w:pPr>
              <w:spacing w:line="360" w:lineRule="auto"/>
              <w:ind w:firstLine="420" w:firstLineChars="200"/>
              <w:jc w:val="center"/>
              <w:rPr>
                <w:rFonts w:ascii="仿宋" w:hAnsi="仿宋" w:eastAsia="仿宋" w:cs="仿宋"/>
                <w:color w:val="auto"/>
                <w:highlight w:val="none"/>
              </w:rPr>
            </w:pPr>
          </w:p>
        </w:tc>
      </w:tr>
    </w:tbl>
    <w:p w14:paraId="4BB8FB5D">
      <w:pPr>
        <w:spacing w:line="360" w:lineRule="auto"/>
        <w:ind w:firstLine="480" w:firstLineChars="200"/>
        <w:rPr>
          <w:rFonts w:ascii="仿宋" w:hAnsi="仿宋" w:eastAsia="仿宋" w:cs="仿宋"/>
          <w:color w:val="auto"/>
          <w:sz w:val="28"/>
          <w:highlight w:val="none"/>
        </w:rPr>
      </w:pPr>
      <w:r>
        <w:rPr>
          <w:rFonts w:hint="eastAsia" w:ascii="仿宋" w:hAnsi="仿宋" w:eastAsia="仿宋" w:cs="仿宋"/>
          <w:color w:val="auto"/>
          <w:sz w:val="24"/>
          <w:highlight w:val="none"/>
        </w:rPr>
        <w:t>填表：             复核：             批准：               单位</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　　　　　　　　日期：  　　年 　　月 　　日</w:t>
      </w:r>
    </w:p>
    <w:p w14:paraId="6255128D">
      <w:pPr>
        <w:spacing w:line="360" w:lineRule="auto"/>
        <w:outlineLvl w:val="1"/>
        <w:rPr>
          <w:rFonts w:ascii="仿宋" w:hAnsi="仿宋" w:eastAsia="仿宋" w:cs="仿宋"/>
          <w:b/>
          <w:color w:val="auto"/>
          <w:sz w:val="24"/>
          <w:highlight w:val="none"/>
        </w:rPr>
        <w:sectPr>
          <w:endnotePr>
            <w:numFmt w:val="decimal"/>
          </w:endnotePr>
          <w:pgSz w:w="16783" w:h="11850" w:orient="landscape"/>
          <w:pgMar w:top="737" w:right="1418" w:bottom="737" w:left="851" w:header="0" w:footer="0" w:gutter="0"/>
          <w:pgBorders>
            <w:top w:val="none" w:sz="0" w:space="0"/>
            <w:left w:val="none" w:sz="0" w:space="0"/>
            <w:bottom w:val="none" w:sz="0" w:space="0"/>
            <w:right w:val="none" w:sz="0" w:space="0"/>
          </w:pgBorders>
          <w:cols w:space="720" w:num="1"/>
          <w:docGrid w:linePitch="312" w:charSpace="0"/>
        </w:sectPr>
      </w:pPr>
    </w:p>
    <w:p w14:paraId="2ED0D6A8">
      <w:pPr>
        <w:pStyle w:val="3"/>
        <w:numPr>
          <w:ilvl w:val="1"/>
          <w:numId w:val="0"/>
        </w:numPr>
        <w:spacing w:after="0"/>
        <w:rPr>
          <w:rFonts w:ascii="仿宋" w:hAnsi="仿宋" w:eastAsia="仿宋" w:cs="仿宋"/>
          <w:color w:val="auto"/>
          <w:highlight w:val="none"/>
        </w:rPr>
      </w:pPr>
      <w:bookmarkStart w:id="284" w:name="_Toc266892925"/>
      <w:bookmarkStart w:id="285" w:name="_Toc83377306"/>
      <w:bookmarkStart w:id="286" w:name="_Toc82013103"/>
      <w:bookmarkStart w:id="287" w:name="_Toc18837"/>
      <w:bookmarkStart w:id="288" w:name="_Toc10521"/>
      <w:r>
        <w:rPr>
          <w:rFonts w:hint="eastAsia" w:ascii="仿宋" w:hAnsi="仿宋" w:eastAsia="仿宋" w:cs="仿宋"/>
          <w:color w:val="auto"/>
          <w:sz w:val="24"/>
          <w:szCs w:val="24"/>
          <w:highlight w:val="none"/>
        </w:rPr>
        <w:t>附件</w:t>
      </w:r>
      <w:bookmarkEnd w:id="284"/>
      <w:r>
        <w:rPr>
          <w:rFonts w:hint="eastAsia" w:ascii="仿宋" w:hAnsi="仿宋" w:eastAsia="仿宋" w:cs="仿宋"/>
          <w:color w:val="auto"/>
          <w:sz w:val="24"/>
          <w:szCs w:val="24"/>
          <w:highlight w:val="none"/>
        </w:rPr>
        <w:t>四：</w:t>
      </w:r>
      <w:r>
        <w:rPr>
          <w:rFonts w:hint="eastAsia" w:ascii="仿宋" w:hAnsi="仿宋" w:eastAsia="仿宋" w:cs="仿宋"/>
          <w:color w:val="auto"/>
          <w:spacing w:val="32"/>
          <w:sz w:val="24"/>
          <w:szCs w:val="24"/>
          <w:highlight w:val="none"/>
        </w:rPr>
        <w:t>工程质量保修书</w:t>
      </w:r>
      <w:bookmarkEnd w:id="285"/>
      <w:bookmarkEnd w:id="286"/>
      <w:bookmarkEnd w:id="287"/>
      <w:bookmarkEnd w:id="288"/>
    </w:p>
    <w:p w14:paraId="76B20386">
      <w:pPr>
        <w:spacing w:line="360" w:lineRule="auto"/>
        <w:rPr>
          <w:rFonts w:hint="eastAsia" w:ascii="仿宋" w:hAnsi="仿宋" w:eastAsia="仿宋"/>
          <w:color w:val="auto"/>
          <w:highlight w:val="none"/>
          <w:lang w:eastAsia="zh-CN"/>
        </w:rPr>
      </w:pPr>
    </w:p>
    <w:p w14:paraId="3EA7BDE2">
      <w:pPr>
        <w:spacing w:line="360" w:lineRule="auto"/>
        <w:jc w:val="center"/>
        <w:rPr>
          <w:rFonts w:hint="eastAsia" w:ascii="仿宋" w:hAnsi="仿宋" w:eastAsia="仿宋"/>
          <w:b/>
          <w:bCs/>
          <w:color w:val="auto"/>
          <w:spacing w:val="32"/>
          <w:sz w:val="36"/>
          <w:szCs w:val="36"/>
          <w:highlight w:val="none"/>
          <w:lang w:eastAsia="zh-CN"/>
        </w:rPr>
      </w:pPr>
      <w:r>
        <w:rPr>
          <w:rFonts w:hint="eastAsia" w:ascii="仿宋" w:hAnsi="仿宋" w:eastAsia="仿宋" w:cs="仿宋"/>
          <w:b/>
          <w:bCs/>
          <w:color w:val="auto"/>
          <w:spacing w:val="32"/>
          <w:sz w:val="36"/>
          <w:szCs w:val="36"/>
          <w:highlight w:val="none"/>
          <w:lang w:eastAsia="zh-CN"/>
        </w:rPr>
        <w:t>工程质量保修书</w:t>
      </w:r>
    </w:p>
    <w:p w14:paraId="1C0D7875">
      <w:pPr>
        <w:spacing w:line="324" w:lineRule="auto"/>
        <w:rPr>
          <w:rFonts w:ascii="仿宋" w:hAnsi="仿宋" w:eastAsia="仿宋"/>
          <w:color w:val="auto"/>
          <w:highlight w:val="none"/>
          <w:lang w:eastAsia="zh-CN"/>
        </w:rPr>
      </w:pPr>
      <w:r>
        <w:rPr>
          <w:rFonts w:hint="eastAsia" w:ascii="仿宋" w:hAnsi="仿宋" w:eastAsia="仿宋" w:cs="仿宋"/>
          <w:color w:val="auto"/>
          <w:highlight w:val="none"/>
          <w:lang w:eastAsia="zh-CN"/>
        </w:rPr>
        <w:t>发包人：</w:t>
      </w:r>
      <w:r>
        <w:rPr>
          <w:rFonts w:hint="eastAsia" w:ascii="仿宋" w:hAnsi="仿宋" w:eastAsia="仿宋"/>
          <w:color w:val="auto"/>
          <w:highlight w:val="none"/>
          <w:u w:val="single"/>
          <w:lang w:eastAsia="zh-CN"/>
        </w:rPr>
        <w:t xml:space="preserve">广州白云棠涌置地有限公司 </w:t>
      </w:r>
      <w:r>
        <w:rPr>
          <w:rFonts w:ascii="仿宋" w:hAnsi="仿宋" w:eastAsia="仿宋" w:cs="仿宋"/>
          <w:color w:val="auto"/>
          <w:highlight w:val="none"/>
          <w:u w:val="single"/>
          <w:lang w:eastAsia="zh-CN"/>
        </w:rPr>
        <w:t xml:space="preserve">              </w:t>
      </w:r>
    </w:p>
    <w:p w14:paraId="08280172">
      <w:pPr>
        <w:spacing w:line="324" w:lineRule="auto"/>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承包人：</w:t>
      </w:r>
    </w:p>
    <w:p w14:paraId="1BD95CEC">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为保证</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（工程名称）在合理使用期限内正常使用，合同双方当事人根据《中华人民共和国建筑法》《建设工程质量管理条例》和《房屋建筑工程质量保修办法》等规定，经协商一致，订立本质量保修书。</w:t>
      </w:r>
    </w:p>
    <w:p w14:paraId="6AF11B6B">
      <w:pPr>
        <w:rPr>
          <w:rFonts w:hint="eastAsia" w:ascii="仿宋" w:hAnsi="仿宋" w:eastAsia="仿宋"/>
          <w:b/>
          <w:bCs/>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
          <w:bCs/>
          <w:color w:val="auto"/>
          <w:highlight w:val="none"/>
          <w:lang w:eastAsia="zh-CN"/>
        </w:rPr>
        <w:t>质量保修范围</w:t>
      </w:r>
    </w:p>
    <w:p w14:paraId="32861996">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1B874BCA">
      <w:pPr>
        <w:spacing w:line="360" w:lineRule="auto"/>
        <w:ind w:firstLine="42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1.1</w:t>
      </w:r>
      <w:r>
        <w:rPr>
          <w:rFonts w:ascii="仿宋" w:hAnsi="仿宋" w:eastAsia="仿宋" w:cs="仿宋"/>
          <w:color w:val="auto"/>
          <w:highlight w:val="none"/>
          <w:lang w:eastAsia="zh-CN"/>
        </w:rPr>
        <w:t>承包人在质量保修期内，按照有关法律、法规、规章规定和双方约定，承担</w:t>
      </w:r>
      <w:r>
        <w:rPr>
          <w:rFonts w:hint="eastAsia" w:ascii="仿宋" w:hAnsi="仿宋" w:eastAsia="仿宋" w:cs="仿宋"/>
          <w:color w:val="auto"/>
          <w:highlight w:val="none"/>
          <w:lang w:eastAsia="zh-CN"/>
        </w:rPr>
        <w:t>本合同项下</w:t>
      </w:r>
      <w:r>
        <w:rPr>
          <w:rFonts w:ascii="仿宋" w:hAnsi="仿宋" w:eastAsia="仿宋" w:cs="仿宋"/>
          <w:color w:val="auto"/>
          <w:highlight w:val="none"/>
          <w:lang w:eastAsia="zh-CN"/>
        </w:rPr>
        <w:t xml:space="preserve">工程质量保修责任。                                                                                    </w:t>
      </w:r>
    </w:p>
    <w:p w14:paraId="4E43AAE9">
      <w:pPr>
        <w:spacing w:line="324"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ascii="仿宋" w:hAnsi="仿宋" w:eastAsia="仿宋" w:cs="仿宋"/>
          <w:color w:val="auto"/>
          <w:highlight w:val="none"/>
          <w:lang w:eastAsia="zh-CN"/>
        </w:rPr>
        <w:t>2承包人承包范围内的所有工程均属保修范围。</w:t>
      </w:r>
    </w:p>
    <w:p w14:paraId="0BF60AFD">
      <w:pPr>
        <w:rPr>
          <w:rFonts w:hint="eastAsia" w:ascii="仿宋" w:hAnsi="仿宋" w:eastAsia="仿宋"/>
          <w:b/>
          <w:bCs/>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b/>
          <w:bCs/>
          <w:color w:val="auto"/>
          <w:highlight w:val="none"/>
          <w:lang w:eastAsia="zh-CN"/>
        </w:rPr>
        <w:t>质量保修期</w:t>
      </w:r>
    </w:p>
    <w:p w14:paraId="10E04765">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2.1 质量保修期从工程实际竣工之日算起。单项竣工验收的工程，按单项工程分别计算质量保修期。（移交到村民、物业居住有一段时间）本工程的保修期自总承包工程竣工验收合格、移交物业公司及交付公告中明确的交付之日（以三个日期中最晚日期，但不超过政府竣工验收合格后6个月）起计算，保修期不得低于法定最低保修年限，其中燃气工程为通过验收两年内。</w:t>
      </w:r>
    </w:p>
    <w:p w14:paraId="69C5D3B8">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 xml:space="preserve">2.2 </w:t>
      </w:r>
      <w:r>
        <w:rPr>
          <w:rFonts w:hint="eastAsia" w:ascii="仿宋" w:hAnsi="仿宋" w:eastAsia="仿宋" w:cs="仿宋"/>
          <w:color w:val="auto"/>
          <w:highlight w:val="none"/>
          <w:lang w:val="zh-CN" w:eastAsia="zh-CN"/>
        </w:rPr>
        <w:t>合同工程质量保修期，合同双方当事人约定如下</w:t>
      </w:r>
      <w:r>
        <w:rPr>
          <w:rFonts w:hint="eastAsia" w:ascii="仿宋" w:hAnsi="仿宋" w:eastAsia="仿宋" w:cs="仿宋"/>
          <w:color w:val="auto"/>
          <w:highlight w:val="none"/>
          <w:lang w:eastAsia="zh-CN"/>
        </w:rPr>
        <w:t>：</w:t>
      </w:r>
    </w:p>
    <w:p w14:paraId="17B403F7">
      <w:pPr>
        <w:spacing w:line="360" w:lineRule="auto"/>
        <w:ind w:firstLine="420" w:firstLineChars="200"/>
        <w:rPr>
          <w:rFonts w:ascii="仿宋" w:hAnsi="仿宋" w:eastAsia="仿宋"/>
          <w:color w:val="auto"/>
          <w:highlight w:val="none"/>
          <w:lang w:eastAsia="zh-CN"/>
        </w:rPr>
      </w:pPr>
      <w:r>
        <w:rPr>
          <w:rFonts w:hint="eastAsia" w:ascii="仿宋" w:hAnsi="仿宋" w:eastAsia="仿宋" w:cs="仿宋"/>
          <w:color w:val="auto"/>
          <w:highlight w:val="none"/>
          <w:lang w:eastAsia="zh-CN"/>
        </w:rPr>
        <w:t>1.地基基础工程、主体结构工程为设计文件规定的合理使用年限；</w:t>
      </w:r>
    </w:p>
    <w:p w14:paraId="3A99CC22">
      <w:pPr>
        <w:spacing w:line="360" w:lineRule="auto"/>
        <w:ind w:firstLine="420" w:firstLineChars="200"/>
        <w:rPr>
          <w:rFonts w:ascii="仿宋" w:hAnsi="仿宋" w:eastAsia="仿宋"/>
          <w:color w:val="auto"/>
          <w:highlight w:val="none"/>
          <w:lang w:eastAsia="zh-CN"/>
        </w:rPr>
      </w:pPr>
      <w:r>
        <w:rPr>
          <w:rFonts w:hint="eastAsia" w:ascii="仿宋" w:hAnsi="仿宋" w:eastAsia="仿宋" w:cs="仿宋"/>
          <w:color w:val="auto"/>
          <w:highlight w:val="none"/>
          <w:lang w:eastAsia="zh-CN"/>
        </w:rPr>
        <w:t>2.屋面防水工程、有防水要求的卫生间、房间和外墙面的防渗漏工程为</w:t>
      </w:r>
      <w:r>
        <w:rPr>
          <w:rFonts w:ascii="仿宋" w:hAnsi="仿宋" w:eastAsia="仿宋" w:cs="仿宋"/>
          <w:color w:val="auto"/>
          <w:highlight w:val="none"/>
          <w:u w:val="single"/>
          <w:lang w:eastAsia="zh-CN"/>
        </w:rPr>
        <w:t xml:space="preserve">  6 </w:t>
      </w:r>
      <w:r>
        <w:rPr>
          <w:rFonts w:hint="eastAsia" w:ascii="仿宋" w:hAnsi="仿宋" w:eastAsia="仿宋" w:cs="仿宋"/>
          <w:color w:val="auto"/>
          <w:highlight w:val="none"/>
          <w:lang w:eastAsia="zh-CN"/>
        </w:rPr>
        <w:t>年；</w:t>
      </w:r>
    </w:p>
    <w:p w14:paraId="710EE2AC">
      <w:pPr>
        <w:spacing w:line="360" w:lineRule="auto"/>
        <w:ind w:firstLine="210" w:firstLineChars="100"/>
        <w:rPr>
          <w:rFonts w:ascii="仿宋" w:hAnsi="仿宋" w:eastAsia="仿宋"/>
          <w:color w:val="auto"/>
          <w:highlight w:val="none"/>
          <w:lang w:eastAsia="zh-CN"/>
        </w:rPr>
      </w:pPr>
      <w:r>
        <w:rPr>
          <w:rFonts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3.电气管线工程、给排水管道工程、设备安装工程为</w:t>
      </w:r>
      <w:r>
        <w:rPr>
          <w:rFonts w:ascii="仿宋" w:hAnsi="仿宋" w:eastAsia="仿宋" w:cs="仿宋"/>
          <w:color w:val="auto"/>
          <w:highlight w:val="none"/>
          <w:u w:val="single"/>
          <w:lang w:eastAsia="zh-CN"/>
        </w:rPr>
        <w:t xml:space="preserve">  3 </w:t>
      </w:r>
      <w:r>
        <w:rPr>
          <w:rFonts w:hint="eastAsia" w:ascii="仿宋" w:hAnsi="仿宋" w:eastAsia="仿宋" w:cs="仿宋"/>
          <w:color w:val="auto"/>
          <w:highlight w:val="none"/>
          <w:lang w:eastAsia="zh-CN"/>
        </w:rPr>
        <w:t>年；</w:t>
      </w:r>
    </w:p>
    <w:p w14:paraId="503057F9">
      <w:pPr>
        <w:spacing w:line="360" w:lineRule="auto"/>
        <w:ind w:firstLine="420" w:firstLineChars="200"/>
        <w:rPr>
          <w:rFonts w:ascii="仿宋" w:hAnsi="仿宋" w:eastAsia="仿宋"/>
          <w:color w:val="auto"/>
          <w:highlight w:val="none"/>
          <w:lang w:eastAsia="zh-CN"/>
        </w:rPr>
      </w:pPr>
      <w:r>
        <w:rPr>
          <w:rFonts w:hint="eastAsia" w:ascii="仿宋" w:hAnsi="仿宋" w:eastAsia="仿宋" w:cs="仿宋"/>
          <w:color w:val="auto"/>
          <w:highlight w:val="none"/>
          <w:lang w:eastAsia="zh-CN"/>
        </w:rPr>
        <w:t>4.供热、供冷系统工程为</w:t>
      </w:r>
      <w:r>
        <w:rPr>
          <w:rFonts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3</w:t>
      </w:r>
      <w:r>
        <w:rPr>
          <w:rFonts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个采暖期、供冷期；</w:t>
      </w:r>
    </w:p>
    <w:p w14:paraId="30DF90D6">
      <w:pPr>
        <w:spacing w:line="360" w:lineRule="auto"/>
        <w:ind w:firstLine="420" w:firstLineChars="200"/>
        <w:rPr>
          <w:rFonts w:ascii="仿宋" w:hAnsi="仿宋" w:eastAsia="仿宋"/>
          <w:color w:val="auto"/>
          <w:highlight w:val="none"/>
          <w:lang w:eastAsia="zh-CN"/>
        </w:rPr>
      </w:pPr>
      <w:r>
        <w:rPr>
          <w:rFonts w:hint="eastAsia" w:ascii="仿宋" w:hAnsi="仿宋" w:eastAsia="仿宋" w:cs="仿宋"/>
          <w:color w:val="auto"/>
          <w:highlight w:val="none"/>
          <w:lang w:eastAsia="zh-CN"/>
        </w:rPr>
        <w:t>5.装饰装修工程为</w:t>
      </w:r>
      <w:r>
        <w:rPr>
          <w:rFonts w:ascii="仿宋" w:hAnsi="仿宋" w:eastAsia="仿宋" w:cs="仿宋"/>
          <w:color w:val="auto"/>
          <w:highlight w:val="none"/>
          <w:u w:val="single"/>
          <w:lang w:eastAsia="zh-CN"/>
        </w:rPr>
        <w:t xml:space="preserve">  3  </w:t>
      </w:r>
      <w:r>
        <w:rPr>
          <w:rFonts w:hint="eastAsia" w:ascii="仿宋" w:hAnsi="仿宋" w:eastAsia="仿宋" w:cs="仿宋"/>
          <w:color w:val="auto"/>
          <w:highlight w:val="none"/>
          <w:lang w:eastAsia="zh-CN"/>
        </w:rPr>
        <w:t>年；</w:t>
      </w:r>
    </w:p>
    <w:p w14:paraId="5B79BF55">
      <w:pPr>
        <w:spacing w:line="360" w:lineRule="auto"/>
        <w:ind w:firstLine="420" w:firstLineChars="200"/>
        <w:rPr>
          <w:rFonts w:ascii="仿宋" w:hAnsi="仿宋" w:eastAsia="仿宋"/>
          <w:color w:val="auto"/>
          <w:highlight w:val="none"/>
          <w:lang w:eastAsia="zh-CN"/>
        </w:rPr>
      </w:pPr>
      <w:r>
        <w:rPr>
          <w:rFonts w:hint="eastAsia" w:ascii="仿宋" w:hAnsi="仿宋" w:eastAsia="仿宋" w:cs="仿宋"/>
          <w:color w:val="auto"/>
          <w:highlight w:val="none"/>
          <w:lang w:eastAsia="zh-CN"/>
        </w:rPr>
        <w:t>6.其他项目：</w:t>
      </w:r>
      <w:r>
        <w:rPr>
          <w:rFonts w:hint="eastAsia" w:ascii="仿宋" w:hAnsi="仿宋" w:eastAsia="仿宋" w:cs="仿宋"/>
          <w:color w:val="auto"/>
          <w:highlight w:val="none"/>
          <w:u w:val="single"/>
          <w:lang w:eastAsia="zh-CN"/>
        </w:rPr>
        <w:t>保修期按《房屋建筑工程质量保修办法》规定的保修年限+1执行。</w:t>
      </w:r>
    </w:p>
    <w:p w14:paraId="77F40ECC">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2.</w:t>
      </w:r>
      <w:r>
        <w:rPr>
          <w:rFonts w:hint="eastAsia" w:ascii="仿宋" w:hAnsi="仿宋" w:eastAsia="仿宋"/>
          <w:color w:val="auto"/>
          <w:highlight w:val="none"/>
          <w:lang w:eastAsia="zh-CN"/>
        </w:rPr>
        <w:t>3</w:t>
      </w:r>
      <w:r>
        <w:rPr>
          <w:rFonts w:ascii="仿宋" w:hAnsi="仿宋" w:eastAsia="仿宋"/>
          <w:color w:val="auto"/>
          <w:highlight w:val="none"/>
          <w:lang w:eastAsia="zh-CN"/>
        </w:rPr>
        <w:t>经双方协商，一致同意本合同项下其他工程的保修期限约定如下：</w:t>
      </w:r>
    </w:p>
    <w:p w14:paraId="1DA71EB5">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1</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给排水设施为</w:t>
      </w:r>
      <w:r>
        <w:rPr>
          <w:rFonts w:ascii="仿宋" w:hAnsi="仿宋" w:eastAsia="仿宋"/>
          <w:color w:val="auto"/>
          <w:highlight w:val="none"/>
          <w:u w:val="single"/>
          <w:lang w:eastAsia="zh-CN"/>
        </w:rPr>
        <w:t>3</w:t>
      </w:r>
      <w:r>
        <w:rPr>
          <w:rFonts w:ascii="仿宋" w:hAnsi="仿宋" w:eastAsia="仿宋"/>
          <w:color w:val="auto"/>
          <w:highlight w:val="none"/>
          <w:lang w:eastAsia="zh-CN"/>
        </w:rPr>
        <w:t>年；</w:t>
      </w:r>
    </w:p>
    <w:p w14:paraId="1723C0E8">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2</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园建、道路工程为</w:t>
      </w:r>
      <w:r>
        <w:rPr>
          <w:rFonts w:ascii="仿宋" w:hAnsi="仿宋" w:eastAsia="仿宋"/>
          <w:color w:val="auto"/>
          <w:highlight w:val="none"/>
          <w:u w:val="single"/>
          <w:lang w:eastAsia="zh-CN"/>
        </w:rPr>
        <w:t xml:space="preserve"> 3</w:t>
      </w:r>
      <w:r>
        <w:rPr>
          <w:rFonts w:ascii="仿宋" w:hAnsi="仿宋" w:eastAsia="仿宋"/>
          <w:color w:val="auto"/>
          <w:highlight w:val="none"/>
          <w:lang w:eastAsia="zh-CN"/>
        </w:rPr>
        <w:t>年；</w:t>
      </w:r>
    </w:p>
    <w:p w14:paraId="497748BF">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3</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绿化工程养护期</w:t>
      </w:r>
      <w:r>
        <w:rPr>
          <w:rFonts w:ascii="仿宋" w:hAnsi="仿宋" w:eastAsia="仿宋"/>
          <w:color w:val="auto"/>
          <w:highlight w:val="none"/>
          <w:u w:val="single"/>
          <w:lang w:eastAsia="zh-CN"/>
        </w:rPr>
        <w:t>2</w:t>
      </w:r>
      <w:r>
        <w:rPr>
          <w:rFonts w:ascii="仿宋" w:hAnsi="仿宋" w:eastAsia="仿宋"/>
          <w:color w:val="auto"/>
          <w:highlight w:val="none"/>
          <w:lang w:eastAsia="zh-CN"/>
        </w:rPr>
        <w:t>年。其中保养成活期</w:t>
      </w:r>
      <w:r>
        <w:rPr>
          <w:rFonts w:ascii="仿宋" w:hAnsi="仿宋" w:eastAsia="仿宋"/>
          <w:color w:val="auto"/>
          <w:highlight w:val="none"/>
          <w:u w:val="single"/>
          <w:lang w:eastAsia="zh-CN"/>
        </w:rPr>
        <w:t>3</w:t>
      </w:r>
      <w:r>
        <w:rPr>
          <w:rFonts w:ascii="仿宋" w:hAnsi="仿宋" w:eastAsia="仿宋"/>
          <w:color w:val="auto"/>
          <w:highlight w:val="none"/>
          <w:lang w:eastAsia="zh-CN"/>
        </w:rPr>
        <w:t>个月，保养期</w:t>
      </w:r>
      <w:r>
        <w:rPr>
          <w:rFonts w:ascii="仿宋" w:hAnsi="仿宋" w:eastAsia="仿宋"/>
          <w:color w:val="auto"/>
          <w:highlight w:val="none"/>
          <w:u w:val="single"/>
          <w:lang w:eastAsia="zh-CN"/>
        </w:rPr>
        <w:t>9</w:t>
      </w:r>
      <w:r>
        <w:rPr>
          <w:rFonts w:ascii="仿宋" w:hAnsi="仿宋" w:eastAsia="仿宋"/>
          <w:color w:val="auto"/>
          <w:highlight w:val="none"/>
          <w:lang w:eastAsia="zh-CN"/>
        </w:rPr>
        <w:t>个月；</w:t>
      </w:r>
    </w:p>
    <w:p w14:paraId="6C0EB938">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4</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门窗为</w:t>
      </w:r>
      <w:r>
        <w:rPr>
          <w:rFonts w:ascii="仿宋" w:hAnsi="仿宋" w:eastAsia="仿宋"/>
          <w:color w:val="auto"/>
          <w:highlight w:val="none"/>
          <w:u w:val="single"/>
          <w:lang w:eastAsia="zh-CN"/>
        </w:rPr>
        <w:t>3</w:t>
      </w:r>
      <w:r>
        <w:rPr>
          <w:rFonts w:ascii="仿宋" w:hAnsi="仿宋" w:eastAsia="仿宋"/>
          <w:color w:val="auto"/>
          <w:highlight w:val="none"/>
          <w:lang w:eastAsia="zh-CN"/>
        </w:rPr>
        <w:t>年；</w:t>
      </w:r>
    </w:p>
    <w:p w14:paraId="7F7B26B2">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5</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楼、地面空鼓开裂、大面积起砂为</w:t>
      </w:r>
      <w:r>
        <w:rPr>
          <w:rFonts w:ascii="仿宋" w:hAnsi="仿宋" w:eastAsia="仿宋"/>
          <w:color w:val="auto"/>
          <w:highlight w:val="none"/>
          <w:u w:val="single"/>
          <w:lang w:eastAsia="zh-CN"/>
        </w:rPr>
        <w:t>3</w:t>
      </w:r>
      <w:r>
        <w:rPr>
          <w:rFonts w:ascii="仿宋" w:hAnsi="仿宋" w:eastAsia="仿宋"/>
          <w:color w:val="auto"/>
          <w:highlight w:val="none"/>
          <w:lang w:eastAsia="zh-CN"/>
        </w:rPr>
        <w:t>年；</w:t>
      </w:r>
    </w:p>
    <w:p w14:paraId="7A351572">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6</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卫生间洁具、配件为</w:t>
      </w:r>
      <w:r>
        <w:rPr>
          <w:rFonts w:ascii="仿宋" w:hAnsi="仿宋" w:eastAsia="仿宋"/>
          <w:color w:val="auto"/>
          <w:highlight w:val="none"/>
          <w:u w:val="single"/>
          <w:lang w:eastAsia="zh-CN"/>
        </w:rPr>
        <w:t>3</w:t>
      </w:r>
      <w:r>
        <w:rPr>
          <w:rFonts w:ascii="仿宋" w:hAnsi="仿宋" w:eastAsia="仿宋"/>
          <w:color w:val="auto"/>
          <w:highlight w:val="none"/>
          <w:lang w:eastAsia="zh-CN"/>
        </w:rPr>
        <w:t>年；</w:t>
      </w:r>
    </w:p>
    <w:p w14:paraId="0C0C1642">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7</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灯具、开关、插座为</w:t>
      </w:r>
      <w:r>
        <w:rPr>
          <w:rFonts w:ascii="仿宋" w:hAnsi="仿宋" w:eastAsia="仿宋"/>
          <w:color w:val="auto"/>
          <w:highlight w:val="none"/>
          <w:u w:val="single"/>
          <w:lang w:eastAsia="zh-CN"/>
        </w:rPr>
        <w:t>3</w:t>
      </w:r>
      <w:r>
        <w:rPr>
          <w:rFonts w:ascii="仿宋" w:hAnsi="仿宋" w:eastAsia="仿宋"/>
          <w:color w:val="auto"/>
          <w:highlight w:val="none"/>
          <w:lang w:eastAsia="zh-CN"/>
        </w:rPr>
        <w:t>年；</w:t>
      </w:r>
    </w:p>
    <w:p w14:paraId="08BE10F1">
      <w:pPr>
        <w:spacing w:line="360" w:lineRule="auto"/>
        <w:ind w:firstLine="420" w:firstLineChars="200"/>
        <w:rPr>
          <w:rFonts w:ascii="仿宋" w:hAnsi="仿宋" w:eastAsia="仿宋"/>
          <w:color w:val="auto"/>
          <w:highlight w:val="none"/>
          <w:lang w:eastAsia="zh-CN"/>
        </w:rPr>
      </w:pPr>
      <w:r>
        <w:rPr>
          <w:rFonts w:ascii="仿宋" w:hAnsi="仿宋" w:eastAsia="仿宋"/>
          <w:color w:val="auto"/>
          <w:highlight w:val="none"/>
          <w:lang w:eastAsia="zh-CN"/>
        </w:rPr>
        <w:t>8</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墙面、顶棚抹灰脱落为</w:t>
      </w:r>
      <w:r>
        <w:rPr>
          <w:rFonts w:ascii="仿宋" w:hAnsi="仿宋" w:eastAsia="仿宋"/>
          <w:color w:val="auto"/>
          <w:highlight w:val="none"/>
          <w:u w:val="single"/>
          <w:lang w:eastAsia="zh-CN"/>
        </w:rPr>
        <w:t>3</w:t>
      </w:r>
      <w:r>
        <w:rPr>
          <w:rFonts w:ascii="仿宋" w:hAnsi="仿宋" w:eastAsia="仿宋"/>
          <w:color w:val="auto"/>
          <w:highlight w:val="none"/>
          <w:lang w:eastAsia="zh-CN"/>
        </w:rPr>
        <w:t>年；</w:t>
      </w:r>
    </w:p>
    <w:p w14:paraId="4DE7B413">
      <w:pPr>
        <w:spacing w:line="360" w:lineRule="auto"/>
        <w:ind w:firstLine="420" w:firstLineChars="200"/>
        <w:rPr>
          <w:rFonts w:ascii="仿宋" w:hAnsi="仿宋" w:eastAsia="仿宋"/>
          <w:color w:val="auto"/>
          <w:highlight w:val="none"/>
          <w:u w:val="single"/>
          <w:lang w:eastAsia="zh-CN"/>
        </w:rPr>
      </w:pPr>
      <w:r>
        <w:rPr>
          <w:rFonts w:ascii="仿宋" w:hAnsi="仿宋" w:eastAsia="仿宋"/>
          <w:color w:val="auto"/>
          <w:highlight w:val="none"/>
          <w:lang w:eastAsia="zh-CN"/>
        </w:rPr>
        <w:t>9</w:t>
      </w:r>
      <w:r>
        <w:rPr>
          <w:rFonts w:hint="eastAsia" w:ascii="仿宋" w:hAnsi="仿宋" w:eastAsia="仿宋"/>
          <w:color w:val="auto"/>
          <w:highlight w:val="none"/>
          <w:lang w:eastAsia="zh-CN"/>
        </w:rPr>
        <w:t xml:space="preserve">. </w:t>
      </w:r>
      <w:r>
        <w:rPr>
          <w:rFonts w:ascii="仿宋" w:hAnsi="仿宋" w:eastAsia="仿宋"/>
          <w:color w:val="auto"/>
          <w:highlight w:val="none"/>
          <w:lang w:eastAsia="zh-CN"/>
        </w:rPr>
        <w:t>其他：</w:t>
      </w:r>
      <w:r>
        <w:rPr>
          <w:rFonts w:ascii="仿宋" w:hAnsi="仿宋" w:eastAsia="仿宋"/>
          <w:color w:val="auto"/>
          <w:highlight w:val="none"/>
          <w:u w:val="single"/>
          <w:lang w:eastAsia="zh-CN"/>
        </w:rPr>
        <w:t>按照有关法律、法规、规章规定。</w:t>
      </w:r>
    </w:p>
    <w:p w14:paraId="0A90CA0C">
      <w:pPr>
        <w:spacing w:line="324" w:lineRule="auto"/>
        <w:ind w:left="48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 xml:space="preserve">3. </w:t>
      </w:r>
      <w:r>
        <w:rPr>
          <w:rFonts w:hint="eastAsia" w:ascii="仿宋" w:hAnsi="仿宋" w:eastAsia="仿宋" w:cs="仿宋"/>
          <w:b/>
          <w:bCs/>
          <w:color w:val="auto"/>
          <w:highlight w:val="none"/>
          <w:lang w:eastAsia="zh-CN"/>
        </w:rPr>
        <w:t>质量保修责任</w:t>
      </w:r>
    </w:p>
    <w:p w14:paraId="199523B7">
      <w:pPr>
        <w:spacing w:line="360" w:lineRule="auto"/>
        <w:ind w:firstLine="420" w:firstLineChars="200"/>
        <w:rPr>
          <w:rFonts w:ascii="仿宋" w:hAnsi="仿宋" w:eastAsia="仿宋"/>
          <w:color w:val="auto"/>
          <w:highlight w:val="none"/>
          <w:lang w:eastAsia="zh-CN"/>
        </w:rPr>
      </w:pPr>
      <w:r>
        <w:rPr>
          <w:rFonts w:ascii="仿宋" w:hAnsi="仿宋" w:eastAsia="仿宋" w:cs="仿宋"/>
          <w:color w:val="auto"/>
          <w:highlight w:val="none"/>
          <w:lang w:eastAsia="zh-CN"/>
        </w:rPr>
        <w:t xml:space="preserve">3.1  </w:t>
      </w:r>
      <w:r>
        <w:rPr>
          <w:rFonts w:hint="eastAsia" w:ascii="仿宋" w:hAnsi="仿宋" w:eastAsia="仿宋" w:cs="仿宋"/>
          <w:color w:val="auto"/>
          <w:highlight w:val="none"/>
          <w:lang w:val="zh-CN" w:eastAsia="zh-CN"/>
        </w:rPr>
        <w:t>属于保修范围的项目，承包人应在接到发包人通知后的</w:t>
      </w:r>
      <w:r>
        <w:rPr>
          <w:rFonts w:hint="eastAsia" w:ascii="仿宋" w:hAnsi="仿宋" w:eastAsia="仿宋" w:cs="仿宋"/>
          <w:color w:val="auto"/>
          <w:highlight w:val="none"/>
          <w:lang w:eastAsia="zh-CN"/>
        </w:rPr>
        <w:t>24小时</w:t>
      </w:r>
      <w:r>
        <w:rPr>
          <w:rFonts w:hint="eastAsia" w:ascii="仿宋" w:hAnsi="仿宋" w:eastAsia="仿宋" w:cs="仿宋"/>
          <w:color w:val="auto"/>
          <w:highlight w:val="none"/>
          <w:lang w:val="zh-CN" w:eastAsia="zh-CN"/>
        </w:rPr>
        <w:t>内派人保修。承包人未能在规定时间内派人保修的，发包人可自行或委托第三方保修，</w:t>
      </w:r>
      <w:r>
        <w:rPr>
          <w:rFonts w:ascii="仿宋" w:hAnsi="仿宋" w:eastAsia="仿宋" w:cs="仿宋"/>
          <w:color w:val="auto"/>
          <w:highlight w:val="none"/>
          <w:lang w:val="zh-CN" w:eastAsia="zh-CN"/>
        </w:rPr>
        <w:t>保修费用从质量保修金中扣除</w:t>
      </w:r>
      <w:r>
        <w:rPr>
          <w:rFonts w:ascii="仿宋" w:hAnsi="仿宋" w:eastAsia="仿宋"/>
          <w:color w:val="auto"/>
          <w:highlight w:val="none"/>
          <w:lang w:eastAsia="zh-CN"/>
        </w:rPr>
        <w:t>。</w:t>
      </w:r>
    </w:p>
    <w:p w14:paraId="27C9404D">
      <w:pPr>
        <w:spacing w:line="360" w:lineRule="auto"/>
        <w:ind w:firstLine="420" w:firstLineChars="200"/>
        <w:rPr>
          <w:rFonts w:ascii="仿宋" w:hAnsi="仿宋" w:eastAsia="仿宋" w:cs="仿宋"/>
          <w:color w:val="auto"/>
          <w:highlight w:val="none"/>
          <w:lang w:eastAsia="zh-CN"/>
        </w:rPr>
      </w:pPr>
      <w:r>
        <w:rPr>
          <w:rFonts w:ascii="仿宋" w:hAnsi="仿宋" w:eastAsia="仿宋" w:cs="仿宋"/>
          <w:color w:val="auto"/>
          <w:highlight w:val="none"/>
          <w:lang w:eastAsia="zh-CN"/>
        </w:rPr>
        <w:t xml:space="preserve">3.2  </w:t>
      </w:r>
      <w:r>
        <w:rPr>
          <w:rFonts w:hint="eastAsia" w:ascii="仿宋" w:hAnsi="仿宋" w:eastAsia="仿宋" w:cs="仿宋"/>
          <w:color w:val="auto"/>
          <w:highlight w:val="none"/>
          <w:lang w:eastAsia="zh-CN"/>
        </w:rPr>
        <w:t>发生紧急抢修事故的，承包人在接到通知后，应立即到达事故现场抢修。</w:t>
      </w:r>
      <w:r>
        <w:rPr>
          <w:rFonts w:ascii="仿宋" w:hAnsi="仿宋" w:eastAsia="仿宋" w:cs="仿宋"/>
          <w:color w:val="auto"/>
          <w:highlight w:val="none"/>
          <w:lang w:eastAsia="zh-CN"/>
        </w:rPr>
        <w:t>保修通知可以口头或书面的方式发出。如以口头方式发出的，承包人应当如实记录通知时间和内容，并在到达现场保修时由发包人签字确认。书面方式包括但不限于电子邮件、传真、信函等方式。</w:t>
      </w:r>
    </w:p>
    <w:p w14:paraId="269D201D">
      <w:pPr>
        <w:spacing w:line="324" w:lineRule="auto"/>
        <w:ind w:firstLine="420" w:firstLineChars="200"/>
        <w:rPr>
          <w:rFonts w:hint="eastAsia" w:ascii="仿宋" w:hAnsi="仿宋" w:eastAsia="仿宋"/>
          <w:color w:val="auto"/>
          <w:highlight w:val="none"/>
          <w:lang w:eastAsia="zh-CN"/>
        </w:rPr>
      </w:pPr>
      <w:r>
        <w:rPr>
          <w:rFonts w:ascii="仿宋" w:hAnsi="仿宋" w:eastAsia="仿宋" w:cs="仿宋"/>
          <w:color w:val="auto"/>
          <w:highlight w:val="none"/>
          <w:lang w:eastAsia="zh-CN"/>
        </w:rPr>
        <w:t xml:space="preserve">3.3 </w:t>
      </w:r>
      <w:r>
        <w:rPr>
          <w:rFonts w:hint="eastAsia" w:ascii="仿宋" w:hAnsi="仿宋" w:eastAsia="仿宋" w:cs="仿宋"/>
          <w:color w:val="auto"/>
          <w:highlight w:val="none"/>
          <w:lang w:eastAsia="zh-CN"/>
        </w:rPr>
        <w:t>在国家规定的工程合理使用期限内，承包人应确保地基基础工程和主体结构的质量和安全。凡出现质量问题，应立即报告当地建设行政主管部门，由承包人或具有相应资质等级的设计单位提出保修方案后，承包人应立即实施保修。</w:t>
      </w:r>
    </w:p>
    <w:p w14:paraId="4E8100B5">
      <w:pPr>
        <w:spacing w:line="360" w:lineRule="auto"/>
        <w:ind w:firstLine="420" w:firstLineChars="200"/>
        <w:rPr>
          <w:rFonts w:ascii="仿宋" w:hAnsi="仿宋" w:eastAsia="仿宋"/>
          <w:color w:val="auto"/>
          <w:highlight w:val="none"/>
          <w:lang w:eastAsia="zh-CN"/>
        </w:rPr>
      </w:pPr>
      <w:r>
        <w:rPr>
          <w:rFonts w:ascii="仿宋" w:hAnsi="仿宋" w:eastAsia="仿宋" w:cs="仿宋"/>
          <w:color w:val="auto"/>
          <w:highlight w:val="none"/>
          <w:lang w:eastAsia="zh-CN"/>
        </w:rPr>
        <w:t xml:space="preserve">3.4 </w:t>
      </w:r>
      <w:r>
        <w:rPr>
          <w:rFonts w:hint="eastAsia" w:ascii="仿宋" w:hAnsi="仿宋" w:eastAsia="仿宋" w:cs="仿宋"/>
          <w:color w:val="auto"/>
          <w:highlight w:val="none"/>
          <w:lang w:eastAsia="zh-CN"/>
        </w:rPr>
        <w:t>质量保修完成后，由发包人组织验收。</w:t>
      </w:r>
    </w:p>
    <w:p w14:paraId="6C1FD4B5">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b/>
          <w:bCs/>
          <w:color w:val="auto"/>
          <w:highlight w:val="none"/>
          <w:lang w:eastAsia="zh-CN"/>
        </w:rPr>
        <w:t>质量保证金</w:t>
      </w:r>
    </w:p>
    <w:p w14:paraId="31BF2608">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val="zh-CN" w:eastAsia="zh-CN"/>
        </w:rPr>
        <w:t>质量保证金的约定、支付和使用与本合同第</w:t>
      </w:r>
      <w:r>
        <w:rPr>
          <w:rFonts w:hint="eastAsia" w:ascii="Times New Roman" w:hAnsi="Times New Roman" w:eastAsia="仿宋" w:cs="Times New Roman"/>
          <w:sz w:val="24"/>
          <w:szCs w:val="24"/>
          <w:highlight w:val="none"/>
          <w:lang w:val="en-US" w:eastAsia="zh-CN"/>
        </w:rPr>
        <w:t>二篇</w:t>
      </w:r>
      <w:r>
        <w:rPr>
          <w:rFonts w:hint="eastAsia" w:ascii="仿宋" w:hAnsi="仿宋" w:eastAsia="仿宋" w:cs="仿宋"/>
          <w:color w:val="auto"/>
          <w:highlight w:val="none"/>
          <w:lang w:val="zh-CN" w:eastAsia="zh-CN"/>
        </w:rPr>
        <w:t>《</w:t>
      </w:r>
      <w:r>
        <w:rPr>
          <w:rFonts w:hint="eastAsia" w:ascii="Times New Roman" w:hAnsi="Times New Roman" w:eastAsia="仿宋" w:cs="Times New Roman"/>
          <w:sz w:val="24"/>
          <w:szCs w:val="24"/>
          <w:highlight w:val="none"/>
          <w:lang w:val="en-US" w:eastAsia="zh-CN"/>
        </w:rPr>
        <w:t>合同</w:t>
      </w:r>
      <w:r>
        <w:rPr>
          <w:rFonts w:hint="eastAsia" w:ascii="仿宋" w:hAnsi="仿宋" w:eastAsia="仿宋" w:cs="仿宋"/>
          <w:color w:val="auto"/>
          <w:highlight w:val="none"/>
          <w:lang w:val="zh-CN" w:eastAsia="zh-CN"/>
        </w:rPr>
        <w:t>专用条款》第</w:t>
      </w:r>
      <w:r>
        <w:rPr>
          <w:rFonts w:hint="eastAsia" w:ascii="仿宋" w:hAnsi="仿宋" w:eastAsia="仿宋" w:cs="仿宋"/>
          <w:color w:val="auto"/>
          <w:highlight w:val="none"/>
          <w:lang w:eastAsia="zh-CN"/>
        </w:rPr>
        <w:t>89</w:t>
      </w:r>
      <w:r>
        <w:rPr>
          <w:rFonts w:hint="eastAsia" w:ascii="仿宋" w:hAnsi="仿宋" w:eastAsia="仿宋" w:cs="仿宋"/>
          <w:color w:val="auto"/>
          <w:highlight w:val="none"/>
          <w:lang w:val="zh-CN" w:eastAsia="zh-CN"/>
        </w:rPr>
        <w:t>条赋予的约定</w:t>
      </w:r>
      <w:r>
        <w:rPr>
          <w:rFonts w:hint="eastAsia" w:ascii="仿宋" w:hAnsi="仿宋" w:eastAsia="仿宋" w:cs="仿宋"/>
          <w:color w:val="auto"/>
          <w:highlight w:val="none"/>
          <w:lang w:eastAsia="zh-CN"/>
        </w:rPr>
        <w:t>一致。</w:t>
      </w:r>
    </w:p>
    <w:p w14:paraId="62D92F73">
      <w:pPr>
        <w:spacing w:line="324" w:lineRule="auto"/>
        <w:ind w:left="48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5.</w:t>
      </w:r>
      <w:r>
        <w:rPr>
          <w:rFonts w:hint="eastAsia" w:ascii="仿宋" w:hAnsi="仿宋" w:eastAsia="仿宋" w:cs="仿宋"/>
          <w:b/>
          <w:bCs/>
          <w:color w:val="auto"/>
          <w:highlight w:val="none"/>
          <w:lang w:eastAsia="zh-CN"/>
        </w:rPr>
        <w:t>其他</w:t>
      </w:r>
    </w:p>
    <w:p w14:paraId="1CEA0C42">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 xml:space="preserve">5.1  </w:t>
      </w:r>
      <w:r>
        <w:rPr>
          <w:rFonts w:hint="eastAsia" w:ascii="仿宋" w:hAnsi="仿宋" w:eastAsia="仿宋" w:cs="仿宋"/>
          <w:color w:val="auto"/>
          <w:highlight w:val="none"/>
          <w:lang w:val="zh-CN" w:eastAsia="zh-CN"/>
        </w:rPr>
        <w:t>合同双方当事人约定的其他质量保修事</w:t>
      </w:r>
      <w:r>
        <w:rPr>
          <w:rFonts w:hint="eastAsia" w:ascii="仿宋" w:hAnsi="仿宋" w:eastAsia="仿宋" w:cs="仿宋"/>
          <w:color w:val="auto"/>
          <w:highlight w:val="none"/>
          <w:lang w:eastAsia="zh-CN"/>
        </w:rPr>
        <w:t>项：</w:t>
      </w:r>
      <w:r>
        <w:rPr>
          <w:rFonts w:hint="eastAsia" w:ascii="仿宋" w:hAnsi="仿宋" w:eastAsia="仿宋"/>
          <w:color w:val="auto"/>
          <w:highlight w:val="none"/>
          <w:u w:val="single"/>
          <w:lang w:eastAsia="zh-CN"/>
        </w:rPr>
        <w:t xml:space="preserve">  /  </w:t>
      </w:r>
      <w:r>
        <w:rPr>
          <w:rFonts w:ascii="仿宋" w:hAnsi="仿宋" w:eastAsia="仿宋"/>
          <w:color w:val="auto"/>
          <w:highlight w:val="none"/>
          <w:u w:val="single"/>
          <w:lang w:eastAsia="zh-CN"/>
        </w:rPr>
        <w:t>。</w:t>
      </w:r>
    </w:p>
    <w:p w14:paraId="69922557">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 xml:space="preserve">5.2  </w:t>
      </w:r>
      <w:r>
        <w:rPr>
          <w:rFonts w:hint="eastAsia" w:ascii="仿宋" w:hAnsi="仿宋" w:eastAsia="仿宋" w:cs="仿宋"/>
          <w:color w:val="auto"/>
          <w:highlight w:val="none"/>
          <w:lang w:val="zh-CN" w:eastAsia="zh-CN"/>
        </w:rPr>
        <w:t>本质量保修书，由合同双方当事人在承包人向发包人提交竣工验收申请报告时签署，作为本合同的附件</w:t>
      </w:r>
      <w:r>
        <w:rPr>
          <w:rFonts w:hint="eastAsia" w:ascii="仿宋" w:hAnsi="仿宋" w:eastAsia="仿宋" w:cs="仿宋"/>
          <w:color w:val="auto"/>
          <w:highlight w:val="none"/>
          <w:lang w:eastAsia="zh-CN"/>
        </w:rPr>
        <w:t>。</w:t>
      </w:r>
    </w:p>
    <w:p w14:paraId="12D18F19">
      <w:pPr>
        <w:spacing w:line="324" w:lineRule="auto"/>
        <w:ind w:firstLine="420" w:firstLineChars="200"/>
        <w:rPr>
          <w:rFonts w:hint="eastAsia" w:ascii="仿宋" w:hAnsi="仿宋" w:eastAsia="仿宋"/>
          <w:color w:val="auto"/>
          <w:highlight w:val="none"/>
          <w:lang w:eastAsia="zh-CN"/>
        </w:rPr>
      </w:pPr>
      <w:r>
        <w:rPr>
          <w:rFonts w:hint="eastAsia" w:ascii="仿宋" w:hAnsi="仿宋" w:eastAsia="仿宋" w:cs="仿宋"/>
          <w:color w:val="auto"/>
          <w:highlight w:val="none"/>
          <w:lang w:eastAsia="zh-CN"/>
        </w:rPr>
        <w:t xml:space="preserve">5.3  </w:t>
      </w:r>
      <w:r>
        <w:rPr>
          <w:rFonts w:hint="eastAsia" w:ascii="仿宋" w:hAnsi="仿宋" w:eastAsia="仿宋" w:cs="仿宋"/>
          <w:color w:val="auto"/>
          <w:highlight w:val="none"/>
          <w:lang w:val="zh-CN" w:eastAsia="zh-CN"/>
        </w:rPr>
        <w:t>本质量保修书，自合同双方当事人签署之日起生效，至质量保修期满后失效。</w:t>
      </w:r>
    </w:p>
    <w:tbl>
      <w:tblPr>
        <w:tblStyle w:val="24"/>
        <w:tblpPr w:leftFromText="180" w:rightFromText="180" w:vertAnchor="text" w:horzAnchor="page" w:tblpX="1395" w:tblpY="1015"/>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6"/>
        <w:gridCol w:w="728"/>
        <w:gridCol w:w="4576"/>
      </w:tblGrid>
      <w:tr w14:paraId="41FA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356" w:type="dxa"/>
            <w:tcBorders>
              <w:tl2br w:val="nil"/>
              <w:tr2bl w:val="nil"/>
            </w:tcBorders>
            <w:vAlign w:val="center"/>
          </w:tcPr>
          <w:p w14:paraId="0BA1D2B9">
            <w:pPr>
              <w:pStyle w:val="3"/>
              <w:spacing w:before="0" w:after="0" w:line="240" w:lineRule="exact"/>
              <w:ind w:firstLine="0" w:firstLineChars="0"/>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发包人：</w:t>
            </w:r>
            <w:r>
              <w:rPr>
                <w:rFonts w:hint="eastAsia" w:ascii="仿宋" w:hAnsi="仿宋" w:eastAsia="仿宋" w:cs="仿宋"/>
                <w:color w:val="auto"/>
                <w:sz w:val="24"/>
                <w:highlight w:val="none"/>
                <w:u w:val="single"/>
                <w:lang w:eastAsia="zh-CN"/>
              </w:rPr>
              <w:t>广州白云棠涌置地有限公司</w:t>
            </w:r>
          </w:p>
        </w:tc>
        <w:tc>
          <w:tcPr>
            <w:tcW w:w="728" w:type="dxa"/>
            <w:tcBorders>
              <w:tl2br w:val="nil"/>
              <w:tr2bl w:val="nil"/>
            </w:tcBorders>
            <w:vAlign w:val="center"/>
          </w:tcPr>
          <w:p w14:paraId="14A7F4CE">
            <w:pPr>
              <w:pStyle w:val="3"/>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5F5AA4DD">
            <w:pPr>
              <w:pStyle w:val="3"/>
              <w:spacing w:before="0" w:after="0" w:line="240" w:lineRule="exact"/>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承包人：</w:t>
            </w:r>
          </w:p>
          <w:p w14:paraId="26E90A66">
            <w:pPr>
              <w:pStyle w:val="3"/>
              <w:spacing w:before="0" w:after="0" w:line="240" w:lineRule="exact"/>
              <w:rPr>
                <w:rFonts w:hint="eastAsia" w:ascii="仿宋" w:hAnsi="仿宋" w:eastAsia="仿宋" w:cs="仿宋"/>
                <w:b w:val="0"/>
                <w:bCs w:val="0"/>
                <w:color w:val="auto"/>
                <w:sz w:val="24"/>
                <w:szCs w:val="20"/>
                <w:highlight w:val="none"/>
                <w:vertAlign w:val="baseline"/>
                <w:lang w:eastAsia="zh-CN"/>
              </w:rPr>
            </w:pPr>
            <w:r>
              <w:rPr>
                <w:rFonts w:hint="eastAsia" w:ascii="仿宋" w:hAnsi="仿宋" w:eastAsia="仿宋" w:cs="仿宋"/>
                <w:b w:val="0"/>
                <w:bCs w:val="0"/>
                <w:color w:val="auto"/>
                <w:sz w:val="24"/>
                <w:szCs w:val="20"/>
                <w:highlight w:val="none"/>
                <w:lang w:eastAsia="zh-CN"/>
              </w:rPr>
              <w:t xml:space="preserve"> </w:t>
            </w:r>
          </w:p>
        </w:tc>
      </w:tr>
      <w:tr w14:paraId="379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356" w:type="dxa"/>
            <w:tcBorders>
              <w:tl2br w:val="nil"/>
              <w:tr2bl w:val="nil"/>
            </w:tcBorders>
            <w:vAlign w:val="center"/>
          </w:tcPr>
          <w:p w14:paraId="2AFCEAF4">
            <w:pPr>
              <w:pStyle w:val="3"/>
              <w:spacing w:before="0" w:after="0" w:line="240" w:lineRule="exact"/>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法定代表人</w:t>
            </w:r>
          </w:p>
          <w:p w14:paraId="0C78DBF1">
            <w:pPr>
              <w:pStyle w:val="3"/>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lang w:val="en-US" w:eastAsia="zh-CN"/>
              </w:rPr>
              <w:t>授权委托人</w:t>
            </w:r>
            <w:r>
              <w:rPr>
                <w:rFonts w:hint="eastAsia" w:ascii="仿宋" w:hAnsi="仿宋" w:eastAsia="仿宋" w:cs="仿宋"/>
                <w:b w:val="0"/>
                <w:bCs w:val="0"/>
                <w:color w:val="auto"/>
                <w:sz w:val="24"/>
                <w:szCs w:val="20"/>
                <w:highlight w:val="none"/>
              </w:rPr>
              <w:t xml:space="preserve">： </w:t>
            </w:r>
          </w:p>
        </w:tc>
        <w:tc>
          <w:tcPr>
            <w:tcW w:w="728" w:type="dxa"/>
            <w:tcBorders>
              <w:tl2br w:val="nil"/>
              <w:tr2bl w:val="nil"/>
            </w:tcBorders>
            <w:vAlign w:val="center"/>
          </w:tcPr>
          <w:p w14:paraId="2FD96FB7">
            <w:pPr>
              <w:pStyle w:val="3"/>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772C6950">
            <w:pPr>
              <w:pStyle w:val="3"/>
              <w:spacing w:before="0" w:after="0" w:line="240" w:lineRule="exact"/>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法定代表人</w:t>
            </w:r>
          </w:p>
          <w:p w14:paraId="6519FDB7">
            <w:pPr>
              <w:pStyle w:val="3"/>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lang w:val="en-US" w:eastAsia="zh-CN"/>
              </w:rPr>
              <w:t>或授权委托人</w:t>
            </w:r>
            <w:r>
              <w:rPr>
                <w:rFonts w:hint="eastAsia" w:ascii="仿宋" w:hAnsi="仿宋" w:eastAsia="仿宋" w:cs="仿宋"/>
                <w:b w:val="0"/>
                <w:bCs w:val="0"/>
                <w:color w:val="auto"/>
                <w:sz w:val="24"/>
                <w:szCs w:val="20"/>
                <w:highlight w:val="none"/>
              </w:rPr>
              <w:t xml:space="preserve">： </w:t>
            </w:r>
          </w:p>
        </w:tc>
      </w:tr>
      <w:tr w14:paraId="7AF2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6" w:type="dxa"/>
            <w:tcBorders>
              <w:tl2br w:val="nil"/>
              <w:tr2bl w:val="nil"/>
            </w:tcBorders>
            <w:vAlign w:val="center"/>
          </w:tcPr>
          <w:p w14:paraId="6F859FE2">
            <w:pPr>
              <w:pStyle w:val="3"/>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联系电话：</w:t>
            </w:r>
          </w:p>
        </w:tc>
        <w:tc>
          <w:tcPr>
            <w:tcW w:w="728" w:type="dxa"/>
            <w:tcBorders>
              <w:tl2br w:val="nil"/>
              <w:tr2bl w:val="nil"/>
            </w:tcBorders>
            <w:vAlign w:val="center"/>
          </w:tcPr>
          <w:p w14:paraId="45111B52">
            <w:pPr>
              <w:pStyle w:val="3"/>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61908083">
            <w:pPr>
              <w:pStyle w:val="3"/>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联系电话：</w:t>
            </w:r>
          </w:p>
        </w:tc>
      </w:tr>
      <w:tr w14:paraId="0CDD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6" w:type="dxa"/>
            <w:tcBorders>
              <w:tl2br w:val="nil"/>
              <w:tr2bl w:val="nil"/>
            </w:tcBorders>
            <w:vAlign w:val="center"/>
          </w:tcPr>
          <w:p w14:paraId="4956EB68">
            <w:pPr>
              <w:pStyle w:val="3"/>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 xml:space="preserve">   年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月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 日</w:t>
            </w:r>
          </w:p>
        </w:tc>
        <w:tc>
          <w:tcPr>
            <w:tcW w:w="728" w:type="dxa"/>
            <w:tcBorders>
              <w:tl2br w:val="nil"/>
              <w:tr2bl w:val="nil"/>
            </w:tcBorders>
            <w:vAlign w:val="center"/>
          </w:tcPr>
          <w:p w14:paraId="35694FF1">
            <w:pPr>
              <w:pStyle w:val="3"/>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6053A64C">
            <w:pPr>
              <w:pStyle w:val="3"/>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 xml:space="preserve">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 年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 月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日</w:t>
            </w:r>
          </w:p>
        </w:tc>
      </w:tr>
      <w:tr w14:paraId="0D48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6" w:type="dxa"/>
            <w:tcBorders>
              <w:tl2br w:val="nil"/>
              <w:tr2bl w:val="nil"/>
            </w:tcBorders>
            <w:vAlign w:val="center"/>
          </w:tcPr>
          <w:p w14:paraId="1F01125E">
            <w:pPr>
              <w:pStyle w:val="3"/>
              <w:spacing w:before="0" w:after="0" w:line="240" w:lineRule="exact"/>
              <w:rPr>
                <w:rFonts w:hint="eastAsia" w:ascii="仿宋" w:hAnsi="仿宋" w:eastAsia="仿宋" w:cs="仿宋"/>
                <w:b w:val="0"/>
                <w:bCs w:val="0"/>
                <w:color w:val="auto"/>
                <w:sz w:val="24"/>
                <w:szCs w:val="20"/>
                <w:highlight w:val="none"/>
              </w:rPr>
            </w:pPr>
          </w:p>
        </w:tc>
        <w:tc>
          <w:tcPr>
            <w:tcW w:w="728" w:type="dxa"/>
            <w:tcBorders>
              <w:tl2br w:val="nil"/>
              <w:tr2bl w:val="nil"/>
            </w:tcBorders>
            <w:vAlign w:val="center"/>
          </w:tcPr>
          <w:p w14:paraId="4CA7C7D7">
            <w:pPr>
              <w:pStyle w:val="3"/>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101E6039">
            <w:pPr>
              <w:pStyle w:val="3"/>
              <w:spacing w:before="0" w:after="0" w:line="240" w:lineRule="exact"/>
              <w:rPr>
                <w:rFonts w:hint="eastAsia" w:ascii="仿宋" w:hAnsi="仿宋" w:eastAsia="仿宋" w:cs="仿宋"/>
                <w:b w:val="0"/>
                <w:bCs w:val="0"/>
                <w:color w:val="auto"/>
                <w:sz w:val="24"/>
                <w:szCs w:val="20"/>
                <w:highlight w:val="none"/>
              </w:rPr>
            </w:pPr>
          </w:p>
        </w:tc>
      </w:tr>
    </w:tbl>
    <w:p w14:paraId="6856836E">
      <w:pPr>
        <w:rPr>
          <w:color w:val="auto"/>
          <w:highlight w:val="none"/>
        </w:rPr>
      </w:pPr>
    </w:p>
    <w:p w14:paraId="6E74B5D9">
      <w:pPr>
        <w:spacing w:after="0"/>
        <w:rPr>
          <w:rFonts w:hint="eastAsia" w:ascii="仿宋" w:hAnsi="仿宋" w:eastAsia="仿宋" w:cs="仿宋"/>
          <w:color w:val="auto"/>
          <w:sz w:val="24"/>
          <w:highlight w:val="none"/>
        </w:rPr>
      </w:pPr>
      <w:bookmarkStart w:id="289" w:name="_Toc266892926"/>
      <w:bookmarkStart w:id="290" w:name="_Toc82013104"/>
      <w:bookmarkStart w:id="291" w:name="_Toc22746"/>
      <w:bookmarkStart w:id="292" w:name="_Toc28386"/>
      <w:bookmarkStart w:id="293" w:name="_Toc83377307"/>
      <w:r>
        <w:rPr>
          <w:rFonts w:hint="eastAsia" w:ascii="仿宋" w:hAnsi="仿宋" w:eastAsia="仿宋" w:cs="仿宋"/>
          <w:color w:val="auto"/>
          <w:sz w:val="24"/>
          <w:highlight w:val="none"/>
        </w:rPr>
        <w:br w:type="page"/>
      </w:r>
    </w:p>
    <w:p w14:paraId="1EE3A2CA">
      <w:pPr>
        <w:pStyle w:val="3"/>
        <w:numPr>
          <w:ilvl w:val="1"/>
          <w:numId w:val="0"/>
        </w:numPr>
        <w:spacing w:after="0"/>
        <w:rPr>
          <w:rFonts w:ascii="仿宋" w:hAnsi="仿宋" w:eastAsia="仿宋" w:cs="仿宋"/>
          <w:color w:val="auto"/>
          <w:sz w:val="24"/>
          <w:szCs w:val="24"/>
          <w:highlight w:val="none"/>
        </w:rPr>
      </w:pPr>
      <w:r>
        <w:rPr>
          <w:rFonts w:hint="eastAsia" w:ascii="仿宋" w:hAnsi="仿宋" w:eastAsia="仿宋" w:cs="仿宋"/>
          <w:color w:val="auto"/>
          <w:sz w:val="24"/>
          <w:highlight w:val="none"/>
        </w:rPr>
        <w:t>附件</w:t>
      </w:r>
      <w:bookmarkEnd w:id="289"/>
      <w:r>
        <w:rPr>
          <w:rFonts w:hint="eastAsia" w:ascii="仿宋" w:hAnsi="仿宋" w:eastAsia="仿宋" w:cs="仿宋"/>
          <w:color w:val="auto"/>
          <w:sz w:val="24"/>
          <w:highlight w:val="none"/>
        </w:rPr>
        <w:t>五：</w:t>
      </w:r>
      <w:r>
        <w:rPr>
          <w:rFonts w:hint="eastAsia" w:ascii="仿宋" w:hAnsi="仿宋" w:eastAsia="仿宋" w:cs="仿宋"/>
          <w:color w:val="auto"/>
          <w:sz w:val="24"/>
          <w:szCs w:val="24"/>
          <w:highlight w:val="none"/>
        </w:rPr>
        <w:t>廉政合同</w:t>
      </w:r>
      <w:bookmarkEnd w:id="290"/>
      <w:bookmarkEnd w:id="291"/>
      <w:bookmarkEnd w:id="292"/>
      <w:bookmarkEnd w:id="293"/>
    </w:p>
    <w:p w14:paraId="0EEEC960">
      <w:pPr>
        <w:spacing w:line="360" w:lineRule="auto"/>
        <w:ind w:firstLine="643" w:firstLineChars="20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廉 政 合 同</w:t>
      </w:r>
    </w:p>
    <w:p w14:paraId="342D9252">
      <w:pPr>
        <w:spacing w:line="360" w:lineRule="auto"/>
        <w:ind w:firstLine="480" w:firstLineChars="200"/>
        <w:rPr>
          <w:rFonts w:ascii="仿宋" w:hAnsi="仿宋" w:eastAsia="仿宋" w:cs="仿宋"/>
          <w:color w:val="auto"/>
          <w:sz w:val="24"/>
          <w:highlight w:val="none"/>
        </w:rPr>
      </w:pPr>
    </w:p>
    <w:p w14:paraId="02093B18">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广州白云棠涌置地有限公司</w:t>
      </w:r>
      <w:r>
        <w:rPr>
          <w:rFonts w:hint="eastAsia" w:ascii="仿宋" w:hAnsi="仿宋" w:eastAsia="仿宋" w:cs="仿宋"/>
          <w:color w:val="auto"/>
          <w:sz w:val="24"/>
          <w:highlight w:val="none"/>
          <w:u w:val="single"/>
        </w:rPr>
        <w:t xml:space="preserve">    </w:t>
      </w:r>
    </w:p>
    <w:p w14:paraId="2B3CA54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69DCBDE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color w:val="auto"/>
          <w:sz w:val="24"/>
          <w:highlight w:val="none"/>
        </w:rPr>
        <w:t>。</w:t>
      </w:r>
    </w:p>
    <w:p w14:paraId="4D4C0A22">
      <w:pPr>
        <w:spacing w:line="360" w:lineRule="auto"/>
        <w:ind w:firstLine="562" w:firstLineChars="2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  双方权利和义务</w:t>
      </w:r>
    </w:p>
    <w:p w14:paraId="0EB4F9A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1.1  严格遵守国家、省有关法律法规的规定。</w:t>
      </w:r>
    </w:p>
    <w:p w14:paraId="6E234E2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  严格执行合同工程一切合同文件，自觉按合同办事。</w:t>
      </w:r>
    </w:p>
    <w:p w14:paraId="72667C9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  </w:t>
      </w:r>
      <w:r>
        <w:rPr>
          <w:rFonts w:hint="eastAsia" w:ascii="仿宋" w:hAnsi="仿宋" w:eastAsia="仿宋" w:cs="仿宋"/>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color w:val="auto"/>
          <w:sz w:val="24"/>
          <w:highlight w:val="none"/>
        </w:rPr>
        <w:t>。</w:t>
      </w:r>
    </w:p>
    <w:p w14:paraId="5323E3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建立健全廉政制度，开展廉政教育，设立廉政告示牌，公布举报电话，监督并认真查处违法违纪行为。</w:t>
      </w:r>
    </w:p>
    <w:p w14:paraId="07EA9C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发现对方在业务活动中有违反廉政建设规定的行为，应及时给予提醒和纠正。</w:t>
      </w:r>
    </w:p>
    <w:p w14:paraId="75377AA5">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1.6  发现对方严重违反合同的行为，有向其上级部门举报、建议给予处理并要求告知处理结果的权利。没有上级部门的，</w:t>
      </w:r>
      <w:r>
        <w:rPr>
          <w:rFonts w:hint="eastAsia" w:ascii="仿宋" w:hAnsi="仿宋" w:eastAsia="仿宋" w:cs="仿宋"/>
          <w:color w:val="auto"/>
          <w:kern w:val="0"/>
          <w:sz w:val="24"/>
          <w:highlight w:val="none"/>
          <w:lang w:val="zh-CN"/>
        </w:rPr>
        <w:t>可按本合同第48条协商处理。</w:t>
      </w:r>
    </w:p>
    <w:p w14:paraId="079FA47E">
      <w:pPr>
        <w:spacing w:line="360" w:lineRule="auto"/>
        <w:ind w:firstLine="562" w:firstLineChars="2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  发包人义务</w:t>
      </w:r>
    </w:p>
    <w:p w14:paraId="3DF2EEF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2.1  发包人及其工作人员不得索要或接受承包人的礼金、有价证券和贵重物品，不得在承包人报销任何应由发包人或工作人员个人支付的费用等。</w:t>
      </w:r>
    </w:p>
    <w:p w14:paraId="29BFAD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发包人及其工作人员不得参加承包人安排的宴请（工作餐除外）和娱乐活动；不得接受承包人提供的通讯工具、交通工具和高档办公用品等。</w:t>
      </w:r>
    </w:p>
    <w:p w14:paraId="2AC83AE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  发包人及其工作人员不得要求或者接受承包人为其住房装修、婚丧嫁娶活动、配偶子女的工作安排以及出国出境、旅游等提供方便等。</w:t>
      </w:r>
    </w:p>
    <w:p w14:paraId="39F9F1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2.4  </w:t>
      </w:r>
      <w:r>
        <w:rPr>
          <w:rFonts w:hint="eastAsia" w:ascii="仿宋" w:hAnsi="仿宋" w:eastAsia="仿宋" w:cs="仿宋"/>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highlight w:val="none"/>
        </w:rPr>
        <w:t>。</w:t>
      </w:r>
    </w:p>
    <w:p w14:paraId="29AC9B3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2.5  </w:t>
      </w:r>
      <w:r>
        <w:rPr>
          <w:rFonts w:hint="eastAsia" w:ascii="仿宋" w:hAnsi="仿宋" w:eastAsia="仿宋" w:cs="仿宋"/>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highlight w:val="none"/>
        </w:rPr>
        <w:t>。</w:t>
      </w:r>
    </w:p>
    <w:p w14:paraId="7E94EB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2.6  </w:t>
      </w:r>
      <w:r>
        <w:rPr>
          <w:rFonts w:hint="eastAsia" w:ascii="仿宋" w:hAnsi="仿宋" w:eastAsia="仿宋" w:cs="仿宋"/>
          <w:color w:val="auto"/>
          <w:kern w:val="0"/>
          <w:sz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highlight w:val="none"/>
        </w:rPr>
        <w:t>。</w:t>
      </w:r>
    </w:p>
    <w:p w14:paraId="3528C76C">
      <w:pP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  承包人义务</w:t>
      </w:r>
    </w:p>
    <w:p w14:paraId="10E8496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承包人不得以任何理由向发包人及其工作人员行贿或馈赠礼金、有价证券、贵重礼品。</w:t>
      </w:r>
    </w:p>
    <w:p w14:paraId="1D19628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  承包人不得以任何名义为发包人及其工作人员报销应由发包人或工作人员个人支付的任何费用。</w:t>
      </w:r>
    </w:p>
    <w:p w14:paraId="36FE130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  承包人不得以任何理由安排发包人及其工作人员参加宴请（工作餐除外）及娱乐活动。</w:t>
      </w:r>
    </w:p>
    <w:p w14:paraId="155A11A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  承包人不得为发包人和个人购置或提供通讯工具、交通工具和高档办公用品等。</w:t>
      </w:r>
    </w:p>
    <w:p w14:paraId="62D98BE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3.5  </w:t>
      </w:r>
      <w:r>
        <w:rPr>
          <w:rFonts w:hint="eastAsia" w:ascii="仿宋" w:hAnsi="仿宋" w:eastAsia="仿宋" w:cs="仿宋"/>
          <w:color w:val="auto"/>
          <w:kern w:val="0"/>
          <w:sz w:val="24"/>
          <w:highlight w:val="none"/>
          <w:lang w:val="zh-CN"/>
        </w:rPr>
        <w:t>承包人不得为发包人及其工作人员的住房装修、婚丧嫁娶活动、配偶子女工作安排以及出国出境、旅游等提供方便。</w:t>
      </w:r>
    </w:p>
    <w:p w14:paraId="58CE5C83">
      <w:pPr>
        <w:tabs>
          <w:tab w:val="left" w:pos="900"/>
        </w:tabs>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  违约责任</w:t>
      </w:r>
    </w:p>
    <w:p w14:paraId="1AF54B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14:paraId="3BB8F3C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4.2  </w:t>
      </w:r>
      <w:r>
        <w:rPr>
          <w:rFonts w:hint="eastAsia" w:ascii="仿宋" w:hAnsi="仿宋" w:eastAsia="仿宋" w:cs="仿宋"/>
          <w:color w:val="auto"/>
          <w:kern w:val="0"/>
          <w:sz w:val="24"/>
          <w:highlight w:val="none"/>
          <w:lang w:val="zh-CN"/>
        </w:rPr>
        <w:t>承包人及其工作人员违反本合同第</w:t>
      </w:r>
      <w:r>
        <w:rPr>
          <w:rFonts w:hint="eastAsia" w:ascii="仿宋" w:hAnsi="仿宋" w:eastAsia="仿宋" w:cs="仿宋"/>
          <w:color w:val="auto"/>
          <w:kern w:val="0"/>
          <w:sz w:val="24"/>
          <w:highlight w:val="none"/>
        </w:rPr>
        <w:t xml:space="preserve"> 1</w:t>
      </w:r>
      <w:r>
        <w:rPr>
          <w:rFonts w:hint="eastAsia" w:ascii="仿宋" w:hAnsi="仿宋" w:eastAsia="仿宋" w:cs="仿宋"/>
          <w:color w:val="auto"/>
          <w:kern w:val="0"/>
          <w:sz w:val="24"/>
          <w:highlight w:val="none"/>
          <w:lang w:val="zh-CN"/>
        </w:rPr>
        <w:t>条和第</w:t>
      </w:r>
      <w:r>
        <w:rPr>
          <w:rFonts w:hint="eastAsia" w:ascii="仿宋" w:hAnsi="仿宋" w:eastAsia="仿宋" w:cs="仿宋"/>
          <w:color w:val="auto"/>
          <w:kern w:val="0"/>
          <w:sz w:val="24"/>
          <w:highlight w:val="none"/>
        </w:rPr>
        <w:t xml:space="preserve"> 3</w:t>
      </w:r>
      <w:r>
        <w:rPr>
          <w:rFonts w:hint="eastAsia" w:ascii="仿宋" w:hAnsi="仿宋" w:eastAsia="仿宋" w:cs="仿宋"/>
          <w:color w:val="auto"/>
          <w:kern w:val="0"/>
          <w:sz w:val="24"/>
          <w:highlight w:val="none"/>
          <w:lang w:val="zh-CN"/>
        </w:rPr>
        <w:t>条规定，应按照廉政建设的有关规定给予处分；情节严重的，给予承包人</w:t>
      </w:r>
      <w:r>
        <w:rPr>
          <w:rFonts w:hint="eastAsia" w:ascii="仿宋" w:hAnsi="仿宋" w:eastAsia="仿宋" w:cs="仿宋"/>
          <w:color w:val="auto"/>
          <w:kern w:val="0"/>
          <w:sz w:val="24"/>
          <w:highlight w:val="none"/>
        </w:rPr>
        <w:t xml:space="preserve"> 1</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年内不得进入工程建设市场的处罚；涉嫌犯罪的，移交司法机关追究刑事责任；给发包人造成损失的，应予赔偿；</w:t>
      </w:r>
    </w:p>
    <w:p w14:paraId="21B733BD">
      <w:pP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 双方约定</w:t>
      </w:r>
    </w:p>
    <w:p w14:paraId="258A7729">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color w:val="auto"/>
          <w:sz w:val="24"/>
          <w:highlight w:val="none"/>
        </w:rPr>
        <w:t>。</w:t>
      </w:r>
    </w:p>
    <w:p w14:paraId="5B63E8FF">
      <w:pP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  合同法律效力</w:t>
      </w:r>
    </w:p>
    <w:p w14:paraId="4816F58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en-US" w:eastAsia="zh-CN"/>
        </w:rPr>
        <w:t>广州市白云区棠涌村城中村改造－城中村展示中心项目</w:t>
      </w:r>
      <w:r>
        <w:rPr>
          <w:rFonts w:hint="eastAsia" w:ascii="仿宋" w:hAnsi="仿宋" w:eastAsia="仿宋" w:cs="仿宋"/>
          <w:color w:val="auto"/>
          <w:sz w:val="24"/>
          <w:highlight w:val="none"/>
        </w:rPr>
        <w:t>设计施工总承包（EPC）</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工程施工合同的附件，与施工合同具有同等的法律效力。</w:t>
      </w:r>
    </w:p>
    <w:p w14:paraId="5EDAE1BC">
      <w:pP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  合同份数</w:t>
      </w:r>
    </w:p>
    <w:p w14:paraId="410A9C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份，合同双方当事人各执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份。有上级部门的，合同双方当事人应送交其上级部门各一份。</w:t>
      </w:r>
    </w:p>
    <w:p w14:paraId="6D566C60">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（以下无合同正文）</w:t>
      </w:r>
    </w:p>
    <w:p w14:paraId="0D36F398">
      <w:pPr>
        <w:spacing w:line="360" w:lineRule="auto"/>
        <w:ind w:firstLine="480" w:firstLineChars="200"/>
        <w:jc w:val="center"/>
        <w:rPr>
          <w:rFonts w:ascii="仿宋" w:hAnsi="仿宋" w:eastAsia="仿宋" w:cs="仿宋"/>
          <w:color w:val="auto"/>
          <w:sz w:val="24"/>
          <w:highlight w:val="none"/>
        </w:rPr>
      </w:pPr>
    </w:p>
    <w:p w14:paraId="0AB114A9">
      <w:pPr>
        <w:adjustRightInd w:val="0"/>
        <w:snapToGrid w:val="0"/>
        <w:spacing w:line="360" w:lineRule="auto"/>
        <w:ind w:firstLine="480" w:firstLineChars="200"/>
        <w:rPr>
          <w:rFonts w:hint="eastAsia" w:ascii="仿宋" w:hAnsi="仿宋" w:eastAsia="仿宋" w:cs="仿宋"/>
          <w:color w:val="auto"/>
          <w:sz w:val="24"/>
          <w:highlight w:val="none"/>
        </w:rPr>
      </w:pPr>
    </w:p>
    <w:p w14:paraId="22FFD58A">
      <w:pPr>
        <w:adjustRightInd w:val="0"/>
        <w:snapToGrid w:val="0"/>
        <w:spacing w:line="360" w:lineRule="auto"/>
        <w:ind w:left="2640" w:hanging="2640" w:hangingChars="1100"/>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eastAsia="zh-CN"/>
        </w:rPr>
        <w:t>广州白云棠涌置地有限公司</w:t>
      </w:r>
      <w:r>
        <w:rPr>
          <w:rFonts w:hint="eastAsia" w:ascii="仿宋" w:hAnsi="仿宋" w:eastAsia="仿宋" w:cs="仿宋"/>
          <w:color w:val="auto"/>
          <w:sz w:val="24"/>
          <w:highlight w:val="none"/>
        </w:rPr>
        <w:t xml:space="preserve">     承包人：</w:t>
      </w:r>
    </w:p>
    <w:p w14:paraId="4FCE0F6C">
      <w:pPr>
        <w:adjustRightInd w:val="0"/>
        <w:snapToGrid w:val="0"/>
        <w:spacing w:line="36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p>
    <w:p w14:paraId="6E88A782">
      <w:pPr>
        <w:pStyle w:val="3"/>
        <w:spacing w:before="0" w:after="0"/>
        <w:ind w:firstLine="0" w:firstLineChars="0"/>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或授权代表人：                      或授权代表人：</w:t>
      </w:r>
    </w:p>
    <w:p w14:paraId="42583E65">
      <w:pP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                          联系电话：</w:t>
      </w:r>
    </w:p>
    <w:p w14:paraId="4B229779">
      <w:pP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上级部门：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上级部门：</w:t>
      </w:r>
    </w:p>
    <w:p w14:paraId="3CDEDDB9">
      <w:pPr>
        <w:adjustRightInd w:val="0"/>
        <w:snapToGrid w:val="0"/>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797BB256">
      <w:pPr>
        <w:pStyle w:val="21"/>
        <w:ind w:firstLine="200"/>
        <w:rPr>
          <w:rFonts w:ascii="仿宋" w:hAnsi="仿宋" w:eastAsia="仿宋" w:cs="仿宋"/>
          <w:color w:val="auto"/>
          <w:highlight w:val="none"/>
        </w:rPr>
      </w:pPr>
    </w:p>
    <w:p w14:paraId="0812BB8A">
      <w:pPr>
        <w:pStyle w:val="22"/>
        <w:rPr>
          <w:rFonts w:ascii="仿宋" w:hAnsi="仿宋" w:eastAsia="仿宋" w:cs="仿宋"/>
          <w:color w:val="auto"/>
          <w:highlight w:val="none"/>
        </w:rPr>
      </w:pPr>
    </w:p>
    <w:p w14:paraId="2F225F62">
      <w:pPr>
        <w:pStyle w:val="3"/>
        <w:numPr>
          <w:ilvl w:val="1"/>
          <w:numId w:val="0"/>
        </w:numPr>
        <w:spacing w:after="0"/>
        <w:rPr>
          <w:rFonts w:ascii="仿宋" w:hAnsi="仿宋" w:eastAsia="仿宋" w:cs="仿宋"/>
          <w:color w:val="auto"/>
          <w:highlight w:val="none"/>
          <w:lang w:val="zh-CN"/>
        </w:rPr>
      </w:pPr>
      <w:r>
        <w:rPr>
          <w:rFonts w:hint="eastAsia" w:ascii="仿宋" w:hAnsi="仿宋" w:eastAsia="仿宋" w:cs="仿宋"/>
          <w:color w:val="auto"/>
          <w:sz w:val="24"/>
          <w:highlight w:val="none"/>
        </w:rPr>
        <w:br w:type="page"/>
      </w:r>
      <w:bookmarkStart w:id="294" w:name="_Toc83377308"/>
      <w:bookmarkStart w:id="295" w:name="_Toc82013105"/>
      <w:r>
        <w:rPr>
          <w:rFonts w:hint="eastAsia" w:ascii="仿宋" w:hAnsi="仿宋" w:eastAsia="仿宋" w:cs="仿宋"/>
          <w:color w:val="auto"/>
          <w:sz w:val="24"/>
          <w:highlight w:val="none"/>
        </w:rPr>
        <w:t>附件六：安全责任书</w:t>
      </w:r>
    </w:p>
    <w:p w14:paraId="08BACA79">
      <w:pPr>
        <w:spacing w:before="120"/>
        <w:ind w:firstLine="56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安 全 责 任 书</w:t>
      </w:r>
    </w:p>
    <w:p w14:paraId="240D652D">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发包人：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eastAsia="zh-CN"/>
        </w:rPr>
        <w:t>广州白云棠涌置地有限公司</w:t>
      </w:r>
      <w:r>
        <w:rPr>
          <w:rFonts w:hint="eastAsia" w:ascii="仿宋" w:hAnsi="仿宋" w:eastAsia="仿宋" w:cs="仿宋"/>
          <w:bCs/>
          <w:color w:val="auto"/>
          <w:sz w:val="24"/>
          <w:highlight w:val="none"/>
          <w:u w:val="single"/>
        </w:rPr>
        <w:t xml:space="preserve">   </w:t>
      </w:r>
    </w:p>
    <w:p w14:paraId="3D25B9D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承包人：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5A5E6883">
      <w:pPr>
        <w:adjustRightInd w:val="0"/>
        <w:snapToGrid w:val="0"/>
        <w:spacing w:line="360" w:lineRule="auto"/>
        <w:ind w:firstLine="480" w:firstLineChars="200"/>
        <w:rPr>
          <w:rFonts w:ascii="仿宋" w:hAnsi="仿宋" w:eastAsia="仿宋" w:cs="仿宋"/>
          <w:bCs/>
          <w:color w:val="auto"/>
          <w:sz w:val="24"/>
          <w:highlight w:val="none"/>
        </w:rPr>
      </w:pPr>
    </w:p>
    <w:p w14:paraId="457E40EC">
      <w:pPr>
        <w:adjustRightInd w:val="0"/>
        <w:snapToGrid w:val="0"/>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工程项目：</w:t>
      </w:r>
      <w:r>
        <w:rPr>
          <w:rFonts w:hint="eastAsia" w:ascii="仿宋" w:hAnsi="仿宋" w:eastAsia="仿宋" w:cs="仿宋"/>
          <w:color w:val="auto"/>
          <w:sz w:val="24"/>
          <w:highlight w:val="none"/>
          <w:lang w:val="en-US" w:eastAsia="zh-CN"/>
        </w:rPr>
        <w:t>广州市白云区棠涌村城中村改造－城中村展示中心项目</w:t>
      </w:r>
      <w:r>
        <w:rPr>
          <w:rFonts w:hint="eastAsia" w:ascii="仿宋" w:hAnsi="仿宋" w:eastAsia="仿宋" w:cs="仿宋"/>
          <w:color w:val="auto"/>
          <w:sz w:val="24"/>
          <w:highlight w:val="none"/>
        </w:rPr>
        <w:t>设计施工总承包（EPC）</w:t>
      </w:r>
      <w:r>
        <w:rPr>
          <w:rFonts w:hint="eastAsia" w:ascii="仿宋" w:hAnsi="仿宋" w:eastAsia="仿宋" w:cs="仿宋"/>
          <w:bCs/>
          <w:color w:val="auto"/>
          <w:sz w:val="24"/>
          <w:highlight w:val="none"/>
          <w:u w:val="single"/>
        </w:rPr>
        <w:t>项目</w:t>
      </w:r>
    </w:p>
    <w:p w14:paraId="5234A874">
      <w:pPr>
        <w:adjustRightInd w:val="0"/>
        <w:snapToGrid w:val="0"/>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工程地点：</w:t>
      </w:r>
      <w:r>
        <w:rPr>
          <w:rFonts w:hint="eastAsia" w:ascii="仿宋" w:hAnsi="仿宋" w:eastAsia="仿宋" w:cs="仿宋"/>
          <w:bCs/>
          <w:color w:val="auto"/>
          <w:sz w:val="24"/>
          <w:highlight w:val="none"/>
          <w:lang w:val="en-US" w:eastAsia="zh-CN"/>
        </w:rPr>
        <w:t>广州市白云区新市街道棠涌村11社24栋棠涌汇众商务大厦</w:t>
      </w:r>
      <w:r>
        <w:rPr>
          <w:rFonts w:hint="eastAsia" w:ascii="仿宋" w:hAnsi="仿宋" w:eastAsia="仿宋" w:cs="仿宋"/>
          <w:b w:val="0"/>
          <w:bCs w:val="0"/>
          <w:snapToGrid w:val="0"/>
          <w:color w:val="auto"/>
          <w:kern w:val="0"/>
          <w:sz w:val="24"/>
          <w:szCs w:val="24"/>
          <w:highlight w:val="none"/>
          <w:u w:val="single"/>
        </w:rPr>
        <w:t>。</w:t>
      </w:r>
    </w:p>
    <w:p w14:paraId="74036872">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为确保施工现场安全施工，保障工程建设正常顺利进行，发包人、承包人依照国家和政府的有关法律法规，就施工项目中的消防、安全生产事宜、双方的权利与义务协商一致，达成以下协议：</w:t>
      </w:r>
    </w:p>
    <w:p w14:paraId="2ED083FF">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一、发包人权利与义务</w:t>
      </w:r>
    </w:p>
    <w:p w14:paraId="231C70D1">
      <w:pPr>
        <w:adjustRightInd w:val="0"/>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发包人对承包人资质进行审查：</w:t>
      </w:r>
    </w:p>
    <w:p w14:paraId="26A87504">
      <w:pPr>
        <w:adjustRightInd w:val="0"/>
        <w:snapToGrid w:val="0"/>
        <w:spacing w:line="360" w:lineRule="auto"/>
        <w:ind w:firstLine="426"/>
        <w:rPr>
          <w:rFonts w:ascii="仿宋" w:hAnsi="仿宋" w:eastAsia="仿宋" w:cs="仿宋"/>
          <w:bCs/>
          <w:color w:val="auto"/>
          <w:sz w:val="24"/>
          <w:highlight w:val="none"/>
        </w:rPr>
      </w:pPr>
      <w:r>
        <w:rPr>
          <w:rFonts w:hint="eastAsia" w:ascii="仿宋" w:hAnsi="仿宋" w:eastAsia="仿宋" w:cs="仿宋"/>
          <w:bCs/>
          <w:color w:val="auto"/>
          <w:sz w:val="24"/>
          <w:highlight w:val="none"/>
        </w:rPr>
        <w:t>1.有关部门核发的营业执照和资质证书，法人代表资格证书，安全生产资质证书</w:t>
      </w:r>
      <w:r>
        <w:rPr>
          <w:rFonts w:hint="eastAsia" w:ascii="仿宋" w:hAnsi="仿宋" w:eastAsia="仿宋" w:cs="仿宋"/>
          <w:bCs/>
          <w:i/>
          <w:iCs/>
          <w:color w:val="auto"/>
          <w:sz w:val="24"/>
          <w:highlight w:val="none"/>
        </w:rPr>
        <w:t>；</w:t>
      </w:r>
    </w:p>
    <w:p w14:paraId="6DE25DEB">
      <w:pPr>
        <w:adjustRightInd w:val="0"/>
        <w:snapToGrid w:val="0"/>
        <w:spacing w:line="360" w:lineRule="auto"/>
        <w:ind w:firstLine="426"/>
        <w:rPr>
          <w:rFonts w:ascii="仿宋" w:hAnsi="仿宋" w:eastAsia="仿宋" w:cs="仿宋"/>
          <w:bCs/>
          <w:color w:val="auto"/>
          <w:sz w:val="24"/>
          <w:highlight w:val="none"/>
        </w:rPr>
      </w:pPr>
      <w:r>
        <w:rPr>
          <w:rFonts w:hint="eastAsia" w:ascii="仿宋" w:hAnsi="仿宋" w:eastAsia="仿宋" w:cs="仿宋"/>
          <w:bCs/>
          <w:color w:val="auto"/>
          <w:sz w:val="24"/>
          <w:highlight w:val="none"/>
        </w:rPr>
        <w:t>2.施工负责人、工程技术人员和</w:t>
      </w:r>
      <w:r>
        <w:rPr>
          <w:rFonts w:hint="eastAsia" w:ascii="仿宋" w:hAnsi="仿宋" w:eastAsia="仿宋" w:cs="仿宋"/>
          <w:bCs/>
          <w:color w:val="auto"/>
          <w:sz w:val="24"/>
          <w:highlight w:val="none"/>
          <w:lang w:eastAsia="zh-CN"/>
        </w:rPr>
        <w:t>工人</w:t>
      </w:r>
      <w:r>
        <w:rPr>
          <w:rFonts w:hint="eastAsia" w:ascii="仿宋" w:hAnsi="仿宋" w:eastAsia="仿宋" w:cs="仿宋"/>
          <w:bCs/>
          <w:color w:val="auto"/>
          <w:sz w:val="24"/>
          <w:highlight w:val="none"/>
        </w:rPr>
        <w:t>有关本工程的技术素质、施工简历和近3年安全施工记录是否符合工程要求；</w:t>
      </w:r>
    </w:p>
    <w:p w14:paraId="55B708B4">
      <w:pPr>
        <w:adjustRightInd w:val="0"/>
        <w:snapToGrid w:val="0"/>
        <w:spacing w:line="360" w:lineRule="auto"/>
        <w:ind w:firstLine="426"/>
        <w:rPr>
          <w:rFonts w:ascii="仿宋" w:hAnsi="仿宋" w:eastAsia="仿宋" w:cs="仿宋"/>
          <w:bCs/>
          <w:color w:val="auto"/>
          <w:sz w:val="24"/>
          <w:highlight w:val="none"/>
        </w:rPr>
      </w:pPr>
      <w:r>
        <w:rPr>
          <w:rFonts w:hint="eastAsia" w:ascii="仿宋" w:hAnsi="仿宋" w:eastAsia="仿宋" w:cs="仿宋"/>
          <w:bCs/>
          <w:color w:val="auto"/>
          <w:sz w:val="24"/>
          <w:highlight w:val="none"/>
        </w:rPr>
        <w:t>3.承包人是否有满足安全施工需要的机械、工器具及安全防护设施、安全用具；</w:t>
      </w:r>
    </w:p>
    <w:p w14:paraId="5BC67783">
      <w:pPr>
        <w:adjustRightInd w:val="0"/>
        <w:snapToGrid w:val="0"/>
        <w:spacing w:line="360" w:lineRule="auto"/>
        <w:ind w:left="567" w:hanging="141"/>
        <w:rPr>
          <w:rFonts w:ascii="仿宋" w:hAnsi="仿宋" w:eastAsia="仿宋" w:cs="仿宋"/>
          <w:bCs/>
          <w:color w:val="auto"/>
          <w:sz w:val="24"/>
          <w:highlight w:val="none"/>
        </w:rPr>
      </w:pPr>
      <w:r>
        <w:rPr>
          <w:rFonts w:hint="eastAsia" w:ascii="仿宋" w:hAnsi="仿宋" w:eastAsia="仿宋" w:cs="仿宋"/>
          <w:bCs/>
          <w:color w:val="auto"/>
          <w:sz w:val="24"/>
          <w:highlight w:val="none"/>
        </w:rPr>
        <w:t>4.承包人是否设有安全管理机构和安全员。</w:t>
      </w:r>
    </w:p>
    <w:p w14:paraId="2C7D2ABE">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二、承包人权利与义务</w:t>
      </w:r>
    </w:p>
    <w:p w14:paraId="36C8DD0B">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1.提供发包人要求的相关资质证明。</w:t>
      </w:r>
    </w:p>
    <w:p w14:paraId="063D2355">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2.严格遵守《中华人民共和国消防法》和《机关、团体、企业、事业单位的消防安全管理规定》，做好施工现场的消防安全管理工作。</w:t>
      </w:r>
    </w:p>
    <w:p w14:paraId="77C0DF93">
      <w:pPr>
        <w:adjustRightInd w:val="0"/>
        <w:snapToGrid w:val="0"/>
        <w:spacing w:line="360" w:lineRule="auto"/>
        <w:ind w:left="-6" w:leftChars="-3"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（1）建立消防安全管理制度和保障消防安全的操作规程；</w:t>
      </w:r>
    </w:p>
    <w:p w14:paraId="7935362A">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（2）建立健全消防安全组织、明确消防安全责任；</w:t>
      </w:r>
    </w:p>
    <w:p w14:paraId="4E961F5F">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（3）对施工人员进行消防安全教育培训；</w:t>
      </w:r>
    </w:p>
    <w:p w14:paraId="2190CDE7">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（4）确保消防设施和器材齐全、完好、有效；</w:t>
      </w:r>
    </w:p>
    <w:p w14:paraId="2DEA12AC">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（5）制定灭火、应急疏散预案；</w:t>
      </w:r>
    </w:p>
    <w:p w14:paraId="2B933655">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（6）定期进行防火巡查、检查，及时消除火灾隐患；</w:t>
      </w:r>
    </w:p>
    <w:p w14:paraId="14309D0A">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（7）组建义务消防队；</w:t>
      </w:r>
    </w:p>
    <w:p w14:paraId="2374B6FC">
      <w:pPr>
        <w:adjustRightInd w:val="0"/>
        <w:snapToGrid w:val="0"/>
        <w:spacing w:line="360" w:lineRule="auto"/>
        <w:ind w:firstLine="566" w:firstLineChars="236"/>
        <w:rPr>
          <w:rFonts w:ascii="仿宋" w:hAnsi="仿宋" w:eastAsia="仿宋" w:cs="仿宋"/>
          <w:bCs/>
          <w:color w:val="auto"/>
          <w:sz w:val="24"/>
          <w:highlight w:val="none"/>
        </w:rPr>
      </w:pPr>
      <w:r>
        <w:rPr>
          <w:rFonts w:hint="eastAsia" w:ascii="仿宋" w:hAnsi="仿宋" w:eastAsia="仿宋" w:cs="仿宋"/>
          <w:bCs/>
          <w:color w:val="auto"/>
          <w:sz w:val="24"/>
          <w:highlight w:val="none"/>
        </w:rPr>
        <w:t>（8）建立健全施工消防安全管理档案。</w:t>
      </w:r>
    </w:p>
    <w:p w14:paraId="63539D25">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3.严格遵守《广州地区劳动安全卫生考核标准》及其他有关劳动卫生安全的法律法规，做好施工现场的安全管理工作。</w:t>
      </w:r>
    </w:p>
    <w:p w14:paraId="3056D0A9">
      <w:pPr>
        <w:adjustRightInd w:val="0"/>
        <w:snapToGrid w:val="0"/>
        <w:spacing w:line="360" w:lineRule="auto"/>
        <w:ind w:firstLine="410" w:firstLineChars="171"/>
        <w:rPr>
          <w:rFonts w:ascii="仿宋" w:hAnsi="仿宋" w:eastAsia="仿宋" w:cs="仿宋"/>
          <w:bCs/>
          <w:color w:val="auto"/>
          <w:sz w:val="24"/>
          <w:highlight w:val="none"/>
        </w:rPr>
      </w:pPr>
      <w:r>
        <w:rPr>
          <w:rFonts w:hint="eastAsia" w:ascii="仿宋" w:hAnsi="仿宋" w:eastAsia="仿宋" w:cs="仿宋"/>
          <w:bCs/>
          <w:color w:val="auto"/>
          <w:sz w:val="24"/>
          <w:highlight w:val="none"/>
        </w:rPr>
        <w:t>（1）建立健全施工安全管理制度及</w:t>
      </w:r>
      <w:r>
        <w:rPr>
          <w:rFonts w:hint="eastAsia" w:ascii="仿宋" w:hAnsi="仿宋" w:eastAsia="仿宋" w:cs="仿宋"/>
          <w:bCs/>
          <w:color w:val="auto"/>
          <w:sz w:val="24"/>
          <w:highlight w:val="none"/>
          <w:lang w:eastAsia="zh-CN"/>
        </w:rPr>
        <w:t>安全管理台账</w:t>
      </w:r>
      <w:r>
        <w:rPr>
          <w:rFonts w:hint="eastAsia" w:ascii="仿宋" w:hAnsi="仿宋" w:eastAsia="仿宋" w:cs="仿宋"/>
          <w:bCs/>
          <w:color w:val="auto"/>
          <w:sz w:val="24"/>
          <w:highlight w:val="none"/>
        </w:rPr>
        <w:t>；</w:t>
      </w:r>
    </w:p>
    <w:p w14:paraId="5B718A82">
      <w:pPr>
        <w:adjustRightInd w:val="0"/>
        <w:snapToGrid w:val="0"/>
        <w:spacing w:line="360" w:lineRule="auto"/>
        <w:ind w:firstLine="410" w:firstLineChars="171"/>
        <w:rPr>
          <w:rFonts w:ascii="仿宋" w:hAnsi="仿宋" w:eastAsia="仿宋" w:cs="仿宋"/>
          <w:bCs/>
          <w:color w:val="auto"/>
          <w:sz w:val="24"/>
          <w:highlight w:val="none"/>
        </w:rPr>
      </w:pPr>
      <w:r>
        <w:rPr>
          <w:rFonts w:hint="eastAsia" w:ascii="仿宋" w:hAnsi="仿宋" w:eastAsia="仿宋" w:cs="仿宋"/>
          <w:bCs/>
          <w:color w:val="auto"/>
          <w:sz w:val="24"/>
          <w:highlight w:val="none"/>
        </w:rPr>
        <w:t>（2）建立完善安全管理网络，明确并落实安全责任制；</w:t>
      </w:r>
    </w:p>
    <w:p w14:paraId="169A88AB">
      <w:pPr>
        <w:adjustRightInd w:val="0"/>
        <w:snapToGrid w:val="0"/>
        <w:spacing w:line="360" w:lineRule="auto"/>
        <w:ind w:firstLine="410" w:firstLineChars="171"/>
        <w:rPr>
          <w:rFonts w:ascii="仿宋" w:hAnsi="仿宋" w:eastAsia="仿宋" w:cs="仿宋"/>
          <w:bCs/>
          <w:color w:val="auto"/>
          <w:sz w:val="24"/>
          <w:highlight w:val="none"/>
        </w:rPr>
      </w:pPr>
      <w:r>
        <w:rPr>
          <w:rFonts w:hint="eastAsia" w:ascii="仿宋" w:hAnsi="仿宋" w:eastAsia="仿宋" w:cs="仿宋"/>
          <w:bCs/>
          <w:color w:val="auto"/>
          <w:sz w:val="24"/>
          <w:highlight w:val="none"/>
        </w:rPr>
        <w:t>（3）制定安全技术措施预案，并根据安全预案的要求对员工进行作业前交底；</w:t>
      </w:r>
    </w:p>
    <w:p w14:paraId="17B36111">
      <w:pPr>
        <w:adjustRightInd w:val="0"/>
        <w:snapToGrid w:val="0"/>
        <w:spacing w:line="360" w:lineRule="auto"/>
        <w:ind w:firstLine="410" w:firstLineChars="171"/>
        <w:rPr>
          <w:rFonts w:ascii="仿宋" w:hAnsi="仿宋" w:eastAsia="仿宋" w:cs="仿宋"/>
          <w:bCs/>
          <w:color w:val="auto"/>
          <w:sz w:val="24"/>
          <w:highlight w:val="none"/>
        </w:rPr>
      </w:pPr>
      <w:r>
        <w:rPr>
          <w:rFonts w:hint="eastAsia" w:ascii="仿宋" w:hAnsi="仿宋" w:eastAsia="仿宋" w:cs="仿宋"/>
          <w:bCs/>
          <w:color w:val="auto"/>
          <w:sz w:val="24"/>
          <w:highlight w:val="none"/>
        </w:rPr>
        <w:t>（4）对施工人员进行劳动安全教育培训；</w:t>
      </w:r>
    </w:p>
    <w:p w14:paraId="291BE3C7">
      <w:pPr>
        <w:adjustRightInd w:val="0"/>
        <w:snapToGrid w:val="0"/>
        <w:spacing w:line="360" w:lineRule="auto"/>
        <w:ind w:firstLine="410" w:firstLineChars="171"/>
        <w:rPr>
          <w:rFonts w:ascii="仿宋" w:hAnsi="仿宋" w:eastAsia="仿宋" w:cs="仿宋"/>
          <w:bCs/>
          <w:color w:val="auto"/>
          <w:sz w:val="24"/>
          <w:highlight w:val="none"/>
        </w:rPr>
      </w:pPr>
      <w:r>
        <w:rPr>
          <w:rFonts w:hint="eastAsia" w:ascii="仿宋" w:hAnsi="仿宋" w:eastAsia="仿宋" w:cs="仿宋"/>
          <w:bCs/>
          <w:color w:val="auto"/>
          <w:sz w:val="24"/>
          <w:highlight w:val="none"/>
        </w:rPr>
        <w:t>（5）定期组织安全检查，对发现的事故隐患要及时上报整改；</w:t>
      </w:r>
    </w:p>
    <w:p w14:paraId="0186716A">
      <w:pPr>
        <w:adjustRightInd w:val="0"/>
        <w:snapToGrid w:val="0"/>
        <w:spacing w:line="360" w:lineRule="auto"/>
        <w:ind w:firstLine="410" w:firstLineChars="171"/>
        <w:rPr>
          <w:rFonts w:ascii="仿宋" w:hAnsi="仿宋" w:eastAsia="仿宋" w:cs="仿宋"/>
          <w:bCs/>
          <w:color w:val="auto"/>
          <w:sz w:val="24"/>
          <w:highlight w:val="none"/>
        </w:rPr>
      </w:pPr>
      <w:r>
        <w:rPr>
          <w:rFonts w:hint="eastAsia" w:ascii="仿宋" w:hAnsi="仿宋" w:eastAsia="仿宋" w:cs="仿宋"/>
          <w:bCs/>
          <w:color w:val="auto"/>
          <w:sz w:val="24"/>
          <w:highlight w:val="none"/>
        </w:rPr>
        <w:t>（6）定期召开安全例会。</w:t>
      </w:r>
    </w:p>
    <w:p w14:paraId="7F9DF822">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4.按发包人及监理人要求做好安全防范措施，并自觉接受发包人及监理人的安全监督管理，对其提出的安全整改意见必须及时组织整改，直至符合要求。</w:t>
      </w:r>
    </w:p>
    <w:p w14:paraId="77305DD5">
      <w:pPr>
        <w:adjustRightInd w:val="0"/>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5.承包对分包人的安全监督管理措施</w:t>
      </w:r>
    </w:p>
    <w:p w14:paraId="109836CC">
      <w:pPr>
        <w:adjustRightInd w:val="0"/>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（1）承包人开工前必须对分包人进行安全技术交底。</w:t>
      </w:r>
    </w:p>
    <w:p w14:paraId="6CED4B4D">
      <w:pPr>
        <w:adjustRightInd w:val="0"/>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（2）承包人审核分包人制定的安全制度及相关措施，并监督其实施。</w:t>
      </w:r>
    </w:p>
    <w:p w14:paraId="012511B2">
      <w:pPr>
        <w:adjustRightInd w:val="0"/>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（3）承包人及时向分包人转发发包人</w:t>
      </w:r>
      <w:r>
        <w:rPr>
          <w:rFonts w:hint="eastAsia" w:ascii="仿宋" w:hAnsi="仿宋" w:eastAsia="仿宋" w:cs="仿宋"/>
          <w:color w:val="auto"/>
          <w:highlight w:val="none"/>
        </w:rPr>
        <w:t>及</w:t>
      </w:r>
      <w:r>
        <w:rPr>
          <w:rFonts w:hint="eastAsia" w:ascii="仿宋" w:hAnsi="仿宋" w:eastAsia="仿宋" w:cs="仿宋"/>
          <w:bCs/>
          <w:color w:val="auto"/>
          <w:sz w:val="24"/>
          <w:highlight w:val="none"/>
        </w:rPr>
        <w:t>主管部门有关安全管理的文件。</w:t>
      </w:r>
    </w:p>
    <w:p w14:paraId="534BF758">
      <w:pPr>
        <w:adjustRightInd w:val="0"/>
        <w:snapToGrid w:val="0"/>
        <w:spacing w:line="360" w:lineRule="auto"/>
        <w:ind w:firstLine="540"/>
        <w:rPr>
          <w:rFonts w:ascii="仿宋" w:hAnsi="仿宋" w:eastAsia="仿宋" w:cs="仿宋"/>
          <w:bCs/>
          <w:color w:val="auto"/>
          <w:sz w:val="24"/>
          <w:highlight w:val="none"/>
        </w:rPr>
      </w:pPr>
      <w:r>
        <w:rPr>
          <w:rFonts w:hint="eastAsia" w:ascii="仿宋" w:hAnsi="仿宋" w:eastAsia="仿宋" w:cs="仿宋"/>
          <w:bCs/>
          <w:color w:val="auto"/>
          <w:sz w:val="24"/>
          <w:highlight w:val="none"/>
        </w:rPr>
        <w:t>（4） 承包人对分包人的安全管理进行全面监督。定期对分包人的安全生产、文明施工进行检查，发现安全管理问题和安全隐患，有权提出整改意见，下发整改通知。如分包人未按时按要求整改，则承包人有权进行处罚、停止支付工程进度款，直至分包人达到要求。</w:t>
      </w:r>
    </w:p>
    <w:p w14:paraId="618F2589">
      <w:pPr>
        <w:adjustRightInd w:val="0"/>
        <w:snapToGrid w:val="0"/>
        <w:spacing w:line="360" w:lineRule="auto"/>
        <w:ind w:firstLine="540" w:firstLineChars="225"/>
        <w:rPr>
          <w:rFonts w:ascii="仿宋" w:hAnsi="仿宋" w:eastAsia="仿宋" w:cs="仿宋"/>
          <w:bCs/>
          <w:color w:val="auto"/>
          <w:sz w:val="24"/>
          <w:highlight w:val="none"/>
        </w:rPr>
      </w:pPr>
      <w:r>
        <w:rPr>
          <w:rFonts w:hint="eastAsia" w:ascii="仿宋" w:hAnsi="仿宋" w:eastAsia="仿宋" w:cs="仿宋"/>
          <w:bCs/>
          <w:color w:val="auto"/>
          <w:sz w:val="24"/>
          <w:highlight w:val="none"/>
        </w:rPr>
        <w:t>（5）有权制止分包人的违章指挥、违章作业的行为。</w:t>
      </w:r>
    </w:p>
    <w:p w14:paraId="1DA56991">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三、承包人确保达到安全目标：无人员伤亡事故，无设备事故，无火灾事故。</w:t>
      </w:r>
    </w:p>
    <w:p w14:paraId="3C99E98F">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四、承包人负责所承包工程的施工现场及施工队伍居住地的安全、消防管理，一切责任（包括由此所导致的各方人员及财产损失的经济和法律责任）由承包人完全承担。</w:t>
      </w:r>
    </w:p>
    <w:p w14:paraId="29655C1D">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五、本协议</w:t>
      </w:r>
      <w:r>
        <w:rPr>
          <w:rFonts w:hint="eastAsia" w:ascii="仿宋" w:hAnsi="仿宋" w:eastAsia="仿宋" w:cs="仿宋"/>
          <w:color w:val="auto"/>
          <w:sz w:val="24"/>
          <w:highlight w:val="none"/>
        </w:rPr>
        <w:t>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en-US" w:eastAsia="zh-CN"/>
        </w:rPr>
        <w:t>广州市白云区棠涌村城中村改造－城中村展示中心项目</w:t>
      </w:r>
      <w:r>
        <w:rPr>
          <w:rFonts w:hint="eastAsia" w:ascii="仿宋" w:hAnsi="仿宋" w:eastAsia="仿宋" w:cs="仿宋"/>
          <w:color w:val="auto"/>
          <w:sz w:val="24"/>
          <w:highlight w:val="none"/>
        </w:rPr>
        <w:t>设计施工总承包（EPC）合同的附件，与合同具有同等的法律效力。</w:t>
      </w:r>
    </w:p>
    <w:p w14:paraId="460B20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六、本协议一式</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份，合同双方当事人各执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份。有上级部门的，合同双方当事人</w:t>
      </w:r>
      <w:r>
        <w:rPr>
          <w:rFonts w:hint="eastAsia" w:ascii="仿宋" w:hAnsi="仿宋" w:eastAsia="仿宋" w:cs="仿宋"/>
          <w:color w:val="auto"/>
          <w:sz w:val="24"/>
          <w:highlight w:val="none"/>
        </w:rPr>
        <w:t>应送交其上级部门各一份。</w:t>
      </w:r>
    </w:p>
    <w:p w14:paraId="30463887">
      <w:pPr>
        <w:spacing w:line="360" w:lineRule="auto"/>
        <w:ind w:firstLine="480" w:firstLineChars="200"/>
        <w:rPr>
          <w:rFonts w:ascii="仿宋" w:hAnsi="仿宋" w:eastAsia="仿宋" w:cs="仿宋"/>
          <w:color w:val="auto"/>
          <w:sz w:val="24"/>
          <w:highlight w:val="none"/>
        </w:rPr>
      </w:pPr>
    </w:p>
    <w:p w14:paraId="155B34ED">
      <w:pPr>
        <w:spacing w:line="360" w:lineRule="auto"/>
        <w:ind w:firstLine="480" w:firstLineChars="200"/>
        <w:rPr>
          <w:rFonts w:ascii="仿宋" w:hAnsi="仿宋" w:eastAsia="仿宋" w:cs="仿宋"/>
          <w:color w:val="auto"/>
          <w:sz w:val="24"/>
          <w:highlight w:val="none"/>
        </w:rPr>
      </w:pPr>
    </w:p>
    <w:p w14:paraId="53F094E6">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（以下无正文）</w:t>
      </w:r>
    </w:p>
    <w:p w14:paraId="40568BF6">
      <w:pPr>
        <w:adjustRightInd w:val="0"/>
        <w:snapToGrid w:val="0"/>
        <w:spacing w:line="360" w:lineRule="auto"/>
        <w:ind w:firstLine="480" w:firstLineChars="200"/>
        <w:rPr>
          <w:rFonts w:hint="eastAsia" w:ascii="仿宋" w:hAnsi="仿宋" w:eastAsia="仿宋" w:cs="仿宋"/>
          <w:color w:val="auto"/>
          <w:sz w:val="24"/>
          <w:highlight w:val="none"/>
        </w:rPr>
      </w:pPr>
    </w:p>
    <w:p w14:paraId="5259ACDE">
      <w:pPr>
        <w:pStyle w:val="3"/>
        <w:rPr>
          <w:rFonts w:hint="eastAsia"/>
          <w:color w:val="auto"/>
          <w:highlight w:val="none"/>
        </w:rPr>
      </w:pPr>
    </w:p>
    <w:p w14:paraId="745A8CBD">
      <w:pPr>
        <w:adjustRightInd w:val="0"/>
        <w:snapToGrid w:val="0"/>
        <w:spacing w:line="360" w:lineRule="auto"/>
        <w:ind w:left="2640" w:hanging="2640" w:hangingChars="1100"/>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eastAsia="zh-CN"/>
        </w:rPr>
        <w:t>广州白云棠涌置地有限公司</w:t>
      </w:r>
      <w:r>
        <w:rPr>
          <w:rFonts w:hint="eastAsia" w:ascii="仿宋" w:hAnsi="仿宋" w:eastAsia="仿宋" w:cs="仿宋"/>
          <w:color w:val="auto"/>
          <w:sz w:val="24"/>
          <w:highlight w:val="none"/>
        </w:rPr>
        <w:t xml:space="preserve">     承包人：</w:t>
      </w:r>
    </w:p>
    <w:p w14:paraId="631220AB">
      <w:pPr>
        <w:adjustRightInd w:val="0"/>
        <w:snapToGrid w:val="0"/>
        <w:spacing w:line="36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p>
    <w:p w14:paraId="36D50E73">
      <w:pPr>
        <w:pStyle w:val="3"/>
        <w:spacing w:before="0" w:after="0"/>
        <w:ind w:firstLine="0" w:firstLineChars="0"/>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或授权代表人：                      或授权代表人：</w:t>
      </w:r>
    </w:p>
    <w:p w14:paraId="142F717B">
      <w:pP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                          联系电话：</w:t>
      </w:r>
    </w:p>
    <w:p w14:paraId="6A43DF08">
      <w:pP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上级部门：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上级部门：</w:t>
      </w:r>
    </w:p>
    <w:p w14:paraId="2EC382F9">
      <w:pPr>
        <w:adjustRightInd w:val="0"/>
        <w:snapToGrid w:val="0"/>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1AAE1AD1">
      <w:pPr>
        <w:spacing w:line="360" w:lineRule="auto"/>
        <w:ind w:firstLine="480" w:firstLineChars="200"/>
        <w:jc w:val="center"/>
        <w:rPr>
          <w:rFonts w:ascii="仿宋" w:hAnsi="仿宋" w:eastAsia="仿宋" w:cs="仿宋"/>
          <w:color w:val="auto"/>
          <w:sz w:val="24"/>
          <w:highlight w:val="none"/>
        </w:rPr>
      </w:pPr>
    </w:p>
    <w:p w14:paraId="0D05DE7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04719F7">
      <w:pPr>
        <w:pStyle w:val="3"/>
        <w:numPr>
          <w:ilvl w:val="1"/>
          <w:numId w:val="0"/>
        </w:numPr>
        <w:spacing w:after="0"/>
        <w:rPr>
          <w:rFonts w:ascii="仿宋" w:hAnsi="仿宋" w:eastAsia="仿宋" w:cs="仿宋"/>
          <w:color w:val="auto"/>
          <w:sz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：履约保函</w:t>
      </w:r>
      <w:bookmarkEnd w:id="294"/>
      <w:bookmarkEnd w:id="295"/>
    </w:p>
    <w:p w14:paraId="4307905D">
      <w:pPr>
        <w:ind w:firstLine="3092" w:firstLineChars="700"/>
        <w:rPr>
          <w:rFonts w:hint="eastAsia" w:ascii="仿宋" w:hAnsi="仿宋" w:eastAsia="仿宋"/>
          <w:b/>
          <w:color w:val="auto"/>
          <w:sz w:val="44"/>
          <w:szCs w:val="44"/>
          <w:highlight w:val="none"/>
          <w:lang w:eastAsia="zh-CN"/>
        </w:rPr>
      </w:pPr>
      <w:bookmarkStart w:id="296" w:name="_Toc269390490"/>
      <w:bookmarkStart w:id="297" w:name="_Toc141263323"/>
      <w:bookmarkStart w:id="298" w:name="_Toc243738971"/>
      <w:bookmarkStart w:id="299" w:name="_Toc243738741"/>
      <w:bookmarkStart w:id="300" w:name="_Toc252864060"/>
      <w:bookmarkStart w:id="301" w:name="_Toc234234246"/>
      <w:bookmarkStart w:id="302" w:name="_Toc262224845"/>
      <w:bookmarkStart w:id="303" w:name="_Toc269280992"/>
      <w:bookmarkStart w:id="304" w:name="_Toc251077993"/>
      <w:bookmarkStart w:id="305" w:name="_Toc269281338"/>
      <w:r>
        <w:rPr>
          <w:rFonts w:hint="eastAsia" w:ascii="仿宋" w:hAnsi="仿宋" w:eastAsia="仿宋"/>
          <w:b/>
          <w:color w:val="auto"/>
          <w:sz w:val="44"/>
          <w:szCs w:val="44"/>
          <w:highlight w:val="none"/>
          <w:lang w:eastAsia="zh-CN"/>
        </w:rPr>
        <w:t>履约保函</w:t>
      </w:r>
    </w:p>
    <w:p w14:paraId="620A3C9D">
      <w:pPr>
        <w:spacing w:line="360" w:lineRule="auto"/>
        <w:rPr>
          <w:rFonts w:ascii="仿宋" w:hAnsi="仿宋" w:eastAsia="仿宋"/>
          <w:b/>
          <w:color w:val="auto"/>
          <w:highlight w:val="none"/>
          <w:lang w:eastAsia="zh-CN"/>
        </w:rPr>
      </w:pPr>
      <w:r>
        <w:rPr>
          <w:rFonts w:ascii="仿宋" w:hAnsi="仿宋" w:eastAsia="仿宋"/>
          <w:b/>
          <w:color w:val="auto"/>
          <w:highlight w:val="none"/>
          <w:lang w:eastAsia="zh-CN"/>
        </w:rPr>
        <w:t xml:space="preserve">                                            编号：</w:t>
      </w:r>
    </w:p>
    <w:p w14:paraId="7EBF2690">
      <w:pPr>
        <w:spacing w:line="360" w:lineRule="auto"/>
        <w:rPr>
          <w:rFonts w:ascii="仿宋" w:hAnsi="仿宋" w:eastAsia="仿宋"/>
          <w:b/>
          <w:color w:val="auto"/>
          <w:highlight w:val="none"/>
          <w:lang w:eastAsia="zh-CN"/>
        </w:rPr>
      </w:pPr>
    </w:p>
    <w:p w14:paraId="6C6FF5ED">
      <w:pPr>
        <w:spacing w:line="360" w:lineRule="auto"/>
        <w:rPr>
          <w:rFonts w:ascii="仿宋" w:hAnsi="仿宋" w:eastAsia="仿宋"/>
          <w:color w:val="auto"/>
          <w:highlight w:val="none"/>
          <w:lang w:eastAsia="zh-CN"/>
        </w:rPr>
      </w:pPr>
      <w:r>
        <w:rPr>
          <w:rFonts w:hint="eastAsia" w:ascii="仿宋" w:hAnsi="仿宋" w:eastAsia="仿宋"/>
          <w:color w:val="auto"/>
          <w:highlight w:val="none"/>
          <w:lang w:eastAsia="zh-CN"/>
        </w:rPr>
        <w:t xml:space="preserve"> 致：              （发包人全称） </w:t>
      </w:r>
      <w:r>
        <w:rPr>
          <w:rFonts w:ascii="仿宋" w:hAnsi="仿宋" w:eastAsia="仿宋"/>
          <w:color w:val="auto"/>
          <w:highlight w:val="none"/>
          <w:lang w:eastAsia="zh-CN"/>
        </w:rPr>
        <w:t>：</w:t>
      </w:r>
    </w:p>
    <w:p w14:paraId="4E065A0D">
      <w:pPr>
        <w:spacing w:line="360" w:lineRule="auto"/>
        <w:rPr>
          <w:rFonts w:ascii="仿宋" w:hAnsi="仿宋" w:eastAsia="仿宋"/>
          <w:color w:val="auto"/>
          <w:highlight w:val="none"/>
          <w:lang w:eastAsia="zh-CN"/>
        </w:rPr>
      </w:pPr>
      <w:r>
        <w:rPr>
          <w:rFonts w:ascii="仿宋" w:hAnsi="仿宋" w:eastAsia="仿宋"/>
          <w:color w:val="auto"/>
          <w:highlight w:val="none"/>
          <w:lang w:eastAsia="zh-CN"/>
        </w:rPr>
        <w:t>　　根据贵方与</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（以下简称“承包人”）于    年 月 日在</w:t>
      </w:r>
      <w:r>
        <w:rPr>
          <w:rFonts w:ascii="仿宋" w:hAnsi="仿宋" w:eastAsia="仿宋"/>
          <w:color w:val="auto"/>
          <w:highlight w:val="none"/>
          <w:u w:val="single"/>
          <w:lang w:eastAsia="zh-CN"/>
        </w:rPr>
        <w:t>广州市</w:t>
      </w:r>
      <w:r>
        <w:rPr>
          <w:rFonts w:ascii="仿宋" w:hAnsi="仿宋" w:eastAsia="仿宋"/>
          <w:color w:val="auto"/>
          <w:highlight w:val="none"/>
          <w:lang w:eastAsia="zh-CN"/>
        </w:rPr>
        <w:t>签署的编号为</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的</w:t>
      </w:r>
      <w:r>
        <w:rPr>
          <w:rFonts w:ascii="仿宋" w:hAnsi="仿宋" w:eastAsia="仿宋"/>
          <w:color w:val="auto"/>
          <w:highlight w:val="none"/>
          <w:u w:val="single"/>
          <w:lang w:eastAsia="zh-CN"/>
        </w:rPr>
        <w:t>《                            合同》</w:t>
      </w:r>
      <w:r>
        <w:rPr>
          <w:rFonts w:ascii="仿宋" w:hAnsi="仿宋" w:eastAsia="仿宋"/>
          <w:color w:val="auto"/>
          <w:highlight w:val="none"/>
          <w:lang w:eastAsia="zh-CN"/>
        </w:rPr>
        <w:t>（以下简称“合同”），本行同意开立以贵方为受益人的不可撤销履约保函。</w:t>
      </w:r>
    </w:p>
    <w:p w14:paraId="34E11C97">
      <w:pPr>
        <w:spacing w:line="360" w:lineRule="auto"/>
        <w:ind w:firstLine="420"/>
        <w:rPr>
          <w:rFonts w:ascii="仿宋" w:hAnsi="仿宋" w:eastAsia="仿宋"/>
          <w:color w:val="auto"/>
          <w:highlight w:val="none"/>
          <w:lang w:eastAsia="zh-CN"/>
        </w:rPr>
      </w:pPr>
      <w:r>
        <w:rPr>
          <w:rFonts w:ascii="仿宋" w:hAnsi="仿宋" w:eastAsia="仿宋"/>
          <w:color w:val="auto"/>
          <w:highlight w:val="none"/>
          <w:lang w:eastAsia="zh-CN"/>
        </w:rPr>
        <w:t>本行的保证范围是承包人未按照合同的约定履行义务，应承担的违约金或给贵方造成的经济损失。本行保证的金额是合同约定总价款的</w:t>
      </w:r>
      <w:r>
        <w:rPr>
          <w:rFonts w:hint="eastAsia" w:ascii="仿宋" w:hAnsi="仿宋" w:eastAsia="仿宋"/>
          <w:color w:val="auto"/>
          <w:highlight w:val="none"/>
          <w:lang w:eastAsia="zh-CN"/>
        </w:rPr>
        <w:t>10</w:t>
      </w:r>
      <w:r>
        <w:rPr>
          <w:rFonts w:ascii="仿宋" w:hAnsi="仿宋" w:eastAsia="仿宋"/>
          <w:color w:val="auto"/>
          <w:highlight w:val="none"/>
          <w:lang w:eastAsia="zh-CN"/>
        </w:rPr>
        <w:t>%，数额最高不超过人民币</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元（大写：</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w:t>
      </w:r>
    </w:p>
    <w:p w14:paraId="1C56507C">
      <w:pPr>
        <w:spacing w:line="360" w:lineRule="auto"/>
        <w:ind w:firstLine="420"/>
        <w:rPr>
          <w:rFonts w:ascii="仿宋" w:hAnsi="仿宋" w:eastAsia="仿宋"/>
          <w:color w:val="auto"/>
          <w:highlight w:val="none"/>
          <w:lang w:eastAsia="zh-CN"/>
        </w:rPr>
      </w:pPr>
      <w:r>
        <w:rPr>
          <w:rFonts w:ascii="仿宋" w:hAnsi="仿宋" w:eastAsia="仿宋"/>
          <w:color w:val="auto"/>
          <w:highlight w:val="none"/>
          <w:lang w:eastAsia="zh-CN"/>
        </w:rPr>
        <w:t>在贵方书面提出要求索赔通知时，本行不挑剔、不争辩</w:t>
      </w:r>
      <w:r>
        <w:rPr>
          <w:rFonts w:hint="eastAsia" w:ascii="仿宋" w:hAnsi="仿宋" w:eastAsia="仿宋"/>
          <w:color w:val="auto"/>
          <w:highlight w:val="none"/>
          <w:lang w:eastAsia="zh-CN"/>
        </w:rPr>
        <w:t>，也</w:t>
      </w:r>
      <w:r>
        <w:rPr>
          <w:rFonts w:ascii="仿宋" w:hAnsi="仿宋" w:eastAsia="仿宋"/>
          <w:color w:val="auto"/>
          <w:highlight w:val="none"/>
          <w:lang w:eastAsia="zh-CN"/>
        </w:rPr>
        <w:t>不要求贵方出具承包人的违约证明或说明背景、理由，并保证在收到贵方索赔通知书5个工作日内无条件支付。贵方单次索赔或者累计索赔总额以上述最高担保金额为限。</w:t>
      </w:r>
    </w:p>
    <w:p w14:paraId="54403E5C">
      <w:pPr>
        <w:spacing w:line="360" w:lineRule="auto"/>
        <w:rPr>
          <w:rFonts w:ascii="仿宋" w:hAnsi="仿宋" w:eastAsia="仿宋"/>
          <w:color w:val="auto"/>
          <w:highlight w:val="none"/>
          <w:lang w:eastAsia="zh-CN"/>
        </w:rPr>
      </w:pPr>
      <w:r>
        <w:rPr>
          <w:rFonts w:ascii="仿宋" w:hAnsi="仿宋" w:eastAsia="仿宋"/>
          <w:color w:val="auto"/>
          <w:highlight w:val="none"/>
          <w:lang w:eastAsia="zh-CN"/>
        </w:rPr>
        <w:t>　　本行放弃贵方应先向承包人要求赔偿上述金额之后再向本行提出要求的权利。</w:t>
      </w:r>
    </w:p>
    <w:p w14:paraId="3A3D9B62">
      <w:pPr>
        <w:spacing w:line="360" w:lineRule="auto"/>
        <w:rPr>
          <w:rFonts w:ascii="仿宋" w:hAnsi="仿宋" w:eastAsia="仿宋"/>
          <w:color w:val="auto"/>
          <w:highlight w:val="none"/>
          <w:lang w:eastAsia="zh-CN"/>
        </w:rPr>
      </w:pPr>
      <w:r>
        <w:rPr>
          <w:rFonts w:ascii="仿宋" w:hAnsi="仿宋" w:eastAsia="仿宋"/>
          <w:color w:val="auto"/>
          <w:highlight w:val="none"/>
          <w:lang w:eastAsia="zh-CN"/>
        </w:rPr>
        <w:t>　　本行进一步同意在贵方和承包人之间的合同条件、合同项下的工程或合同文件发生变化、补充或修改后，本行承担本保函的责任也不改变，有关上述变化、补充和修改也无须通知本行。</w:t>
      </w:r>
    </w:p>
    <w:p w14:paraId="75861AAA">
      <w:pPr>
        <w:spacing w:line="360" w:lineRule="auto"/>
        <w:ind w:firstLine="420"/>
        <w:rPr>
          <w:rFonts w:ascii="仿宋" w:hAnsi="仿宋" w:eastAsia="仿宋"/>
          <w:color w:val="auto"/>
          <w:highlight w:val="none"/>
          <w:lang w:eastAsia="zh-CN"/>
        </w:rPr>
      </w:pPr>
      <w:r>
        <w:rPr>
          <w:rFonts w:ascii="仿宋" w:hAnsi="仿宋" w:eastAsia="仿宋"/>
          <w:color w:val="auto"/>
          <w:highlight w:val="none"/>
          <w:lang w:eastAsia="zh-CN"/>
        </w:rPr>
        <w:t>本履约保函自开立之日起直至上述最高担保金额支付完毕或承包人交付合同项下工程且验收合格后30天内一直有效。</w:t>
      </w:r>
    </w:p>
    <w:p w14:paraId="4504422B">
      <w:pPr>
        <w:spacing w:line="360" w:lineRule="auto"/>
        <w:ind w:firstLine="420"/>
        <w:rPr>
          <w:rFonts w:ascii="仿宋" w:hAnsi="仿宋" w:eastAsia="仿宋"/>
          <w:color w:val="auto"/>
          <w:highlight w:val="none"/>
          <w:lang w:eastAsia="zh-CN"/>
        </w:rPr>
      </w:pPr>
    </w:p>
    <w:p w14:paraId="7C0B85E3">
      <w:pPr>
        <w:spacing w:line="360" w:lineRule="auto"/>
        <w:rPr>
          <w:rFonts w:ascii="仿宋" w:hAnsi="仿宋" w:eastAsia="仿宋"/>
          <w:color w:val="auto"/>
          <w:highlight w:val="none"/>
          <w:lang w:eastAsia="zh-CN"/>
        </w:rPr>
      </w:pPr>
      <w:r>
        <w:rPr>
          <w:rFonts w:ascii="仿宋" w:hAnsi="仿宋" w:eastAsia="仿宋"/>
          <w:color w:val="auto"/>
          <w:highlight w:val="none"/>
          <w:lang w:eastAsia="zh-CN"/>
        </w:rPr>
        <w:t>　　                               保证人：</w:t>
      </w:r>
      <w:r>
        <w:rPr>
          <w:rFonts w:hint="eastAsia" w:ascii="仿宋" w:hAnsi="仿宋" w:eastAsia="仿宋"/>
          <w:color w:val="auto"/>
          <w:highlight w:val="none"/>
          <w:lang w:eastAsia="zh-CN"/>
        </w:rPr>
        <w:t>（</w:t>
      </w:r>
      <w:r>
        <w:rPr>
          <w:rFonts w:ascii="仿宋" w:hAnsi="仿宋" w:eastAsia="仿宋"/>
          <w:color w:val="auto"/>
          <w:highlight w:val="none"/>
          <w:lang w:eastAsia="zh-CN"/>
        </w:rPr>
        <w:t>银行盖章</w:t>
      </w:r>
      <w:r>
        <w:rPr>
          <w:rFonts w:hint="eastAsia" w:ascii="仿宋" w:hAnsi="仿宋" w:eastAsia="仿宋"/>
          <w:color w:val="auto"/>
          <w:highlight w:val="none"/>
          <w:lang w:eastAsia="zh-CN"/>
        </w:rPr>
        <w:t>）</w:t>
      </w:r>
    </w:p>
    <w:p w14:paraId="56C1EA51">
      <w:pPr>
        <w:spacing w:line="360" w:lineRule="auto"/>
        <w:rPr>
          <w:rFonts w:ascii="仿宋" w:hAnsi="仿宋" w:eastAsia="仿宋"/>
          <w:color w:val="auto"/>
          <w:highlight w:val="none"/>
          <w:lang w:eastAsia="zh-CN"/>
        </w:rPr>
      </w:pPr>
      <w:r>
        <w:rPr>
          <w:rFonts w:ascii="仿宋" w:hAnsi="仿宋" w:eastAsia="仿宋"/>
          <w:color w:val="auto"/>
          <w:highlight w:val="none"/>
          <w:lang w:eastAsia="zh-CN"/>
        </w:rPr>
        <w:t xml:space="preserve">　　                               法定代表人（盖章）： </w:t>
      </w:r>
    </w:p>
    <w:p w14:paraId="3C67D175">
      <w:pPr>
        <w:spacing w:line="360" w:lineRule="auto"/>
        <w:rPr>
          <w:rFonts w:ascii="仿宋" w:hAnsi="仿宋" w:eastAsia="仿宋"/>
          <w:color w:val="auto"/>
          <w:highlight w:val="none"/>
          <w:lang w:eastAsia="zh-CN"/>
        </w:rPr>
      </w:pPr>
      <w:r>
        <w:rPr>
          <w:rFonts w:ascii="仿宋" w:hAnsi="仿宋" w:eastAsia="仿宋"/>
          <w:color w:val="auto"/>
          <w:highlight w:val="none"/>
          <w:lang w:eastAsia="zh-CN"/>
        </w:rPr>
        <w:t>　　　　                           日期： 202</w:t>
      </w:r>
      <w:r>
        <w:rPr>
          <w:rFonts w:hint="eastAsia" w:ascii="仿宋" w:hAnsi="仿宋" w:eastAsia="仿宋"/>
          <w:color w:val="auto"/>
          <w:highlight w:val="none"/>
          <w:lang w:eastAsia="zh-CN"/>
        </w:rPr>
        <w:t>5</w:t>
      </w:r>
      <w:r>
        <w:rPr>
          <w:rFonts w:ascii="仿宋" w:hAnsi="仿宋" w:eastAsia="仿宋"/>
          <w:color w:val="auto"/>
          <w:highlight w:val="none"/>
          <w:lang w:eastAsia="zh-CN"/>
        </w:rPr>
        <w:t xml:space="preserve"> 年    月    日</w:t>
      </w:r>
    </w:p>
    <w:bookmarkEnd w:id="296"/>
    <w:bookmarkEnd w:id="297"/>
    <w:bookmarkEnd w:id="298"/>
    <w:bookmarkEnd w:id="299"/>
    <w:bookmarkEnd w:id="300"/>
    <w:bookmarkEnd w:id="301"/>
    <w:bookmarkEnd w:id="302"/>
    <w:bookmarkEnd w:id="303"/>
    <w:bookmarkEnd w:id="304"/>
    <w:bookmarkEnd w:id="305"/>
    <w:p w14:paraId="7FE7FEF3">
      <w:pPr>
        <w:pStyle w:val="9"/>
        <w:ind w:firstLine="200"/>
        <w:rPr>
          <w:rFonts w:ascii="仿宋" w:hAnsi="仿宋" w:eastAsia="仿宋" w:cs="仿宋"/>
          <w:color w:val="auto"/>
          <w:highlight w:val="none"/>
        </w:rPr>
      </w:pPr>
    </w:p>
    <w:p w14:paraId="62228FE8">
      <w:pPr>
        <w:pStyle w:val="9"/>
        <w:ind w:firstLine="200"/>
        <w:rPr>
          <w:rFonts w:ascii="仿宋" w:hAnsi="仿宋" w:eastAsia="仿宋" w:cs="仿宋"/>
          <w:color w:val="auto"/>
          <w:highlight w:val="none"/>
        </w:rPr>
      </w:pPr>
    </w:p>
    <w:p w14:paraId="1C14AEEA">
      <w:pPr>
        <w:pStyle w:val="9"/>
        <w:ind w:firstLine="200"/>
        <w:rPr>
          <w:rFonts w:ascii="仿宋" w:hAnsi="仿宋" w:eastAsia="仿宋" w:cs="仿宋"/>
          <w:color w:val="auto"/>
          <w:highlight w:val="none"/>
        </w:rPr>
      </w:pPr>
    </w:p>
    <w:p w14:paraId="7459B9E0">
      <w:pPr>
        <w:pStyle w:val="9"/>
        <w:ind w:firstLine="200"/>
        <w:rPr>
          <w:rFonts w:ascii="仿宋" w:hAnsi="仿宋" w:eastAsia="仿宋" w:cs="仿宋"/>
          <w:color w:val="auto"/>
          <w:highlight w:val="none"/>
        </w:rPr>
      </w:pPr>
    </w:p>
    <w:p w14:paraId="3B3F2AD8">
      <w:pPr>
        <w:rPr>
          <w:rFonts w:hint="eastAsia" w:ascii="仿宋" w:hAnsi="仿宋" w:eastAsia="仿宋" w:cs="仿宋"/>
          <w:color w:val="auto"/>
          <w:sz w:val="24"/>
          <w:highlight w:val="none"/>
        </w:rPr>
      </w:pPr>
      <w:bookmarkStart w:id="306" w:name="_Toc83377309"/>
      <w:bookmarkStart w:id="307" w:name="_Toc82013106"/>
    </w:p>
    <w:p w14:paraId="6A397B23">
      <w:pPr>
        <w:rPr>
          <w:rFonts w:hint="eastAsia" w:ascii="仿宋" w:hAnsi="仿宋" w:eastAsia="仿宋" w:cs="仿宋"/>
          <w:color w:val="auto"/>
          <w:sz w:val="24"/>
          <w:highlight w:val="none"/>
        </w:rPr>
      </w:pPr>
    </w:p>
    <w:p w14:paraId="0400A644">
      <w:pPr>
        <w:rPr>
          <w:rFonts w:ascii="仿宋" w:hAnsi="仿宋" w:eastAsia="仿宋" w:cs="仿宋"/>
          <w:color w:val="auto"/>
          <w:highlight w:val="none"/>
          <w:lang w:val="zh-CN"/>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w:t>
      </w:r>
      <w:bookmarkEnd w:id="306"/>
      <w:bookmarkEnd w:id="307"/>
      <w:r>
        <w:rPr>
          <w:rFonts w:hint="eastAsia" w:ascii="仿宋" w:hAnsi="仿宋" w:eastAsia="仿宋" w:cs="仿宋"/>
          <w:color w:val="auto"/>
          <w:sz w:val="24"/>
          <w:highlight w:val="none"/>
        </w:rPr>
        <w:t>关于按时足额发放工人工资的承诺书</w:t>
      </w:r>
    </w:p>
    <w:p w14:paraId="317304EA">
      <w:pPr>
        <w:tabs>
          <w:tab w:val="left" w:pos="-1500"/>
          <w:tab w:val="left" w:pos="780"/>
        </w:tabs>
        <w:spacing w:before="120"/>
        <w:ind w:firstLine="48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关于按时足额发放工人工资的承诺书</w:t>
      </w:r>
    </w:p>
    <w:p w14:paraId="7CFE49FE">
      <w:pPr>
        <w:autoSpaceDE w:val="0"/>
        <w:autoSpaceDN w:val="0"/>
        <w:spacing w:before="120" w:line="360" w:lineRule="auto"/>
        <w:ind w:firstLine="480"/>
        <w:rPr>
          <w:rFonts w:ascii="仿宋" w:hAnsi="仿宋" w:eastAsia="仿宋" w:cs="仿宋"/>
          <w:b/>
          <w:bCs/>
          <w:color w:val="auto"/>
          <w:sz w:val="24"/>
          <w:highlight w:val="none"/>
        </w:rPr>
      </w:pPr>
    </w:p>
    <w:p w14:paraId="3851A8C9">
      <w:pPr>
        <w:spacing w:before="120" w:line="360" w:lineRule="auto"/>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广州白云棠涌置地有限公司</w:t>
      </w:r>
      <w:r>
        <w:rPr>
          <w:rFonts w:hint="eastAsia" w:ascii="仿宋" w:hAnsi="仿宋" w:eastAsia="仿宋" w:cs="仿宋"/>
          <w:color w:val="auto"/>
          <w:sz w:val="24"/>
          <w:highlight w:val="none"/>
          <w:u w:val="single"/>
        </w:rPr>
        <w:t xml:space="preserve">  </w:t>
      </w:r>
    </w:p>
    <w:p w14:paraId="2D5186F7">
      <w:pPr>
        <w:spacing w:before="120" w:line="360" w:lineRule="auto"/>
        <w:ind w:firstLine="482"/>
        <w:rPr>
          <w:rFonts w:ascii="仿宋" w:hAnsi="仿宋" w:eastAsia="仿宋" w:cs="仿宋"/>
          <w:color w:val="auto"/>
          <w:sz w:val="24"/>
          <w:highlight w:val="none"/>
        </w:rPr>
      </w:pPr>
      <w:r>
        <w:rPr>
          <w:rFonts w:hint="eastAsia" w:ascii="仿宋" w:hAnsi="仿宋" w:eastAsia="仿宋" w:cs="仿宋"/>
          <w:color w:val="auto"/>
          <w:sz w:val="24"/>
          <w:highlight w:val="none"/>
        </w:rPr>
        <w:t>由</w:t>
      </w:r>
      <w:r>
        <w:rPr>
          <w:rFonts w:hint="default" w:ascii="仿宋" w:hAnsi="仿宋" w:eastAsia="仿宋" w:cs="仿宋"/>
          <w:color w:val="auto"/>
          <w:sz w:val="24"/>
          <w:highlight w:val="none"/>
          <w:lang w:val="en-US"/>
        </w:rPr>
        <w:t>我司</w:t>
      </w:r>
      <w:r>
        <w:rPr>
          <w:rFonts w:hint="eastAsia" w:ascii="仿宋" w:hAnsi="仿宋" w:eastAsia="仿宋" w:cs="仿宋"/>
          <w:color w:val="auto"/>
          <w:sz w:val="24"/>
          <w:highlight w:val="none"/>
        </w:rPr>
        <w:t>承建的</w:t>
      </w:r>
      <w:r>
        <w:rPr>
          <w:rFonts w:hint="eastAsia" w:ascii="仿宋" w:hAnsi="仿宋" w:eastAsia="仿宋" w:cs="仿宋"/>
          <w:color w:val="auto"/>
          <w:sz w:val="24"/>
          <w:highlight w:val="none"/>
          <w:lang w:val="en-US" w:eastAsia="zh-CN"/>
        </w:rPr>
        <w:t>广州市白云区棠涌村城中村改造－城中村展示中心项目</w:t>
      </w:r>
      <w:r>
        <w:rPr>
          <w:rFonts w:hint="eastAsia" w:ascii="仿宋" w:hAnsi="仿宋" w:eastAsia="仿宋" w:cs="仿宋"/>
          <w:color w:val="auto"/>
          <w:sz w:val="24"/>
          <w:highlight w:val="none"/>
        </w:rPr>
        <w:t>设计施工总承包（EPC）项目现正在施工。按国家法律规定，施工单位应当按时足额支付工人工资，这是施工单位必须履行的法定义务。我公司特此保证：本承诺书签署之日，</w:t>
      </w:r>
      <w:r>
        <w:rPr>
          <w:rFonts w:hint="default" w:ascii="仿宋" w:hAnsi="仿宋" w:eastAsia="仿宋" w:cs="仿宋"/>
          <w:color w:val="auto"/>
          <w:sz w:val="24"/>
          <w:highlight w:val="none"/>
          <w:lang w:val="en-US"/>
        </w:rPr>
        <w:t>我司</w:t>
      </w:r>
      <w:r>
        <w:rPr>
          <w:rFonts w:hint="eastAsia" w:ascii="仿宋" w:hAnsi="仿宋" w:eastAsia="仿宋" w:cs="仿宋"/>
          <w:color w:val="auto"/>
          <w:sz w:val="24"/>
          <w:highlight w:val="none"/>
        </w:rPr>
        <w:t>将按国家规定在施工过程中足额支付本工程所有工人工资，</w:t>
      </w:r>
      <w:r>
        <w:rPr>
          <w:rFonts w:hint="default" w:ascii="仿宋" w:hAnsi="仿宋" w:eastAsia="仿宋" w:cs="仿宋"/>
          <w:color w:val="auto"/>
          <w:sz w:val="24"/>
          <w:highlight w:val="none"/>
          <w:lang w:val="en-US"/>
        </w:rPr>
        <w:t>我司</w:t>
      </w:r>
      <w:r>
        <w:rPr>
          <w:rFonts w:hint="eastAsia" w:ascii="仿宋" w:hAnsi="仿宋" w:eastAsia="仿宋" w:cs="仿宋"/>
          <w:color w:val="auto"/>
          <w:sz w:val="24"/>
          <w:highlight w:val="none"/>
        </w:rPr>
        <w:t>施工的本工程不出现拖欠任何工人工资。</w:t>
      </w:r>
    </w:p>
    <w:p w14:paraId="6C294D12">
      <w:pPr>
        <w:spacing w:before="120" w:line="360" w:lineRule="auto"/>
        <w:ind w:firstLine="482"/>
        <w:rPr>
          <w:rFonts w:ascii="仿宋" w:hAnsi="仿宋" w:eastAsia="仿宋" w:cs="仿宋"/>
          <w:color w:val="auto"/>
          <w:sz w:val="24"/>
          <w:highlight w:val="none"/>
        </w:rPr>
      </w:pPr>
      <w:r>
        <w:rPr>
          <w:rFonts w:hint="eastAsia" w:ascii="仿宋" w:hAnsi="仿宋" w:eastAsia="仿宋" w:cs="仿宋"/>
          <w:color w:val="auto"/>
          <w:sz w:val="24"/>
          <w:highlight w:val="none"/>
        </w:rPr>
        <w:t>以上情况及保证与承诺，</w:t>
      </w:r>
      <w:r>
        <w:rPr>
          <w:rFonts w:hint="default" w:ascii="仿宋" w:hAnsi="仿宋" w:eastAsia="仿宋" w:cs="仿宋"/>
          <w:color w:val="auto"/>
          <w:sz w:val="24"/>
          <w:highlight w:val="none"/>
          <w:lang w:val="en-US"/>
        </w:rPr>
        <w:t>我司</w:t>
      </w:r>
      <w:r>
        <w:rPr>
          <w:rFonts w:hint="eastAsia" w:ascii="仿宋" w:hAnsi="仿宋" w:eastAsia="仿宋" w:cs="仿宋"/>
          <w:color w:val="auto"/>
          <w:sz w:val="24"/>
          <w:highlight w:val="none"/>
        </w:rPr>
        <w:t>愿承担一切法律责任及后果。如施工过程</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发生工人到贵司索要工资或出现工人闹事、向媒体爆料、向仲裁机构或法院起诉、到政府有关部门上访等现象，贵司有权暂停支付工程款，</w:t>
      </w:r>
      <w:r>
        <w:rPr>
          <w:rFonts w:hint="default" w:ascii="仿宋" w:hAnsi="仿宋" w:eastAsia="仿宋" w:cs="仿宋"/>
          <w:color w:val="auto"/>
          <w:sz w:val="24"/>
          <w:highlight w:val="none"/>
          <w:lang w:val="en-US"/>
        </w:rPr>
        <w:t>我司</w:t>
      </w:r>
      <w:r>
        <w:rPr>
          <w:rFonts w:hint="eastAsia" w:ascii="仿宋" w:hAnsi="仿宋" w:eastAsia="仿宋" w:cs="仿宋"/>
          <w:color w:val="auto"/>
          <w:sz w:val="24"/>
          <w:highlight w:val="none"/>
        </w:rPr>
        <w:t>愿按照每人每次10000元的标准向贵司承担违约赔偿责任。该违约金在贵司拨付我司的工程款中扣除。如工程款不足抵扣，则由我司以现金形式补足。</w:t>
      </w:r>
    </w:p>
    <w:p w14:paraId="2FB79A8A">
      <w:pPr>
        <w:spacing w:before="120" w:line="360" w:lineRule="auto"/>
        <w:ind w:firstLine="482"/>
        <w:rPr>
          <w:rFonts w:ascii="仿宋" w:hAnsi="仿宋" w:eastAsia="仿宋" w:cs="仿宋"/>
          <w:color w:val="auto"/>
          <w:sz w:val="24"/>
          <w:highlight w:val="none"/>
        </w:rPr>
      </w:pPr>
      <w:r>
        <w:rPr>
          <w:rFonts w:hint="eastAsia" w:ascii="仿宋" w:hAnsi="仿宋" w:eastAsia="仿宋" w:cs="仿宋"/>
          <w:color w:val="auto"/>
          <w:sz w:val="24"/>
          <w:highlight w:val="none"/>
        </w:rPr>
        <w:t>特此保证！</w:t>
      </w:r>
    </w:p>
    <w:p w14:paraId="033055B3">
      <w:pPr>
        <w:spacing w:before="120" w:line="500" w:lineRule="exact"/>
        <w:ind w:firstLine="482"/>
        <w:rPr>
          <w:rFonts w:ascii="仿宋" w:hAnsi="仿宋" w:eastAsia="仿宋" w:cs="仿宋"/>
          <w:color w:val="auto"/>
          <w:sz w:val="24"/>
          <w:highlight w:val="none"/>
        </w:rPr>
      </w:pPr>
    </w:p>
    <w:p w14:paraId="40BB428A">
      <w:pPr>
        <w:spacing w:before="120" w:line="500" w:lineRule="exact"/>
        <w:ind w:firstLine="4080" w:firstLineChars="1700"/>
        <w:rPr>
          <w:rFonts w:ascii="仿宋" w:hAnsi="仿宋" w:eastAsia="仿宋" w:cs="仿宋"/>
          <w:color w:val="auto"/>
          <w:sz w:val="24"/>
          <w:highlight w:val="none"/>
        </w:rPr>
      </w:pPr>
      <w:r>
        <w:rPr>
          <w:rFonts w:hint="eastAsia" w:ascii="仿宋" w:hAnsi="仿宋" w:eastAsia="仿宋" w:cs="仿宋"/>
          <w:color w:val="auto"/>
          <w:sz w:val="24"/>
          <w:highlight w:val="none"/>
        </w:rPr>
        <w:t>承诺单位：（公章）</w:t>
      </w:r>
    </w:p>
    <w:p w14:paraId="2B2DA852">
      <w:pPr>
        <w:spacing w:before="120" w:line="500" w:lineRule="exact"/>
        <w:ind w:firstLine="4080" w:firstLineChars="17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729DFA74">
      <w:pPr>
        <w:spacing w:before="120" w:line="500" w:lineRule="exact"/>
        <w:ind w:firstLine="4080" w:firstLineChars="1700"/>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     月     日</w:t>
      </w:r>
    </w:p>
    <w:p w14:paraId="61CAD81D">
      <w:pPr>
        <w:pStyle w:val="3"/>
        <w:numPr>
          <w:ilvl w:val="1"/>
          <w:numId w:val="0"/>
        </w:numPr>
        <w:spacing w:after="0"/>
        <w:rPr>
          <w:rFonts w:hint="eastAsia" w:ascii="仿宋" w:hAnsi="仿宋" w:eastAsia="仿宋" w:cs="仿宋"/>
          <w:color w:val="auto"/>
          <w:sz w:val="24"/>
          <w:highlight w:val="none"/>
        </w:rPr>
      </w:pPr>
    </w:p>
    <w:bookmarkEnd w:id="272"/>
    <w:bookmarkEnd w:id="273"/>
    <w:p w14:paraId="598D926A">
      <w:pPr>
        <w:rPr>
          <w:rFonts w:ascii="仿宋" w:hAnsi="仿宋" w:eastAsia="仿宋" w:cs="仿宋"/>
          <w:color w:val="auto"/>
          <w:highlight w:val="none"/>
        </w:rPr>
      </w:pPr>
    </w:p>
    <w:p w14:paraId="10FCE517">
      <w:pPr>
        <w:spacing w:after="0"/>
        <w:rPr>
          <w:rFonts w:hint="eastAsia" w:ascii="仿宋" w:hAnsi="仿宋" w:eastAsia="仿宋" w:cs="仿宋"/>
          <w:color w:val="auto"/>
          <w:sz w:val="24"/>
          <w:highlight w:val="none"/>
        </w:rPr>
      </w:pPr>
      <w:bookmarkStart w:id="308" w:name="_Toc3230"/>
      <w:bookmarkStart w:id="309" w:name="_Toc57144774"/>
      <w:bookmarkStart w:id="310" w:name="_Toc25261"/>
      <w:bookmarkStart w:id="311" w:name="_Toc16103"/>
      <w:bookmarkStart w:id="312" w:name="_Toc7076"/>
      <w:bookmarkStart w:id="313" w:name="_Toc13636"/>
      <w:bookmarkStart w:id="314" w:name="_Toc16304"/>
      <w:bookmarkStart w:id="315" w:name="_Toc56070328"/>
      <w:bookmarkStart w:id="316" w:name="_Toc6368"/>
      <w:bookmarkStart w:id="317" w:name="_Toc32143"/>
      <w:bookmarkStart w:id="318" w:name="_Toc22704"/>
      <w:r>
        <w:rPr>
          <w:rFonts w:hint="eastAsia" w:ascii="仿宋" w:hAnsi="仿宋" w:eastAsia="仿宋" w:cs="仿宋"/>
          <w:color w:val="auto"/>
          <w:sz w:val="24"/>
          <w:highlight w:val="none"/>
        </w:rPr>
        <w:br w:type="page"/>
      </w:r>
    </w:p>
    <w:p w14:paraId="1E4CC3AF">
      <w:pPr>
        <w:pStyle w:val="3"/>
        <w:numPr>
          <w:ilvl w:val="1"/>
          <w:numId w:val="0"/>
        </w:numPr>
        <w:spacing w:after="0"/>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lang w:val="en-US" w:eastAsia="zh-CN"/>
        </w:rPr>
        <w:t xml:space="preserve">附件九 </w:t>
      </w:r>
      <w:r>
        <w:rPr>
          <w:rFonts w:hint="eastAsia" w:ascii="仿宋" w:hAnsi="仿宋" w:eastAsia="仿宋" w:cs="仿宋"/>
          <w:b w:val="0"/>
          <w:bCs w:val="0"/>
          <w:color w:val="auto"/>
          <w:sz w:val="24"/>
          <w:szCs w:val="20"/>
          <w:highlight w:val="none"/>
        </w:rPr>
        <w:t>关于设计变更及现场签证管理规定</w:t>
      </w:r>
    </w:p>
    <w:bookmarkEnd w:id="308"/>
    <w:bookmarkEnd w:id="309"/>
    <w:bookmarkEnd w:id="310"/>
    <w:bookmarkEnd w:id="311"/>
    <w:bookmarkEnd w:id="312"/>
    <w:bookmarkEnd w:id="313"/>
    <w:bookmarkEnd w:id="314"/>
    <w:bookmarkEnd w:id="315"/>
    <w:bookmarkEnd w:id="316"/>
    <w:bookmarkEnd w:id="317"/>
    <w:bookmarkEnd w:id="318"/>
    <w:p w14:paraId="1F064FC8">
      <w:pPr>
        <w:tabs>
          <w:tab w:val="left" w:pos="-1500"/>
          <w:tab w:val="left" w:pos="780"/>
        </w:tabs>
        <w:spacing w:before="158"/>
        <w:ind w:firstLine="422"/>
        <w:jc w:val="center"/>
        <w:rPr>
          <w:rFonts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关于设计变更及现场签证管理规定</w:t>
      </w:r>
    </w:p>
    <w:p w14:paraId="3B5509D7">
      <w:pPr>
        <w:spacing w:line="360" w:lineRule="auto"/>
        <w:ind w:firstLine="170" w:firstLineChars="71"/>
        <w:rPr>
          <w:rFonts w:ascii="仿宋" w:hAnsi="仿宋" w:eastAsia="仿宋" w:cs="仿宋"/>
          <w:bCs/>
          <w:color w:val="auto"/>
          <w:sz w:val="24"/>
          <w:highlight w:val="none"/>
        </w:rPr>
      </w:pPr>
    </w:p>
    <w:p w14:paraId="1057DC65">
      <w:pPr>
        <w:numPr>
          <w:ilvl w:val="0"/>
          <w:numId w:val="5"/>
        </w:numPr>
        <w:tabs>
          <w:tab w:val="left" w:pos="-1500"/>
          <w:tab w:val="left" w:pos="780"/>
        </w:tabs>
        <w:spacing w:line="360" w:lineRule="auto"/>
        <w:ind w:firstLine="422"/>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关于设计变更及现场签证办理的规定</w:t>
      </w:r>
    </w:p>
    <w:p w14:paraId="69CA7E4C">
      <w:pPr>
        <w:tabs>
          <w:tab w:val="left" w:pos="900"/>
        </w:tabs>
        <w:autoSpaceDE w:val="0"/>
        <w:autoSpaceDN w:val="0"/>
        <w:adjustRightInd w:val="0"/>
        <w:spacing w:line="360" w:lineRule="auto"/>
        <w:ind w:firstLine="420"/>
        <w:rPr>
          <w:rFonts w:ascii="仿宋" w:hAnsi="仿宋" w:eastAsia="仿宋" w:cs="仿宋"/>
          <w:color w:val="auto"/>
          <w:sz w:val="24"/>
          <w:highlight w:val="none"/>
          <w:lang w:val="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zh-CN"/>
        </w:rPr>
        <w:t>就总承包施工工程范围内的有关工作，发包人随时可以向承包人发出指令，承包人应执行发包人根据本合同所发出的所有指令。</w:t>
      </w:r>
      <w:r>
        <w:rPr>
          <w:rFonts w:hint="eastAsia" w:ascii="仿宋" w:hAnsi="仿宋" w:eastAsia="仿宋" w:cs="仿宋"/>
          <w:color w:val="auto"/>
          <w:sz w:val="24"/>
          <w:highlight w:val="none"/>
        </w:rPr>
        <w:t>所有的设计变更及现场签证都需经过</w:t>
      </w:r>
      <w:r>
        <w:rPr>
          <w:rFonts w:hint="eastAsia" w:ascii="仿宋" w:hAnsi="仿宋" w:eastAsia="仿宋" w:cs="仿宋"/>
          <w:color w:val="auto"/>
          <w:sz w:val="24"/>
          <w:highlight w:val="none"/>
          <w:lang w:val="en-US" w:eastAsia="zh-CN"/>
        </w:rPr>
        <w:t>监理、第三方造价咨询单位（如有）、发包人盖章</w:t>
      </w:r>
      <w:r>
        <w:rPr>
          <w:rFonts w:hint="eastAsia" w:ascii="仿宋" w:hAnsi="仿宋" w:eastAsia="仿宋" w:cs="仿宋"/>
          <w:color w:val="auto"/>
          <w:sz w:val="24"/>
          <w:highlight w:val="none"/>
        </w:rPr>
        <w:t>审批通过后方可实施。</w:t>
      </w:r>
    </w:p>
    <w:p w14:paraId="6C843784">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设计变更及现场签证的上报、会签及审批均应遵循严格的时间规定。逾期不报、会签及审批不及时等导致变更实施或结算延误的，均应承担相应责任。</w:t>
      </w:r>
    </w:p>
    <w:p w14:paraId="219ACC89">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发包人发出的设计变更单、现场签证单，应加盖合同规定的发包人印章，否则承包人可以不接受；承包人完工后申报的变更结算书，应加盖合同规定的承包人印章，否则发包人将不予结算费用。</w:t>
      </w:r>
    </w:p>
    <w:p w14:paraId="6833C2CE">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合同履约中，发包人、承包人双方填制的变更通知单都应使用发包人公司规定的标准表格（附表</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-1~4），否则发包人可以不予审核费用，承包人承担相关责任。</w:t>
      </w:r>
    </w:p>
    <w:p w14:paraId="6DC2E5B6">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承包人完成发包人发出变更通知单的全部施工内容，并在合格并确认工程量后5个日历天内（不含法定节假日，从监理及发包人工地代表确认完工情况的日期计算），必须发起现场签证、设计变更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并取得监理、第三方造价咨询单位（如有）、发包人</w:t>
      </w:r>
      <w:r>
        <w:rPr>
          <w:rFonts w:hint="eastAsia" w:ascii="仿宋" w:hAnsi="仿宋" w:eastAsia="仿宋" w:cs="仿宋"/>
          <w:color w:val="auto"/>
          <w:sz w:val="24"/>
          <w:highlight w:val="none"/>
        </w:rPr>
        <w:t>确认，否则视为合同变更失效，不予计取相应的变更结算。</w:t>
      </w:r>
    </w:p>
    <w:p w14:paraId="28657D53">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发包人、承包人对变更通知单分类连续编号，发包人、承包人双方都应做好变更的交付记录，资料交付时</w:t>
      </w:r>
      <w:r>
        <w:rPr>
          <w:rFonts w:hint="eastAsia" w:ascii="仿宋" w:hAnsi="仿宋" w:eastAsia="仿宋" w:cs="仿宋"/>
          <w:color w:val="auto"/>
          <w:sz w:val="24"/>
          <w:highlight w:val="none"/>
          <w:lang w:eastAsia="zh-CN"/>
        </w:rPr>
        <w:t>接收方</w:t>
      </w:r>
      <w:r>
        <w:rPr>
          <w:rFonts w:hint="eastAsia" w:ascii="仿宋" w:hAnsi="仿宋" w:eastAsia="仿宋" w:cs="仿宋"/>
          <w:color w:val="auto"/>
          <w:sz w:val="24"/>
          <w:highlight w:val="none"/>
        </w:rPr>
        <w:t>不得拒签。</w:t>
      </w:r>
    </w:p>
    <w:p w14:paraId="58024C44">
      <w:pPr>
        <w:tabs>
          <w:tab w:val="left" w:pos="-1500"/>
          <w:tab w:val="left" w:pos="780"/>
        </w:tabs>
        <w:spacing w:line="360" w:lineRule="auto"/>
        <w:ind w:firstLine="422"/>
        <w:rPr>
          <w:rFonts w:ascii="仿宋" w:hAnsi="仿宋" w:eastAsia="仿宋" w:cs="仿宋"/>
          <w:b/>
          <w:bCs/>
          <w:color w:val="auto"/>
          <w:sz w:val="24"/>
          <w:highlight w:val="none"/>
        </w:rPr>
      </w:pPr>
      <w:r>
        <w:rPr>
          <w:rFonts w:hint="eastAsia" w:ascii="仿宋" w:hAnsi="仿宋" w:eastAsia="仿宋" w:cs="仿宋"/>
          <w:b/>
          <w:bCs/>
          <w:color w:val="auto"/>
          <w:sz w:val="24"/>
          <w:highlight w:val="none"/>
        </w:rPr>
        <w:t>（二）关于价款变更的规定</w:t>
      </w:r>
    </w:p>
    <w:p w14:paraId="4D728DA9">
      <w:pPr>
        <w:tabs>
          <w:tab w:val="left" w:pos="-1500"/>
          <w:tab w:val="left" w:pos="780"/>
        </w:tabs>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若承包范围与内容发生变更（包括：承包范围、工作内容或所使用的主要材料发生变更），对变更的工程量（该工程量必须以书面形式报发包人审核同意）作调整，综合合价包干的</w:t>
      </w:r>
      <w:r>
        <w:rPr>
          <w:rFonts w:hint="eastAsia" w:ascii="仿宋" w:hAnsi="仿宋" w:eastAsia="仿宋" w:cs="仿宋"/>
          <w:color w:val="auto"/>
          <w:spacing w:val="4"/>
          <w:sz w:val="24"/>
          <w:highlight w:val="none"/>
        </w:rPr>
        <w:t>措施项目费及其他项目费不予计取。</w:t>
      </w:r>
      <w:r>
        <w:rPr>
          <w:rFonts w:hint="eastAsia" w:ascii="仿宋" w:hAnsi="仿宋" w:eastAsia="仿宋" w:cs="仿宋"/>
          <w:color w:val="auto"/>
          <w:sz w:val="24"/>
          <w:highlight w:val="none"/>
        </w:rPr>
        <w:t>计价原则</w:t>
      </w:r>
      <w:r>
        <w:rPr>
          <w:rFonts w:hint="eastAsia" w:ascii="仿宋" w:hAnsi="仿宋" w:eastAsia="仿宋" w:cs="仿宋"/>
          <w:color w:val="auto"/>
          <w:sz w:val="24"/>
          <w:highlight w:val="none"/>
          <w:lang w:val="en-US" w:eastAsia="zh-CN"/>
        </w:rPr>
        <w:t>参考合同条款第34点执行。</w:t>
      </w:r>
    </w:p>
    <w:p w14:paraId="7F9A0A5D">
      <w:pPr>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因承包人自身原因导致的工程变更，承包人无权要求追加合同价款。</w:t>
      </w:r>
    </w:p>
    <w:p w14:paraId="7019EA2D">
      <w:pPr>
        <w:tabs>
          <w:tab w:val="left" w:pos="-1500"/>
          <w:tab w:val="left" w:pos="780"/>
        </w:tabs>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（三）关于变更计量的规定</w:t>
      </w:r>
    </w:p>
    <w:p w14:paraId="5F3F288C">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合同变更的计量，原则上除配合施工现场发生的与主体工程施工无关的零星用工、零星台班、零星材料以及与主体工程施工有关的零星项目而工程量不能核定，可以以台班、工日、项为计量单位外（此种情况必须阐明原因），</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能以图纸进行计量的，必须按图纸进行计量。计时工、机械台班必须严格按实统计，不得以考虑定额价和市场价不对等为由而增加数量。当发生计日工、机械台班等零星工程时，采用一日一签的方式进行计量记录，并对施工班组的人员名单及停滞大型设备机械的照片（如吊车、塔吊、挖掘机等）作书面记录和照片进行确认。</w:t>
      </w:r>
    </w:p>
    <w:p w14:paraId="44E21832">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若能以图纸计量却采用现场签工、签量的方式进行计量的，一律无效。工程量必须依据合同约定（通常包括工程量计算规范和综合定额）的工程量计算规则计取。</w:t>
      </w:r>
    </w:p>
    <w:p w14:paraId="659C8052">
      <w:pPr>
        <w:tabs>
          <w:tab w:val="left" w:pos="-1500"/>
          <w:tab w:val="left" w:pos="780"/>
        </w:tabs>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（四）关于变更结算的规定</w:t>
      </w:r>
    </w:p>
    <w:p w14:paraId="69E88A24">
      <w:pPr>
        <w:tabs>
          <w:tab w:val="left" w:pos="-1500"/>
          <w:tab w:val="left" w:pos="780"/>
        </w:tabs>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一份变更费用审核书只能计算一份设计变更或现场签证。若设计变更、现场签证的内容涉及不同合同，承包人应依据合同范围分列结算单办理结算。发包人不接受承包人将多份或者合同范围不同的设计变更、现场签证列入同一个结算单中，也不接受承包人将相同合同范围的一份设计变更、现场签证拆分到多个结算单中。</w:t>
      </w:r>
    </w:p>
    <w:p w14:paraId="44F9E2A7">
      <w:pPr>
        <w:tabs>
          <w:tab w:val="left" w:pos="-1500"/>
          <w:tab w:val="left" w:pos="780"/>
        </w:tabs>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设计变更、现场签证办理结算前承包人准备申报资料包括但不限于以下内容：</w:t>
      </w:r>
    </w:p>
    <w:p w14:paraId="327E5D7A">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（1）合同变更指令单及实施确认单；</w:t>
      </w:r>
    </w:p>
    <w:p w14:paraId="3A91BC51">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（2）工程量及造价计算书（计价软件）；</w:t>
      </w:r>
    </w:p>
    <w:p w14:paraId="13F6D881">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（3）新增（变更）综合单价的审批文件；</w:t>
      </w:r>
    </w:p>
    <w:p w14:paraId="743B6D53">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（4）施工方案（涉及施工方案的附审核通过的施工方案）；</w:t>
      </w:r>
    </w:p>
    <w:p w14:paraId="4E152121">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（5）现场测量记录（或拆除、隐蔽工程清晰的影像资料等）； </w:t>
      </w:r>
    </w:p>
    <w:p w14:paraId="56368EC7">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（6）设计变更应提供设计变更图纸；</w:t>
      </w:r>
    </w:p>
    <w:p w14:paraId="4019FA69">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（7）现场签证完工确认表及相关照片；</w:t>
      </w:r>
    </w:p>
    <w:p w14:paraId="3A2AA134">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（8）价差调整和品牌更换的依据材料；</w:t>
      </w:r>
    </w:p>
    <w:p w14:paraId="710D6388">
      <w:pP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会议纪要、图纸会审记录、工作联系单等合同变更相关资料。</w:t>
      </w:r>
    </w:p>
    <w:p w14:paraId="30E425B3">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报价文件约定材料品牌或型号发生变化时，以及甲招乙供材料品牌或型号发生变化时，增减造价计价方式为：（变更后的主材单价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原主材单价）×工程量×（1+损耗率）×(1+税率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7BE58A6F">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若在原施工图或承包范围外增加工程，其计价方法为：增加工程量×综合单价×(1+税率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，属于按系数计算措施费不予计算，其他按工程量计算的措施费按实调整（合同约定措施费包干除外），综合单价的确定原则参考本附件第（二）条。</w:t>
      </w:r>
    </w:p>
    <w:p w14:paraId="265F6A16">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若因施工图或承包范围与内容发生变更，及增加或减少工程量，当引起本工程合同造价增加幅度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X</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≥10%时，按以上条款进行计价并由承、发包双方签订补充合同。</w:t>
      </w:r>
    </w:p>
    <w:p w14:paraId="6F84D70B">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因发包人要求或现场实际情况须对设计图纸进行修改，从而造成承包人返工的，经设计单位和发包人确认后，所引起的工程量增减按实际结算。对由于承包人原因导致的设计变更，费用由承包人承担，且工期不予顺延。</w:t>
      </w:r>
    </w:p>
    <w:p w14:paraId="061BD7D1">
      <w:pPr>
        <w:tabs>
          <w:tab w:val="left" w:pos="-1500"/>
          <w:tab w:val="left" w:pos="780"/>
        </w:tabs>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b/>
          <w:bCs/>
          <w:color w:val="auto"/>
          <w:sz w:val="24"/>
          <w:highlight w:val="none"/>
          <w:lang w:eastAsia="zh-CN"/>
        </w:rPr>
        <w:t>其他约定</w:t>
      </w:r>
    </w:p>
    <w:p w14:paraId="02CC7A84">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承包人必须对所报的材料设备作充分的市场调查，在施工过程中不得以缺货或货源不足、涨价等原因提出变更。如承包人确需变更，须经发包人和监理人许可，由承包人提供三种以上不低于原标书（承诺）标准的材料供发包人选定，其价格不予调整。</w:t>
      </w:r>
    </w:p>
    <w:p w14:paraId="206C2570">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施工使用的设备、材料，无论其供应方式是乙供、甲定乙供，承包人应在使用前先提供样品和相关材料，经发包人和监理人审查许可后方能使用。若承包人采购的材料设备不符合设计、规范要求，或未能通过发包人和监理人的审查许可，发包人和监理人有权决定该项设备材料是否改为甲供方式，承包人应无条件接受，并承担相关货款和采购费用及由此引起的一切经济损失，且继续承担该部分材料管理及工地保管的责任，所发生的费用变化在当期进度款中扣减和调整。承包人应精心组织施工并节约材料，材料的消耗量由承包人包干承担。</w:t>
      </w:r>
    </w:p>
    <w:p w14:paraId="60BB81A0">
      <w:pPr>
        <w:spacing w:line="360" w:lineRule="auto"/>
        <w:ind w:firstLine="420"/>
        <w:contextualSpacing/>
        <w:rPr>
          <w:rFonts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变更结算申报的内容必须完整、准确，不得虚报瞒报，并应尽量与事前申报的估算审定价相当。若结算报价超过最终审定价5%</w:t>
      </w:r>
      <w:r>
        <w:rPr>
          <w:rFonts w:hint="eastAsia" w:ascii="仿宋" w:hAnsi="仿宋" w:eastAsia="仿宋" w:cs="仿宋"/>
          <w:color w:val="auto"/>
          <w:sz w:val="24"/>
          <w:highlight w:val="none"/>
          <w:lang w:eastAsia="zh-CN"/>
        </w:rPr>
        <w:t>（以</w:t>
      </w:r>
      <w:r>
        <w:rPr>
          <w:rFonts w:hint="eastAsia" w:ascii="仿宋" w:hAnsi="仿宋" w:eastAsia="仿宋" w:cs="仿宋"/>
          <w:color w:val="auto"/>
          <w:sz w:val="24"/>
          <w:highlight w:val="none"/>
        </w:rPr>
        <w:t>发包方审核为准），发包人有权按下式扣减承包人违约金：</w:t>
      </w:r>
    </w:p>
    <w:p w14:paraId="39C8DEDC">
      <w:pPr>
        <w:spacing w:line="360" w:lineRule="auto"/>
        <w:ind w:firstLine="42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核减额=</w:t>
      </w:r>
      <w:r>
        <w:rPr>
          <w:rFonts w:hint="eastAsia" w:ascii="仿宋" w:hAnsi="仿宋" w:eastAsia="仿宋" w:cs="仿宋"/>
          <w:snapToGrid w:val="0"/>
          <w:color w:val="auto"/>
          <w:sz w:val="24"/>
          <w:highlight w:val="none"/>
        </w:rPr>
        <w:t>承</w:t>
      </w:r>
      <w:r>
        <w:rPr>
          <w:rFonts w:hint="eastAsia" w:ascii="仿宋" w:hAnsi="仿宋" w:eastAsia="仿宋" w:cs="仿宋"/>
          <w:color w:val="auto"/>
          <w:sz w:val="24"/>
          <w:highlight w:val="none"/>
        </w:rPr>
        <w:t>包人编报金额-发包人最终审核金额</w:t>
      </w:r>
    </w:p>
    <w:p w14:paraId="0AB634BD">
      <w:pP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核减率=</w:t>
      </w:r>
      <w:r>
        <w:rPr>
          <w:rFonts w:hint="eastAsia" w:ascii="仿宋" w:hAnsi="仿宋" w:eastAsia="仿宋" w:cs="仿宋"/>
          <w:color w:val="auto"/>
          <w:sz w:val="24"/>
          <w:highlight w:val="none"/>
        </w:rPr>
        <w:t>核减额/</w:t>
      </w:r>
      <w:r>
        <w:rPr>
          <w:rFonts w:hint="eastAsia" w:ascii="仿宋" w:hAnsi="仿宋" w:eastAsia="仿宋" w:cs="仿宋"/>
          <w:snapToGrid w:val="0"/>
          <w:color w:val="auto"/>
          <w:sz w:val="24"/>
          <w:highlight w:val="none"/>
        </w:rPr>
        <w:t>承</w:t>
      </w:r>
      <w:r>
        <w:rPr>
          <w:rFonts w:hint="eastAsia" w:ascii="仿宋" w:hAnsi="仿宋" w:eastAsia="仿宋" w:cs="仿宋"/>
          <w:color w:val="auto"/>
          <w:sz w:val="24"/>
          <w:highlight w:val="none"/>
        </w:rPr>
        <w:t>包人编报金额</w:t>
      </w:r>
      <w:r>
        <w:rPr>
          <w:rFonts w:hint="eastAsia" w:ascii="仿宋" w:hAnsi="仿宋" w:eastAsia="仿宋" w:cs="仿宋"/>
          <w:snapToGrid w:val="0"/>
          <w:color w:val="auto"/>
          <w:sz w:val="24"/>
          <w:highlight w:val="none"/>
        </w:rPr>
        <w:t>*100%。</w:t>
      </w:r>
    </w:p>
    <w:p w14:paraId="56D71CD3">
      <w:pP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（1）若5%＜核减率≤10%，承包人</w:t>
      </w:r>
      <w:r>
        <w:rPr>
          <w:rFonts w:hint="eastAsia" w:ascii="仿宋" w:hAnsi="仿宋" w:eastAsia="仿宋" w:cs="仿宋"/>
          <w:color w:val="auto"/>
          <w:sz w:val="24"/>
          <w:highlight w:val="none"/>
        </w:rPr>
        <w:t>承担违约费用=（核减率-5%）×承包人编报金额×5%。</w:t>
      </w:r>
    </w:p>
    <w:p w14:paraId="3AB7D194">
      <w:pP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（2）若核减率＞10%，承包人承担违约费用</w:t>
      </w:r>
      <w:r>
        <w:rPr>
          <w:rFonts w:hint="eastAsia" w:ascii="仿宋" w:hAnsi="仿宋" w:eastAsia="仿宋" w:cs="仿宋"/>
          <w:color w:val="auto"/>
          <w:sz w:val="24"/>
          <w:highlight w:val="none"/>
        </w:rPr>
        <w:t>=</w:t>
      </w:r>
      <w:r>
        <w:rPr>
          <w:rFonts w:hint="eastAsia" w:ascii="仿宋" w:hAnsi="仿宋" w:eastAsia="仿宋" w:cs="仿宋"/>
          <w:snapToGrid w:val="0"/>
          <w:color w:val="auto"/>
          <w:sz w:val="24"/>
          <w:highlight w:val="none"/>
        </w:rPr>
        <w:t>核减额×5%。</w:t>
      </w:r>
    </w:p>
    <w:p w14:paraId="684DCEC8">
      <w:pP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（3）签证、变更的违约费用在审核造价中扣减；结算审核的违约费用在结算款支付中扣减。</w:t>
      </w:r>
    </w:p>
    <w:p w14:paraId="286D2933">
      <w:pP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14:paraId="00BB3FEA">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对于隐蔽工程和事后无法计算工程量的变更、签证，承包人必须在覆盖或拆除前，会同监理人、发包人现场共同完成工程量的确认，否则发包人对此费用不予计取。</w:t>
      </w:r>
    </w:p>
    <w:p w14:paraId="6C991F40">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因变更或签证涉及到可重复利用的材料时，承包人应在合同变更申请阶段提出材料的可重复利用情况，并由监理人、发包人签署明确的意见，否则视为拆除后的材料100%可回收利用。</w:t>
      </w:r>
    </w:p>
    <w:p w14:paraId="2A8786B9">
      <w:pP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承包人在结算时才申报的相关变更签证，一律不予认可、不予结算。</w:t>
      </w:r>
    </w:p>
    <w:p w14:paraId="60C4DA9D">
      <w:pPr>
        <w:autoSpaceDE w:val="0"/>
        <w:autoSpaceDN w:val="0"/>
        <w:adjustRightInd w:val="0"/>
        <w:spacing w:line="360" w:lineRule="auto"/>
        <w:ind w:firstLine="482"/>
        <w:rPr>
          <w:rFonts w:ascii="仿宋" w:hAnsi="仿宋" w:eastAsia="仿宋" w:cs="仿宋"/>
          <w:b/>
          <w:bCs/>
          <w:color w:val="auto"/>
          <w:sz w:val="24"/>
          <w:highlight w:val="none"/>
        </w:rPr>
      </w:pPr>
    </w:p>
    <w:p w14:paraId="66814C43">
      <w:pPr>
        <w:pStyle w:val="21"/>
        <w:ind w:firstLine="241"/>
        <w:rPr>
          <w:rFonts w:ascii="仿宋" w:hAnsi="仿宋" w:eastAsia="仿宋" w:cs="仿宋"/>
          <w:b/>
          <w:bCs/>
          <w:color w:val="auto"/>
          <w:sz w:val="24"/>
          <w:highlight w:val="none"/>
        </w:rPr>
      </w:pPr>
    </w:p>
    <w:p w14:paraId="0AD89CD5">
      <w:pPr>
        <w:pStyle w:val="22"/>
        <w:ind w:firstLine="482"/>
        <w:rPr>
          <w:rFonts w:ascii="仿宋" w:hAnsi="仿宋" w:eastAsia="仿宋" w:cs="仿宋"/>
          <w:b/>
          <w:bCs/>
          <w:color w:val="auto"/>
          <w:highlight w:val="none"/>
        </w:rPr>
      </w:pPr>
    </w:p>
    <w:p w14:paraId="6AB3F6E9">
      <w:pPr>
        <w:pStyle w:val="22"/>
        <w:ind w:firstLine="482"/>
        <w:rPr>
          <w:rFonts w:ascii="仿宋" w:hAnsi="仿宋" w:eastAsia="仿宋" w:cs="仿宋"/>
          <w:b/>
          <w:bCs/>
          <w:color w:val="auto"/>
          <w:highlight w:val="none"/>
        </w:rPr>
      </w:pPr>
    </w:p>
    <w:p w14:paraId="4979D8B1">
      <w:pPr>
        <w:pStyle w:val="22"/>
        <w:ind w:firstLine="482"/>
        <w:rPr>
          <w:rFonts w:ascii="仿宋" w:hAnsi="仿宋" w:eastAsia="仿宋" w:cs="仿宋"/>
          <w:b/>
          <w:bCs/>
          <w:color w:val="auto"/>
          <w:highlight w:val="none"/>
        </w:rPr>
      </w:pPr>
    </w:p>
    <w:p w14:paraId="18112879">
      <w:pPr>
        <w:pStyle w:val="22"/>
        <w:ind w:firstLine="482"/>
        <w:rPr>
          <w:rFonts w:ascii="仿宋" w:hAnsi="仿宋" w:eastAsia="仿宋" w:cs="仿宋"/>
          <w:b/>
          <w:bCs/>
          <w:color w:val="auto"/>
          <w:highlight w:val="none"/>
        </w:rPr>
      </w:pPr>
    </w:p>
    <w:p w14:paraId="74FADE0A">
      <w:pPr>
        <w:pStyle w:val="22"/>
        <w:ind w:firstLine="482"/>
        <w:rPr>
          <w:rFonts w:ascii="仿宋" w:hAnsi="仿宋" w:eastAsia="仿宋" w:cs="仿宋"/>
          <w:b/>
          <w:bCs/>
          <w:color w:val="auto"/>
          <w:highlight w:val="none"/>
        </w:rPr>
      </w:pPr>
    </w:p>
    <w:p w14:paraId="077EF8A3">
      <w:pPr>
        <w:pStyle w:val="22"/>
        <w:ind w:firstLine="482"/>
        <w:rPr>
          <w:rFonts w:ascii="仿宋" w:hAnsi="仿宋" w:eastAsia="仿宋" w:cs="仿宋"/>
          <w:b/>
          <w:bCs/>
          <w:color w:val="auto"/>
          <w:highlight w:val="none"/>
        </w:rPr>
      </w:pPr>
    </w:p>
    <w:p w14:paraId="77B3B5D4">
      <w:pPr>
        <w:pStyle w:val="22"/>
        <w:ind w:firstLine="482"/>
        <w:rPr>
          <w:rFonts w:ascii="仿宋" w:hAnsi="仿宋" w:eastAsia="仿宋" w:cs="仿宋"/>
          <w:b/>
          <w:bCs/>
          <w:color w:val="auto"/>
          <w:highlight w:val="none"/>
        </w:rPr>
      </w:pPr>
    </w:p>
    <w:p w14:paraId="2BE0B408">
      <w:pPr>
        <w:pStyle w:val="22"/>
        <w:ind w:firstLine="482"/>
        <w:rPr>
          <w:rFonts w:ascii="仿宋" w:hAnsi="仿宋" w:eastAsia="仿宋" w:cs="仿宋"/>
          <w:b/>
          <w:bCs/>
          <w:color w:val="auto"/>
          <w:highlight w:val="none"/>
        </w:rPr>
      </w:pPr>
    </w:p>
    <w:p w14:paraId="4EAC04EF">
      <w:pPr>
        <w:pStyle w:val="22"/>
        <w:ind w:firstLine="482"/>
        <w:rPr>
          <w:rFonts w:ascii="仿宋" w:hAnsi="仿宋" w:eastAsia="仿宋" w:cs="仿宋"/>
          <w:b/>
          <w:bCs/>
          <w:color w:val="auto"/>
          <w:highlight w:val="none"/>
        </w:rPr>
      </w:pPr>
    </w:p>
    <w:p w14:paraId="10E49E4B">
      <w:pPr>
        <w:pStyle w:val="22"/>
        <w:ind w:firstLine="482"/>
        <w:rPr>
          <w:rFonts w:ascii="仿宋" w:hAnsi="仿宋" w:eastAsia="仿宋" w:cs="仿宋"/>
          <w:b/>
          <w:bCs/>
          <w:color w:val="auto"/>
          <w:highlight w:val="none"/>
        </w:rPr>
      </w:pPr>
    </w:p>
    <w:p w14:paraId="571CBDA3">
      <w:pPr>
        <w:pStyle w:val="22"/>
        <w:ind w:firstLine="482"/>
        <w:rPr>
          <w:rFonts w:ascii="仿宋" w:hAnsi="仿宋" w:eastAsia="仿宋" w:cs="仿宋"/>
          <w:b/>
          <w:bCs/>
          <w:color w:val="auto"/>
          <w:highlight w:val="none"/>
        </w:rPr>
      </w:pPr>
    </w:p>
    <w:p w14:paraId="3243A3B9">
      <w:pPr>
        <w:pStyle w:val="22"/>
        <w:ind w:firstLine="482"/>
        <w:rPr>
          <w:rFonts w:ascii="仿宋" w:hAnsi="仿宋" w:eastAsia="仿宋" w:cs="仿宋"/>
          <w:b/>
          <w:bCs/>
          <w:color w:val="auto"/>
          <w:highlight w:val="none"/>
        </w:rPr>
      </w:pPr>
    </w:p>
    <w:p w14:paraId="787D28A9">
      <w:pPr>
        <w:pStyle w:val="22"/>
        <w:ind w:firstLine="482"/>
        <w:rPr>
          <w:rFonts w:ascii="仿宋" w:hAnsi="仿宋" w:eastAsia="仿宋" w:cs="仿宋"/>
          <w:b/>
          <w:bCs/>
          <w:color w:val="auto"/>
          <w:highlight w:val="none"/>
        </w:rPr>
      </w:pPr>
    </w:p>
    <w:p w14:paraId="16DCDB63">
      <w:pPr>
        <w:pStyle w:val="22"/>
        <w:ind w:firstLine="482"/>
        <w:rPr>
          <w:rFonts w:ascii="仿宋" w:hAnsi="仿宋" w:eastAsia="仿宋" w:cs="仿宋"/>
          <w:b/>
          <w:bCs/>
          <w:color w:val="auto"/>
          <w:highlight w:val="none"/>
        </w:rPr>
      </w:pPr>
    </w:p>
    <w:p w14:paraId="14853DB6">
      <w:pPr>
        <w:pStyle w:val="22"/>
        <w:ind w:firstLine="482"/>
        <w:rPr>
          <w:rFonts w:ascii="仿宋" w:hAnsi="仿宋" w:eastAsia="仿宋" w:cs="仿宋"/>
          <w:b/>
          <w:bCs/>
          <w:color w:val="auto"/>
          <w:highlight w:val="none"/>
        </w:rPr>
      </w:pPr>
    </w:p>
    <w:p w14:paraId="07067C47">
      <w:pPr>
        <w:pStyle w:val="22"/>
        <w:ind w:firstLine="482"/>
        <w:rPr>
          <w:rFonts w:ascii="仿宋" w:hAnsi="仿宋" w:eastAsia="仿宋" w:cs="仿宋"/>
          <w:b/>
          <w:bCs/>
          <w:color w:val="auto"/>
          <w:highlight w:val="none"/>
        </w:rPr>
      </w:pPr>
    </w:p>
    <w:p w14:paraId="6E1B1A89">
      <w:pPr>
        <w:pStyle w:val="22"/>
        <w:ind w:firstLine="482"/>
        <w:rPr>
          <w:rFonts w:ascii="仿宋" w:hAnsi="仿宋" w:eastAsia="仿宋" w:cs="仿宋"/>
          <w:b/>
          <w:bCs/>
          <w:color w:val="auto"/>
          <w:highlight w:val="none"/>
        </w:rPr>
      </w:pPr>
    </w:p>
    <w:p w14:paraId="63EECFA1">
      <w:pPr>
        <w:spacing w:before="158"/>
        <w:ind w:left="480"/>
        <w:rPr>
          <w:rFonts w:hint="eastAsia" w:ascii="仿宋" w:hAnsi="仿宋" w:eastAsia="仿宋" w:cs="仿宋"/>
          <w:color w:val="auto"/>
          <w:highlight w:val="none"/>
        </w:rPr>
      </w:pPr>
    </w:p>
    <w:p w14:paraId="28A6AFA0">
      <w:pPr>
        <w:spacing w:before="158"/>
        <w:ind w:left="480"/>
        <w:rPr>
          <w:rFonts w:hint="eastAsia" w:ascii="仿宋" w:hAnsi="仿宋" w:eastAsia="仿宋" w:cs="仿宋"/>
          <w:color w:val="auto"/>
          <w:highlight w:val="none"/>
        </w:rPr>
      </w:pPr>
    </w:p>
    <w:p w14:paraId="1992BFE3">
      <w:pPr>
        <w:spacing w:before="158"/>
        <w:ind w:left="480"/>
        <w:rPr>
          <w:rFonts w:ascii="仿宋" w:hAnsi="仿宋" w:eastAsia="仿宋" w:cs="仿宋"/>
          <w:color w:val="auto"/>
          <w:highlight w:val="none"/>
        </w:rPr>
      </w:pPr>
      <w:r>
        <w:rPr>
          <w:rFonts w:hint="eastAsia" w:ascii="仿宋" w:hAnsi="仿宋" w:eastAsia="仿宋" w:cs="仿宋"/>
          <w:color w:val="auto"/>
          <w:highlight w:val="none"/>
        </w:rPr>
        <w:t>附表</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-1</w:t>
      </w:r>
    </w:p>
    <w:p w14:paraId="226B5B38">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合同变更申请单</w:t>
      </w:r>
    </w:p>
    <w:p w14:paraId="0DF22771">
      <w:pPr>
        <w:tabs>
          <w:tab w:val="left" w:pos="1980"/>
        </w:tabs>
        <w:ind w:firstLine="1265" w:firstLineChars="600"/>
        <w:jc w:val="center"/>
        <w:rPr>
          <w:rFonts w:ascii="仿宋" w:hAnsi="仿宋" w:eastAsia="仿宋" w:cs="仿宋"/>
          <w:b/>
          <w:bCs/>
          <w:color w:val="auto"/>
          <w:sz w:val="18"/>
          <w:szCs w:val="18"/>
          <w:highlight w:val="none"/>
        </w:rPr>
      </w:pPr>
      <w:r>
        <w:rPr>
          <w:rFonts w:hint="eastAsia" w:ascii="仿宋" w:hAnsi="仿宋" w:eastAsia="仿宋" w:cs="仿宋"/>
          <w:b/>
          <w:bCs/>
          <w:color w:val="auto"/>
          <w:highlight w:val="none"/>
        </w:rPr>
        <w:t>变更单号：</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613"/>
        <w:gridCol w:w="1048"/>
        <w:gridCol w:w="1181"/>
        <w:gridCol w:w="1228"/>
        <w:gridCol w:w="571"/>
        <w:gridCol w:w="532"/>
        <w:gridCol w:w="2886"/>
      </w:tblGrid>
      <w:tr w14:paraId="19DF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30" w:type="pct"/>
            <w:gridSpan w:val="2"/>
            <w:tcBorders>
              <w:top w:val="single" w:color="auto" w:sz="4" w:space="0"/>
              <w:left w:val="single" w:color="auto" w:sz="4" w:space="0"/>
              <w:bottom w:val="single" w:color="auto" w:sz="4" w:space="0"/>
              <w:right w:val="single" w:color="auto" w:sz="4" w:space="0"/>
            </w:tcBorders>
            <w:vAlign w:val="center"/>
          </w:tcPr>
          <w:p w14:paraId="205993C6">
            <w:pP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2029" w:type="pct"/>
            <w:gridSpan w:val="3"/>
            <w:tcBorders>
              <w:top w:val="single" w:color="auto" w:sz="4" w:space="0"/>
              <w:left w:val="single" w:color="auto" w:sz="4" w:space="0"/>
              <w:bottom w:val="single" w:color="auto" w:sz="4" w:space="0"/>
              <w:right w:val="single" w:color="auto" w:sz="4" w:space="0"/>
            </w:tcBorders>
            <w:vAlign w:val="center"/>
          </w:tcPr>
          <w:p w14:paraId="28C4556A">
            <w:pPr>
              <w:tabs>
                <w:tab w:val="left" w:pos="1980"/>
              </w:tabs>
              <w:ind w:firstLine="480"/>
              <w:rPr>
                <w:rFonts w:ascii="仿宋" w:hAnsi="仿宋" w:eastAsia="仿宋" w:cs="仿宋"/>
                <w:color w:val="auto"/>
                <w:highlight w:val="none"/>
              </w:rPr>
            </w:pPr>
          </w:p>
        </w:tc>
        <w:tc>
          <w:tcPr>
            <w:tcW w:w="647" w:type="pct"/>
            <w:gridSpan w:val="2"/>
            <w:tcBorders>
              <w:top w:val="single" w:color="auto" w:sz="4" w:space="0"/>
              <w:left w:val="single" w:color="auto" w:sz="4" w:space="0"/>
              <w:bottom w:val="single" w:color="auto" w:sz="4" w:space="0"/>
              <w:right w:val="single" w:color="auto" w:sz="4" w:space="0"/>
            </w:tcBorders>
            <w:vAlign w:val="center"/>
          </w:tcPr>
          <w:p w14:paraId="671680C9">
            <w:pPr>
              <w:tabs>
                <w:tab w:val="left" w:pos="1980"/>
              </w:tabs>
              <w:rPr>
                <w:rFonts w:ascii="仿宋" w:hAnsi="仿宋" w:eastAsia="仿宋" w:cs="仿宋"/>
                <w:color w:val="auto"/>
                <w:highlight w:val="none"/>
              </w:rPr>
            </w:pPr>
            <w:r>
              <w:rPr>
                <w:rFonts w:hint="eastAsia" w:ascii="仿宋" w:hAnsi="仿宋" w:eastAsia="仿宋" w:cs="仿宋"/>
                <w:color w:val="auto"/>
                <w:highlight w:val="none"/>
              </w:rPr>
              <w:t>工程名称</w:t>
            </w:r>
          </w:p>
        </w:tc>
        <w:tc>
          <w:tcPr>
            <w:tcW w:w="1693" w:type="pct"/>
            <w:tcBorders>
              <w:top w:val="single" w:color="auto" w:sz="4" w:space="0"/>
              <w:left w:val="single" w:color="auto" w:sz="4" w:space="0"/>
              <w:bottom w:val="single" w:color="auto" w:sz="4" w:space="0"/>
              <w:right w:val="single" w:color="auto" w:sz="4" w:space="0"/>
            </w:tcBorders>
            <w:vAlign w:val="center"/>
          </w:tcPr>
          <w:p w14:paraId="7E56E1F4">
            <w:pPr>
              <w:tabs>
                <w:tab w:val="left" w:pos="1980"/>
              </w:tabs>
              <w:ind w:firstLine="480"/>
              <w:rPr>
                <w:rFonts w:ascii="仿宋" w:hAnsi="仿宋" w:eastAsia="仿宋" w:cs="仿宋"/>
                <w:color w:val="auto"/>
                <w:highlight w:val="none"/>
              </w:rPr>
            </w:pPr>
          </w:p>
        </w:tc>
      </w:tr>
      <w:tr w14:paraId="56C7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30" w:type="pct"/>
            <w:gridSpan w:val="2"/>
            <w:vMerge w:val="restart"/>
            <w:tcBorders>
              <w:top w:val="single" w:color="auto" w:sz="4" w:space="0"/>
              <w:left w:val="single" w:color="auto" w:sz="4" w:space="0"/>
              <w:bottom w:val="single" w:color="auto" w:sz="4" w:space="0"/>
              <w:right w:val="single" w:color="auto" w:sz="4" w:space="0"/>
            </w:tcBorders>
            <w:vAlign w:val="center"/>
          </w:tcPr>
          <w:p w14:paraId="35D3564E">
            <w:pP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变更原因</w:t>
            </w:r>
          </w:p>
        </w:tc>
        <w:tc>
          <w:tcPr>
            <w:tcW w:w="615" w:type="pct"/>
            <w:tcBorders>
              <w:top w:val="single" w:color="auto" w:sz="4" w:space="0"/>
              <w:left w:val="single" w:color="auto" w:sz="4" w:space="0"/>
              <w:bottom w:val="single" w:color="auto" w:sz="4" w:space="0"/>
              <w:right w:val="single" w:color="auto" w:sz="4" w:space="0"/>
            </w:tcBorders>
            <w:vAlign w:val="center"/>
          </w:tcPr>
          <w:p w14:paraId="354A7B76">
            <w:pPr>
              <w:tabs>
                <w:tab w:val="left" w:pos="1980"/>
              </w:tabs>
              <w:ind w:firstLine="105" w:firstLineChars="50"/>
              <w:rPr>
                <w:rFonts w:ascii="仿宋" w:hAnsi="仿宋" w:eastAsia="仿宋" w:cs="仿宋"/>
                <w:color w:val="auto"/>
                <w:highlight w:val="none"/>
              </w:rPr>
            </w:pPr>
            <w:r>
              <w:rPr>
                <w:rFonts w:hint="eastAsia" w:ascii="仿宋" w:hAnsi="仿宋" w:eastAsia="仿宋" w:cs="仿宋"/>
                <w:color w:val="auto"/>
                <w:highlight w:val="none"/>
              </w:rPr>
              <w:t>提出方</w:t>
            </w:r>
          </w:p>
        </w:tc>
        <w:tc>
          <w:tcPr>
            <w:tcW w:w="3754" w:type="pct"/>
            <w:gridSpan w:val="5"/>
            <w:tcBorders>
              <w:top w:val="single" w:color="auto" w:sz="4" w:space="0"/>
              <w:left w:val="single" w:color="auto" w:sz="4" w:space="0"/>
              <w:bottom w:val="single" w:color="auto" w:sz="4" w:space="0"/>
              <w:right w:val="single" w:color="auto" w:sz="4" w:space="0"/>
            </w:tcBorders>
            <w:vAlign w:val="center"/>
          </w:tcPr>
          <w:p w14:paraId="63A79E72">
            <w:pPr>
              <w:tabs>
                <w:tab w:val="left" w:pos="1980"/>
              </w:tabs>
              <w:rPr>
                <w:rFonts w:ascii="仿宋" w:hAnsi="仿宋" w:eastAsia="仿宋" w:cs="仿宋"/>
                <w:color w:val="auto"/>
                <w:highlight w:val="none"/>
              </w:rPr>
            </w:pPr>
            <w:r>
              <w:rPr>
                <w:rFonts w:hint="eastAsia" w:ascii="仿宋" w:hAnsi="仿宋" w:eastAsia="仿宋" w:cs="仿宋"/>
                <w:color w:val="auto"/>
                <w:sz w:val="18"/>
                <w:szCs w:val="18"/>
                <w:highlight w:val="none"/>
              </w:rPr>
              <w:t>建设单位</w:t>
            </w:r>
            <w:r>
              <w:rPr>
                <w:rFonts w:hint="eastAsia" w:ascii="仿宋" w:hAnsi="仿宋" w:eastAsia="仿宋" w:cs="仿宋"/>
                <w:color w:val="auto"/>
                <w:kern w:val="0"/>
                <w:sz w:val="18"/>
                <w:szCs w:val="18"/>
                <w:highlight w:val="none"/>
              </w:rPr>
              <w:t>口 设计单位口 施工单位（或</w:t>
            </w:r>
            <w:r>
              <w:rPr>
                <w:rFonts w:hint="eastAsia" w:ascii="仿宋" w:hAnsi="仿宋" w:eastAsia="仿宋" w:cs="仿宋"/>
                <w:color w:val="auto"/>
                <w:kern w:val="0"/>
                <w:sz w:val="18"/>
                <w:szCs w:val="18"/>
                <w:highlight w:val="none"/>
                <w:lang w:eastAsia="zh-CN"/>
              </w:rPr>
              <w:t>其他</w:t>
            </w:r>
            <w:r>
              <w:rPr>
                <w:rFonts w:hint="eastAsia" w:ascii="仿宋" w:hAnsi="仿宋" w:eastAsia="仿宋" w:cs="仿宋"/>
                <w:color w:val="auto"/>
                <w:kern w:val="0"/>
                <w:sz w:val="18"/>
                <w:szCs w:val="18"/>
                <w:highlight w:val="none"/>
              </w:rPr>
              <w:t>相关单位）口</w:t>
            </w:r>
          </w:p>
        </w:tc>
      </w:tr>
      <w:tr w14:paraId="286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0" w:type="pct"/>
            <w:gridSpan w:val="2"/>
            <w:vMerge w:val="continue"/>
            <w:tcBorders>
              <w:top w:val="single" w:color="auto" w:sz="4" w:space="0"/>
              <w:left w:val="single" w:color="auto" w:sz="4" w:space="0"/>
              <w:bottom w:val="single" w:color="auto" w:sz="4" w:space="0"/>
              <w:right w:val="single" w:color="auto" w:sz="4" w:space="0"/>
            </w:tcBorders>
            <w:vAlign w:val="center"/>
          </w:tcPr>
          <w:p w14:paraId="7C504F37">
            <w:pPr>
              <w:widowControl/>
              <w:jc w:val="left"/>
              <w:rPr>
                <w:rFonts w:ascii="仿宋" w:hAnsi="仿宋" w:eastAsia="仿宋" w:cs="仿宋"/>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5C066AF0">
            <w:pPr>
              <w:tabs>
                <w:tab w:val="left" w:pos="1980"/>
              </w:tabs>
              <w:rPr>
                <w:rFonts w:ascii="仿宋" w:hAnsi="仿宋" w:eastAsia="仿宋" w:cs="仿宋"/>
                <w:color w:val="auto"/>
                <w:highlight w:val="none"/>
              </w:rPr>
            </w:pPr>
            <w:r>
              <w:rPr>
                <w:rFonts w:hint="eastAsia" w:ascii="仿宋" w:hAnsi="仿宋" w:eastAsia="仿宋" w:cs="仿宋"/>
                <w:color w:val="auto"/>
                <w:highlight w:val="none"/>
              </w:rPr>
              <w:t>具体原因</w:t>
            </w:r>
          </w:p>
        </w:tc>
        <w:tc>
          <w:tcPr>
            <w:tcW w:w="3754" w:type="pct"/>
            <w:gridSpan w:val="5"/>
            <w:tcBorders>
              <w:top w:val="single" w:color="auto" w:sz="4" w:space="0"/>
              <w:left w:val="single" w:color="auto" w:sz="4" w:space="0"/>
              <w:bottom w:val="single" w:color="auto" w:sz="4" w:space="0"/>
              <w:right w:val="single" w:color="auto" w:sz="4" w:space="0"/>
            </w:tcBorders>
            <w:vAlign w:val="center"/>
          </w:tcPr>
          <w:p w14:paraId="039E2273">
            <w:pPr>
              <w:tabs>
                <w:tab w:val="left" w:pos="1980"/>
              </w:tabs>
              <w:spacing w:line="240" w:lineRule="atLeas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设计单位引起口  施工单位引起口  建设单位引起口</w:t>
            </w:r>
          </w:p>
          <w:p w14:paraId="3C0B643D">
            <w:pPr>
              <w:tabs>
                <w:tab w:val="left" w:pos="1980"/>
              </w:tabs>
              <w:rPr>
                <w:rFonts w:ascii="仿宋" w:hAnsi="仿宋" w:eastAsia="仿宋" w:cs="仿宋"/>
                <w:color w:val="auto"/>
                <w:highlight w:val="none"/>
              </w:rPr>
            </w:pPr>
            <w:r>
              <w:rPr>
                <w:rFonts w:hint="eastAsia" w:ascii="仿宋" w:hAnsi="仿宋" w:eastAsia="仿宋" w:cs="仿宋"/>
                <w:color w:val="auto"/>
                <w:kern w:val="0"/>
                <w:sz w:val="18"/>
                <w:szCs w:val="18"/>
                <w:highlight w:val="none"/>
                <w:lang w:eastAsia="zh-CN"/>
              </w:rPr>
              <w:t>其他</w:t>
            </w:r>
            <w:r>
              <w:rPr>
                <w:rFonts w:hint="eastAsia" w:ascii="仿宋" w:hAnsi="仿宋" w:eastAsia="仿宋" w:cs="仿宋"/>
                <w:color w:val="auto"/>
                <w:kern w:val="0"/>
                <w:sz w:val="18"/>
                <w:szCs w:val="18"/>
                <w:highlight w:val="none"/>
              </w:rPr>
              <w:t>：政府部门要求口  其他原因口（须说明）：</w:t>
            </w:r>
          </w:p>
        </w:tc>
      </w:tr>
      <w:tr w14:paraId="5E92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0" w:type="pct"/>
            <w:gridSpan w:val="2"/>
            <w:tcBorders>
              <w:top w:val="single" w:color="auto" w:sz="4" w:space="0"/>
              <w:left w:val="single" w:color="auto" w:sz="4" w:space="0"/>
              <w:bottom w:val="single" w:color="auto" w:sz="4" w:space="0"/>
              <w:right w:val="single" w:color="auto" w:sz="4" w:space="0"/>
            </w:tcBorders>
            <w:vAlign w:val="center"/>
          </w:tcPr>
          <w:p w14:paraId="3C2BE538">
            <w:pPr>
              <w:tabs>
                <w:tab w:val="left" w:pos="1980"/>
              </w:tabs>
              <w:ind w:firstLine="0" w:firstLineChars="0"/>
              <w:rPr>
                <w:rFonts w:ascii="仿宋" w:hAnsi="仿宋" w:eastAsia="仿宋" w:cs="仿宋"/>
                <w:color w:val="auto"/>
                <w:highlight w:val="none"/>
              </w:rPr>
            </w:pPr>
            <w:r>
              <w:rPr>
                <w:rFonts w:hint="eastAsia" w:ascii="仿宋" w:hAnsi="仿宋" w:eastAsia="仿宋" w:cs="仿宋"/>
                <w:color w:val="auto"/>
                <w:highlight w:val="none"/>
              </w:rPr>
              <w:t>涉及专业</w:t>
            </w:r>
          </w:p>
        </w:tc>
        <w:tc>
          <w:tcPr>
            <w:tcW w:w="1308" w:type="pct"/>
            <w:gridSpan w:val="2"/>
            <w:tcBorders>
              <w:top w:val="single" w:color="auto" w:sz="4" w:space="0"/>
              <w:left w:val="single" w:color="auto" w:sz="4" w:space="0"/>
              <w:bottom w:val="single" w:color="auto" w:sz="4" w:space="0"/>
              <w:right w:val="single" w:color="auto" w:sz="4" w:space="0"/>
            </w:tcBorders>
          </w:tcPr>
          <w:p w14:paraId="474C2119">
            <w:pPr>
              <w:tabs>
                <w:tab w:val="left" w:pos="1980"/>
              </w:tabs>
              <w:rPr>
                <w:rFonts w:ascii="仿宋" w:hAnsi="仿宋" w:eastAsia="仿宋" w:cs="仿宋"/>
                <w:color w:val="auto"/>
                <w:highlight w:val="none"/>
              </w:rPr>
            </w:pPr>
          </w:p>
        </w:tc>
        <w:tc>
          <w:tcPr>
            <w:tcW w:w="1056" w:type="pct"/>
            <w:gridSpan w:val="2"/>
            <w:tcBorders>
              <w:top w:val="single" w:color="auto" w:sz="4" w:space="0"/>
              <w:left w:val="single" w:color="auto" w:sz="4" w:space="0"/>
              <w:bottom w:val="single" w:color="auto" w:sz="4" w:space="0"/>
              <w:right w:val="single" w:color="auto" w:sz="4" w:space="0"/>
            </w:tcBorders>
            <w:vAlign w:val="center"/>
          </w:tcPr>
          <w:p w14:paraId="0018BF9E">
            <w:pP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建议费用责任单位</w:t>
            </w:r>
          </w:p>
        </w:tc>
        <w:tc>
          <w:tcPr>
            <w:tcW w:w="2004" w:type="pct"/>
            <w:gridSpan w:val="2"/>
            <w:tcBorders>
              <w:top w:val="single" w:color="auto" w:sz="4" w:space="0"/>
              <w:left w:val="single" w:color="auto" w:sz="4" w:space="0"/>
              <w:bottom w:val="single" w:color="auto" w:sz="4" w:space="0"/>
              <w:right w:val="single" w:color="auto" w:sz="4" w:space="0"/>
            </w:tcBorders>
          </w:tcPr>
          <w:p w14:paraId="48674145">
            <w:pPr>
              <w:tabs>
                <w:tab w:val="left" w:pos="1980"/>
              </w:tabs>
              <w:rPr>
                <w:rFonts w:ascii="仿宋" w:hAnsi="仿宋" w:eastAsia="仿宋" w:cs="仿宋"/>
                <w:color w:val="auto"/>
                <w:highlight w:val="none"/>
              </w:rPr>
            </w:pPr>
          </w:p>
        </w:tc>
      </w:tr>
      <w:tr w14:paraId="7D92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6" w:hRule="atLeast"/>
          <w:jc w:val="center"/>
        </w:trPr>
        <w:tc>
          <w:tcPr>
            <w:tcW w:w="270" w:type="pct"/>
            <w:vMerge w:val="restart"/>
            <w:tcBorders>
              <w:top w:val="single" w:color="auto" w:sz="4" w:space="0"/>
              <w:left w:val="single" w:color="auto" w:sz="4" w:space="0"/>
              <w:bottom w:val="single" w:color="auto" w:sz="4" w:space="0"/>
              <w:right w:val="single" w:color="auto" w:sz="4" w:space="0"/>
            </w:tcBorders>
            <w:vAlign w:val="center"/>
          </w:tcPr>
          <w:p w14:paraId="54171EB3">
            <w:pPr>
              <w:tabs>
                <w:tab w:val="left" w:pos="1980"/>
              </w:tabs>
              <w:jc w:val="center"/>
              <w:rPr>
                <w:rFonts w:ascii="仿宋" w:hAnsi="仿宋" w:eastAsia="仿宋" w:cs="仿宋"/>
                <w:color w:val="auto"/>
                <w:highlight w:val="none"/>
              </w:rPr>
            </w:pPr>
          </w:p>
          <w:p w14:paraId="6021DA05">
            <w:pPr>
              <w:tabs>
                <w:tab w:val="left" w:pos="1980"/>
              </w:tabs>
              <w:jc w:val="center"/>
              <w:rPr>
                <w:rFonts w:ascii="仿宋" w:hAnsi="仿宋" w:eastAsia="仿宋" w:cs="仿宋"/>
                <w:color w:val="auto"/>
                <w:highlight w:val="none"/>
              </w:rPr>
            </w:pPr>
          </w:p>
          <w:p w14:paraId="1BC06053">
            <w:pPr>
              <w:tabs>
                <w:tab w:val="left" w:pos="1980"/>
              </w:tabs>
              <w:jc w:val="center"/>
              <w:rPr>
                <w:rFonts w:ascii="仿宋" w:hAnsi="仿宋" w:eastAsia="仿宋" w:cs="仿宋"/>
                <w:color w:val="auto"/>
                <w:highlight w:val="none"/>
              </w:rPr>
            </w:pPr>
            <w:r>
              <w:rPr>
                <w:rFonts w:hint="eastAsia" w:ascii="仿宋" w:hAnsi="仿宋" w:eastAsia="仿宋" w:cs="仿宋"/>
                <w:color w:val="auto"/>
                <w:kern w:val="2"/>
                <w:sz w:val="21"/>
                <w:szCs w:val="20"/>
                <w:highlight w:val="none"/>
              </w:rPr>
              <w:t>施</w:t>
            </w:r>
          </w:p>
          <w:p w14:paraId="7FEC9DDA">
            <w:pP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工单位</w:t>
            </w:r>
          </w:p>
          <w:p w14:paraId="568E038F">
            <w:pPr>
              <w:tabs>
                <w:tab w:val="left" w:pos="1980"/>
              </w:tabs>
              <w:ind w:firstLine="480"/>
              <w:jc w:val="center"/>
              <w:rPr>
                <w:rFonts w:ascii="仿宋" w:hAnsi="仿宋" w:eastAsia="仿宋" w:cs="仿宋"/>
                <w:color w:val="auto"/>
                <w:highlight w:val="none"/>
              </w:rPr>
            </w:pPr>
          </w:p>
          <w:p w14:paraId="78B7070F">
            <w:pPr>
              <w:tabs>
                <w:tab w:val="left" w:pos="1980"/>
              </w:tabs>
              <w:rPr>
                <w:rFonts w:ascii="仿宋" w:hAnsi="仿宋" w:eastAsia="仿宋" w:cs="仿宋"/>
                <w:color w:val="auto"/>
                <w:highlight w:val="none"/>
              </w:rPr>
            </w:pPr>
          </w:p>
        </w:tc>
        <w:tc>
          <w:tcPr>
            <w:tcW w:w="4729" w:type="pct"/>
            <w:gridSpan w:val="7"/>
            <w:tcBorders>
              <w:top w:val="single" w:color="auto" w:sz="4" w:space="0"/>
              <w:left w:val="single" w:color="auto" w:sz="4" w:space="0"/>
              <w:bottom w:val="single" w:color="auto" w:sz="4" w:space="0"/>
              <w:right w:val="single" w:color="auto" w:sz="4" w:space="0"/>
            </w:tcBorders>
          </w:tcPr>
          <w:p w14:paraId="4B0A5A2A">
            <w:pPr>
              <w:rPr>
                <w:rFonts w:ascii="仿宋" w:hAnsi="仿宋" w:eastAsia="仿宋" w:cs="仿宋"/>
                <w:color w:val="auto"/>
                <w:highlight w:val="none"/>
              </w:rPr>
            </w:pPr>
            <w:r>
              <w:rPr>
                <w:rFonts w:hint="eastAsia" w:ascii="仿宋" w:hAnsi="仿宋" w:eastAsia="仿宋" w:cs="仿宋"/>
                <w:color w:val="auto"/>
                <w:highlight w:val="none"/>
              </w:rPr>
              <w:t>工程情况说明（可做附页），须注明工作内容、现场情况等；若产生费用，需注明预估费用（附件资料中必须提供申报费用造价书）。</w:t>
            </w:r>
          </w:p>
          <w:p w14:paraId="650FA20B">
            <w:pPr>
              <w:tabs>
                <w:tab w:val="left" w:pos="1980"/>
              </w:tabs>
              <w:rPr>
                <w:rFonts w:ascii="仿宋" w:hAnsi="仿宋" w:eastAsia="仿宋" w:cs="仿宋"/>
                <w:color w:val="auto"/>
                <w:highlight w:val="none"/>
              </w:rPr>
            </w:pPr>
          </w:p>
          <w:p w14:paraId="27CCB8A7">
            <w:pPr>
              <w:tabs>
                <w:tab w:val="left" w:pos="1980"/>
              </w:tabs>
              <w:rPr>
                <w:rFonts w:ascii="仿宋" w:hAnsi="仿宋" w:eastAsia="仿宋" w:cs="仿宋"/>
                <w:color w:val="auto"/>
                <w:highlight w:val="none"/>
              </w:rPr>
            </w:pPr>
          </w:p>
          <w:p w14:paraId="15C916EE">
            <w:pPr>
              <w:tabs>
                <w:tab w:val="left" w:pos="1980"/>
              </w:tabs>
              <w:rPr>
                <w:rFonts w:ascii="仿宋" w:hAnsi="仿宋" w:eastAsia="仿宋" w:cs="仿宋"/>
                <w:color w:val="auto"/>
                <w:highlight w:val="none"/>
              </w:rPr>
            </w:pPr>
          </w:p>
          <w:p w14:paraId="6CA3BA1E">
            <w:pPr>
              <w:tabs>
                <w:tab w:val="left" w:pos="1980"/>
              </w:tabs>
              <w:rPr>
                <w:rFonts w:ascii="仿宋" w:hAnsi="仿宋" w:eastAsia="仿宋" w:cs="仿宋"/>
                <w:color w:val="auto"/>
                <w:highlight w:val="none"/>
              </w:rPr>
            </w:pPr>
          </w:p>
          <w:p w14:paraId="2785F5FA">
            <w:pPr>
              <w:tabs>
                <w:tab w:val="left" w:pos="1980"/>
              </w:tabs>
              <w:rPr>
                <w:rFonts w:ascii="仿宋" w:hAnsi="仿宋" w:eastAsia="仿宋" w:cs="仿宋"/>
                <w:color w:val="auto"/>
                <w:highlight w:val="none"/>
              </w:rPr>
            </w:pPr>
          </w:p>
          <w:p w14:paraId="5CC0E01B">
            <w:pPr>
              <w:tabs>
                <w:tab w:val="left" w:pos="1980"/>
              </w:tabs>
              <w:ind w:firstLine="5250" w:firstLineChars="2500"/>
              <w:rPr>
                <w:rFonts w:ascii="仿宋" w:hAnsi="仿宋" w:eastAsia="仿宋" w:cs="仿宋"/>
                <w:color w:val="auto"/>
                <w:highlight w:val="none"/>
              </w:rPr>
            </w:pPr>
            <w:r>
              <w:rPr>
                <w:rFonts w:hint="eastAsia" w:ascii="仿宋" w:hAnsi="仿宋" w:eastAsia="仿宋" w:cs="仿宋"/>
                <w:color w:val="auto"/>
                <w:highlight w:val="none"/>
              </w:rPr>
              <w:t>项目经理（签字）：</w:t>
            </w:r>
          </w:p>
          <w:p w14:paraId="10585F25">
            <w:pPr>
              <w:tabs>
                <w:tab w:val="left" w:pos="1980"/>
              </w:tabs>
              <w:ind w:firstLine="5460" w:firstLineChars="2600"/>
              <w:rPr>
                <w:rFonts w:ascii="仿宋" w:hAnsi="仿宋" w:eastAsia="仿宋" w:cs="仿宋"/>
                <w:color w:val="auto"/>
                <w:highlight w:val="none"/>
              </w:rPr>
            </w:pPr>
            <w:r>
              <w:rPr>
                <w:rFonts w:hint="eastAsia" w:ascii="仿宋" w:hAnsi="仿宋" w:eastAsia="仿宋" w:cs="仿宋"/>
                <w:color w:val="auto"/>
                <w:highlight w:val="none"/>
              </w:rPr>
              <w:t>施工单位</w:t>
            </w:r>
            <w:r>
              <w:rPr>
                <w:rFonts w:hint="eastAsia" w:ascii="仿宋" w:hAnsi="仿宋" w:eastAsia="仿宋" w:cs="仿宋"/>
                <w:color w:val="auto"/>
                <w:highlight w:val="none"/>
                <w:lang w:eastAsia="zh-CN"/>
              </w:rPr>
              <w:t>（公</w:t>
            </w:r>
            <w:r>
              <w:rPr>
                <w:rFonts w:hint="eastAsia" w:ascii="仿宋" w:hAnsi="仿宋" w:eastAsia="仿宋" w:cs="仿宋"/>
                <w:color w:val="auto"/>
                <w:highlight w:val="none"/>
              </w:rPr>
              <w:t>章）</w:t>
            </w:r>
          </w:p>
          <w:p w14:paraId="44D41A0C">
            <w:pPr>
              <w:tabs>
                <w:tab w:val="left" w:pos="1980"/>
              </w:tabs>
              <w:ind w:firstLine="5460" w:firstLineChars="2600"/>
              <w:rPr>
                <w:rFonts w:ascii="仿宋" w:hAnsi="仿宋" w:eastAsia="仿宋" w:cs="仿宋"/>
                <w:color w:val="auto"/>
                <w:highlight w:val="none"/>
              </w:rPr>
            </w:pPr>
            <w:r>
              <w:rPr>
                <w:rFonts w:hint="eastAsia" w:ascii="仿宋" w:hAnsi="仿宋" w:eastAsia="仿宋" w:cs="仿宋"/>
                <w:color w:val="auto"/>
                <w:highlight w:val="none"/>
              </w:rPr>
              <w:t>日期：  年 月    日</w:t>
            </w:r>
          </w:p>
        </w:tc>
      </w:tr>
      <w:tr w14:paraId="5A02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70" w:type="pct"/>
            <w:vMerge w:val="continue"/>
            <w:tcBorders>
              <w:top w:val="single" w:color="auto" w:sz="4" w:space="0"/>
              <w:left w:val="single" w:color="auto" w:sz="4" w:space="0"/>
              <w:bottom w:val="single" w:color="auto" w:sz="4" w:space="0"/>
              <w:right w:val="single" w:color="auto" w:sz="4" w:space="0"/>
            </w:tcBorders>
            <w:vAlign w:val="center"/>
          </w:tcPr>
          <w:p w14:paraId="45F166B4">
            <w:pPr>
              <w:widowControl/>
              <w:jc w:val="left"/>
              <w:rPr>
                <w:rFonts w:ascii="仿宋" w:hAnsi="仿宋" w:eastAsia="仿宋" w:cs="仿宋"/>
                <w:color w:val="auto"/>
                <w:highlight w:val="none"/>
              </w:rPr>
            </w:pPr>
          </w:p>
        </w:tc>
        <w:tc>
          <w:tcPr>
            <w:tcW w:w="4729" w:type="pct"/>
            <w:gridSpan w:val="7"/>
            <w:tcBorders>
              <w:top w:val="single" w:color="auto" w:sz="4" w:space="0"/>
              <w:left w:val="single" w:color="auto" w:sz="4" w:space="0"/>
              <w:bottom w:val="single" w:color="auto" w:sz="4" w:space="0"/>
              <w:right w:val="single" w:color="auto" w:sz="4" w:space="0"/>
            </w:tcBorders>
          </w:tcPr>
          <w:p w14:paraId="7B06FC5F">
            <w:pPr>
              <w:tabs>
                <w:tab w:val="left" w:pos="1980"/>
              </w:tabs>
              <w:rPr>
                <w:rFonts w:ascii="仿宋" w:hAnsi="仿宋" w:eastAsia="仿宋" w:cs="仿宋"/>
                <w:color w:val="auto"/>
                <w:highlight w:val="none"/>
              </w:rPr>
            </w:pPr>
            <w:r>
              <w:rPr>
                <w:rFonts w:hint="eastAsia" w:ascii="仿宋" w:hAnsi="仿宋" w:eastAsia="仿宋" w:cs="仿宋"/>
                <w:color w:val="auto"/>
                <w:highlight w:val="none"/>
              </w:rPr>
              <w:t>附件资料：□联系单依据□申报费用造价书□照片□其他</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请注明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tc>
      </w:tr>
      <w:tr w14:paraId="2F43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214BE216">
            <w:pPr>
              <w:tabs>
                <w:tab w:val="left" w:pos="1980"/>
              </w:tabs>
              <w:rPr>
                <w:rFonts w:ascii="仿宋" w:hAnsi="仿宋" w:eastAsia="仿宋" w:cs="仿宋"/>
                <w:color w:val="auto"/>
                <w:highlight w:val="none"/>
              </w:rPr>
            </w:pPr>
            <w:r>
              <w:rPr>
                <w:rFonts w:hint="eastAsia" w:ascii="仿宋" w:hAnsi="仿宋" w:eastAsia="仿宋" w:cs="仿宋"/>
                <w:color w:val="auto"/>
                <w:highlight w:val="none"/>
              </w:rPr>
              <w:t>监理单位意见：</w:t>
            </w:r>
          </w:p>
          <w:p w14:paraId="2CB5E1E8">
            <w:pPr>
              <w:tabs>
                <w:tab w:val="left" w:pos="1980"/>
              </w:tabs>
              <w:rPr>
                <w:rFonts w:ascii="仿宋" w:hAnsi="仿宋" w:eastAsia="仿宋" w:cs="仿宋"/>
                <w:color w:val="auto"/>
                <w:highlight w:val="none"/>
              </w:rPr>
            </w:pPr>
          </w:p>
          <w:p w14:paraId="6C00F56E">
            <w:pPr>
              <w:tabs>
                <w:tab w:val="left" w:pos="1980"/>
              </w:tabs>
              <w:rPr>
                <w:rFonts w:ascii="仿宋" w:hAnsi="仿宋" w:eastAsia="仿宋" w:cs="仿宋"/>
                <w:color w:val="auto"/>
                <w:highlight w:val="none"/>
              </w:rPr>
            </w:pPr>
          </w:p>
          <w:p w14:paraId="37EA07EC">
            <w:pPr>
              <w:tabs>
                <w:tab w:val="left" w:pos="1980"/>
              </w:tabs>
              <w:ind w:firstLine="5985" w:firstLineChars="2850"/>
              <w:rPr>
                <w:rFonts w:ascii="仿宋" w:hAnsi="仿宋" w:eastAsia="仿宋" w:cs="仿宋"/>
                <w:color w:val="auto"/>
                <w:highlight w:val="none"/>
              </w:rPr>
            </w:pPr>
            <w:r>
              <w:rPr>
                <w:rFonts w:hint="eastAsia" w:ascii="仿宋" w:hAnsi="仿宋" w:eastAsia="仿宋" w:cs="仿宋"/>
                <w:color w:val="auto"/>
                <w:highlight w:val="none"/>
              </w:rPr>
              <w:t>签字：</w:t>
            </w:r>
          </w:p>
          <w:p w14:paraId="21221765">
            <w:pPr>
              <w:tabs>
                <w:tab w:val="left" w:pos="1980"/>
              </w:tabs>
              <w:ind w:firstLine="5460" w:firstLineChars="2600"/>
              <w:rPr>
                <w:rFonts w:ascii="仿宋" w:hAnsi="仿宋" w:eastAsia="仿宋" w:cs="仿宋"/>
                <w:color w:val="auto"/>
                <w:highlight w:val="none"/>
              </w:rPr>
            </w:pPr>
            <w:r>
              <w:rPr>
                <w:rFonts w:hint="eastAsia" w:ascii="仿宋" w:hAnsi="仿宋" w:eastAsia="仿宋" w:cs="仿宋"/>
                <w:color w:val="auto"/>
                <w:highlight w:val="none"/>
              </w:rPr>
              <w:t>监理单位</w:t>
            </w:r>
            <w:r>
              <w:rPr>
                <w:rFonts w:hint="eastAsia" w:ascii="仿宋" w:hAnsi="仿宋" w:eastAsia="仿宋" w:cs="仿宋"/>
                <w:color w:val="auto"/>
                <w:highlight w:val="none"/>
                <w:lang w:eastAsia="zh-CN"/>
              </w:rPr>
              <w:t>（公</w:t>
            </w:r>
            <w:r>
              <w:rPr>
                <w:rFonts w:hint="eastAsia" w:ascii="仿宋" w:hAnsi="仿宋" w:eastAsia="仿宋" w:cs="仿宋"/>
                <w:color w:val="auto"/>
                <w:highlight w:val="none"/>
              </w:rPr>
              <w:t>章）</w:t>
            </w:r>
          </w:p>
          <w:p w14:paraId="0F32F77D">
            <w:pPr>
              <w:tabs>
                <w:tab w:val="left" w:pos="1980"/>
              </w:tabs>
              <w:ind w:firstLine="6090" w:firstLineChars="2900"/>
              <w:rPr>
                <w:rFonts w:ascii="仿宋" w:hAnsi="仿宋" w:eastAsia="仿宋" w:cs="仿宋"/>
                <w:color w:val="auto"/>
                <w:highlight w:val="none"/>
              </w:rPr>
            </w:pPr>
            <w:r>
              <w:rPr>
                <w:rFonts w:hint="eastAsia" w:ascii="仿宋" w:hAnsi="仿宋" w:eastAsia="仿宋" w:cs="仿宋"/>
                <w:color w:val="auto"/>
                <w:highlight w:val="none"/>
              </w:rPr>
              <w:t>日期：</w:t>
            </w:r>
          </w:p>
        </w:tc>
      </w:tr>
      <w:tr w14:paraId="7010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0A6BEA90">
            <w:pPr>
              <w:tabs>
                <w:tab w:val="left" w:pos="1980"/>
              </w:tabs>
              <w:rPr>
                <w:rFonts w:ascii="仿宋" w:hAnsi="仿宋" w:eastAsia="仿宋" w:cs="仿宋"/>
                <w:color w:val="auto"/>
                <w:highlight w:val="none"/>
              </w:rPr>
            </w:pPr>
            <w:r>
              <w:rPr>
                <w:rFonts w:hint="eastAsia" w:ascii="仿宋" w:hAnsi="仿宋" w:eastAsia="仿宋" w:cs="仿宋"/>
                <w:color w:val="auto"/>
                <w:highlight w:val="none"/>
              </w:rPr>
              <w:t>建设单位意见</w:t>
            </w:r>
            <w:r>
              <w:rPr>
                <w:rFonts w:hint="eastAsia" w:ascii="仿宋" w:hAnsi="仿宋" w:eastAsia="仿宋" w:cs="仿宋"/>
                <w:color w:val="auto"/>
                <w:highlight w:val="none"/>
                <w:lang w:eastAsia="zh-CN"/>
              </w:rPr>
              <w:t>：</w:t>
            </w:r>
          </w:p>
          <w:p w14:paraId="0E2F7618">
            <w:pPr>
              <w:tabs>
                <w:tab w:val="left" w:pos="1980"/>
              </w:tabs>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项目工程管理岗</w:t>
            </w:r>
            <w:r>
              <w:rPr>
                <w:rFonts w:hint="eastAsia" w:ascii="仿宋" w:hAnsi="仿宋" w:eastAsia="仿宋" w:cs="仿宋"/>
                <w:color w:val="auto"/>
                <w:highlight w:val="none"/>
                <w:lang w:eastAsia="zh-CN"/>
              </w:rPr>
              <w:t>）</w:t>
            </w:r>
          </w:p>
          <w:p w14:paraId="0A0FEAFB">
            <w:pPr>
              <w:tabs>
                <w:tab w:val="left" w:pos="1980"/>
              </w:tabs>
              <w:ind w:firstLine="5775" w:firstLineChars="2750"/>
              <w:rPr>
                <w:rFonts w:ascii="仿宋" w:hAnsi="仿宋" w:eastAsia="仿宋" w:cs="仿宋"/>
                <w:color w:val="auto"/>
                <w:highlight w:val="none"/>
              </w:rPr>
            </w:pP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日期：</w:t>
            </w:r>
          </w:p>
          <w:p w14:paraId="4775862C">
            <w:pPr>
              <w:tabs>
                <w:tab w:val="left" w:pos="1980"/>
              </w:tabs>
              <w:rPr>
                <w:rFonts w:ascii="仿宋" w:hAnsi="仿宋" w:eastAsia="仿宋" w:cs="仿宋"/>
                <w:color w:val="auto"/>
                <w:highlight w:val="none"/>
              </w:rPr>
            </w:pPr>
            <w:r>
              <w:rPr>
                <w:rFonts w:hint="eastAsia" w:ascii="仿宋" w:hAnsi="仿宋" w:eastAsia="仿宋" w:cs="仿宋"/>
                <w:color w:val="auto"/>
                <w:highlight w:val="none"/>
              </w:rPr>
              <w:t>建设单位意见：</w:t>
            </w:r>
          </w:p>
          <w:p w14:paraId="53BAC7C3">
            <w:pPr>
              <w:tabs>
                <w:tab w:val="left" w:pos="1980"/>
              </w:tabs>
              <w:rPr>
                <w:rFonts w:ascii="仿宋" w:hAnsi="仿宋" w:eastAsia="仿宋" w:cs="仿宋"/>
                <w:color w:val="auto"/>
                <w:highlight w:val="none"/>
              </w:rPr>
            </w:pPr>
            <w:r>
              <w:rPr>
                <w:rFonts w:hint="eastAsia" w:ascii="仿宋" w:hAnsi="仿宋" w:eastAsia="仿宋" w:cs="仿宋"/>
                <w:color w:val="auto"/>
                <w:highlight w:val="none"/>
              </w:rPr>
              <w:t>（项目成本合约岗）</w:t>
            </w:r>
          </w:p>
          <w:p w14:paraId="75F6677D">
            <w:pPr>
              <w:tabs>
                <w:tab w:val="left" w:pos="1980"/>
              </w:tabs>
              <w:ind w:firstLine="5775" w:firstLineChars="2750"/>
              <w:rPr>
                <w:rFonts w:ascii="仿宋" w:hAnsi="仿宋" w:eastAsia="仿宋" w:cs="仿宋"/>
                <w:color w:val="auto"/>
                <w:highlight w:val="none"/>
              </w:rPr>
            </w:pPr>
            <w:r>
              <w:rPr>
                <w:rFonts w:hint="eastAsia" w:ascii="仿宋" w:hAnsi="仿宋" w:eastAsia="仿宋" w:cs="仿宋"/>
                <w:color w:val="auto"/>
                <w:highlight w:val="none"/>
              </w:rPr>
              <w:t>签字：日期：</w:t>
            </w:r>
          </w:p>
          <w:p w14:paraId="1A9CD698">
            <w:pPr>
              <w:tabs>
                <w:tab w:val="left" w:pos="1980"/>
              </w:tabs>
              <w:rPr>
                <w:rFonts w:ascii="仿宋" w:hAnsi="仿宋" w:eastAsia="仿宋" w:cs="仿宋"/>
                <w:color w:val="auto"/>
                <w:highlight w:val="none"/>
              </w:rPr>
            </w:pPr>
            <w:r>
              <w:rPr>
                <w:rFonts w:hint="eastAsia" w:ascii="仿宋" w:hAnsi="仿宋" w:eastAsia="仿宋" w:cs="仿宋"/>
                <w:color w:val="auto"/>
                <w:highlight w:val="none"/>
              </w:rPr>
              <w:t>建设单位意见：</w:t>
            </w:r>
          </w:p>
          <w:p w14:paraId="7935477F">
            <w:pPr>
              <w:tabs>
                <w:tab w:val="left" w:pos="1980"/>
              </w:tabs>
              <w:rPr>
                <w:rFonts w:ascii="仿宋" w:hAnsi="仿宋" w:eastAsia="仿宋" w:cs="仿宋"/>
                <w:color w:val="auto"/>
                <w:highlight w:val="none"/>
              </w:rPr>
            </w:pPr>
            <w:r>
              <w:rPr>
                <w:rFonts w:hint="eastAsia" w:ascii="仿宋" w:hAnsi="仿宋" w:eastAsia="仿宋" w:cs="仿宋"/>
                <w:color w:val="auto"/>
                <w:highlight w:val="none"/>
              </w:rPr>
              <w:t>（项目总经理）</w:t>
            </w:r>
          </w:p>
          <w:p w14:paraId="4964ABF0">
            <w:pPr>
              <w:tabs>
                <w:tab w:val="left" w:pos="1980"/>
              </w:tabs>
              <w:rPr>
                <w:rFonts w:ascii="仿宋" w:hAnsi="仿宋" w:eastAsia="仿宋" w:cs="仿宋"/>
                <w:color w:val="auto"/>
                <w:highlight w:val="none"/>
              </w:rPr>
            </w:pPr>
            <w:r>
              <w:rPr>
                <w:rFonts w:hint="eastAsia" w:ascii="仿宋" w:hAnsi="仿宋" w:eastAsia="仿宋" w:cs="仿宋"/>
                <w:color w:val="auto"/>
                <w:highlight w:val="none"/>
              </w:rPr>
              <w:t xml:space="preserve">                                                       签字：           日期：</w:t>
            </w:r>
          </w:p>
          <w:p w14:paraId="3BFD1FF6">
            <w:pPr>
              <w:tabs>
                <w:tab w:val="left" w:pos="1980"/>
              </w:tabs>
              <w:rPr>
                <w:rFonts w:ascii="仿宋" w:hAnsi="仿宋" w:eastAsia="仿宋" w:cs="仿宋"/>
                <w:color w:val="auto"/>
                <w:highlight w:val="none"/>
              </w:rPr>
            </w:pPr>
            <w:r>
              <w:rPr>
                <w:rFonts w:hint="eastAsia" w:ascii="仿宋" w:hAnsi="仿宋" w:eastAsia="仿宋" w:cs="仿宋"/>
                <w:color w:val="auto"/>
                <w:highlight w:val="none"/>
              </w:rPr>
              <w:t xml:space="preserve">                                                       建设单位（章）</w:t>
            </w:r>
          </w:p>
        </w:tc>
      </w:tr>
    </w:tbl>
    <w:p w14:paraId="5BC0B91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备注：申请单编号遵循“项目代码”+“变更类型编码”+“流水号”。</w:t>
      </w:r>
    </w:p>
    <w:p w14:paraId="598856A1">
      <w:pPr>
        <w:rPr>
          <w:rFonts w:ascii="仿宋" w:hAnsi="仿宋" w:eastAsia="仿宋" w:cs="仿宋"/>
          <w:color w:val="auto"/>
          <w:sz w:val="18"/>
          <w:szCs w:val="18"/>
          <w:highlight w:val="none"/>
        </w:rPr>
      </w:pPr>
    </w:p>
    <w:p w14:paraId="1E5D12B7">
      <w:pPr>
        <w:pStyle w:val="9"/>
        <w:ind w:firstLine="200"/>
        <w:rPr>
          <w:rFonts w:ascii="仿宋" w:hAnsi="仿宋" w:eastAsia="仿宋" w:cs="仿宋"/>
          <w:color w:val="auto"/>
          <w:highlight w:val="none"/>
        </w:rPr>
      </w:pPr>
    </w:p>
    <w:p w14:paraId="1B0A196F">
      <w:pPr>
        <w:pStyle w:val="9"/>
        <w:ind w:firstLine="200"/>
        <w:rPr>
          <w:rFonts w:ascii="仿宋" w:hAnsi="仿宋" w:eastAsia="仿宋" w:cs="仿宋"/>
          <w:color w:val="auto"/>
          <w:highlight w:val="none"/>
        </w:rPr>
      </w:pPr>
    </w:p>
    <w:p w14:paraId="2FF00F45">
      <w:pPr>
        <w:tabs>
          <w:tab w:val="left" w:pos="-1500"/>
          <w:tab w:val="left" w:pos="780"/>
        </w:tabs>
        <w:jc w:val="left"/>
        <w:rPr>
          <w:rFonts w:hint="eastAsia" w:ascii="仿宋" w:hAnsi="仿宋" w:eastAsia="仿宋" w:cs="仿宋"/>
          <w:color w:val="auto"/>
          <w:highlight w:val="none"/>
        </w:rPr>
      </w:pPr>
      <w:r>
        <w:rPr>
          <w:rFonts w:hint="eastAsia" w:ascii="仿宋" w:hAnsi="仿宋" w:eastAsia="仿宋" w:cs="仿宋"/>
          <w:color w:val="auto"/>
          <w:highlight w:val="none"/>
        </w:rPr>
        <w:t>附</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-2</w:t>
      </w:r>
    </w:p>
    <w:p w14:paraId="0547FA5B">
      <w:pPr>
        <w:jc w:val="center"/>
        <w:rPr>
          <w:b/>
          <w:bCs/>
          <w:sz w:val="28"/>
          <w:szCs w:val="28"/>
        </w:rPr>
      </w:pPr>
      <w:r>
        <w:rPr>
          <w:b/>
          <w:bCs/>
          <w:sz w:val="28"/>
          <w:szCs w:val="28"/>
        </w:rPr>
        <w:t>设计变更费用报审表</w:t>
      </w:r>
    </w:p>
    <w:p w14:paraId="158E8285">
      <w:pPr>
        <w:jc w:val="left"/>
      </w:pPr>
      <w:r>
        <w:t xml:space="preserve">报审日期： </w:t>
      </w:r>
      <w:r>
        <w:rPr>
          <w:rFonts w:hint="eastAsia"/>
          <w:lang w:val="en-US" w:eastAsia="zh-CN"/>
        </w:rPr>
        <w:t xml:space="preserve">                                                           </w:t>
      </w:r>
      <w:r>
        <w:t>单位：元</w:t>
      </w:r>
    </w:p>
    <w:tbl>
      <w:tblPr>
        <w:tblStyle w:val="23"/>
        <w:tblW w:w="5000" w:type="pct"/>
        <w:tblInd w:w="0" w:type="dxa"/>
        <w:tblLayout w:type="autofit"/>
        <w:tblCellMar>
          <w:top w:w="0" w:type="dxa"/>
          <w:left w:w="0" w:type="dxa"/>
          <w:bottom w:w="0" w:type="dxa"/>
          <w:right w:w="0" w:type="dxa"/>
        </w:tblCellMar>
      </w:tblPr>
      <w:tblGrid>
        <w:gridCol w:w="1328"/>
        <w:gridCol w:w="215"/>
        <w:gridCol w:w="2546"/>
        <w:gridCol w:w="2280"/>
        <w:gridCol w:w="2153"/>
      </w:tblGrid>
      <w:tr w14:paraId="6B6F47CF">
        <w:tblPrEx>
          <w:tblCellMar>
            <w:top w:w="0" w:type="dxa"/>
            <w:left w:w="0" w:type="dxa"/>
            <w:bottom w:w="0" w:type="dxa"/>
            <w:right w:w="0" w:type="dxa"/>
          </w:tblCellMar>
        </w:tblPrEx>
        <w:trPr>
          <w:trHeight w:val="171" w:hRule="atLeast"/>
        </w:trPr>
        <w:tc>
          <w:tcPr>
            <w:tcW w:w="779" w:type="pct"/>
            <w:tcBorders>
              <w:top w:val="single" w:color="000000" w:sz="4" w:space="0"/>
              <w:left w:val="single" w:color="000000" w:sz="4" w:space="0"/>
              <w:bottom w:val="single" w:color="auto" w:sz="4" w:space="0"/>
              <w:right w:val="single" w:color="000000" w:sz="4" w:space="0"/>
            </w:tcBorders>
            <w:tcMar>
              <w:left w:w="108" w:type="dxa"/>
              <w:right w:w="108" w:type="dxa"/>
            </w:tcMar>
            <w:vAlign w:val="center"/>
          </w:tcPr>
          <w:p w14:paraId="1CCB8896">
            <w:r>
              <w:t>工程名称：</w:t>
            </w:r>
          </w:p>
        </w:tc>
        <w:tc>
          <w:tcPr>
            <w:tcW w:w="4220" w:type="pct"/>
            <w:gridSpan w:val="4"/>
            <w:tcBorders>
              <w:top w:val="single" w:color="000000" w:sz="4" w:space="0"/>
              <w:left w:val="single" w:color="000000" w:sz="4" w:space="0"/>
              <w:bottom w:val="single" w:color="auto" w:sz="4" w:space="0"/>
              <w:right w:val="single" w:color="000000" w:sz="4" w:space="0"/>
            </w:tcBorders>
            <w:tcMar>
              <w:left w:w="108" w:type="dxa"/>
              <w:right w:w="108" w:type="dxa"/>
            </w:tcMar>
            <w:vAlign w:val="center"/>
          </w:tcPr>
          <w:p w14:paraId="797C9E7E"/>
        </w:tc>
      </w:tr>
      <w:tr w14:paraId="03C97229">
        <w:tblPrEx>
          <w:tblCellMar>
            <w:top w:w="0" w:type="dxa"/>
            <w:left w:w="0" w:type="dxa"/>
            <w:bottom w:w="0" w:type="dxa"/>
            <w:right w:w="0" w:type="dxa"/>
          </w:tblCellMar>
        </w:tblPrEx>
        <w:tc>
          <w:tcPr>
            <w:tcW w:w="5000" w:type="pct"/>
            <w:gridSpan w:val="5"/>
            <w:tcBorders>
              <w:top w:val="single" w:color="auto" w:sz="4" w:space="0"/>
              <w:left w:val="single" w:color="auto" w:sz="4" w:space="0"/>
              <w:bottom w:val="nil"/>
              <w:right w:val="single" w:color="auto" w:sz="4" w:space="0"/>
            </w:tcBorders>
            <w:tcMar>
              <w:left w:w="108" w:type="dxa"/>
              <w:right w:w="108" w:type="dxa"/>
            </w:tcMar>
            <w:vAlign w:val="center"/>
          </w:tcPr>
          <w:p w14:paraId="6829F93F">
            <w:r>
              <w:t>致：</w:t>
            </w:r>
          </w:p>
        </w:tc>
      </w:tr>
      <w:tr w14:paraId="0A4D5B72">
        <w:tblPrEx>
          <w:tblCellMar>
            <w:top w:w="0" w:type="dxa"/>
            <w:left w:w="0" w:type="dxa"/>
            <w:bottom w:w="0" w:type="dxa"/>
            <w:right w:w="0" w:type="dxa"/>
          </w:tblCellMar>
        </w:tblPrEx>
        <w:tc>
          <w:tcPr>
            <w:tcW w:w="5000" w:type="pct"/>
            <w:gridSpan w:val="5"/>
            <w:tcBorders>
              <w:top w:val="nil"/>
              <w:left w:val="single" w:color="auto" w:sz="4" w:space="0"/>
              <w:bottom w:val="nil"/>
              <w:right w:val="single" w:color="auto" w:sz="4" w:space="0"/>
            </w:tcBorders>
            <w:tcMar>
              <w:left w:w="108" w:type="dxa"/>
              <w:right w:w="108" w:type="dxa"/>
            </w:tcMar>
            <w:vAlign w:val="center"/>
          </w:tcPr>
          <w:p w14:paraId="5C8A20B0">
            <w:r>
              <w:t>事由：</w:t>
            </w:r>
          </w:p>
        </w:tc>
      </w:tr>
      <w:tr w14:paraId="1C157930">
        <w:tblPrEx>
          <w:tblCellMar>
            <w:top w:w="0" w:type="dxa"/>
            <w:left w:w="0" w:type="dxa"/>
            <w:bottom w:w="0" w:type="dxa"/>
            <w:right w:w="0" w:type="dxa"/>
          </w:tblCellMar>
        </w:tblPrEx>
        <w:trPr>
          <w:trHeight w:val="488" w:hRule="atLeast"/>
        </w:trPr>
        <w:tc>
          <w:tcPr>
            <w:tcW w:w="5000" w:type="pct"/>
            <w:gridSpan w:val="5"/>
            <w:tcBorders>
              <w:top w:val="nil"/>
              <w:left w:val="single" w:color="auto" w:sz="4" w:space="0"/>
              <w:bottom w:val="single" w:color="auto" w:sz="4" w:space="0"/>
              <w:right w:val="single" w:color="auto" w:sz="4" w:space="0"/>
            </w:tcBorders>
            <w:tcMar>
              <w:left w:w="108" w:type="dxa"/>
              <w:right w:w="108" w:type="dxa"/>
            </w:tcMar>
            <w:vAlign w:val="center"/>
          </w:tcPr>
          <w:p w14:paraId="050A0EF7">
            <w:r>
              <w:t xml:space="preserve">依据 </w:t>
            </w:r>
            <w:r>
              <w:rPr>
                <w:rFonts w:hint="eastAsia"/>
                <w:lang w:val="en-US" w:eastAsia="zh-CN"/>
              </w:rPr>
              <w:t xml:space="preserve">           </w:t>
            </w:r>
            <w:r>
              <w:t>，申请费用见表，请审核。</w:t>
            </w:r>
          </w:p>
        </w:tc>
      </w:tr>
      <w:tr w14:paraId="174F9F07">
        <w:tblPrEx>
          <w:tblCellMar>
            <w:top w:w="0" w:type="dxa"/>
            <w:left w:w="0" w:type="dxa"/>
            <w:bottom w:w="0" w:type="dxa"/>
            <w:right w:w="0" w:type="dxa"/>
          </w:tblCellMar>
        </w:tblPrEx>
        <w:tc>
          <w:tcPr>
            <w:tcW w:w="905" w:type="pct"/>
            <w:gridSpan w:val="2"/>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2A1E2FCD">
            <w:pPr>
              <w:jc w:val="center"/>
            </w:pPr>
            <w:r>
              <w:t>项目名称</w:t>
            </w:r>
          </w:p>
        </w:tc>
        <w:tc>
          <w:tcPr>
            <w:tcW w:w="1494" w:type="pct"/>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643280BE">
            <w:pPr>
              <w:jc w:val="center"/>
            </w:pPr>
            <w:r>
              <w:t>施工单位申报额</w:t>
            </w:r>
          </w:p>
        </w:tc>
        <w:tc>
          <w:tcPr>
            <w:tcW w:w="1337" w:type="pct"/>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365D373C">
            <w:pPr>
              <w:jc w:val="center"/>
            </w:pPr>
            <w:r>
              <w:t>监理单位审核额</w:t>
            </w:r>
          </w:p>
        </w:tc>
        <w:tc>
          <w:tcPr>
            <w:tcW w:w="1262" w:type="pct"/>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3391EEEF">
            <w:pPr>
              <w:jc w:val="center"/>
            </w:pPr>
            <w:r>
              <w:t>建设单位审核额</w:t>
            </w:r>
          </w:p>
        </w:tc>
      </w:tr>
      <w:tr w14:paraId="6848B4AB">
        <w:tblPrEx>
          <w:tblCellMar>
            <w:top w:w="0" w:type="dxa"/>
            <w:left w:w="0" w:type="dxa"/>
            <w:bottom w:w="0" w:type="dxa"/>
            <w:right w:w="0" w:type="dxa"/>
          </w:tblCellMar>
        </w:tblPrEx>
        <w:trPr>
          <w:trHeight w:val="535" w:hRule="atLeast"/>
        </w:trPr>
        <w:tc>
          <w:tcPr>
            <w:tcW w:w="905"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D4599E"/>
        </w:tc>
        <w:tc>
          <w:tcPr>
            <w:tcW w:w="14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3B383C"/>
        </w:tc>
        <w:tc>
          <w:tcPr>
            <w:tcW w:w="133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C303EC"/>
        </w:tc>
        <w:tc>
          <w:tcPr>
            <w:tcW w:w="12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2AE6A2"/>
        </w:tc>
      </w:tr>
      <w:tr w14:paraId="40562F4B">
        <w:tblPrEx>
          <w:tblCellMar>
            <w:top w:w="0" w:type="dxa"/>
            <w:left w:w="0" w:type="dxa"/>
            <w:bottom w:w="0" w:type="dxa"/>
            <w:right w:w="0" w:type="dxa"/>
          </w:tblCellMar>
        </w:tblPrEx>
        <w:tc>
          <w:tcPr>
            <w:tcW w:w="905"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F1363B"/>
        </w:tc>
        <w:tc>
          <w:tcPr>
            <w:tcW w:w="149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D0A7D7"/>
        </w:tc>
        <w:tc>
          <w:tcPr>
            <w:tcW w:w="1337"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584821"/>
        </w:tc>
        <w:tc>
          <w:tcPr>
            <w:tcW w:w="12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E90447"/>
        </w:tc>
      </w:tr>
      <w:tr w14:paraId="511959EF">
        <w:tblPrEx>
          <w:tblCellMar>
            <w:top w:w="0" w:type="dxa"/>
            <w:left w:w="0" w:type="dxa"/>
            <w:bottom w:w="0" w:type="dxa"/>
            <w:right w:w="0" w:type="dxa"/>
          </w:tblCellMar>
        </w:tblPrEx>
        <w:trPr>
          <w:trHeight w:val="912" w:hRule="atLeast"/>
        </w:trPr>
        <w:tc>
          <w:tcPr>
            <w:tcW w:w="905" w:type="pct"/>
            <w:gridSpan w:val="2"/>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D751A5">
            <w:r>
              <w:t>总包单位</w:t>
            </w:r>
          </w:p>
        </w:tc>
        <w:tc>
          <w:tcPr>
            <w:tcW w:w="1494" w:type="pct"/>
            <w:tcBorders>
              <w:top w:val="single" w:color="000000" w:sz="4" w:space="0"/>
              <w:left w:val="single" w:color="000000" w:sz="4" w:space="0"/>
              <w:bottom w:val="nil"/>
              <w:right w:val="nil"/>
            </w:tcBorders>
            <w:tcMar>
              <w:left w:w="108" w:type="dxa"/>
              <w:right w:w="108" w:type="dxa"/>
            </w:tcMar>
            <w:vAlign w:val="center"/>
          </w:tcPr>
          <w:p w14:paraId="0114B171">
            <w:r>
              <w:t>施工单位（章）：</w:t>
            </w:r>
          </w:p>
        </w:tc>
        <w:tc>
          <w:tcPr>
            <w:tcW w:w="1337" w:type="pct"/>
            <w:tcBorders>
              <w:top w:val="single" w:color="000000" w:sz="4" w:space="0"/>
              <w:left w:val="nil"/>
              <w:bottom w:val="nil"/>
              <w:right w:val="nil"/>
            </w:tcBorders>
            <w:tcMar>
              <w:left w:w="108" w:type="dxa"/>
              <w:right w:w="108" w:type="dxa"/>
            </w:tcMar>
            <w:vAlign w:val="center"/>
          </w:tcPr>
          <w:p w14:paraId="67BECDE9"/>
        </w:tc>
        <w:tc>
          <w:tcPr>
            <w:tcW w:w="1262" w:type="pct"/>
            <w:tcBorders>
              <w:top w:val="single" w:color="000000" w:sz="4" w:space="0"/>
              <w:left w:val="nil"/>
              <w:bottom w:val="nil"/>
              <w:right w:val="single" w:color="000000" w:sz="4" w:space="0"/>
            </w:tcBorders>
            <w:tcMar>
              <w:left w:w="108" w:type="dxa"/>
              <w:right w:w="108" w:type="dxa"/>
            </w:tcMar>
            <w:vAlign w:val="center"/>
          </w:tcPr>
          <w:p w14:paraId="65BFDCF1"/>
        </w:tc>
      </w:tr>
      <w:tr w14:paraId="4962A712">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9FDE60"/>
        </w:tc>
        <w:tc>
          <w:tcPr>
            <w:tcW w:w="1494" w:type="pct"/>
            <w:tcBorders>
              <w:top w:val="nil"/>
              <w:left w:val="single" w:color="000000" w:sz="4" w:space="0"/>
              <w:bottom w:val="nil"/>
              <w:right w:val="nil"/>
            </w:tcBorders>
            <w:tcMar>
              <w:left w:w="108" w:type="dxa"/>
              <w:right w:w="108" w:type="dxa"/>
            </w:tcMar>
            <w:vAlign w:val="center"/>
          </w:tcPr>
          <w:p w14:paraId="1AF5FB18">
            <w:r>
              <w:t>联系人：</w:t>
            </w:r>
          </w:p>
        </w:tc>
        <w:tc>
          <w:tcPr>
            <w:tcW w:w="1337" w:type="pct"/>
            <w:tcBorders>
              <w:top w:val="nil"/>
              <w:left w:val="nil"/>
              <w:bottom w:val="nil"/>
              <w:right w:val="nil"/>
            </w:tcBorders>
            <w:tcMar>
              <w:left w:w="108" w:type="dxa"/>
              <w:right w:w="108" w:type="dxa"/>
            </w:tcMar>
            <w:vAlign w:val="center"/>
          </w:tcPr>
          <w:p w14:paraId="4BACE5D3">
            <w:r>
              <w:t>项目经理（签字）：</w:t>
            </w:r>
          </w:p>
        </w:tc>
        <w:tc>
          <w:tcPr>
            <w:tcW w:w="1262" w:type="pct"/>
            <w:tcBorders>
              <w:top w:val="nil"/>
              <w:left w:val="nil"/>
              <w:bottom w:val="nil"/>
              <w:right w:val="single" w:color="000000" w:sz="4" w:space="0"/>
            </w:tcBorders>
            <w:tcMar>
              <w:left w:w="108" w:type="dxa"/>
              <w:right w:w="108" w:type="dxa"/>
            </w:tcMar>
            <w:vAlign w:val="center"/>
          </w:tcPr>
          <w:p w14:paraId="0F9B3BE4"/>
        </w:tc>
      </w:tr>
      <w:tr w14:paraId="5BACC4F4">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95398F"/>
        </w:tc>
        <w:tc>
          <w:tcPr>
            <w:tcW w:w="1494" w:type="pct"/>
            <w:tcBorders>
              <w:top w:val="nil"/>
              <w:left w:val="single" w:color="000000" w:sz="4" w:space="0"/>
              <w:bottom w:val="single" w:color="000000" w:sz="4" w:space="0"/>
              <w:right w:val="nil"/>
            </w:tcBorders>
            <w:tcMar>
              <w:left w:w="108" w:type="dxa"/>
              <w:right w:w="108" w:type="dxa"/>
            </w:tcMar>
            <w:vAlign w:val="center"/>
          </w:tcPr>
          <w:p w14:paraId="05C72242">
            <w:r>
              <w:t>电话：</w:t>
            </w:r>
          </w:p>
        </w:tc>
        <w:tc>
          <w:tcPr>
            <w:tcW w:w="1337" w:type="pct"/>
            <w:tcBorders>
              <w:top w:val="nil"/>
              <w:left w:val="nil"/>
              <w:bottom w:val="single" w:color="000000" w:sz="4" w:space="0"/>
              <w:right w:val="nil"/>
            </w:tcBorders>
            <w:tcMar>
              <w:left w:w="108" w:type="dxa"/>
              <w:right w:w="108" w:type="dxa"/>
            </w:tcMar>
            <w:vAlign w:val="center"/>
          </w:tcPr>
          <w:p w14:paraId="155B13DF"/>
        </w:tc>
        <w:tc>
          <w:tcPr>
            <w:tcW w:w="1262" w:type="pct"/>
            <w:tcBorders>
              <w:top w:val="nil"/>
              <w:left w:val="nil"/>
              <w:bottom w:val="single" w:color="000000" w:sz="4" w:space="0"/>
              <w:right w:val="single" w:color="000000" w:sz="4" w:space="0"/>
            </w:tcBorders>
            <w:tcMar>
              <w:left w:w="108" w:type="dxa"/>
              <w:right w:w="108" w:type="dxa"/>
            </w:tcMar>
            <w:vAlign w:val="center"/>
          </w:tcPr>
          <w:p w14:paraId="5AA6EFCA">
            <w:r>
              <w:t>时间：</w:t>
            </w:r>
          </w:p>
        </w:tc>
      </w:tr>
      <w:tr w14:paraId="641150FE">
        <w:tblPrEx>
          <w:tblCellMar>
            <w:top w:w="0" w:type="dxa"/>
            <w:left w:w="0" w:type="dxa"/>
            <w:bottom w:w="0" w:type="dxa"/>
            <w:right w:w="0" w:type="dxa"/>
          </w:tblCellMar>
        </w:tblPrEx>
        <w:trPr>
          <w:trHeight w:val="912" w:hRule="atLeast"/>
        </w:trPr>
        <w:tc>
          <w:tcPr>
            <w:tcW w:w="905" w:type="pct"/>
            <w:gridSpan w:val="2"/>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D77322">
            <w:r>
              <w:t>监理单位</w:t>
            </w:r>
          </w:p>
        </w:tc>
        <w:tc>
          <w:tcPr>
            <w:tcW w:w="2832" w:type="pct"/>
            <w:gridSpan w:val="2"/>
            <w:tcBorders>
              <w:top w:val="single" w:color="000000" w:sz="4" w:space="0"/>
              <w:left w:val="single" w:color="000000" w:sz="4" w:space="0"/>
              <w:bottom w:val="nil"/>
              <w:right w:val="nil"/>
            </w:tcBorders>
            <w:tcMar>
              <w:left w:w="108" w:type="dxa"/>
              <w:right w:w="108" w:type="dxa"/>
            </w:tcMar>
            <w:vAlign w:val="center"/>
          </w:tcPr>
          <w:p w14:paraId="3C8EA0D5">
            <w:r>
              <w:t>监理单位审核意见（章）：</w:t>
            </w:r>
          </w:p>
        </w:tc>
        <w:tc>
          <w:tcPr>
            <w:tcW w:w="1262" w:type="pct"/>
            <w:tcBorders>
              <w:top w:val="single" w:color="000000" w:sz="4" w:space="0"/>
              <w:left w:val="nil"/>
              <w:bottom w:val="nil"/>
              <w:right w:val="single" w:color="000000" w:sz="4" w:space="0"/>
            </w:tcBorders>
            <w:tcMar>
              <w:left w:w="108" w:type="dxa"/>
              <w:right w:w="108" w:type="dxa"/>
            </w:tcMar>
            <w:vAlign w:val="center"/>
          </w:tcPr>
          <w:p w14:paraId="75B55CC2"/>
        </w:tc>
      </w:tr>
      <w:tr w14:paraId="3867DE9B">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D77CE0"/>
        </w:tc>
        <w:tc>
          <w:tcPr>
            <w:tcW w:w="1494" w:type="pct"/>
            <w:tcBorders>
              <w:top w:val="nil"/>
              <w:left w:val="single" w:color="000000" w:sz="4" w:space="0"/>
              <w:bottom w:val="nil"/>
              <w:right w:val="nil"/>
            </w:tcBorders>
            <w:tcMar>
              <w:left w:w="108" w:type="dxa"/>
              <w:right w:w="108" w:type="dxa"/>
            </w:tcMar>
            <w:vAlign w:val="center"/>
          </w:tcPr>
          <w:p w14:paraId="30890AE4"/>
        </w:tc>
        <w:tc>
          <w:tcPr>
            <w:tcW w:w="1337" w:type="pct"/>
            <w:tcBorders>
              <w:top w:val="nil"/>
              <w:left w:val="nil"/>
              <w:bottom w:val="nil"/>
              <w:right w:val="nil"/>
            </w:tcBorders>
            <w:tcMar>
              <w:left w:w="108" w:type="dxa"/>
              <w:right w:w="108" w:type="dxa"/>
            </w:tcMar>
            <w:vAlign w:val="center"/>
          </w:tcPr>
          <w:p w14:paraId="29C35E7F"/>
        </w:tc>
        <w:tc>
          <w:tcPr>
            <w:tcW w:w="1262" w:type="pct"/>
            <w:tcBorders>
              <w:top w:val="nil"/>
              <w:left w:val="nil"/>
              <w:bottom w:val="nil"/>
              <w:right w:val="single" w:color="000000" w:sz="4" w:space="0"/>
            </w:tcBorders>
            <w:tcMar>
              <w:left w:w="108" w:type="dxa"/>
              <w:right w:w="108" w:type="dxa"/>
            </w:tcMar>
            <w:vAlign w:val="center"/>
          </w:tcPr>
          <w:p w14:paraId="7639F3F9"/>
        </w:tc>
      </w:tr>
      <w:tr w14:paraId="6DFFA531">
        <w:tblPrEx>
          <w:tblCellMar>
            <w:top w:w="0" w:type="dxa"/>
            <w:left w:w="0" w:type="dxa"/>
            <w:bottom w:w="0" w:type="dxa"/>
            <w:right w:w="0" w:type="dxa"/>
          </w:tblCellMar>
        </w:tblPrEx>
        <w:trPr>
          <w:trHeight w:val="592" w:hRule="atLeast"/>
        </w:trPr>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5ED9BD"/>
        </w:tc>
        <w:tc>
          <w:tcPr>
            <w:tcW w:w="1494" w:type="pct"/>
            <w:tcBorders>
              <w:top w:val="nil"/>
              <w:left w:val="single" w:color="000000" w:sz="4" w:space="0"/>
              <w:bottom w:val="nil"/>
              <w:right w:val="nil"/>
            </w:tcBorders>
            <w:tcMar>
              <w:left w:w="108" w:type="dxa"/>
              <w:right w:w="108" w:type="dxa"/>
            </w:tcMar>
            <w:vAlign w:val="center"/>
          </w:tcPr>
          <w:p w14:paraId="3CD3D980">
            <w:r>
              <w:t>经办人：</w:t>
            </w:r>
          </w:p>
        </w:tc>
        <w:tc>
          <w:tcPr>
            <w:tcW w:w="1337" w:type="pct"/>
            <w:tcBorders>
              <w:top w:val="nil"/>
              <w:left w:val="nil"/>
              <w:bottom w:val="nil"/>
              <w:right w:val="nil"/>
            </w:tcBorders>
            <w:tcMar>
              <w:left w:w="108" w:type="dxa"/>
              <w:right w:w="108" w:type="dxa"/>
            </w:tcMar>
            <w:vAlign w:val="center"/>
          </w:tcPr>
          <w:p w14:paraId="2A28DAB4"/>
        </w:tc>
        <w:tc>
          <w:tcPr>
            <w:tcW w:w="1262" w:type="pct"/>
            <w:tcBorders>
              <w:top w:val="nil"/>
              <w:left w:val="nil"/>
              <w:bottom w:val="nil"/>
              <w:right w:val="single" w:color="000000" w:sz="4" w:space="0"/>
            </w:tcBorders>
            <w:tcMar>
              <w:left w:w="108" w:type="dxa"/>
              <w:right w:w="108" w:type="dxa"/>
            </w:tcMar>
            <w:vAlign w:val="center"/>
          </w:tcPr>
          <w:p w14:paraId="10A63757">
            <w:r>
              <w:t>复核人：</w:t>
            </w:r>
          </w:p>
        </w:tc>
      </w:tr>
      <w:tr w14:paraId="1E20E93C">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834348"/>
        </w:tc>
        <w:tc>
          <w:tcPr>
            <w:tcW w:w="1494" w:type="pct"/>
            <w:tcBorders>
              <w:top w:val="nil"/>
              <w:left w:val="single" w:color="000000" w:sz="4" w:space="0"/>
              <w:bottom w:val="nil"/>
              <w:right w:val="nil"/>
            </w:tcBorders>
            <w:tcMar>
              <w:left w:w="108" w:type="dxa"/>
              <w:right w:w="108" w:type="dxa"/>
            </w:tcMar>
            <w:vAlign w:val="center"/>
          </w:tcPr>
          <w:p w14:paraId="702FE7B9">
            <w:r>
              <w:t>日期：</w:t>
            </w:r>
          </w:p>
        </w:tc>
        <w:tc>
          <w:tcPr>
            <w:tcW w:w="1337" w:type="pct"/>
            <w:tcBorders>
              <w:top w:val="nil"/>
              <w:left w:val="nil"/>
              <w:bottom w:val="nil"/>
              <w:right w:val="nil"/>
            </w:tcBorders>
            <w:tcMar>
              <w:left w:w="108" w:type="dxa"/>
              <w:right w:w="108" w:type="dxa"/>
            </w:tcMar>
            <w:vAlign w:val="center"/>
          </w:tcPr>
          <w:p w14:paraId="1AFC086F"/>
        </w:tc>
        <w:tc>
          <w:tcPr>
            <w:tcW w:w="1262" w:type="pct"/>
            <w:tcBorders>
              <w:top w:val="nil"/>
              <w:left w:val="nil"/>
              <w:bottom w:val="nil"/>
              <w:right w:val="single" w:color="000000" w:sz="4" w:space="0"/>
            </w:tcBorders>
            <w:tcMar>
              <w:left w:w="108" w:type="dxa"/>
              <w:right w:w="108" w:type="dxa"/>
            </w:tcMar>
            <w:vAlign w:val="center"/>
          </w:tcPr>
          <w:p w14:paraId="538C7AA8">
            <w:r>
              <w:t>日期：</w:t>
            </w:r>
          </w:p>
        </w:tc>
      </w:tr>
      <w:tr w14:paraId="4F58466C">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E2CB15"/>
        </w:tc>
        <w:tc>
          <w:tcPr>
            <w:tcW w:w="1494" w:type="pct"/>
            <w:tcBorders>
              <w:top w:val="nil"/>
              <w:left w:val="single" w:color="000000" w:sz="4" w:space="0"/>
              <w:bottom w:val="single" w:color="000000" w:sz="4" w:space="0"/>
              <w:right w:val="nil"/>
            </w:tcBorders>
            <w:tcMar>
              <w:left w:w="108" w:type="dxa"/>
              <w:right w:w="108" w:type="dxa"/>
            </w:tcMar>
            <w:vAlign w:val="center"/>
          </w:tcPr>
          <w:p w14:paraId="3AB61EA0">
            <w:r>
              <w:t>项目负责人（签字）：</w:t>
            </w:r>
          </w:p>
        </w:tc>
        <w:tc>
          <w:tcPr>
            <w:tcW w:w="1337" w:type="pct"/>
            <w:tcBorders>
              <w:top w:val="nil"/>
              <w:left w:val="nil"/>
              <w:bottom w:val="single" w:color="000000" w:sz="4" w:space="0"/>
              <w:right w:val="nil"/>
            </w:tcBorders>
            <w:tcMar>
              <w:left w:w="108" w:type="dxa"/>
              <w:right w:w="108" w:type="dxa"/>
            </w:tcMar>
            <w:vAlign w:val="center"/>
          </w:tcPr>
          <w:p w14:paraId="6E0F870B"/>
        </w:tc>
        <w:tc>
          <w:tcPr>
            <w:tcW w:w="1262" w:type="pct"/>
            <w:tcBorders>
              <w:top w:val="nil"/>
              <w:left w:val="nil"/>
              <w:bottom w:val="single" w:color="000000" w:sz="4" w:space="0"/>
              <w:right w:val="single" w:color="000000" w:sz="4" w:space="0"/>
            </w:tcBorders>
            <w:tcMar>
              <w:left w:w="108" w:type="dxa"/>
              <w:right w:w="108" w:type="dxa"/>
            </w:tcMar>
            <w:vAlign w:val="center"/>
          </w:tcPr>
          <w:p w14:paraId="75F1944F">
            <w:r>
              <w:t>日期：</w:t>
            </w:r>
          </w:p>
        </w:tc>
      </w:tr>
      <w:tr w14:paraId="1BE86021">
        <w:tblPrEx>
          <w:tblCellMar>
            <w:top w:w="0" w:type="dxa"/>
            <w:left w:w="0" w:type="dxa"/>
            <w:bottom w:w="0" w:type="dxa"/>
            <w:right w:w="0" w:type="dxa"/>
          </w:tblCellMar>
        </w:tblPrEx>
        <w:trPr>
          <w:trHeight w:val="968" w:hRule="atLeast"/>
        </w:trPr>
        <w:tc>
          <w:tcPr>
            <w:tcW w:w="905" w:type="pct"/>
            <w:gridSpan w:val="2"/>
            <w:vMerge w:val="restart"/>
            <w:tcBorders>
              <w:top w:val="single" w:color="000000" w:sz="4" w:space="0"/>
              <w:left w:val="single" w:color="000000" w:sz="4" w:space="0"/>
              <w:right w:val="single" w:color="000000" w:sz="4" w:space="0"/>
            </w:tcBorders>
            <w:tcMar>
              <w:left w:w="108" w:type="dxa"/>
              <w:right w:w="108" w:type="dxa"/>
            </w:tcMar>
            <w:vAlign w:val="center"/>
          </w:tcPr>
          <w:p w14:paraId="6298676E">
            <w:pPr>
              <w:rPr>
                <w:rFonts w:hint="default" w:eastAsia="宋体"/>
                <w:lang w:val="en-US" w:eastAsia="zh-CN"/>
              </w:rPr>
            </w:pPr>
            <w:r>
              <w:rPr>
                <w:rFonts w:hint="eastAsia"/>
                <w:lang w:val="en-US" w:eastAsia="zh-CN"/>
              </w:rPr>
              <w:t>造价咨询单位</w:t>
            </w:r>
          </w:p>
        </w:tc>
        <w:tc>
          <w:tcPr>
            <w:tcW w:w="4094" w:type="pct"/>
            <w:gridSpan w:val="3"/>
            <w:tcBorders>
              <w:top w:val="single" w:color="000000" w:sz="4" w:space="0"/>
              <w:left w:val="single" w:color="000000" w:sz="4" w:space="0"/>
              <w:bottom w:val="nil"/>
              <w:right w:val="single" w:color="000000" w:sz="4" w:space="0"/>
            </w:tcBorders>
            <w:tcMar>
              <w:left w:w="108" w:type="dxa"/>
              <w:right w:w="108" w:type="dxa"/>
            </w:tcMar>
            <w:vAlign w:val="center"/>
          </w:tcPr>
          <w:p w14:paraId="021D0386">
            <w:r>
              <w:rPr>
                <w:rFonts w:hint="eastAsia"/>
                <w:lang w:val="en-US" w:eastAsia="zh-CN"/>
              </w:rPr>
              <w:t>造价咨询单位</w:t>
            </w:r>
            <w:r>
              <w:t>审核意见（章）：</w:t>
            </w:r>
          </w:p>
        </w:tc>
      </w:tr>
      <w:tr w14:paraId="47347AE0">
        <w:tblPrEx>
          <w:tblCellMar>
            <w:top w:w="0" w:type="dxa"/>
            <w:left w:w="0" w:type="dxa"/>
            <w:bottom w:w="0" w:type="dxa"/>
            <w:right w:w="0" w:type="dxa"/>
          </w:tblCellMar>
        </w:tblPrEx>
        <w:tc>
          <w:tcPr>
            <w:tcW w:w="905" w:type="pct"/>
            <w:gridSpan w:val="2"/>
            <w:vMerge w:val="continue"/>
            <w:tcBorders>
              <w:left w:val="single" w:color="000000" w:sz="4" w:space="0"/>
              <w:right w:val="single" w:color="000000" w:sz="4" w:space="0"/>
            </w:tcBorders>
            <w:tcMar>
              <w:left w:w="108" w:type="dxa"/>
              <w:right w:w="108" w:type="dxa"/>
            </w:tcMar>
            <w:vAlign w:val="center"/>
          </w:tcPr>
          <w:p w14:paraId="40FE686A"/>
        </w:tc>
        <w:tc>
          <w:tcPr>
            <w:tcW w:w="1494" w:type="pct"/>
            <w:tcBorders>
              <w:top w:val="nil"/>
              <w:left w:val="single" w:color="000000" w:sz="4" w:space="0"/>
              <w:bottom w:val="nil"/>
              <w:right w:val="nil"/>
            </w:tcBorders>
            <w:tcMar>
              <w:left w:w="108" w:type="dxa"/>
              <w:right w:w="108" w:type="dxa"/>
            </w:tcMar>
            <w:vAlign w:val="center"/>
          </w:tcPr>
          <w:p w14:paraId="28A0F097">
            <w:pPr>
              <w:rPr>
                <w:rFonts w:hint="eastAsia"/>
                <w:lang w:val="en-US" w:eastAsia="zh-CN"/>
              </w:rPr>
            </w:pPr>
            <w:r>
              <w:rPr>
                <w:rFonts w:hint="eastAsia"/>
                <w:lang w:val="en-US" w:eastAsia="zh-CN"/>
              </w:rPr>
              <w:t>经办人：</w:t>
            </w:r>
          </w:p>
        </w:tc>
        <w:tc>
          <w:tcPr>
            <w:tcW w:w="1337" w:type="pct"/>
            <w:tcBorders>
              <w:top w:val="nil"/>
              <w:left w:val="nil"/>
              <w:bottom w:val="nil"/>
              <w:right w:val="nil"/>
            </w:tcBorders>
            <w:tcMar>
              <w:left w:w="108" w:type="dxa"/>
              <w:right w:w="108" w:type="dxa"/>
            </w:tcMar>
            <w:vAlign w:val="center"/>
          </w:tcPr>
          <w:p w14:paraId="5B798577"/>
        </w:tc>
        <w:tc>
          <w:tcPr>
            <w:tcW w:w="1262" w:type="pct"/>
            <w:tcBorders>
              <w:top w:val="nil"/>
              <w:left w:val="nil"/>
              <w:bottom w:val="nil"/>
              <w:right w:val="single" w:color="000000" w:sz="4" w:space="0"/>
            </w:tcBorders>
            <w:tcMar>
              <w:left w:w="108" w:type="dxa"/>
              <w:right w:w="108" w:type="dxa"/>
            </w:tcMar>
            <w:vAlign w:val="center"/>
          </w:tcPr>
          <w:p w14:paraId="1D577DB3">
            <w:pPr>
              <w:rPr>
                <w:rFonts w:hint="eastAsia" w:eastAsia="宋体"/>
                <w:lang w:val="en-US" w:eastAsia="zh-CN"/>
              </w:rPr>
            </w:pPr>
            <w:r>
              <w:rPr>
                <w:rFonts w:hint="eastAsia"/>
                <w:lang w:val="en-US" w:eastAsia="zh-CN"/>
              </w:rPr>
              <w:t>复核人：</w:t>
            </w:r>
          </w:p>
        </w:tc>
      </w:tr>
      <w:tr w14:paraId="490757E8">
        <w:tblPrEx>
          <w:tblCellMar>
            <w:top w:w="0" w:type="dxa"/>
            <w:left w:w="0" w:type="dxa"/>
            <w:bottom w:w="0" w:type="dxa"/>
            <w:right w:w="0" w:type="dxa"/>
          </w:tblCellMar>
        </w:tblPrEx>
        <w:tc>
          <w:tcPr>
            <w:tcW w:w="905" w:type="pct"/>
            <w:gridSpan w:val="2"/>
            <w:vMerge w:val="continue"/>
            <w:tcBorders>
              <w:left w:val="single" w:color="000000" w:sz="4" w:space="0"/>
              <w:right w:val="single" w:color="000000" w:sz="4" w:space="0"/>
            </w:tcBorders>
            <w:tcMar>
              <w:left w:w="108" w:type="dxa"/>
              <w:right w:w="108" w:type="dxa"/>
            </w:tcMar>
            <w:vAlign w:val="center"/>
          </w:tcPr>
          <w:p w14:paraId="20CAD57F"/>
        </w:tc>
        <w:tc>
          <w:tcPr>
            <w:tcW w:w="1494" w:type="pct"/>
            <w:tcBorders>
              <w:top w:val="nil"/>
              <w:left w:val="single" w:color="000000" w:sz="4" w:space="0"/>
              <w:bottom w:val="nil"/>
              <w:right w:val="nil"/>
            </w:tcBorders>
            <w:tcMar>
              <w:left w:w="108" w:type="dxa"/>
              <w:right w:w="108" w:type="dxa"/>
            </w:tcMar>
            <w:vAlign w:val="center"/>
          </w:tcPr>
          <w:p w14:paraId="675D2B60">
            <w:pPr>
              <w:rPr>
                <w:rFonts w:hint="eastAsia" w:eastAsia="宋体"/>
                <w:lang w:val="en-US" w:eastAsia="zh-CN"/>
              </w:rPr>
            </w:pPr>
            <w:r>
              <w:rPr>
                <w:rFonts w:hint="eastAsia"/>
                <w:lang w:val="en-US" w:eastAsia="zh-CN"/>
              </w:rPr>
              <w:t>日期：</w:t>
            </w:r>
          </w:p>
        </w:tc>
        <w:tc>
          <w:tcPr>
            <w:tcW w:w="1337" w:type="pct"/>
            <w:tcBorders>
              <w:top w:val="nil"/>
              <w:left w:val="nil"/>
              <w:bottom w:val="nil"/>
              <w:right w:val="nil"/>
            </w:tcBorders>
            <w:tcMar>
              <w:left w:w="108" w:type="dxa"/>
              <w:right w:w="108" w:type="dxa"/>
            </w:tcMar>
            <w:vAlign w:val="center"/>
          </w:tcPr>
          <w:p w14:paraId="628257DD"/>
        </w:tc>
        <w:tc>
          <w:tcPr>
            <w:tcW w:w="1262" w:type="pct"/>
            <w:tcBorders>
              <w:top w:val="nil"/>
              <w:left w:val="nil"/>
              <w:bottom w:val="nil"/>
              <w:right w:val="single" w:color="000000" w:sz="4" w:space="0"/>
            </w:tcBorders>
            <w:tcMar>
              <w:left w:w="108" w:type="dxa"/>
              <w:right w:w="108" w:type="dxa"/>
            </w:tcMar>
            <w:vAlign w:val="center"/>
          </w:tcPr>
          <w:p w14:paraId="63DF8888">
            <w:pPr>
              <w:rPr>
                <w:rFonts w:hint="eastAsia" w:eastAsia="宋体"/>
                <w:lang w:val="en-US" w:eastAsia="zh-CN"/>
              </w:rPr>
            </w:pPr>
            <w:r>
              <w:rPr>
                <w:rFonts w:hint="eastAsia"/>
                <w:lang w:val="en-US" w:eastAsia="zh-CN"/>
              </w:rPr>
              <w:t>日期：</w:t>
            </w:r>
          </w:p>
        </w:tc>
      </w:tr>
      <w:tr w14:paraId="69B64F3B">
        <w:tblPrEx>
          <w:tblCellMar>
            <w:top w:w="0" w:type="dxa"/>
            <w:left w:w="0" w:type="dxa"/>
            <w:bottom w:w="0" w:type="dxa"/>
            <w:right w:w="0" w:type="dxa"/>
          </w:tblCellMar>
        </w:tblPrEx>
        <w:tc>
          <w:tcPr>
            <w:tcW w:w="905" w:type="pct"/>
            <w:gridSpan w:val="2"/>
            <w:vMerge w:val="continue"/>
            <w:tcBorders>
              <w:left w:val="single" w:color="000000" w:sz="4" w:space="0"/>
              <w:bottom w:val="single" w:color="000000" w:sz="4" w:space="0"/>
              <w:right w:val="single" w:color="000000" w:sz="4" w:space="0"/>
            </w:tcBorders>
            <w:tcMar>
              <w:left w:w="108" w:type="dxa"/>
              <w:right w:w="108" w:type="dxa"/>
            </w:tcMar>
            <w:vAlign w:val="center"/>
          </w:tcPr>
          <w:p w14:paraId="1030275F"/>
        </w:tc>
        <w:tc>
          <w:tcPr>
            <w:tcW w:w="1494" w:type="pct"/>
            <w:tcBorders>
              <w:top w:val="nil"/>
              <w:left w:val="single" w:color="000000" w:sz="4" w:space="0"/>
              <w:bottom w:val="single" w:color="000000" w:sz="4" w:space="0"/>
              <w:right w:val="nil"/>
            </w:tcBorders>
            <w:tcMar>
              <w:left w:w="108" w:type="dxa"/>
              <w:right w:w="108" w:type="dxa"/>
            </w:tcMar>
            <w:vAlign w:val="center"/>
          </w:tcPr>
          <w:p w14:paraId="4E4E6EF1">
            <w:pPr>
              <w:rPr>
                <w:rFonts w:hint="default" w:eastAsia="宋体"/>
                <w:lang w:val="en-US" w:eastAsia="zh-CN"/>
              </w:rPr>
            </w:pPr>
            <w:r>
              <w:rPr>
                <w:rFonts w:hint="eastAsia"/>
                <w:lang w:val="en-US" w:eastAsia="zh-CN"/>
              </w:rPr>
              <w:t>项目负责人（签字）:</w:t>
            </w:r>
          </w:p>
        </w:tc>
        <w:tc>
          <w:tcPr>
            <w:tcW w:w="1337" w:type="pct"/>
            <w:tcBorders>
              <w:top w:val="nil"/>
              <w:left w:val="nil"/>
              <w:bottom w:val="single" w:color="000000" w:sz="4" w:space="0"/>
              <w:right w:val="nil"/>
            </w:tcBorders>
            <w:tcMar>
              <w:left w:w="108" w:type="dxa"/>
              <w:right w:w="108" w:type="dxa"/>
            </w:tcMar>
            <w:vAlign w:val="center"/>
          </w:tcPr>
          <w:p w14:paraId="2A113771"/>
        </w:tc>
        <w:tc>
          <w:tcPr>
            <w:tcW w:w="1262" w:type="pct"/>
            <w:tcBorders>
              <w:top w:val="nil"/>
              <w:left w:val="nil"/>
              <w:bottom w:val="single" w:color="000000" w:sz="4" w:space="0"/>
              <w:right w:val="single" w:color="000000" w:sz="4" w:space="0"/>
            </w:tcBorders>
            <w:tcMar>
              <w:left w:w="108" w:type="dxa"/>
              <w:right w:w="108" w:type="dxa"/>
            </w:tcMar>
            <w:vAlign w:val="center"/>
          </w:tcPr>
          <w:p w14:paraId="2200C686">
            <w:pPr>
              <w:rPr>
                <w:rFonts w:hint="eastAsia" w:eastAsia="宋体"/>
                <w:lang w:val="en-US" w:eastAsia="zh-CN"/>
              </w:rPr>
            </w:pPr>
            <w:r>
              <w:rPr>
                <w:rFonts w:hint="eastAsia"/>
                <w:lang w:val="en-US" w:eastAsia="zh-CN"/>
              </w:rPr>
              <w:t>日期：</w:t>
            </w:r>
          </w:p>
        </w:tc>
      </w:tr>
      <w:tr w14:paraId="57EFBD80">
        <w:tblPrEx>
          <w:tblCellMar>
            <w:top w:w="0" w:type="dxa"/>
            <w:left w:w="0" w:type="dxa"/>
            <w:bottom w:w="0" w:type="dxa"/>
            <w:right w:w="0" w:type="dxa"/>
          </w:tblCellMar>
        </w:tblPrEx>
        <w:tc>
          <w:tcPr>
            <w:tcW w:w="905" w:type="pct"/>
            <w:gridSpan w:val="2"/>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4F6DE5">
            <w:r>
              <w:t>建设单位</w:t>
            </w:r>
          </w:p>
        </w:tc>
        <w:tc>
          <w:tcPr>
            <w:tcW w:w="4094" w:type="pct"/>
            <w:gridSpan w:val="3"/>
            <w:tcBorders>
              <w:top w:val="single" w:color="000000" w:sz="4" w:space="0"/>
              <w:left w:val="single" w:color="000000" w:sz="4" w:space="0"/>
              <w:bottom w:val="nil"/>
              <w:right w:val="single" w:color="000000" w:sz="4" w:space="0"/>
            </w:tcBorders>
            <w:tcMar>
              <w:left w:w="108" w:type="dxa"/>
              <w:right w:w="108" w:type="dxa"/>
            </w:tcMar>
            <w:vAlign w:val="center"/>
          </w:tcPr>
          <w:p w14:paraId="74799706">
            <w:r>
              <w:t>项目工程管理岗意见：</w:t>
            </w:r>
          </w:p>
        </w:tc>
      </w:tr>
      <w:tr w14:paraId="705F8E98">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564C71"/>
        </w:tc>
        <w:tc>
          <w:tcPr>
            <w:tcW w:w="1494" w:type="pct"/>
            <w:tcBorders>
              <w:top w:val="nil"/>
              <w:left w:val="single" w:color="000000" w:sz="4" w:space="0"/>
              <w:bottom w:val="nil"/>
              <w:right w:val="nil"/>
            </w:tcBorders>
            <w:tcMar>
              <w:left w:w="108" w:type="dxa"/>
              <w:right w:w="108" w:type="dxa"/>
            </w:tcMar>
            <w:vAlign w:val="center"/>
          </w:tcPr>
          <w:p w14:paraId="2C0E655F"/>
        </w:tc>
        <w:tc>
          <w:tcPr>
            <w:tcW w:w="1337" w:type="pct"/>
            <w:tcBorders>
              <w:top w:val="nil"/>
              <w:left w:val="nil"/>
              <w:bottom w:val="nil"/>
              <w:right w:val="nil"/>
            </w:tcBorders>
            <w:tcMar>
              <w:left w:w="108" w:type="dxa"/>
              <w:right w:w="108" w:type="dxa"/>
            </w:tcMar>
            <w:vAlign w:val="center"/>
          </w:tcPr>
          <w:p w14:paraId="5407EE45"/>
        </w:tc>
        <w:tc>
          <w:tcPr>
            <w:tcW w:w="1262" w:type="pct"/>
            <w:tcBorders>
              <w:top w:val="nil"/>
              <w:left w:val="nil"/>
              <w:bottom w:val="nil"/>
              <w:right w:val="single" w:color="000000" w:sz="4" w:space="0"/>
            </w:tcBorders>
            <w:tcMar>
              <w:left w:w="108" w:type="dxa"/>
              <w:right w:w="108" w:type="dxa"/>
            </w:tcMar>
            <w:vAlign w:val="center"/>
          </w:tcPr>
          <w:p w14:paraId="0FF20197"/>
        </w:tc>
      </w:tr>
      <w:tr w14:paraId="559BCF97">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B13975"/>
        </w:tc>
        <w:tc>
          <w:tcPr>
            <w:tcW w:w="1494" w:type="pct"/>
            <w:tcBorders>
              <w:top w:val="nil"/>
              <w:left w:val="single" w:color="000000" w:sz="4" w:space="0"/>
              <w:bottom w:val="nil"/>
              <w:right w:val="nil"/>
            </w:tcBorders>
            <w:tcMar>
              <w:left w:w="108" w:type="dxa"/>
              <w:right w:w="108" w:type="dxa"/>
            </w:tcMar>
            <w:vAlign w:val="center"/>
          </w:tcPr>
          <w:p w14:paraId="58FC92F4">
            <w:r>
              <w:t>（签字）：</w:t>
            </w:r>
          </w:p>
        </w:tc>
        <w:tc>
          <w:tcPr>
            <w:tcW w:w="1337" w:type="pct"/>
            <w:tcBorders>
              <w:top w:val="nil"/>
              <w:left w:val="nil"/>
              <w:bottom w:val="nil"/>
              <w:right w:val="nil"/>
            </w:tcBorders>
            <w:tcMar>
              <w:left w:w="108" w:type="dxa"/>
              <w:right w:w="108" w:type="dxa"/>
            </w:tcMar>
            <w:vAlign w:val="center"/>
          </w:tcPr>
          <w:p w14:paraId="53315BAD"/>
        </w:tc>
        <w:tc>
          <w:tcPr>
            <w:tcW w:w="1262" w:type="pct"/>
            <w:tcBorders>
              <w:top w:val="nil"/>
              <w:left w:val="nil"/>
              <w:bottom w:val="nil"/>
              <w:right w:val="single" w:color="000000" w:sz="4" w:space="0"/>
            </w:tcBorders>
            <w:tcMar>
              <w:left w:w="108" w:type="dxa"/>
              <w:right w:w="108" w:type="dxa"/>
            </w:tcMar>
            <w:vAlign w:val="center"/>
          </w:tcPr>
          <w:p w14:paraId="2D47247D">
            <w:r>
              <w:t>日期：</w:t>
            </w:r>
          </w:p>
        </w:tc>
      </w:tr>
      <w:tr w14:paraId="06F34E2D">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7AEAB2"/>
        </w:tc>
        <w:tc>
          <w:tcPr>
            <w:tcW w:w="4094" w:type="pct"/>
            <w:gridSpan w:val="3"/>
            <w:tcBorders>
              <w:top w:val="nil"/>
              <w:left w:val="single" w:color="000000" w:sz="4" w:space="0"/>
              <w:bottom w:val="nil"/>
              <w:right w:val="single" w:color="000000" w:sz="4" w:space="0"/>
            </w:tcBorders>
            <w:tcMar>
              <w:left w:w="108" w:type="dxa"/>
              <w:right w:w="108" w:type="dxa"/>
            </w:tcMar>
            <w:vAlign w:val="center"/>
          </w:tcPr>
          <w:p w14:paraId="288835D9">
            <w:r>
              <w:t>项目成本合约岗意见：</w:t>
            </w:r>
          </w:p>
        </w:tc>
      </w:tr>
      <w:tr w14:paraId="33393E8A">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D694EF"/>
        </w:tc>
        <w:tc>
          <w:tcPr>
            <w:tcW w:w="1494" w:type="pct"/>
            <w:tcBorders>
              <w:top w:val="nil"/>
              <w:left w:val="single" w:color="000000" w:sz="4" w:space="0"/>
              <w:bottom w:val="nil"/>
              <w:right w:val="nil"/>
            </w:tcBorders>
            <w:tcMar>
              <w:left w:w="108" w:type="dxa"/>
              <w:right w:w="108" w:type="dxa"/>
            </w:tcMar>
            <w:vAlign w:val="center"/>
          </w:tcPr>
          <w:p w14:paraId="21CE1892"/>
        </w:tc>
        <w:tc>
          <w:tcPr>
            <w:tcW w:w="1337" w:type="pct"/>
            <w:tcBorders>
              <w:top w:val="nil"/>
              <w:left w:val="nil"/>
              <w:bottom w:val="nil"/>
              <w:right w:val="nil"/>
            </w:tcBorders>
            <w:tcMar>
              <w:left w:w="108" w:type="dxa"/>
              <w:right w:w="108" w:type="dxa"/>
            </w:tcMar>
            <w:vAlign w:val="center"/>
          </w:tcPr>
          <w:p w14:paraId="0301E5E6"/>
        </w:tc>
        <w:tc>
          <w:tcPr>
            <w:tcW w:w="1262" w:type="pct"/>
            <w:tcBorders>
              <w:top w:val="nil"/>
              <w:left w:val="nil"/>
              <w:bottom w:val="nil"/>
              <w:right w:val="single" w:color="000000" w:sz="4" w:space="0"/>
            </w:tcBorders>
            <w:tcMar>
              <w:left w:w="108" w:type="dxa"/>
              <w:right w:w="108" w:type="dxa"/>
            </w:tcMar>
            <w:vAlign w:val="center"/>
          </w:tcPr>
          <w:p w14:paraId="5490B1C1"/>
        </w:tc>
      </w:tr>
      <w:tr w14:paraId="1B3F0531">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445CFA"/>
        </w:tc>
        <w:tc>
          <w:tcPr>
            <w:tcW w:w="1494" w:type="pct"/>
            <w:tcBorders>
              <w:top w:val="nil"/>
              <w:left w:val="single" w:color="000000" w:sz="4" w:space="0"/>
              <w:bottom w:val="nil"/>
              <w:right w:val="nil"/>
            </w:tcBorders>
            <w:tcMar>
              <w:left w:w="108" w:type="dxa"/>
              <w:right w:w="108" w:type="dxa"/>
            </w:tcMar>
            <w:vAlign w:val="center"/>
          </w:tcPr>
          <w:p w14:paraId="45F6EC10">
            <w:r>
              <w:t>（签字）：</w:t>
            </w:r>
          </w:p>
        </w:tc>
        <w:tc>
          <w:tcPr>
            <w:tcW w:w="1337" w:type="pct"/>
            <w:tcBorders>
              <w:top w:val="nil"/>
              <w:left w:val="nil"/>
              <w:bottom w:val="nil"/>
              <w:right w:val="nil"/>
            </w:tcBorders>
            <w:tcMar>
              <w:left w:w="108" w:type="dxa"/>
              <w:right w:w="108" w:type="dxa"/>
            </w:tcMar>
            <w:vAlign w:val="center"/>
          </w:tcPr>
          <w:p w14:paraId="04FEDC91"/>
        </w:tc>
        <w:tc>
          <w:tcPr>
            <w:tcW w:w="1262" w:type="pct"/>
            <w:tcBorders>
              <w:top w:val="nil"/>
              <w:left w:val="nil"/>
              <w:bottom w:val="nil"/>
              <w:right w:val="single" w:color="000000" w:sz="4" w:space="0"/>
            </w:tcBorders>
            <w:tcMar>
              <w:left w:w="108" w:type="dxa"/>
              <w:right w:w="108" w:type="dxa"/>
            </w:tcMar>
            <w:vAlign w:val="center"/>
          </w:tcPr>
          <w:p w14:paraId="5770B1F1">
            <w:r>
              <w:t>日期：</w:t>
            </w:r>
          </w:p>
        </w:tc>
      </w:tr>
      <w:tr w14:paraId="75B53D6E">
        <w:tblPrEx>
          <w:tblCellMar>
            <w:top w:w="0" w:type="dxa"/>
            <w:left w:w="0" w:type="dxa"/>
            <w:bottom w:w="0" w:type="dxa"/>
            <w:right w:w="0" w:type="dxa"/>
          </w:tblCellMar>
        </w:tblPrEx>
        <w:trPr>
          <w:trHeight w:val="697" w:hRule="atLeast"/>
        </w:trPr>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C58B34"/>
        </w:tc>
        <w:tc>
          <w:tcPr>
            <w:tcW w:w="4094" w:type="pct"/>
            <w:gridSpan w:val="3"/>
            <w:tcBorders>
              <w:top w:val="nil"/>
              <w:left w:val="single" w:color="000000" w:sz="4" w:space="0"/>
              <w:bottom w:val="nil"/>
              <w:right w:val="single" w:color="000000" w:sz="4" w:space="0"/>
            </w:tcBorders>
            <w:tcMar>
              <w:left w:w="108" w:type="dxa"/>
              <w:right w:w="108" w:type="dxa"/>
            </w:tcMar>
            <w:vAlign w:val="center"/>
          </w:tcPr>
          <w:p w14:paraId="1C96563D">
            <w:pPr>
              <w:jc w:val="left"/>
            </w:pPr>
            <w:r>
              <w:t>项目负责人意见：</w:t>
            </w:r>
          </w:p>
        </w:tc>
      </w:tr>
      <w:tr w14:paraId="3D25E3BF">
        <w:tblPrEx>
          <w:tblCellMar>
            <w:top w:w="0" w:type="dxa"/>
            <w:left w:w="0" w:type="dxa"/>
            <w:bottom w:w="0" w:type="dxa"/>
            <w:right w:w="0" w:type="dxa"/>
          </w:tblCellMar>
        </w:tblPrEx>
        <w:tc>
          <w:tcPr>
            <w:tcW w:w="905"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DE23EA"/>
        </w:tc>
        <w:tc>
          <w:tcPr>
            <w:tcW w:w="1494" w:type="pct"/>
            <w:tcBorders>
              <w:top w:val="nil"/>
              <w:left w:val="single" w:color="000000" w:sz="4" w:space="0"/>
              <w:bottom w:val="single" w:color="000000" w:sz="4" w:space="0"/>
              <w:right w:val="nil"/>
            </w:tcBorders>
            <w:tcMar>
              <w:left w:w="108" w:type="dxa"/>
              <w:right w:w="108" w:type="dxa"/>
            </w:tcMar>
            <w:vAlign w:val="center"/>
          </w:tcPr>
          <w:p w14:paraId="77884E1C">
            <w:r>
              <w:t>（签字）：</w:t>
            </w:r>
          </w:p>
        </w:tc>
        <w:tc>
          <w:tcPr>
            <w:tcW w:w="1337" w:type="pct"/>
            <w:tcBorders>
              <w:top w:val="nil"/>
              <w:left w:val="nil"/>
              <w:bottom w:val="single" w:color="000000" w:sz="4" w:space="0"/>
              <w:right w:val="nil"/>
            </w:tcBorders>
            <w:tcMar>
              <w:left w:w="108" w:type="dxa"/>
              <w:right w:w="108" w:type="dxa"/>
            </w:tcMar>
            <w:vAlign w:val="center"/>
          </w:tcPr>
          <w:p w14:paraId="68F457DC">
            <w:r>
              <w:t>日期：</w:t>
            </w:r>
          </w:p>
        </w:tc>
        <w:tc>
          <w:tcPr>
            <w:tcW w:w="1262" w:type="pct"/>
            <w:tcBorders>
              <w:top w:val="nil"/>
              <w:left w:val="nil"/>
              <w:bottom w:val="single" w:color="000000" w:sz="4" w:space="0"/>
              <w:right w:val="single" w:color="000000" w:sz="4" w:space="0"/>
            </w:tcBorders>
            <w:tcMar>
              <w:left w:w="108" w:type="dxa"/>
              <w:right w:w="108" w:type="dxa"/>
            </w:tcMar>
            <w:vAlign w:val="center"/>
          </w:tcPr>
          <w:p w14:paraId="7DE5B140">
            <w:r>
              <w:t>建设单位（章）：</w:t>
            </w:r>
          </w:p>
        </w:tc>
      </w:tr>
      <w:tr w14:paraId="7338C5B5">
        <w:tblPrEx>
          <w:tblCellMar>
            <w:top w:w="0" w:type="dxa"/>
            <w:left w:w="0" w:type="dxa"/>
            <w:bottom w:w="0" w:type="dxa"/>
            <w:right w:w="0" w:type="dxa"/>
          </w:tblCellMar>
        </w:tblPrEx>
        <w:tc>
          <w:tcPr>
            <w:tcW w:w="5000" w:type="pct"/>
            <w:gridSpan w:val="5"/>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581EB8">
            <w:r>
              <w:t>说明：1、此表一式六份，由施工单位上报监理公司，由建设单位审定后，将审核意见同时返回施工单位及监理公司。</w:t>
            </w:r>
            <w:r>
              <w:br w:type="textWrapping"/>
            </w:r>
            <w:r>
              <w:t>2、此表上报时应附签证记录单、签证前施工部位照片等，费用增减预算。</w:t>
            </w:r>
          </w:p>
        </w:tc>
      </w:tr>
    </w:tbl>
    <w:p w14:paraId="407580D2">
      <w:pPr>
        <w:tabs>
          <w:tab w:val="left" w:pos="-1500"/>
          <w:tab w:val="left" w:pos="780"/>
        </w:tabs>
        <w:spacing w:before="158"/>
        <w:jc w:val="left"/>
        <w:rPr>
          <w:rFonts w:hint="eastAsia" w:ascii="仿宋" w:hAnsi="仿宋" w:eastAsia="仿宋" w:cs="仿宋"/>
          <w:color w:val="auto"/>
          <w:highlight w:val="none"/>
        </w:rPr>
      </w:pPr>
      <w:r>
        <w:rPr>
          <w:rFonts w:hint="eastAsia" w:ascii="仿宋" w:hAnsi="仿宋" w:eastAsia="仿宋" w:cs="仿宋"/>
          <w:color w:val="auto"/>
          <w:highlight w:val="none"/>
        </w:rPr>
        <w:t>附表</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-3</w:t>
      </w:r>
    </w:p>
    <w:tbl>
      <w:tblPr>
        <w:tblStyle w:val="23"/>
        <w:tblW w:w="8546"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6"/>
        <w:gridCol w:w="1012"/>
        <w:gridCol w:w="2213"/>
        <w:gridCol w:w="787"/>
        <w:gridCol w:w="957"/>
        <w:gridCol w:w="1218"/>
        <w:gridCol w:w="1253"/>
      </w:tblGrid>
      <w:tr w14:paraId="6E2D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546" w:type="dxa"/>
            <w:gridSpan w:val="7"/>
            <w:tcBorders>
              <w:top w:val="nil"/>
              <w:left w:val="nil"/>
              <w:bottom w:val="nil"/>
              <w:right w:val="nil"/>
            </w:tcBorders>
            <w:shd w:val="clear" w:color="auto" w:fill="auto"/>
            <w:noWrap/>
            <w:vAlign w:val="center"/>
          </w:tcPr>
          <w:p w14:paraId="4A3CF9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新增（变更）综合单价审批表</w:t>
            </w:r>
          </w:p>
        </w:tc>
      </w:tr>
      <w:tr w14:paraId="3AC6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6" w:type="dxa"/>
            <w:gridSpan w:val="7"/>
            <w:tcBorders>
              <w:top w:val="nil"/>
              <w:left w:val="nil"/>
              <w:bottom w:val="nil"/>
              <w:right w:val="nil"/>
            </w:tcBorders>
            <w:shd w:val="clear" w:color="auto" w:fill="auto"/>
            <w:noWrap/>
            <w:vAlign w:val="center"/>
          </w:tcPr>
          <w:p w14:paraId="3844D293">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r>
              <w:rPr>
                <w:rStyle w:val="55"/>
                <w:rFonts w:eastAsia="宋体"/>
                <w:sz w:val="21"/>
                <w:szCs w:val="21"/>
                <w:lang w:val="en-US" w:eastAsia="zh-CN" w:bidi="ar"/>
              </w:rPr>
              <w:t xml:space="preserve"> </w:t>
            </w:r>
            <w:r>
              <w:rPr>
                <w:rStyle w:val="56"/>
                <w:sz w:val="21"/>
                <w:szCs w:val="21"/>
                <w:lang w:val="en-US" w:eastAsia="zh-CN" w:bidi="ar"/>
              </w:rPr>
              <w:t xml:space="preserve">                                       新增单价编号：</w:t>
            </w:r>
          </w:p>
        </w:tc>
      </w:tr>
      <w:tr w14:paraId="51EA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6" w:type="dxa"/>
            <w:gridSpan w:val="7"/>
            <w:tcBorders>
              <w:top w:val="nil"/>
              <w:left w:val="nil"/>
              <w:bottom w:val="nil"/>
              <w:right w:val="nil"/>
            </w:tcBorders>
            <w:shd w:val="clear" w:color="auto" w:fill="auto"/>
            <w:noWrap/>
            <w:vAlign w:val="center"/>
          </w:tcPr>
          <w:p w14:paraId="170A996C">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合同编号：</w:t>
            </w:r>
          </w:p>
        </w:tc>
      </w:tr>
      <w:tr w14:paraId="6823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30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产生原因（合同依据）</w:t>
            </w:r>
          </w:p>
        </w:tc>
        <w:tc>
          <w:tcPr>
            <w:tcW w:w="7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288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事由：</w:t>
            </w:r>
          </w:p>
        </w:tc>
      </w:tr>
      <w:tr w14:paraId="443F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29A4">
            <w:pPr>
              <w:jc w:val="center"/>
              <w:rPr>
                <w:rFonts w:hint="eastAsia" w:ascii="宋体" w:hAnsi="宋体" w:eastAsia="宋体" w:cs="宋体"/>
                <w:i w:val="0"/>
                <w:iCs w:val="0"/>
                <w:color w:val="000000"/>
                <w:sz w:val="21"/>
                <w:szCs w:val="21"/>
                <w:u w:val="none"/>
              </w:rPr>
            </w:pPr>
          </w:p>
        </w:tc>
        <w:tc>
          <w:tcPr>
            <w:tcW w:w="7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34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             申请费用见表，请审核。</w:t>
            </w:r>
          </w:p>
        </w:tc>
      </w:tr>
      <w:tr w14:paraId="51FA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693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施工单位申报费用情况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1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清单项目名称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5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6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7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申报综合单价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A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监理单位审核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建设单位审核</w:t>
            </w:r>
          </w:p>
        </w:tc>
      </w:tr>
      <w:tr w14:paraId="30AA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7CC9">
            <w:pPr>
              <w:jc w:val="lef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501B">
            <w:pPr>
              <w:jc w:val="both"/>
              <w:rPr>
                <w:rFonts w:hint="eastAsia" w:ascii="宋体" w:hAnsi="宋体" w:eastAsia="宋体" w:cs="宋体"/>
                <w:i w:val="0"/>
                <w:iCs w:val="0"/>
                <w:color w:val="000000"/>
                <w:sz w:val="21"/>
                <w:szCs w:val="21"/>
                <w:u w:val="none"/>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AA14">
            <w:pPr>
              <w:jc w:val="both"/>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07D">
            <w:pPr>
              <w:jc w:val="both"/>
              <w:rPr>
                <w:rFonts w:hint="eastAsia" w:ascii="宋体" w:hAnsi="宋体" w:eastAsia="宋体" w:cs="宋体"/>
                <w:i w:val="0"/>
                <w:iCs w:val="0"/>
                <w:color w:val="000000"/>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97C">
            <w:pPr>
              <w:jc w:val="both"/>
              <w:rPr>
                <w:rFonts w:hint="eastAsia" w:ascii="宋体" w:hAnsi="宋体" w:eastAsia="宋体" w:cs="宋体"/>
                <w:i w:val="0"/>
                <w:iCs w:val="0"/>
                <w:color w:val="000000"/>
                <w:sz w:val="21"/>
                <w:szCs w:val="21"/>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EA16">
            <w:pPr>
              <w:jc w:val="both"/>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4F50">
            <w:pPr>
              <w:jc w:val="both"/>
              <w:rPr>
                <w:rFonts w:hint="eastAsia" w:ascii="宋体" w:hAnsi="宋体" w:eastAsia="宋体" w:cs="宋体"/>
                <w:i w:val="0"/>
                <w:iCs w:val="0"/>
                <w:color w:val="000000"/>
                <w:sz w:val="21"/>
                <w:szCs w:val="21"/>
                <w:u w:val="none"/>
              </w:rPr>
            </w:pPr>
          </w:p>
        </w:tc>
      </w:tr>
      <w:tr w14:paraId="7BD0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54FC">
            <w:pPr>
              <w:jc w:val="lef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A30">
            <w:pPr>
              <w:jc w:val="both"/>
              <w:rPr>
                <w:rFonts w:hint="eastAsia" w:ascii="宋体" w:hAnsi="宋体" w:eastAsia="宋体" w:cs="宋体"/>
                <w:i w:val="0"/>
                <w:iCs w:val="0"/>
                <w:color w:val="000000"/>
                <w:sz w:val="21"/>
                <w:szCs w:val="21"/>
                <w:u w:val="none"/>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5956">
            <w:pPr>
              <w:jc w:val="both"/>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5F95">
            <w:pPr>
              <w:jc w:val="both"/>
              <w:rPr>
                <w:rFonts w:hint="eastAsia" w:ascii="宋体" w:hAnsi="宋体" w:eastAsia="宋体" w:cs="宋体"/>
                <w:i w:val="0"/>
                <w:iCs w:val="0"/>
                <w:color w:val="000000"/>
                <w:sz w:val="21"/>
                <w:szCs w:val="21"/>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9FF2">
            <w:pPr>
              <w:jc w:val="both"/>
              <w:rPr>
                <w:rFonts w:hint="eastAsia" w:ascii="宋体" w:hAnsi="宋体" w:eastAsia="宋体" w:cs="宋体"/>
                <w:i w:val="0"/>
                <w:iCs w:val="0"/>
                <w:color w:val="000000"/>
                <w:sz w:val="21"/>
                <w:szCs w:val="21"/>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5827">
            <w:pPr>
              <w:jc w:val="both"/>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6F8D">
            <w:pPr>
              <w:jc w:val="both"/>
              <w:rPr>
                <w:rFonts w:hint="eastAsia" w:ascii="宋体" w:hAnsi="宋体" w:eastAsia="宋体" w:cs="宋体"/>
                <w:i w:val="0"/>
                <w:iCs w:val="0"/>
                <w:color w:val="000000"/>
                <w:sz w:val="21"/>
                <w:szCs w:val="21"/>
                <w:u w:val="none"/>
              </w:rPr>
            </w:pPr>
          </w:p>
        </w:tc>
      </w:tr>
      <w:tr w14:paraId="26F6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0855">
            <w:pPr>
              <w:jc w:val="lef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nil"/>
              <w:right w:val="single" w:color="000000" w:sz="4" w:space="0"/>
            </w:tcBorders>
            <w:shd w:val="clear" w:color="auto" w:fill="auto"/>
            <w:vAlign w:val="center"/>
          </w:tcPr>
          <w:p w14:paraId="38B1FE78">
            <w:pPr>
              <w:jc w:val="both"/>
              <w:rPr>
                <w:rFonts w:hint="eastAsia" w:ascii="宋体" w:hAnsi="宋体" w:eastAsia="宋体" w:cs="宋体"/>
                <w:i w:val="0"/>
                <w:iCs w:val="0"/>
                <w:color w:val="000000"/>
                <w:sz w:val="21"/>
                <w:szCs w:val="21"/>
                <w:u w:val="none"/>
              </w:rPr>
            </w:pPr>
          </w:p>
        </w:tc>
        <w:tc>
          <w:tcPr>
            <w:tcW w:w="2213" w:type="dxa"/>
            <w:tcBorders>
              <w:top w:val="single" w:color="000000" w:sz="4" w:space="0"/>
              <w:left w:val="single" w:color="000000" w:sz="4" w:space="0"/>
              <w:bottom w:val="nil"/>
              <w:right w:val="single" w:color="000000" w:sz="4" w:space="0"/>
            </w:tcBorders>
            <w:shd w:val="clear" w:color="auto" w:fill="auto"/>
            <w:vAlign w:val="center"/>
          </w:tcPr>
          <w:p w14:paraId="76EFA943">
            <w:pPr>
              <w:jc w:val="both"/>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nil"/>
              <w:right w:val="single" w:color="000000" w:sz="4" w:space="0"/>
            </w:tcBorders>
            <w:shd w:val="clear" w:color="auto" w:fill="auto"/>
            <w:vAlign w:val="center"/>
          </w:tcPr>
          <w:p w14:paraId="36CD4765">
            <w:pPr>
              <w:jc w:val="both"/>
              <w:rPr>
                <w:rFonts w:hint="eastAsia" w:ascii="宋体" w:hAnsi="宋体" w:eastAsia="宋体" w:cs="宋体"/>
                <w:i w:val="0"/>
                <w:iCs w:val="0"/>
                <w:color w:val="000000"/>
                <w:sz w:val="21"/>
                <w:szCs w:val="21"/>
                <w:u w:val="none"/>
              </w:rPr>
            </w:pPr>
          </w:p>
        </w:tc>
        <w:tc>
          <w:tcPr>
            <w:tcW w:w="957" w:type="dxa"/>
            <w:tcBorders>
              <w:top w:val="single" w:color="000000" w:sz="4" w:space="0"/>
              <w:left w:val="single" w:color="000000" w:sz="4" w:space="0"/>
              <w:bottom w:val="nil"/>
              <w:right w:val="single" w:color="000000" w:sz="4" w:space="0"/>
            </w:tcBorders>
            <w:shd w:val="clear" w:color="auto" w:fill="auto"/>
            <w:vAlign w:val="center"/>
          </w:tcPr>
          <w:p w14:paraId="58FF2C74">
            <w:pPr>
              <w:jc w:val="both"/>
              <w:rPr>
                <w:rFonts w:hint="eastAsia" w:ascii="宋体" w:hAnsi="宋体" w:eastAsia="宋体" w:cs="宋体"/>
                <w:i w:val="0"/>
                <w:iCs w:val="0"/>
                <w:color w:val="000000"/>
                <w:sz w:val="21"/>
                <w:szCs w:val="21"/>
                <w:u w:val="none"/>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3E72FBF0">
            <w:pPr>
              <w:jc w:val="both"/>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nil"/>
              <w:right w:val="single" w:color="000000" w:sz="4" w:space="0"/>
            </w:tcBorders>
            <w:shd w:val="clear" w:color="auto" w:fill="auto"/>
            <w:vAlign w:val="center"/>
          </w:tcPr>
          <w:p w14:paraId="58725E35">
            <w:pPr>
              <w:jc w:val="both"/>
              <w:rPr>
                <w:rFonts w:hint="eastAsia" w:ascii="宋体" w:hAnsi="宋体" w:eastAsia="宋体" w:cs="宋体"/>
                <w:i w:val="0"/>
                <w:iCs w:val="0"/>
                <w:color w:val="000000"/>
                <w:sz w:val="21"/>
                <w:szCs w:val="21"/>
                <w:u w:val="none"/>
              </w:rPr>
            </w:pPr>
          </w:p>
        </w:tc>
      </w:tr>
      <w:tr w14:paraId="58C2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06" w:type="dxa"/>
            <w:vMerge w:val="restart"/>
            <w:tcBorders>
              <w:top w:val="single" w:color="000000" w:sz="4" w:space="0"/>
              <w:left w:val="single" w:color="000000" w:sz="4" w:space="0"/>
              <w:bottom w:val="single" w:color="000000" w:sz="4" w:space="0"/>
              <w:right w:val="nil"/>
            </w:tcBorders>
            <w:shd w:val="clear" w:color="auto" w:fill="auto"/>
            <w:vAlign w:val="center"/>
          </w:tcPr>
          <w:p w14:paraId="23F27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施工单位</w:t>
            </w:r>
          </w:p>
        </w:tc>
        <w:tc>
          <w:tcPr>
            <w:tcW w:w="7440" w:type="dxa"/>
            <w:gridSpan w:val="6"/>
            <w:tcBorders>
              <w:top w:val="single" w:color="000000" w:sz="4" w:space="0"/>
              <w:left w:val="single" w:color="000000" w:sz="4" w:space="0"/>
              <w:bottom w:val="nil"/>
              <w:right w:val="single" w:color="000000" w:sz="4" w:space="0"/>
            </w:tcBorders>
            <w:shd w:val="clear" w:color="auto" w:fill="auto"/>
            <w:vAlign w:val="center"/>
          </w:tcPr>
          <w:p w14:paraId="55B73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施工单位（盖）：</w:t>
            </w:r>
          </w:p>
        </w:tc>
      </w:tr>
      <w:tr w14:paraId="4F77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6CA7707A">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155659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 项目经理（签字）：</w:t>
            </w:r>
          </w:p>
        </w:tc>
      </w:tr>
      <w:tr w14:paraId="1F5D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1554AAA5">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6954B6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 时间：</w:t>
            </w:r>
          </w:p>
        </w:tc>
      </w:tr>
      <w:tr w14:paraId="7532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106" w:type="dxa"/>
            <w:vMerge w:val="restart"/>
            <w:tcBorders>
              <w:top w:val="single" w:color="000000" w:sz="4" w:space="0"/>
              <w:left w:val="single" w:color="000000" w:sz="4" w:space="0"/>
              <w:bottom w:val="single" w:color="000000" w:sz="4" w:space="0"/>
              <w:right w:val="nil"/>
            </w:tcBorders>
            <w:shd w:val="clear" w:color="auto" w:fill="auto"/>
            <w:vAlign w:val="center"/>
          </w:tcPr>
          <w:p w14:paraId="5767A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监理单位</w:t>
            </w:r>
          </w:p>
        </w:tc>
        <w:tc>
          <w:tcPr>
            <w:tcW w:w="7440" w:type="dxa"/>
            <w:gridSpan w:val="6"/>
            <w:tcBorders>
              <w:top w:val="single" w:color="000000" w:sz="4" w:space="0"/>
              <w:left w:val="single" w:color="000000" w:sz="4" w:space="0"/>
              <w:bottom w:val="nil"/>
              <w:right w:val="single" w:color="000000" w:sz="4" w:space="0"/>
            </w:tcBorders>
            <w:shd w:val="clear" w:color="auto" w:fill="auto"/>
            <w:vAlign w:val="center"/>
          </w:tcPr>
          <w:p w14:paraId="69BFA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监理单位审核意见（盖）：</w:t>
            </w:r>
          </w:p>
        </w:tc>
      </w:tr>
      <w:tr w14:paraId="712E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693CDE40">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00C5C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经办人： 复核人：</w:t>
            </w:r>
          </w:p>
        </w:tc>
      </w:tr>
      <w:tr w14:paraId="3C58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53ABAFBC">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290BE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 日期：</w:t>
            </w:r>
          </w:p>
        </w:tc>
      </w:tr>
      <w:tr w14:paraId="4F1E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26763D2D">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single" w:color="000000" w:sz="4" w:space="0"/>
              <w:right w:val="single" w:color="000000" w:sz="4" w:space="0"/>
            </w:tcBorders>
            <w:shd w:val="clear" w:color="auto" w:fill="auto"/>
            <w:vAlign w:val="center"/>
          </w:tcPr>
          <w:p w14:paraId="04C84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项目负责人（签字）： 日期：</w:t>
            </w:r>
          </w:p>
        </w:tc>
      </w:tr>
      <w:tr w14:paraId="3764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5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造价咨询单位</w:t>
            </w:r>
          </w:p>
        </w:tc>
        <w:tc>
          <w:tcPr>
            <w:tcW w:w="7440" w:type="dxa"/>
            <w:gridSpan w:val="6"/>
            <w:tcBorders>
              <w:top w:val="nil"/>
              <w:left w:val="single" w:color="000000" w:sz="4" w:space="0"/>
              <w:bottom w:val="nil"/>
              <w:right w:val="single" w:color="000000" w:sz="4" w:space="0"/>
            </w:tcBorders>
            <w:shd w:val="clear" w:color="auto" w:fill="auto"/>
            <w:vAlign w:val="center"/>
          </w:tcPr>
          <w:p w14:paraId="6691B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造价咨询单位审核意见（章）：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经办人：  复核人：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日期：  日期：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项目负责人（签字）:  日期：</w:t>
            </w:r>
          </w:p>
        </w:tc>
      </w:tr>
      <w:tr w14:paraId="3A16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6" w:type="dxa"/>
            <w:vMerge w:val="restart"/>
            <w:tcBorders>
              <w:top w:val="single" w:color="000000" w:sz="4" w:space="0"/>
              <w:left w:val="single" w:color="000000" w:sz="4" w:space="0"/>
              <w:bottom w:val="single" w:color="000000" w:sz="4" w:space="0"/>
              <w:right w:val="nil"/>
            </w:tcBorders>
            <w:shd w:val="clear" w:color="auto" w:fill="auto"/>
            <w:vAlign w:val="center"/>
          </w:tcPr>
          <w:p w14:paraId="20E0B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建设单位</w:t>
            </w:r>
          </w:p>
        </w:tc>
        <w:tc>
          <w:tcPr>
            <w:tcW w:w="7440" w:type="dxa"/>
            <w:gridSpan w:val="6"/>
            <w:tcBorders>
              <w:top w:val="single" w:color="000000" w:sz="4" w:space="0"/>
              <w:left w:val="single" w:color="000000" w:sz="4" w:space="0"/>
              <w:bottom w:val="nil"/>
              <w:right w:val="single" w:color="000000" w:sz="4" w:space="0"/>
            </w:tcBorders>
            <w:shd w:val="clear" w:color="auto" w:fill="auto"/>
            <w:vAlign w:val="center"/>
          </w:tcPr>
          <w:p w14:paraId="719EEE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项目工程管理所意见：</w:t>
            </w:r>
          </w:p>
        </w:tc>
      </w:tr>
      <w:tr w14:paraId="7A20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247C076E">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59311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（签字）： 日期：</w:t>
            </w:r>
          </w:p>
        </w:tc>
      </w:tr>
      <w:tr w14:paraId="3B28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2762014B">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585D6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项目成本合约处意见：</w:t>
            </w:r>
          </w:p>
        </w:tc>
      </w:tr>
      <w:tr w14:paraId="6C22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2E747B5C">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64B37E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（签字）： 日期：</w:t>
            </w:r>
          </w:p>
        </w:tc>
      </w:tr>
      <w:tr w14:paraId="4A0E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7DB729E3">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nil"/>
              <w:right w:val="single" w:color="000000" w:sz="4" w:space="0"/>
            </w:tcBorders>
            <w:shd w:val="clear" w:color="auto" w:fill="auto"/>
            <w:vAlign w:val="center"/>
          </w:tcPr>
          <w:p w14:paraId="0816B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项目负责人意见：</w:t>
            </w:r>
          </w:p>
        </w:tc>
      </w:tr>
      <w:tr w14:paraId="131B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106" w:type="dxa"/>
            <w:vMerge w:val="continue"/>
            <w:tcBorders>
              <w:top w:val="single" w:color="000000" w:sz="4" w:space="0"/>
              <w:left w:val="single" w:color="000000" w:sz="4" w:space="0"/>
              <w:bottom w:val="single" w:color="000000" w:sz="4" w:space="0"/>
              <w:right w:val="nil"/>
            </w:tcBorders>
            <w:shd w:val="clear" w:color="auto" w:fill="auto"/>
            <w:vAlign w:val="center"/>
          </w:tcPr>
          <w:p w14:paraId="32093030">
            <w:pPr>
              <w:jc w:val="left"/>
              <w:rPr>
                <w:rFonts w:hint="eastAsia" w:ascii="宋体" w:hAnsi="宋体" w:eastAsia="宋体" w:cs="宋体"/>
                <w:i w:val="0"/>
                <w:iCs w:val="0"/>
                <w:color w:val="000000"/>
                <w:sz w:val="21"/>
                <w:szCs w:val="21"/>
                <w:u w:val="none"/>
              </w:rPr>
            </w:pPr>
          </w:p>
        </w:tc>
        <w:tc>
          <w:tcPr>
            <w:tcW w:w="7440" w:type="dxa"/>
            <w:gridSpan w:val="6"/>
            <w:tcBorders>
              <w:top w:val="nil"/>
              <w:left w:val="single" w:color="000000" w:sz="4" w:space="0"/>
              <w:bottom w:val="single" w:color="000000" w:sz="4" w:space="0"/>
              <w:right w:val="single" w:color="000000" w:sz="4" w:space="0"/>
            </w:tcBorders>
            <w:shd w:val="clear" w:color="auto" w:fill="auto"/>
            <w:vAlign w:val="center"/>
          </w:tcPr>
          <w:p w14:paraId="6F3BB4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（签字）： 日期： 建设单位（盖）：</w:t>
            </w:r>
          </w:p>
        </w:tc>
      </w:tr>
      <w:tr w14:paraId="5ECF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4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6F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说明：1、此表一式六份，由施工单位上报至监理公司，由建设单位审定后，将审核意见同时返回施工单位及监理公司。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2、此表上报时应附设计变更通知单/签证记录单等，及新增单价分析表等。</w:t>
            </w:r>
          </w:p>
        </w:tc>
      </w:tr>
      <w:tr w14:paraId="098B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4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0580">
            <w:pPr>
              <w:jc w:val="left"/>
              <w:rPr>
                <w:rFonts w:hint="eastAsia" w:ascii="宋体" w:hAnsi="宋体" w:eastAsia="宋体" w:cs="宋体"/>
                <w:i w:val="0"/>
                <w:iCs w:val="0"/>
                <w:color w:val="000000"/>
                <w:sz w:val="21"/>
                <w:szCs w:val="21"/>
                <w:u w:val="none"/>
              </w:rPr>
            </w:pPr>
          </w:p>
        </w:tc>
      </w:tr>
    </w:tbl>
    <w:p w14:paraId="1F158FC9">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6A4E">
    <w:pPr>
      <w:pStyle w:val="15"/>
      <w:framePr w:wrap="around" w:vAnchor="text" w:hAnchor="margin" w:xAlign="center" w:y="1"/>
      <w:rPr>
        <w:rStyle w:val="26"/>
      </w:rPr>
    </w:pPr>
    <w:r>
      <w:fldChar w:fldCharType="begin"/>
    </w:r>
    <w:r>
      <w:rPr>
        <w:rStyle w:val="26"/>
      </w:rPr>
      <w:instrText xml:space="preserve">PAGE  </w:instrText>
    </w:r>
    <w:r>
      <w:fldChar w:fldCharType="end"/>
    </w:r>
  </w:p>
  <w:p w14:paraId="4E2BEDA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CFE5">
    <w:pPr>
      <w:pStyle w:val="15"/>
      <w:jc w:val="center"/>
    </w:pPr>
    <w:r>
      <w:fldChar w:fldCharType="begin"/>
    </w:r>
    <w:r>
      <w:instrText xml:space="preserve"> PAGE   \* MERGEFORMAT </w:instrText>
    </w:r>
    <w:r>
      <w:fldChar w:fldCharType="separate"/>
    </w:r>
    <w:r>
      <w:rPr>
        <w:lang w:val="zh-CN"/>
      </w:rPr>
      <w:t>1</w:t>
    </w:r>
    <w:r>
      <w:fldChar w:fldCharType="end"/>
    </w:r>
  </w:p>
  <w:p w14:paraId="3C94D38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01B7">
    <w:pPr>
      <w:pStyle w:val="15"/>
      <w:jc w:val="center"/>
    </w:pPr>
    <w:r>
      <w:fldChar w:fldCharType="begin"/>
    </w:r>
    <w:r>
      <w:instrText xml:space="preserve"> PAGE   \* MERGEFORMAT </w:instrText>
    </w:r>
    <w:r>
      <w:fldChar w:fldCharType="separate"/>
    </w:r>
    <w:r>
      <w:rPr>
        <w:lang w:val="zh-CN"/>
      </w:rPr>
      <w:t>6</w:t>
    </w:r>
    <w:r>
      <w:fldChar w:fldCharType="end"/>
    </w:r>
  </w:p>
  <w:p w14:paraId="1A4838D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97F4">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172085" cy="27813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72085" cy="278130"/>
                      </a:xfrm>
                      <a:prstGeom prst="rect">
                        <a:avLst/>
                      </a:prstGeom>
                      <a:noFill/>
                      <a:ln w="9525">
                        <a:noFill/>
                      </a:ln>
                      <a:effectLst/>
                    </wps:spPr>
                    <wps:txbx>
                      <w:txbxContent>
                        <w:p w14:paraId="2DCFFA56">
                          <w:pPr>
                            <w:pStyle w:val="15"/>
                            <w:jc w:val="both"/>
                            <w:rPr>
                              <w:rStyle w:val="26"/>
                            </w:rPr>
                          </w:pPr>
                          <w:r>
                            <w:fldChar w:fldCharType="begin"/>
                          </w:r>
                          <w:r>
                            <w:rPr>
                              <w:rStyle w:val="26"/>
                            </w:rPr>
                            <w:instrText xml:space="preserve">PAGE  </w:instrText>
                          </w:r>
                          <w:r>
                            <w:fldChar w:fldCharType="separate"/>
                          </w:r>
                          <w:r>
                            <w:rPr>
                              <w:rStyle w:val="26"/>
                            </w:rPr>
                            <w:t>97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3.55pt;height:21.9pt;width:13.55pt;mso-position-horizontal:center;mso-position-horizontal-relative:margin;mso-wrap-style:none;z-index:251659264;mso-width-relative:page;mso-height-relative:page;" filled="f" stroked="f" coordsize="21600,21600" o:gfxdata="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GmSbSAAAABgEAAA8AAAAAAAAAAQAgAAAA&#10;IgAAAGRycy9kb3ducmV2LnhtbFBLAQIUABQAAAAIAIdO4kABIMkY2AEAAKYDAAAOAAAAAAAAAAEA&#10;IAAAACEBAABkcnMvZTJvRG9jLnhtbFBLBQYAAAAABgAGAFkBAABrBQAAAAA=&#10;">
              <v:fill on="f" focussize="0,0"/>
              <v:stroke on="f"/>
              <v:imagedata o:title=""/>
              <o:lock v:ext="edit" aspectratio="f"/>
              <v:textbox inset="0mm,0mm,0mm,0mm" style="mso-fit-shape-to-text:t;">
                <w:txbxContent>
                  <w:p w14:paraId="2DCFFA56">
                    <w:pPr>
                      <w:pStyle w:val="15"/>
                      <w:jc w:val="both"/>
                      <w:rPr>
                        <w:rStyle w:val="26"/>
                      </w:rPr>
                    </w:pPr>
                    <w:r>
                      <w:fldChar w:fldCharType="begin"/>
                    </w:r>
                    <w:r>
                      <w:rPr>
                        <w:rStyle w:val="26"/>
                      </w:rPr>
                      <w:instrText xml:space="preserve">PAGE  </w:instrText>
                    </w:r>
                    <w:r>
                      <w:fldChar w:fldCharType="separate"/>
                    </w:r>
                    <w:r>
                      <w:rPr>
                        <w:rStyle w:val="26"/>
                      </w:rP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D80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7EE90"/>
    <w:multiLevelType w:val="singleLevel"/>
    <w:tmpl w:val="B867EE90"/>
    <w:lvl w:ilvl="0" w:tentative="0">
      <w:start w:val="1"/>
      <w:numFmt w:val="decimal"/>
      <w:suff w:val="nothing"/>
      <w:lvlText w:val="（%1）"/>
      <w:lvlJc w:val="left"/>
    </w:lvl>
  </w:abstractNum>
  <w:abstractNum w:abstractNumId="1">
    <w:nsid w:val="0000000C"/>
    <w:multiLevelType w:val="singleLevel"/>
    <w:tmpl w:val="0000000C"/>
    <w:lvl w:ilvl="0" w:tentative="0">
      <w:start w:val="2"/>
      <w:numFmt w:val="decimal"/>
      <w:suff w:val="nothing"/>
      <w:lvlText w:val="%1、"/>
      <w:lvlJc w:val="left"/>
    </w:lvl>
  </w:abstractNum>
  <w:abstractNum w:abstractNumId="2">
    <w:nsid w:val="0000000E"/>
    <w:multiLevelType w:val="singleLevel"/>
    <w:tmpl w:val="0000000E"/>
    <w:lvl w:ilvl="0" w:tentative="0">
      <w:start w:val="3"/>
      <w:numFmt w:val="decimal"/>
      <w:suff w:val="nothing"/>
      <w:lvlText w:val="%1、"/>
      <w:lvlJc w:val="left"/>
    </w:lvl>
  </w:abstractNum>
  <w:abstractNum w:abstractNumId="3">
    <w:nsid w:val="00000011"/>
    <w:multiLevelType w:val="multilevel"/>
    <w:tmpl w:val="00000011"/>
    <w:lvl w:ilvl="0" w:tentative="0">
      <w:start w:val="1"/>
      <w:numFmt w:val="decimal"/>
      <w:suff w:val="space"/>
      <w:lvlText w:val="%1、"/>
      <w:lvlJc w:val="left"/>
      <w:pPr>
        <w:ind w:left="420" w:hanging="420"/>
      </w:pPr>
      <w:rPr>
        <w:rFonts w:hint="default"/>
        <w:b/>
        <w:sz w:val="2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47E0042E"/>
    <w:multiLevelType w:val="singleLevel"/>
    <w:tmpl w:val="47E0042E"/>
    <w:lvl w:ilvl="0" w:tentative="0">
      <w:start w:val="1"/>
      <w:numFmt w:val="chineseCounting"/>
      <w:suff w:val="space"/>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DU3MzAwMDI3YzhkOGIyM2IzMjM2MTM3ZjY3ZTQifQ=="/>
  </w:docVars>
  <w:rsids>
    <w:rsidRoot w:val="005909C4"/>
    <w:rsid w:val="00011347"/>
    <w:rsid w:val="00013E76"/>
    <w:rsid w:val="00023AEB"/>
    <w:rsid w:val="00025B2F"/>
    <w:rsid w:val="0004057F"/>
    <w:rsid w:val="000451CD"/>
    <w:rsid w:val="00047872"/>
    <w:rsid w:val="00061723"/>
    <w:rsid w:val="00081ED3"/>
    <w:rsid w:val="00084AE8"/>
    <w:rsid w:val="00090024"/>
    <w:rsid w:val="000915C8"/>
    <w:rsid w:val="0009481B"/>
    <w:rsid w:val="000B51E1"/>
    <w:rsid w:val="000C0989"/>
    <w:rsid w:val="000D04F6"/>
    <w:rsid w:val="000D4FF6"/>
    <w:rsid w:val="000D790B"/>
    <w:rsid w:val="000D7F16"/>
    <w:rsid w:val="000E1103"/>
    <w:rsid w:val="000F095F"/>
    <w:rsid w:val="00104CD3"/>
    <w:rsid w:val="0011068D"/>
    <w:rsid w:val="00114320"/>
    <w:rsid w:val="001269B3"/>
    <w:rsid w:val="001300CE"/>
    <w:rsid w:val="00136366"/>
    <w:rsid w:val="0013782A"/>
    <w:rsid w:val="001420A7"/>
    <w:rsid w:val="00144A74"/>
    <w:rsid w:val="00152618"/>
    <w:rsid w:val="001529B3"/>
    <w:rsid w:val="00166847"/>
    <w:rsid w:val="001726C0"/>
    <w:rsid w:val="001742E6"/>
    <w:rsid w:val="0017581C"/>
    <w:rsid w:val="00176527"/>
    <w:rsid w:val="001938CD"/>
    <w:rsid w:val="001A22BB"/>
    <w:rsid w:val="001A428E"/>
    <w:rsid w:val="001B0182"/>
    <w:rsid w:val="001B0723"/>
    <w:rsid w:val="001B63D8"/>
    <w:rsid w:val="001B77DC"/>
    <w:rsid w:val="001D0D1E"/>
    <w:rsid w:val="001E3258"/>
    <w:rsid w:val="001F768C"/>
    <w:rsid w:val="00202046"/>
    <w:rsid w:val="002049CC"/>
    <w:rsid w:val="00235AA3"/>
    <w:rsid w:val="00237847"/>
    <w:rsid w:val="00257D1C"/>
    <w:rsid w:val="00260BBF"/>
    <w:rsid w:val="00270B65"/>
    <w:rsid w:val="00277A8F"/>
    <w:rsid w:val="00283D80"/>
    <w:rsid w:val="0028509A"/>
    <w:rsid w:val="0029007F"/>
    <w:rsid w:val="00291FB3"/>
    <w:rsid w:val="00297295"/>
    <w:rsid w:val="002B1A9D"/>
    <w:rsid w:val="002C6B8E"/>
    <w:rsid w:val="002D50FA"/>
    <w:rsid w:val="002D599F"/>
    <w:rsid w:val="002F486E"/>
    <w:rsid w:val="00314803"/>
    <w:rsid w:val="0032035D"/>
    <w:rsid w:val="00340868"/>
    <w:rsid w:val="00340E5F"/>
    <w:rsid w:val="00342B8D"/>
    <w:rsid w:val="00350F21"/>
    <w:rsid w:val="00352DFE"/>
    <w:rsid w:val="00370319"/>
    <w:rsid w:val="00372D2F"/>
    <w:rsid w:val="00376811"/>
    <w:rsid w:val="0038435C"/>
    <w:rsid w:val="00391570"/>
    <w:rsid w:val="00394B62"/>
    <w:rsid w:val="003A07FD"/>
    <w:rsid w:val="003D1235"/>
    <w:rsid w:val="003D2FE1"/>
    <w:rsid w:val="003D5088"/>
    <w:rsid w:val="003E5CA4"/>
    <w:rsid w:val="003F041B"/>
    <w:rsid w:val="003F0B22"/>
    <w:rsid w:val="003F1C40"/>
    <w:rsid w:val="00401125"/>
    <w:rsid w:val="004042A0"/>
    <w:rsid w:val="00412C38"/>
    <w:rsid w:val="004145FF"/>
    <w:rsid w:val="00416DDE"/>
    <w:rsid w:val="0042087A"/>
    <w:rsid w:val="0042766B"/>
    <w:rsid w:val="00427EA7"/>
    <w:rsid w:val="0044472D"/>
    <w:rsid w:val="00450556"/>
    <w:rsid w:val="00466E35"/>
    <w:rsid w:val="00473E14"/>
    <w:rsid w:val="004849BB"/>
    <w:rsid w:val="00485828"/>
    <w:rsid w:val="00486783"/>
    <w:rsid w:val="00493D3B"/>
    <w:rsid w:val="004A1D19"/>
    <w:rsid w:val="004A290B"/>
    <w:rsid w:val="004C25BD"/>
    <w:rsid w:val="004C2FB0"/>
    <w:rsid w:val="004C4B54"/>
    <w:rsid w:val="004C7E7C"/>
    <w:rsid w:val="004D17CB"/>
    <w:rsid w:val="004D73FC"/>
    <w:rsid w:val="004E6D11"/>
    <w:rsid w:val="004F433D"/>
    <w:rsid w:val="00503C71"/>
    <w:rsid w:val="005151D5"/>
    <w:rsid w:val="00540788"/>
    <w:rsid w:val="0055526C"/>
    <w:rsid w:val="00564CF9"/>
    <w:rsid w:val="00565483"/>
    <w:rsid w:val="0058282F"/>
    <w:rsid w:val="005909C4"/>
    <w:rsid w:val="00590B1A"/>
    <w:rsid w:val="00592DA9"/>
    <w:rsid w:val="005B11A7"/>
    <w:rsid w:val="005B237B"/>
    <w:rsid w:val="005D6C0F"/>
    <w:rsid w:val="005D7D60"/>
    <w:rsid w:val="005F2058"/>
    <w:rsid w:val="005F21E7"/>
    <w:rsid w:val="00602AC4"/>
    <w:rsid w:val="0061226B"/>
    <w:rsid w:val="00613BB8"/>
    <w:rsid w:val="00617EC2"/>
    <w:rsid w:val="006248E6"/>
    <w:rsid w:val="006253CC"/>
    <w:rsid w:val="0062559E"/>
    <w:rsid w:val="006256DC"/>
    <w:rsid w:val="00626121"/>
    <w:rsid w:val="0063310C"/>
    <w:rsid w:val="0064160F"/>
    <w:rsid w:val="00656311"/>
    <w:rsid w:val="00665079"/>
    <w:rsid w:val="0067226C"/>
    <w:rsid w:val="00684857"/>
    <w:rsid w:val="006923BE"/>
    <w:rsid w:val="006A0318"/>
    <w:rsid w:val="006A5C47"/>
    <w:rsid w:val="006B06D7"/>
    <w:rsid w:val="006D6A17"/>
    <w:rsid w:val="006E3E7A"/>
    <w:rsid w:val="006F5A49"/>
    <w:rsid w:val="006F5E86"/>
    <w:rsid w:val="006F7372"/>
    <w:rsid w:val="00732975"/>
    <w:rsid w:val="007333F2"/>
    <w:rsid w:val="00750AF5"/>
    <w:rsid w:val="0075380C"/>
    <w:rsid w:val="007560A2"/>
    <w:rsid w:val="0076053A"/>
    <w:rsid w:val="00772B30"/>
    <w:rsid w:val="007848AF"/>
    <w:rsid w:val="007917E7"/>
    <w:rsid w:val="007A0765"/>
    <w:rsid w:val="007A15D4"/>
    <w:rsid w:val="007B2602"/>
    <w:rsid w:val="007B3193"/>
    <w:rsid w:val="007D280C"/>
    <w:rsid w:val="007E047B"/>
    <w:rsid w:val="008058E0"/>
    <w:rsid w:val="00810163"/>
    <w:rsid w:val="00825984"/>
    <w:rsid w:val="00843A2D"/>
    <w:rsid w:val="00850143"/>
    <w:rsid w:val="00854CEB"/>
    <w:rsid w:val="0085671F"/>
    <w:rsid w:val="008A02DB"/>
    <w:rsid w:val="008A0F92"/>
    <w:rsid w:val="008A3A47"/>
    <w:rsid w:val="008A4F6A"/>
    <w:rsid w:val="008B6F9C"/>
    <w:rsid w:val="008E075D"/>
    <w:rsid w:val="008E1E8A"/>
    <w:rsid w:val="008E2A86"/>
    <w:rsid w:val="008E6BA1"/>
    <w:rsid w:val="008F77CD"/>
    <w:rsid w:val="00903C44"/>
    <w:rsid w:val="00904C07"/>
    <w:rsid w:val="009165F4"/>
    <w:rsid w:val="009213B3"/>
    <w:rsid w:val="00921FC5"/>
    <w:rsid w:val="009262F6"/>
    <w:rsid w:val="00930D25"/>
    <w:rsid w:val="009357BF"/>
    <w:rsid w:val="00954E31"/>
    <w:rsid w:val="00960C7C"/>
    <w:rsid w:val="00981A00"/>
    <w:rsid w:val="00992003"/>
    <w:rsid w:val="009956C8"/>
    <w:rsid w:val="009A3D4C"/>
    <w:rsid w:val="009B55CB"/>
    <w:rsid w:val="009D3BDC"/>
    <w:rsid w:val="009D4EAA"/>
    <w:rsid w:val="009D54E5"/>
    <w:rsid w:val="009E1993"/>
    <w:rsid w:val="009F1659"/>
    <w:rsid w:val="00A04104"/>
    <w:rsid w:val="00A12758"/>
    <w:rsid w:val="00A214F8"/>
    <w:rsid w:val="00A25964"/>
    <w:rsid w:val="00A2612E"/>
    <w:rsid w:val="00A26143"/>
    <w:rsid w:val="00A30473"/>
    <w:rsid w:val="00A50BFB"/>
    <w:rsid w:val="00A67E7C"/>
    <w:rsid w:val="00A7165C"/>
    <w:rsid w:val="00A72DA3"/>
    <w:rsid w:val="00A85D2A"/>
    <w:rsid w:val="00A90A57"/>
    <w:rsid w:val="00A91022"/>
    <w:rsid w:val="00A96841"/>
    <w:rsid w:val="00AA1981"/>
    <w:rsid w:val="00AA34A1"/>
    <w:rsid w:val="00AA4866"/>
    <w:rsid w:val="00AA79B5"/>
    <w:rsid w:val="00AB139B"/>
    <w:rsid w:val="00AB41B4"/>
    <w:rsid w:val="00AC769C"/>
    <w:rsid w:val="00AC7DE5"/>
    <w:rsid w:val="00AE47A8"/>
    <w:rsid w:val="00AF3821"/>
    <w:rsid w:val="00AF6A11"/>
    <w:rsid w:val="00B046EC"/>
    <w:rsid w:val="00B0786E"/>
    <w:rsid w:val="00B10A94"/>
    <w:rsid w:val="00B1700A"/>
    <w:rsid w:val="00B171FD"/>
    <w:rsid w:val="00B21934"/>
    <w:rsid w:val="00B21C49"/>
    <w:rsid w:val="00B26E76"/>
    <w:rsid w:val="00B2718F"/>
    <w:rsid w:val="00B441CE"/>
    <w:rsid w:val="00B54ECE"/>
    <w:rsid w:val="00B6008D"/>
    <w:rsid w:val="00B65B34"/>
    <w:rsid w:val="00B81760"/>
    <w:rsid w:val="00B823A4"/>
    <w:rsid w:val="00B90870"/>
    <w:rsid w:val="00B90978"/>
    <w:rsid w:val="00BA443D"/>
    <w:rsid w:val="00BB0288"/>
    <w:rsid w:val="00BC01BF"/>
    <w:rsid w:val="00BC47D7"/>
    <w:rsid w:val="00BE7BA7"/>
    <w:rsid w:val="00BF3E33"/>
    <w:rsid w:val="00BF650B"/>
    <w:rsid w:val="00C02055"/>
    <w:rsid w:val="00C07C9C"/>
    <w:rsid w:val="00C32109"/>
    <w:rsid w:val="00C332DF"/>
    <w:rsid w:val="00C504F9"/>
    <w:rsid w:val="00C5308C"/>
    <w:rsid w:val="00C6040B"/>
    <w:rsid w:val="00C65508"/>
    <w:rsid w:val="00C70868"/>
    <w:rsid w:val="00C72050"/>
    <w:rsid w:val="00C74A69"/>
    <w:rsid w:val="00C85B2C"/>
    <w:rsid w:val="00C925EE"/>
    <w:rsid w:val="00CB66DF"/>
    <w:rsid w:val="00CB748A"/>
    <w:rsid w:val="00CB7873"/>
    <w:rsid w:val="00CC536E"/>
    <w:rsid w:val="00CC5637"/>
    <w:rsid w:val="00CF40DC"/>
    <w:rsid w:val="00D11DF3"/>
    <w:rsid w:val="00D15DAA"/>
    <w:rsid w:val="00D24926"/>
    <w:rsid w:val="00D44BC2"/>
    <w:rsid w:val="00D55F47"/>
    <w:rsid w:val="00D57988"/>
    <w:rsid w:val="00D61BB8"/>
    <w:rsid w:val="00D64E99"/>
    <w:rsid w:val="00D84AF0"/>
    <w:rsid w:val="00D90D8E"/>
    <w:rsid w:val="00DA6C21"/>
    <w:rsid w:val="00DB1E0B"/>
    <w:rsid w:val="00DB691D"/>
    <w:rsid w:val="00DC32CE"/>
    <w:rsid w:val="00DE6CFC"/>
    <w:rsid w:val="00DE7748"/>
    <w:rsid w:val="00DF04E7"/>
    <w:rsid w:val="00DF6BE4"/>
    <w:rsid w:val="00E06A95"/>
    <w:rsid w:val="00E07B85"/>
    <w:rsid w:val="00E137C9"/>
    <w:rsid w:val="00E14F59"/>
    <w:rsid w:val="00E31D2C"/>
    <w:rsid w:val="00E442FD"/>
    <w:rsid w:val="00E70947"/>
    <w:rsid w:val="00E73F0D"/>
    <w:rsid w:val="00E802C0"/>
    <w:rsid w:val="00E82F46"/>
    <w:rsid w:val="00E83233"/>
    <w:rsid w:val="00E90F78"/>
    <w:rsid w:val="00E92D64"/>
    <w:rsid w:val="00EA197B"/>
    <w:rsid w:val="00EA6C15"/>
    <w:rsid w:val="00EB52EA"/>
    <w:rsid w:val="00EC6D1B"/>
    <w:rsid w:val="00EE25DF"/>
    <w:rsid w:val="00EE4D79"/>
    <w:rsid w:val="00EF18B5"/>
    <w:rsid w:val="00EF75CE"/>
    <w:rsid w:val="00F17969"/>
    <w:rsid w:val="00F24978"/>
    <w:rsid w:val="00F50A50"/>
    <w:rsid w:val="00F568F3"/>
    <w:rsid w:val="00F56FA8"/>
    <w:rsid w:val="00F602C2"/>
    <w:rsid w:val="00F62993"/>
    <w:rsid w:val="00F875C1"/>
    <w:rsid w:val="00FA10E8"/>
    <w:rsid w:val="00FA5A6C"/>
    <w:rsid w:val="00FA7E64"/>
    <w:rsid w:val="00FD3985"/>
    <w:rsid w:val="00FF34EE"/>
    <w:rsid w:val="011C1AB3"/>
    <w:rsid w:val="01394A30"/>
    <w:rsid w:val="015C7D03"/>
    <w:rsid w:val="018A58CB"/>
    <w:rsid w:val="01944054"/>
    <w:rsid w:val="019D55FE"/>
    <w:rsid w:val="02022076"/>
    <w:rsid w:val="021E4FB8"/>
    <w:rsid w:val="02330E0C"/>
    <w:rsid w:val="02944B2E"/>
    <w:rsid w:val="02964D59"/>
    <w:rsid w:val="02C80179"/>
    <w:rsid w:val="03662CAF"/>
    <w:rsid w:val="039F4938"/>
    <w:rsid w:val="03D4614D"/>
    <w:rsid w:val="0400680D"/>
    <w:rsid w:val="04912ACD"/>
    <w:rsid w:val="050339C8"/>
    <w:rsid w:val="05731D50"/>
    <w:rsid w:val="05F03A97"/>
    <w:rsid w:val="05FC2F69"/>
    <w:rsid w:val="060B402A"/>
    <w:rsid w:val="06D27AF8"/>
    <w:rsid w:val="06F12ADA"/>
    <w:rsid w:val="07314B59"/>
    <w:rsid w:val="07905B50"/>
    <w:rsid w:val="085043A5"/>
    <w:rsid w:val="08504A1F"/>
    <w:rsid w:val="0862654D"/>
    <w:rsid w:val="08784A41"/>
    <w:rsid w:val="09216B15"/>
    <w:rsid w:val="093210E5"/>
    <w:rsid w:val="094D1913"/>
    <w:rsid w:val="09A46931"/>
    <w:rsid w:val="09AD3BFF"/>
    <w:rsid w:val="0A741969"/>
    <w:rsid w:val="0AA736C5"/>
    <w:rsid w:val="0AE305A4"/>
    <w:rsid w:val="0B090E44"/>
    <w:rsid w:val="0B1B2728"/>
    <w:rsid w:val="0B3768D7"/>
    <w:rsid w:val="0B5F0311"/>
    <w:rsid w:val="0BB2614A"/>
    <w:rsid w:val="0C49746F"/>
    <w:rsid w:val="0C6210AB"/>
    <w:rsid w:val="0C776A4C"/>
    <w:rsid w:val="0C9C460A"/>
    <w:rsid w:val="0D2B5BA2"/>
    <w:rsid w:val="0DDE7470"/>
    <w:rsid w:val="0E541A88"/>
    <w:rsid w:val="0EB34359"/>
    <w:rsid w:val="0EE77F98"/>
    <w:rsid w:val="0F5217C5"/>
    <w:rsid w:val="0FD20FCA"/>
    <w:rsid w:val="101F1ADF"/>
    <w:rsid w:val="10AE0101"/>
    <w:rsid w:val="110B1119"/>
    <w:rsid w:val="11390774"/>
    <w:rsid w:val="11EF53B0"/>
    <w:rsid w:val="12385D22"/>
    <w:rsid w:val="125F3D22"/>
    <w:rsid w:val="12B04DF0"/>
    <w:rsid w:val="12D01628"/>
    <w:rsid w:val="12FD414F"/>
    <w:rsid w:val="132628B8"/>
    <w:rsid w:val="133964A4"/>
    <w:rsid w:val="14357918"/>
    <w:rsid w:val="1457788F"/>
    <w:rsid w:val="14987219"/>
    <w:rsid w:val="14C2571A"/>
    <w:rsid w:val="14EC2A7B"/>
    <w:rsid w:val="152C2AC9"/>
    <w:rsid w:val="1551577A"/>
    <w:rsid w:val="155F0445"/>
    <w:rsid w:val="15A152F9"/>
    <w:rsid w:val="15B914BE"/>
    <w:rsid w:val="163770DD"/>
    <w:rsid w:val="164B6F7F"/>
    <w:rsid w:val="16AE750E"/>
    <w:rsid w:val="16BC7087"/>
    <w:rsid w:val="171F0A6C"/>
    <w:rsid w:val="17DF6902"/>
    <w:rsid w:val="17E65438"/>
    <w:rsid w:val="186870BA"/>
    <w:rsid w:val="187B7E6D"/>
    <w:rsid w:val="189A0E3F"/>
    <w:rsid w:val="18AA5631"/>
    <w:rsid w:val="193F1319"/>
    <w:rsid w:val="19C35DB1"/>
    <w:rsid w:val="19C534C4"/>
    <w:rsid w:val="1A1826B0"/>
    <w:rsid w:val="1A846C80"/>
    <w:rsid w:val="1A943BE0"/>
    <w:rsid w:val="1AB772D9"/>
    <w:rsid w:val="1B5559E4"/>
    <w:rsid w:val="1B83540D"/>
    <w:rsid w:val="1B8A49B3"/>
    <w:rsid w:val="1B944352"/>
    <w:rsid w:val="1BD3564D"/>
    <w:rsid w:val="1BE44C56"/>
    <w:rsid w:val="1BFD6021"/>
    <w:rsid w:val="1C200ACE"/>
    <w:rsid w:val="1C700463"/>
    <w:rsid w:val="1CA94A00"/>
    <w:rsid w:val="1CB50E39"/>
    <w:rsid w:val="1D0C3788"/>
    <w:rsid w:val="1D217B32"/>
    <w:rsid w:val="1DAD34AC"/>
    <w:rsid w:val="1E193E07"/>
    <w:rsid w:val="1E7031A6"/>
    <w:rsid w:val="1ED47ED0"/>
    <w:rsid w:val="1F380DFE"/>
    <w:rsid w:val="1F560CBA"/>
    <w:rsid w:val="1F877CE7"/>
    <w:rsid w:val="1F941997"/>
    <w:rsid w:val="1FBB5AB6"/>
    <w:rsid w:val="1FC72DB9"/>
    <w:rsid w:val="1FC87597"/>
    <w:rsid w:val="200D38FE"/>
    <w:rsid w:val="205F1963"/>
    <w:rsid w:val="208004DF"/>
    <w:rsid w:val="208C731F"/>
    <w:rsid w:val="20A650ED"/>
    <w:rsid w:val="20E876B9"/>
    <w:rsid w:val="21443565"/>
    <w:rsid w:val="216C2FFE"/>
    <w:rsid w:val="21876D2B"/>
    <w:rsid w:val="21902F95"/>
    <w:rsid w:val="21DD6EFA"/>
    <w:rsid w:val="22267A7B"/>
    <w:rsid w:val="224F3AF6"/>
    <w:rsid w:val="233824F0"/>
    <w:rsid w:val="243B6457"/>
    <w:rsid w:val="24561911"/>
    <w:rsid w:val="246D6C5B"/>
    <w:rsid w:val="249C557D"/>
    <w:rsid w:val="24DF7C16"/>
    <w:rsid w:val="253A4D8F"/>
    <w:rsid w:val="25863FAB"/>
    <w:rsid w:val="25AE488C"/>
    <w:rsid w:val="25B85CB3"/>
    <w:rsid w:val="26415CA9"/>
    <w:rsid w:val="26597593"/>
    <w:rsid w:val="26D46B1D"/>
    <w:rsid w:val="26EA363F"/>
    <w:rsid w:val="271D6947"/>
    <w:rsid w:val="273C0C5D"/>
    <w:rsid w:val="273C471C"/>
    <w:rsid w:val="278E3192"/>
    <w:rsid w:val="27B36A9B"/>
    <w:rsid w:val="27FB29C1"/>
    <w:rsid w:val="28335115"/>
    <w:rsid w:val="284652A5"/>
    <w:rsid w:val="287C2FB3"/>
    <w:rsid w:val="28BE03A0"/>
    <w:rsid w:val="29031FB8"/>
    <w:rsid w:val="29301C25"/>
    <w:rsid w:val="29E92ECC"/>
    <w:rsid w:val="2A5F37FD"/>
    <w:rsid w:val="2ADE3F89"/>
    <w:rsid w:val="2AEC43C3"/>
    <w:rsid w:val="2AEF3A6B"/>
    <w:rsid w:val="2B275DB5"/>
    <w:rsid w:val="2B54003D"/>
    <w:rsid w:val="2B793765"/>
    <w:rsid w:val="2B7B1C5D"/>
    <w:rsid w:val="2BC863D1"/>
    <w:rsid w:val="2BCE19B5"/>
    <w:rsid w:val="2BE041B6"/>
    <w:rsid w:val="2C074853"/>
    <w:rsid w:val="2C27296A"/>
    <w:rsid w:val="2C5979C3"/>
    <w:rsid w:val="2C5D75B5"/>
    <w:rsid w:val="2C9F3BFB"/>
    <w:rsid w:val="2D032FFD"/>
    <w:rsid w:val="2D1D2582"/>
    <w:rsid w:val="2D3F380F"/>
    <w:rsid w:val="2D5B1D46"/>
    <w:rsid w:val="2D767832"/>
    <w:rsid w:val="2DDD029D"/>
    <w:rsid w:val="2F6E5F3A"/>
    <w:rsid w:val="2F7D786F"/>
    <w:rsid w:val="2FBB1F0B"/>
    <w:rsid w:val="2FF97A42"/>
    <w:rsid w:val="3011133D"/>
    <w:rsid w:val="30365839"/>
    <w:rsid w:val="30D83F7D"/>
    <w:rsid w:val="31003D80"/>
    <w:rsid w:val="313F6DA4"/>
    <w:rsid w:val="3194717C"/>
    <w:rsid w:val="31AB618F"/>
    <w:rsid w:val="31B57B1B"/>
    <w:rsid w:val="31FA6595"/>
    <w:rsid w:val="32194E00"/>
    <w:rsid w:val="322D6537"/>
    <w:rsid w:val="32303695"/>
    <w:rsid w:val="326D4B4E"/>
    <w:rsid w:val="332724C9"/>
    <w:rsid w:val="33EE30FE"/>
    <w:rsid w:val="3444193A"/>
    <w:rsid w:val="346040E6"/>
    <w:rsid w:val="347156CC"/>
    <w:rsid w:val="34940091"/>
    <w:rsid w:val="34D32B0A"/>
    <w:rsid w:val="34D6669B"/>
    <w:rsid w:val="3514374C"/>
    <w:rsid w:val="35177103"/>
    <w:rsid w:val="352B46F4"/>
    <w:rsid w:val="35600711"/>
    <w:rsid w:val="35611EC4"/>
    <w:rsid w:val="357E5CE1"/>
    <w:rsid w:val="359009FB"/>
    <w:rsid w:val="359C49C0"/>
    <w:rsid w:val="362D24BD"/>
    <w:rsid w:val="363C1CD2"/>
    <w:rsid w:val="36401AD9"/>
    <w:rsid w:val="3648146F"/>
    <w:rsid w:val="36681030"/>
    <w:rsid w:val="375D4352"/>
    <w:rsid w:val="37A054C8"/>
    <w:rsid w:val="37C83333"/>
    <w:rsid w:val="386175CD"/>
    <w:rsid w:val="38835502"/>
    <w:rsid w:val="38ED7091"/>
    <w:rsid w:val="391334D5"/>
    <w:rsid w:val="397228F1"/>
    <w:rsid w:val="398A7705"/>
    <w:rsid w:val="399B7695"/>
    <w:rsid w:val="3A0F2E83"/>
    <w:rsid w:val="3A2E26D9"/>
    <w:rsid w:val="3A7F3DEE"/>
    <w:rsid w:val="3A8723CC"/>
    <w:rsid w:val="3AD93C94"/>
    <w:rsid w:val="3AE17ED5"/>
    <w:rsid w:val="3B7E00CF"/>
    <w:rsid w:val="3BF4682F"/>
    <w:rsid w:val="3C02543A"/>
    <w:rsid w:val="3C3C2D43"/>
    <w:rsid w:val="3C3E0747"/>
    <w:rsid w:val="3C475388"/>
    <w:rsid w:val="3C674EB4"/>
    <w:rsid w:val="3C9459FD"/>
    <w:rsid w:val="3CB90837"/>
    <w:rsid w:val="3E331626"/>
    <w:rsid w:val="3E732E2B"/>
    <w:rsid w:val="3E761EF9"/>
    <w:rsid w:val="3EED33C0"/>
    <w:rsid w:val="3F2A5A21"/>
    <w:rsid w:val="3F406A62"/>
    <w:rsid w:val="3F885D4B"/>
    <w:rsid w:val="3FA119E3"/>
    <w:rsid w:val="404641B6"/>
    <w:rsid w:val="407331C0"/>
    <w:rsid w:val="40B27A77"/>
    <w:rsid w:val="40B55B74"/>
    <w:rsid w:val="40C8729B"/>
    <w:rsid w:val="40F736DC"/>
    <w:rsid w:val="415937E3"/>
    <w:rsid w:val="415E375B"/>
    <w:rsid w:val="4163302D"/>
    <w:rsid w:val="41770ACF"/>
    <w:rsid w:val="41B33AA7"/>
    <w:rsid w:val="41B900E3"/>
    <w:rsid w:val="41EA7608"/>
    <w:rsid w:val="426B495C"/>
    <w:rsid w:val="42817701"/>
    <w:rsid w:val="429C453B"/>
    <w:rsid w:val="42E3216A"/>
    <w:rsid w:val="43042C72"/>
    <w:rsid w:val="432B0899"/>
    <w:rsid w:val="433E3844"/>
    <w:rsid w:val="4346094B"/>
    <w:rsid w:val="438A6496"/>
    <w:rsid w:val="441E442A"/>
    <w:rsid w:val="442668A4"/>
    <w:rsid w:val="44425308"/>
    <w:rsid w:val="44FC5765"/>
    <w:rsid w:val="450B40EE"/>
    <w:rsid w:val="450D212B"/>
    <w:rsid w:val="45181E73"/>
    <w:rsid w:val="45687280"/>
    <w:rsid w:val="45724475"/>
    <w:rsid w:val="45A66D36"/>
    <w:rsid w:val="45F34DBA"/>
    <w:rsid w:val="45FC3543"/>
    <w:rsid w:val="460264AE"/>
    <w:rsid w:val="460E7281"/>
    <w:rsid w:val="46291BB1"/>
    <w:rsid w:val="462D60B2"/>
    <w:rsid w:val="464F276C"/>
    <w:rsid w:val="467A455C"/>
    <w:rsid w:val="46844BE7"/>
    <w:rsid w:val="470D30D1"/>
    <w:rsid w:val="47471532"/>
    <w:rsid w:val="47C337F0"/>
    <w:rsid w:val="47F14788"/>
    <w:rsid w:val="487E46E3"/>
    <w:rsid w:val="48816489"/>
    <w:rsid w:val="48A54274"/>
    <w:rsid w:val="48D057E8"/>
    <w:rsid w:val="48EF76DD"/>
    <w:rsid w:val="48FD17B3"/>
    <w:rsid w:val="49472F87"/>
    <w:rsid w:val="49EE77D9"/>
    <w:rsid w:val="4AB80C07"/>
    <w:rsid w:val="4B4A15CB"/>
    <w:rsid w:val="4B7B4D3D"/>
    <w:rsid w:val="4BA52BB9"/>
    <w:rsid w:val="4BB5782C"/>
    <w:rsid w:val="4C4E4FE0"/>
    <w:rsid w:val="4C7133B1"/>
    <w:rsid w:val="4D327854"/>
    <w:rsid w:val="4D490D30"/>
    <w:rsid w:val="4D561A2B"/>
    <w:rsid w:val="4D56760C"/>
    <w:rsid w:val="4DB6739E"/>
    <w:rsid w:val="4DEA4CF4"/>
    <w:rsid w:val="4E2420C1"/>
    <w:rsid w:val="4F563CC4"/>
    <w:rsid w:val="4FB1699E"/>
    <w:rsid w:val="4FEC0D7C"/>
    <w:rsid w:val="50AD4624"/>
    <w:rsid w:val="50BB169C"/>
    <w:rsid w:val="50DD28EE"/>
    <w:rsid w:val="510A0812"/>
    <w:rsid w:val="512A18AC"/>
    <w:rsid w:val="512E5041"/>
    <w:rsid w:val="52297F74"/>
    <w:rsid w:val="52630BD1"/>
    <w:rsid w:val="52812D58"/>
    <w:rsid w:val="52C00A54"/>
    <w:rsid w:val="52E31E5C"/>
    <w:rsid w:val="52F12681"/>
    <w:rsid w:val="530028C4"/>
    <w:rsid w:val="53547DC2"/>
    <w:rsid w:val="53911318"/>
    <w:rsid w:val="53F242EF"/>
    <w:rsid w:val="543A0058"/>
    <w:rsid w:val="54413194"/>
    <w:rsid w:val="547138FC"/>
    <w:rsid w:val="54DA7578"/>
    <w:rsid w:val="54F27A47"/>
    <w:rsid w:val="554D701A"/>
    <w:rsid w:val="55635C77"/>
    <w:rsid w:val="55AC6D33"/>
    <w:rsid w:val="56503B63"/>
    <w:rsid w:val="566762A9"/>
    <w:rsid w:val="5688385D"/>
    <w:rsid w:val="56AE0CBE"/>
    <w:rsid w:val="56C65BD3"/>
    <w:rsid w:val="56D55E16"/>
    <w:rsid w:val="57081D47"/>
    <w:rsid w:val="57372EE5"/>
    <w:rsid w:val="58740605"/>
    <w:rsid w:val="58B773CC"/>
    <w:rsid w:val="591D45AB"/>
    <w:rsid w:val="59602541"/>
    <w:rsid w:val="59696362"/>
    <w:rsid w:val="598E2D32"/>
    <w:rsid w:val="599C2D8A"/>
    <w:rsid w:val="59D44C40"/>
    <w:rsid w:val="5A065E77"/>
    <w:rsid w:val="5A0B11DD"/>
    <w:rsid w:val="5A0D771F"/>
    <w:rsid w:val="5A2B6EED"/>
    <w:rsid w:val="5A4C3568"/>
    <w:rsid w:val="5A5705AA"/>
    <w:rsid w:val="5A866282"/>
    <w:rsid w:val="5ABF4DA6"/>
    <w:rsid w:val="5B196E44"/>
    <w:rsid w:val="5B733C26"/>
    <w:rsid w:val="5B75027F"/>
    <w:rsid w:val="5BF57851"/>
    <w:rsid w:val="5C4718D6"/>
    <w:rsid w:val="5C613CC7"/>
    <w:rsid w:val="5D171F6E"/>
    <w:rsid w:val="5D2218C9"/>
    <w:rsid w:val="5D29413C"/>
    <w:rsid w:val="5D602736"/>
    <w:rsid w:val="5D8C2B4C"/>
    <w:rsid w:val="5DBA5079"/>
    <w:rsid w:val="5DD002F2"/>
    <w:rsid w:val="5E0E107A"/>
    <w:rsid w:val="5E4E2168"/>
    <w:rsid w:val="5EC944B2"/>
    <w:rsid w:val="5EF46E89"/>
    <w:rsid w:val="5F061262"/>
    <w:rsid w:val="5FD64226"/>
    <w:rsid w:val="600C4A73"/>
    <w:rsid w:val="60123C37"/>
    <w:rsid w:val="6022031E"/>
    <w:rsid w:val="602F5AC8"/>
    <w:rsid w:val="608521B9"/>
    <w:rsid w:val="60EC6236"/>
    <w:rsid w:val="61011FEB"/>
    <w:rsid w:val="621A4F61"/>
    <w:rsid w:val="6254681B"/>
    <w:rsid w:val="62A3482A"/>
    <w:rsid w:val="632D2AC8"/>
    <w:rsid w:val="63464323"/>
    <w:rsid w:val="63754818"/>
    <w:rsid w:val="639D2E82"/>
    <w:rsid w:val="63A926C6"/>
    <w:rsid w:val="63E06743"/>
    <w:rsid w:val="64002891"/>
    <w:rsid w:val="641152CD"/>
    <w:rsid w:val="64A543D7"/>
    <w:rsid w:val="64F05A7F"/>
    <w:rsid w:val="64F81A3A"/>
    <w:rsid w:val="654E0972"/>
    <w:rsid w:val="65867FF9"/>
    <w:rsid w:val="659F63A2"/>
    <w:rsid w:val="65F419C7"/>
    <w:rsid w:val="660A3242"/>
    <w:rsid w:val="665C20B0"/>
    <w:rsid w:val="66661747"/>
    <w:rsid w:val="66794933"/>
    <w:rsid w:val="66C35C8B"/>
    <w:rsid w:val="66D82167"/>
    <w:rsid w:val="6713164B"/>
    <w:rsid w:val="679A2E90"/>
    <w:rsid w:val="67AB0982"/>
    <w:rsid w:val="67C76014"/>
    <w:rsid w:val="67EB7247"/>
    <w:rsid w:val="67ED6B35"/>
    <w:rsid w:val="6840299A"/>
    <w:rsid w:val="687E381C"/>
    <w:rsid w:val="68DF0C54"/>
    <w:rsid w:val="69342E70"/>
    <w:rsid w:val="695449D8"/>
    <w:rsid w:val="69690064"/>
    <w:rsid w:val="696D4C19"/>
    <w:rsid w:val="696E618D"/>
    <w:rsid w:val="697A00D4"/>
    <w:rsid w:val="69A55B1C"/>
    <w:rsid w:val="69C91CC4"/>
    <w:rsid w:val="6A2E78BF"/>
    <w:rsid w:val="6A4700E5"/>
    <w:rsid w:val="6A4707B2"/>
    <w:rsid w:val="6AD45140"/>
    <w:rsid w:val="6AE90B46"/>
    <w:rsid w:val="6B741C4A"/>
    <w:rsid w:val="6B943942"/>
    <w:rsid w:val="6BDB3A77"/>
    <w:rsid w:val="6C557727"/>
    <w:rsid w:val="6C77022D"/>
    <w:rsid w:val="6CDE73D6"/>
    <w:rsid w:val="6CFD0E54"/>
    <w:rsid w:val="6D2E2789"/>
    <w:rsid w:val="6D324491"/>
    <w:rsid w:val="6D6D6B77"/>
    <w:rsid w:val="6DE8594C"/>
    <w:rsid w:val="6DFE389D"/>
    <w:rsid w:val="6E5E5257"/>
    <w:rsid w:val="6E7501D8"/>
    <w:rsid w:val="6E775CD9"/>
    <w:rsid w:val="6F410095"/>
    <w:rsid w:val="6F8367B7"/>
    <w:rsid w:val="6F8E1DC9"/>
    <w:rsid w:val="6FB410EE"/>
    <w:rsid w:val="701D5084"/>
    <w:rsid w:val="70C44AD9"/>
    <w:rsid w:val="70DE6CE2"/>
    <w:rsid w:val="71877BA9"/>
    <w:rsid w:val="719D21B7"/>
    <w:rsid w:val="722D7FEE"/>
    <w:rsid w:val="72F378F8"/>
    <w:rsid w:val="736F13C5"/>
    <w:rsid w:val="73D24A37"/>
    <w:rsid w:val="73D31D47"/>
    <w:rsid w:val="73FA710C"/>
    <w:rsid w:val="74493830"/>
    <w:rsid w:val="74562319"/>
    <w:rsid w:val="74745759"/>
    <w:rsid w:val="74C62534"/>
    <w:rsid w:val="74CF7F6C"/>
    <w:rsid w:val="75137DDD"/>
    <w:rsid w:val="7547779E"/>
    <w:rsid w:val="75CA1ADA"/>
    <w:rsid w:val="75CD2682"/>
    <w:rsid w:val="76050AC1"/>
    <w:rsid w:val="76182718"/>
    <w:rsid w:val="76194524"/>
    <w:rsid w:val="761D7C83"/>
    <w:rsid w:val="76303671"/>
    <w:rsid w:val="76740CC5"/>
    <w:rsid w:val="769C77F1"/>
    <w:rsid w:val="76D47B37"/>
    <w:rsid w:val="76DE0C1D"/>
    <w:rsid w:val="76F8372F"/>
    <w:rsid w:val="773659A0"/>
    <w:rsid w:val="77592EBD"/>
    <w:rsid w:val="778E2902"/>
    <w:rsid w:val="77A03EB8"/>
    <w:rsid w:val="77DD2319"/>
    <w:rsid w:val="78713799"/>
    <w:rsid w:val="78793A13"/>
    <w:rsid w:val="78882890"/>
    <w:rsid w:val="789A6D6E"/>
    <w:rsid w:val="79780F3A"/>
    <w:rsid w:val="79921C19"/>
    <w:rsid w:val="7A287CE2"/>
    <w:rsid w:val="7AC57DCC"/>
    <w:rsid w:val="7AD36C23"/>
    <w:rsid w:val="7B362F81"/>
    <w:rsid w:val="7C026108"/>
    <w:rsid w:val="7C1B7AA8"/>
    <w:rsid w:val="7C5566FE"/>
    <w:rsid w:val="7C5E58E4"/>
    <w:rsid w:val="7CCB6A38"/>
    <w:rsid w:val="7CDA65D0"/>
    <w:rsid w:val="7D234752"/>
    <w:rsid w:val="7D4333F6"/>
    <w:rsid w:val="7D547203"/>
    <w:rsid w:val="7DA13330"/>
    <w:rsid w:val="7DB743AE"/>
    <w:rsid w:val="7DF44ED8"/>
    <w:rsid w:val="7E48530E"/>
    <w:rsid w:val="7EB33002"/>
    <w:rsid w:val="7EC108AA"/>
    <w:rsid w:val="7F223B49"/>
    <w:rsid w:val="7F3B5439"/>
    <w:rsid w:val="7F48189C"/>
    <w:rsid w:val="7FDB3EAF"/>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5"/>
    <w:link w:val="34"/>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styleId="6">
    <w:name w:val="Normal Indent"/>
    <w:basedOn w:val="1"/>
    <w:qFormat/>
    <w:uiPriority w:val="0"/>
    <w:pPr>
      <w:ind w:firstLine="420" w:firstLineChars="200"/>
    </w:pPr>
    <w:rPr>
      <w:sz w:val="24"/>
      <w:szCs w:val="24"/>
    </w:rPr>
  </w:style>
  <w:style w:type="paragraph" w:styleId="7">
    <w:name w:val="Document Map"/>
    <w:basedOn w:val="1"/>
    <w:link w:val="35"/>
    <w:qFormat/>
    <w:uiPriority w:val="0"/>
    <w:pPr>
      <w:shd w:val="clear" w:color="auto" w:fill="000080"/>
    </w:pPr>
    <w:rPr>
      <w:kern w:val="0"/>
      <w:sz w:val="20"/>
    </w:rPr>
  </w:style>
  <w:style w:type="paragraph" w:styleId="8">
    <w:name w:val="annotation text"/>
    <w:basedOn w:val="1"/>
    <w:link w:val="36"/>
    <w:qFormat/>
    <w:uiPriority w:val="0"/>
    <w:pPr>
      <w:jc w:val="left"/>
    </w:pPr>
    <w:rPr>
      <w:kern w:val="0"/>
      <w:sz w:val="20"/>
    </w:rPr>
  </w:style>
  <w:style w:type="paragraph" w:styleId="9">
    <w:name w:val="Body Text"/>
    <w:basedOn w:val="1"/>
    <w:link w:val="29"/>
    <w:qFormat/>
    <w:uiPriority w:val="0"/>
    <w:pPr>
      <w:spacing w:after="120"/>
    </w:pPr>
    <w:rPr>
      <w:rFonts w:ascii="Times New Roman" w:hAnsi="Times New Roman"/>
      <w:kern w:val="0"/>
      <w:sz w:val="20"/>
    </w:rPr>
  </w:style>
  <w:style w:type="paragraph" w:styleId="10">
    <w:name w:val="Body Text Indent"/>
    <w:basedOn w:val="1"/>
    <w:link w:val="31"/>
    <w:qFormat/>
    <w:uiPriority w:val="0"/>
    <w:pPr>
      <w:ind w:firstLine="560" w:firstLineChars="200"/>
    </w:pPr>
    <w:rPr>
      <w:kern w:val="0"/>
      <w:sz w:val="28"/>
      <w:szCs w:val="24"/>
    </w:rPr>
  </w:style>
  <w:style w:type="paragraph" w:styleId="11">
    <w:name w:val="toc 3"/>
    <w:basedOn w:val="1"/>
    <w:next w:val="1"/>
    <w:qFormat/>
    <w:uiPriority w:val="39"/>
    <w:pPr>
      <w:tabs>
        <w:tab w:val="right" w:leader="dot" w:pos="9016"/>
      </w:tabs>
      <w:spacing w:line="360" w:lineRule="auto"/>
      <w:ind w:left="840" w:leftChars="400"/>
    </w:pPr>
    <w:rPr>
      <w:szCs w:val="24"/>
    </w:rPr>
  </w:style>
  <w:style w:type="paragraph" w:styleId="12">
    <w:name w:val="Plain Text"/>
    <w:basedOn w:val="1"/>
    <w:next w:val="1"/>
    <w:link w:val="37"/>
    <w:qFormat/>
    <w:uiPriority w:val="99"/>
    <w:rPr>
      <w:rFonts w:ascii="宋体" w:hAnsi="Courier New"/>
      <w:kern w:val="0"/>
      <w:sz w:val="20"/>
    </w:rPr>
  </w:style>
  <w:style w:type="paragraph" w:styleId="13">
    <w:name w:val="Date"/>
    <w:basedOn w:val="1"/>
    <w:next w:val="1"/>
    <w:link w:val="38"/>
    <w:qFormat/>
    <w:uiPriority w:val="0"/>
    <w:pPr>
      <w:ind w:left="100" w:leftChars="2500"/>
    </w:pPr>
    <w:rPr>
      <w:kern w:val="0"/>
      <w:sz w:val="20"/>
      <w:szCs w:val="24"/>
    </w:rPr>
  </w:style>
  <w:style w:type="paragraph" w:styleId="14">
    <w:name w:val="Balloon Text"/>
    <w:basedOn w:val="1"/>
    <w:link w:val="39"/>
    <w:qFormat/>
    <w:uiPriority w:val="0"/>
    <w:rPr>
      <w:kern w:val="0"/>
      <w:sz w:val="18"/>
      <w:szCs w:val="18"/>
    </w:rPr>
  </w:style>
  <w:style w:type="paragraph" w:styleId="15">
    <w:name w:val="footer"/>
    <w:basedOn w:val="1"/>
    <w:link w:val="40"/>
    <w:qFormat/>
    <w:uiPriority w:val="0"/>
    <w:pPr>
      <w:tabs>
        <w:tab w:val="center" w:pos="4153"/>
        <w:tab w:val="right" w:pos="8306"/>
      </w:tabs>
      <w:snapToGrid w:val="0"/>
      <w:jc w:val="left"/>
    </w:pPr>
    <w:rPr>
      <w:kern w:val="0"/>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spacing w:before="120" w:after="120"/>
      <w:jc w:val="left"/>
    </w:pPr>
    <w:rPr>
      <w:b/>
      <w:bCs/>
      <w:caps/>
      <w:sz w:val="20"/>
    </w:rPr>
  </w:style>
  <w:style w:type="paragraph" w:styleId="18">
    <w:name w:val="toc 2"/>
    <w:basedOn w:val="1"/>
    <w:next w:val="1"/>
    <w:qFormat/>
    <w:uiPriority w:val="39"/>
    <w:pPr>
      <w:ind w:left="420" w:leftChars="200"/>
    </w:pPr>
    <w:rPr>
      <w:szCs w:val="24"/>
    </w:rPr>
  </w:style>
  <w:style w:type="paragraph" w:styleId="19">
    <w:name w:val="Normal (Web)"/>
    <w:basedOn w:val="1"/>
    <w:qFormat/>
    <w:uiPriority w:val="0"/>
    <w:rPr>
      <w:sz w:val="24"/>
    </w:rPr>
  </w:style>
  <w:style w:type="paragraph" w:styleId="20">
    <w:name w:val="annotation subject"/>
    <w:basedOn w:val="8"/>
    <w:next w:val="8"/>
    <w:link w:val="42"/>
    <w:qFormat/>
    <w:uiPriority w:val="0"/>
  </w:style>
  <w:style w:type="paragraph" w:styleId="21">
    <w:name w:val="Body Text First Indent"/>
    <w:basedOn w:val="9"/>
    <w:next w:val="22"/>
    <w:link w:val="30"/>
    <w:qFormat/>
    <w:uiPriority w:val="0"/>
    <w:pPr>
      <w:ind w:firstLine="420" w:firstLineChars="100"/>
    </w:pPr>
    <w:rPr>
      <w:rFonts w:ascii="Calibri" w:hAnsi="Calibri"/>
    </w:rPr>
  </w:style>
  <w:style w:type="paragraph" w:styleId="22">
    <w:name w:val="Body Text First Indent 2"/>
    <w:basedOn w:val="10"/>
    <w:qFormat/>
    <w:uiPriority w:val="0"/>
    <w:pPr>
      <w:spacing w:line="420" w:lineRule="exact"/>
      <w:ind w:firstLine="420"/>
      <w:jc w:val="left"/>
    </w:pPr>
    <w:rPr>
      <w:rFonts w:ascii="宋体" w:hAnsi="宋体"/>
      <w:color w:val="000000"/>
      <w:sz w:val="24"/>
      <w:szCs w:val="18"/>
    </w:rPr>
  </w:style>
  <w:style w:type="table" w:styleId="24">
    <w:name w:val="Table Grid"/>
    <w:basedOn w:val="23"/>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Hyperlink"/>
    <w:qFormat/>
    <w:uiPriority w:val="99"/>
    <w:rPr>
      <w:color w:val="000000"/>
      <w:u w:val="none"/>
    </w:rPr>
  </w:style>
  <w:style w:type="character" w:styleId="28">
    <w:name w:val="annotation reference"/>
    <w:qFormat/>
    <w:uiPriority w:val="0"/>
    <w:rPr>
      <w:sz w:val="21"/>
      <w:szCs w:val="21"/>
    </w:rPr>
  </w:style>
  <w:style w:type="character" w:customStyle="1" w:styleId="29">
    <w:name w:val="正文文本 字符"/>
    <w:link w:val="9"/>
    <w:qFormat/>
    <w:uiPriority w:val="0"/>
    <w:rPr>
      <w:rFonts w:ascii="Times New Roman" w:hAnsi="Times New Roman" w:eastAsia="宋体" w:cs="Times New Roman"/>
      <w:kern w:val="0"/>
      <w:sz w:val="20"/>
      <w:szCs w:val="20"/>
    </w:rPr>
  </w:style>
  <w:style w:type="character" w:customStyle="1" w:styleId="30">
    <w:name w:val="正文首行缩进 字符"/>
    <w:link w:val="21"/>
    <w:qFormat/>
    <w:uiPriority w:val="0"/>
    <w:rPr>
      <w:rFonts w:ascii="Calibri" w:hAnsi="Calibri" w:eastAsia="宋体" w:cs="Times New Roman"/>
      <w:kern w:val="0"/>
      <w:sz w:val="20"/>
      <w:szCs w:val="20"/>
    </w:rPr>
  </w:style>
  <w:style w:type="character" w:customStyle="1" w:styleId="31">
    <w:name w:val="正文文本缩进 字符"/>
    <w:link w:val="10"/>
    <w:qFormat/>
    <w:uiPriority w:val="0"/>
    <w:rPr>
      <w:rFonts w:ascii="Calibri" w:hAnsi="Calibri" w:eastAsia="宋体" w:cs="Times New Roman"/>
      <w:kern w:val="0"/>
      <w:sz w:val="28"/>
      <w:szCs w:val="24"/>
    </w:rPr>
  </w:style>
  <w:style w:type="character" w:customStyle="1" w:styleId="32">
    <w:name w:val="标题 1 字符"/>
    <w:link w:val="2"/>
    <w:qFormat/>
    <w:uiPriority w:val="0"/>
    <w:rPr>
      <w:rFonts w:ascii="Calibri" w:hAnsi="Calibri" w:eastAsia="宋体" w:cs="Times New Roman"/>
      <w:b/>
      <w:bCs/>
      <w:kern w:val="44"/>
      <w:sz w:val="44"/>
      <w:szCs w:val="44"/>
    </w:rPr>
  </w:style>
  <w:style w:type="character" w:customStyle="1" w:styleId="33">
    <w:name w:val="标题 2 字符"/>
    <w:link w:val="3"/>
    <w:qFormat/>
    <w:uiPriority w:val="9"/>
    <w:rPr>
      <w:rFonts w:ascii="Calibri Light" w:hAnsi="Calibri Light" w:eastAsia="宋体" w:cs="Times New Roman"/>
      <w:b/>
      <w:bCs/>
      <w:kern w:val="2"/>
      <w:sz w:val="32"/>
      <w:szCs w:val="32"/>
    </w:rPr>
  </w:style>
  <w:style w:type="character" w:customStyle="1" w:styleId="34">
    <w:name w:val="标题 3 字符"/>
    <w:link w:val="4"/>
    <w:qFormat/>
    <w:uiPriority w:val="0"/>
    <w:rPr>
      <w:rFonts w:ascii="黑体" w:hAnsi="宋体" w:eastAsia="黑体" w:cs="Times New Roman"/>
      <w:bCs/>
      <w:sz w:val="28"/>
      <w:szCs w:val="28"/>
    </w:rPr>
  </w:style>
  <w:style w:type="character" w:customStyle="1" w:styleId="35">
    <w:name w:val="文档结构图 字符"/>
    <w:link w:val="7"/>
    <w:qFormat/>
    <w:uiPriority w:val="0"/>
    <w:rPr>
      <w:rFonts w:ascii="Calibri" w:hAnsi="Calibri" w:eastAsia="宋体" w:cs="Times New Roman"/>
      <w:szCs w:val="20"/>
      <w:shd w:val="clear" w:color="auto" w:fill="000080"/>
    </w:rPr>
  </w:style>
  <w:style w:type="character" w:customStyle="1" w:styleId="36">
    <w:name w:val="批注文字 字符1"/>
    <w:link w:val="8"/>
    <w:qFormat/>
    <w:uiPriority w:val="0"/>
    <w:rPr>
      <w:rFonts w:ascii="Calibri" w:hAnsi="Calibri"/>
    </w:rPr>
  </w:style>
  <w:style w:type="character" w:customStyle="1" w:styleId="37">
    <w:name w:val="纯文本 字符"/>
    <w:link w:val="12"/>
    <w:qFormat/>
    <w:uiPriority w:val="0"/>
    <w:rPr>
      <w:rFonts w:ascii="宋体" w:hAnsi="Courier New" w:eastAsia="宋体" w:cs="Times New Roman"/>
      <w:kern w:val="0"/>
      <w:sz w:val="20"/>
      <w:szCs w:val="20"/>
    </w:rPr>
  </w:style>
  <w:style w:type="character" w:customStyle="1" w:styleId="38">
    <w:name w:val="日期 字符"/>
    <w:link w:val="13"/>
    <w:qFormat/>
    <w:uiPriority w:val="0"/>
    <w:rPr>
      <w:rFonts w:ascii="Calibri" w:hAnsi="Calibri" w:eastAsia="宋体" w:cs="Times New Roman"/>
      <w:kern w:val="0"/>
      <w:sz w:val="20"/>
      <w:szCs w:val="24"/>
    </w:rPr>
  </w:style>
  <w:style w:type="character" w:customStyle="1" w:styleId="39">
    <w:name w:val="批注框文本 字符"/>
    <w:link w:val="14"/>
    <w:qFormat/>
    <w:uiPriority w:val="0"/>
    <w:rPr>
      <w:rFonts w:ascii="Calibri" w:hAnsi="Calibri"/>
      <w:sz w:val="18"/>
      <w:szCs w:val="18"/>
    </w:rPr>
  </w:style>
  <w:style w:type="character" w:customStyle="1" w:styleId="40">
    <w:name w:val="页脚 字符"/>
    <w:link w:val="15"/>
    <w:qFormat/>
    <w:uiPriority w:val="0"/>
    <w:rPr>
      <w:rFonts w:ascii="Calibri" w:hAnsi="Calibri" w:eastAsia="宋体" w:cs="Times New Roman"/>
      <w:kern w:val="0"/>
      <w:sz w:val="18"/>
      <w:szCs w:val="18"/>
    </w:rPr>
  </w:style>
  <w:style w:type="character" w:customStyle="1" w:styleId="41">
    <w:name w:val="页眉 字符"/>
    <w:link w:val="16"/>
    <w:qFormat/>
    <w:uiPriority w:val="0"/>
    <w:rPr>
      <w:rFonts w:ascii="Calibri" w:hAnsi="Calibri" w:eastAsia="宋体" w:cs="Times New Roman"/>
      <w:kern w:val="0"/>
      <w:sz w:val="18"/>
      <w:szCs w:val="18"/>
    </w:rPr>
  </w:style>
  <w:style w:type="character" w:customStyle="1" w:styleId="42">
    <w:name w:val="批注主题 字符"/>
    <w:link w:val="20"/>
    <w:qFormat/>
    <w:uiPriority w:val="0"/>
  </w:style>
  <w:style w:type="character" w:customStyle="1" w:styleId="43">
    <w:name w:val="批注框文本 Char1"/>
    <w:semiHidden/>
    <w:qFormat/>
    <w:uiPriority w:val="99"/>
    <w:rPr>
      <w:rFonts w:ascii="Calibri" w:hAnsi="Calibri" w:eastAsia="宋体" w:cs="Times New Roman"/>
      <w:sz w:val="18"/>
      <w:szCs w:val="18"/>
    </w:rPr>
  </w:style>
  <w:style w:type="character" w:customStyle="1" w:styleId="44">
    <w:name w:val="批注文字 Char1"/>
    <w:semiHidden/>
    <w:qFormat/>
    <w:uiPriority w:val="99"/>
    <w:rPr>
      <w:rFonts w:ascii="Calibri" w:hAnsi="Calibri" w:eastAsia="宋体" w:cs="Times New Roman"/>
      <w:szCs w:val="20"/>
    </w:rPr>
  </w:style>
  <w:style w:type="character" w:customStyle="1" w:styleId="45">
    <w:name w:val="批注主题 Char1"/>
    <w:semiHidden/>
    <w:qFormat/>
    <w:uiPriority w:val="99"/>
    <w:rPr>
      <w:rFonts w:ascii="Calibri" w:hAnsi="Calibri" w:eastAsia="宋体" w:cs="Times New Roman"/>
      <w:b/>
      <w:bCs/>
      <w:szCs w:val="20"/>
    </w:rPr>
  </w:style>
  <w:style w:type="paragraph" w:styleId="46">
    <w:name w:val="List Paragraph"/>
    <w:basedOn w:val="1"/>
    <w:qFormat/>
    <w:uiPriority w:val="34"/>
    <w:rPr>
      <w:sz w:val="20"/>
    </w:rPr>
  </w:style>
  <w:style w:type="paragraph" w:customStyle="1" w:styleId="47">
    <w:name w:val="_Style 45"/>
    <w:qFormat/>
    <w:uiPriority w:val="0"/>
    <w:rPr>
      <w:rFonts w:ascii="Calibri" w:hAnsi="Calibri" w:eastAsia="宋体" w:cs="Times New Roman"/>
      <w:kern w:val="2"/>
      <w:sz w:val="21"/>
      <w:lang w:val="en-US" w:eastAsia="zh-CN" w:bidi="ar-SA"/>
    </w:rPr>
  </w:style>
  <w:style w:type="paragraph" w:customStyle="1" w:styleId="48">
    <w:name w:val="文二"/>
    <w:basedOn w:val="1"/>
    <w:qFormat/>
    <w:uiPriority w:val="0"/>
    <w:pPr>
      <w:jc w:val="left"/>
    </w:pPr>
    <w:rPr>
      <w:rFonts w:ascii="宋体" w:hAnsi="宋体"/>
      <w:szCs w:val="21"/>
    </w:rPr>
  </w:style>
  <w:style w:type="character" w:customStyle="1" w:styleId="49">
    <w:name w:val="批注文字 字符"/>
    <w:qFormat/>
    <w:uiPriority w:val="0"/>
    <w:rPr>
      <w:rFonts w:ascii="Calibri" w:hAnsi="Calibri"/>
    </w:rPr>
  </w:style>
  <w:style w:type="character" w:customStyle="1" w:styleId="50">
    <w:name w:val="纯文本 Char"/>
    <w:qFormat/>
    <w:uiPriority w:val="99"/>
    <w:rPr>
      <w:rFonts w:ascii="宋体" w:hAnsi="Courier New"/>
      <w:kern w:val="2"/>
      <w:sz w:val="21"/>
      <w:szCs w:val="22"/>
    </w:rPr>
  </w:style>
  <w:style w:type="character" w:customStyle="1" w:styleId="51">
    <w:name w:val="页脚 Char"/>
    <w:qFormat/>
    <w:uiPriority w:val="0"/>
    <w:rPr>
      <w:rFonts w:ascii="Times New Roman" w:hAnsi="Times New Roman" w:eastAsia="宋体" w:cs="Times New Roman"/>
      <w:sz w:val="18"/>
      <w:szCs w:val="18"/>
    </w:rPr>
  </w:style>
  <w:style w:type="paragraph" w:customStyle="1" w:styleId="52">
    <w:name w:val="000 空行"/>
    <w:basedOn w:val="1"/>
    <w:qFormat/>
    <w:uiPriority w:val="0"/>
    <w:rPr>
      <w:rFonts w:ascii="宋体" w:hAnsi="宋体"/>
      <w:szCs w:val="22"/>
    </w:rPr>
  </w:style>
  <w:style w:type="paragraph" w:customStyle="1" w:styleId="53">
    <w:name w:val="Default"/>
    <w:qFormat/>
    <w:uiPriority w:val="99"/>
    <w:pPr>
      <w:widowControl w:val="0"/>
      <w:autoSpaceDE w:val="0"/>
      <w:autoSpaceDN w:val="0"/>
      <w:spacing w:after="200" w:line="276" w:lineRule="auto"/>
    </w:pPr>
    <w:rPr>
      <w:rFonts w:ascii="Times New Roman" w:hAnsi="Times New Roman" w:eastAsia="宋体" w:cs="Times New Roman"/>
      <w:color w:val="000000"/>
      <w:sz w:val="24"/>
      <w:szCs w:val="24"/>
      <w:lang w:val="en-US" w:eastAsia="zh-CN" w:bidi="ar-SA"/>
    </w:rPr>
  </w:style>
  <w:style w:type="character" w:customStyle="1" w:styleId="54">
    <w:name w:val="font11"/>
    <w:qFormat/>
    <w:uiPriority w:val="0"/>
    <w:rPr>
      <w:rFonts w:hint="eastAsia" w:ascii="宋体" w:hAnsi="宋体" w:eastAsia="宋体" w:cs="宋体"/>
      <w:color w:val="000000"/>
      <w:sz w:val="22"/>
      <w:szCs w:val="22"/>
      <w:u w:val="none"/>
    </w:rPr>
  </w:style>
  <w:style w:type="character" w:customStyle="1" w:styleId="55">
    <w:name w:val="font61"/>
    <w:basedOn w:val="25"/>
    <w:qFormat/>
    <w:uiPriority w:val="0"/>
    <w:rPr>
      <w:rFonts w:ascii="Calibri" w:hAnsi="Calibri" w:cs="Calibri"/>
      <w:color w:val="000000"/>
      <w:sz w:val="20"/>
      <w:szCs w:val="20"/>
      <w:u w:val="none"/>
    </w:rPr>
  </w:style>
  <w:style w:type="character" w:customStyle="1" w:styleId="56">
    <w:name w:val="font2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106</Pages>
  <Words>23894</Words>
  <Characters>24774</Characters>
  <Lines>500</Lines>
  <Paragraphs>140</Paragraphs>
  <TotalTime>4</TotalTime>
  <ScaleCrop>false</ScaleCrop>
  <LinksUpToDate>false</LinksUpToDate>
  <CharactersWithSpaces>26778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2024-03-19T01:17:00Z</dcterms:created>
  <dc:creator>谢有文</dc:creator>
  <cp:lastModifiedBy>liberty</cp:lastModifiedBy>
  <cp:lastPrinted>2021-11-23T05:21:00Z</cp:lastPrinted>
  <dcterms:modified xsi:type="dcterms:W3CDTF">2025-11-07T09:01:44Z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0E9B62DB7D124FD58BBE880674C0FD0A_13</vt:lpwstr>
  </property>
  <property fmtid="{D5CDD505-2E9C-101B-9397-08002B2CF9AE}" pid="4" name="KSOTemplateDocerSaveRecord">
    <vt:lpwstr>eyJoZGlkIjoiNTMxZTUzMzE1MzAxYmNjNDA1YjFkMzQ5OWQ2MTEwNTAiLCJ1c2VySWQiOiIzMDA3NTUwNjAifQ==</vt:lpwstr>
  </property>
</Properties>
</file>