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uto"/>
        <w:jc w:val="center"/>
        <w:rPr>
          <w:rFonts w:hint="eastAsia" w:ascii="宋体" w:hAnsi="宋体" w:cs="宋体"/>
          <w:b/>
          <w:sz w:val="52"/>
        </w:rPr>
      </w:pPr>
    </w:p>
    <w:p>
      <w:pPr>
        <w:spacing w:line="300" w:lineRule="auto"/>
        <w:jc w:val="center"/>
        <w:rPr>
          <w:rFonts w:hint="eastAsia" w:ascii="宋体" w:hAnsi="宋体" w:cs="宋体"/>
          <w:b/>
          <w:sz w:val="52"/>
        </w:rPr>
      </w:pPr>
    </w:p>
    <w:p>
      <w:pPr>
        <w:spacing w:line="300" w:lineRule="auto"/>
        <w:jc w:val="center"/>
        <w:rPr>
          <w:rFonts w:ascii="宋体" w:hAnsi="宋体" w:cs="宋体"/>
          <w:sz w:val="36"/>
          <w:u w:val="single"/>
        </w:rPr>
      </w:pPr>
      <w:r>
        <w:rPr>
          <w:rFonts w:hint="eastAsia" w:ascii="宋体" w:hAnsi="宋体" w:cs="宋体"/>
          <w:b/>
          <w:sz w:val="52"/>
        </w:rPr>
        <w:t>中南钢铁总部大楼项目施工监理</w:t>
      </w:r>
    </w:p>
    <w:p>
      <w:pPr>
        <w:spacing w:line="300" w:lineRule="auto"/>
        <w:jc w:val="center"/>
        <w:rPr>
          <w:rFonts w:ascii="宋体" w:hAnsi="宋体" w:cs="宋体"/>
          <w:sz w:val="36"/>
          <w:u w:val="single"/>
        </w:rPr>
      </w:pPr>
    </w:p>
    <w:p>
      <w:pPr>
        <w:spacing w:line="300" w:lineRule="auto"/>
        <w:rPr>
          <w:rFonts w:ascii="宋体" w:hAnsi="宋体" w:cs="宋体"/>
          <w:sz w:val="36"/>
          <w:u w:val="single"/>
        </w:rPr>
      </w:pPr>
    </w:p>
    <w:p>
      <w:pPr>
        <w:pStyle w:val="5"/>
        <w:rPr>
          <w:lang w:val="en-US"/>
        </w:rPr>
      </w:pPr>
    </w:p>
    <w:p>
      <w:pPr>
        <w:pStyle w:val="5"/>
        <w:rPr>
          <w:lang w:val="en-US"/>
        </w:rPr>
      </w:pPr>
    </w:p>
    <w:p>
      <w:pPr>
        <w:pStyle w:val="5"/>
        <w:rPr>
          <w:lang w:val="en-US"/>
        </w:rPr>
      </w:pPr>
    </w:p>
    <w:p>
      <w:pPr>
        <w:pStyle w:val="5"/>
        <w:spacing w:line="300" w:lineRule="auto"/>
        <w:rPr>
          <w:rFonts w:ascii="宋体" w:hAnsi="宋体" w:cs="宋体"/>
          <w:sz w:val="36"/>
          <w:u w:val="single"/>
        </w:rPr>
      </w:pPr>
    </w:p>
    <w:p>
      <w:pPr>
        <w:spacing w:line="300" w:lineRule="auto"/>
        <w:jc w:val="center"/>
        <w:rPr>
          <w:rFonts w:hint="eastAsia" w:ascii="宋体" w:hAnsi="宋体" w:eastAsia="宋体" w:cs="宋体"/>
          <w:b/>
          <w:spacing w:val="26"/>
          <w:sz w:val="110"/>
          <w:lang w:eastAsia="zh-CN"/>
        </w:rPr>
      </w:pPr>
      <w:r>
        <w:rPr>
          <w:rFonts w:hint="eastAsia" w:ascii="宋体" w:hAnsi="宋体" w:cs="宋体"/>
          <w:b/>
          <w:spacing w:val="26"/>
          <w:sz w:val="110"/>
        </w:rPr>
        <w:t>招标</w:t>
      </w:r>
      <w:r>
        <w:rPr>
          <w:rFonts w:hint="eastAsia" w:ascii="宋体" w:hAnsi="宋体" w:cs="宋体"/>
          <w:b/>
          <w:spacing w:val="26"/>
          <w:sz w:val="110"/>
          <w:lang w:val="en-US" w:eastAsia="zh-CN"/>
        </w:rPr>
        <w:t>公告</w:t>
      </w:r>
    </w:p>
    <w:p>
      <w:pPr>
        <w:jc w:val="center"/>
        <w:rPr>
          <w:rFonts w:ascii="宋体" w:hAnsi="宋体" w:cs="宋体"/>
          <w:b/>
          <w:sz w:val="30"/>
        </w:rPr>
      </w:pPr>
    </w:p>
    <w:p>
      <w:pPr>
        <w:spacing w:line="300" w:lineRule="auto"/>
        <w:jc w:val="center"/>
        <w:rPr>
          <w:rFonts w:ascii="宋体" w:hAnsi="宋体" w:cs="宋体"/>
          <w:sz w:val="32"/>
        </w:rPr>
      </w:pPr>
    </w:p>
    <w:p>
      <w:pPr>
        <w:spacing w:line="300" w:lineRule="auto"/>
        <w:jc w:val="center"/>
        <w:rPr>
          <w:rFonts w:ascii="宋体" w:hAnsi="宋体" w:cs="宋体"/>
          <w:sz w:val="32"/>
        </w:rPr>
      </w:pPr>
    </w:p>
    <w:p>
      <w:pPr>
        <w:pStyle w:val="14"/>
        <w:rPr>
          <w:rFonts w:ascii="宋体" w:hAnsi="宋体" w:cs="宋体"/>
          <w:sz w:val="52"/>
        </w:rPr>
      </w:pPr>
    </w:p>
    <w:p>
      <w:pPr>
        <w:pStyle w:val="14"/>
        <w:rPr>
          <w:rFonts w:ascii="宋体" w:hAnsi="宋体" w:cs="宋体"/>
          <w:sz w:val="52"/>
        </w:rPr>
      </w:pPr>
    </w:p>
    <w:p>
      <w:pPr>
        <w:spacing w:line="360" w:lineRule="auto"/>
        <w:ind w:firstLine="945"/>
        <w:rPr>
          <w:rFonts w:ascii="宋体" w:hAnsi="宋体" w:cs="宋体"/>
          <w:sz w:val="30"/>
          <w:u w:val="single"/>
        </w:rPr>
      </w:pPr>
      <w:r>
        <w:rPr>
          <w:rFonts w:hint="eastAsia" w:ascii="宋体" w:hAnsi="宋体" w:cs="宋体"/>
          <w:sz w:val="30"/>
        </w:rPr>
        <w:t>招  标 单 位：</w:t>
      </w:r>
      <w:r>
        <w:rPr>
          <w:rFonts w:hint="eastAsia" w:ascii="宋体" w:hAnsi="宋体" w:cs="宋体"/>
          <w:sz w:val="30"/>
          <w:u w:val="single"/>
        </w:rPr>
        <w:t>广州中南产城发展有限公司</w:t>
      </w:r>
    </w:p>
    <w:p>
      <w:pPr>
        <w:spacing w:line="360" w:lineRule="auto"/>
        <w:ind w:firstLine="945"/>
        <w:rPr>
          <w:rFonts w:ascii="宋体" w:hAnsi="宋体" w:cs="宋体"/>
          <w:sz w:val="30"/>
          <w:u w:val="single"/>
        </w:rPr>
      </w:pPr>
      <w:r>
        <w:rPr>
          <w:rFonts w:hint="eastAsia" w:ascii="宋体" w:hAnsi="宋体" w:cs="宋体"/>
          <w:sz w:val="30"/>
        </w:rPr>
        <w:t>招标代理单位：</w:t>
      </w:r>
      <w:r>
        <w:rPr>
          <w:rFonts w:hint="eastAsia" w:ascii="宋体" w:hAnsi="宋体" w:cs="宋体"/>
          <w:sz w:val="30"/>
          <w:u w:val="single"/>
        </w:rPr>
        <w:t>上海宝华国际招标有限公司</w:t>
      </w:r>
    </w:p>
    <w:p>
      <w:pPr>
        <w:spacing w:line="360" w:lineRule="auto"/>
        <w:ind w:firstLine="945"/>
        <w:rPr>
          <w:rFonts w:ascii="宋体" w:hAnsi="宋体" w:cs="宋体"/>
          <w:b/>
          <w:lang w:val="zh-CN"/>
        </w:rPr>
      </w:pPr>
      <w:r>
        <w:rPr>
          <w:rFonts w:hint="eastAsia" w:ascii="宋体" w:hAnsi="宋体" w:cs="宋体"/>
          <w:sz w:val="32"/>
        </w:rPr>
        <w:t>日       期：</w:t>
      </w:r>
      <w:r>
        <w:rPr>
          <w:rFonts w:hint="eastAsia" w:ascii="宋体" w:hAnsi="宋体" w:cs="宋体"/>
          <w:sz w:val="32"/>
          <w:u w:val="single"/>
        </w:rPr>
        <w:t>2023年2月</w:t>
      </w:r>
    </w:p>
    <w:p/>
    <w:p>
      <w:pPr>
        <w:rPr>
          <w:rStyle w:val="13"/>
          <w:rFonts w:hint="eastAsia"/>
          <w:sz w:val="36"/>
          <w:szCs w:val="36"/>
          <w:highlight w:val="none"/>
        </w:rPr>
      </w:pPr>
    </w:p>
    <w:p>
      <w:pPr>
        <w:adjustRightInd w:val="0"/>
        <w:snapToGrid w:val="0"/>
        <w:spacing w:line="360" w:lineRule="auto"/>
        <w:jc w:val="center"/>
        <w:outlineLvl w:val="1"/>
        <w:rPr>
          <w:b/>
          <w:sz w:val="36"/>
          <w:szCs w:val="36"/>
          <w:highlight w:val="none"/>
        </w:rPr>
      </w:pPr>
      <w:r>
        <w:rPr>
          <w:rStyle w:val="13"/>
          <w:rFonts w:hint="eastAsia"/>
          <w:sz w:val="36"/>
          <w:szCs w:val="36"/>
          <w:highlight w:val="none"/>
        </w:rPr>
        <w:t>中南钢铁总部大楼项目</w:t>
      </w:r>
      <w:r>
        <w:rPr>
          <w:rStyle w:val="13"/>
          <w:rFonts w:hint="eastAsia"/>
          <w:sz w:val="36"/>
          <w:szCs w:val="36"/>
          <w:highlight w:val="none"/>
          <w:lang w:val="en-US" w:eastAsia="zh-CN"/>
        </w:rPr>
        <w:t>施工监理</w:t>
      </w:r>
      <w:r>
        <w:rPr>
          <w:rStyle w:val="13"/>
          <w:rFonts w:hint="eastAsia"/>
          <w:sz w:val="36"/>
          <w:szCs w:val="36"/>
          <w:highlight w:val="none"/>
        </w:rPr>
        <w:t>招标公告</w:t>
      </w:r>
    </w:p>
    <w:p>
      <w:pPr>
        <w:pStyle w:val="4"/>
        <w:spacing w:line="360" w:lineRule="auto"/>
        <w:rPr>
          <w:rFonts w:ascii="宋体" w:hAnsi="宋体" w:eastAsia="宋体" w:cs="宋体"/>
          <w:highlight w:val="none"/>
        </w:rPr>
      </w:pPr>
      <w:bookmarkStart w:id="0" w:name="_Toc492300546"/>
      <w:r>
        <w:rPr>
          <w:rFonts w:hint="eastAsia" w:ascii="宋体" w:hAnsi="宋体" w:eastAsia="宋体" w:cs="宋体"/>
          <w:highlight w:val="none"/>
        </w:rPr>
        <w:t>1. 招标条件</w:t>
      </w:r>
      <w:bookmarkEnd w:id="0"/>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本招标项目</w:t>
      </w:r>
      <w:r>
        <w:rPr>
          <w:rFonts w:hint="eastAsia" w:ascii="宋体" w:hAnsi="宋体" w:cs="宋体"/>
          <w:sz w:val="24"/>
          <w:szCs w:val="24"/>
          <w:highlight w:val="none"/>
          <w:u w:val="single"/>
        </w:rPr>
        <w:t>中南钢铁总部大楼项目</w:t>
      </w:r>
      <w:r>
        <w:rPr>
          <w:rFonts w:hint="eastAsia" w:ascii="宋体" w:hAnsi="宋体" w:cs="宋体"/>
          <w:sz w:val="24"/>
          <w:szCs w:val="24"/>
          <w:highlight w:val="none"/>
        </w:rPr>
        <w:t>已由</w:t>
      </w:r>
      <w:r>
        <w:rPr>
          <w:rFonts w:hint="eastAsia" w:ascii="宋体" w:hAnsi="宋体" w:cs="宋体"/>
          <w:sz w:val="24"/>
          <w:szCs w:val="24"/>
          <w:highlight w:val="none"/>
          <w:u w:val="single"/>
        </w:rPr>
        <w:t>广东省企业投资项目备案证（项目代码：22</w:t>
      </w:r>
      <w:r>
        <w:rPr>
          <w:rFonts w:ascii="宋体" w:hAnsi="宋体" w:cs="宋体"/>
          <w:sz w:val="24"/>
          <w:szCs w:val="24"/>
          <w:highlight w:val="none"/>
          <w:u w:val="single"/>
        </w:rPr>
        <w:t>12</w:t>
      </w:r>
      <w:r>
        <w:rPr>
          <w:rFonts w:hint="eastAsia" w:ascii="宋体" w:hAnsi="宋体" w:cs="宋体"/>
          <w:sz w:val="24"/>
          <w:szCs w:val="24"/>
          <w:highlight w:val="none"/>
          <w:u w:val="single"/>
        </w:rPr>
        <w:t>-440105-04-01-898859）</w:t>
      </w:r>
      <w:r>
        <w:rPr>
          <w:rFonts w:hint="eastAsia" w:ascii="宋体" w:hAnsi="宋体" w:cs="宋体"/>
          <w:sz w:val="24"/>
          <w:szCs w:val="24"/>
          <w:highlight w:val="none"/>
        </w:rPr>
        <w:t>批准建设，</w:t>
      </w:r>
      <w:r>
        <w:rPr>
          <w:rFonts w:hint="eastAsia"/>
          <w:sz w:val="24"/>
          <w:highlight w:val="none"/>
        </w:rPr>
        <w:t>项目业主为</w:t>
      </w:r>
      <w:r>
        <w:rPr>
          <w:rFonts w:hint="eastAsia" w:ascii="宋体" w:hAnsi="宋体" w:cs="宋体"/>
          <w:sz w:val="24"/>
          <w:szCs w:val="24"/>
          <w:highlight w:val="none"/>
          <w:u w:val="single"/>
        </w:rPr>
        <w:t>广州中南产城发展有限公司</w:t>
      </w:r>
      <w:r>
        <w:rPr>
          <w:rFonts w:hint="eastAsia"/>
          <w:sz w:val="24"/>
          <w:highlight w:val="none"/>
        </w:rPr>
        <w:t>，建设资金来自</w:t>
      </w:r>
      <w:r>
        <w:rPr>
          <w:rFonts w:hint="eastAsia"/>
          <w:sz w:val="24"/>
          <w:highlight w:val="none"/>
          <w:u w:val="single"/>
        </w:rPr>
        <w:t>企业自筹资金</w:t>
      </w:r>
      <w:r>
        <w:rPr>
          <w:rFonts w:hint="eastAsia"/>
          <w:sz w:val="24"/>
          <w:highlight w:val="none"/>
        </w:rPr>
        <w:t>，出资比例为</w:t>
      </w:r>
      <w:r>
        <w:rPr>
          <w:sz w:val="24"/>
          <w:highlight w:val="none"/>
          <w:u w:val="single"/>
        </w:rPr>
        <w:t>100%</w:t>
      </w:r>
      <w:r>
        <w:rPr>
          <w:rFonts w:hint="eastAsia"/>
          <w:sz w:val="24"/>
          <w:highlight w:val="none"/>
        </w:rPr>
        <w:t>，</w:t>
      </w:r>
      <w:r>
        <w:rPr>
          <w:rFonts w:hint="eastAsia" w:ascii="宋体" w:hAnsi="宋体" w:cs="宋体"/>
          <w:sz w:val="24"/>
          <w:szCs w:val="24"/>
          <w:highlight w:val="none"/>
        </w:rPr>
        <w:t>招标人为</w:t>
      </w:r>
      <w:r>
        <w:rPr>
          <w:rFonts w:hint="eastAsia" w:ascii="宋体" w:hAnsi="宋体" w:cs="宋体"/>
          <w:sz w:val="24"/>
          <w:szCs w:val="24"/>
          <w:highlight w:val="none"/>
          <w:u w:val="single"/>
        </w:rPr>
        <w:t>广州中南产城发展有限公司</w:t>
      </w:r>
      <w:r>
        <w:rPr>
          <w:rFonts w:hint="eastAsia" w:ascii="宋体" w:hAnsi="宋体" w:cs="宋体"/>
          <w:sz w:val="24"/>
          <w:szCs w:val="24"/>
          <w:highlight w:val="none"/>
        </w:rPr>
        <w:t>。项目已具备招标条件，现对该项目</w:t>
      </w:r>
      <w:r>
        <w:rPr>
          <w:rFonts w:hint="eastAsia" w:ascii="宋体" w:hAnsi="宋体" w:cs="宋体"/>
          <w:sz w:val="24"/>
          <w:szCs w:val="24"/>
          <w:highlight w:val="none"/>
          <w:u w:val="single"/>
        </w:rPr>
        <w:t>施工监理</w:t>
      </w:r>
      <w:r>
        <w:rPr>
          <w:rFonts w:hint="eastAsia" w:ascii="宋体" w:hAnsi="宋体" w:cs="宋体"/>
          <w:sz w:val="24"/>
          <w:szCs w:val="24"/>
          <w:highlight w:val="none"/>
        </w:rPr>
        <w:t>进行公开招标。</w:t>
      </w:r>
    </w:p>
    <w:p>
      <w:pPr>
        <w:pStyle w:val="4"/>
        <w:spacing w:line="360" w:lineRule="auto"/>
        <w:rPr>
          <w:rFonts w:ascii="宋体" w:hAnsi="宋体" w:eastAsia="宋体" w:cs="宋体"/>
          <w:highlight w:val="none"/>
        </w:rPr>
      </w:pPr>
      <w:bookmarkStart w:id="1" w:name="_Toc492300547"/>
      <w:r>
        <w:rPr>
          <w:rFonts w:hint="eastAsia" w:ascii="宋体" w:hAnsi="宋体" w:eastAsia="宋体" w:cs="宋体"/>
          <w:highlight w:val="none"/>
        </w:rPr>
        <w:t>2. 项目概况与招标范围</w:t>
      </w:r>
      <w:bookmarkEnd w:id="1"/>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 招标项目概况</w:t>
      </w:r>
    </w:p>
    <w:p>
      <w:pPr>
        <w:wordWrap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2.1.1招标项目名称：</w:t>
      </w:r>
      <w:r>
        <w:rPr>
          <w:rFonts w:hint="eastAsia" w:ascii="宋体" w:hAnsi="宋体" w:cs="宋体"/>
          <w:sz w:val="24"/>
          <w:szCs w:val="24"/>
          <w:highlight w:val="none"/>
          <w:u w:val="single"/>
        </w:rPr>
        <w:t>中南钢铁总部大楼项目</w:t>
      </w:r>
    </w:p>
    <w:p>
      <w:pPr>
        <w:wordWrap w:val="0"/>
        <w:spacing w:line="360" w:lineRule="auto"/>
        <w:ind w:firstLine="480" w:firstLineChars="200"/>
        <w:rPr>
          <w:rFonts w:ascii="宋体" w:hAnsi="宋体" w:cs="宋体"/>
          <w:bCs/>
          <w:sz w:val="24"/>
          <w:szCs w:val="24"/>
          <w:highlight w:val="none"/>
          <w:u w:val="single"/>
        </w:rPr>
      </w:pPr>
      <w:r>
        <w:rPr>
          <w:rFonts w:hint="eastAsia" w:ascii="宋体" w:hAnsi="宋体" w:cs="宋体"/>
          <w:sz w:val="24"/>
          <w:szCs w:val="24"/>
          <w:highlight w:val="none"/>
        </w:rPr>
        <w:t>2.1.2工程建设规模：</w:t>
      </w:r>
      <w:r>
        <w:rPr>
          <w:rFonts w:hint="eastAsia" w:ascii="宋体" w:hAnsi="宋体" w:cs="宋体"/>
          <w:bCs/>
          <w:sz w:val="24"/>
          <w:szCs w:val="24"/>
          <w:highlight w:val="none"/>
          <w:u w:val="single"/>
        </w:rPr>
        <w:t>本项目主要功能为办公及配套，项目占地面积5346平方米，容积率14，总建筑面积约9.3万平方米（其中地上约7.9万平方米、地下约1.4万平方米），计容面积74844平方米。办公定位：总部办公，共享办公。商业配套定位：咖啡厅、便利店、健身中心等。公共配套定位：按规划要求设置图书馆、文化活动中心、公厕、快递自提点。</w:t>
      </w:r>
      <w:r>
        <w:rPr>
          <w:rFonts w:hint="eastAsia" w:ascii="宋体" w:hAnsi="宋体" w:cs="宋体"/>
          <w:color w:val="000000"/>
          <w:sz w:val="24"/>
          <w:highlight w:val="none"/>
          <w:u w:val="single"/>
        </w:rPr>
        <w:t>本项目单体建筑面积约</w:t>
      </w:r>
      <w:r>
        <w:rPr>
          <w:rFonts w:ascii="宋体" w:hAnsi="宋体" w:cs="宋体"/>
          <w:color w:val="000000"/>
          <w:sz w:val="24"/>
          <w:highlight w:val="none"/>
          <w:u w:val="single"/>
        </w:rPr>
        <w:t>9.3</w:t>
      </w:r>
      <w:r>
        <w:rPr>
          <w:rFonts w:hint="eastAsia" w:ascii="宋体" w:hAnsi="宋体" w:cs="宋体"/>
          <w:color w:val="000000"/>
          <w:sz w:val="24"/>
          <w:highlight w:val="none"/>
          <w:u w:val="single"/>
        </w:rPr>
        <w:t>万平方米。</w:t>
      </w:r>
      <w:r>
        <w:rPr>
          <w:rFonts w:hint="eastAsia" w:ascii="宋体" w:hAnsi="宋体" w:cs="宋体"/>
          <w:bCs/>
          <w:sz w:val="24"/>
          <w:szCs w:val="24"/>
          <w:highlight w:val="none"/>
          <w:u w:val="single"/>
        </w:rPr>
        <w:t>以上所涉及的建筑功能指标均以规划批复与业主发函为准。</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2.1.3工程建设地点：广州市海珠区琶洲街道海珠区琶洲西区AH040128地块。</w:t>
      </w:r>
    </w:p>
    <w:p>
      <w:pPr>
        <w:wordWrap w:val="0"/>
        <w:spacing w:line="360" w:lineRule="auto"/>
        <w:ind w:firstLine="480" w:firstLineChars="200"/>
        <w:rPr>
          <w:highlight w:val="none"/>
        </w:rPr>
      </w:pPr>
      <w:r>
        <w:rPr>
          <w:rFonts w:hint="eastAsia" w:ascii="宋体" w:hAnsi="宋体" w:cs="宋体"/>
          <w:sz w:val="24"/>
          <w:szCs w:val="24"/>
          <w:highlight w:val="none"/>
        </w:rPr>
        <w:t>2.1.4工程概算/建筑工程费：</w:t>
      </w:r>
      <w:r>
        <w:rPr>
          <w:rFonts w:hint="eastAsia" w:ascii="宋体" w:hAnsi="宋体" w:cs="宋体"/>
          <w:bCs/>
          <w:sz w:val="24"/>
          <w:highlight w:val="none"/>
          <w:u w:val="single"/>
        </w:rPr>
        <w:t>建筑安装工程费约7亿元。</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2.2招标范围</w:t>
      </w:r>
    </w:p>
    <w:p>
      <w:pPr>
        <w:wordWrap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2.2.1监理标段划分：本项目设1个标段。</w:t>
      </w:r>
    </w:p>
    <w:p>
      <w:pPr>
        <w:tabs>
          <w:tab w:val="left" w:pos="7513"/>
        </w:tabs>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rPr>
        <w:t>2.2.2监理范围：</w:t>
      </w:r>
    </w:p>
    <w:p>
      <w:pPr>
        <w:tabs>
          <w:tab w:val="left" w:pos="7513"/>
        </w:tabs>
        <w:spacing w:line="360" w:lineRule="auto"/>
        <w:ind w:firstLine="540" w:firstLineChars="225"/>
        <w:rPr>
          <w:sz w:val="24"/>
          <w:highlight w:val="none"/>
        </w:rPr>
      </w:pPr>
      <w:r>
        <w:rPr>
          <w:rFonts w:hint="eastAsia"/>
          <w:sz w:val="24"/>
          <w:highlight w:val="none"/>
        </w:rPr>
        <w:t>（1）本项目施工至保修阶段的监理工作，包括施工准备阶段、施工阶段、工程竣工阶段（包括但不限于竣工验收、整改、工程移交、工程结算等）、BIM 模型的运营管理及工程质量保修阶段的全过程监理工作。协助委托人做好开工前准备和筹划工作；负责安全、质量、技术文件审核、进度（月报、周报）、投资控制及合同管理（包括投资月报、审核工程量、审核工程预算和结算、工程款支付、签证变更及其造价审核及变更台帐的管理）；组织协调、安全文明施工管理；工程创优，协调招标人和工程建设各方的工作关系；组织各类验收、审核竣工资料（包括且不限于竣工验收及竣工验收资料移交城建档案、整改、工程移交及实物移交、竣工备案等）。</w:t>
      </w:r>
    </w:p>
    <w:p>
      <w:pPr>
        <w:tabs>
          <w:tab w:val="left" w:pos="7513"/>
        </w:tabs>
        <w:spacing w:line="360" w:lineRule="auto"/>
        <w:ind w:firstLine="540" w:firstLineChars="225"/>
        <w:rPr>
          <w:sz w:val="24"/>
          <w:highlight w:val="none"/>
        </w:rPr>
      </w:pPr>
      <w:r>
        <w:rPr>
          <w:rFonts w:hint="eastAsia"/>
          <w:sz w:val="24"/>
          <w:highlight w:val="none"/>
        </w:rPr>
        <w:t>（2）属本工程的实施范围内以及项目相关室内外配套工程施工（监理人具有相应的监理资质）的工作内容，均应包含在监理范围之内。在工程实施过程中工程量、设计范围、工程规模调整或设计变更在监理人监理资质范围内的，均属监理人监理范围。</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2.2.3监理服务期限： </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从监理人收到中标通知书或参加由委托人组织的第一次进场动员会之日起算，至所有工程保修期结束且办妥相关工程竣工结算止。包括本工程的施工准备期、施工期、工程收尾等全过程监理服务，监理人须按本合同的约定提供监理服务，监理服务周期必须满足实际施工要求。</w:t>
      </w:r>
    </w:p>
    <w:p>
      <w:pPr>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2.2.4监理服务最高投标限价</w:t>
      </w:r>
      <w:r>
        <w:rPr>
          <w:rFonts w:hint="eastAsia" w:ascii="宋体" w:hAnsi="宋体" w:cs="宋体"/>
          <w:sz w:val="24"/>
          <w:szCs w:val="24"/>
          <w:highlight w:val="none"/>
          <w:u w:val="single"/>
        </w:rPr>
        <w:t>：600万元</w:t>
      </w:r>
      <w:r>
        <w:rPr>
          <w:rFonts w:hint="eastAsia" w:ascii="宋体" w:hAnsi="宋体" w:cs="宋体"/>
          <w:color w:val="000000"/>
          <w:sz w:val="24"/>
          <w:highlight w:val="none"/>
        </w:rPr>
        <w:t>（含税）</w:t>
      </w:r>
      <w:r>
        <w:rPr>
          <w:rFonts w:hint="eastAsia" w:ascii="宋体" w:hAnsi="宋体" w:cs="宋体"/>
          <w:sz w:val="24"/>
          <w:szCs w:val="24"/>
          <w:highlight w:val="none"/>
        </w:rPr>
        <w:t>。</w:t>
      </w:r>
    </w:p>
    <w:p>
      <w:pPr>
        <w:pStyle w:val="4"/>
        <w:spacing w:line="360" w:lineRule="auto"/>
        <w:rPr>
          <w:rFonts w:ascii="宋体" w:hAnsi="宋体" w:eastAsia="宋体" w:cs="宋体"/>
          <w:highlight w:val="none"/>
        </w:rPr>
      </w:pPr>
      <w:bookmarkStart w:id="2" w:name="_Toc492300548"/>
      <w:r>
        <w:rPr>
          <w:rFonts w:hint="eastAsia" w:ascii="宋体" w:hAnsi="宋体" w:eastAsia="宋体" w:cs="宋体"/>
          <w:highlight w:val="none"/>
        </w:rPr>
        <w:t>3. 投标人资格要求</w:t>
      </w:r>
      <w:bookmarkEnd w:id="2"/>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3.1 投标人须具备建设行政主管部门颁发的</w:t>
      </w:r>
      <w:r>
        <w:rPr>
          <w:rFonts w:hint="eastAsia" w:ascii="宋体" w:hAnsi="宋体" w:cs="宋体"/>
          <w:sz w:val="24"/>
          <w:szCs w:val="24"/>
          <w:highlight w:val="none"/>
          <w:u w:val="single"/>
        </w:rPr>
        <w:t>工程监理综合资质或房屋建筑工程监理甲级</w:t>
      </w:r>
      <w:r>
        <w:rPr>
          <w:rFonts w:hint="eastAsia" w:ascii="宋体" w:hAnsi="宋体" w:cs="宋体"/>
          <w:sz w:val="24"/>
          <w:szCs w:val="24"/>
          <w:highlight w:val="none"/>
        </w:rPr>
        <w:t>资质。</w:t>
      </w:r>
      <w:r>
        <w:rPr>
          <w:rFonts w:hint="eastAsia" w:ascii="宋体" w:hAnsi="宋体" w:cs="宋体"/>
          <w:color w:val="000000"/>
          <w:sz w:val="24"/>
          <w:szCs w:val="24"/>
          <w:highlight w:val="none"/>
          <w:u w:val="single"/>
        </w:rPr>
        <w:t>香港企业参加投标的，须在广东省住房和城乡建设主管部门备案且备案的业务范围满足本项目资质要求。</w:t>
      </w:r>
    </w:p>
    <w:p>
      <w:pPr>
        <w:spacing w:line="360" w:lineRule="auto"/>
        <w:ind w:firstLine="480" w:firstLineChars="200"/>
        <w:rPr>
          <w:rFonts w:ascii="宋体" w:hAnsi="宋体" w:cs="楷体"/>
          <w:sz w:val="24"/>
          <w:szCs w:val="24"/>
          <w:highlight w:val="none"/>
          <w:u w:val="single"/>
        </w:rPr>
      </w:pPr>
      <w:r>
        <w:rPr>
          <w:rFonts w:hint="eastAsia" w:ascii="宋体" w:hAnsi="宋体" w:cs="宋体"/>
          <w:sz w:val="24"/>
          <w:szCs w:val="24"/>
          <w:highlight w:val="none"/>
        </w:rPr>
        <w:t>注：</w:t>
      </w:r>
      <w:r>
        <w:rPr>
          <w:rFonts w:hint="eastAsia" w:ascii="宋体" w:hAnsi="宋体" w:cs="楷体"/>
          <w:sz w:val="24"/>
          <w:szCs w:val="24"/>
          <w:highlight w:val="none"/>
          <w:u w:val="single"/>
        </w:rPr>
        <w:t>①工程监理企业资质证书有效期按《住房和城乡建设部办公厅关于做好建筑业“证照分离”改革衔接有关工作的通知》（建办市〔2021〕30号）、《住房和城乡建设部办公厅关于建设工程企业资质有关事宜的通知》（建办市函〔2022〕361号）和《广东省住房和城乡建设厅关于建设工程企业资质有关事宜的通知》（粤建许函〔2022〕846号）执行。</w:t>
      </w:r>
    </w:p>
    <w:p>
      <w:pPr>
        <w:spacing w:line="360" w:lineRule="auto"/>
        <w:ind w:firstLine="456" w:firstLineChars="200"/>
        <w:rPr>
          <w:spacing w:val="-6"/>
          <w:highlight w:val="none"/>
        </w:rPr>
      </w:pPr>
      <w:r>
        <w:rPr>
          <w:rFonts w:hint="eastAsia" w:ascii="宋体" w:hAnsi="宋体" w:cs="宋体"/>
          <w:spacing w:val="-6"/>
          <w:sz w:val="24"/>
          <w:szCs w:val="24"/>
          <w:highlight w:val="none"/>
        </w:rPr>
        <w:t>②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w:t>
      </w:r>
    </w:p>
    <w:p>
      <w:pPr>
        <w:spacing w:line="360" w:lineRule="auto"/>
        <w:ind w:left="900" w:leftChars="200" w:hanging="480" w:hangingChars="200"/>
        <w:rPr>
          <w:rFonts w:ascii="宋体" w:hAnsi="宋体" w:cs="宋体"/>
          <w:sz w:val="24"/>
          <w:szCs w:val="24"/>
          <w:highlight w:val="none"/>
          <w:u w:val="single"/>
        </w:rPr>
      </w:pPr>
      <w:r>
        <w:rPr>
          <w:rFonts w:hint="eastAsia" w:ascii="宋体" w:hAnsi="宋体" w:cs="宋体"/>
          <w:sz w:val="24"/>
          <w:szCs w:val="24"/>
          <w:highlight w:val="none"/>
        </w:rPr>
        <w:t>3.2本次招标</w:t>
      </w:r>
      <w:r>
        <w:rPr>
          <w:rFonts w:hint="eastAsia" w:ascii="宋体" w:hAnsi="宋体" w:cs="宋体"/>
          <w:sz w:val="24"/>
          <w:szCs w:val="24"/>
          <w:highlight w:val="none"/>
          <w:u w:val="single"/>
        </w:rPr>
        <w:t xml:space="preserve"> 不接受 </w:t>
      </w:r>
      <w:r>
        <w:rPr>
          <w:rFonts w:hint="eastAsia" w:ascii="宋体" w:hAnsi="宋体" w:cs="宋体"/>
          <w:sz w:val="24"/>
          <w:szCs w:val="24"/>
          <w:highlight w:val="none"/>
        </w:rPr>
        <w:t>联合体投标。</w:t>
      </w:r>
    </w:p>
    <w:p>
      <w:pPr>
        <w:spacing w:line="360" w:lineRule="auto"/>
        <w:ind w:firstLine="437"/>
        <w:jc w:val="left"/>
        <w:rPr>
          <w:rFonts w:ascii="宋体" w:hAnsi="宋体" w:cs="宋体"/>
          <w:color w:val="000000"/>
          <w:sz w:val="24"/>
          <w:szCs w:val="24"/>
          <w:highlight w:val="none"/>
          <w:u w:val="single"/>
        </w:rPr>
      </w:pPr>
      <w:r>
        <w:rPr>
          <w:rFonts w:hint="eastAsia" w:ascii="宋体" w:hAnsi="宋体" w:cs="宋体"/>
          <w:sz w:val="24"/>
          <w:szCs w:val="24"/>
          <w:highlight w:val="none"/>
        </w:rPr>
        <w:t>3.3拟派总监理工程师须具备：建设部2006年4月1日后颁发的中华人民共和国注册监理工程师注册执业证书，且其注册专业为房屋建筑工程，注册执业单位为本公司,并具</w:t>
      </w:r>
      <w:r>
        <w:rPr>
          <w:rFonts w:hint="eastAsia" w:ascii="宋体" w:hAnsi="宋体" w:cs="宋体"/>
          <w:color w:val="000000"/>
          <w:sz w:val="24"/>
          <w:szCs w:val="24"/>
          <w:highlight w:val="none"/>
          <w:u w:val="single"/>
        </w:rPr>
        <w:t>备本科或以上学历。或在广东省住房和城乡建设主管部门备案且备案的资格满足本项目总监理工程师的资格要求的香港专业人士。</w:t>
      </w:r>
    </w:p>
    <w:p>
      <w:pPr>
        <w:pStyle w:val="5"/>
        <w:spacing w:line="360" w:lineRule="auto"/>
        <w:rPr>
          <w:rFonts w:ascii="宋体" w:hAnsi="宋体" w:cs="宋体"/>
          <w:color w:val="000000"/>
          <w:sz w:val="24"/>
          <w:szCs w:val="24"/>
          <w:highlight w:val="none"/>
          <w:u w:val="single"/>
        </w:rPr>
      </w:pPr>
      <w:r>
        <w:rPr>
          <w:rFonts w:hint="eastAsia" w:ascii="宋体" w:hAnsi="宋体" w:cs="宋体"/>
          <w:color w:val="000000"/>
          <w:sz w:val="24"/>
          <w:szCs w:val="24"/>
          <w:highlight w:val="none"/>
          <w:u w:val="single"/>
          <w:lang w:val="en-US"/>
        </w:rPr>
        <w:t>备注：依据《广东省住房和城乡建设厅关于印发香港工程建设咨询企业和专业人士在粤港澳大湾区内地城市开业执业试点管理暂行办法的通知》（粤建规范〔</w:t>
      </w:r>
      <w:r>
        <w:rPr>
          <w:rFonts w:ascii="宋体" w:hAnsi="宋体" w:cs="宋体"/>
          <w:color w:val="000000"/>
          <w:sz w:val="24"/>
          <w:szCs w:val="24"/>
          <w:highlight w:val="none"/>
          <w:u w:val="single"/>
          <w:lang w:val="en-US"/>
        </w:rPr>
        <w:t>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w:t>
      </w:r>
      <w:r>
        <w:rPr>
          <w:rFonts w:hint="eastAsia" w:ascii="宋体" w:hAnsi="宋体" w:cs="宋体"/>
          <w:color w:val="000000"/>
          <w:sz w:val="24"/>
          <w:szCs w:val="24"/>
          <w:highlight w:val="none"/>
          <w:u w:val="single"/>
          <w:lang w:val="en-US"/>
        </w:rPr>
        <w:t>察、设计和监理项目管理团队中的相应职务。满足前述内容的香港企业及香港专业人士参与本次投标的，应按招标文件要求提供满足评审的相关证明文件。</w:t>
      </w:r>
    </w:p>
    <w:p>
      <w:pPr>
        <w:spacing w:line="360" w:lineRule="auto"/>
        <w:ind w:left="2357" w:leftChars="208" w:hanging="1920" w:hangingChars="800"/>
        <w:jc w:val="left"/>
        <w:rPr>
          <w:rFonts w:ascii="宋体" w:hAnsi="宋体" w:cs="宋体"/>
          <w:color w:val="000000"/>
          <w:sz w:val="24"/>
          <w:szCs w:val="24"/>
          <w:highlight w:val="none"/>
          <w:u w:val="single"/>
        </w:rPr>
      </w:pPr>
      <w:r>
        <w:rPr>
          <w:rFonts w:ascii="宋体" w:hAnsi="宋体" w:cs="宋体"/>
          <w:color w:val="000000"/>
          <w:sz w:val="24"/>
          <w:szCs w:val="24"/>
          <w:highlight w:val="none"/>
          <w:u w:val="single"/>
        </w:rPr>
        <w:t>3.4其他要求：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① 投标人参加投标的意思表达清楚，投标人代表被授权有效。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② 投标人必须具有独立法人资格，持有有效的工商行政管理部门核发的法人营业执照或各级政府事业单位登记管理机关颁发的事业单位法人证书，按国家法律经营。</w:t>
      </w:r>
      <w:r>
        <w:rPr>
          <w:rFonts w:hint="eastAsia" w:ascii="宋体" w:hAnsi="宋体" w:cs="宋体"/>
          <w:color w:val="000000"/>
          <w:spacing w:val="7"/>
          <w:sz w:val="24"/>
          <w:highlight w:val="none"/>
          <w:u w:val="single"/>
        </w:rPr>
        <w:t>香港企业提供在香港进行商业登记的证明文书。</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③投标人已在广州市住房和城乡建设局建立了企业信用档案，且拟担任本项目的总监理工程师须是本企业信用档案中的在册人员。</w:t>
      </w:r>
    </w:p>
    <w:p>
      <w:pPr>
        <w:spacing w:line="360" w:lineRule="auto"/>
        <w:ind w:firstLine="537" w:firstLineChars="224"/>
        <w:jc w:val="left"/>
        <w:rPr>
          <w:sz w:val="24"/>
          <w:szCs w:val="24"/>
          <w:highlight w:val="none"/>
        </w:rPr>
      </w:pPr>
      <w:r>
        <w:rPr>
          <w:rFonts w:hint="eastAsia" w:ascii="宋体" w:hAnsi="宋体" w:cs="宋体"/>
          <w:sz w:val="24"/>
          <w:szCs w:val="24"/>
          <w:highlight w:val="none"/>
        </w:rPr>
        <w:t>注：</w:t>
      </w:r>
      <w:r>
        <w:rPr>
          <w:rFonts w:hint="eastAsia" w:ascii="宋体" w:hAnsi="宋体" w:cs="宋体"/>
          <w:sz w:val="24"/>
          <w:highlight w:val="none"/>
          <w:u w:val="single"/>
          <w:lang w:bidi="ar"/>
        </w:rPr>
        <w:t>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r>
        <w:rPr>
          <w:rFonts w:hint="eastAsia"/>
          <w:sz w:val="24"/>
          <w:szCs w:val="24"/>
          <w:highlight w:val="none"/>
        </w:rPr>
        <w:t>http://zfcj.gz.gov.cn/zwgk/zsdwxxgkzl/gzsjzyglfwzx/bszy/content/post_8073953.html）</w:t>
      </w:r>
    </w:p>
    <w:p>
      <w:pPr>
        <w:pStyle w:val="8"/>
        <w:spacing w:before="0" w:beforeAutospacing="0" w:after="0" w:afterAutospacing="0" w:line="360" w:lineRule="auto"/>
        <w:ind w:firstLine="480" w:firstLineChars="200"/>
        <w:rPr>
          <w:kern w:val="2"/>
          <w:highlight w:val="none"/>
        </w:rPr>
      </w:pPr>
      <w:r>
        <w:rPr>
          <w:rFonts w:hint="eastAsia"/>
          <w:kern w:val="2"/>
          <w:highlight w:val="none"/>
        </w:rPr>
        <w:t xml:space="preserve">④投标人已按规定格式签名盖章《投标人声明》（详见招标公告附件一）。 </w:t>
      </w:r>
    </w:p>
    <w:p>
      <w:pPr>
        <w:pStyle w:val="8"/>
        <w:spacing w:before="0" w:beforeAutospacing="0" w:after="0" w:afterAutospacing="0" w:line="360" w:lineRule="auto"/>
        <w:ind w:firstLine="480" w:firstLineChars="200"/>
        <w:rPr>
          <w:color w:val="000000"/>
          <w:kern w:val="2"/>
          <w:highlight w:val="none"/>
        </w:rPr>
      </w:pPr>
      <w:r>
        <w:rPr>
          <w:rFonts w:hint="eastAsia"/>
          <w:color w:val="000000"/>
          <w:kern w:val="2"/>
          <w:highlight w:val="none"/>
        </w:rPr>
        <w:t>⑤</w:t>
      </w:r>
      <w:r>
        <w:rPr>
          <w:rFonts w:hint="eastAsia"/>
          <w:kern w:val="2"/>
          <w:highlight w:val="none"/>
        </w:rPr>
        <w:t>投标人</w:t>
      </w:r>
      <w:r>
        <w:rPr>
          <w:rFonts w:hint="eastAsia"/>
          <w:color w:val="000000"/>
          <w:kern w:val="2"/>
          <w:highlight w:val="none"/>
        </w:rPr>
        <w:t>未被纳入失信联合惩戒名单且被限制参加建设工程投标的（具体名单以递交投标文件截止时间“信用广州”https://credit1.gz.gov.cn/sgs/sgsXkNew公布的“失信黑名单”为准。不包含限制参加财政投资工程或政府投资工程的投标）；本项评审投标人无需提供资料，按资格评审时广州公共资源交易中心交易系统比对的结果进行评审。</w:t>
      </w:r>
    </w:p>
    <w:p>
      <w:pPr>
        <w:adjustRightInd w:val="0"/>
        <w:snapToGrid w:val="0"/>
        <w:spacing w:line="360" w:lineRule="auto"/>
        <w:ind w:firstLine="480" w:firstLineChars="200"/>
        <w:rPr>
          <w:rFonts w:ascii="宋体" w:hAnsi="宋体" w:cs="宋体"/>
          <w:sz w:val="24"/>
          <w:szCs w:val="24"/>
          <w:highlight w:val="none"/>
          <w:u w:val="single"/>
          <w:shd w:val="clear" w:color="auto" w:fill="FFFFFF"/>
        </w:rPr>
      </w:pPr>
      <w:r>
        <w:rPr>
          <w:rFonts w:hint="eastAsia" w:ascii="宋体" w:hAnsi="宋体" w:cs="宋体"/>
          <w:sz w:val="24"/>
          <w:szCs w:val="24"/>
          <w:highlight w:val="none"/>
          <w:u w:val="single"/>
          <w:shd w:val="clear" w:color="auto" w:fill="FFFFFF"/>
        </w:rPr>
        <w:t>注：因联合惩戒措施表述存在细微差别，惩戒措施与上文不完全一致但措施内容相同的，也应属于被限制参与相关项目的投标。</w:t>
      </w:r>
    </w:p>
    <w:p>
      <w:pPr>
        <w:topLinePunct/>
        <w:adjustRightInd w:val="0"/>
        <w:snapToGrid w:val="0"/>
        <w:spacing w:line="384" w:lineRule="auto"/>
        <w:ind w:firstLine="424" w:firstLineChars="177"/>
        <w:rPr>
          <w:highlight w:val="none"/>
        </w:rPr>
      </w:pPr>
      <w:r>
        <w:rPr>
          <w:rFonts w:hint="eastAsia" w:ascii="宋体" w:hAnsi="Calibri" w:cs="宋体"/>
          <w:sz w:val="24"/>
          <w:szCs w:val="24"/>
          <w:highlight w:val="none"/>
        </w:rPr>
        <w:t>未在招标公告第3条单列的投标人资格要求条件，不作为资审不合格的依据。</w:t>
      </w:r>
    </w:p>
    <w:p>
      <w:pPr>
        <w:pStyle w:val="4"/>
        <w:spacing w:line="360" w:lineRule="auto"/>
        <w:rPr>
          <w:rFonts w:ascii="宋体" w:hAnsi="宋体" w:eastAsia="宋体" w:cs="宋体"/>
          <w:highlight w:val="none"/>
        </w:rPr>
      </w:pPr>
      <w:bookmarkStart w:id="3" w:name="_Toc492300549"/>
      <w:r>
        <w:rPr>
          <w:rFonts w:hint="eastAsia" w:ascii="宋体" w:hAnsi="宋体" w:eastAsia="宋体" w:cs="宋体"/>
          <w:highlight w:val="none"/>
        </w:rPr>
        <w:t>4. 招标文件的获取</w:t>
      </w:r>
      <w:bookmarkEnd w:id="3"/>
      <w:r>
        <w:rPr>
          <w:rFonts w:hint="eastAsia" w:ascii="宋体" w:hAnsi="宋体" w:eastAsia="宋体" w:cs="宋体"/>
          <w:highlight w:val="none"/>
        </w:rPr>
        <w:t>及资格审查</w:t>
      </w:r>
    </w:p>
    <w:p>
      <w:pPr>
        <w:wordWrap w:val="0"/>
        <w:spacing w:line="360" w:lineRule="auto"/>
        <w:ind w:left="210" w:leftChars="100" w:firstLine="240" w:firstLineChars="100"/>
        <w:rPr>
          <w:rFonts w:ascii="宋体" w:cs="宋体"/>
          <w:sz w:val="24"/>
          <w:szCs w:val="24"/>
          <w:highlight w:val="none"/>
        </w:rPr>
      </w:pPr>
      <w:bookmarkStart w:id="4" w:name="_Toc3471142"/>
      <w:bookmarkStart w:id="5" w:name="_Toc514099628"/>
      <w:bookmarkStart w:id="6" w:name="_Toc492300550"/>
      <w:r>
        <w:rPr>
          <w:rFonts w:hint="eastAsia" w:ascii="宋体" w:cs="宋体"/>
          <w:sz w:val="24"/>
          <w:szCs w:val="24"/>
          <w:highlight w:val="none"/>
          <w:lang w:bidi="ar"/>
        </w:rPr>
        <w:t>4.1凡有意参加投标者，请登录</w:t>
      </w:r>
      <w:r>
        <w:rPr>
          <w:rFonts w:hint="eastAsia" w:ascii="宋体" w:cs="宋体"/>
          <w:sz w:val="24"/>
          <w:szCs w:val="24"/>
          <w:highlight w:val="none"/>
          <w:u w:val="single"/>
          <w:lang w:bidi="ar"/>
        </w:rPr>
        <w:t>广州公共资源交易中心网站（http://ggzy.gz.gov.cn）</w:t>
      </w:r>
      <w:r>
        <w:rPr>
          <w:rFonts w:hint="eastAsia" w:ascii="宋体" w:hAnsi="宋体" w:cs="宋体"/>
          <w:sz w:val="24"/>
          <w:szCs w:val="24"/>
          <w:highlight w:val="none"/>
          <w:lang w:bidi="ar"/>
        </w:rPr>
        <w:t>下载电子招标文件。</w:t>
      </w:r>
    </w:p>
    <w:p>
      <w:pPr>
        <w:wordWrap w:val="0"/>
        <w:spacing w:line="360" w:lineRule="auto"/>
        <w:ind w:left="1" w:firstLine="420" w:firstLineChars="175"/>
        <w:rPr>
          <w:rFonts w:ascii="宋体" w:cs="宋体"/>
          <w:sz w:val="24"/>
          <w:szCs w:val="24"/>
          <w:highlight w:val="none"/>
        </w:rPr>
      </w:pPr>
      <w:bookmarkStart w:id="7" w:name="_Toc511557030"/>
      <w:r>
        <w:rPr>
          <w:rFonts w:hint="eastAsia" w:ascii="宋体" w:cs="宋体"/>
          <w:sz w:val="24"/>
          <w:szCs w:val="24"/>
          <w:highlight w:val="none"/>
          <w:lang w:bidi="ar"/>
        </w:rPr>
        <w:t>4.2 发布招标公告时间（含本日）</w:t>
      </w:r>
      <w:r>
        <w:rPr>
          <w:rFonts w:hint="eastAsia" w:ascii="宋体" w:cs="宋体"/>
          <w:sz w:val="24"/>
          <w:szCs w:val="24"/>
          <w:highlight w:val="none"/>
          <w:u w:val="single"/>
          <w:lang w:bidi="ar"/>
        </w:rPr>
        <w:t>2023</w:t>
      </w:r>
      <w:r>
        <w:rPr>
          <w:rFonts w:hint="eastAsia" w:ascii="宋体" w:cs="宋体"/>
          <w:sz w:val="24"/>
          <w:szCs w:val="24"/>
          <w:highlight w:val="none"/>
          <w:lang w:bidi="ar"/>
        </w:rPr>
        <w:t>年</w:t>
      </w:r>
      <w:r>
        <w:rPr>
          <w:rFonts w:hint="eastAsia" w:ascii="宋体" w:cs="宋体"/>
          <w:sz w:val="24"/>
          <w:szCs w:val="24"/>
          <w:highlight w:val="none"/>
          <w:u w:val="single"/>
          <w:lang w:val="en-US" w:eastAsia="zh-CN" w:bidi="ar"/>
        </w:rPr>
        <w:t>2</w:t>
      </w:r>
      <w:r>
        <w:rPr>
          <w:rFonts w:hint="eastAsia" w:ascii="宋体" w:cs="宋体"/>
          <w:sz w:val="24"/>
          <w:szCs w:val="24"/>
          <w:highlight w:val="none"/>
          <w:lang w:bidi="ar"/>
        </w:rPr>
        <w:t>月</w:t>
      </w:r>
      <w:r>
        <w:rPr>
          <w:rFonts w:hint="eastAsia" w:ascii="宋体" w:cs="宋体"/>
          <w:sz w:val="24"/>
          <w:szCs w:val="24"/>
          <w:highlight w:val="none"/>
          <w:u w:val="single"/>
          <w:lang w:val="en-US" w:eastAsia="zh-CN" w:bidi="ar"/>
        </w:rPr>
        <w:t>22</w:t>
      </w:r>
      <w:r>
        <w:rPr>
          <w:rFonts w:hint="eastAsia" w:ascii="宋体" w:cs="宋体"/>
          <w:sz w:val="24"/>
          <w:szCs w:val="24"/>
          <w:highlight w:val="none"/>
          <w:lang w:bidi="ar"/>
        </w:rPr>
        <w:t>日</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12</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时</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00</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分至</w:t>
      </w:r>
      <w:r>
        <w:rPr>
          <w:rFonts w:hint="eastAsia" w:ascii="宋体" w:cs="宋体"/>
          <w:sz w:val="24"/>
          <w:szCs w:val="24"/>
          <w:highlight w:val="none"/>
          <w:u w:val="single"/>
          <w:lang w:bidi="ar"/>
        </w:rPr>
        <w:t>2023</w:t>
      </w:r>
      <w:r>
        <w:rPr>
          <w:rFonts w:hint="eastAsia" w:ascii="宋体" w:cs="宋体"/>
          <w:sz w:val="24"/>
          <w:szCs w:val="24"/>
          <w:highlight w:val="none"/>
          <w:lang w:bidi="ar"/>
        </w:rPr>
        <w:t>年</w:t>
      </w:r>
      <w:r>
        <w:rPr>
          <w:rFonts w:hint="eastAsia" w:ascii="宋体" w:cs="宋体"/>
          <w:sz w:val="24"/>
          <w:szCs w:val="24"/>
          <w:highlight w:val="none"/>
          <w:u w:val="single"/>
          <w:lang w:val="en-US" w:eastAsia="zh-CN" w:bidi="ar"/>
        </w:rPr>
        <w:t>3</w:t>
      </w:r>
      <w:r>
        <w:rPr>
          <w:rFonts w:hint="eastAsia" w:ascii="宋体" w:cs="宋体"/>
          <w:sz w:val="24"/>
          <w:szCs w:val="24"/>
          <w:highlight w:val="none"/>
          <w:lang w:bidi="ar"/>
        </w:rPr>
        <w:t>月</w:t>
      </w:r>
      <w:r>
        <w:rPr>
          <w:rFonts w:hint="eastAsia" w:ascii="宋体" w:cs="宋体"/>
          <w:sz w:val="24"/>
          <w:szCs w:val="24"/>
          <w:highlight w:val="none"/>
          <w:u w:val="single"/>
          <w:lang w:val="en-US" w:eastAsia="zh-CN" w:bidi="ar"/>
        </w:rPr>
        <w:t>15</w:t>
      </w:r>
      <w:r>
        <w:rPr>
          <w:rFonts w:hint="eastAsia" w:ascii="宋体" w:cs="宋体"/>
          <w:sz w:val="24"/>
          <w:szCs w:val="24"/>
          <w:highlight w:val="none"/>
          <w:lang w:bidi="ar"/>
        </w:rPr>
        <w:t>日</w:t>
      </w:r>
      <w:r>
        <w:rPr>
          <w:rFonts w:hint="eastAsia" w:ascii="宋体" w:cs="宋体"/>
          <w:sz w:val="24"/>
          <w:szCs w:val="24"/>
          <w:highlight w:val="none"/>
          <w:u w:val="single"/>
          <w:lang w:val="en-US" w:eastAsia="zh-CN" w:bidi="ar"/>
        </w:rPr>
        <w:t>9</w:t>
      </w:r>
      <w:r>
        <w:rPr>
          <w:rFonts w:hint="eastAsia" w:ascii="宋体" w:cs="宋体"/>
          <w:sz w:val="24"/>
          <w:szCs w:val="24"/>
          <w:highlight w:val="none"/>
          <w:lang w:bidi="ar"/>
        </w:rPr>
        <w:t>时</w:t>
      </w:r>
      <w:r>
        <w:rPr>
          <w:rFonts w:hint="eastAsia" w:ascii="宋体" w:cs="宋体"/>
          <w:sz w:val="24"/>
          <w:szCs w:val="24"/>
          <w:highlight w:val="none"/>
          <w:u w:val="single"/>
          <w:lang w:val="en-US" w:eastAsia="zh-CN" w:bidi="ar"/>
        </w:rPr>
        <w:t>30</w:t>
      </w:r>
      <w:r>
        <w:rPr>
          <w:rFonts w:hint="eastAsia" w:ascii="宋体" w:cs="宋体"/>
          <w:sz w:val="24"/>
          <w:szCs w:val="24"/>
          <w:highlight w:val="none"/>
          <w:lang w:bidi="ar"/>
        </w:rPr>
        <w:t>分。</w:t>
      </w:r>
      <w:r>
        <w:rPr>
          <w:rFonts w:hint="eastAsia" w:ascii="宋体" w:hAnsi="宋体" w:cs="宋体"/>
          <w:color w:val="000000"/>
          <w:sz w:val="24"/>
          <w:highlight w:val="none"/>
        </w:rPr>
        <w:t>本项目招标文件随招标公告一并在</w:t>
      </w:r>
      <w:r>
        <w:rPr>
          <w:rFonts w:hint="eastAsia" w:ascii="宋体" w:hAnsi="宋体" w:cs="宋体"/>
          <w:color w:val="000000"/>
          <w:sz w:val="24"/>
          <w:highlight w:val="none"/>
          <w:u w:val="single"/>
        </w:rPr>
        <w:t>广州公共资源交易中心</w:t>
      </w:r>
      <w:r>
        <w:rPr>
          <w:rFonts w:hint="eastAsia" w:ascii="宋体" w:hAnsi="宋体" w:cs="宋体"/>
          <w:color w:val="000000"/>
          <w:sz w:val="24"/>
          <w:highlight w:val="none"/>
        </w:rPr>
        <w:t>网站发布。招标文件一经在广州公共资源交易中心发布，视为送达给投标人，招标文件由投标人自行在广州公共资源交易中心网站下载。</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lang w:bidi="ar"/>
        </w:rPr>
        <w:t>注：发布招标公告的时间为招标公告发出之日起至递交投标文件截止时间止</w:t>
      </w:r>
      <w:r>
        <w:rPr>
          <w:rFonts w:hint="eastAsia" w:ascii="宋体" w:hAnsi="宋体" w:cs="宋体"/>
          <w:kern w:val="0"/>
          <w:sz w:val="24"/>
          <w:szCs w:val="24"/>
          <w:highlight w:val="none"/>
        </w:rPr>
        <w:t>，并从招标公告发布之日起开始计算备标时间</w:t>
      </w:r>
      <w:r>
        <w:rPr>
          <w:rFonts w:hint="eastAsia" w:ascii="宋体" w:cs="宋体"/>
          <w:sz w:val="24"/>
          <w:szCs w:val="24"/>
          <w:highlight w:val="none"/>
          <w:lang w:bidi="ar"/>
        </w:rPr>
        <w:t>。</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lang w:bidi="ar"/>
        </w:rPr>
        <w:t>4.3</w:t>
      </w:r>
      <w:r>
        <w:rPr>
          <w:rFonts w:hint="eastAsia" w:ascii="宋体" w:hAnsi="宋体" w:cs="宋体"/>
          <w:kern w:val="0"/>
          <w:sz w:val="24"/>
          <w:szCs w:val="24"/>
          <w:highlight w:val="none"/>
        </w:rPr>
        <w:t>本项目设立投标登记环节</w:t>
      </w:r>
      <w:r>
        <w:rPr>
          <w:rFonts w:hint="eastAsia" w:ascii="宋体" w:cs="宋体"/>
          <w:sz w:val="24"/>
          <w:szCs w:val="24"/>
          <w:highlight w:val="none"/>
          <w:lang w:bidi="ar"/>
        </w:rPr>
        <w:t xml:space="preserve">。投标人应在递交投标文件截止时间前，登录广州公共资源交易中心交易平台网站办理网上投标登记手续。按照交易平台关于全流程电子化项目的相关指南进行操作。详见：广州公共资源交易中心网站。 </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lang w:bidi="ar"/>
        </w:rPr>
        <w:t>注：在投标登记时，投标人应按要求在交易系统中填写《监理项目管理团队人员信息表》（详见招标公告附件二），表中的项目管理团队人员信息作为投标文件的一部分，将由交易系统提取后供各相关单位在中标人履约时进行比对、查核。</w:t>
      </w:r>
    </w:p>
    <w:p>
      <w:pPr>
        <w:wordWrap w:val="0"/>
        <w:spacing w:line="360" w:lineRule="auto"/>
        <w:ind w:firstLine="480" w:firstLineChars="200"/>
        <w:rPr>
          <w:rFonts w:ascii="宋体" w:cs="宋体"/>
          <w:sz w:val="24"/>
          <w:szCs w:val="24"/>
          <w:highlight w:val="none"/>
        </w:rPr>
      </w:pPr>
      <w:r>
        <w:rPr>
          <w:rFonts w:hint="eastAsia" w:ascii="宋体" w:cs="宋体"/>
          <w:sz w:val="24"/>
          <w:szCs w:val="24"/>
          <w:highlight w:val="none"/>
          <w:lang w:bidi="ar"/>
        </w:rPr>
        <w:t>4.4 本项目采用资格后审方式。</w:t>
      </w:r>
    </w:p>
    <w:bookmarkEnd w:id="4"/>
    <w:bookmarkEnd w:id="5"/>
    <w:bookmarkEnd w:id="7"/>
    <w:p>
      <w:pPr>
        <w:pStyle w:val="4"/>
        <w:spacing w:line="360" w:lineRule="auto"/>
        <w:rPr>
          <w:rFonts w:ascii="宋体" w:hAnsi="宋体" w:eastAsia="宋体" w:cs="宋体"/>
          <w:highlight w:val="none"/>
        </w:rPr>
      </w:pPr>
      <w:r>
        <w:rPr>
          <w:rFonts w:hint="eastAsia" w:ascii="宋体" w:hAnsi="宋体" w:eastAsia="宋体" w:cs="宋体"/>
          <w:highlight w:val="none"/>
        </w:rPr>
        <w:t>5. 投标文件的递交</w:t>
      </w:r>
      <w:bookmarkEnd w:id="6"/>
    </w:p>
    <w:p>
      <w:pPr>
        <w:snapToGrid w:val="0"/>
        <w:spacing w:line="360" w:lineRule="auto"/>
        <w:ind w:left="1" w:firstLine="424" w:firstLineChars="177"/>
        <w:rPr>
          <w:rFonts w:ascii="宋体" w:hAnsi="宋体" w:cs="宋体"/>
          <w:sz w:val="24"/>
          <w:szCs w:val="24"/>
          <w:highlight w:val="none"/>
        </w:rPr>
      </w:pPr>
      <w:r>
        <w:rPr>
          <w:rFonts w:hint="eastAsia" w:ascii="宋体" w:hAnsi="宋体" w:cs="宋体"/>
          <w:sz w:val="24"/>
          <w:szCs w:val="24"/>
          <w:highlight w:val="none"/>
          <w:lang w:bidi="ar"/>
        </w:rPr>
        <w:t>5.1 投标文件递交的截止时间（投标截止时间，下同）为</w:t>
      </w:r>
      <w:r>
        <w:rPr>
          <w:rFonts w:hint="eastAsia" w:ascii="宋体" w:cs="宋体"/>
          <w:sz w:val="24"/>
          <w:szCs w:val="24"/>
          <w:highlight w:val="none"/>
          <w:u w:val="single"/>
          <w:lang w:bidi="ar"/>
        </w:rPr>
        <w:t>2023</w:t>
      </w:r>
      <w:r>
        <w:rPr>
          <w:rFonts w:hint="eastAsia" w:ascii="宋体" w:cs="宋体"/>
          <w:sz w:val="24"/>
          <w:szCs w:val="24"/>
          <w:highlight w:val="none"/>
          <w:lang w:bidi="ar"/>
        </w:rPr>
        <w:t>年</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3</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月</w:t>
      </w:r>
      <w:r>
        <w:rPr>
          <w:rFonts w:hint="eastAsia" w:ascii="宋体" w:cs="宋体"/>
          <w:sz w:val="24"/>
          <w:szCs w:val="24"/>
          <w:highlight w:val="none"/>
          <w:u w:val="single"/>
          <w:lang w:val="en-US" w:eastAsia="zh-CN" w:bidi="ar"/>
        </w:rPr>
        <w:t>15</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日</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9</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时</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30</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分</w:t>
      </w:r>
      <w:r>
        <w:rPr>
          <w:rFonts w:hint="eastAsia" w:ascii="宋体" w:hAnsi="宋体" w:cs="宋体"/>
          <w:sz w:val="24"/>
          <w:szCs w:val="24"/>
          <w:highlight w:val="none"/>
          <w:lang w:bidi="ar"/>
        </w:rPr>
        <w:t>，</w:t>
      </w:r>
      <w:r>
        <w:rPr>
          <w:rFonts w:hint="eastAsia" w:ascii="宋体" w:hAnsi="宋体" w:cs="宋体"/>
          <w:spacing w:val="-11"/>
          <w:sz w:val="24"/>
          <w:szCs w:val="24"/>
          <w:highlight w:val="none"/>
          <w:lang w:bidi="ar"/>
        </w:rPr>
        <w:t>投标人应在截止时间前通</w:t>
      </w:r>
      <w:r>
        <w:rPr>
          <w:rFonts w:hint="eastAsia" w:ascii="宋体" w:hAnsi="宋体" w:cs="宋体"/>
          <w:spacing w:val="-11"/>
          <w:sz w:val="24"/>
          <w:szCs w:val="24"/>
          <w:highlight w:val="none"/>
          <w:u w:val="single"/>
          <w:lang w:bidi="ar"/>
        </w:rPr>
        <w:t>过广州公共资源交易中心数字交易平台</w:t>
      </w:r>
      <w:r>
        <w:rPr>
          <w:rFonts w:hint="eastAsia" w:ascii="宋体" w:hAnsi="宋体" w:cs="宋体"/>
          <w:sz w:val="24"/>
          <w:szCs w:val="24"/>
          <w:highlight w:val="none"/>
          <w:u w:val="single"/>
          <w:lang w:bidi="ar"/>
        </w:rPr>
        <w:t>（</w:t>
      </w:r>
      <w:r>
        <w:rPr>
          <w:rFonts w:hint="eastAsia" w:ascii="宋体" w:cs="宋体"/>
          <w:sz w:val="24"/>
          <w:szCs w:val="24"/>
          <w:highlight w:val="none"/>
          <w:u w:val="single"/>
          <w:lang w:bidi="ar"/>
        </w:rPr>
        <w:t>http://ggzy.gz.gov.cn</w:t>
      </w:r>
      <w:r>
        <w:rPr>
          <w:rFonts w:hint="eastAsia" w:ascii="宋体" w:hAnsi="宋体" w:cs="宋体"/>
          <w:sz w:val="24"/>
          <w:szCs w:val="24"/>
          <w:highlight w:val="none"/>
          <w:u w:val="single"/>
          <w:lang w:bidi="ar"/>
        </w:rPr>
        <w:t>）</w:t>
      </w:r>
      <w:r>
        <w:rPr>
          <w:rFonts w:hint="eastAsia" w:ascii="宋体" w:hAnsi="宋体" w:cs="宋体"/>
          <w:sz w:val="24"/>
          <w:szCs w:val="24"/>
          <w:highlight w:val="none"/>
          <w:lang w:bidi="ar"/>
        </w:rPr>
        <w:t>递交电子投标文件。</w:t>
      </w:r>
    </w:p>
    <w:p>
      <w:pPr>
        <w:snapToGrid w:val="0"/>
        <w:spacing w:line="360" w:lineRule="auto"/>
        <w:ind w:left="118" w:leftChars="56" w:firstLine="360" w:firstLineChars="150"/>
        <w:rPr>
          <w:rFonts w:hint="eastAsia" w:ascii="宋体" w:cs="宋体"/>
          <w:sz w:val="24"/>
          <w:szCs w:val="24"/>
          <w:highlight w:val="none"/>
          <w:lang w:bidi="ar"/>
        </w:rPr>
      </w:pPr>
      <w:r>
        <w:rPr>
          <w:rFonts w:hint="eastAsia" w:ascii="宋体" w:hAnsi="宋体" w:cs="宋体"/>
          <w:sz w:val="24"/>
          <w:szCs w:val="24"/>
          <w:highlight w:val="none"/>
          <w:lang w:bidi="ar"/>
        </w:rPr>
        <w:t>递交备用投标文件电子光盘的规定：时间为</w:t>
      </w:r>
      <w:r>
        <w:rPr>
          <w:rFonts w:hint="eastAsia" w:ascii="宋体" w:cs="宋体"/>
          <w:sz w:val="24"/>
          <w:szCs w:val="24"/>
          <w:highlight w:val="none"/>
          <w:u w:val="single"/>
          <w:lang w:bidi="ar"/>
        </w:rPr>
        <w:t>2023</w:t>
      </w:r>
      <w:r>
        <w:rPr>
          <w:rFonts w:hint="eastAsia" w:ascii="宋体" w:cs="宋体"/>
          <w:sz w:val="24"/>
          <w:szCs w:val="24"/>
          <w:highlight w:val="none"/>
          <w:lang w:bidi="ar"/>
        </w:rPr>
        <w:t>年</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3</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月</w:t>
      </w:r>
      <w:r>
        <w:rPr>
          <w:rFonts w:hint="eastAsia" w:ascii="宋体" w:cs="宋体"/>
          <w:sz w:val="24"/>
          <w:szCs w:val="24"/>
          <w:highlight w:val="none"/>
          <w:u w:val="single"/>
          <w:lang w:val="en-US" w:eastAsia="zh-CN" w:bidi="ar"/>
        </w:rPr>
        <w:t>15</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日</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9</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时</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15</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分</w:t>
      </w:r>
      <w:r>
        <w:rPr>
          <w:rFonts w:hint="eastAsia" w:ascii="宋体" w:hAnsi="宋体" w:cs="宋体"/>
          <w:sz w:val="24"/>
          <w:szCs w:val="24"/>
          <w:highlight w:val="none"/>
          <w:u w:val="single"/>
          <w:lang w:bidi="ar"/>
        </w:rPr>
        <w:t>至</w:t>
      </w:r>
      <w:r>
        <w:rPr>
          <w:rFonts w:hint="eastAsia" w:ascii="宋体" w:cs="宋体"/>
          <w:sz w:val="24"/>
          <w:szCs w:val="24"/>
          <w:highlight w:val="none"/>
          <w:u w:val="single"/>
          <w:lang w:bidi="ar"/>
        </w:rPr>
        <w:t>2023</w:t>
      </w:r>
      <w:r>
        <w:rPr>
          <w:rFonts w:hint="eastAsia" w:ascii="宋体" w:cs="宋体"/>
          <w:sz w:val="24"/>
          <w:szCs w:val="24"/>
          <w:highlight w:val="none"/>
          <w:lang w:bidi="ar"/>
        </w:rPr>
        <w:t>年</w:t>
      </w:r>
    </w:p>
    <w:p>
      <w:pPr>
        <w:snapToGrid w:val="0"/>
        <w:spacing w:line="360" w:lineRule="auto"/>
        <w:rPr>
          <w:rFonts w:ascii="宋体" w:hAnsi="宋体" w:cs="宋体"/>
          <w:sz w:val="24"/>
          <w:szCs w:val="24"/>
          <w:highlight w:val="none"/>
        </w:rPr>
      </w:pP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3</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月</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15</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日</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9</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时</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30</w:t>
      </w:r>
      <w:r>
        <w:rPr>
          <w:rFonts w:hint="eastAsia" w:ascii="宋体" w:cs="宋体"/>
          <w:sz w:val="24"/>
          <w:szCs w:val="24"/>
          <w:highlight w:val="none"/>
          <w:u w:val="single"/>
          <w:lang w:bidi="ar"/>
        </w:rPr>
        <w:t xml:space="preserve"> </w:t>
      </w:r>
      <w:r>
        <w:rPr>
          <w:rFonts w:hint="eastAsia" w:ascii="宋体" w:cs="宋体"/>
          <w:sz w:val="24"/>
          <w:szCs w:val="24"/>
          <w:highlight w:val="none"/>
          <w:lang w:bidi="ar"/>
        </w:rPr>
        <w:t>分</w:t>
      </w:r>
      <w:r>
        <w:rPr>
          <w:rFonts w:hint="eastAsia" w:ascii="宋体" w:hAnsi="宋体" w:cs="宋体"/>
          <w:sz w:val="24"/>
          <w:szCs w:val="24"/>
          <w:highlight w:val="none"/>
          <w:lang w:bidi="ar"/>
        </w:rPr>
        <w:t>；地点：广州公共资源交易中心第</w:t>
      </w:r>
      <w:r>
        <w:rPr>
          <w:rFonts w:hint="eastAsia" w:ascii="宋体" w:cs="宋体"/>
          <w:sz w:val="24"/>
          <w:szCs w:val="24"/>
          <w:highlight w:val="none"/>
          <w:u w:val="single"/>
          <w:lang w:bidi="ar"/>
        </w:rPr>
        <w:t xml:space="preserve"> </w:t>
      </w:r>
      <w:r>
        <w:rPr>
          <w:rFonts w:hint="eastAsia" w:ascii="宋体" w:cs="宋体"/>
          <w:sz w:val="24"/>
          <w:szCs w:val="24"/>
          <w:highlight w:val="none"/>
          <w:u w:val="single"/>
          <w:lang w:val="en-US" w:eastAsia="zh-CN" w:bidi="ar"/>
        </w:rPr>
        <w:t>15</w:t>
      </w:r>
      <w:r>
        <w:rPr>
          <w:rFonts w:hint="eastAsia" w:ascii="宋体" w:cs="宋体"/>
          <w:sz w:val="24"/>
          <w:szCs w:val="24"/>
          <w:highlight w:val="none"/>
          <w:u w:val="single"/>
          <w:lang w:bidi="ar"/>
        </w:rPr>
        <w:t xml:space="preserve"> </w:t>
      </w:r>
      <w:r>
        <w:rPr>
          <w:rFonts w:hint="eastAsia" w:ascii="宋体" w:hAnsi="宋体" w:cs="宋体"/>
          <w:sz w:val="24"/>
          <w:szCs w:val="24"/>
          <w:highlight w:val="none"/>
          <w:lang w:bidi="ar"/>
        </w:rPr>
        <w:t>开标室。（电子光盘需按规定封装。投标人将数据刻录到光盘之后，投标前自行检查文件是否可以读取。）</w:t>
      </w:r>
    </w:p>
    <w:p>
      <w:pPr>
        <w:tabs>
          <w:tab w:val="left" w:pos="1100"/>
        </w:tabs>
        <w:spacing w:line="360" w:lineRule="auto"/>
        <w:ind w:firstLine="480" w:firstLineChars="200"/>
        <w:jc w:val="left"/>
        <w:rPr>
          <w:rFonts w:hint="eastAsia" w:ascii="宋体" w:cs="宋体"/>
          <w:sz w:val="24"/>
          <w:szCs w:val="24"/>
          <w:highlight w:val="none"/>
          <w:lang w:bidi="ar"/>
        </w:rPr>
      </w:pPr>
      <w:r>
        <w:rPr>
          <w:rFonts w:hint="eastAsia" w:ascii="宋体" w:cs="宋体"/>
          <w:sz w:val="24"/>
          <w:szCs w:val="24"/>
          <w:highlight w:val="none"/>
          <w:lang w:bidi="ar"/>
        </w:rPr>
        <w:t>5.2 采取电子投标时，逾期送达的投标文件，电子招标投标交易平台将予以拒收。逾期未上传成功的电子投标文件，招标人拒绝接收。</w:t>
      </w:r>
    </w:p>
    <w:p>
      <w:pPr>
        <w:snapToGrid w:val="0"/>
        <w:spacing w:line="360" w:lineRule="auto"/>
        <w:ind w:left="1" w:firstLine="424" w:firstLineChars="177"/>
        <w:rPr>
          <w:rFonts w:ascii="宋体" w:hAnsi="宋体" w:cs="宋体"/>
          <w:sz w:val="24"/>
          <w:szCs w:val="24"/>
          <w:highlight w:val="none"/>
          <w:lang w:bidi="ar"/>
        </w:rPr>
      </w:pPr>
      <w:r>
        <w:rPr>
          <w:rFonts w:hint="eastAsia" w:ascii="宋体" w:hAnsi="宋体" w:cs="宋体"/>
          <w:sz w:val="24"/>
          <w:szCs w:val="24"/>
          <w:highlight w:val="none"/>
          <w:lang w:bidi="ar"/>
        </w:rPr>
        <w:t>5.3  投标人完成电子投标上传后，电子招标投标交易平台即时向投标人发出递交回执通知。递交时间以递交回执通知载明的传输时间为准。</w:t>
      </w:r>
    </w:p>
    <w:p>
      <w:pPr>
        <w:tabs>
          <w:tab w:val="left" w:pos="1100"/>
        </w:tabs>
        <w:spacing w:line="360" w:lineRule="auto"/>
        <w:ind w:firstLine="456" w:firstLineChars="200"/>
        <w:jc w:val="left"/>
        <w:rPr>
          <w:rFonts w:ascii="宋体" w:hAnsi="宋体" w:cs="宋体"/>
          <w:color w:val="000000"/>
          <w:spacing w:val="-6"/>
          <w:sz w:val="24"/>
          <w:szCs w:val="24"/>
          <w:highlight w:val="none"/>
        </w:rPr>
      </w:pPr>
      <w:r>
        <w:rPr>
          <w:rFonts w:hint="eastAsia" w:ascii="宋体" w:hAnsi="宋体" w:cs="宋体"/>
          <w:color w:val="000000"/>
          <w:spacing w:val="-6"/>
          <w:sz w:val="24"/>
          <w:szCs w:val="24"/>
          <w:highlight w:val="none"/>
        </w:rPr>
        <w:t>5.4 开标时间为</w:t>
      </w:r>
      <w:r>
        <w:rPr>
          <w:rFonts w:hint="eastAsia" w:ascii="宋体" w:hAnsi="宋体" w:cs="宋体"/>
          <w:color w:val="000000"/>
          <w:spacing w:val="-6"/>
          <w:sz w:val="24"/>
          <w:szCs w:val="24"/>
          <w:highlight w:val="none"/>
          <w:u w:val="single"/>
        </w:rPr>
        <w:t>2023</w:t>
      </w:r>
      <w:r>
        <w:rPr>
          <w:rFonts w:hint="eastAsia" w:ascii="宋体" w:hAnsi="宋体" w:cs="宋体"/>
          <w:color w:val="000000"/>
          <w:spacing w:val="-6"/>
          <w:sz w:val="24"/>
          <w:szCs w:val="24"/>
          <w:highlight w:val="none"/>
        </w:rPr>
        <w:t>年</w:t>
      </w:r>
      <w:r>
        <w:rPr>
          <w:rFonts w:hint="eastAsia" w:ascii="宋体" w:cs="宋体"/>
          <w:spacing w:val="-6"/>
          <w:sz w:val="24"/>
          <w:szCs w:val="24"/>
          <w:highlight w:val="none"/>
          <w:u w:val="single"/>
          <w:lang w:val="en-US" w:eastAsia="zh-CN" w:bidi="ar"/>
        </w:rPr>
        <w:t>3</w:t>
      </w:r>
      <w:r>
        <w:rPr>
          <w:rFonts w:hint="eastAsia" w:ascii="宋体" w:cs="宋体"/>
          <w:spacing w:val="-6"/>
          <w:sz w:val="24"/>
          <w:szCs w:val="24"/>
          <w:highlight w:val="none"/>
          <w:lang w:bidi="ar"/>
        </w:rPr>
        <w:t>月</w:t>
      </w:r>
      <w:r>
        <w:rPr>
          <w:rFonts w:hint="eastAsia" w:ascii="宋体" w:cs="宋体"/>
          <w:spacing w:val="-6"/>
          <w:sz w:val="24"/>
          <w:szCs w:val="24"/>
          <w:highlight w:val="none"/>
          <w:u w:val="single"/>
          <w:lang w:val="en-US" w:eastAsia="zh-CN" w:bidi="ar"/>
        </w:rPr>
        <w:t>15</w:t>
      </w:r>
      <w:r>
        <w:rPr>
          <w:rFonts w:hint="eastAsia" w:ascii="宋体" w:cs="宋体"/>
          <w:spacing w:val="-6"/>
          <w:sz w:val="24"/>
          <w:szCs w:val="24"/>
          <w:highlight w:val="none"/>
          <w:lang w:bidi="ar"/>
        </w:rPr>
        <w:t>日</w:t>
      </w:r>
      <w:r>
        <w:rPr>
          <w:rFonts w:hint="eastAsia" w:ascii="宋体" w:cs="宋体"/>
          <w:spacing w:val="-6"/>
          <w:sz w:val="24"/>
          <w:szCs w:val="24"/>
          <w:highlight w:val="none"/>
          <w:u w:val="single"/>
          <w:lang w:val="en-US" w:eastAsia="zh-CN" w:bidi="ar"/>
        </w:rPr>
        <w:t>9</w:t>
      </w:r>
      <w:r>
        <w:rPr>
          <w:rFonts w:hint="eastAsia" w:ascii="宋体" w:cs="宋体"/>
          <w:spacing w:val="-6"/>
          <w:sz w:val="24"/>
          <w:szCs w:val="24"/>
          <w:highlight w:val="none"/>
          <w:lang w:bidi="ar"/>
        </w:rPr>
        <w:t>时</w:t>
      </w:r>
      <w:r>
        <w:rPr>
          <w:rFonts w:hint="eastAsia" w:ascii="宋体" w:cs="宋体"/>
          <w:spacing w:val="-6"/>
          <w:sz w:val="24"/>
          <w:szCs w:val="24"/>
          <w:highlight w:val="none"/>
          <w:u w:val="single"/>
          <w:lang w:val="en-US" w:eastAsia="zh-CN" w:bidi="ar"/>
        </w:rPr>
        <w:t>30</w:t>
      </w:r>
      <w:r>
        <w:rPr>
          <w:rFonts w:hint="eastAsia" w:ascii="宋体" w:cs="宋体"/>
          <w:spacing w:val="-6"/>
          <w:sz w:val="24"/>
          <w:szCs w:val="24"/>
          <w:highlight w:val="none"/>
          <w:lang w:bidi="ar"/>
        </w:rPr>
        <w:t>分</w:t>
      </w:r>
      <w:r>
        <w:rPr>
          <w:rFonts w:hint="eastAsia" w:ascii="宋体" w:hAnsi="宋体" w:cs="宋体"/>
          <w:color w:val="000000"/>
          <w:spacing w:val="-6"/>
          <w:sz w:val="24"/>
          <w:szCs w:val="24"/>
          <w:highlight w:val="none"/>
        </w:rPr>
        <w:t>，地点：广州公共资源交易中心第</w:t>
      </w:r>
      <w:r>
        <w:rPr>
          <w:rFonts w:hint="eastAsia" w:ascii="宋体" w:cs="宋体"/>
          <w:spacing w:val="-6"/>
          <w:sz w:val="24"/>
          <w:szCs w:val="24"/>
          <w:highlight w:val="none"/>
          <w:u w:val="single"/>
          <w:lang w:bidi="ar"/>
        </w:rPr>
        <w:t xml:space="preserve"> </w:t>
      </w:r>
      <w:r>
        <w:rPr>
          <w:rFonts w:hint="eastAsia" w:ascii="宋体" w:cs="宋体"/>
          <w:spacing w:val="-6"/>
          <w:sz w:val="24"/>
          <w:szCs w:val="24"/>
          <w:highlight w:val="none"/>
          <w:u w:val="single"/>
          <w:lang w:val="en-US" w:eastAsia="zh-CN" w:bidi="ar"/>
        </w:rPr>
        <w:t>15</w:t>
      </w:r>
      <w:bookmarkStart w:id="38" w:name="_GoBack"/>
      <w:bookmarkEnd w:id="38"/>
      <w:r>
        <w:rPr>
          <w:rFonts w:hint="eastAsia" w:ascii="宋体" w:cs="宋体"/>
          <w:spacing w:val="-6"/>
          <w:sz w:val="24"/>
          <w:szCs w:val="24"/>
          <w:highlight w:val="none"/>
          <w:u w:val="single"/>
          <w:lang w:bidi="ar"/>
        </w:rPr>
        <w:t xml:space="preserve"> </w:t>
      </w:r>
      <w:r>
        <w:rPr>
          <w:rFonts w:hint="eastAsia" w:ascii="宋体" w:hAnsi="宋体" w:cs="宋体"/>
          <w:color w:val="000000"/>
          <w:spacing w:val="-6"/>
          <w:sz w:val="24"/>
          <w:szCs w:val="24"/>
          <w:highlight w:val="none"/>
        </w:rPr>
        <w:t>开标室。</w:t>
      </w:r>
    </w:p>
    <w:p>
      <w:pPr>
        <w:tabs>
          <w:tab w:val="left" w:pos="1100"/>
        </w:tabs>
        <w:spacing w:line="360" w:lineRule="auto"/>
        <w:ind w:firstLine="480" w:firstLineChars="200"/>
        <w:jc w:val="left"/>
        <w:rPr>
          <w:rFonts w:ascii="宋体" w:hAnsi="宋体" w:cs="宋体"/>
          <w:sz w:val="24"/>
          <w:szCs w:val="24"/>
          <w:highlight w:val="none"/>
        </w:rPr>
      </w:pPr>
      <w:r>
        <w:rPr>
          <w:rFonts w:hint="eastAsia" w:ascii="宋体" w:hAnsi="宋体" w:cs="宋体"/>
          <w:color w:val="000000"/>
          <w:sz w:val="24"/>
          <w:szCs w:val="24"/>
          <w:highlight w:val="none"/>
        </w:rPr>
        <w:t>5.5 递</w:t>
      </w:r>
      <w:r>
        <w:rPr>
          <w:rFonts w:hint="eastAsia" w:ascii="宋体" w:hAnsi="宋体" w:cs="宋体"/>
          <w:color w:val="000000"/>
          <w:sz w:val="24"/>
          <w:highlight w:val="none"/>
        </w:rPr>
        <w:t>交投标文件截止时间及开标时间是否有变化，请密切留意交易中心网站中的相关信息。递交投标文件截止时间后，投标文件评审时间因故推迟的，相关资审信息仍以原递交投标文件截止时间的信息为准。</w:t>
      </w:r>
    </w:p>
    <w:p>
      <w:pPr>
        <w:pStyle w:val="4"/>
        <w:spacing w:line="360" w:lineRule="auto"/>
        <w:rPr>
          <w:rFonts w:ascii="宋体" w:hAnsi="宋体" w:eastAsia="宋体" w:cs="宋体"/>
          <w:highlight w:val="none"/>
        </w:rPr>
      </w:pPr>
      <w:bookmarkStart w:id="8" w:name="_Toc492300551"/>
      <w:r>
        <w:rPr>
          <w:rFonts w:hint="eastAsia" w:ascii="宋体" w:hAnsi="宋体" w:eastAsia="宋体" w:cs="宋体"/>
          <w:highlight w:val="none"/>
        </w:rPr>
        <w:t>6. 发布公告的媒介</w:t>
      </w:r>
      <w:bookmarkEnd w:id="8"/>
    </w:p>
    <w:p>
      <w:pPr>
        <w:pStyle w:val="4"/>
        <w:spacing w:line="360" w:lineRule="auto"/>
        <w:ind w:firstLine="720" w:firstLineChars="300"/>
        <w:rPr>
          <w:rFonts w:ascii="宋体" w:hAnsi="Times New Roman" w:eastAsia="宋体" w:cs="宋体"/>
          <w:b w:val="0"/>
          <w:sz w:val="24"/>
          <w:szCs w:val="24"/>
          <w:highlight w:val="none"/>
          <w:lang w:bidi="ar"/>
        </w:rPr>
      </w:pPr>
      <w:bookmarkStart w:id="9" w:name="_Toc492300552"/>
      <w:r>
        <w:rPr>
          <w:rFonts w:hint="eastAsia" w:ascii="宋体" w:hAnsi="Times New Roman" w:eastAsia="宋体" w:cs="宋体"/>
          <w:b w:val="0"/>
          <w:sz w:val="24"/>
          <w:szCs w:val="24"/>
          <w:highlight w:val="none"/>
          <w:lang w:bidi="ar"/>
        </w:rPr>
        <w:t>本次招标公告同时在广州公共资源交易中心网（网址：http://www.gzggzy.cn）、广东省招标投标监管网（网址：http://zbtb.gd.gov.cn/）和中国招标投标公共服务平台（网址：http://www.cebpubservice.com/）等媒体上发布，本公告的修改、补充，在广州公共资源交易中心网站上发布。本公告在各媒体发布的文本如有不同之处，以在广州公共资源交易网发布的文本为准。</w:t>
      </w:r>
    </w:p>
    <w:p>
      <w:pPr>
        <w:shd w:val="clear" w:color="auto" w:fill="FFFFFF"/>
        <w:adjustRightInd w:val="0"/>
        <w:spacing w:line="360" w:lineRule="auto"/>
        <w:rPr>
          <w:rFonts w:ascii="宋体" w:hAnsi="宋体" w:cs="宋体"/>
          <w:b/>
          <w:sz w:val="32"/>
          <w:szCs w:val="20"/>
          <w:highlight w:val="none"/>
        </w:rPr>
      </w:pPr>
      <w:r>
        <w:rPr>
          <w:rFonts w:hint="eastAsia" w:ascii="宋体" w:hAnsi="宋体" w:cs="宋体"/>
          <w:b/>
          <w:sz w:val="32"/>
          <w:szCs w:val="20"/>
          <w:highlight w:val="none"/>
        </w:rPr>
        <w:t>7</w:t>
      </w:r>
      <w:r>
        <w:rPr>
          <w:rFonts w:ascii="宋体" w:hAnsi="宋体" w:cs="宋体"/>
          <w:b/>
          <w:sz w:val="32"/>
          <w:szCs w:val="20"/>
          <w:highlight w:val="none"/>
        </w:rPr>
        <w:t>.</w:t>
      </w:r>
      <w:r>
        <w:rPr>
          <w:rFonts w:hint="eastAsia" w:ascii="宋体" w:hAnsi="宋体" w:cs="宋体"/>
          <w:b/>
          <w:sz w:val="32"/>
          <w:szCs w:val="20"/>
          <w:highlight w:val="none"/>
        </w:rPr>
        <w:t>其它事项</w:t>
      </w:r>
    </w:p>
    <w:p>
      <w:pPr>
        <w:shd w:val="clear" w:color="auto" w:fill="FFFFFF"/>
        <w:adjustRightInd w:val="0"/>
        <w:spacing w:line="360" w:lineRule="auto"/>
        <w:rPr>
          <w:rFonts w:ascii="宋体" w:cs="宋体"/>
          <w:sz w:val="24"/>
          <w:szCs w:val="24"/>
          <w:highlight w:val="none"/>
          <w:lang w:bidi="ar"/>
        </w:rPr>
      </w:pPr>
      <w:r>
        <w:rPr>
          <w:rFonts w:hint="eastAsia" w:ascii="宋体" w:cs="宋体"/>
          <w:sz w:val="24"/>
          <w:szCs w:val="24"/>
          <w:highlight w:val="none"/>
          <w:lang w:bidi="ar"/>
        </w:rPr>
        <w:t>7</w:t>
      </w:r>
      <w:r>
        <w:rPr>
          <w:rFonts w:ascii="宋体" w:cs="宋体"/>
          <w:sz w:val="24"/>
          <w:szCs w:val="24"/>
          <w:highlight w:val="none"/>
          <w:lang w:bidi="ar"/>
        </w:rPr>
        <w:t>.1</w:t>
      </w:r>
      <w:r>
        <w:rPr>
          <w:rFonts w:hint="eastAsia" w:ascii="宋体" w:cs="宋体"/>
          <w:sz w:val="24"/>
          <w:szCs w:val="24"/>
          <w:highlight w:val="none"/>
          <w:lang w:bidi="ar"/>
        </w:rPr>
        <w:t>潜在投标人或利害关系人对本招标公告及招标文件有异议的，应当在投标截止时间10日前向向招标人书面提出。</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异议受理部门：</w:t>
      </w:r>
      <w:r>
        <w:rPr>
          <w:rFonts w:hint="eastAsia" w:ascii="宋体" w:hAnsi="宋体" w:cs="宋体"/>
          <w:sz w:val="24"/>
          <w:highlight w:val="none"/>
          <w:u w:val="single"/>
        </w:rPr>
        <w:t>广州中南产城发展有限公司</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single"/>
        </w:rPr>
        <w:t xml:space="preserve">方斌 </w:t>
      </w:r>
    </w:p>
    <w:p>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电话：</w:t>
      </w:r>
      <w:r>
        <w:rPr>
          <w:rFonts w:hint="eastAsia" w:ascii="宋体" w:hAnsi="宋体" w:cs="宋体"/>
          <w:sz w:val="24"/>
          <w:highlight w:val="none"/>
          <w:u w:val="single"/>
        </w:rPr>
        <w:t xml:space="preserve"> 13817209139</w:t>
      </w:r>
    </w:p>
    <w:p>
      <w:pPr>
        <w:snapToGrid w:val="0"/>
        <w:spacing w:line="360" w:lineRule="auto"/>
        <w:ind w:firstLine="480" w:firstLineChars="200"/>
        <w:rPr>
          <w:rFonts w:hint="eastAsia" w:ascii="宋体" w:hAnsi="宋体" w:cs="宋体"/>
          <w:sz w:val="24"/>
          <w:highlight w:val="none"/>
          <w:u w:val="single"/>
        </w:rPr>
      </w:pPr>
      <w:r>
        <w:rPr>
          <w:rFonts w:hint="eastAsia" w:ascii="宋体" w:hAnsi="宋体" w:cs="宋体"/>
          <w:sz w:val="24"/>
          <w:highlight w:val="none"/>
        </w:rPr>
        <w:t>地址：</w:t>
      </w:r>
      <w:r>
        <w:rPr>
          <w:rFonts w:hint="eastAsia" w:ascii="宋体" w:hAnsi="宋体" w:cs="宋体"/>
          <w:sz w:val="24"/>
          <w:highlight w:val="none"/>
          <w:u w:val="single"/>
        </w:rPr>
        <w:t xml:space="preserve">广州市海珠区琶洲街道海珠区琶洲西区 </w:t>
      </w:r>
    </w:p>
    <w:p>
      <w:pPr>
        <w:spacing w:line="360" w:lineRule="auto"/>
        <w:ind w:firstLine="482" w:firstLineChars="200"/>
        <w:rPr>
          <w:rFonts w:ascii="宋体" w:cs="宋体"/>
          <w:sz w:val="24"/>
          <w:szCs w:val="24"/>
          <w:highlight w:val="none"/>
          <w:lang w:bidi="ar"/>
        </w:rPr>
      </w:pPr>
      <w:r>
        <w:rPr>
          <w:rFonts w:hint="eastAsia" w:ascii="宋体" w:cs="宋体"/>
          <w:b/>
          <w:bCs/>
          <w:sz w:val="24"/>
          <w:szCs w:val="24"/>
          <w:highlight w:val="none"/>
          <w:lang w:bidi="ar"/>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pStyle w:val="5"/>
        <w:rPr>
          <w:highlight w:val="none"/>
        </w:rPr>
      </w:pPr>
    </w:p>
    <w:p>
      <w:pPr>
        <w:rPr>
          <w:rFonts w:ascii="宋体" w:cs="宋体"/>
          <w:sz w:val="24"/>
          <w:szCs w:val="24"/>
          <w:highlight w:val="none"/>
          <w:lang w:bidi="ar"/>
        </w:rPr>
      </w:pPr>
    </w:p>
    <w:p>
      <w:pPr>
        <w:pStyle w:val="4"/>
        <w:spacing w:line="360" w:lineRule="auto"/>
        <w:rPr>
          <w:rFonts w:ascii="宋体" w:hAnsi="宋体" w:eastAsia="宋体" w:cs="宋体"/>
          <w:highlight w:val="none"/>
        </w:rPr>
      </w:pPr>
      <w:r>
        <w:rPr>
          <w:rFonts w:ascii="宋体" w:hAnsi="宋体" w:eastAsia="宋体" w:cs="宋体"/>
          <w:highlight w:val="none"/>
        </w:rPr>
        <w:t>8</w:t>
      </w:r>
      <w:r>
        <w:rPr>
          <w:rFonts w:hint="eastAsia" w:ascii="宋体" w:hAnsi="宋体" w:eastAsia="宋体" w:cs="宋体"/>
          <w:highlight w:val="none"/>
        </w:rPr>
        <w:t>. 联系方式</w:t>
      </w:r>
      <w:bookmarkEnd w:id="9"/>
    </w:p>
    <w:p>
      <w:pPr>
        <w:spacing w:line="360" w:lineRule="auto"/>
        <w:ind w:firstLine="480" w:firstLineChars="200"/>
        <w:rPr>
          <w:rFonts w:ascii="宋体" w:hAnsi="宋体" w:cs="宋体"/>
          <w:sz w:val="24"/>
          <w:highlight w:val="none"/>
        </w:rPr>
      </w:pPr>
      <w:bookmarkStart w:id="10" w:name="_Toc152045513"/>
      <w:bookmarkEnd w:id="10"/>
      <w:bookmarkStart w:id="11" w:name="_Toc30817"/>
      <w:bookmarkEnd w:id="11"/>
      <w:bookmarkStart w:id="12" w:name="_Toc352691455"/>
      <w:bookmarkEnd w:id="12"/>
      <w:bookmarkStart w:id="13" w:name="_Toc247513934"/>
      <w:bookmarkEnd w:id="13"/>
      <w:bookmarkStart w:id="14" w:name="_Toc384308185"/>
      <w:bookmarkEnd w:id="14"/>
      <w:bookmarkStart w:id="15" w:name="_Toc352691453"/>
      <w:bookmarkEnd w:id="15"/>
      <w:bookmarkStart w:id="16" w:name="_Toc300834929"/>
      <w:bookmarkEnd w:id="16"/>
      <w:bookmarkStart w:id="17" w:name="_Toc384308188"/>
      <w:bookmarkEnd w:id="17"/>
      <w:bookmarkStart w:id="18" w:name="_Toc144974480"/>
      <w:bookmarkEnd w:id="18"/>
      <w:bookmarkStart w:id="19" w:name="_Toc247513935"/>
      <w:bookmarkEnd w:id="19"/>
      <w:bookmarkStart w:id="20" w:name="_Toc300834930"/>
      <w:bookmarkEnd w:id="20"/>
      <w:bookmarkStart w:id="21" w:name="_Toc247527536"/>
      <w:bookmarkEnd w:id="21"/>
      <w:bookmarkStart w:id="22" w:name="_Toc152045512"/>
      <w:bookmarkEnd w:id="22"/>
      <w:bookmarkStart w:id="23" w:name="_Toc300834927"/>
      <w:bookmarkEnd w:id="23"/>
      <w:bookmarkStart w:id="24" w:name="_Toc369531495"/>
      <w:bookmarkEnd w:id="24"/>
      <w:bookmarkStart w:id="25" w:name="_Toc369531498"/>
      <w:bookmarkEnd w:id="25"/>
      <w:bookmarkStart w:id="26" w:name="_Toc384308187"/>
      <w:bookmarkEnd w:id="26"/>
      <w:bookmarkStart w:id="27" w:name="_Toc152042288"/>
      <w:bookmarkEnd w:id="27"/>
      <w:bookmarkStart w:id="28" w:name="_Toc17972"/>
      <w:bookmarkEnd w:id="28"/>
      <w:bookmarkStart w:id="29" w:name="_Toc361508563"/>
      <w:bookmarkEnd w:id="29"/>
      <w:bookmarkStart w:id="30" w:name="_Toc10785"/>
      <w:bookmarkEnd w:id="30"/>
      <w:bookmarkStart w:id="31" w:name="_Toc247527535"/>
      <w:bookmarkEnd w:id="31"/>
      <w:bookmarkStart w:id="32" w:name="_Toc361508560"/>
      <w:bookmarkEnd w:id="32"/>
      <w:bookmarkStart w:id="33" w:name="_Toc144974481"/>
      <w:bookmarkEnd w:id="33"/>
      <w:bookmarkStart w:id="34" w:name="_Toc352691456"/>
      <w:bookmarkEnd w:id="34"/>
      <w:bookmarkStart w:id="35" w:name="_Toc152042289"/>
      <w:bookmarkEnd w:id="35"/>
      <w:bookmarkStart w:id="36" w:name="_Toc361508562"/>
      <w:bookmarkEnd w:id="36"/>
      <w:bookmarkStart w:id="37" w:name="_Toc369531497"/>
      <w:bookmarkEnd w:id="37"/>
      <w:r>
        <w:rPr>
          <w:rFonts w:hint="eastAsia" w:ascii="宋体" w:hAnsi="宋体" w:cs="宋体"/>
          <w:sz w:val="24"/>
          <w:highlight w:val="none"/>
        </w:rPr>
        <w:t>招标人名称：</w:t>
      </w:r>
      <w:r>
        <w:rPr>
          <w:rFonts w:hint="eastAsia" w:ascii="宋体" w:hAnsi="宋体" w:cs="宋体"/>
          <w:sz w:val="24"/>
          <w:highlight w:val="none"/>
          <w:u w:val="single"/>
        </w:rPr>
        <w:t>广州中南产城发展有限公司</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邮政编码、地址：</w:t>
      </w:r>
      <w:r>
        <w:rPr>
          <w:rFonts w:hint="eastAsia" w:ascii="宋体" w:hAnsi="宋体" w:cs="宋体"/>
          <w:sz w:val="24"/>
          <w:highlight w:val="none"/>
          <w:u w:val="single"/>
        </w:rPr>
        <w:t>广州市海珠区琶洲街道海珠区琶洲西区</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联系人：</w:t>
      </w:r>
      <w:r>
        <w:rPr>
          <w:rFonts w:hint="eastAsia" w:ascii="宋体" w:hAnsi="宋体" w:cs="宋体"/>
          <w:sz w:val="24"/>
          <w:highlight w:val="none"/>
          <w:u w:val="single"/>
        </w:rPr>
        <w:t>方斌</w:t>
      </w: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电话（手机）号码：</w:t>
      </w:r>
      <w:r>
        <w:rPr>
          <w:rFonts w:hint="eastAsia" w:ascii="宋体" w:hAnsi="宋体" w:cs="宋体"/>
          <w:sz w:val="24"/>
          <w:highlight w:val="none"/>
          <w:u w:val="single"/>
        </w:rPr>
        <w:t>13817209139</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传真号码：</w:t>
      </w:r>
      <w:r>
        <w:rPr>
          <w:rFonts w:hint="eastAsia" w:ascii="宋体" w:hAnsi="宋体" w:cs="宋体"/>
          <w:sz w:val="24"/>
          <w:highlight w:val="none"/>
          <w:u w:val="single"/>
        </w:rPr>
        <w:t xml:space="preserve">  /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电子邮箱：</w:t>
      </w:r>
      <w:r>
        <w:rPr>
          <w:rFonts w:hint="eastAsia" w:ascii="宋体" w:hAnsi="宋体" w:cs="宋体"/>
          <w:sz w:val="24"/>
          <w:highlight w:val="none"/>
          <w:u w:val="single"/>
        </w:rPr>
        <w:t xml:space="preserve">  /  </w:t>
      </w:r>
    </w:p>
    <w:p>
      <w:pPr>
        <w:pStyle w:val="9"/>
        <w:ind w:left="420" w:firstLine="420"/>
        <w:rPr>
          <w:rFonts w:ascii="宋体" w:hAnsi="宋体" w:cs="宋体"/>
          <w:highlight w:val="none"/>
          <w:lang w:eastAsia="zh-CN"/>
        </w:rPr>
      </w:pPr>
    </w:p>
    <w:p>
      <w:pPr>
        <w:spacing w:line="360" w:lineRule="auto"/>
        <w:ind w:firstLine="480" w:firstLineChars="200"/>
        <w:rPr>
          <w:rFonts w:hint="eastAsia" w:ascii="宋体" w:hAnsi="宋体" w:cs="宋体"/>
          <w:sz w:val="24"/>
          <w:highlight w:val="none"/>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招标代理名称：</w:t>
      </w:r>
      <w:r>
        <w:rPr>
          <w:rFonts w:hint="eastAsia" w:ascii="宋体" w:hAnsi="宋体" w:cs="宋体"/>
          <w:sz w:val="24"/>
          <w:highlight w:val="none"/>
          <w:u w:val="single"/>
        </w:rPr>
        <w:t>上海宝华国际招标有限公司</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邮政编码、地址：</w:t>
      </w:r>
      <w:r>
        <w:rPr>
          <w:rFonts w:hint="eastAsia" w:ascii="宋体" w:hAnsi="宋体" w:cs="宋体"/>
          <w:sz w:val="24"/>
          <w:highlight w:val="none"/>
          <w:u w:val="single"/>
        </w:rPr>
        <w:t>上海市宝山区克山路550弄</w:t>
      </w: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联系人：</w:t>
      </w:r>
      <w:r>
        <w:rPr>
          <w:rFonts w:hint="eastAsia" w:ascii="宋体" w:hAnsi="宋体" w:cs="宋体"/>
          <w:sz w:val="24"/>
          <w:highlight w:val="none"/>
          <w:u w:val="single"/>
        </w:rPr>
        <w:t>黄艺红</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电话（手机）号码：</w:t>
      </w:r>
      <w:r>
        <w:rPr>
          <w:rFonts w:hint="eastAsia" w:ascii="宋体" w:hAnsi="宋体" w:cs="宋体"/>
          <w:sz w:val="24"/>
          <w:highlight w:val="none"/>
          <w:u w:val="single"/>
        </w:rPr>
        <w:t>13531037746</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传真号码：</w:t>
      </w:r>
      <w:r>
        <w:rPr>
          <w:rFonts w:hint="eastAsia" w:ascii="宋体" w:hAnsi="宋体" w:cs="宋体"/>
          <w:sz w:val="24"/>
          <w:highlight w:val="none"/>
          <w:u w:val="single"/>
        </w:rPr>
        <w:t xml:space="preserve">  /  </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电子邮箱：</w:t>
      </w:r>
      <w:r>
        <w:rPr>
          <w:rFonts w:hint="eastAsia"/>
          <w:highlight w:val="none"/>
        </w:rPr>
        <w:fldChar w:fldCharType="begin"/>
      </w:r>
      <w:r>
        <w:rPr>
          <w:highlight w:val="none"/>
        </w:rPr>
        <w:instrText xml:space="preserve"> HYPERLINK "mailto:bjzj_gz@163.com"</w:instrText>
      </w:r>
      <w:r>
        <w:rPr>
          <w:rFonts w:hint="eastAsia"/>
          <w:highlight w:val="none"/>
        </w:rPr>
        <w:fldChar w:fldCharType="separate"/>
      </w:r>
      <w:r>
        <w:rPr>
          <w:rStyle w:val="12"/>
          <w:rFonts w:hint="eastAsia" w:ascii="宋体" w:hAnsi="宋体" w:cs="宋体"/>
          <w:color w:val="auto"/>
          <w:sz w:val="24"/>
          <w:highlight w:val="none"/>
        </w:rPr>
        <w:t>1019230847@qq.com</w:t>
      </w:r>
      <w:r>
        <w:rPr>
          <w:rStyle w:val="12"/>
          <w:rFonts w:hint="eastAsia" w:ascii="宋体" w:hAnsi="宋体" w:cs="宋体"/>
          <w:color w:val="auto"/>
          <w:sz w:val="24"/>
          <w:highlight w:val="none"/>
        </w:rPr>
        <w:fldChar w:fldCharType="end"/>
      </w:r>
    </w:p>
    <w:p>
      <w:pPr>
        <w:pStyle w:val="9"/>
        <w:ind w:left="420" w:firstLine="420"/>
        <w:rPr>
          <w:rFonts w:ascii="宋体" w:hAnsi="宋体" w:cs="宋体"/>
          <w:highlight w:val="none"/>
          <w:lang w:eastAsia="zh-CN"/>
        </w:rPr>
      </w:pPr>
    </w:p>
    <w:p>
      <w:pPr>
        <w:spacing w:line="360" w:lineRule="auto"/>
        <w:ind w:firstLine="480" w:firstLineChars="200"/>
        <w:rPr>
          <w:rFonts w:ascii="宋体" w:hAnsi="宋体" w:cs="宋体"/>
          <w:sz w:val="24"/>
          <w:highlight w:val="none"/>
        </w:rPr>
      </w:pPr>
      <w:r>
        <w:rPr>
          <w:rFonts w:hint="eastAsia" w:ascii="宋体" w:hAnsi="宋体" w:cs="宋体"/>
          <w:sz w:val="24"/>
          <w:highlight w:val="none"/>
        </w:rPr>
        <w:t>交易服务机构名称：</w:t>
      </w:r>
      <w:r>
        <w:rPr>
          <w:rFonts w:hint="eastAsia" w:ascii="宋体" w:hAnsi="宋体" w:cs="宋体"/>
          <w:sz w:val="24"/>
          <w:highlight w:val="none"/>
          <w:u w:val="single"/>
        </w:rPr>
        <w:t>广州公共资源交易中心</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邮政编码、地址：</w:t>
      </w:r>
      <w:r>
        <w:rPr>
          <w:rFonts w:hint="eastAsia" w:ascii="宋体" w:hAnsi="宋体" w:cs="宋体"/>
          <w:sz w:val="24"/>
          <w:highlight w:val="none"/>
          <w:u w:val="single"/>
        </w:rPr>
        <w:t>510635   广州市天河区天润路333号4楼</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电话（手机）号码：</w:t>
      </w:r>
      <w:r>
        <w:rPr>
          <w:rFonts w:hint="eastAsia" w:ascii="宋体" w:hAnsi="宋体" w:cs="宋体"/>
          <w:sz w:val="24"/>
          <w:highlight w:val="none"/>
          <w:u w:val="single"/>
        </w:rPr>
        <w:t>020-</w:t>
      </w:r>
      <w:r>
        <w:rPr>
          <w:rFonts w:hint="eastAsia" w:ascii="宋体" w:hAnsi="宋体" w:cs="宋体"/>
          <w:bCs/>
          <w:sz w:val="24"/>
          <w:highlight w:val="none"/>
          <w:u w:val="single"/>
        </w:rPr>
        <w:t>28866076</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传真号码：</w:t>
      </w:r>
      <w:r>
        <w:rPr>
          <w:rFonts w:hint="eastAsia" w:ascii="宋体" w:hAnsi="宋体" w:cs="宋体"/>
          <w:sz w:val="24"/>
          <w:highlight w:val="none"/>
          <w:u w:val="single"/>
        </w:rPr>
        <w:t>020-28866141</w:t>
      </w:r>
    </w:p>
    <w:p>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网址：</w:t>
      </w:r>
      <w:r>
        <w:rPr>
          <w:rFonts w:hint="eastAsia" w:ascii="宋体" w:hAnsi="宋体" w:cs="宋体"/>
          <w:sz w:val="24"/>
          <w:highlight w:val="none"/>
          <w:u w:val="single"/>
        </w:rPr>
        <w:t>http://www.gzggzy.cn</w:t>
      </w:r>
    </w:p>
    <w:p>
      <w:pPr>
        <w:pStyle w:val="9"/>
        <w:ind w:left="420" w:firstLine="420"/>
        <w:rPr>
          <w:rFonts w:ascii="宋体" w:hAnsi="宋体" w:cs="宋体"/>
          <w:highlight w:val="none"/>
        </w:rPr>
      </w:pP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招标管理机构名称：</w:t>
      </w:r>
      <w:r>
        <w:rPr>
          <w:rFonts w:hint="eastAsia" w:ascii="宋体" w:hAnsi="宋体" w:cs="宋体"/>
          <w:sz w:val="24"/>
          <w:highlight w:val="none"/>
          <w:u w:val="single"/>
        </w:rPr>
        <w:t>广州市海珠区建设工程招标管理办公室</w:t>
      </w: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邮政编码、地址：</w:t>
      </w:r>
      <w:r>
        <w:rPr>
          <w:rFonts w:hint="eastAsia" w:ascii="宋体" w:hAnsi="宋体" w:cs="宋体"/>
          <w:sz w:val="24"/>
          <w:highlight w:val="none"/>
          <w:u w:val="single"/>
        </w:rPr>
        <w:t>510310  广州市海珠区新港中路472号</w:t>
      </w:r>
    </w:p>
    <w:p>
      <w:pPr>
        <w:spacing w:line="360" w:lineRule="auto"/>
        <w:ind w:firstLine="480" w:firstLineChars="200"/>
        <w:jc w:val="left"/>
        <w:rPr>
          <w:rFonts w:ascii="宋体" w:hAnsi="宋体" w:cs="宋体"/>
          <w:sz w:val="24"/>
          <w:highlight w:val="none"/>
          <w:u w:val="single"/>
        </w:rPr>
      </w:pPr>
      <w:r>
        <w:rPr>
          <w:rFonts w:hint="eastAsia" w:ascii="宋体" w:hAnsi="宋体" w:cs="宋体"/>
          <w:sz w:val="24"/>
          <w:highlight w:val="none"/>
        </w:rPr>
        <w:t>电话号码：</w:t>
      </w:r>
      <w:r>
        <w:rPr>
          <w:rFonts w:hint="eastAsia" w:ascii="宋体" w:hAnsi="宋体" w:cs="宋体"/>
          <w:sz w:val="24"/>
          <w:highlight w:val="none"/>
          <w:u w:val="single"/>
        </w:rPr>
        <w:t>020-89885682</w:t>
      </w:r>
    </w:p>
    <w:p>
      <w:pPr>
        <w:spacing w:line="360" w:lineRule="auto"/>
        <w:ind w:firstLine="480" w:firstLineChars="200"/>
        <w:jc w:val="left"/>
        <w:rPr>
          <w:rFonts w:ascii="宋体" w:hAnsi="宋体" w:cs="宋体"/>
          <w:sz w:val="24"/>
          <w:highlight w:val="none"/>
        </w:rPr>
      </w:pPr>
      <w:r>
        <w:rPr>
          <w:rFonts w:hint="eastAsia" w:ascii="宋体" w:hAnsi="宋体" w:cs="宋体"/>
          <w:sz w:val="24"/>
          <w:highlight w:val="none"/>
        </w:rPr>
        <w:t>传真号码：</w:t>
      </w:r>
      <w:r>
        <w:rPr>
          <w:rFonts w:hint="eastAsia" w:ascii="宋体" w:hAnsi="宋体" w:cs="宋体"/>
          <w:sz w:val="24"/>
          <w:highlight w:val="none"/>
          <w:u w:val="single"/>
        </w:rPr>
        <w:t xml:space="preserve">  /  </w:t>
      </w:r>
    </w:p>
    <w:p>
      <w:pPr>
        <w:spacing w:line="360" w:lineRule="auto"/>
        <w:ind w:firstLine="480" w:firstLineChars="200"/>
        <w:rPr>
          <w:rFonts w:ascii="宋体" w:hAnsi="宋体" w:cs="宋体"/>
          <w:sz w:val="28"/>
          <w:szCs w:val="28"/>
          <w:highlight w:val="none"/>
        </w:rPr>
      </w:pPr>
      <w:r>
        <w:rPr>
          <w:rFonts w:hint="eastAsia" w:ascii="宋体" w:hAnsi="宋体" w:cs="宋体"/>
          <w:sz w:val="24"/>
          <w:highlight w:val="none"/>
        </w:rPr>
        <w:t>网址：</w:t>
      </w:r>
      <w:r>
        <w:rPr>
          <w:rFonts w:hint="eastAsia" w:ascii="宋体" w:hAnsi="宋体" w:cs="宋体"/>
          <w:sz w:val="24"/>
          <w:highlight w:val="none"/>
          <w:u w:val="single"/>
        </w:rPr>
        <w:t xml:space="preserve">  /  </w:t>
      </w:r>
    </w:p>
    <w:p>
      <w:pPr>
        <w:pStyle w:val="9"/>
        <w:ind w:left="420" w:firstLine="420"/>
        <w:rPr>
          <w:rFonts w:ascii="宋体" w:hAnsi="宋体" w:cs="宋体"/>
          <w:highlight w:val="none"/>
          <w:lang w:eastAsia="zh-CN"/>
        </w:rPr>
      </w:pPr>
    </w:p>
    <w:p>
      <w:pPr>
        <w:pStyle w:val="9"/>
        <w:ind w:left="420" w:firstLine="420"/>
        <w:rPr>
          <w:rFonts w:ascii="宋体" w:hAnsi="宋体" w:cs="宋体"/>
          <w:highlight w:val="none"/>
          <w:lang w:eastAsia="zh-CN"/>
        </w:rPr>
      </w:pPr>
    </w:p>
    <w:p>
      <w:pPr>
        <w:spacing w:line="360" w:lineRule="auto"/>
        <w:ind w:firstLine="5760" w:firstLineChars="2400"/>
        <w:rPr>
          <w:rFonts w:ascii="宋体" w:hAnsi="宋体" w:cs="宋体"/>
          <w:sz w:val="24"/>
          <w:highlight w:val="none"/>
        </w:rPr>
      </w:pPr>
      <w:r>
        <w:rPr>
          <w:rFonts w:hint="eastAsia" w:ascii="宋体" w:hAnsi="宋体" w:cs="宋体"/>
          <w:sz w:val="24"/>
          <w:highlight w:val="none"/>
        </w:rPr>
        <w:t>2023年</w:t>
      </w:r>
      <w:r>
        <w:rPr>
          <w:rFonts w:hint="eastAsia" w:ascii="宋体" w:hAnsi="宋体" w:cs="宋体"/>
          <w:sz w:val="24"/>
          <w:highlight w:val="none"/>
          <w:lang w:val="en-US" w:eastAsia="zh-CN"/>
        </w:rPr>
        <w:t>02</w:t>
      </w:r>
      <w:r>
        <w:rPr>
          <w:rFonts w:hint="eastAsia" w:ascii="宋体" w:hAnsi="宋体" w:cs="宋体"/>
          <w:sz w:val="24"/>
          <w:highlight w:val="none"/>
        </w:rPr>
        <w:t>月</w:t>
      </w:r>
      <w:r>
        <w:rPr>
          <w:rFonts w:hint="eastAsia" w:ascii="宋体" w:hAnsi="宋体" w:cs="宋体"/>
          <w:sz w:val="24"/>
          <w:highlight w:val="none"/>
          <w:lang w:val="en-US" w:eastAsia="zh-CN"/>
        </w:rPr>
        <w:t>22</w:t>
      </w:r>
      <w:r>
        <w:rPr>
          <w:rFonts w:hint="eastAsia" w:ascii="宋体" w:hAnsi="宋体" w:cs="宋体"/>
          <w:sz w:val="24"/>
          <w:highlight w:val="none"/>
        </w:rPr>
        <w:t>日</w:t>
      </w:r>
    </w:p>
    <w:p>
      <w:pPr>
        <w:rPr>
          <w:rFonts w:ascii="宋体" w:hAnsi="宋体" w:cs="宋体"/>
          <w:sz w:val="24"/>
          <w:highlight w:val="none"/>
        </w:rPr>
      </w:pPr>
      <w:r>
        <w:rPr>
          <w:rFonts w:hint="eastAsia" w:ascii="宋体" w:hAnsi="宋体" w:cs="宋体"/>
          <w:sz w:val="24"/>
          <w:highlight w:val="none"/>
        </w:rPr>
        <w:br w:type="page"/>
      </w:r>
    </w:p>
    <w:p>
      <w:pPr>
        <w:spacing w:line="360" w:lineRule="auto"/>
        <w:ind w:firstLine="420" w:firstLineChars="200"/>
        <w:rPr>
          <w:rFonts w:ascii="宋体" w:hAnsi="宋体" w:cs="宋体"/>
          <w:sz w:val="24"/>
          <w:szCs w:val="24"/>
          <w:highlight w:val="none"/>
        </w:rPr>
      </w:pPr>
      <w:r>
        <w:rPr>
          <w:rFonts w:hint="eastAsia" w:ascii="宋体" w:hAnsi="宋体" w:cs="宋体"/>
          <w:highlight w:val="none"/>
        </w:rPr>
        <w:t>附件一</w:t>
      </w:r>
    </w:p>
    <w:p>
      <w:pPr>
        <w:widowControl/>
        <w:snapToGrid w:val="0"/>
        <w:spacing w:before="260" w:after="260" w:line="360" w:lineRule="auto"/>
        <w:ind w:right="384"/>
        <w:jc w:val="center"/>
        <w:rPr>
          <w:rFonts w:ascii="宋体" w:hAnsi="宋体" w:cs="宋体"/>
          <w:b/>
          <w:bCs/>
          <w:kern w:val="0"/>
          <w:sz w:val="24"/>
          <w:highlight w:val="none"/>
        </w:rPr>
      </w:pPr>
      <w:r>
        <w:rPr>
          <w:rFonts w:hint="eastAsia" w:ascii="宋体" w:hAnsi="宋体" w:cs="宋体"/>
          <w:b/>
          <w:bCs/>
          <w:kern w:val="0"/>
          <w:sz w:val="28"/>
          <w:szCs w:val="28"/>
          <w:highlight w:val="none"/>
        </w:rPr>
        <w:t>投标人声明</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广州市住房和城乡建设局、本招标项目招标人及招标监管机构：</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本公司就参加</w:t>
      </w:r>
      <w:r>
        <w:rPr>
          <w:rFonts w:hint="eastAsia" w:ascii="宋体" w:hAnsi="宋体" w:cs="宋体"/>
          <w:kern w:val="0"/>
          <w:sz w:val="24"/>
          <w:highlight w:val="none"/>
          <w:u w:val="single"/>
        </w:rPr>
        <w:t>中南钢铁总部大楼项目施工监理</w:t>
      </w:r>
      <w:r>
        <w:rPr>
          <w:rFonts w:hint="eastAsia" w:ascii="宋体" w:hAnsi="宋体" w:cs="宋体"/>
          <w:kern w:val="0"/>
          <w:sz w:val="24"/>
          <w:highlight w:val="none"/>
        </w:rPr>
        <w:t>投标工作，作出郑重声明：</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一、本公司保证投标登记材料及其后提供的一切材料都是真实的。如我司成为本项目中标候选人，我司同意并授权招标人将我司投标文件商务部分的人员、业绩、奖项等资料进行公开。</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三、本公司不存在招标文件第二章投标人须知第1.4.3项所规定的任何一种情形。</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四、本公司及其有隶属关系的机构，没有参加本项目招标文件的编写工作；本公司与本次招标的招标代理机构没有隶属关系或其他利害关系。</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五、本公司承诺，中标后严格执行安全生产相关管理规定。</w:t>
      </w:r>
    </w:p>
    <w:p>
      <w:pPr>
        <w:snapToGrid w:val="0"/>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本公司违反上述承诺，或本声明陈述与事实不符，经查实，本公司愿意接受公开通报，愿意按照《广州市建筑市场信用管理办法》（穗建规字﹝20</w:t>
      </w:r>
      <w:r>
        <w:rPr>
          <w:rFonts w:ascii="宋体" w:hAnsi="宋体" w:cs="宋体"/>
          <w:kern w:val="0"/>
          <w:sz w:val="24"/>
          <w:highlight w:val="none"/>
        </w:rPr>
        <w:t>19</w:t>
      </w:r>
      <w:r>
        <w:rPr>
          <w:rFonts w:hint="eastAsia" w:ascii="宋体" w:hAnsi="宋体" w:cs="宋体"/>
          <w:kern w:val="0"/>
          <w:sz w:val="24"/>
          <w:highlight w:val="none"/>
        </w:rPr>
        <w:t>﹞16号）的规定被记录为失信信息，承担由此带来的一切后果，并自愿停止参加广州市行政辖区内的招标投标活动三个月。</w:t>
      </w:r>
    </w:p>
    <w:p>
      <w:pPr>
        <w:widowControl/>
        <w:shd w:val="clear" w:color="auto" w:fill="FFFFFF"/>
        <w:spacing w:line="360" w:lineRule="auto"/>
        <w:ind w:firstLine="480" w:firstLineChars="200"/>
        <w:jc w:val="left"/>
        <w:rPr>
          <w:rFonts w:ascii="宋体" w:hAnsi="宋体" w:cs="宋体"/>
          <w:kern w:val="0"/>
          <w:sz w:val="24"/>
          <w:highlight w:val="none"/>
        </w:rPr>
      </w:pPr>
      <w:r>
        <w:rPr>
          <w:rFonts w:hint="eastAsia" w:ascii="宋体" w:hAnsi="宋体" w:cs="宋体"/>
          <w:kern w:val="0"/>
          <w:sz w:val="24"/>
          <w:highlight w:val="none"/>
        </w:rPr>
        <w:t>特此声明。</w:t>
      </w:r>
    </w:p>
    <w:p>
      <w:pPr>
        <w:snapToGrid w:val="0"/>
        <w:spacing w:line="360" w:lineRule="auto"/>
        <w:ind w:firstLine="4320" w:firstLineChars="1800"/>
        <w:jc w:val="left"/>
        <w:rPr>
          <w:rFonts w:ascii="宋体" w:hAnsi="宋体" w:cs="宋体"/>
          <w:kern w:val="0"/>
          <w:sz w:val="24"/>
          <w:highlight w:val="none"/>
        </w:rPr>
      </w:pPr>
      <w:r>
        <w:rPr>
          <w:rFonts w:hint="eastAsia" w:ascii="宋体" w:hAnsi="宋体" w:cs="宋体"/>
          <w:kern w:val="0"/>
          <w:sz w:val="24"/>
          <w:highlight w:val="none"/>
        </w:rPr>
        <w:t>声明企业：</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(企业公章)</w:t>
      </w:r>
    </w:p>
    <w:p>
      <w:pPr>
        <w:snapToGrid w:val="0"/>
        <w:spacing w:line="360" w:lineRule="auto"/>
        <w:ind w:firstLine="4320" w:firstLineChars="1800"/>
        <w:jc w:val="left"/>
        <w:rPr>
          <w:rFonts w:ascii="宋体" w:hAnsi="宋体" w:cs="宋体"/>
          <w:kern w:val="0"/>
          <w:sz w:val="24"/>
          <w:highlight w:val="none"/>
        </w:rPr>
      </w:pPr>
      <w:r>
        <w:rPr>
          <w:rFonts w:hint="eastAsia" w:ascii="宋体" w:hAnsi="宋体" w:cs="宋体"/>
          <w:kern w:val="0"/>
          <w:sz w:val="24"/>
          <w:highlight w:val="none"/>
        </w:rPr>
        <w:t xml:space="preserve">总监理工程师（签字）：         </w:t>
      </w:r>
    </w:p>
    <w:p>
      <w:pPr>
        <w:snapToGrid w:val="0"/>
        <w:spacing w:line="360" w:lineRule="auto"/>
        <w:ind w:firstLine="4252" w:firstLineChars="1772"/>
        <w:rPr>
          <w:rFonts w:ascii="宋体" w:hAnsi="宋体" w:cs="宋体"/>
          <w:kern w:val="0"/>
          <w:sz w:val="24"/>
          <w:highlight w:val="none"/>
        </w:rPr>
      </w:pPr>
      <w:r>
        <w:rPr>
          <w:rFonts w:hint="eastAsia" w:ascii="宋体" w:hAnsi="宋体" w:cs="宋体"/>
          <w:kern w:val="0"/>
          <w:sz w:val="24"/>
          <w:highlight w:val="none"/>
        </w:rPr>
        <w:t>法定代表人(签字)：</w:t>
      </w:r>
    </w:p>
    <w:p>
      <w:pPr>
        <w:snapToGrid w:val="0"/>
        <w:spacing w:line="360" w:lineRule="auto"/>
        <w:ind w:firstLine="5092" w:firstLineChars="2122"/>
        <w:rPr>
          <w:rFonts w:ascii="宋体" w:hAnsi="宋体" w:cs="宋体"/>
          <w:kern w:val="0"/>
          <w:sz w:val="24"/>
          <w:highlight w:val="none"/>
        </w:rPr>
      </w:pPr>
      <w:r>
        <w:rPr>
          <w:rFonts w:hint="eastAsia" w:ascii="宋体" w:hAnsi="宋体" w:cs="宋体"/>
          <w:kern w:val="0"/>
          <w:sz w:val="24"/>
          <w:highlight w:val="none"/>
        </w:rPr>
        <w:t>年   月   日</w:t>
      </w:r>
    </w:p>
    <w:p>
      <w:pPr>
        <w:snapToGrid w:val="0"/>
        <w:spacing w:line="360" w:lineRule="auto"/>
        <w:jc w:val="left"/>
        <w:rPr>
          <w:rFonts w:ascii="宋体" w:hAnsi="宋体" w:cs="宋体"/>
          <w:kern w:val="0"/>
          <w:sz w:val="24"/>
          <w:highlight w:val="none"/>
        </w:rPr>
      </w:pPr>
      <w:r>
        <w:rPr>
          <w:rFonts w:hint="eastAsia" w:ascii="宋体" w:hAnsi="宋体" w:cs="宋体"/>
          <w:kern w:val="0"/>
          <w:sz w:val="24"/>
          <w:highlight w:val="none"/>
        </w:rPr>
        <w:br w:type="page"/>
      </w:r>
      <w:r>
        <w:rPr>
          <w:rFonts w:hint="eastAsia" w:ascii="宋体" w:hAnsi="宋体" w:cs="宋体"/>
          <w:kern w:val="0"/>
          <w:sz w:val="24"/>
          <w:highlight w:val="none"/>
        </w:rPr>
        <w:t>附件二</w:t>
      </w:r>
    </w:p>
    <w:p>
      <w:pPr>
        <w:snapToGrid w:val="0"/>
        <w:spacing w:line="360" w:lineRule="auto"/>
        <w:jc w:val="center"/>
        <w:rPr>
          <w:rFonts w:ascii="方正大标宋简体" w:hAnsi="方正大标宋简体" w:eastAsia="方正大标宋简体" w:cs="方正大标宋简体"/>
          <w:b/>
          <w:sz w:val="32"/>
          <w:szCs w:val="32"/>
          <w:highlight w:val="none"/>
          <w:shd w:val="clear" w:color="auto" w:fill="FFFFFF"/>
        </w:rPr>
      </w:pPr>
      <w:r>
        <w:rPr>
          <w:rFonts w:ascii="方正大标宋简体" w:hAnsi="方正大标宋简体" w:eastAsia="方正大标宋简体" w:cs="方正大标宋简体"/>
          <w:b/>
          <w:sz w:val="32"/>
          <w:szCs w:val="32"/>
          <w:highlight w:val="none"/>
          <w:shd w:val="clear" w:color="auto" w:fill="FFFFFF"/>
        </w:rPr>
        <w:t>监理项目管理团队人员信息表</w:t>
      </w:r>
    </w:p>
    <w:tbl>
      <w:tblPr>
        <w:tblStyle w:val="10"/>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1074"/>
        <w:gridCol w:w="2905"/>
        <w:gridCol w:w="1208"/>
        <w:gridCol w:w="3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序号</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姓名</w:t>
            </w:r>
          </w:p>
        </w:tc>
        <w:tc>
          <w:tcPr>
            <w:tcW w:w="29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岗位</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职称</w:t>
            </w: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r>
              <w:rPr>
                <w:rFonts w:hint="eastAsia" w:ascii="宋体" w:hAnsi="宋体" w:cs="宋体"/>
                <w:b/>
                <w:szCs w:val="21"/>
                <w:highlight w:val="none"/>
                <w:shd w:val="clear" w:color="auto" w:fill="FFFFFF"/>
              </w:rPr>
              <w:t>职称证书或资格证书编号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05" w:type="dxa"/>
            <w:noWrap/>
            <w:vAlign w:val="center"/>
          </w:tcPr>
          <w:p>
            <w:pPr>
              <w:snapToGrid w:val="0"/>
              <w:spacing w:line="360" w:lineRule="auto"/>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1</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sz w:val="24"/>
                <w:szCs w:val="24"/>
                <w:highlight w:val="none"/>
              </w:rPr>
            </w:pPr>
            <w:r>
              <w:rPr>
                <w:rFonts w:hint="eastAsia" w:ascii="宋体" w:hAnsi="宋体" w:cs="宋体"/>
                <w:highlight w:val="none"/>
              </w:rPr>
              <w:t>房建监理工程师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05" w:type="dxa"/>
            <w:noWrap/>
            <w:vAlign w:val="center"/>
          </w:tcPr>
          <w:p>
            <w:pPr>
              <w:snapToGrid w:val="0"/>
              <w:spacing w:line="360" w:lineRule="auto"/>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2</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b/>
                <w:szCs w:val="21"/>
                <w:highlight w:val="none"/>
                <w:shd w:val="clear" w:color="auto" w:fill="FFFFFF"/>
              </w:rPr>
            </w:pPr>
            <w:r>
              <w:rPr>
                <w:rFonts w:hint="eastAsia" w:ascii="宋体" w:hAnsi="宋体" w:cs="宋体"/>
                <w:highlight w:val="none"/>
              </w:rPr>
              <w:t>专职安全工程师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05" w:type="dxa"/>
            <w:noWrap/>
            <w:vAlign w:val="center"/>
          </w:tcPr>
          <w:p>
            <w:pPr>
              <w:snapToGrid w:val="0"/>
              <w:spacing w:line="360" w:lineRule="auto"/>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3</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b/>
                <w:szCs w:val="21"/>
                <w:highlight w:val="none"/>
                <w:shd w:val="clear" w:color="auto" w:fill="FFFFFF"/>
              </w:rPr>
            </w:pPr>
            <w:r>
              <w:rPr>
                <w:rFonts w:hint="eastAsia" w:ascii="宋体" w:hAnsi="宋体" w:cs="宋体"/>
                <w:highlight w:val="none"/>
              </w:rPr>
              <w:t>机电监理工程师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05" w:type="dxa"/>
            <w:noWrap/>
            <w:vAlign w:val="center"/>
          </w:tcPr>
          <w:p>
            <w:pPr>
              <w:snapToGrid w:val="0"/>
              <w:spacing w:line="360" w:lineRule="auto"/>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4</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highlight w:val="none"/>
              </w:rPr>
            </w:pPr>
            <w:r>
              <w:rPr>
                <w:rFonts w:hint="eastAsia" w:ascii="宋体" w:hAnsi="宋体" w:cs="宋体"/>
                <w:highlight w:val="none"/>
              </w:rPr>
              <w:t>设备监理工程师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205" w:type="dxa"/>
            <w:noWrap/>
            <w:vAlign w:val="center"/>
          </w:tcPr>
          <w:p>
            <w:pPr>
              <w:snapToGrid w:val="0"/>
              <w:spacing w:line="360" w:lineRule="auto"/>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5</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b/>
                <w:szCs w:val="21"/>
                <w:highlight w:val="none"/>
                <w:shd w:val="clear" w:color="auto" w:fill="FFFFFF"/>
              </w:rPr>
            </w:pPr>
            <w:r>
              <w:rPr>
                <w:rFonts w:hint="eastAsia" w:ascii="宋体" w:hAnsi="宋体" w:cs="宋体"/>
                <w:highlight w:val="none"/>
              </w:rPr>
              <w:t>装修监理工程师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05" w:type="dxa"/>
            <w:noWrap/>
            <w:vAlign w:val="center"/>
          </w:tcPr>
          <w:p>
            <w:pPr>
              <w:snapToGrid w:val="0"/>
              <w:spacing w:line="360" w:lineRule="auto"/>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6</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b/>
                <w:szCs w:val="21"/>
                <w:highlight w:val="none"/>
                <w:shd w:val="clear" w:color="auto" w:fill="FFFFFF"/>
              </w:rPr>
            </w:pPr>
            <w:r>
              <w:rPr>
                <w:rFonts w:hint="eastAsia" w:ascii="宋体" w:hAnsi="宋体" w:cs="宋体"/>
                <w:highlight w:val="none"/>
              </w:rPr>
              <w:t>造价工程师</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205" w:type="dxa"/>
            <w:noWrap/>
            <w:vAlign w:val="center"/>
          </w:tcPr>
          <w:p>
            <w:pPr>
              <w:snapToGrid w:val="0"/>
              <w:spacing w:line="360" w:lineRule="auto"/>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7</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highlight w:val="none"/>
              </w:rPr>
            </w:pPr>
            <w:r>
              <w:rPr>
                <w:rFonts w:hint="eastAsia" w:ascii="宋体" w:hAnsi="宋体" w:cs="宋体"/>
                <w:highlight w:val="none"/>
              </w:rPr>
              <w:t>监理员</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205" w:type="dxa"/>
            <w:noWrap/>
            <w:vAlign w:val="center"/>
          </w:tcPr>
          <w:p>
            <w:pPr>
              <w:snapToGrid w:val="0"/>
              <w:spacing w:line="360" w:lineRule="auto"/>
              <w:jc w:val="center"/>
              <w:rPr>
                <w:rFonts w:hint="eastAsia" w:ascii="宋体" w:hAnsi="宋体" w:cs="宋体"/>
                <w:b/>
                <w:szCs w:val="21"/>
                <w:highlight w:val="none"/>
                <w:shd w:val="clear" w:color="auto" w:fill="FFFFFF"/>
              </w:rPr>
            </w:pPr>
            <w:r>
              <w:rPr>
                <w:rFonts w:hint="eastAsia" w:ascii="宋体" w:hAnsi="宋体" w:cs="宋体"/>
                <w:b/>
                <w:szCs w:val="21"/>
                <w:highlight w:val="none"/>
                <w:shd w:val="clear" w:color="auto" w:fill="FFFFFF"/>
              </w:rPr>
              <w:t>8</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0" w:lineRule="atLeast"/>
              <w:jc w:val="center"/>
              <w:rPr>
                <w:rFonts w:ascii="宋体" w:hAnsi="宋体" w:cs="宋体"/>
                <w:highlight w:val="none"/>
              </w:rPr>
            </w:pPr>
            <w:r>
              <w:rPr>
                <w:rFonts w:hint="eastAsia" w:ascii="宋体" w:hAnsi="宋体" w:cs="宋体"/>
                <w:highlight w:val="none"/>
              </w:rPr>
              <w:t>资料员</w:t>
            </w: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5" w:type="dxa"/>
            <w:noWrap/>
            <w:vAlign w:val="center"/>
          </w:tcPr>
          <w:p>
            <w:pPr>
              <w:snapToGrid w:val="0"/>
              <w:spacing w:line="360" w:lineRule="auto"/>
              <w:jc w:val="center"/>
              <w:rPr>
                <w:rFonts w:ascii="宋体" w:hAnsi="宋体" w:cs="宋体"/>
                <w:b/>
                <w:szCs w:val="21"/>
                <w:highlight w:val="none"/>
                <w:shd w:val="clear" w:color="auto" w:fill="FFFFFF"/>
              </w:rPr>
            </w:pPr>
            <w:r>
              <w:rPr>
                <w:rFonts w:ascii="Arial" w:hAnsi="Arial" w:cs="Arial"/>
                <w:b/>
                <w:szCs w:val="21"/>
                <w:highlight w:val="none"/>
                <w:shd w:val="clear" w:color="auto" w:fill="FFFFFF"/>
              </w:rPr>
              <w:t>……</w:t>
            </w:r>
          </w:p>
        </w:tc>
        <w:tc>
          <w:tcPr>
            <w:tcW w:w="1074" w:type="dxa"/>
            <w:noWrap/>
            <w:vAlign w:val="center"/>
          </w:tcPr>
          <w:p>
            <w:pPr>
              <w:snapToGrid w:val="0"/>
              <w:spacing w:line="360" w:lineRule="auto"/>
              <w:jc w:val="center"/>
              <w:rPr>
                <w:rFonts w:ascii="宋体" w:hAnsi="宋体" w:cs="宋体"/>
                <w:b/>
                <w:szCs w:val="21"/>
                <w:highlight w:val="none"/>
                <w:shd w:val="clear" w:color="auto" w:fill="FFFFFF"/>
              </w:rPr>
            </w:pPr>
          </w:p>
        </w:tc>
        <w:tc>
          <w:tcPr>
            <w:tcW w:w="2905" w:type="dxa"/>
            <w:noWrap/>
            <w:vAlign w:val="center"/>
          </w:tcPr>
          <w:p>
            <w:pPr>
              <w:snapToGrid w:val="0"/>
              <w:spacing w:line="360" w:lineRule="auto"/>
              <w:jc w:val="center"/>
              <w:rPr>
                <w:rFonts w:ascii="宋体" w:hAnsi="宋体" w:cs="宋体"/>
                <w:b/>
                <w:szCs w:val="21"/>
                <w:highlight w:val="none"/>
                <w:shd w:val="clear" w:color="auto" w:fill="FFFFFF"/>
              </w:rPr>
            </w:pPr>
          </w:p>
        </w:tc>
        <w:tc>
          <w:tcPr>
            <w:tcW w:w="1208" w:type="dxa"/>
            <w:noWrap/>
            <w:vAlign w:val="center"/>
          </w:tcPr>
          <w:p>
            <w:pPr>
              <w:snapToGrid w:val="0"/>
              <w:spacing w:line="360" w:lineRule="auto"/>
              <w:jc w:val="center"/>
              <w:rPr>
                <w:rFonts w:ascii="宋体" w:hAnsi="宋体" w:cs="宋体"/>
                <w:b/>
                <w:szCs w:val="21"/>
                <w:highlight w:val="none"/>
                <w:shd w:val="clear" w:color="auto" w:fill="FFFFFF"/>
              </w:rPr>
            </w:pPr>
          </w:p>
        </w:tc>
        <w:tc>
          <w:tcPr>
            <w:tcW w:w="3305" w:type="dxa"/>
            <w:noWrap/>
            <w:vAlign w:val="center"/>
          </w:tcPr>
          <w:p>
            <w:pPr>
              <w:snapToGrid w:val="0"/>
              <w:spacing w:line="360" w:lineRule="auto"/>
              <w:jc w:val="center"/>
              <w:rPr>
                <w:rFonts w:ascii="宋体" w:hAnsi="宋体" w:cs="宋体"/>
                <w:b/>
                <w:szCs w:val="21"/>
                <w:highlight w:val="none"/>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9697" w:type="dxa"/>
            <w:gridSpan w:val="5"/>
            <w:noWrap/>
            <w:vAlign w:val="center"/>
          </w:tcPr>
          <w:p>
            <w:pPr>
              <w:snapToGrid w:val="0"/>
              <w:spacing w:line="360" w:lineRule="auto"/>
              <w:rPr>
                <w:rFonts w:ascii="宋体" w:hAnsi="宋体" w:cs="宋体"/>
                <w:bCs/>
                <w:szCs w:val="21"/>
                <w:highlight w:val="none"/>
                <w:shd w:val="clear" w:color="auto" w:fill="FFFFFF"/>
              </w:rPr>
            </w:pPr>
            <w:r>
              <w:rPr>
                <w:rFonts w:hint="eastAsia" w:ascii="宋体" w:hAnsi="宋体" w:cs="宋体"/>
                <w:bCs/>
                <w:szCs w:val="21"/>
                <w:highlight w:val="none"/>
                <w:shd w:val="clear" w:color="auto" w:fill="FFFFFF"/>
              </w:rPr>
              <w:t>备注：</w:t>
            </w:r>
          </w:p>
          <w:p>
            <w:pPr>
              <w:snapToGrid w:val="0"/>
              <w:spacing w:line="360" w:lineRule="auto"/>
              <w:rPr>
                <w:rFonts w:ascii="宋体" w:hAnsi="宋体" w:cs="宋体"/>
                <w:bCs/>
                <w:szCs w:val="21"/>
                <w:highlight w:val="none"/>
                <w:shd w:val="clear" w:color="auto" w:fill="FFFFFF"/>
              </w:rPr>
            </w:pPr>
            <w:r>
              <w:rPr>
                <w:rFonts w:ascii="宋体" w:hAnsi="宋体" w:cs="宋体"/>
                <w:bCs/>
                <w:szCs w:val="21"/>
                <w:highlight w:val="none"/>
                <w:shd w:val="clear" w:color="auto" w:fill="FFFFFF"/>
              </w:rPr>
              <w:t>1、“岗位”要求（总监理工程师除外）由招标人根据项目管理需要在本表备注中明确提出，如：拟派驻施工现场的总监理工程师代表、专业监理工程师、监理员等。以上项目管理团队人员信息将由交易系统提取后供各相关单位在履约时比对、查核。</w:t>
            </w:r>
          </w:p>
          <w:p>
            <w:pPr>
              <w:snapToGrid w:val="0"/>
              <w:spacing w:line="360" w:lineRule="auto"/>
              <w:rPr>
                <w:rFonts w:ascii="宋体" w:hAnsi="宋体" w:cs="宋体"/>
                <w:bCs/>
                <w:szCs w:val="21"/>
                <w:highlight w:val="none"/>
                <w:shd w:val="clear" w:color="auto" w:fill="FFFFFF"/>
              </w:rPr>
            </w:pPr>
            <w:r>
              <w:rPr>
                <w:rFonts w:ascii="宋体" w:hAnsi="宋体" w:cs="宋体"/>
                <w:bCs/>
                <w:szCs w:val="21"/>
                <w:highlight w:val="none"/>
                <w:shd w:val="clear" w:color="auto" w:fill="FFFFFF"/>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snapToGrid w:val="0"/>
              <w:spacing w:line="360" w:lineRule="auto"/>
              <w:rPr>
                <w:rFonts w:ascii="宋体" w:hAnsi="宋体" w:cs="宋体"/>
                <w:b/>
                <w:szCs w:val="21"/>
                <w:highlight w:val="none"/>
                <w:shd w:val="clear" w:color="auto" w:fill="FFFFFF"/>
              </w:rPr>
            </w:pPr>
            <w:r>
              <w:rPr>
                <w:rFonts w:ascii="宋体" w:hAnsi="宋体" w:cs="宋体"/>
                <w:bCs/>
                <w:szCs w:val="21"/>
                <w:highlight w:val="none"/>
                <w:shd w:val="clear" w:color="auto" w:fill="FFFFFF"/>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napToGrid w:val="0"/>
        <w:spacing w:line="360" w:lineRule="auto"/>
        <w:rPr>
          <w:rFonts w:ascii="宋体" w:hAnsi="宋体" w:cs="宋体"/>
          <w:kern w:val="0"/>
          <w:sz w:val="24"/>
          <w:highlight w:val="none"/>
        </w:rPr>
      </w:pPr>
    </w:p>
    <w:p/>
    <w:sectPr>
      <w:pgSz w:w="11906" w:h="16838"/>
      <w:pgMar w:top="1440" w:right="1179"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方正大标宋简体">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YjQ3MDI4NjdkYjBkMmYwYmY5YjA5MDZjZjg4MTgifQ=="/>
  </w:docVars>
  <w:rsids>
    <w:rsidRoot w:val="3CBD05EF"/>
    <w:rsid w:val="11C94F4D"/>
    <w:rsid w:val="1DC27126"/>
    <w:rsid w:val="22E82E00"/>
    <w:rsid w:val="23136B34"/>
    <w:rsid w:val="38F63841"/>
    <w:rsid w:val="3CBD05EF"/>
    <w:rsid w:val="3D1976AB"/>
    <w:rsid w:val="649731C0"/>
    <w:rsid w:val="65BA4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3"/>
    <w:qFormat/>
    <w:uiPriority w:val="0"/>
    <w:pPr>
      <w:keepNext/>
      <w:keepLines/>
      <w:spacing w:before="340" w:after="330" w:line="576" w:lineRule="auto"/>
      <w:outlineLvl w:val="0"/>
    </w:pPr>
    <w:rPr>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5">
    <w:name w:val="Normal Indent"/>
    <w:basedOn w:val="1"/>
    <w:qFormat/>
    <w:uiPriority w:val="0"/>
    <w:pPr>
      <w:adjustRightInd w:val="0"/>
      <w:spacing w:line="360" w:lineRule="atLeast"/>
      <w:ind w:firstLine="420"/>
      <w:textAlignment w:val="baseline"/>
    </w:pPr>
    <w:rPr>
      <w:szCs w:val="20"/>
      <w:lang w:val="zh-CN"/>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6"/>
    <w:qFormat/>
    <w:uiPriority w:val="0"/>
    <w:pPr>
      <w:ind w:left="200" w:firstLine="200" w:firstLineChars="200"/>
    </w:pPr>
    <w:rPr>
      <w:rFonts w:ascii="Calibri" w:hAnsi="Calibri"/>
      <w:color w:val="0D0D0D"/>
      <w:szCs w:val="24"/>
      <w:lang w:eastAsia="en-US"/>
    </w:rPr>
  </w:style>
  <w:style w:type="character" w:styleId="12">
    <w:name w:val="Hyperlink"/>
    <w:qFormat/>
    <w:uiPriority w:val="99"/>
    <w:rPr>
      <w:color w:val="0000FF"/>
      <w:u w:val="single"/>
    </w:rPr>
  </w:style>
  <w:style w:type="character" w:customStyle="1" w:styleId="13">
    <w:name w:val="标题 1 Char"/>
    <w:link w:val="3"/>
    <w:qFormat/>
    <w:locked/>
    <w:uiPriority w:val="0"/>
    <w:rPr>
      <w:b/>
      <w:kern w:val="44"/>
      <w:sz w:val="44"/>
      <w:szCs w:val="20"/>
    </w:rPr>
  </w:style>
  <w:style w:type="paragraph" w:customStyle="1" w:styleId="14">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BHZB</Company>
  <Pages>9</Pages>
  <Words>4912</Words>
  <Characters>5571</Characters>
  <Lines>0</Lines>
  <Paragraphs>0</Paragraphs>
  <TotalTime>9</TotalTime>
  <ScaleCrop>false</ScaleCrop>
  <LinksUpToDate>false</LinksUpToDate>
  <CharactersWithSpaces>5692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2023-02-21T02:39:00Z</dcterms:created>
  <dc:creator>张鸿浩</dc:creator>
  <cp:lastModifiedBy>张鸿浩</cp:lastModifiedBy>
  <dcterms:modified xsi:type="dcterms:W3CDTF">2023-02-21T15:36:07Z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292D0407DAB645CCA9A6835F71CE7F12</vt:lpwstr>
  </property>
</Properties>
</file>