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beforeAutospacing="0" w:afterAutospacing="0" w:line="480" w:lineRule="atLeast"/>
        <w:jc w:val="center"/>
        <w:rPr>
          <w:rFonts w:ascii="宋体" w:hAnsi="宋体" w:eastAsia="宋体" w:cs="宋体"/>
          <w:b/>
          <w:bCs/>
          <w:color w:val="auto"/>
          <w:sz w:val="32"/>
          <w:szCs w:val="32"/>
          <w:highlight w:val="none"/>
          <w:shd w:val="clear" w:color="auto" w:fill="FFFFFF"/>
          <w:lang w:eastAsia="zh-Hans"/>
        </w:rPr>
      </w:pPr>
      <w:r>
        <w:rPr>
          <w:rFonts w:hint="eastAsia" w:ascii="宋体" w:hAnsi="宋体" w:eastAsia="宋体" w:cs="宋体"/>
          <w:b/>
          <w:bCs/>
          <w:color w:val="auto"/>
          <w:sz w:val="32"/>
          <w:szCs w:val="32"/>
          <w:highlight w:val="none"/>
          <w:shd w:val="clear" w:color="auto" w:fill="FFFFFF"/>
          <w:lang w:eastAsia="zh-CN"/>
        </w:rPr>
        <w:t>中医馆、中药房、精神心理科建设项目</w:t>
      </w:r>
      <w:r>
        <w:rPr>
          <w:rFonts w:hint="eastAsia" w:ascii="宋体" w:hAnsi="宋体" w:eastAsia="宋体" w:cs="宋体"/>
          <w:b/>
          <w:bCs/>
          <w:color w:val="auto"/>
          <w:sz w:val="32"/>
          <w:szCs w:val="32"/>
          <w:highlight w:val="none"/>
          <w:shd w:val="clear" w:color="auto" w:fill="FFFFFF"/>
          <w:lang w:eastAsia="zh-Hans"/>
        </w:rPr>
        <w:t>补充公告</w:t>
      </w:r>
    </w:p>
    <w:p>
      <w:pPr>
        <w:pStyle w:val="10"/>
        <w:widowControl/>
        <w:shd w:val="clear" w:color="auto" w:fill="FFFFFF"/>
        <w:spacing w:beforeAutospacing="0" w:afterAutospacing="0" w:line="480" w:lineRule="atLeast"/>
        <w:ind w:firstLine="480"/>
        <w:jc w:val="both"/>
        <w:rPr>
          <w:rFonts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eastAsia="zh-CN"/>
        </w:rPr>
        <w:t>中医馆、中药房、精神心理科建设项目</w:t>
      </w:r>
      <w:r>
        <w:rPr>
          <w:rFonts w:hint="eastAsia" w:ascii="宋体" w:hAnsi="宋体" w:eastAsia="宋体" w:cs="宋体"/>
          <w:color w:val="auto"/>
          <w:highlight w:val="none"/>
          <w:shd w:val="clear" w:color="auto" w:fill="FFFFFF"/>
        </w:rPr>
        <w:t>（项目编号：</w:t>
      </w:r>
      <w:r>
        <w:rPr>
          <w:rFonts w:hint="eastAsia" w:ascii="宋体" w:hAnsi="宋体" w:eastAsia="宋体" w:cs="宋体"/>
          <w:color w:val="auto"/>
          <w:highlight w:val="none"/>
          <w:shd w:val="clear" w:color="auto" w:fill="FFFFFF"/>
          <w:lang w:eastAsia="zh-CN"/>
        </w:rPr>
        <w:t>JG2023-0578</w:t>
      </w:r>
      <w:r>
        <w:rPr>
          <w:rFonts w:hint="eastAsia" w:ascii="宋体" w:hAnsi="宋体" w:eastAsia="宋体" w:cs="宋体"/>
          <w:color w:val="auto"/>
          <w:highlight w:val="none"/>
          <w:shd w:val="clear" w:color="auto" w:fill="FFFFFF"/>
        </w:rPr>
        <w:t>）于202</w:t>
      </w:r>
      <w:r>
        <w:rPr>
          <w:rFonts w:ascii="宋体" w:hAnsi="宋体" w:eastAsia="宋体" w:cs="宋体"/>
          <w:color w:val="auto"/>
          <w:highlight w:val="none"/>
          <w:shd w:val="clear" w:color="auto" w:fill="FFFFFF"/>
        </w:rPr>
        <w:t>3</w:t>
      </w:r>
      <w:r>
        <w:rPr>
          <w:rFonts w:hint="eastAsia" w:ascii="宋体" w:hAnsi="宋体" w:eastAsia="宋体" w:cs="宋体"/>
          <w:color w:val="auto"/>
          <w:highlight w:val="none"/>
          <w:shd w:val="clear" w:color="auto" w:fill="FFFFFF"/>
        </w:rPr>
        <w:t>年</w:t>
      </w:r>
      <w:r>
        <w:rPr>
          <w:rFonts w:hint="eastAsia" w:ascii="宋体" w:hAnsi="宋体" w:eastAsia="宋体" w:cs="宋体"/>
          <w:color w:val="auto"/>
          <w:highlight w:val="none"/>
          <w:shd w:val="clear" w:color="auto" w:fill="FFFFFF"/>
          <w:lang w:val="en-US" w:eastAsia="zh-CN"/>
        </w:rPr>
        <w:t>2</w:t>
      </w:r>
      <w:r>
        <w:rPr>
          <w:rFonts w:hint="eastAsia" w:ascii="宋体" w:hAnsi="宋体" w:eastAsia="宋体" w:cs="宋体"/>
          <w:color w:val="auto"/>
          <w:highlight w:val="none"/>
          <w:shd w:val="clear" w:color="auto" w:fill="FFFFFF"/>
        </w:rPr>
        <w:t>月</w:t>
      </w:r>
      <w:r>
        <w:rPr>
          <w:rFonts w:hint="eastAsia" w:ascii="宋体" w:hAnsi="宋体" w:eastAsia="宋体" w:cs="宋体"/>
          <w:color w:val="auto"/>
          <w:highlight w:val="none"/>
          <w:shd w:val="clear" w:color="auto" w:fill="FFFFFF"/>
          <w:lang w:val="en-US" w:eastAsia="zh-CN"/>
        </w:rPr>
        <w:t>15</w:t>
      </w:r>
      <w:r>
        <w:rPr>
          <w:rFonts w:hint="eastAsia" w:ascii="宋体" w:hAnsi="宋体" w:eastAsia="宋体" w:cs="宋体"/>
          <w:color w:val="auto"/>
          <w:highlight w:val="none"/>
          <w:shd w:val="clear" w:color="auto" w:fill="FFFFFF"/>
        </w:rPr>
        <w:t>日在广州交易集团有限公司（广州公共资源交易中心）网站发布招标公告，现对原招标</w:t>
      </w:r>
      <w:r>
        <w:rPr>
          <w:rFonts w:hint="eastAsia" w:ascii="宋体" w:hAnsi="宋体" w:eastAsia="宋体" w:cs="宋体"/>
          <w:color w:val="auto"/>
          <w:highlight w:val="none"/>
          <w:shd w:val="clear" w:color="auto" w:fill="FFFFFF"/>
          <w:lang w:eastAsia="zh-Hans"/>
        </w:rPr>
        <w:t>公告和招标文件</w:t>
      </w:r>
      <w:r>
        <w:rPr>
          <w:rFonts w:hint="eastAsia" w:ascii="宋体" w:hAnsi="宋体" w:eastAsia="宋体" w:cs="宋体"/>
          <w:color w:val="auto"/>
          <w:highlight w:val="none"/>
          <w:shd w:val="clear" w:color="auto" w:fill="FFFFFF"/>
        </w:rPr>
        <w:t>相关内容调整如下：</w:t>
      </w:r>
    </w:p>
    <w:p>
      <w:pPr>
        <w:pStyle w:val="10"/>
        <w:widowControl/>
        <w:shd w:val="clear" w:color="auto" w:fill="FFFFFF"/>
        <w:spacing w:beforeAutospacing="0" w:afterAutospacing="0" w:line="480" w:lineRule="atLeast"/>
        <w:ind w:firstLine="480"/>
        <w:jc w:val="both"/>
        <w:rPr>
          <w:rFonts w:ascii="微软雅黑" w:hAnsi="微软雅黑" w:eastAsia="微软雅黑" w:cs="微软雅黑"/>
          <w:color w:val="auto"/>
          <w:sz w:val="32"/>
          <w:szCs w:val="32"/>
          <w:highlight w:val="none"/>
        </w:rPr>
      </w:pPr>
      <w:r>
        <w:rPr>
          <w:rFonts w:hint="eastAsia" w:ascii="宋体" w:hAnsi="宋体" w:eastAsia="宋体" w:cs="宋体"/>
          <w:color w:val="auto"/>
          <w:highlight w:val="none"/>
          <w:shd w:val="clear" w:color="auto" w:fill="FFFFFF"/>
        </w:rPr>
        <w:t>对招标</w:t>
      </w:r>
      <w:r>
        <w:rPr>
          <w:rFonts w:hint="eastAsia" w:ascii="宋体" w:hAnsi="宋体" w:eastAsia="宋体" w:cs="宋体"/>
          <w:color w:val="auto"/>
          <w:highlight w:val="none"/>
          <w:shd w:val="clear" w:color="auto" w:fill="FFFFFF"/>
          <w:lang w:eastAsia="zh-Hans"/>
        </w:rPr>
        <w:t>公告</w:t>
      </w:r>
      <w:r>
        <w:rPr>
          <w:rFonts w:hint="eastAsia" w:ascii="宋体" w:hAnsi="宋体" w:eastAsia="宋体" w:cs="宋体"/>
          <w:color w:val="auto"/>
          <w:highlight w:val="none"/>
          <w:shd w:val="clear" w:color="auto" w:fill="FFFFFF"/>
        </w:rPr>
        <w:t>相关内容进行修改：</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57"/>
        <w:gridCol w:w="2059"/>
        <w:gridCol w:w="3909"/>
        <w:gridCol w:w="3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blHeader/>
          <w:jc w:val="center"/>
        </w:trPr>
        <w:tc>
          <w:tcPr>
            <w:tcW w:w="945" w:type="dxa"/>
            <w:shd w:val="clear" w:color="auto" w:fill="FFFFFF"/>
            <w:tcMar>
              <w:left w:w="108" w:type="dxa"/>
              <w:right w:w="108" w:type="dxa"/>
            </w:tcMar>
          </w:tcPr>
          <w:p>
            <w:pPr>
              <w:pStyle w:val="10"/>
              <w:widowControl/>
              <w:spacing w:beforeAutospacing="0" w:afterAutospacing="0" w:line="276" w:lineRule="auto"/>
              <w:jc w:val="center"/>
              <w:rPr>
                <w:rFonts w:ascii="宋体" w:hAnsi="宋体" w:eastAsia="宋体" w:cs="宋体"/>
                <w:b/>
                <w:bCs/>
                <w:color w:val="auto"/>
                <w:highlight w:val="none"/>
                <w:shd w:val="clear" w:color="auto" w:fill="FFFFFF"/>
                <w:lang w:eastAsia="zh-Hans"/>
              </w:rPr>
            </w:pPr>
            <w:r>
              <w:rPr>
                <w:rFonts w:hint="eastAsia" w:ascii="宋体" w:hAnsi="宋体" w:eastAsia="宋体" w:cs="宋体"/>
                <w:b/>
                <w:bCs/>
                <w:color w:val="auto"/>
                <w:highlight w:val="none"/>
                <w:shd w:val="clear" w:color="auto" w:fill="FFFFFF"/>
                <w:lang w:eastAsia="zh-Hans"/>
              </w:rPr>
              <w:t>序号</w:t>
            </w:r>
          </w:p>
        </w:tc>
        <w:tc>
          <w:tcPr>
            <w:tcW w:w="2910" w:type="dxa"/>
            <w:shd w:val="clear" w:color="auto" w:fill="FFFFFF"/>
            <w:tcMar>
              <w:left w:w="108" w:type="dxa"/>
              <w:right w:w="108" w:type="dxa"/>
            </w:tcMar>
            <w:vAlign w:val="center"/>
          </w:tcPr>
          <w:p>
            <w:pPr>
              <w:pStyle w:val="10"/>
              <w:widowControl/>
              <w:spacing w:beforeAutospacing="0" w:afterAutospacing="0" w:line="276" w:lineRule="auto"/>
              <w:jc w:val="center"/>
              <w:rPr>
                <w:rFonts w:ascii="宋体" w:hAnsi="宋体" w:eastAsia="宋体" w:cs="宋体"/>
                <w:b/>
                <w:bCs/>
                <w:color w:val="auto"/>
                <w:highlight w:val="none"/>
                <w:shd w:val="clear" w:color="auto" w:fill="FFFFFF"/>
                <w:lang w:eastAsia="zh-Hans"/>
              </w:rPr>
            </w:pPr>
            <w:r>
              <w:rPr>
                <w:rFonts w:hint="eastAsia" w:ascii="宋体" w:hAnsi="宋体" w:eastAsia="宋体" w:cs="宋体"/>
                <w:b/>
                <w:bCs/>
                <w:color w:val="auto"/>
                <w:highlight w:val="none"/>
                <w:shd w:val="clear" w:color="auto" w:fill="FFFFFF"/>
                <w:lang w:eastAsia="zh-Hans"/>
              </w:rPr>
              <w:t>条款</w:t>
            </w:r>
          </w:p>
        </w:tc>
        <w:tc>
          <w:tcPr>
            <w:tcW w:w="5916" w:type="dxa"/>
            <w:shd w:val="clear" w:color="auto" w:fill="FFFFFF"/>
            <w:tcMar>
              <w:left w:w="108" w:type="dxa"/>
              <w:right w:w="108" w:type="dxa"/>
            </w:tcMar>
            <w:vAlign w:val="center"/>
          </w:tcPr>
          <w:p>
            <w:pPr>
              <w:pStyle w:val="10"/>
              <w:widowControl/>
              <w:spacing w:beforeAutospacing="0" w:afterAutospacing="0" w:line="276" w:lineRule="auto"/>
              <w:jc w:val="center"/>
              <w:rPr>
                <w:rFonts w:ascii="宋体" w:hAnsi="宋体" w:eastAsia="宋体" w:cs="宋体"/>
                <w:b/>
                <w:bCs/>
                <w:color w:val="auto"/>
                <w:highlight w:val="none"/>
                <w:shd w:val="clear" w:color="auto" w:fill="FFFFFF"/>
                <w:lang w:eastAsia="zh-Hans"/>
              </w:rPr>
            </w:pPr>
            <w:r>
              <w:rPr>
                <w:rFonts w:hint="eastAsia" w:ascii="宋体" w:hAnsi="宋体" w:eastAsia="宋体" w:cs="宋体"/>
                <w:b/>
                <w:bCs/>
                <w:color w:val="auto"/>
                <w:highlight w:val="none"/>
                <w:shd w:val="clear" w:color="auto" w:fill="FFFFFF"/>
                <w:lang w:eastAsia="zh-Hans"/>
              </w:rPr>
              <w:t>原文</w:t>
            </w:r>
          </w:p>
        </w:tc>
        <w:tc>
          <w:tcPr>
            <w:tcW w:w="5843" w:type="dxa"/>
            <w:shd w:val="clear" w:color="auto" w:fill="FFFFFF"/>
            <w:tcMar>
              <w:left w:w="108" w:type="dxa"/>
              <w:right w:w="108" w:type="dxa"/>
            </w:tcMar>
            <w:vAlign w:val="center"/>
          </w:tcPr>
          <w:p>
            <w:pPr>
              <w:pStyle w:val="10"/>
              <w:widowControl/>
              <w:spacing w:beforeAutospacing="0" w:afterAutospacing="0" w:line="276" w:lineRule="auto"/>
              <w:jc w:val="center"/>
              <w:rPr>
                <w:rFonts w:ascii="宋体" w:hAnsi="宋体" w:eastAsia="宋体" w:cs="宋体"/>
                <w:b/>
                <w:bCs/>
                <w:color w:val="auto"/>
                <w:highlight w:val="none"/>
                <w:shd w:val="clear" w:color="auto" w:fill="FFFFFF"/>
                <w:lang w:eastAsia="zh-Hans"/>
              </w:rPr>
            </w:pPr>
            <w:r>
              <w:rPr>
                <w:rFonts w:hint="eastAsia" w:ascii="宋体" w:hAnsi="宋体" w:eastAsia="宋体" w:cs="宋体"/>
                <w:b/>
                <w:bCs/>
                <w:color w:val="auto"/>
                <w:highlight w:val="none"/>
                <w:shd w:val="clear" w:color="auto" w:fill="FFFFFF"/>
                <w:lang w:eastAsia="zh-Hans"/>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945" w:type="dxa"/>
            <w:shd w:val="clear" w:color="auto" w:fill="FFFFFF"/>
            <w:tcMar>
              <w:left w:w="108" w:type="dxa"/>
              <w:right w:w="108" w:type="dxa"/>
            </w:tcMar>
            <w:vAlign w:val="center"/>
          </w:tcPr>
          <w:p>
            <w:pPr>
              <w:pStyle w:val="10"/>
              <w:widowControl/>
              <w:numPr>
                <w:ilvl w:val="0"/>
                <w:numId w:val="1"/>
              </w:numPr>
              <w:spacing w:beforeAutospacing="0" w:afterAutospacing="0" w:line="276" w:lineRule="auto"/>
              <w:jc w:val="center"/>
              <w:rPr>
                <w:rFonts w:ascii="宋体" w:hAnsi="宋体" w:eastAsia="宋体" w:cs="微软雅黑"/>
                <w:color w:val="auto"/>
                <w:highlight w:val="none"/>
              </w:rPr>
            </w:pPr>
          </w:p>
        </w:tc>
        <w:tc>
          <w:tcPr>
            <w:tcW w:w="2910" w:type="dxa"/>
            <w:shd w:val="clear" w:color="auto" w:fill="FFFFFF"/>
            <w:tcMar>
              <w:left w:w="108" w:type="dxa"/>
              <w:right w:w="108" w:type="dxa"/>
            </w:tcMar>
            <w:vAlign w:val="center"/>
          </w:tcPr>
          <w:p>
            <w:pPr>
              <w:pStyle w:val="10"/>
              <w:widowControl/>
              <w:shd w:val="clear" w:color="auto" w:fill="FFFFFF"/>
              <w:spacing w:beforeAutospacing="0" w:afterAutospacing="0" w:line="276" w:lineRule="auto"/>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招标公告</w:t>
            </w:r>
          </w:p>
          <w:p>
            <w:pPr>
              <w:pStyle w:val="10"/>
              <w:widowControl/>
              <w:shd w:val="clear" w:color="auto" w:fill="FFFFFF"/>
              <w:spacing w:beforeAutospacing="0" w:afterAutospacing="0" w:line="276" w:lineRule="auto"/>
              <w:jc w:val="left"/>
              <w:rPr>
                <w:rFonts w:ascii="微软雅黑" w:hAnsi="微软雅黑" w:eastAsia="PMingLiU" w:cs="微软雅黑"/>
                <w:color w:val="auto"/>
                <w:highlight w:val="none"/>
                <w:lang w:eastAsia="zh-TW"/>
              </w:rPr>
            </w:pPr>
            <w:r>
              <w:rPr>
                <w:rFonts w:hint="eastAsia" w:ascii="宋体" w:hAnsi="宋体" w:eastAsia="宋体" w:cs="宋体"/>
                <w:color w:val="auto"/>
                <w:highlight w:val="none"/>
                <w:shd w:val="clear" w:color="auto" w:fill="FFFFFF"/>
                <w:lang w:eastAsia="zh-Hans"/>
              </w:rPr>
              <w:t>九、投标人合格条件：</w:t>
            </w:r>
          </w:p>
        </w:tc>
        <w:tc>
          <w:tcPr>
            <w:tcW w:w="5916" w:type="dxa"/>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ascii="微软雅黑" w:hAnsi="微软雅黑" w:eastAsia="微软雅黑" w:cs="微软雅黑"/>
                <w:color w:val="auto"/>
                <w:highlight w:val="none"/>
              </w:rPr>
            </w:pPr>
            <w:r>
              <w:rPr>
                <w:rFonts w:hint="eastAsia" w:ascii="宋体" w:hAnsi="宋体" w:eastAsia="宋体" w:cs="宋体"/>
                <w:color w:val="auto"/>
                <w:highlight w:val="none"/>
                <w:shd w:val="clear" w:color="auto" w:fill="FFFFFF"/>
                <w:lang w:eastAsia="zh-Hans"/>
              </w:rPr>
              <w:t>6、专职安全员须具有在有效期内的安全生产考核合格证（C证或C3证）或提供广东省建筑施工企业管理人员安全生产考核信息系统安全生产管理人员证书信息的打印页。</w:t>
            </w:r>
          </w:p>
        </w:tc>
        <w:tc>
          <w:tcPr>
            <w:tcW w:w="5843" w:type="dxa"/>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shd w:val="clear" w:color="auto" w:fill="FFFFFF"/>
                <w:lang w:eastAsia="zh-Hans"/>
              </w:rPr>
              <w:t>6、专职安全员须具有在有效期内的安全生产考核合格证（C类）或建筑施工企业专职安全生产管理人员安全生产考核合格证书（C3类）</w:t>
            </w:r>
            <w:r>
              <w:rPr>
                <w:rFonts w:hint="eastAsia" w:ascii="宋体" w:hAnsi="宋体" w:eastAsia="宋体" w:cs="宋体"/>
                <w:color w:val="auto"/>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45" w:type="dxa"/>
            <w:shd w:val="clear" w:color="auto" w:fill="FFFFFF"/>
            <w:tcMar>
              <w:left w:w="108" w:type="dxa"/>
              <w:right w:w="108" w:type="dxa"/>
            </w:tcMar>
            <w:vAlign w:val="center"/>
          </w:tcPr>
          <w:p>
            <w:pPr>
              <w:pStyle w:val="10"/>
              <w:widowControl/>
              <w:numPr>
                <w:ilvl w:val="0"/>
                <w:numId w:val="1"/>
              </w:numPr>
              <w:spacing w:beforeAutospacing="0" w:afterAutospacing="0" w:line="276" w:lineRule="auto"/>
              <w:jc w:val="center"/>
              <w:rPr>
                <w:rFonts w:ascii="宋体" w:hAnsi="宋体" w:eastAsia="宋体" w:cs="微软雅黑"/>
                <w:color w:val="auto"/>
                <w:highlight w:val="none"/>
              </w:rPr>
            </w:pPr>
          </w:p>
        </w:tc>
        <w:tc>
          <w:tcPr>
            <w:tcW w:w="2910" w:type="dxa"/>
            <w:shd w:val="clear" w:color="auto" w:fill="FFFFFF"/>
            <w:tcMar>
              <w:left w:w="108" w:type="dxa"/>
              <w:right w:w="108" w:type="dxa"/>
            </w:tcMar>
            <w:vAlign w:val="center"/>
          </w:tcPr>
          <w:p>
            <w:pPr>
              <w:pStyle w:val="10"/>
              <w:widowControl/>
              <w:shd w:val="clear" w:color="auto" w:fill="FFFFFF"/>
              <w:spacing w:beforeAutospacing="0" w:afterAutospacing="0" w:line="276" w:lineRule="auto"/>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招标公告</w:t>
            </w:r>
          </w:p>
          <w:p>
            <w:pPr>
              <w:pStyle w:val="10"/>
              <w:widowControl/>
              <w:shd w:val="clear" w:color="auto" w:fill="FFFFFF"/>
              <w:spacing w:beforeAutospacing="0" w:afterAutospacing="0" w:line="276" w:lineRule="auto"/>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附件一《投标人声明》</w:t>
            </w:r>
          </w:p>
        </w:tc>
        <w:tc>
          <w:tcPr>
            <w:tcW w:w="5916" w:type="dxa"/>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详见原招标公告</w:t>
            </w:r>
          </w:p>
        </w:tc>
        <w:tc>
          <w:tcPr>
            <w:tcW w:w="5843" w:type="dxa"/>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ascii="宋体" w:hAnsi="宋体" w:eastAsia="宋体" w:cs="宋体"/>
                <w:b/>
                <w:bCs/>
                <w:color w:val="auto"/>
                <w:highlight w:val="none"/>
                <w:u w:val="single"/>
                <w:shd w:val="clear" w:color="auto" w:fill="FFFFFF"/>
                <w:lang w:eastAsia="zh-Hans"/>
              </w:rPr>
            </w:pPr>
            <w:r>
              <w:rPr>
                <w:rFonts w:hint="eastAsia" w:ascii="宋体" w:hAnsi="宋体" w:eastAsia="宋体" w:cs="宋体"/>
                <w:b/>
                <w:bCs/>
                <w:color w:val="auto"/>
                <w:highlight w:val="none"/>
                <w:u w:val="single"/>
                <w:shd w:val="clear" w:color="auto" w:fill="FFFFFF"/>
                <w:lang w:eastAsia="zh-Hans"/>
              </w:rPr>
              <w:t>详见本补充公告附件一</w:t>
            </w:r>
          </w:p>
        </w:tc>
      </w:tr>
    </w:tbl>
    <w:p>
      <w:pPr>
        <w:pStyle w:val="10"/>
        <w:widowControl/>
        <w:shd w:val="clear" w:color="auto" w:fill="FFFFFF"/>
        <w:spacing w:beforeAutospacing="0" w:afterAutospacing="0" w:line="480" w:lineRule="atLeast"/>
        <w:ind w:firstLine="480"/>
        <w:jc w:val="both"/>
        <w:rPr>
          <w:rFonts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对招标文件相关内容进行修改：</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83"/>
        <w:gridCol w:w="1963"/>
        <w:gridCol w:w="3901"/>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blHeader/>
          <w:jc w:val="center"/>
        </w:trPr>
        <w:tc>
          <w:tcPr>
            <w:tcW w:w="307" w:type="pct"/>
            <w:shd w:val="clear" w:color="auto" w:fill="FFFFFF"/>
            <w:tcMar>
              <w:left w:w="108" w:type="dxa"/>
              <w:right w:w="108" w:type="dxa"/>
            </w:tcMar>
          </w:tcPr>
          <w:p>
            <w:pPr>
              <w:pStyle w:val="10"/>
              <w:widowControl/>
              <w:spacing w:beforeAutospacing="0" w:afterAutospacing="0" w:line="276" w:lineRule="auto"/>
              <w:contextualSpacing/>
              <w:jc w:val="center"/>
              <w:rPr>
                <w:rFonts w:ascii="宋体" w:hAnsi="宋体" w:eastAsia="宋体" w:cs="宋体"/>
                <w:b/>
                <w:bCs/>
                <w:color w:val="auto"/>
                <w:highlight w:val="none"/>
                <w:shd w:val="clear" w:color="auto" w:fill="FFFFFF"/>
                <w:lang w:eastAsia="zh-Hans"/>
              </w:rPr>
            </w:pPr>
            <w:r>
              <w:rPr>
                <w:rFonts w:hint="eastAsia" w:ascii="宋体" w:hAnsi="宋体" w:eastAsia="宋体" w:cs="宋体"/>
                <w:b/>
                <w:bCs/>
                <w:color w:val="auto"/>
                <w:highlight w:val="none"/>
                <w:shd w:val="clear" w:color="auto" w:fill="FFFFFF"/>
                <w:lang w:eastAsia="zh-Hans"/>
              </w:rPr>
              <w:t>序号</w:t>
            </w:r>
          </w:p>
        </w:tc>
        <w:tc>
          <w:tcPr>
            <w:tcW w:w="953" w:type="pct"/>
            <w:shd w:val="clear" w:color="auto" w:fill="FFFFFF"/>
            <w:tcMar>
              <w:left w:w="108" w:type="dxa"/>
              <w:right w:w="108" w:type="dxa"/>
            </w:tcMar>
            <w:vAlign w:val="center"/>
          </w:tcPr>
          <w:p>
            <w:pPr>
              <w:pStyle w:val="10"/>
              <w:widowControl/>
              <w:spacing w:beforeAutospacing="0" w:afterAutospacing="0" w:line="276" w:lineRule="auto"/>
              <w:contextualSpacing/>
              <w:jc w:val="center"/>
              <w:rPr>
                <w:rFonts w:ascii="宋体" w:hAnsi="宋体" w:eastAsia="宋体" w:cs="宋体"/>
                <w:b/>
                <w:bCs/>
                <w:color w:val="auto"/>
                <w:highlight w:val="none"/>
                <w:shd w:val="clear" w:color="auto" w:fill="FFFFFF"/>
                <w:lang w:eastAsia="zh-Hans"/>
              </w:rPr>
            </w:pPr>
            <w:r>
              <w:rPr>
                <w:rFonts w:hint="eastAsia" w:ascii="宋体" w:hAnsi="宋体" w:eastAsia="宋体" w:cs="宋体"/>
                <w:b/>
                <w:bCs/>
                <w:color w:val="auto"/>
                <w:highlight w:val="none"/>
                <w:shd w:val="clear" w:color="auto" w:fill="FFFFFF"/>
                <w:lang w:eastAsia="zh-Hans"/>
              </w:rPr>
              <w:t>条款</w:t>
            </w:r>
          </w:p>
        </w:tc>
        <w:tc>
          <w:tcPr>
            <w:tcW w:w="1860" w:type="pct"/>
            <w:shd w:val="clear" w:color="auto" w:fill="FFFFFF"/>
            <w:tcMar>
              <w:left w:w="108" w:type="dxa"/>
              <w:right w:w="108" w:type="dxa"/>
            </w:tcMar>
            <w:vAlign w:val="center"/>
          </w:tcPr>
          <w:p>
            <w:pPr>
              <w:pStyle w:val="10"/>
              <w:widowControl/>
              <w:spacing w:beforeAutospacing="0" w:afterAutospacing="0" w:line="276" w:lineRule="auto"/>
              <w:contextualSpacing/>
              <w:jc w:val="center"/>
              <w:rPr>
                <w:rFonts w:ascii="宋体" w:hAnsi="宋体" w:eastAsia="宋体" w:cs="宋体"/>
                <w:b/>
                <w:bCs/>
                <w:color w:val="auto"/>
                <w:highlight w:val="none"/>
                <w:shd w:val="clear" w:color="auto" w:fill="FFFFFF"/>
                <w:lang w:eastAsia="zh-Hans"/>
              </w:rPr>
            </w:pPr>
            <w:r>
              <w:rPr>
                <w:rFonts w:hint="eastAsia" w:ascii="宋体" w:hAnsi="宋体" w:eastAsia="宋体" w:cs="宋体"/>
                <w:b/>
                <w:bCs/>
                <w:color w:val="auto"/>
                <w:highlight w:val="none"/>
                <w:shd w:val="clear" w:color="auto" w:fill="FFFFFF"/>
                <w:lang w:eastAsia="zh-Hans"/>
              </w:rPr>
              <w:t>原文</w:t>
            </w:r>
          </w:p>
        </w:tc>
        <w:tc>
          <w:tcPr>
            <w:tcW w:w="1878" w:type="pct"/>
            <w:shd w:val="clear" w:color="auto" w:fill="FFFFFF"/>
            <w:tcMar>
              <w:left w:w="108" w:type="dxa"/>
              <w:right w:w="108" w:type="dxa"/>
            </w:tcMar>
            <w:vAlign w:val="center"/>
          </w:tcPr>
          <w:p>
            <w:pPr>
              <w:pStyle w:val="10"/>
              <w:widowControl/>
              <w:spacing w:beforeAutospacing="0" w:afterAutospacing="0" w:line="276" w:lineRule="auto"/>
              <w:contextualSpacing/>
              <w:jc w:val="center"/>
              <w:rPr>
                <w:rFonts w:ascii="宋体" w:hAnsi="宋体" w:eastAsia="宋体" w:cs="宋体"/>
                <w:b/>
                <w:bCs/>
                <w:color w:val="auto"/>
                <w:highlight w:val="none"/>
                <w:shd w:val="clear" w:color="auto" w:fill="FFFFFF"/>
                <w:lang w:eastAsia="zh-Hans"/>
              </w:rPr>
            </w:pPr>
            <w:r>
              <w:rPr>
                <w:rFonts w:hint="eastAsia" w:ascii="宋体" w:hAnsi="宋体" w:eastAsia="宋体" w:cs="宋体"/>
                <w:b/>
                <w:bCs/>
                <w:color w:val="auto"/>
                <w:highlight w:val="none"/>
                <w:shd w:val="clear" w:color="auto" w:fill="FFFFFF"/>
                <w:lang w:eastAsia="zh-Hans"/>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招标文件 第一章投标须知</w:t>
            </w:r>
          </w:p>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二、投标须知前附表</w:t>
            </w:r>
          </w:p>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16.1</w:t>
            </w:r>
            <w:r>
              <w:rPr>
                <w:rFonts w:ascii="宋体" w:hAnsi="宋体" w:eastAsia="宋体" w:cs="宋体"/>
                <w:color w:val="auto"/>
                <w:highlight w:val="none"/>
                <w:shd w:val="clear" w:color="auto" w:fill="FFFFFF"/>
                <w:lang w:eastAsia="zh-Hans"/>
              </w:rPr>
              <w:t xml:space="preserve"> </w:t>
            </w:r>
            <w:r>
              <w:rPr>
                <w:rFonts w:hint="eastAsia" w:ascii="宋体" w:hAnsi="宋体" w:eastAsia="宋体" w:cs="宋体"/>
                <w:color w:val="auto"/>
                <w:highlight w:val="none"/>
                <w:shd w:val="clear" w:color="auto" w:fill="FFFFFF"/>
                <w:lang w:eastAsia="zh-Hans"/>
              </w:rPr>
              <w:t>投标保证金</w:t>
            </w:r>
          </w:p>
        </w:tc>
        <w:tc>
          <w:tcPr>
            <w:tcW w:w="1860"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原文详见原招标文件</w:t>
            </w:r>
          </w:p>
        </w:tc>
        <w:tc>
          <w:tcPr>
            <w:tcW w:w="1878" w:type="pct"/>
            <w:shd w:val="clear" w:color="auto" w:fill="FFFFFF"/>
            <w:tcMar>
              <w:left w:w="108" w:type="dxa"/>
              <w:right w:w="108" w:type="dxa"/>
            </w:tcMar>
            <w:vAlign w:val="center"/>
          </w:tcPr>
          <w:p>
            <w:pPr>
              <w:ind w:left="-27" w:leftChars="-13" w:right="-59" w:rightChars="-28"/>
              <w:rPr>
                <w:rFonts w:hint="eastAsia" w:ascii="宋体" w:hAnsi="宋体" w:cs="宋体"/>
                <w:color w:val="auto"/>
                <w:szCs w:val="21"/>
                <w:highlight w:val="none"/>
              </w:rPr>
            </w:pPr>
            <w:r>
              <w:rPr>
                <w:rFonts w:hint="eastAsia" w:ascii="宋体" w:hAnsi="宋体" w:cs="宋体"/>
                <w:color w:val="auto"/>
                <w:szCs w:val="21"/>
                <w:highlight w:val="none"/>
                <w:u w:val="single"/>
              </w:rPr>
              <w:t xml:space="preserve"> 9</w:t>
            </w:r>
            <w:r>
              <w:rPr>
                <w:rFonts w:hint="eastAsia" w:ascii="宋体" w:hAnsi="宋体" w:cs="宋体"/>
                <w:color w:val="auto"/>
                <w:szCs w:val="21"/>
                <w:highlight w:val="none"/>
              </w:rPr>
              <w:t>万元人民币，缴纳时间在</w:t>
            </w:r>
            <w:r>
              <w:rPr>
                <w:rFonts w:hint="eastAsia" w:ascii="宋体" w:hAnsi="宋体" w:cs="宋体"/>
                <w:color w:val="auto"/>
                <w:szCs w:val="21"/>
                <w:highlight w:val="none"/>
                <w:u w:val="single"/>
              </w:rPr>
              <w:t xml:space="preserve"> 递交投标文件截止时间 </w:t>
            </w:r>
            <w:r>
              <w:rPr>
                <w:rFonts w:hint="eastAsia" w:ascii="宋体" w:hAnsi="宋体" w:cs="宋体"/>
                <w:color w:val="auto"/>
                <w:szCs w:val="21"/>
                <w:highlight w:val="none"/>
              </w:rPr>
              <w:t>之前。</w:t>
            </w:r>
          </w:p>
          <w:p>
            <w:pPr>
              <w:pStyle w:val="7"/>
              <w:topLinePunct/>
              <w:spacing w:after="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投标保证金可采用现金、支票、投标保函、投标保证保险的形式，须在递交投标文件截止时间前完成缴纳。</w:t>
            </w:r>
          </w:p>
          <w:p>
            <w:pPr>
              <w:pStyle w:val="7"/>
              <w:topLinePunct/>
              <w:spacing w:after="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7"/>
              <w:topLinePunct/>
              <w:spacing w:after="0"/>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收款单位：广州交易集团有限公司</w:t>
            </w:r>
          </w:p>
          <w:p>
            <w:pPr>
              <w:pStyle w:val="7"/>
              <w:topLinePunct/>
              <w:spacing w:after="0"/>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银行账号：44001583404059333333</w:t>
            </w:r>
          </w:p>
          <w:p>
            <w:pPr>
              <w:pStyle w:val="7"/>
              <w:topLinePunct/>
              <w:spacing w:after="0"/>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开户银行：中国建设银行天润路支行</w:t>
            </w:r>
          </w:p>
          <w:p>
            <w:pPr>
              <w:pStyle w:val="7"/>
              <w:topLinePunct/>
              <w:spacing w:after="0"/>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联系电话：020-28866000</w:t>
            </w:r>
          </w:p>
          <w:p>
            <w:pPr>
              <w:pStyle w:val="7"/>
              <w:numPr>
                <w:ilvl w:val="0"/>
                <w:numId w:val="3"/>
              </w:numPr>
              <w:topLinePunct/>
              <w:spacing w:after="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如采用投标保函或投标保证保险的形式提交的，在开标前不得强制要求投标人提交纸质原件，由中标候选人在中标候选人公示前提交并在网上公示，但投标人应在投标文件中提交投标保函或投标保证保险扫描件并加盖投标人电子印章。</w:t>
            </w:r>
          </w:p>
          <w:p>
            <w:pPr>
              <w:pStyle w:val="7"/>
              <w:numPr>
                <w:ilvl w:val="0"/>
                <w:numId w:val="3"/>
              </w:numPr>
              <w:topLinePunct/>
              <w:spacing w:after="0"/>
              <w:jc w:val="left"/>
              <w:rPr>
                <w:rFonts w:ascii="宋体" w:hAnsi="宋体" w:eastAsia="宋体" w:cs="宋体"/>
                <w:color w:val="auto"/>
                <w:highlight w:val="none"/>
                <w:shd w:val="clear" w:color="auto" w:fill="FFFFFF"/>
                <w:lang w:eastAsia="zh-Hans"/>
              </w:rPr>
            </w:pPr>
            <w:r>
              <w:rPr>
                <w:rFonts w:hint="eastAsia" w:ascii="宋体" w:hAnsi="宋体" w:cs="宋体"/>
                <w:color w:val="auto"/>
                <w:spacing w:val="-2"/>
                <w:sz w:val="21"/>
                <w:szCs w:val="21"/>
                <w:highlight w:val="none"/>
                <w:u w:val="single"/>
              </w:rPr>
              <w:t>如采用非现金电子化形式递交投标保证金，按广州公共资源交易中心发布的《广州公共资源交易中心关于开通电子保函服务功能的通知》操作。详见：http://ggzy.gz.gov.cn/zxgg/822128.jhtml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招标文件 第一章投标须知</w:t>
            </w:r>
          </w:p>
          <w:p>
            <w:pPr>
              <w:pStyle w:val="10"/>
              <w:widowControl/>
              <w:numPr>
                <w:ilvl w:val="0"/>
                <w:numId w:val="4"/>
              </w:numPr>
              <w:shd w:val="clear" w:color="auto" w:fill="FFFFFF"/>
              <w:spacing w:beforeAutospacing="0" w:afterAutospacing="0" w:line="276" w:lineRule="auto"/>
              <w:contextualSpacing/>
              <w:jc w:val="both"/>
              <w:rPr>
                <w:rFonts w:hint="eastAsia"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投标须知修改表</w:t>
            </w:r>
          </w:p>
          <w:p>
            <w:pPr>
              <w:pStyle w:val="10"/>
              <w:widowControl/>
              <w:numPr>
                <w:ilvl w:val="0"/>
                <w:numId w:val="0"/>
              </w:numPr>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条款号：11.2.2</w:t>
            </w:r>
            <w:r>
              <w:rPr>
                <w:rFonts w:ascii="宋体" w:hAnsi="宋体" w:eastAsia="宋体" w:cs="宋体"/>
                <w:color w:val="auto"/>
                <w:highlight w:val="none"/>
                <w:shd w:val="clear" w:color="auto" w:fill="FFFFFF"/>
                <w:lang w:eastAsia="zh-Hans"/>
              </w:rPr>
              <w:t xml:space="preserve"> </w:t>
            </w:r>
            <w:r>
              <w:rPr>
                <w:rFonts w:hint="eastAsia" w:ascii="宋体" w:hAnsi="宋体" w:eastAsia="宋体" w:cs="宋体"/>
                <w:color w:val="auto"/>
                <w:highlight w:val="none"/>
                <w:shd w:val="clear" w:color="auto" w:fill="FFFFFF"/>
                <w:lang w:eastAsia="zh-Hans"/>
              </w:rPr>
              <w:t>现文</w:t>
            </w:r>
          </w:p>
        </w:tc>
        <w:tc>
          <w:tcPr>
            <w:tcW w:w="1860" w:type="pct"/>
            <w:shd w:val="clear" w:color="auto" w:fill="FFFFFF"/>
            <w:tcMar>
              <w:left w:w="108" w:type="dxa"/>
              <w:right w:w="108" w:type="dxa"/>
            </w:tcMar>
            <w:vAlign w:val="center"/>
          </w:tcPr>
          <w:p>
            <w:pPr>
              <w:pStyle w:val="10"/>
              <w:widowControl/>
              <w:shd w:val="clear" w:color="auto" w:fill="FFFFFF"/>
              <w:spacing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原文详见原招标文件</w:t>
            </w:r>
          </w:p>
        </w:tc>
        <w:tc>
          <w:tcPr>
            <w:tcW w:w="1878" w:type="pct"/>
            <w:shd w:val="clear" w:color="auto" w:fill="FFFFFF"/>
            <w:tcMar>
              <w:left w:w="108" w:type="dxa"/>
              <w:right w:w="108" w:type="dxa"/>
            </w:tcMar>
            <w:vAlign w:val="center"/>
          </w:tcPr>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 xml:space="preserve">11.2.2 </w:t>
            </w:r>
            <w:r>
              <w:rPr>
                <w:rFonts w:hint="eastAsia" w:ascii="宋体" w:hAnsi="宋体" w:cs="宋体"/>
                <w:bCs/>
                <w:color w:val="auto"/>
                <w:szCs w:val="21"/>
                <w:highlight w:val="none"/>
              </w:rPr>
              <w:t>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企业营业执照（取自</w:t>
            </w:r>
            <w:r>
              <w:rPr>
                <w:rFonts w:hint="eastAsia" w:ascii="宋体" w:hAnsi="宋体" w:cs="宋体"/>
                <w:bCs/>
                <w:color w:val="auto"/>
                <w:szCs w:val="21"/>
                <w:highlight w:val="none"/>
                <w:u w:val="single"/>
              </w:rPr>
              <w:t>平台</w:t>
            </w:r>
            <w:r>
              <w:rPr>
                <w:rFonts w:hint="eastAsia" w:ascii="宋体" w:hAnsi="宋体" w:cs="宋体"/>
                <w:bCs/>
                <w:color w:val="auto"/>
                <w:szCs w:val="21"/>
                <w:highlight w:val="none"/>
              </w:rPr>
              <w:t>内上传件）</w:t>
            </w:r>
            <w:r>
              <w:rPr>
                <w:rFonts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4）企业资质证书（取自</w:t>
            </w:r>
            <w:r>
              <w:rPr>
                <w:rFonts w:hint="eastAsia" w:ascii="宋体" w:hAnsi="宋体" w:cs="宋体"/>
                <w:bCs/>
                <w:color w:val="auto"/>
                <w:szCs w:val="21"/>
                <w:highlight w:val="none"/>
                <w:u w:val="single"/>
              </w:rPr>
              <w:t>平台</w:t>
            </w:r>
            <w:r>
              <w:rPr>
                <w:rFonts w:ascii="宋体" w:hAnsi="宋体" w:cs="宋体"/>
                <w:bCs/>
                <w:color w:val="auto"/>
                <w:szCs w:val="21"/>
                <w:highlight w:val="none"/>
              </w:rPr>
              <w:t>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5）建筑施工企业安全生产许可证（取自</w:t>
            </w:r>
            <w:r>
              <w:rPr>
                <w:rFonts w:hint="eastAsia" w:ascii="宋体" w:hAnsi="宋体" w:cs="宋体"/>
                <w:bCs/>
                <w:color w:val="auto"/>
                <w:szCs w:val="21"/>
                <w:highlight w:val="none"/>
                <w:u w:val="single"/>
              </w:rPr>
              <w:t>平台</w:t>
            </w:r>
            <w:r>
              <w:rPr>
                <w:rFonts w:ascii="宋体" w:hAnsi="宋体" w:cs="宋体"/>
                <w:bCs/>
                <w:color w:val="auto"/>
                <w:szCs w:val="21"/>
                <w:highlight w:val="none"/>
              </w:rPr>
              <w:t>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8）</w:t>
            </w:r>
            <w:r>
              <w:rPr>
                <w:rFonts w:hint="eastAsia" w:ascii="宋体" w:hAnsi="宋体" w:cs="宋体"/>
                <w:bCs/>
                <w:color w:val="auto"/>
                <w:szCs w:val="21"/>
                <w:highlight w:val="none"/>
                <w:u w:val="single"/>
              </w:rPr>
              <w:t>拟委派项目负责人的建造师注册证书（取自平台内上传件）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w:t>
            </w:r>
            <w:r>
              <w:rPr>
                <w:rFonts w:ascii="宋体" w:hAnsi="宋体" w:cs="宋体"/>
                <w:bCs/>
                <w:color w:val="auto"/>
                <w:szCs w:val="21"/>
                <w:highlight w:val="none"/>
              </w:rPr>
              <w:t>）</w:t>
            </w:r>
            <w:r>
              <w:rPr>
                <w:rFonts w:hint="eastAsia" w:ascii="宋体" w:hAnsi="宋体" w:cs="宋体"/>
                <w:bCs/>
                <w:color w:val="auto"/>
                <w:szCs w:val="21"/>
                <w:highlight w:val="none"/>
              </w:rPr>
              <w:t>项目负责人安全培训考核合格证明或在有效期内的安全考核合格证书（B类）</w:t>
            </w:r>
            <w:r>
              <w:rPr>
                <w:rFonts w:hint="eastAsia" w:ascii="宋体" w:hAnsi="宋体" w:cs="宋体"/>
                <w:bCs/>
                <w:color w:val="auto"/>
                <w:szCs w:val="21"/>
                <w:highlight w:val="none"/>
                <w:u w:val="single"/>
              </w:rPr>
              <w:t>或建筑施工企业项目负责人安全生产考核合格证书（取自平台内上传件）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0</w:t>
            </w:r>
            <w:r>
              <w:rPr>
                <w:rFonts w:ascii="宋体" w:hAnsi="宋体" w:cs="宋体"/>
                <w:bCs/>
                <w:color w:val="auto"/>
                <w:szCs w:val="21"/>
                <w:highlight w:val="none"/>
              </w:rPr>
              <w:t>）</w:t>
            </w:r>
            <w:r>
              <w:rPr>
                <w:rFonts w:hint="eastAsia" w:ascii="宋体" w:hAnsi="宋体" w:cs="宋体"/>
                <w:bCs/>
                <w:color w:val="auto"/>
                <w:szCs w:val="21"/>
                <w:highlight w:val="none"/>
                <w:u w:val="single"/>
              </w:rPr>
              <w:t>专职安全员须具有在有效期内的安全生产考核合格证（C类）或建筑施工企业专职安全生产管理人员安全生产考核合格证书（C3类）（取自平台内上传件）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u w:val="single"/>
              </w:rPr>
              <w:t>（11</w:t>
            </w:r>
            <w:r>
              <w:rPr>
                <w:rFonts w:ascii="宋体" w:hAnsi="宋体" w:cs="宋体"/>
                <w:bCs/>
                <w:color w:val="auto"/>
                <w:szCs w:val="21"/>
                <w:highlight w:val="none"/>
                <w:u w:val="single"/>
              </w:rPr>
              <w:t>）</w:t>
            </w:r>
            <w:r>
              <w:rPr>
                <w:rFonts w:hint="eastAsia" w:ascii="宋体" w:hAnsi="宋体" w:cs="宋体"/>
                <w:bCs/>
                <w:color w:val="auto"/>
                <w:szCs w:val="21"/>
                <w:highlight w:val="none"/>
              </w:rPr>
              <w:t>资格审查前，投标人须在广州市住房和城乡建设局建立企业</w:t>
            </w:r>
            <w:r>
              <w:rPr>
                <w:rFonts w:hint="eastAsia" w:ascii="宋体" w:hAnsi="宋体" w:cs="宋体"/>
                <w:bCs/>
                <w:color w:val="auto"/>
                <w:szCs w:val="21"/>
                <w:highlight w:val="none"/>
                <w:u w:val="single"/>
              </w:rPr>
              <w:t>信用档案</w:t>
            </w:r>
            <w:r>
              <w:rPr>
                <w:rFonts w:hint="eastAsia" w:ascii="宋体" w:hAnsi="宋体" w:cs="宋体"/>
                <w:bCs/>
                <w:color w:val="auto"/>
                <w:szCs w:val="21"/>
                <w:highlight w:val="none"/>
              </w:rPr>
              <w:t>，拟担任本工程项目负责人</w:t>
            </w:r>
            <w:r>
              <w:rPr>
                <w:rFonts w:hint="eastAsia" w:ascii="宋体" w:hAnsi="宋体" w:cs="宋体"/>
                <w:bCs/>
                <w:color w:val="auto"/>
                <w:szCs w:val="21"/>
                <w:highlight w:val="none"/>
                <w:u w:val="single"/>
              </w:rPr>
              <w:t>、专职安全员</w:t>
            </w:r>
            <w:r>
              <w:rPr>
                <w:rFonts w:hint="eastAsia" w:ascii="宋体" w:hAnsi="宋体" w:cs="宋体"/>
                <w:bCs/>
                <w:color w:val="auto"/>
                <w:szCs w:val="21"/>
                <w:highlight w:val="none"/>
              </w:rPr>
              <w:t>须是本企业</w:t>
            </w:r>
            <w:r>
              <w:rPr>
                <w:rFonts w:hint="eastAsia" w:ascii="宋体" w:hAnsi="宋体" w:cs="宋体"/>
                <w:bCs/>
                <w:color w:val="auto"/>
                <w:szCs w:val="21"/>
                <w:highlight w:val="none"/>
                <w:u w:val="single"/>
              </w:rPr>
              <w:t>信用档案</w:t>
            </w:r>
            <w:r>
              <w:rPr>
                <w:rFonts w:hint="eastAsia" w:ascii="宋体" w:hAnsi="宋体" w:cs="宋体"/>
                <w:bCs/>
                <w:color w:val="auto"/>
                <w:szCs w:val="21"/>
                <w:highlight w:val="none"/>
              </w:rPr>
              <w:t>中的在册人员。</w:t>
            </w:r>
          </w:p>
          <w:p>
            <w:pPr>
              <w:spacing w:line="360" w:lineRule="auto"/>
              <w:ind w:firstLine="470" w:firstLineChars="224"/>
              <w:rPr>
                <w:rFonts w:ascii="宋体" w:hAnsi="宋体" w:eastAsia="宋体" w:cs="宋体"/>
                <w:color w:val="auto"/>
                <w:highlight w:val="none"/>
                <w:shd w:val="clear" w:color="auto" w:fill="FFFFFF"/>
                <w:lang w:eastAsia="zh-Hans"/>
              </w:rPr>
            </w:pPr>
            <w:r>
              <w:rPr>
                <w:rFonts w:hint="eastAsia" w:ascii="宋体" w:hAnsi="宋体" w:cs="宋体"/>
                <w:bCs/>
                <w:color w:val="auto"/>
                <w:szCs w:val="21"/>
                <w:highlight w:val="none"/>
                <w:u w:val="single"/>
              </w:rPr>
              <w:t>（12</w:t>
            </w:r>
            <w:r>
              <w:rPr>
                <w:rFonts w:ascii="宋体" w:hAnsi="宋体" w:cs="宋体"/>
                <w:bCs/>
                <w:color w:val="auto"/>
                <w:szCs w:val="21"/>
                <w:highlight w:val="none"/>
                <w:u w:val="single"/>
              </w:rPr>
              <w:t>）</w:t>
            </w:r>
            <w:r>
              <w:rPr>
                <w:rFonts w:hint="eastAsia" w:ascii="宋体" w:hAnsi="宋体" w:cs="宋体"/>
                <w:color w:val="auto"/>
                <w:szCs w:val="21"/>
                <w:highlight w:val="none"/>
              </w:rPr>
              <w:t>关于联合体投标：</w:t>
            </w:r>
            <w:r>
              <w:rPr>
                <w:rFonts w:hint="eastAsia" w:ascii="宋体" w:hAnsi="宋体" w:cs="宋体"/>
                <w:color w:val="auto"/>
                <w:szCs w:val="21"/>
                <w:highlight w:val="none"/>
                <w:u w:val="single"/>
              </w:rPr>
              <w:t>本项目不接受联合体投标</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招标文件 第一章投标须知</w:t>
            </w:r>
          </w:p>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二、投标须知修改表</w:t>
            </w:r>
          </w:p>
          <w:p>
            <w:pPr>
              <w:pStyle w:val="10"/>
              <w:widowControl/>
              <w:shd w:val="clear" w:color="auto" w:fill="FFFFFF"/>
              <w:spacing w:beforeAutospacing="0" w:afterAutospacing="0" w:line="276" w:lineRule="auto"/>
              <w:contextualSpacing/>
              <w:jc w:val="both"/>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eastAsia="zh-Hans"/>
              </w:rPr>
              <w:t>条款号：</w:t>
            </w:r>
            <w:r>
              <w:rPr>
                <w:rFonts w:ascii="宋体" w:hAnsi="宋体" w:eastAsia="宋体" w:cs="宋体"/>
                <w:color w:val="auto"/>
                <w:highlight w:val="none"/>
                <w:shd w:val="clear" w:color="auto" w:fill="FFFFFF"/>
                <w:lang w:eastAsia="zh-Hans"/>
              </w:rPr>
              <w:t>33</w:t>
            </w:r>
            <w:r>
              <w:rPr>
                <w:rFonts w:hint="eastAsia" w:ascii="宋体" w:hAnsi="宋体" w:eastAsia="宋体" w:cs="宋体"/>
                <w:color w:val="auto"/>
                <w:highlight w:val="none"/>
                <w:shd w:val="clear" w:color="auto" w:fill="FFFFFF"/>
                <w:lang w:val="en-US" w:eastAsia="zh-CN"/>
              </w:rPr>
              <w:t xml:space="preserve">    </w:t>
            </w:r>
          </w:p>
        </w:tc>
        <w:tc>
          <w:tcPr>
            <w:tcW w:w="1860"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ascii="宋体" w:hAnsi="宋体" w:eastAsia="宋体" w:cs="宋体"/>
                <w:color w:val="auto"/>
                <w:highlight w:val="none"/>
                <w:shd w:val="clear" w:color="auto" w:fill="FFFFFF"/>
                <w:lang w:eastAsia="zh-Hans"/>
              </w:rPr>
            </w:pPr>
            <w:r>
              <w:rPr>
                <w:rFonts w:ascii="宋体" w:hAnsi="宋体" w:eastAsia="宋体" w:cs="宋体"/>
                <w:color w:val="auto"/>
                <w:highlight w:val="none"/>
                <w:shd w:val="clear" w:color="auto" w:fill="FFFFFF"/>
                <w:lang w:eastAsia="zh-Hans"/>
              </w:rPr>
              <w:t>/</w:t>
            </w:r>
          </w:p>
        </w:tc>
        <w:tc>
          <w:tcPr>
            <w:tcW w:w="1878"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ascii="宋体" w:hAnsi="宋体" w:eastAsia="宋体" w:cs="宋体"/>
                <w:b/>
                <w:bCs/>
                <w:color w:val="auto"/>
                <w:highlight w:val="none"/>
                <w:u w:val="single"/>
                <w:shd w:val="clear" w:color="auto" w:fill="FFFFFF"/>
                <w:lang w:eastAsia="zh-Hans"/>
              </w:rPr>
            </w:pPr>
            <w:r>
              <w:rPr>
                <w:rFonts w:hint="eastAsia" w:ascii="宋体" w:hAnsi="宋体" w:eastAsia="宋体" w:cs="宋体"/>
                <w:b/>
                <w:bCs/>
                <w:color w:val="auto"/>
                <w:highlight w:val="none"/>
                <w:u w:val="single"/>
                <w:shd w:val="clear" w:color="auto" w:fill="FFFFFF"/>
                <w:lang w:eastAsia="zh-Hans"/>
              </w:rPr>
              <w:t>条款号：33.         修改类型：删除</w:t>
            </w:r>
          </w:p>
          <w:p>
            <w:pPr>
              <w:pStyle w:val="10"/>
              <w:widowControl/>
              <w:shd w:val="clear" w:color="auto" w:fill="FFFFFF"/>
              <w:spacing w:before="100" w:after="100" w:line="276" w:lineRule="auto"/>
              <w:contextualSpacing/>
              <w:jc w:val="both"/>
              <w:rPr>
                <w:rFonts w:ascii="宋体" w:hAnsi="宋体" w:eastAsia="宋体" w:cs="宋体"/>
                <w:b/>
                <w:bCs/>
                <w:color w:val="auto"/>
                <w:highlight w:val="none"/>
                <w:u w:val="single"/>
                <w:shd w:val="clear" w:color="auto" w:fill="FFFFFF"/>
                <w:lang w:eastAsia="zh-Hans"/>
              </w:rPr>
            </w:pPr>
            <w:r>
              <w:rPr>
                <w:rFonts w:hint="eastAsia" w:ascii="宋体" w:hAnsi="宋体" w:eastAsia="宋体" w:cs="宋体"/>
                <w:b/>
                <w:bCs/>
                <w:color w:val="auto"/>
                <w:highlight w:val="none"/>
                <w:u w:val="single"/>
                <w:shd w:val="clear" w:color="auto" w:fill="FFFFFF"/>
                <w:lang w:eastAsia="zh-Hans"/>
              </w:rPr>
              <w:t>原文：33.投标人信誉的要求</w:t>
            </w:r>
          </w:p>
          <w:p>
            <w:pPr>
              <w:pStyle w:val="10"/>
              <w:widowControl/>
              <w:shd w:val="clear" w:color="auto" w:fill="FFFFFF"/>
              <w:spacing w:before="100" w:after="100" w:line="276" w:lineRule="auto"/>
              <w:contextualSpacing/>
              <w:jc w:val="both"/>
              <w:rPr>
                <w:rFonts w:ascii="宋体" w:hAnsi="宋体" w:eastAsia="宋体" w:cs="宋体"/>
                <w:b/>
                <w:bCs/>
                <w:color w:val="auto"/>
                <w:highlight w:val="none"/>
                <w:u w:val="single"/>
                <w:shd w:val="clear" w:color="auto" w:fill="FFFFFF"/>
                <w:lang w:eastAsia="zh-Hans"/>
              </w:rPr>
            </w:pPr>
            <w:r>
              <w:rPr>
                <w:rFonts w:hint="eastAsia" w:ascii="宋体" w:hAnsi="宋体" w:eastAsia="宋体" w:cs="宋体"/>
                <w:b/>
                <w:bCs/>
                <w:color w:val="auto"/>
                <w:highlight w:val="none"/>
                <w:u w:val="single"/>
                <w:shd w:val="clear" w:color="auto" w:fill="FFFFFF"/>
                <w:lang w:eastAsia="zh-Hans"/>
              </w:rPr>
              <w:t>存在下列情形之一的，招标人可以限制其投标（需在招标文件中明确评定方法）</w:t>
            </w:r>
          </w:p>
          <w:p>
            <w:pPr>
              <w:pStyle w:val="10"/>
              <w:widowControl/>
              <w:shd w:val="clear" w:color="auto" w:fill="FFFFFF"/>
              <w:spacing w:before="100" w:after="100" w:line="276" w:lineRule="auto"/>
              <w:contextualSpacing/>
              <w:jc w:val="both"/>
              <w:rPr>
                <w:rFonts w:ascii="宋体" w:hAnsi="宋体" w:eastAsia="宋体" w:cs="宋体"/>
                <w:b/>
                <w:bCs/>
                <w:color w:val="auto"/>
                <w:highlight w:val="none"/>
                <w:u w:val="single"/>
                <w:shd w:val="clear" w:color="auto" w:fill="FFFFFF"/>
                <w:lang w:eastAsia="zh-Hans"/>
              </w:rPr>
            </w:pPr>
            <w:r>
              <w:rPr>
                <w:rFonts w:hint="eastAsia" w:ascii="宋体" w:hAnsi="宋体" w:eastAsia="宋体" w:cs="宋体"/>
                <w:b/>
                <w:bCs/>
                <w:color w:val="auto"/>
                <w:highlight w:val="none"/>
                <w:u w:val="single"/>
                <w:shd w:val="clear" w:color="auto" w:fill="FFFFFF"/>
                <w:lang w:eastAsia="zh-Hans"/>
              </w:rPr>
              <w:t>（1）被住房城乡建设行政主管部门在全国建筑市场监管一体化工作平台列入建筑市场主体“黑名单”；</w:t>
            </w:r>
          </w:p>
          <w:p>
            <w:pPr>
              <w:pStyle w:val="10"/>
              <w:widowControl/>
              <w:shd w:val="clear" w:color="auto" w:fill="FFFFFF"/>
              <w:spacing w:before="100" w:after="10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b/>
                <w:bCs/>
                <w:color w:val="auto"/>
                <w:highlight w:val="none"/>
                <w:u w:val="single"/>
                <w:shd w:val="clear" w:color="auto" w:fill="FFFFFF"/>
                <w:lang w:eastAsia="zh-Hans"/>
              </w:rPr>
              <w:t>（2）被发改委、人力资源社会保障、质检总局等有关部门、单位在“信用中国”网站中列入联合惩戒失信黑名单。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第二章 开标、评标及定标办法</w:t>
            </w:r>
          </w:p>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附表一《资格审查表》</w:t>
            </w:r>
          </w:p>
        </w:tc>
        <w:tc>
          <w:tcPr>
            <w:tcW w:w="1860"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原文详见原招标文件</w:t>
            </w:r>
          </w:p>
        </w:tc>
        <w:tc>
          <w:tcPr>
            <w:tcW w:w="1878"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hint="eastAsia" w:ascii="宋体" w:hAnsi="宋体" w:eastAsia="宋体" w:cs="宋体"/>
                <w:b/>
                <w:bCs/>
                <w:color w:val="auto"/>
                <w:highlight w:val="none"/>
                <w:u w:val="single"/>
                <w:shd w:val="clear" w:color="auto" w:fill="FFFFFF"/>
                <w:lang w:eastAsia="zh-CN"/>
              </w:rPr>
            </w:pPr>
            <w:r>
              <w:rPr>
                <w:rFonts w:hint="eastAsia" w:ascii="宋体" w:hAnsi="宋体" w:eastAsia="宋体" w:cs="宋体"/>
                <w:b/>
                <w:bCs/>
                <w:color w:val="auto"/>
                <w:highlight w:val="none"/>
                <w:u w:val="single"/>
                <w:shd w:val="clear" w:color="auto" w:fill="FFFFFF"/>
                <w:lang w:eastAsia="zh-Hans"/>
              </w:rPr>
              <w:t>详见本补充公告附件</w:t>
            </w:r>
            <w:r>
              <w:rPr>
                <w:rFonts w:hint="eastAsia" w:ascii="宋体" w:hAnsi="宋体" w:eastAsia="宋体" w:cs="宋体"/>
                <w:b/>
                <w:bCs/>
                <w:color w:val="auto"/>
                <w:highlight w:val="none"/>
                <w:u w:val="single"/>
                <w:shd w:val="clear" w:color="auto" w:fill="FFFFFF"/>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第二章 开标、评标及定标办法</w:t>
            </w:r>
          </w:p>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附表二《技术标有效性审查表》</w:t>
            </w:r>
          </w:p>
        </w:tc>
        <w:tc>
          <w:tcPr>
            <w:tcW w:w="1860" w:type="pct"/>
            <w:shd w:val="clear" w:color="auto" w:fill="FFFFFF"/>
            <w:tcMar>
              <w:left w:w="108" w:type="dxa"/>
              <w:right w:w="108" w:type="dxa"/>
            </w:tcMar>
            <w:vAlign w:val="center"/>
          </w:tcPr>
          <w:p>
            <w:pPr>
              <w:widowControl/>
              <w:shd w:val="clear" w:color="auto" w:fill="FFFFFF"/>
              <w:spacing w:before="100" w:after="100" w:line="276" w:lineRule="auto"/>
              <w:contextualSpacing/>
              <w:jc w:val="both"/>
              <w:rPr>
                <w:rFonts w:hint="eastAsia" w:ascii="宋体" w:hAnsi="宋体" w:eastAsia="宋体" w:cs="宋体"/>
                <w:color w:val="auto"/>
                <w:kern w:val="0"/>
                <w:sz w:val="24"/>
                <w:szCs w:val="24"/>
                <w:highlight w:val="none"/>
                <w:shd w:val="clear" w:color="auto" w:fill="FFFFFF"/>
                <w:lang w:val="en-US" w:eastAsia="zh-Hans" w:bidi="ar-SA"/>
              </w:rPr>
            </w:pPr>
            <w:r>
              <w:rPr>
                <w:rFonts w:hint="eastAsia" w:ascii="宋体" w:hAnsi="宋体" w:eastAsia="宋体" w:cs="宋体"/>
                <w:color w:val="auto"/>
                <w:kern w:val="0"/>
                <w:sz w:val="24"/>
                <w:szCs w:val="24"/>
                <w:highlight w:val="none"/>
                <w:shd w:val="clear" w:color="auto" w:fill="FFFFFF"/>
                <w:lang w:val="en-US" w:eastAsia="zh-Hans" w:bidi="ar-SA"/>
              </w:rPr>
              <w:t>原文详见原招标文件</w:t>
            </w:r>
          </w:p>
        </w:tc>
        <w:tc>
          <w:tcPr>
            <w:tcW w:w="1878"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hint="eastAsia" w:ascii="宋体" w:hAnsi="宋体" w:eastAsia="宋体" w:cs="宋体"/>
                <w:color w:val="auto"/>
                <w:highlight w:val="none"/>
                <w:shd w:val="clear" w:color="auto" w:fill="FFFFFF"/>
                <w:lang w:eastAsia="zh-CN"/>
              </w:rPr>
            </w:pPr>
            <w:r>
              <w:rPr>
                <w:rFonts w:hint="eastAsia" w:ascii="宋体" w:hAnsi="宋体" w:eastAsia="宋体" w:cs="宋体"/>
                <w:b/>
                <w:bCs/>
                <w:color w:val="auto"/>
                <w:highlight w:val="none"/>
                <w:u w:val="single"/>
                <w:shd w:val="clear" w:color="auto" w:fill="FFFFFF"/>
                <w:lang w:eastAsia="zh-Hans"/>
              </w:rPr>
              <w:t>详见本补充公告附件</w:t>
            </w:r>
            <w:r>
              <w:rPr>
                <w:rFonts w:hint="eastAsia" w:ascii="宋体" w:hAnsi="宋体" w:eastAsia="宋体" w:cs="宋体"/>
                <w:b/>
                <w:bCs/>
                <w:color w:val="auto"/>
                <w:highlight w:val="none"/>
                <w:u w:val="single"/>
                <w:shd w:val="clear" w:color="auto" w:fill="FFFFFF"/>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第二章 开标、评标及定标办法</w:t>
            </w:r>
          </w:p>
          <w:p>
            <w:pPr>
              <w:pStyle w:val="10"/>
              <w:widowControl/>
              <w:shd w:val="clear" w:color="auto" w:fill="FFFFFF"/>
              <w:spacing w:beforeAutospacing="0" w:afterAutospacing="0" w:line="276" w:lineRule="auto"/>
              <w:contextualSpacing/>
              <w:jc w:val="both"/>
              <w:rPr>
                <w:rFonts w:hint="eastAsia"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附表</w:t>
            </w:r>
            <w:r>
              <w:rPr>
                <w:rFonts w:hint="eastAsia" w:ascii="宋体" w:hAnsi="宋体" w:eastAsia="宋体" w:cs="宋体"/>
                <w:color w:val="auto"/>
                <w:highlight w:val="none"/>
                <w:shd w:val="clear" w:color="auto" w:fill="FFFFFF"/>
                <w:lang w:val="en-US" w:eastAsia="zh-CN"/>
              </w:rPr>
              <w:t>三</w:t>
            </w:r>
            <w:r>
              <w:rPr>
                <w:rFonts w:hint="eastAsia" w:ascii="宋体" w:hAnsi="宋体" w:eastAsia="宋体" w:cs="宋体"/>
                <w:color w:val="auto"/>
                <w:highlight w:val="none"/>
                <w:shd w:val="clear" w:color="auto" w:fill="FFFFFF"/>
                <w:lang w:eastAsia="zh-Hans"/>
              </w:rPr>
              <w:t>《经济标有效性审查表》</w:t>
            </w:r>
          </w:p>
        </w:tc>
        <w:tc>
          <w:tcPr>
            <w:tcW w:w="1860" w:type="pct"/>
            <w:shd w:val="clear" w:color="auto" w:fill="FFFFFF"/>
            <w:tcMar>
              <w:left w:w="108" w:type="dxa"/>
              <w:right w:w="108" w:type="dxa"/>
            </w:tcMar>
            <w:vAlign w:val="center"/>
          </w:tcPr>
          <w:p>
            <w:pPr>
              <w:widowControl/>
              <w:shd w:val="clear" w:color="auto" w:fill="FFFFFF"/>
              <w:spacing w:before="100" w:after="100" w:line="276" w:lineRule="auto"/>
              <w:contextualSpacing/>
              <w:jc w:val="both"/>
              <w:rPr>
                <w:rFonts w:hint="eastAsia" w:ascii="宋体" w:hAnsi="宋体" w:eastAsia="宋体" w:cs="宋体"/>
                <w:color w:val="auto"/>
                <w:kern w:val="0"/>
                <w:sz w:val="24"/>
                <w:szCs w:val="24"/>
                <w:highlight w:val="none"/>
                <w:shd w:val="clear" w:color="auto" w:fill="FFFFFF"/>
                <w:lang w:val="en-US" w:eastAsia="zh-Hans" w:bidi="ar-SA"/>
              </w:rPr>
            </w:pPr>
            <w:r>
              <w:rPr>
                <w:rFonts w:hint="eastAsia" w:ascii="宋体" w:hAnsi="宋体" w:eastAsia="宋体" w:cs="宋体"/>
                <w:color w:val="auto"/>
                <w:kern w:val="0"/>
                <w:sz w:val="24"/>
                <w:szCs w:val="24"/>
                <w:highlight w:val="none"/>
                <w:shd w:val="clear" w:color="auto" w:fill="FFFFFF"/>
                <w:lang w:val="en-US" w:eastAsia="zh-Hans" w:bidi="ar-SA"/>
              </w:rPr>
              <w:t>原文详见原招标文件</w:t>
            </w:r>
          </w:p>
        </w:tc>
        <w:tc>
          <w:tcPr>
            <w:tcW w:w="1878"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hint="eastAsia" w:ascii="宋体" w:hAnsi="宋体" w:eastAsia="宋体" w:cs="宋体"/>
                <w:b/>
                <w:bCs/>
                <w:color w:val="auto"/>
                <w:highlight w:val="none"/>
                <w:u w:val="single"/>
                <w:shd w:val="clear" w:color="auto" w:fill="FFFFFF"/>
                <w:lang w:val="en-US" w:eastAsia="zh-CN"/>
              </w:rPr>
            </w:pPr>
            <w:r>
              <w:rPr>
                <w:rFonts w:hint="eastAsia" w:ascii="宋体" w:hAnsi="宋体" w:eastAsia="宋体" w:cs="宋体"/>
                <w:b/>
                <w:bCs/>
                <w:color w:val="auto"/>
                <w:highlight w:val="none"/>
                <w:u w:val="single"/>
                <w:shd w:val="clear" w:color="auto" w:fill="FFFFFF"/>
                <w:lang w:eastAsia="zh-Hans"/>
              </w:rPr>
              <w:t>详见本补充公告附件</w:t>
            </w:r>
            <w:r>
              <w:rPr>
                <w:rFonts w:hint="eastAsia" w:ascii="宋体" w:hAnsi="宋体" w:eastAsia="宋体" w:cs="宋体"/>
                <w:b/>
                <w:bCs/>
                <w:color w:val="auto"/>
                <w:highlight w:val="none"/>
                <w:u w:val="single"/>
                <w:shd w:val="clear" w:color="auto" w:fill="FFFFFF"/>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第二章 开标、评标及定标办法</w:t>
            </w:r>
          </w:p>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附表四《技术标详细审查评分表》</w:t>
            </w:r>
          </w:p>
        </w:tc>
        <w:tc>
          <w:tcPr>
            <w:tcW w:w="1860" w:type="pct"/>
            <w:shd w:val="clear" w:color="auto" w:fill="FFFFFF"/>
            <w:tcMar>
              <w:left w:w="108" w:type="dxa"/>
              <w:right w:w="108" w:type="dxa"/>
            </w:tcMar>
            <w:vAlign w:val="center"/>
          </w:tcPr>
          <w:p>
            <w:pPr>
              <w:widowControl/>
              <w:shd w:val="clear" w:color="auto" w:fill="FFFFFF"/>
              <w:spacing w:before="100" w:after="100" w:line="276" w:lineRule="auto"/>
              <w:contextualSpacing/>
              <w:jc w:val="both"/>
              <w:rPr>
                <w:rFonts w:hint="eastAsia" w:ascii="宋体" w:hAnsi="宋体" w:eastAsia="宋体" w:cs="宋体"/>
                <w:color w:val="auto"/>
                <w:kern w:val="0"/>
                <w:sz w:val="24"/>
                <w:szCs w:val="24"/>
                <w:highlight w:val="none"/>
                <w:shd w:val="clear" w:color="auto" w:fill="FFFFFF"/>
                <w:lang w:val="en-US" w:eastAsia="zh-Hans" w:bidi="ar-SA"/>
              </w:rPr>
            </w:pPr>
            <w:r>
              <w:rPr>
                <w:rFonts w:hint="eastAsia" w:ascii="宋体" w:hAnsi="宋体" w:eastAsia="宋体" w:cs="宋体"/>
                <w:color w:val="auto"/>
                <w:kern w:val="0"/>
                <w:sz w:val="24"/>
                <w:szCs w:val="24"/>
                <w:highlight w:val="none"/>
                <w:shd w:val="clear" w:color="auto" w:fill="FFFFFF"/>
                <w:lang w:val="en-US" w:eastAsia="zh-Hans" w:bidi="ar-SA"/>
              </w:rPr>
              <w:t>原文详见原招标文件</w:t>
            </w:r>
          </w:p>
        </w:tc>
        <w:tc>
          <w:tcPr>
            <w:tcW w:w="1878"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hint="eastAsia" w:ascii="宋体" w:hAnsi="宋体" w:eastAsia="宋体" w:cs="宋体"/>
                <w:b/>
                <w:bCs/>
                <w:color w:val="auto"/>
                <w:highlight w:val="none"/>
                <w:u w:val="single"/>
                <w:shd w:val="clear" w:color="auto" w:fill="FFFFFF"/>
                <w:lang w:eastAsia="zh-CN"/>
              </w:rPr>
            </w:pPr>
            <w:r>
              <w:rPr>
                <w:rFonts w:hint="eastAsia" w:ascii="宋体" w:hAnsi="宋体" w:eastAsia="宋体" w:cs="宋体"/>
                <w:b/>
                <w:bCs/>
                <w:color w:val="auto"/>
                <w:highlight w:val="none"/>
                <w:u w:val="single"/>
                <w:shd w:val="clear" w:color="auto" w:fill="FFFFFF"/>
                <w:lang w:eastAsia="zh-Hans"/>
              </w:rPr>
              <w:t>详见本补充公告附件</w:t>
            </w:r>
            <w:r>
              <w:rPr>
                <w:rFonts w:hint="eastAsia" w:ascii="宋体" w:hAnsi="宋体" w:eastAsia="宋体" w:cs="宋体"/>
                <w:b/>
                <w:bCs/>
                <w:color w:val="auto"/>
                <w:highlight w:val="none"/>
                <w:u w:val="single"/>
                <w:shd w:val="clear" w:color="auto" w:fill="FFFFFF"/>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第四章  投标文件格式</w:t>
            </w:r>
          </w:p>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一、技术标投标文件格式</w:t>
            </w:r>
          </w:p>
        </w:tc>
        <w:tc>
          <w:tcPr>
            <w:tcW w:w="1860" w:type="pct"/>
            <w:shd w:val="clear" w:color="auto" w:fill="FFFFFF"/>
            <w:tcMar>
              <w:left w:w="108" w:type="dxa"/>
              <w:right w:w="108" w:type="dxa"/>
            </w:tcMar>
            <w:vAlign w:val="center"/>
          </w:tcPr>
          <w:p>
            <w:pPr>
              <w:widowControl/>
              <w:shd w:val="clear" w:color="auto" w:fill="FFFFFF"/>
              <w:spacing w:before="100" w:after="100" w:line="276" w:lineRule="auto"/>
              <w:contextualSpacing/>
              <w:jc w:val="both"/>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Hans" w:bidi="ar-SA"/>
              </w:rPr>
              <w:t>原文详见原招标文件</w:t>
            </w:r>
          </w:p>
        </w:tc>
        <w:tc>
          <w:tcPr>
            <w:tcW w:w="1878"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b/>
                <w:bCs/>
                <w:color w:val="auto"/>
                <w:highlight w:val="none"/>
                <w:u w:val="single"/>
                <w:shd w:val="clear" w:color="auto" w:fill="FFFFFF"/>
                <w:lang w:eastAsia="zh-Hans"/>
              </w:rPr>
              <w:t>详见本补充公告附件</w:t>
            </w:r>
            <w:r>
              <w:rPr>
                <w:rFonts w:hint="eastAsia" w:ascii="宋体" w:hAnsi="宋体" w:eastAsia="宋体" w:cs="宋体"/>
                <w:b/>
                <w:bCs/>
                <w:color w:val="auto"/>
                <w:highlight w:val="none"/>
                <w:u w:val="single"/>
                <w:shd w:val="clear" w:color="auto" w:fill="FFFFFF"/>
                <w:lang w:val="en-US" w:eastAsia="zh-CN"/>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20" w:hRule="atLeast"/>
          <w:jc w:val="center"/>
        </w:trPr>
        <w:tc>
          <w:tcPr>
            <w:tcW w:w="307" w:type="pct"/>
            <w:shd w:val="clear" w:color="auto" w:fill="FFFFFF"/>
            <w:tcMar>
              <w:left w:w="108" w:type="dxa"/>
              <w:right w:w="108" w:type="dxa"/>
            </w:tcMar>
            <w:vAlign w:val="center"/>
          </w:tcPr>
          <w:p>
            <w:pPr>
              <w:pStyle w:val="10"/>
              <w:widowControl/>
              <w:numPr>
                <w:ilvl w:val="0"/>
                <w:numId w:val="2"/>
              </w:numPr>
              <w:spacing w:beforeAutospacing="0" w:afterAutospacing="0" w:line="276" w:lineRule="auto"/>
              <w:jc w:val="center"/>
              <w:rPr>
                <w:rFonts w:ascii="宋体" w:hAnsi="宋体" w:eastAsia="宋体" w:cs="微软雅黑"/>
                <w:color w:val="auto"/>
                <w:highlight w:val="none"/>
              </w:rPr>
            </w:pPr>
          </w:p>
        </w:tc>
        <w:tc>
          <w:tcPr>
            <w:tcW w:w="953" w:type="pct"/>
            <w:shd w:val="clear" w:color="auto" w:fill="FFFFFF"/>
            <w:tcMar>
              <w:left w:w="108" w:type="dxa"/>
              <w:right w:w="108" w:type="dxa"/>
            </w:tcMar>
            <w:vAlign w:val="center"/>
          </w:tcPr>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第四章  投标文件格式</w:t>
            </w:r>
          </w:p>
          <w:p>
            <w:pPr>
              <w:pStyle w:val="10"/>
              <w:widowControl/>
              <w:shd w:val="clear" w:color="auto" w:fill="FFFFFF"/>
              <w:spacing w:beforeAutospacing="0" w:afterAutospacing="0" w:line="276" w:lineRule="auto"/>
              <w:contextualSpacing/>
              <w:jc w:val="both"/>
              <w:rPr>
                <w:rFonts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一、技术标投标文件格式</w:t>
            </w:r>
          </w:p>
        </w:tc>
        <w:tc>
          <w:tcPr>
            <w:tcW w:w="1860"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hint="eastAsia"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lang w:val="en-US" w:eastAsia="zh-CN"/>
              </w:rPr>
              <w:t>/</w:t>
            </w:r>
          </w:p>
        </w:tc>
        <w:tc>
          <w:tcPr>
            <w:tcW w:w="1878" w:type="pct"/>
            <w:shd w:val="clear" w:color="auto" w:fill="FFFFFF"/>
            <w:tcMar>
              <w:left w:w="108" w:type="dxa"/>
              <w:right w:w="108" w:type="dxa"/>
            </w:tcMar>
            <w:vAlign w:val="center"/>
          </w:tcPr>
          <w:p>
            <w:pPr>
              <w:pStyle w:val="10"/>
              <w:widowControl/>
              <w:shd w:val="clear" w:color="auto" w:fill="FFFFFF"/>
              <w:spacing w:before="100" w:after="100" w:line="276" w:lineRule="auto"/>
              <w:contextualSpacing/>
              <w:jc w:val="both"/>
              <w:rPr>
                <w:rFonts w:hint="eastAsia" w:ascii="宋体" w:hAnsi="宋体" w:eastAsia="宋体" w:cs="宋体"/>
                <w:color w:val="auto"/>
                <w:highlight w:val="none"/>
                <w:shd w:val="clear" w:color="auto" w:fill="FFFFFF"/>
                <w:lang w:eastAsia="zh-Hans"/>
              </w:rPr>
            </w:pPr>
            <w:r>
              <w:rPr>
                <w:rFonts w:hint="eastAsia" w:ascii="宋体" w:hAnsi="宋体" w:eastAsia="宋体" w:cs="宋体"/>
                <w:color w:val="auto"/>
                <w:highlight w:val="none"/>
                <w:shd w:val="clear" w:color="auto" w:fill="FFFFFF"/>
                <w:lang w:eastAsia="zh-Hans"/>
              </w:rPr>
              <w:t>格式八：危险性较大的分部分项工程安全管理措施</w:t>
            </w:r>
          </w:p>
          <w:p>
            <w:pPr>
              <w:pStyle w:val="10"/>
              <w:widowControl/>
              <w:shd w:val="clear" w:color="auto" w:fill="FFFFFF"/>
              <w:spacing w:before="100" w:after="100" w:line="276" w:lineRule="auto"/>
              <w:contextualSpacing/>
              <w:jc w:val="both"/>
              <w:rPr>
                <w:rFonts w:ascii="宋体" w:hAnsi="宋体"/>
                <w:b/>
                <w:color w:val="auto"/>
                <w:sz w:val="24"/>
                <w:highlight w:val="none"/>
                <w:u w:val="single"/>
              </w:rPr>
            </w:pPr>
            <w:r>
              <w:rPr>
                <w:rFonts w:hint="eastAsia" w:ascii="宋体" w:hAnsi="宋体" w:eastAsia="宋体" w:cs="宋体"/>
                <w:b/>
                <w:bCs/>
                <w:color w:val="auto"/>
                <w:highlight w:val="none"/>
                <w:u w:val="single"/>
                <w:shd w:val="clear" w:color="auto" w:fill="FFFFFF"/>
                <w:lang w:eastAsia="zh-Hans"/>
              </w:rPr>
              <w:t>详见本补充公告附件</w:t>
            </w:r>
            <w:r>
              <w:rPr>
                <w:rFonts w:hint="eastAsia" w:ascii="宋体" w:hAnsi="宋体" w:eastAsia="宋体" w:cs="宋体"/>
                <w:b/>
                <w:bCs/>
                <w:color w:val="auto"/>
                <w:highlight w:val="none"/>
                <w:u w:val="single"/>
                <w:shd w:val="clear" w:color="auto" w:fill="FFFFFF"/>
                <w:lang w:val="en-US" w:eastAsia="zh-CN"/>
              </w:rPr>
              <w:t>七</w:t>
            </w:r>
          </w:p>
        </w:tc>
      </w:tr>
    </w:tbl>
    <w:p>
      <w:pPr>
        <w:pStyle w:val="10"/>
        <w:widowControl/>
        <w:shd w:val="clear" w:color="auto" w:fill="FFFFFF"/>
        <w:spacing w:beforeAutospacing="0" w:afterAutospacing="0" w:line="480" w:lineRule="atLeast"/>
        <w:ind w:firstLine="480"/>
        <w:jc w:val="both"/>
        <w:rPr>
          <w:rFonts w:ascii="微软雅黑" w:hAnsi="微软雅黑" w:eastAsia="微软雅黑" w:cs="微软雅黑"/>
          <w:color w:val="auto"/>
          <w:sz w:val="32"/>
          <w:szCs w:val="32"/>
          <w:highlight w:val="none"/>
        </w:rPr>
      </w:pPr>
      <w:r>
        <w:rPr>
          <w:rFonts w:hint="eastAsia" w:ascii="宋体" w:hAnsi="宋体" w:eastAsia="宋体" w:cs="宋体"/>
          <w:color w:val="auto"/>
          <w:highlight w:val="none"/>
          <w:shd w:val="clear" w:color="auto" w:fill="FFFFFF"/>
        </w:rPr>
        <w:t>三、具体时间及场地安排请各投标人密切留意广州交易集团有限公司（广州公共资源交易中心）公布本项目的日程安排，投标人可登录广州交易集团有限公司（广州公共资源交易中心）网站首页，点击“交易业务”专栏中的“建设工程”的“项目查询”，输入项目编号或项目名称查询最新信息。</w:t>
      </w:r>
    </w:p>
    <w:p>
      <w:pPr>
        <w:pStyle w:val="10"/>
        <w:widowControl/>
        <w:shd w:val="clear" w:color="auto" w:fill="FFFFFF"/>
        <w:spacing w:beforeAutospacing="0" w:afterAutospacing="0" w:line="480" w:lineRule="atLeast"/>
        <w:ind w:firstLine="480"/>
        <w:jc w:val="both"/>
        <w:rPr>
          <w:rFonts w:ascii="微软雅黑" w:hAnsi="微软雅黑" w:eastAsia="微软雅黑" w:cs="微软雅黑"/>
          <w:color w:val="auto"/>
          <w:sz w:val="32"/>
          <w:szCs w:val="32"/>
          <w:highlight w:val="none"/>
        </w:rPr>
      </w:pPr>
      <w:r>
        <w:rPr>
          <w:rFonts w:hint="eastAsia" w:ascii="宋体" w:hAnsi="宋体" w:eastAsia="宋体" w:cs="宋体"/>
          <w:color w:val="auto"/>
          <w:highlight w:val="none"/>
          <w:shd w:val="clear" w:color="auto" w:fill="FFFFFF"/>
        </w:rPr>
        <w:t>四、本项目已重新生成电子招标文件，请各投标人下载更新版本的电子招标文件编制投标文件。并随本补充公告发布更新后的招标公告与招标文件文档供各投标人自行使用。</w:t>
      </w:r>
    </w:p>
    <w:p>
      <w:pPr>
        <w:pStyle w:val="10"/>
        <w:widowControl/>
        <w:shd w:val="clear" w:color="auto" w:fill="FFFFFF"/>
        <w:spacing w:beforeAutospacing="0" w:afterAutospacing="0" w:line="360" w:lineRule="auto"/>
        <w:ind w:firstLine="480"/>
        <w:jc w:val="both"/>
        <w:rPr>
          <w:rFonts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五、原</w:t>
      </w:r>
      <w:r>
        <w:rPr>
          <w:rFonts w:hint="eastAsia" w:ascii="宋体" w:hAnsi="宋体" w:eastAsia="宋体" w:cs="宋体"/>
          <w:color w:val="auto"/>
          <w:highlight w:val="none"/>
          <w:shd w:val="clear" w:color="auto" w:fill="FFFFFF"/>
          <w:lang w:eastAsia="zh-Hans"/>
        </w:rPr>
        <w:t>招标公告和</w:t>
      </w:r>
      <w:r>
        <w:rPr>
          <w:rFonts w:hint="eastAsia" w:ascii="宋体" w:hAnsi="宋体" w:eastAsia="宋体" w:cs="宋体"/>
          <w:color w:val="auto"/>
          <w:highlight w:val="none"/>
          <w:shd w:val="clear" w:color="auto" w:fill="FFFFFF"/>
        </w:rPr>
        <w:t>招标文件内容、更新后的招标公告和招标文件内容与本补充公告内容不一致之处，以本补充公告为准，其他内容不变。</w:t>
      </w:r>
    </w:p>
    <w:p>
      <w:pPr>
        <w:spacing w:line="360" w:lineRule="auto"/>
        <w:jc w:val="right"/>
        <w:rPr>
          <w:rFonts w:hint="eastAsia" w:ascii="宋体" w:hAnsi="宋体" w:eastAsia="宋体" w:cs="宋体"/>
          <w:color w:val="auto"/>
          <w:kern w:val="0"/>
          <w:sz w:val="24"/>
          <w:highlight w:val="none"/>
          <w:shd w:val="clear" w:color="auto" w:fill="FFFFFF"/>
          <w:lang w:eastAsia="zh-Hans" w:bidi="ar"/>
        </w:rPr>
      </w:pPr>
    </w:p>
    <w:p>
      <w:pPr>
        <w:spacing w:line="360" w:lineRule="auto"/>
        <w:jc w:val="right"/>
        <w:rPr>
          <w:rFonts w:hint="eastAsia" w:ascii="宋体" w:hAnsi="宋体" w:eastAsia="宋体" w:cs="宋体"/>
          <w:color w:val="auto"/>
          <w:kern w:val="0"/>
          <w:sz w:val="24"/>
          <w:highlight w:val="none"/>
          <w:shd w:val="clear" w:color="auto" w:fill="FFFFFF"/>
          <w:lang w:eastAsia="zh-Hans" w:bidi="ar"/>
        </w:rPr>
      </w:pPr>
    </w:p>
    <w:p>
      <w:pPr>
        <w:spacing w:line="360" w:lineRule="auto"/>
        <w:jc w:val="right"/>
        <w:rPr>
          <w:rFonts w:hint="eastAsia" w:ascii="宋体" w:hAnsi="宋体" w:eastAsia="宋体" w:cs="宋体"/>
          <w:color w:val="auto"/>
          <w:kern w:val="0"/>
          <w:sz w:val="24"/>
          <w:highlight w:val="none"/>
          <w:shd w:val="clear" w:color="auto" w:fill="FFFFFF"/>
          <w:lang w:eastAsia="zh-Hans" w:bidi="ar"/>
        </w:rPr>
      </w:pPr>
    </w:p>
    <w:p>
      <w:pPr>
        <w:spacing w:line="360" w:lineRule="auto"/>
        <w:jc w:val="right"/>
        <w:rPr>
          <w:rFonts w:ascii="宋体" w:hAnsi="宋体" w:eastAsia="宋体" w:cs="宋体"/>
          <w:color w:val="auto"/>
          <w:kern w:val="0"/>
          <w:sz w:val="24"/>
          <w:highlight w:val="none"/>
          <w:shd w:val="clear" w:color="auto" w:fill="FFFFFF"/>
          <w:lang w:eastAsia="zh-Hans" w:bidi="ar"/>
        </w:rPr>
      </w:pPr>
      <w:r>
        <w:rPr>
          <w:rFonts w:hint="eastAsia" w:ascii="宋体" w:hAnsi="宋体" w:eastAsia="宋体" w:cs="宋体"/>
          <w:color w:val="auto"/>
          <w:kern w:val="0"/>
          <w:sz w:val="24"/>
          <w:highlight w:val="none"/>
          <w:shd w:val="clear" w:color="auto" w:fill="FFFFFF"/>
          <w:lang w:eastAsia="zh-Hans" w:bidi="ar"/>
        </w:rPr>
        <w:t>南方医科大学珠江医院</w:t>
      </w:r>
    </w:p>
    <w:p>
      <w:pPr>
        <w:pStyle w:val="10"/>
        <w:widowControl/>
        <w:shd w:val="clear" w:color="auto" w:fill="FFFFFF"/>
        <w:spacing w:beforeAutospacing="0" w:afterAutospacing="0" w:line="360" w:lineRule="auto"/>
        <w:jc w:val="right"/>
        <w:rPr>
          <w:rFonts w:ascii="宋体" w:hAnsi="宋体" w:eastAsia="宋体" w:cs="宋体"/>
          <w:color w:val="auto"/>
          <w:highlight w:val="none"/>
          <w:shd w:val="clear" w:color="auto" w:fill="FFFFFF"/>
        </w:rPr>
      </w:pPr>
      <w:bookmarkStart w:id="0" w:name="_GoBack"/>
      <w:bookmarkEnd w:id="0"/>
      <w:r>
        <w:rPr>
          <w:rFonts w:hint="eastAsia" w:ascii="宋体" w:hAnsi="宋体" w:eastAsia="宋体" w:cs="宋体"/>
          <w:color w:val="auto"/>
          <w:highlight w:val="none"/>
          <w:shd w:val="clear" w:color="auto" w:fill="FFFFFF"/>
        </w:rPr>
        <w:t>202</w:t>
      </w:r>
      <w:r>
        <w:rPr>
          <w:rFonts w:ascii="宋体" w:hAnsi="宋体" w:eastAsia="宋体" w:cs="宋体"/>
          <w:color w:val="auto"/>
          <w:highlight w:val="none"/>
          <w:shd w:val="clear" w:color="auto" w:fill="FFFFFF"/>
        </w:rPr>
        <w:t>3</w:t>
      </w:r>
      <w:r>
        <w:rPr>
          <w:rFonts w:hint="eastAsia" w:ascii="宋体" w:hAnsi="宋体" w:eastAsia="宋体" w:cs="宋体"/>
          <w:color w:val="auto"/>
          <w:highlight w:val="none"/>
          <w:shd w:val="clear" w:color="auto" w:fill="FFFFFF"/>
        </w:rPr>
        <w:t>年</w:t>
      </w:r>
      <w:r>
        <w:rPr>
          <w:rFonts w:hint="eastAsia" w:ascii="宋体" w:hAnsi="宋体" w:eastAsia="宋体" w:cs="宋体"/>
          <w:color w:val="auto"/>
          <w:highlight w:val="none"/>
          <w:shd w:val="clear" w:color="auto" w:fill="FFFFFF"/>
          <w:lang w:val="en-US" w:eastAsia="zh-CN"/>
        </w:rPr>
        <w:t>2</w:t>
      </w:r>
      <w:r>
        <w:rPr>
          <w:rFonts w:hint="eastAsia" w:ascii="宋体" w:hAnsi="宋体" w:eastAsia="宋体" w:cs="宋体"/>
          <w:color w:val="auto"/>
          <w:highlight w:val="none"/>
          <w:shd w:val="clear" w:color="auto" w:fill="FFFFFF"/>
        </w:rPr>
        <w:t>月</w:t>
      </w:r>
      <w:r>
        <w:rPr>
          <w:rFonts w:hint="eastAsia" w:ascii="宋体" w:hAnsi="宋体" w:eastAsia="宋体" w:cs="宋体"/>
          <w:color w:val="auto"/>
          <w:highlight w:val="none"/>
          <w:shd w:val="clear" w:color="auto" w:fill="FFFFFF"/>
          <w:lang w:val="en-US" w:eastAsia="zh-CN"/>
        </w:rPr>
        <w:t>21</w:t>
      </w:r>
      <w:r>
        <w:rPr>
          <w:rFonts w:hint="eastAsia" w:ascii="宋体" w:hAnsi="宋体" w:eastAsia="宋体" w:cs="宋体"/>
          <w:color w:val="auto"/>
          <w:highlight w:val="none"/>
          <w:shd w:val="clear" w:color="auto" w:fill="FFFFFF"/>
        </w:rPr>
        <w:t>日</w:t>
      </w:r>
    </w:p>
    <w:p>
      <w:pPr>
        <w:rPr>
          <w:color w:val="auto"/>
          <w:highlight w:val="none"/>
        </w:rPr>
        <w:sectPr>
          <w:footerReference r:id="rId3" w:type="default"/>
          <w:pgSz w:w="11906" w:h="16838"/>
          <w:pgMar w:top="720" w:right="720" w:bottom="720" w:left="720" w:header="851" w:footer="992" w:gutter="0"/>
          <w:pgNumType w:fmt="decimal"/>
          <w:cols w:space="425" w:num="1"/>
          <w:docGrid w:type="lines" w:linePitch="312" w:charSpace="0"/>
        </w:sectPr>
      </w:pPr>
    </w:p>
    <w:p>
      <w:pPr>
        <w:spacing w:line="540" w:lineRule="atLeast"/>
        <w:rPr>
          <w:rFonts w:ascii="Calibri" w:hAnsi="Calibri"/>
          <w:b/>
          <w:color w:val="auto"/>
          <w:sz w:val="44"/>
          <w:highlight w:val="none"/>
        </w:rPr>
      </w:pPr>
      <w:r>
        <w:rPr>
          <w:rFonts w:hint="eastAsia" w:ascii="宋体" w:hAnsi="宋体"/>
          <w:color w:val="auto"/>
          <w:sz w:val="24"/>
          <w:highlight w:val="none"/>
        </w:rPr>
        <w:t>附件一：</w:t>
      </w:r>
    </w:p>
    <w:p>
      <w:pPr>
        <w:spacing w:line="540" w:lineRule="atLeast"/>
        <w:jc w:val="center"/>
        <w:rPr>
          <w:rFonts w:ascii="Calibri" w:hAnsi="Calibri"/>
          <w:b/>
          <w:color w:val="auto"/>
          <w:kern w:val="0"/>
          <w:sz w:val="32"/>
          <w:szCs w:val="32"/>
          <w:highlight w:val="none"/>
        </w:rPr>
      </w:pPr>
      <w:r>
        <w:rPr>
          <w:rFonts w:hint="eastAsia" w:ascii="Calibri" w:hAnsi="Calibri"/>
          <w:b/>
          <w:color w:val="auto"/>
          <w:kern w:val="0"/>
          <w:sz w:val="32"/>
          <w:szCs w:val="32"/>
          <w:highlight w:val="none"/>
        </w:rPr>
        <w:t>投标人声明</w:t>
      </w:r>
    </w:p>
    <w:p>
      <w:pPr>
        <w:spacing w:line="560" w:lineRule="exact"/>
        <w:rPr>
          <w:rFonts w:ascii="宋体" w:hAnsi="宋体"/>
          <w:color w:val="auto"/>
          <w:kern w:val="0"/>
          <w:szCs w:val="21"/>
          <w:highlight w:val="none"/>
        </w:rPr>
      </w:pPr>
      <w:r>
        <w:rPr>
          <w:rFonts w:hint="eastAsia" w:ascii="宋体" w:hAnsi="宋体"/>
          <w:color w:val="auto"/>
          <w:kern w:val="0"/>
          <w:szCs w:val="21"/>
          <w:highlight w:val="none"/>
        </w:rPr>
        <w:t>广州市住房和城乡建设局、南方医科大学珠江医院及广州市建设工程招标管理办公室：</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本公司就参加</w:t>
      </w:r>
      <w:r>
        <w:rPr>
          <w:rFonts w:ascii="宋体" w:hAnsi="宋体"/>
          <w:color w:val="auto"/>
          <w:kern w:val="0"/>
          <w:szCs w:val="21"/>
          <w:highlight w:val="none"/>
          <w:u w:val="single"/>
        </w:rPr>
        <w:t xml:space="preserve">                        </w:t>
      </w:r>
      <w:r>
        <w:rPr>
          <w:rFonts w:hint="eastAsia" w:ascii="宋体" w:hAnsi="宋体"/>
          <w:color w:val="auto"/>
          <w:kern w:val="0"/>
          <w:szCs w:val="21"/>
          <w:highlight w:val="none"/>
        </w:rPr>
        <w:t>投标工作，作出郑重声明：</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二、本公司保证在本项目投标中不与其他单位围标、串标，不出让投标资格，不向招标人或评标委员会成员行贿。</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三、本公司不存在下列情形之一：</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（1）为招标人不具有独立法人资格的附属机构（单位）；</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（2）为本标段前期准备提供设计或咨询服务或者与本项目设计人或提供咨询服务的机构存在附属关系的；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（3）为本项目监理人或者与本项目监理人存在隶属关系或者其他利害关系；</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（4）为本标段的代建人；</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（5）为本标段提供招标代理服务的；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（6）与本标段的监理人或代建人或招标代理机构同为一个法定代表人的；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（7）与本标段的监理人或代建人或招标代理机构互相控股或参股的；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（8）与本标段的监理人或代建人或招标代理机构相互任职或工作的；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（9）与本标段的检测机构有隶属关系或者其他利害关系；</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（10）与招标人存在利害关系且可能影响招标公正性；</w:t>
      </w:r>
      <w:r>
        <w:rPr>
          <w:rFonts w:ascii="宋体" w:hAnsi="宋体"/>
          <w:color w:val="auto"/>
          <w:kern w:val="0"/>
          <w:szCs w:val="21"/>
          <w:highlight w:val="none"/>
        </w:rPr>
        <w:t xml:space="preserve"> </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（11）与本标段的其他投标人为同一个单位负责人；</w:t>
      </w:r>
      <w:r>
        <w:rPr>
          <w:rFonts w:ascii="宋体" w:hAnsi="宋体"/>
          <w:color w:val="auto"/>
          <w:kern w:val="0"/>
          <w:szCs w:val="21"/>
          <w:highlight w:val="none"/>
        </w:rPr>
        <w:t xml:space="preserve"> </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（12）与本标段的其他投标人存在控股、管理关系；</w:t>
      </w:r>
      <w:r>
        <w:rPr>
          <w:rFonts w:ascii="宋体" w:hAnsi="宋体"/>
          <w:color w:val="auto"/>
          <w:kern w:val="0"/>
          <w:szCs w:val="21"/>
          <w:highlight w:val="none"/>
        </w:rPr>
        <w:t xml:space="preserve"> </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（13）被暂扣安全生产许可证的；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（14）被依法暂停或取消投标资格的； </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（15）被责令停产停业、暂扣或者吊销许可证、暂扣或者吊销执照的；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（16）进入清算程序，或被宣布破产，或其他丧失履约能力的情形；</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（17）在最近三年内有骗取中标或严重违约或重大工程质量问题的；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18</w:t>
      </w:r>
      <w:r>
        <w:rPr>
          <w:rFonts w:hint="eastAsia" w:ascii="宋体" w:hAnsi="宋体"/>
          <w:color w:val="auto"/>
          <w:kern w:val="0"/>
          <w:szCs w:val="21"/>
          <w:highlight w:val="none"/>
        </w:rPr>
        <w:t>）法律法规规定的其他情形。</w:t>
      </w:r>
    </w:p>
    <w:p>
      <w:pPr>
        <w:numPr>
          <w:ilvl w:val="0"/>
          <w:numId w:val="5"/>
        </w:num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本公司保证：本项目拟派的项目负责人没有在其他在建项目中任施工单位项目负责人，本项目拟派的专职安全员没有在其他在建项目中任职。</w:t>
      </w:r>
    </w:p>
    <w:p>
      <w:pPr>
        <w:numPr>
          <w:ilvl w:val="0"/>
          <w:numId w:val="5"/>
        </w:num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八、与本公司单位负责人为同一人或者与本公司存在控股、管理关系的其他单位包括：</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。（注：本条由投标人如实填写，如有，应列出全部满足招标公告资质要求的相关单位的名称；如无，则填写“无”。）</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5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spacing w:line="5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特此声明</w:t>
      </w:r>
    </w:p>
    <w:p>
      <w:pPr>
        <w:spacing w:line="560" w:lineRule="exact"/>
        <w:ind w:right="1449"/>
        <w:rPr>
          <w:rFonts w:ascii="宋体" w:hAnsi="宋体"/>
          <w:color w:val="auto"/>
          <w:kern w:val="0"/>
          <w:szCs w:val="21"/>
          <w:highlight w:val="none"/>
          <w:u w:val="single"/>
        </w:rPr>
      </w:pP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声明企业：</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spacing w:line="560" w:lineRule="exact"/>
        <w:ind w:right="1179"/>
        <w:rPr>
          <w:rFonts w:ascii="宋体" w:hAnsi="宋体"/>
          <w:color w:val="auto"/>
          <w:kern w:val="0"/>
          <w:szCs w:val="21"/>
          <w:highlight w:val="none"/>
          <w:u w:val="single"/>
        </w:rPr>
      </w:pPr>
      <w:r>
        <w:rPr>
          <w:rFonts w:hint="eastAsia" w:ascii="宋体" w:hAnsi="宋体"/>
          <w:color w:val="auto"/>
          <w:kern w:val="0"/>
          <w:szCs w:val="21"/>
          <w:highlight w:val="none"/>
        </w:rPr>
        <w:t xml:space="preserve">                             法定代表人签字：</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spacing w:line="560" w:lineRule="exact"/>
        <w:ind w:right="1179"/>
        <w:rPr>
          <w:rFonts w:ascii="宋体" w:hAnsi="宋体"/>
          <w:color w:val="auto"/>
          <w:kern w:val="0"/>
          <w:szCs w:val="21"/>
          <w:highlight w:val="none"/>
        </w:rPr>
      </w:pPr>
      <w:r>
        <w:rPr>
          <w:rFonts w:hint="eastAsia" w:ascii="宋体" w:hAnsi="宋体"/>
          <w:color w:val="auto"/>
          <w:kern w:val="0"/>
          <w:szCs w:val="21"/>
          <w:highlight w:val="none"/>
        </w:rPr>
        <w:t xml:space="preserve">                             项目负责人签字:</w:t>
      </w:r>
      <w:r>
        <w:rPr>
          <w:rFonts w:ascii="宋体" w:hAnsi="宋体"/>
          <w:color w:val="auto"/>
          <w:kern w:val="0"/>
          <w:szCs w:val="21"/>
          <w:highlight w:val="none"/>
          <w:u w:val="single"/>
        </w:rPr>
        <w:t xml:space="preserve">                      </w:t>
      </w:r>
    </w:p>
    <w:p>
      <w:pPr>
        <w:spacing w:line="560" w:lineRule="exact"/>
        <w:ind w:right="879" w:firstLine="1890" w:firstLineChars="900"/>
        <w:jc w:val="left"/>
        <w:rPr>
          <w:rFonts w:ascii="宋体" w:hAnsi="宋体"/>
          <w:color w:val="auto"/>
          <w:kern w:val="0"/>
          <w:szCs w:val="21"/>
          <w:highlight w:val="none"/>
          <w:u w:val="single"/>
        </w:rPr>
      </w:pPr>
      <w:r>
        <w:rPr>
          <w:rFonts w:hint="eastAsia" w:ascii="宋体" w:hAnsi="宋体"/>
          <w:color w:val="auto"/>
          <w:kern w:val="0"/>
          <w:szCs w:val="21"/>
          <w:highlight w:val="none"/>
        </w:rPr>
        <w:t xml:space="preserve">           技术负责人签字：</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spacing w:line="560" w:lineRule="exact"/>
        <w:ind w:right="879" w:firstLine="1890" w:firstLineChars="900"/>
        <w:jc w:val="right"/>
        <w:rPr>
          <w:rFonts w:ascii="宋体" w:hAnsi="宋体"/>
          <w:color w:val="auto"/>
          <w:kern w:val="0"/>
          <w:szCs w:val="21"/>
          <w:highlight w:val="none"/>
        </w:rPr>
      </w:pPr>
      <w:r>
        <w:rPr>
          <w:rFonts w:hint="eastAsia" w:ascii="宋体" w:hAnsi="宋体"/>
          <w:color w:val="auto"/>
          <w:kern w:val="0"/>
          <w:szCs w:val="21"/>
          <w:highlight w:val="none"/>
        </w:rPr>
        <w:t>年</w:t>
      </w:r>
      <w:r>
        <w:rPr>
          <w:rFonts w:ascii="宋体" w:hAnsi="宋体"/>
          <w:color w:val="auto"/>
          <w:kern w:val="0"/>
          <w:szCs w:val="21"/>
          <w:highlight w:val="none"/>
        </w:rPr>
        <w:t xml:space="preserve">   </w:t>
      </w:r>
      <w:r>
        <w:rPr>
          <w:rFonts w:hint="eastAsia" w:ascii="宋体" w:hAnsi="宋体"/>
          <w:color w:val="auto"/>
          <w:kern w:val="0"/>
          <w:szCs w:val="21"/>
          <w:highlight w:val="none"/>
        </w:rPr>
        <w:t>月</w:t>
      </w:r>
      <w:r>
        <w:rPr>
          <w:rFonts w:ascii="宋体" w:hAnsi="宋体"/>
          <w:color w:val="auto"/>
          <w:kern w:val="0"/>
          <w:szCs w:val="21"/>
          <w:highlight w:val="none"/>
        </w:rPr>
        <w:t xml:space="preserve">   </w:t>
      </w:r>
      <w:r>
        <w:rPr>
          <w:rFonts w:hint="eastAsia" w:ascii="宋体" w:hAnsi="宋体"/>
          <w:color w:val="auto"/>
          <w:kern w:val="0"/>
          <w:szCs w:val="21"/>
          <w:highlight w:val="none"/>
        </w:rPr>
        <w:t>日</w:t>
      </w:r>
    </w:p>
    <w:p>
      <w:pPr>
        <w:spacing w:line="560" w:lineRule="exact"/>
        <w:rPr>
          <w:rFonts w:ascii="宋体" w:hAnsi="Calibri"/>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pPr>
        <w:spacing w:line="560" w:lineRule="exact"/>
        <w:ind w:firstLine="420" w:firstLineChars="200"/>
        <w:rPr>
          <w:rFonts w:ascii="宋体" w:hAnsi="Calisto MT" w:eastAsia="仿宋_GB2312"/>
          <w:bCs/>
          <w:color w:val="auto"/>
          <w:spacing w:val="40"/>
          <w:kern w:val="0"/>
          <w:sz w:val="44"/>
          <w:szCs w:val="44"/>
          <w:highlight w:val="none"/>
        </w:rPr>
      </w:pPr>
      <w:r>
        <w:rPr>
          <w:rFonts w:hint="eastAsia" w:ascii="宋体" w:hAnsi="宋体"/>
          <w:b/>
          <w:color w:val="auto"/>
          <w:kern w:val="0"/>
          <w:szCs w:val="21"/>
          <w:highlight w:val="none"/>
        </w:rPr>
        <w:t>注：招标人应当要求投标人的法定代表人、项目负责人和技术负责人签字。</w:t>
      </w:r>
    </w:p>
    <w:p>
      <w:pPr>
        <w:autoSpaceDE w:val="0"/>
        <w:autoSpaceDN w:val="0"/>
        <w:adjustRightInd w:val="0"/>
        <w:ind w:firstLine="480" w:firstLineChars="200"/>
        <w:jc w:val="left"/>
        <w:rPr>
          <w:rFonts w:ascii="宋体"/>
          <w:color w:val="auto"/>
          <w:sz w:val="24"/>
          <w:szCs w:val="24"/>
          <w:highlight w:val="none"/>
        </w:rPr>
      </w:pPr>
    </w:p>
    <w:p>
      <w:pPr>
        <w:rPr>
          <w:color w:val="auto"/>
          <w:sz w:val="24"/>
          <w:szCs w:val="32"/>
          <w:highlight w:val="none"/>
          <w:lang w:eastAsia="zh-Hans"/>
        </w:rPr>
      </w:pPr>
      <w:r>
        <w:rPr>
          <w:rFonts w:ascii="宋体"/>
          <w:color w:val="auto"/>
          <w:sz w:val="24"/>
          <w:szCs w:val="24"/>
          <w:highlight w:val="none"/>
        </w:rPr>
        <w:br w:type="page"/>
      </w:r>
      <w:r>
        <w:rPr>
          <w:rFonts w:hint="eastAsia"/>
          <w:color w:val="auto"/>
          <w:sz w:val="24"/>
          <w:szCs w:val="32"/>
          <w:highlight w:val="none"/>
          <w:lang w:eastAsia="zh-Hans"/>
        </w:rPr>
        <w:t>附件二</w:t>
      </w:r>
      <w:r>
        <w:rPr>
          <w:color w:val="auto"/>
          <w:sz w:val="24"/>
          <w:szCs w:val="32"/>
          <w:highlight w:val="none"/>
          <w:lang w:eastAsia="zh-Hans"/>
        </w:rPr>
        <w:t>：</w:t>
      </w:r>
    </w:p>
    <w:p>
      <w:pPr>
        <w:widowControl/>
        <w:snapToGrid w:val="0"/>
        <w:ind w:right="102"/>
        <w:jc w:val="center"/>
        <w:rPr>
          <w:rFonts w:ascii="宋体" w:hAnsi="宋体" w:cs="宋体"/>
          <w:b/>
          <w:color w:val="auto"/>
          <w:sz w:val="28"/>
          <w:szCs w:val="28"/>
          <w:highlight w:val="none"/>
        </w:rPr>
      </w:pPr>
      <w:r>
        <w:rPr>
          <w:rFonts w:hint="eastAsia" w:ascii="宋体" w:hAnsi="宋体" w:cs="宋体"/>
          <w:b/>
          <w:color w:val="auto"/>
          <w:sz w:val="28"/>
          <w:szCs w:val="28"/>
          <w:highlight w:val="none"/>
        </w:rPr>
        <w:t>资格审查表</w:t>
      </w:r>
    </w:p>
    <w:tbl>
      <w:tblPr>
        <w:tblStyle w:val="11"/>
        <w:tblW w:w="90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411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ascii="宋体" w:hAnsi="宋体" w:cs="宋体"/>
                <w:color w:val="auto"/>
                <w:sz w:val="18"/>
                <w:szCs w:val="18"/>
                <w:highlight w:val="none"/>
              </w:rPr>
              <w:t>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投标人参加投标的意思表达清楚，投标人代表被授权有效</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投标人声明、法定代表人证明书；委托投标的还应提供法人授权委托证明书</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ascii="宋体" w:hAnsi="宋体" w:cs="宋体"/>
                <w:color w:val="auto"/>
                <w:sz w:val="18"/>
                <w:szCs w:val="18"/>
                <w:highlight w:val="none"/>
              </w:rPr>
              <w:t>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投标人均具有独立法人资格，按国家法律经营</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营业执照在</w:t>
            </w:r>
            <w:r>
              <w:rPr>
                <w:rFonts w:hint="eastAsia" w:ascii="宋体" w:hAnsi="宋体" w:cs="宋体"/>
                <w:color w:val="auto"/>
                <w:sz w:val="18"/>
                <w:szCs w:val="18"/>
                <w:highlight w:val="none"/>
                <w:u w:val="single"/>
              </w:rPr>
              <w:t>广州市住建行业信用管理平台</w:t>
            </w:r>
            <w:r>
              <w:rPr>
                <w:rFonts w:hint="eastAsia" w:ascii="宋体" w:hAnsi="宋体" w:cs="宋体"/>
                <w:color w:val="auto"/>
                <w:sz w:val="18"/>
                <w:szCs w:val="18"/>
                <w:highlight w:val="none"/>
              </w:rPr>
              <w:t>内上传件</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ascii="宋体" w:hAnsi="宋体" w:cs="宋体"/>
                <w:color w:val="auto"/>
                <w:sz w:val="18"/>
                <w:szCs w:val="18"/>
                <w:highlight w:val="none"/>
              </w:rPr>
              <w:t>3</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投标人均持有建设行政主管部门颁发的企业资质证书及安全生产许可证；投标人资质符合公告要求</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pStyle w:val="3"/>
              <w:rPr>
                <w:color w:val="auto"/>
                <w:highlight w:val="none"/>
              </w:rPr>
            </w:pPr>
            <w:r>
              <w:rPr>
                <w:rFonts w:hint="eastAsia"/>
                <w:color w:val="auto"/>
                <w:highlight w:val="none"/>
              </w:rPr>
              <w:t>资质证书及安全生产许可证在</w:t>
            </w:r>
            <w:r>
              <w:rPr>
                <w:rFonts w:hint="eastAsia"/>
                <w:color w:val="auto"/>
                <w:highlight w:val="none"/>
                <w:u w:val="single"/>
              </w:rPr>
              <w:t>广州市住建行业信用管理平台</w:t>
            </w:r>
            <w:r>
              <w:rPr>
                <w:rFonts w:hint="eastAsia"/>
                <w:color w:val="auto"/>
                <w:highlight w:val="none"/>
              </w:rPr>
              <w:t>内上传件；</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ascii="宋体" w:hAnsi="宋体" w:cs="宋体"/>
                <w:color w:val="auto"/>
                <w:sz w:val="18"/>
                <w:szCs w:val="18"/>
                <w:highlight w:val="none"/>
              </w:rPr>
              <w:t>4</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投标人拟担任本工程项目负责人符合公告要求</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u w:val="single"/>
              </w:rPr>
            </w:pPr>
            <w:r>
              <w:rPr>
                <w:rFonts w:hint="eastAsia" w:ascii="宋体" w:hAnsi="宋体" w:cs="宋体"/>
                <w:color w:val="auto"/>
                <w:sz w:val="18"/>
                <w:szCs w:val="18"/>
                <w:highlight w:val="none"/>
                <w:u w:val="single"/>
              </w:rPr>
              <w:t>建造师注册证书在广州市住建行业信用管理平台内上传件</w:t>
            </w:r>
          </w:p>
          <w:p>
            <w:pPr>
              <w:pStyle w:val="3"/>
              <w:rPr>
                <w:rFonts w:hint="eastAsia"/>
                <w:color w:val="auto"/>
                <w:highlight w:val="none"/>
              </w:rPr>
            </w:pPr>
            <w:r>
              <w:rPr>
                <w:rFonts w:hint="eastAsia" w:ascii="宋体" w:hAnsi="宋体" w:cs="宋体"/>
                <w:color w:val="auto"/>
                <w:kern w:val="2"/>
                <w:sz w:val="18"/>
                <w:szCs w:val="18"/>
                <w:highlight w:val="none"/>
                <w:u w:val="single"/>
              </w:rPr>
              <w:t>（注：打印建造师电子证书后，应在个人签名处手写本人签名再上传广州市住建行业信用平台，上传件未手写签名或与签名图像笔迹不一致的，该电子证书无效。）</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ascii="宋体" w:hAnsi="宋体" w:cs="宋体"/>
                <w:color w:val="auto"/>
                <w:sz w:val="18"/>
                <w:szCs w:val="18"/>
                <w:highlight w:val="none"/>
              </w:rPr>
              <w:t>5</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rPr>
                <w:rFonts w:ascii="宋体" w:hAnsi="宋体" w:cs="宋体"/>
                <w:color w:val="auto"/>
                <w:sz w:val="18"/>
                <w:szCs w:val="18"/>
                <w:highlight w:val="none"/>
                <w:u w:val="single"/>
              </w:rPr>
            </w:pPr>
            <w:r>
              <w:rPr>
                <w:rFonts w:hint="eastAsia" w:ascii="宋体" w:hAnsi="宋体" w:cs="宋体"/>
                <w:color w:val="auto"/>
                <w:sz w:val="18"/>
                <w:szCs w:val="18"/>
                <w:highlight w:val="none"/>
              </w:rPr>
              <w:t>持有项目负责人安全培训考核合格证（B类）或</w:t>
            </w:r>
            <w:r>
              <w:rPr>
                <w:rFonts w:hint="eastAsia" w:ascii="宋体" w:hAnsi="宋体" w:cs="宋体"/>
                <w:color w:val="auto"/>
                <w:sz w:val="18"/>
                <w:szCs w:val="18"/>
                <w:highlight w:val="none"/>
                <w:u w:val="single"/>
              </w:rPr>
              <w:t>建筑施工企业项目负责人安全生产考核合格证</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u w:val="single"/>
              </w:rPr>
            </w:pPr>
            <w:r>
              <w:rPr>
                <w:rFonts w:hint="eastAsia" w:ascii="宋体" w:hAnsi="宋体" w:cs="宋体"/>
                <w:color w:val="auto"/>
                <w:sz w:val="18"/>
                <w:szCs w:val="18"/>
                <w:highlight w:val="none"/>
              </w:rPr>
              <w:t>项目负责人安全培训考核合格证（B证）或</w:t>
            </w:r>
            <w:r>
              <w:rPr>
                <w:rFonts w:hint="eastAsia" w:ascii="宋体" w:hAnsi="宋体" w:cs="宋体"/>
                <w:color w:val="auto"/>
                <w:sz w:val="18"/>
                <w:szCs w:val="18"/>
                <w:highlight w:val="none"/>
                <w:u w:val="single"/>
              </w:rPr>
              <w:t>建筑施工企业项目负责人安全生产考核合格证在广州市住建行业信用管理平台内上传件</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6</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专职安全员须具有在有效期内的安全生产考核合格证（C类）或建筑施工企业专职安全生产管理人员安全生产考核合格证书（C3类）</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专职安全员的安全生产考核合格证（C类）或建筑施工企业专职安全生产管理人员安全生产考核合格证书（C3类）</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7</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投标人提供的投标人声明符合公告要求</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投标人声明</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8</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投标人声明中签字的项目负责人和技术负责人与本项目拟派的项目负责人和技术负责人一致</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网上投标时选择拟投标的项目负责人、资格审查文件中拟委派的技术负责人及投标人声明</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9</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u w:val="single"/>
              </w:rPr>
            </w:pPr>
            <w:r>
              <w:rPr>
                <w:rFonts w:hint="eastAsia" w:ascii="宋体" w:hAnsi="宋体" w:cs="宋体"/>
                <w:color w:val="auto"/>
                <w:sz w:val="18"/>
                <w:szCs w:val="18"/>
                <w:highlight w:val="none"/>
                <w:u w:val="single"/>
              </w:rPr>
              <w:t>关于联合体投标：本项目不接受联合体投标。</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olor w:val="auto"/>
                <w:szCs w:val="21"/>
                <w:highlight w:val="none"/>
              </w:rPr>
            </w:pPr>
            <w:r>
              <w:rPr>
                <w:rFonts w:hint="eastAsia" w:ascii="宋体" w:hAnsi="宋体" w:cs="宋体"/>
                <w:color w:val="auto"/>
                <w:sz w:val="18"/>
                <w:szCs w:val="18"/>
                <w:highlight w:val="none"/>
              </w:rPr>
              <w:t>未以联合体投标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hint="eastAsia" w:ascii="宋体" w:hAnsi="宋体" w:cs="宋体"/>
                <w:color w:val="auto"/>
                <w:sz w:val="18"/>
                <w:szCs w:val="18"/>
                <w:highlight w:val="none"/>
              </w:rPr>
            </w:pPr>
            <w:r>
              <w:rPr>
                <w:rFonts w:ascii="宋体" w:hAnsi="宋体" w:cs="宋体"/>
                <w:color w:val="auto"/>
                <w:sz w:val="18"/>
                <w:szCs w:val="18"/>
                <w:highlight w:val="none"/>
              </w:rPr>
              <w:t>1</w:t>
            </w:r>
            <w:r>
              <w:rPr>
                <w:rFonts w:hint="eastAsia" w:ascii="宋体" w:hAnsi="宋体" w:cs="宋体"/>
                <w:color w:val="auto"/>
                <w:sz w:val="18"/>
                <w:szCs w:val="18"/>
                <w:highlight w:val="none"/>
              </w:rPr>
              <w:t>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资格审查前，投标人须在</w:t>
            </w:r>
            <w:r>
              <w:rPr>
                <w:rFonts w:hint="eastAsia" w:ascii="宋体" w:hAnsi="宋体" w:cs="宋体"/>
                <w:color w:val="auto"/>
                <w:sz w:val="18"/>
                <w:szCs w:val="18"/>
                <w:highlight w:val="none"/>
                <w:u w:val="single"/>
              </w:rPr>
              <w:t>广州市住房和城乡建设局建立企业信用档案</w:t>
            </w:r>
            <w:r>
              <w:rPr>
                <w:rFonts w:hint="eastAsia" w:ascii="宋体" w:hAnsi="宋体" w:cs="宋体"/>
                <w:color w:val="auto"/>
                <w:sz w:val="18"/>
                <w:szCs w:val="18"/>
                <w:highlight w:val="none"/>
              </w:rPr>
              <w:t>及拟担任本工程项目负责人、专职安全员须是本企业中的在册人员</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投标人在</w:t>
            </w:r>
            <w:r>
              <w:rPr>
                <w:rFonts w:hint="eastAsia" w:ascii="宋体" w:hAnsi="宋体" w:cs="宋体"/>
                <w:color w:val="auto"/>
                <w:sz w:val="18"/>
                <w:szCs w:val="18"/>
                <w:highlight w:val="none"/>
                <w:u w:val="single"/>
              </w:rPr>
              <w:t>广州市住建行业信用管理平台</w:t>
            </w:r>
            <w:r>
              <w:rPr>
                <w:rFonts w:hint="eastAsia" w:ascii="宋体" w:hAnsi="宋体" w:cs="宋体"/>
                <w:color w:val="auto"/>
                <w:sz w:val="18"/>
                <w:szCs w:val="18"/>
                <w:highlight w:val="none"/>
              </w:rPr>
              <w:t>内</w:t>
            </w:r>
            <w:r>
              <w:rPr>
                <w:rFonts w:hint="eastAsia" w:ascii="宋体" w:hAnsi="宋体" w:cs="宋体"/>
                <w:color w:val="auto"/>
                <w:sz w:val="18"/>
                <w:szCs w:val="18"/>
                <w:highlight w:val="none"/>
                <w:u w:val="single"/>
              </w:rPr>
              <w:t>企业信用档案</w:t>
            </w:r>
            <w:r>
              <w:rPr>
                <w:rFonts w:hint="eastAsia" w:ascii="宋体" w:hAnsi="宋体" w:cs="宋体"/>
                <w:color w:val="auto"/>
                <w:sz w:val="18"/>
                <w:szCs w:val="18"/>
                <w:highlight w:val="none"/>
              </w:rPr>
              <w:t>的企业和人员信息</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hint="eastAsia" w:ascii="宋体" w:hAnsi="宋体" w:cs="宋体"/>
                <w:color w:val="auto"/>
                <w:sz w:val="18"/>
                <w:szCs w:val="18"/>
                <w:highlight w:val="none"/>
              </w:rPr>
            </w:pPr>
            <w:r>
              <w:rPr>
                <w:rFonts w:ascii="宋体" w:hAnsi="宋体" w:cs="宋体"/>
                <w:color w:val="auto"/>
                <w:sz w:val="18"/>
                <w:szCs w:val="18"/>
                <w:highlight w:val="none"/>
              </w:rPr>
              <w:t>1</w:t>
            </w:r>
            <w:r>
              <w:rPr>
                <w:rFonts w:hint="eastAsia" w:ascii="宋体" w:hAnsi="宋体" w:cs="宋体"/>
                <w:color w:val="auto"/>
                <w:sz w:val="18"/>
                <w:szCs w:val="18"/>
                <w:highlight w:val="none"/>
              </w:rPr>
              <w:t>1</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投标人未出现以下情形：与其它投标人的单位负责人为同一人或者存在控股、管理关系的（按投标人提供的《投标人声明》第</w:t>
            </w:r>
            <w:r>
              <w:rPr>
                <w:rFonts w:hint="eastAsia" w:ascii="宋体" w:hAnsi="宋体" w:cs="宋体"/>
                <w:color w:val="auto"/>
                <w:sz w:val="18"/>
                <w:szCs w:val="18"/>
                <w:highlight w:val="none"/>
                <w:u w:val="single"/>
              </w:rPr>
              <w:t>八</w:t>
            </w:r>
            <w:r>
              <w:rPr>
                <w:rFonts w:hint="eastAsia" w:ascii="宋体" w:hAnsi="宋体" w:cs="宋体"/>
                <w:color w:val="auto"/>
                <w:sz w:val="18"/>
                <w:szCs w:val="18"/>
                <w:highlight w:val="none"/>
              </w:rPr>
              <w:t>条内容进行评审）。</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投标人声明</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12</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pStyle w:val="3"/>
              <w:wordWrap w:val="0"/>
              <w:jc w:val="center"/>
              <w:rPr>
                <w:rFonts w:hint="eastAsia"/>
                <w:color w:val="auto"/>
                <w:highlight w:val="none"/>
                <w:u w:val="single"/>
              </w:rPr>
            </w:pPr>
            <w:r>
              <w:rPr>
                <w:rFonts w:hint="eastAsia" w:ascii="宋体" w:hAnsi="宋体" w:cs="宋体"/>
                <w:color w:val="auto"/>
                <w:kern w:val="2"/>
                <w:sz w:val="18"/>
                <w:szCs w:val="18"/>
                <w:highlight w:val="none"/>
                <w:u w:val="single"/>
              </w:rPr>
              <w:t>未被纳入失信联合惩戒名单且被限制参加财政投资工程或政府投资工程或建设工程投标的（具体名单以递交投标文件截止时间“信用广州”https://credit1.gz.gov.cn/sgs/sgsXkNew公布的“失信黑名单”为准）</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 w:val="18"/>
                <w:szCs w:val="18"/>
                <w:highlight w:val="none"/>
                <w:u w:val="single"/>
              </w:rPr>
            </w:pPr>
            <w:r>
              <w:rPr>
                <w:rFonts w:hint="eastAsia" w:ascii="宋体" w:hAnsi="宋体" w:cs="宋体"/>
                <w:color w:val="auto"/>
                <w:sz w:val="18"/>
                <w:szCs w:val="18"/>
                <w:highlight w:val="none"/>
                <w:u w:val="single"/>
              </w:rPr>
              <w:t>投标人无需提供资料，按交易系统比对的结果进行评审。</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before="120" w:after="60" w:line="200" w:lineRule="exact"/>
              <w:jc w:val="center"/>
              <w:rPr>
                <w:rFonts w:ascii="宋体" w:hAnsi="宋体" w:cs="宋体"/>
                <w:color w:val="auto"/>
                <w:sz w:val="18"/>
                <w:szCs w:val="18"/>
                <w:highlight w:val="none"/>
              </w:rPr>
            </w:pPr>
          </w:p>
        </w:tc>
      </w:tr>
    </w:tbl>
    <w:p>
      <w:pPr>
        <w:spacing w:line="276" w:lineRule="auto"/>
        <w:ind w:firstLine="399" w:firstLineChars="222"/>
        <w:rPr>
          <w:rFonts w:ascii="宋体" w:hAnsi="宋体" w:cs="宋体"/>
          <w:color w:val="auto"/>
          <w:sz w:val="18"/>
          <w:szCs w:val="18"/>
          <w:highlight w:val="none"/>
        </w:rPr>
      </w:pPr>
      <w:r>
        <w:rPr>
          <w:rFonts w:hint="eastAsia" w:ascii="宋体" w:hAnsi="宋体" w:cs="宋体"/>
          <w:color w:val="auto"/>
          <w:sz w:val="18"/>
          <w:szCs w:val="18"/>
          <w:highlight w:val="none"/>
        </w:rPr>
        <w:t>备注：</w:t>
      </w:r>
      <w:r>
        <w:rPr>
          <w:rFonts w:ascii="宋体" w:hAnsi="宋体" w:cs="宋体"/>
          <w:color w:val="auto"/>
          <w:sz w:val="18"/>
          <w:szCs w:val="18"/>
          <w:highlight w:val="none"/>
        </w:rPr>
        <w:t>1、每一项目符合的打“○”，不符合的打“×”；</w:t>
      </w:r>
    </w:p>
    <w:p>
      <w:pPr>
        <w:spacing w:line="276" w:lineRule="auto"/>
        <w:ind w:firstLine="900" w:firstLineChars="500"/>
        <w:rPr>
          <w:rFonts w:ascii="宋体" w:hAnsi="宋体" w:cs="宋体"/>
          <w:color w:val="auto"/>
          <w:sz w:val="18"/>
          <w:szCs w:val="18"/>
          <w:highlight w:val="none"/>
        </w:rPr>
      </w:pPr>
      <w:r>
        <w:rPr>
          <w:rFonts w:ascii="宋体" w:hAnsi="宋体" w:cs="宋体"/>
          <w:color w:val="auto"/>
          <w:sz w:val="18"/>
          <w:szCs w:val="18"/>
          <w:highlight w:val="none"/>
        </w:rPr>
        <w:t xml:space="preserve"> 2、若评委意见不一致时，则按少数服从多数的原则，</w:t>
      </w:r>
      <w:r>
        <w:rPr>
          <w:rFonts w:hint="eastAsia" w:ascii="宋体" w:hAnsi="宋体" w:cs="宋体"/>
          <w:color w:val="auto"/>
          <w:sz w:val="18"/>
          <w:szCs w:val="18"/>
          <w:highlight w:val="none"/>
        </w:rPr>
        <w:t>作出评审结论。汇总后，出现一个“×”的结论为“不通过”。</w:t>
      </w:r>
    </w:p>
    <w:p>
      <w:pPr>
        <w:spacing w:line="200" w:lineRule="exact"/>
        <w:ind w:firstLine="1050" w:firstLineChars="500"/>
        <w:rPr>
          <w:rFonts w:ascii="宋体" w:hAnsi="宋体" w:cs="宋体"/>
          <w:color w:val="auto"/>
          <w:szCs w:val="21"/>
          <w:highlight w:val="none"/>
        </w:rPr>
        <w:sectPr>
          <w:footerReference r:id="rId4" w:type="default"/>
          <w:endnotePr>
            <w:numFmt w:val="decimal"/>
          </w:endnotePr>
          <w:pgSz w:w="11906" w:h="16838"/>
          <w:pgMar w:top="1247" w:right="1418" w:bottom="1134" w:left="1418" w:header="851" w:footer="907" w:gutter="0"/>
          <w:pgNumType w:fmt="decimal"/>
          <w:cols w:space="720" w:num="1"/>
          <w:titlePg/>
          <w:docGrid w:type="linesAndChars" w:linePitch="312" w:charSpace="0"/>
        </w:sectPr>
      </w:pPr>
    </w:p>
    <w:p>
      <w:pPr>
        <w:widowControl/>
        <w:tabs>
          <w:tab w:val="left" w:pos="1177"/>
        </w:tabs>
        <w:jc w:val="left"/>
        <w:rPr>
          <w:rFonts w:hint="eastAsia"/>
          <w:color w:val="auto"/>
          <w:sz w:val="24"/>
          <w:szCs w:val="32"/>
          <w:highlight w:val="none"/>
          <w:lang w:eastAsia="zh-Hans"/>
        </w:rPr>
      </w:pPr>
    </w:p>
    <w:p>
      <w:pPr>
        <w:widowControl/>
        <w:tabs>
          <w:tab w:val="left" w:pos="1177"/>
        </w:tabs>
        <w:jc w:val="left"/>
        <w:rPr>
          <w:color w:val="auto"/>
          <w:sz w:val="24"/>
          <w:szCs w:val="32"/>
          <w:highlight w:val="none"/>
          <w:lang w:eastAsia="zh-Hans"/>
        </w:rPr>
      </w:pPr>
      <w:r>
        <w:rPr>
          <w:rFonts w:hint="eastAsia"/>
          <w:color w:val="auto"/>
          <w:sz w:val="24"/>
          <w:szCs w:val="32"/>
          <w:highlight w:val="none"/>
          <w:lang w:eastAsia="zh-Hans"/>
        </w:rPr>
        <w:t>附件三：</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214"/>
        <w:gridCol w:w="1323"/>
        <w:gridCol w:w="132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rPr>
                <w:rFonts w:ascii="宋体" w:hAnsi="宋体" w:cs="宋体"/>
                <w:color w:val="auto"/>
                <w:szCs w:val="21"/>
                <w:highlight w:val="none"/>
              </w:rPr>
            </w:pPr>
            <w:r>
              <w:rPr>
                <w:rFonts w:ascii="宋体" w:hAnsi="宋体" w:cs="宋体"/>
                <w:color w:val="auto"/>
                <w:szCs w:val="21"/>
                <w:highlight w:val="none"/>
              </w:rPr>
              <w:t xml:space="preserve">                                                 投标人</w:t>
            </w:r>
          </w:p>
          <w:p>
            <w:pPr>
              <w:adjustRightInd w:val="0"/>
              <w:rPr>
                <w:rFonts w:ascii="宋体" w:hAnsi="宋体" w:cs="宋体"/>
                <w:color w:val="auto"/>
                <w:szCs w:val="21"/>
                <w:highlight w:val="none"/>
              </w:rPr>
            </w:pPr>
            <w:r>
              <w:rPr>
                <w:rFonts w:hint="eastAsia" w:ascii="宋体" w:hAnsi="宋体" w:cs="宋体"/>
                <w:color w:val="auto"/>
                <w:szCs w:val="21"/>
                <w:highlight w:val="none"/>
              </w:rPr>
              <w:t>评审内容</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ascii="宋体" w:hAnsi="宋体" w:cs="宋体"/>
                <w:color w:val="auto"/>
                <w:szCs w:val="21"/>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《广州建设工程施工招标投标书》中的投标总工期不能满足完成投标项目工期的；</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ascii="宋体" w:hAnsi="宋体" w:cs="宋体"/>
                <w:color w:val="auto"/>
                <w:szCs w:val="21"/>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《广州建设工程施工招标投标书》中的质量标准不符合招标文件规定质量标准的；</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ascii="宋体" w:hAnsi="宋体" w:cs="宋体"/>
                <w:color w:val="auto"/>
                <w:szCs w:val="21"/>
                <w:highlight w:val="none"/>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（除带“★”号的必须按招标文件规定的格式进行编制外，其余格式仅供参考不作为投标文件有效性审查的条件）</w:t>
            </w:r>
            <w:r>
              <w:rPr>
                <w:rFonts w:hint="eastAsia" w:ascii="宋体" w:hAnsi="宋体" w:cs="宋体"/>
                <w:color w:val="auto"/>
                <w:szCs w:val="21"/>
                <w:highlight w:val="none"/>
              </w:rPr>
              <w:t>，或主要内容不全，或关键字迹模糊、无法辨认的（；</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ascii="宋体" w:hAnsi="宋体" w:cs="宋体"/>
                <w:color w:val="auto"/>
                <w:szCs w:val="21"/>
                <w:highlight w:val="none"/>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投标人之间存在《广东省实施</w:t>
            </w:r>
            <w:r>
              <w:rPr>
                <w:rFonts w:ascii="宋体" w:hAnsi="宋体" w:cs="宋体"/>
                <w:color w:val="auto"/>
                <w:szCs w:val="21"/>
                <w:highlight w:val="none"/>
              </w:rPr>
              <w:t>&lt;</w:t>
            </w:r>
            <w:r>
              <w:rPr>
                <w:rFonts w:hint="eastAsia" w:ascii="宋体" w:hAnsi="宋体" w:cs="宋体"/>
                <w:color w:val="auto"/>
                <w:szCs w:val="21"/>
                <w:highlight w:val="none"/>
              </w:rPr>
              <w:t>中华人民共和国招标投标法</w:t>
            </w:r>
            <w:r>
              <w:rPr>
                <w:rFonts w:ascii="宋体" w:hAnsi="宋体" w:cs="宋体"/>
                <w:color w:val="auto"/>
                <w:szCs w:val="21"/>
                <w:highlight w:val="none"/>
              </w:rPr>
              <w:t>&gt;</w:t>
            </w:r>
            <w:r>
              <w:rPr>
                <w:rFonts w:hint="eastAsia" w:ascii="宋体" w:hAnsi="宋体" w:cs="宋体"/>
                <w:color w:val="auto"/>
                <w:szCs w:val="21"/>
                <w:highlight w:val="none"/>
              </w:rPr>
              <w:t>》第十六条所禁止的情形的；</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shd w:val="pct10" w:color="auto" w:fill="FFFFFF"/>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shd w:val="pct10" w:color="auto" w:fill="FFFFFF"/>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ascii="宋体" w:hAnsi="宋体" w:cs="宋体"/>
                <w:color w:val="auto"/>
                <w:szCs w:val="21"/>
                <w:highlight w:val="none"/>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ascii="宋体" w:hAnsi="宋体" w:cs="宋体"/>
                <w:color w:val="auto"/>
                <w:szCs w:val="21"/>
                <w:highlight w:val="none"/>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投标人未按要求提交投标保证金的</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r>
              <w:rPr>
                <w:rFonts w:ascii="宋体" w:hAnsi="宋体" w:cs="宋体"/>
                <w:color w:val="auto"/>
                <w:szCs w:val="21"/>
                <w:highlight w:val="none"/>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投标人与</w:t>
            </w:r>
            <w:r>
              <w:rPr>
                <w:rFonts w:hint="eastAsia" w:ascii="宋体" w:hAnsi="宋体" w:cs="宋体"/>
                <w:b/>
                <w:color w:val="auto"/>
                <w:szCs w:val="21"/>
                <w:highlight w:val="none"/>
                <w:u w:val="single"/>
              </w:rPr>
              <w:t>本项目</w:t>
            </w:r>
            <w:r>
              <w:rPr>
                <w:rFonts w:hint="eastAsia" w:ascii="宋体" w:hAnsi="宋体" w:cs="宋体"/>
                <w:color w:val="auto"/>
                <w:szCs w:val="21"/>
                <w:highlight w:val="none"/>
              </w:rPr>
              <w:t>其他投标人加密打包投标文件电脑机器特征码一致的</w:t>
            </w:r>
            <w:r>
              <w:rPr>
                <w:rFonts w:ascii="宋体" w:hAnsi="宋体" w:cs="宋体"/>
                <w:color w:val="auto"/>
                <w:szCs w:val="21"/>
                <w:highlight w:val="none"/>
              </w:rPr>
              <w:t>(</w:t>
            </w:r>
            <w:r>
              <w:rPr>
                <w:rFonts w:hint="eastAsia" w:ascii="宋体" w:hAnsi="宋体" w:cs="宋体"/>
                <w:bCs/>
                <w:color w:val="auto"/>
                <w:szCs w:val="21"/>
                <w:highlight w:val="none"/>
                <w:u w:val="single"/>
              </w:rPr>
              <w:t>以广州公共资源交易中心</w:t>
            </w:r>
            <w:r>
              <w:rPr>
                <w:rFonts w:hint="eastAsia" w:ascii="宋体" w:hAnsi="宋体" w:cs="宋体"/>
                <w:bCs/>
                <w:color w:val="auto"/>
                <w:szCs w:val="21"/>
                <w:highlight w:val="none"/>
              </w:rPr>
              <w:t>交易平台</w:t>
            </w:r>
            <w:r>
              <w:rPr>
                <w:rFonts w:hint="eastAsia" w:ascii="宋体" w:hAnsi="宋体" w:cs="宋体"/>
                <w:color w:val="auto"/>
                <w:szCs w:val="21"/>
                <w:highlight w:val="none"/>
              </w:rPr>
              <w:t>评标系统的检索信息为准</w:t>
            </w:r>
            <w:r>
              <w:rPr>
                <w:rFonts w:ascii="宋体" w:hAnsi="宋体" w:cs="宋体"/>
                <w:color w:val="auto"/>
                <w:szCs w:val="21"/>
                <w:highlight w:val="none"/>
              </w:rPr>
              <w:t>)</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s="宋体"/>
          <w:color w:val="auto"/>
          <w:szCs w:val="21"/>
          <w:highlight w:val="none"/>
        </w:rPr>
      </w:pPr>
      <w:r>
        <w:rPr>
          <w:rFonts w:ascii="宋体" w:hAnsi="宋体" w:cs="宋体"/>
          <w:color w:val="auto"/>
          <w:szCs w:val="21"/>
          <w:highlight w:val="none"/>
        </w:rPr>
        <w:t xml:space="preserve">    2.若出现评标委员会否决投标的，应在评标报告中载明否决投标的具体情形、原因。</w:t>
      </w:r>
    </w:p>
    <w:p>
      <w:pPr>
        <w:rPr>
          <w:rFonts w:ascii="宋体" w:hAnsi="宋体" w:cs="宋体"/>
          <w:color w:val="auto"/>
          <w:szCs w:val="21"/>
          <w:highlight w:val="none"/>
        </w:rPr>
      </w:pPr>
      <w:r>
        <w:rPr>
          <w:rFonts w:ascii="宋体" w:hAnsi="宋体" w:cs="宋体"/>
          <w:color w:val="auto"/>
          <w:szCs w:val="21"/>
          <w:highlight w:val="none"/>
        </w:rPr>
        <w:t xml:space="preserve">    3.凡出现以上任何一项情形，结论均为无效，否则就为有效。</w:t>
      </w:r>
    </w:p>
    <w:p>
      <w:pPr>
        <w:ind w:firstLine="420" w:firstLineChars="200"/>
        <w:rPr>
          <w:rFonts w:ascii="宋体" w:hAnsi="宋体" w:cs="宋体"/>
          <w:color w:val="auto"/>
          <w:szCs w:val="21"/>
          <w:highlight w:val="none"/>
        </w:rPr>
      </w:pPr>
      <w:r>
        <w:rPr>
          <w:rFonts w:ascii="宋体" w:hAnsi="宋体" w:cs="宋体"/>
          <w:color w:val="auto"/>
          <w:szCs w:val="21"/>
          <w:highlight w:val="none"/>
        </w:rPr>
        <w:t>4.如对本表中某种情形的评审意见不一致时，以评标委员会过半数成员的意见作为评标委员会对该情形的认定结论。</w:t>
      </w:r>
    </w:p>
    <w:p>
      <w:pPr>
        <w:rPr>
          <w:rFonts w:ascii="宋体" w:hAnsi="宋体" w:cs="宋体"/>
          <w:b/>
          <w:bCs/>
          <w:color w:val="auto"/>
          <w:szCs w:val="21"/>
          <w:highlight w:val="none"/>
        </w:rPr>
      </w:pPr>
      <w:r>
        <w:rPr>
          <w:rFonts w:hint="eastAsia" w:ascii="宋体" w:hAnsi="宋体" w:cs="宋体"/>
          <w:b/>
          <w:bCs/>
          <w:color w:val="auto"/>
          <w:szCs w:val="21"/>
          <w:highlight w:val="none"/>
        </w:rPr>
        <w:t>评委签名：</w:t>
      </w:r>
    </w:p>
    <w:p>
      <w:pPr>
        <w:rPr>
          <w:color w:val="auto"/>
          <w:sz w:val="24"/>
          <w:szCs w:val="32"/>
          <w:highlight w:val="none"/>
          <w:lang w:eastAsia="zh-Hans"/>
        </w:rPr>
      </w:pPr>
      <w:r>
        <w:rPr>
          <w:rFonts w:ascii="宋体" w:hAnsi="宋体" w:cs="宋体"/>
          <w:b/>
          <w:bCs/>
          <w:color w:val="auto"/>
          <w:highlight w:val="none"/>
        </w:rPr>
        <w:br w:type="page"/>
      </w:r>
      <w:r>
        <w:rPr>
          <w:rFonts w:hint="eastAsia"/>
          <w:color w:val="auto"/>
          <w:sz w:val="24"/>
          <w:szCs w:val="32"/>
          <w:highlight w:val="none"/>
          <w:lang w:eastAsia="zh-Hans"/>
        </w:rPr>
        <w:t>附件</w:t>
      </w:r>
      <w:r>
        <w:rPr>
          <w:rFonts w:hint="eastAsia"/>
          <w:color w:val="auto"/>
          <w:sz w:val="24"/>
          <w:szCs w:val="32"/>
          <w:highlight w:val="none"/>
        </w:rPr>
        <w:t>四</w:t>
      </w:r>
      <w:r>
        <w:rPr>
          <w:color w:val="auto"/>
          <w:sz w:val="24"/>
          <w:szCs w:val="32"/>
          <w:highlight w:val="none"/>
          <w:lang w:eastAsia="zh-Hans"/>
        </w:rPr>
        <w:t>：</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670"/>
        <w:gridCol w:w="1321"/>
        <w:gridCol w:w="132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序号</w:t>
            </w:r>
          </w:p>
        </w:tc>
        <w:tc>
          <w:tcPr>
            <w:tcW w:w="967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jc w:val="right"/>
              <w:rPr>
                <w:rFonts w:ascii="宋体" w:hAnsi="宋体" w:cs="宋体"/>
                <w:color w:val="auto"/>
                <w:szCs w:val="21"/>
                <w:highlight w:val="none"/>
              </w:rPr>
            </w:pPr>
            <w:r>
              <w:rPr>
                <w:rFonts w:ascii="宋体" w:hAnsi="宋体" w:cs="宋体"/>
                <w:color w:val="auto"/>
                <w:szCs w:val="21"/>
                <w:highlight w:val="none"/>
              </w:rPr>
              <w:t>投标人</w:t>
            </w:r>
          </w:p>
          <w:p>
            <w:pPr>
              <w:rPr>
                <w:rFonts w:ascii="宋体" w:hAnsi="宋体" w:cs="宋体"/>
                <w:color w:val="auto"/>
                <w:szCs w:val="21"/>
                <w:highlight w:val="none"/>
              </w:rPr>
            </w:pPr>
            <w:r>
              <w:rPr>
                <w:rFonts w:hint="eastAsia" w:ascii="宋体" w:hAnsi="宋体" w:cs="宋体"/>
                <w:color w:val="auto"/>
                <w:szCs w:val="21"/>
                <w:highlight w:val="none"/>
              </w:rPr>
              <w:t>评审内容</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1</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2</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3</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对低于工程成本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4</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算术复核后的投标报价与原投标报价相比存在</w:t>
            </w:r>
            <w:r>
              <w:rPr>
                <w:rFonts w:ascii="宋体" w:hAnsi="宋体" w:cs="宋体"/>
                <w:color w:val="auto"/>
                <w:szCs w:val="21"/>
                <w:highlight w:val="none"/>
              </w:rPr>
              <w:t>1%或以上误差的；</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5</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（除带“★”号的必须按招标文件规定的格式进行编制外，其余格式仅供参考不作为投标文件有效性审查的条件）</w:t>
            </w:r>
            <w:r>
              <w:rPr>
                <w:rFonts w:hint="eastAsia" w:ascii="宋体" w:hAnsi="宋体" w:cs="宋体"/>
                <w:color w:val="auto"/>
                <w:szCs w:val="21"/>
                <w:highlight w:val="none"/>
              </w:rPr>
              <w:t>，或主要内容不全，或关键字迹模糊、无法辨认的；</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6</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不同投标人的投标报价中分部分项工程量清单综合单价相似度达到</w:t>
            </w:r>
            <w:r>
              <w:rPr>
                <w:rFonts w:ascii="宋体" w:hAnsi="宋体" w:cs="宋体"/>
                <w:color w:val="auto"/>
                <w:szCs w:val="21"/>
                <w:highlight w:val="none"/>
              </w:rPr>
              <w:t>80%及以上的(</w:t>
            </w:r>
            <w:r>
              <w:rPr>
                <w:rFonts w:hint="eastAsia" w:ascii="宋体" w:hAnsi="宋体" w:cs="宋体"/>
                <w:bCs/>
                <w:color w:val="auto"/>
                <w:szCs w:val="21"/>
                <w:highlight w:val="none"/>
                <w:u w:val="single"/>
              </w:rPr>
              <w:t>以广州公共资源交易中心</w:t>
            </w:r>
            <w:r>
              <w:rPr>
                <w:rFonts w:hint="eastAsia" w:ascii="宋体" w:hAnsi="宋体" w:cs="宋体"/>
                <w:bCs/>
                <w:color w:val="auto"/>
                <w:szCs w:val="21"/>
                <w:highlight w:val="none"/>
              </w:rPr>
              <w:t>交易平台</w:t>
            </w:r>
            <w:r>
              <w:rPr>
                <w:rFonts w:hint="eastAsia" w:ascii="宋体" w:hAnsi="宋体" w:cs="宋体"/>
                <w:color w:val="auto"/>
                <w:szCs w:val="21"/>
                <w:highlight w:val="none"/>
              </w:rPr>
              <w:t>评标系统的检索信息为准</w:t>
            </w:r>
            <w:r>
              <w:rPr>
                <w:rFonts w:ascii="宋体" w:hAnsi="宋体" w:cs="宋体"/>
                <w:color w:val="auto"/>
                <w:szCs w:val="21"/>
                <w:highlight w:val="none"/>
              </w:rPr>
              <w:t>)</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7</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投标人之间存在《广东省实施</w:t>
            </w:r>
            <w:r>
              <w:rPr>
                <w:rFonts w:ascii="宋体" w:hAnsi="宋体" w:cs="宋体"/>
                <w:color w:val="auto"/>
                <w:szCs w:val="21"/>
                <w:highlight w:val="none"/>
              </w:rPr>
              <w:t>&lt;</w:t>
            </w:r>
            <w:r>
              <w:rPr>
                <w:rFonts w:hint="eastAsia" w:ascii="宋体" w:hAnsi="宋体" w:cs="宋体"/>
                <w:color w:val="auto"/>
                <w:szCs w:val="21"/>
                <w:highlight w:val="none"/>
              </w:rPr>
              <w:t>中华人民共和国招标投标法</w:t>
            </w:r>
            <w:r>
              <w:rPr>
                <w:rFonts w:ascii="宋体" w:hAnsi="宋体" w:cs="宋体"/>
                <w:color w:val="auto"/>
                <w:szCs w:val="21"/>
                <w:highlight w:val="none"/>
              </w:rPr>
              <w:t>&gt;</w:t>
            </w:r>
            <w:r>
              <w:rPr>
                <w:rFonts w:hint="eastAsia" w:ascii="宋体" w:hAnsi="宋体" w:cs="宋体"/>
                <w:color w:val="auto"/>
                <w:szCs w:val="21"/>
                <w:highlight w:val="none"/>
              </w:rPr>
              <w:t>》第十六条所禁止的情形的；</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8</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ascii="宋体" w:hAnsi="宋体" w:cs="宋体"/>
                <w:color w:val="auto"/>
                <w:szCs w:val="21"/>
                <w:highlight w:val="none"/>
              </w:rPr>
              <w:t>9</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w:t>
            </w:r>
          </w:p>
        </w:tc>
        <w:tc>
          <w:tcPr>
            <w:tcW w:w="96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bCs/>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highlight w:val="none"/>
              </w:rPr>
            </w:pPr>
          </w:p>
        </w:tc>
      </w:tr>
    </w:tbl>
    <w:p>
      <w:pPr>
        <w:ind w:firstLine="458"/>
        <w:rPr>
          <w:rFonts w:ascii="宋体" w:hAns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1.本表使用GZZB2018-3招标文件范本，与范本内容不同之处均以下划线标明。</w:t>
      </w:r>
    </w:p>
    <w:p>
      <w:pPr>
        <w:ind w:firstLine="458"/>
        <w:rPr>
          <w:rFonts w:ascii="宋体" w:hAnsi="宋体" w:cs="宋体"/>
          <w:color w:val="auto"/>
          <w:szCs w:val="21"/>
          <w:highlight w:val="none"/>
        </w:rPr>
      </w:pPr>
      <w:r>
        <w:rPr>
          <w:rFonts w:ascii="宋体" w:hAnsi="宋体" w:cs="宋体"/>
          <w:color w:val="auto"/>
          <w:szCs w:val="21"/>
          <w:highlight w:val="none"/>
        </w:rPr>
        <w:t>2.凡出现以上任何一项情形，结论均为无效，否则就为有效。</w:t>
      </w:r>
    </w:p>
    <w:p>
      <w:pPr>
        <w:ind w:firstLine="458"/>
        <w:rPr>
          <w:rFonts w:ascii="宋体" w:hAnsi="宋体" w:cs="宋体"/>
          <w:color w:val="auto"/>
          <w:szCs w:val="21"/>
          <w:highlight w:val="none"/>
        </w:rPr>
      </w:pPr>
      <w:r>
        <w:rPr>
          <w:rFonts w:ascii="宋体" w:hAnsi="宋体" w:cs="宋体"/>
          <w:color w:val="auto"/>
          <w:szCs w:val="21"/>
          <w:highlight w:val="none"/>
        </w:rPr>
        <w:t>3.如对本表中某种情形的评审意见不一致时，以评标委员会过半数成员的意见作为评标委员会对该情形的认定结论。</w:t>
      </w:r>
    </w:p>
    <w:p>
      <w:pPr>
        <w:pStyle w:val="2"/>
        <w:ind w:firstLine="458"/>
        <w:rPr>
          <w:rFonts w:ascii="宋体" w:hAnsi="宋体" w:cs="宋体"/>
          <w:b/>
          <w:bCs/>
          <w:color w:val="auto"/>
          <w:sz w:val="21"/>
          <w:szCs w:val="21"/>
          <w:highlight w:val="none"/>
        </w:rPr>
        <w:sectPr>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s="宋体"/>
          <w:b/>
          <w:bCs/>
          <w:color w:val="auto"/>
          <w:sz w:val="21"/>
          <w:szCs w:val="21"/>
          <w:highlight w:val="none"/>
        </w:rPr>
        <w:t>评委签名：</w:t>
      </w:r>
    </w:p>
    <w:p>
      <w:pPr>
        <w:rPr>
          <w:color w:val="auto"/>
          <w:szCs w:val="21"/>
          <w:highlight w:val="none"/>
        </w:rPr>
      </w:pPr>
      <w:r>
        <w:rPr>
          <w:rFonts w:hint="eastAsia"/>
          <w:color w:val="auto"/>
          <w:szCs w:val="21"/>
          <w:highlight w:val="none"/>
        </w:rPr>
        <w:t>附件五</w:t>
      </w:r>
    </w:p>
    <w:p>
      <w:pPr>
        <w:jc w:val="center"/>
        <w:rPr>
          <w:b/>
          <w:color w:val="auto"/>
          <w:sz w:val="36"/>
          <w:szCs w:val="36"/>
          <w:highlight w:val="none"/>
        </w:rPr>
      </w:pPr>
      <w:r>
        <w:rPr>
          <w:rFonts w:hint="eastAsia"/>
          <w:b/>
          <w:color w:val="auto"/>
          <w:sz w:val="36"/>
          <w:szCs w:val="36"/>
          <w:highlight w:val="none"/>
        </w:rPr>
        <w:t>技术标详细审查评分表</w:t>
      </w:r>
    </w:p>
    <w:tbl>
      <w:tblPr>
        <w:tblStyle w:val="11"/>
        <w:tblW w:w="14585" w:type="dxa"/>
        <w:tblInd w:w="0" w:type="dxa"/>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9"/>
        <w:gridCol w:w="1290"/>
        <w:gridCol w:w="810"/>
        <w:gridCol w:w="11336"/>
      </w:tblGrid>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blHeader/>
        </w:trPr>
        <w:tc>
          <w:tcPr>
            <w:tcW w:w="1149" w:type="dxa"/>
            <w:tcBorders>
              <w:top w:val="single" w:color="000000" w:sz="8" w:space="0"/>
              <w:left w:val="single" w:color="000000" w:sz="8" w:space="0"/>
              <w:bottom w:val="single" w:color="000000" w:sz="4" w:space="0"/>
              <w:right w:val="single" w:color="000000" w:sz="4" w:space="0"/>
            </w:tcBorders>
            <w:noWrap w:val="0"/>
            <w:vAlign w:val="center"/>
          </w:tcPr>
          <w:p>
            <w:pPr>
              <w:snapToGrid w:val="0"/>
              <w:spacing w:line="276" w:lineRule="auto"/>
              <w:jc w:val="center"/>
              <w:rPr>
                <w:rStyle w:val="19"/>
                <w:rFonts w:hint="eastAsia" w:ascii="宋体" w:hAnsi="宋体" w:cs="宋体"/>
                <w:b/>
                <w:bCs/>
                <w:color w:val="auto"/>
                <w:sz w:val="18"/>
                <w:szCs w:val="18"/>
                <w:highlight w:val="none"/>
              </w:rPr>
            </w:pPr>
            <w:r>
              <w:rPr>
                <w:rStyle w:val="19"/>
                <w:rFonts w:hint="eastAsia" w:ascii="宋体" w:hAnsi="宋体" w:cs="宋体"/>
                <w:b/>
                <w:bCs/>
                <w:color w:val="auto"/>
                <w:sz w:val="18"/>
                <w:szCs w:val="18"/>
                <w:highlight w:val="none"/>
              </w:rPr>
              <w:t>评分项目</w:t>
            </w:r>
          </w:p>
        </w:tc>
        <w:tc>
          <w:tcPr>
            <w:tcW w:w="1290" w:type="dxa"/>
            <w:tcBorders>
              <w:top w:val="single" w:color="000000" w:sz="8" w:space="0"/>
              <w:left w:val="single" w:color="000000" w:sz="4" w:space="0"/>
              <w:bottom w:val="single" w:color="000000" w:sz="4" w:space="0"/>
              <w:right w:val="single" w:color="000000" w:sz="4" w:space="0"/>
            </w:tcBorders>
            <w:noWrap w:val="0"/>
            <w:vAlign w:val="center"/>
          </w:tcPr>
          <w:p>
            <w:pPr>
              <w:snapToGrid w:val="0"/>
              <w:spacing w:line="276" w:lineRule="auto"/>
              <w:jc w:val="center"/>
              <w:rPr>
                <w:rStyle w:val="19"/>
                <w:rFonts w:hint="eastAsia" w:ascii="宋体" w:hAnsi="宋体" w:cs="宋体"/>
                <w:b/>
                <w:bCs/>
                <w:color w:val="auto"/>
                <w:sz w:val="18"/>
                <w:szCs w:val="18"/>
                <w:highlight w:val="none"/>
              </w:rPr>
            </w:pPr>
            <w:r>
              <w:rPr>
                <w:rStyle w:val="19"/>
                <w:rFonts w:hint="eastAsia" w:ascii="宋体" w:hAnsi="宋体" w:cs="宋体"/>
                <w:b/>
                <w:bCs/>
                <w:color w:val="auto"/>
                <w:sz w:val="18"/>
                <w:szCs w:val="18"/>
                <w:highlight w:val="none"/>
              </w:rPr>
              <w:t>评分内容</w:t>
            </w:r>
          </w:p>
        </w:tc>
        <w:tc>
          <w:tcPr>
            <w:tcW w:w="810" w:type="dxa"/>
            <w:tcBorders>
              <w:top w:val="single" w:color="000000" w:sz="8" w:space="0"/>
              <w:left w:val="single" w:color="000000" w:sz="4" w:space="0"/>
              <w:bottom w:val="single" w:color="000000" w:sz="4" w:space="0"/>
              <w:right w:val="single" w:color="000000" w:sz="4" w:space="0"/>
            </w:tcBorders>
            <w:noWrap w:val="0"/>
            <w:vAlign w:val="center"/>
          </w:tcPr>
          <w:p>
            <w:pPr>
              <w:snapToGrid w:val="0"/>
              <w:spacing w:line="276" w:lineRule="auto"/>
              <w:jc w:val="center"/>
              <w:rPr>
                <w:rStyle w:val="19"/>
                <w:rFonts w:hint="eastAsia" w:ascii="宋体" w:hAnsi="宋体" w:cs="宋体"/>
                <w:b/>
                <w:bCs/>
                <w:color w:val="auto"/>
                <w:sz w:val="18"/>
                <w:szCs w:val="18"/>
                <w:highlight w:val="none"/>
              </w:rPr>
            </w:pPr>
            <w:r>
              <w:rPr>
                <w:rStyle w:val="19"/>
                <w:rFonts w:hint="eastAsia" w:ascii="宋体" w:hAnsi="宋体" w:cs="宋体"/>
                <w:b/>
                <w:bCs/>
                <w:color w:val="auto"/>
                <w:sz w:val="18"/>
                <w:szCs w:val="18"/>
                <w:highlight w:val="none"/>
              </w:rPr>
              <w:t>分值</w:t>
            </w:r>
          </w:p>
        </w:tc>
        <w:tc>
          <w:tcPr>
            <w:tcW w:w="11336" w:type="dxa"/>
            <w:tcBorders>
              <w:top w:val="single" w:color="000000" w:sz="8" w:space="0"/>
              <w:left w:val="single" w:color="000000" w:sz="4" w:space="0"/>
              <w:bottom w:val="single" w:color="000000" w:sz="4" w:space="0"/>
              <w:right w:val="single" w:color="000000" w:sz="4" w:space="0"/>
            </w:tcBorders>
            <w:noWrap w:val="0"/>
            <w:vAlign w:val="center"/>
          </w:tcPr>
          <w:p>
            <w:pPr>
              <w:snapToGrid w:val="0"/>
              <w:spacing w:line="276" w:lineRule="auto"/>
              <w:jc w:val="center"/>
              <w:rPr>
                <w:rStyle w:val="19"/>
                <w:rFonts w:hint="eastAsia" w:ascii="宋体" w:hAnsi="宋体" w:cs="宋体"/>
                <w:b/>
                <w:bCs/>
                <w:color w:val="auto"/>
                <w:sz w:val="18"/>
                <w:szCs w:val="18"/>
                <w:highlight w:val="none"/>
              </w:rPr>
            </w:pPr>
            <w:r>
              <w:rPr>
                <w:rStyle w:val="19"/>
                <w:rFonts w:hint="eastAsia" w:ascii="宋体" w:hAnsi="宋体" w:cs="宋体"/>
                <w:b/>
                <w:bCs/>
                <w:color w:val="auto"/>
                <w:sz w:val="18"/>
                <w:szCs w:val="18"/>
                <w:highlight w:val="none"/>
              </w:rPr>
              <w:t>评审标准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PrEx>
        <w:trPr>
          <w:trHeight w:val="415" w:hRule="atLeast"/>
        </w:trPr>
        <w:tc>
          <w:tcPr>
            <w:tcW w:w="1149" w:type="dxa"/>
            <w:vMerge w:val="restart"/>
            <w:tcBorders>
              <w:top w:val="single" w:color="000000" w:sz="4" w:space="0"/>
              <w:left w:val="single" w:color="000000" w:sz="8"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企业资信（</w:t>
            </w:r>
            <w:r>
              <w:rPr>
                <w:rStyle w:val="19"/>
                <w:rFonts w:hint="eastAsia" w:ascii="宋体" w:hAnsi="宋体" w:cs="宋体"/>
                <w:bCs/>
                <w:color w:val="auto"/>
                <w:sz w:val="18"/>
                <w:szCs w:val="18"/>
                <w:highlight w:val="none"/>
                <w:lang w:val="zh-TW" w:eastAsia="zh-TW"/>
              </w:rPr>
              <w:t>30</w:t>
            </w:r>
            <w:r>
              <w:rPr>
                <w:rStyle w:val="19"/>
                <w:rFonts w:hint="eastAsia" w:ascii="宋体" w:hAnsi="宋体" w:cs="宋体"/>
                <w:bCs/>
                <w:color w:val="auto"/>
                <w:sz w:val="18"/>
                <w:szCs w:val="18"/>
                <w:highlight w:val="none"/>
                <w:lang w:val="zh-TW"/>
              </w:rPr>
              <w:t>分）</w:t>
            </w:r>
          </w:p>
        </w:tc>
        <w:tc>
          <w:tcPr>
            <w:tcW w:w="1290" w:type="dxa"/>
            <w:tcBorders>
              <w:top w:val="single" w:color="000000" w:sz="4" w:space="0"/>
              <w:left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企业业绩</w:t>
            </w:r>
          </w:p>
        </w:tc>
        <w:tc>
          <w:tcPr>
            <w:tcW w:w="810" w:type="dxa"/>
            <w:tcBorders>
              <w:top w:val="single" w:color="000000" w:sz="4" w:space="0"/>
              <w:left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25</w:t>
            </w:r>
          </w:p>
        </w:tc>
        <w:tc>
          <w:tcPr>
            <w:tcW w:w="11336" w:type="dxa"/>
            <w:tcBorders>
              <w:top w:val="single" w:color="000000" w:sz="4" w:space="0"/>
              <w:left w:val="single" w:color="000000" w:sz="4" w:space="0"/>
              <w:right w:val="single" w:color="000000" w:sz="4" w:space="0"/>
            </w:tcBorders>
            <w:noWrap w:val="0"/>
            <w:vAlign w:val="center"/>
          </w:tcPr>
          <w:p>
            <w:pPr>
              <w:widowControl/>
              <w:spacing w:line="276" w:lineRule="auto"/>
              <w:ind w:right="134" w:rightChars="64"/>
              <w:rPr>
                <w:rFonts w:hint="eastAsia" w:ascii="宋体" w:hAnsi="宋体" w:cs="宋体"/>
                <w:color w:val="auto"/>
                <w:sz w:val="18"/>
                <w:szCs w:val="18"/>
                <w:highlight w:val="none"/>
              </w:rPr>
            </w:pPr>
            <w:r>
              <w:rPr>
                <w:rFonts w:hint="eastAsia" w:ascii="宋体" w:hAnsi="宋体" w:cs="宋体"/>
                <w:color w:val="auto"/>
                <w:sz w:val="18"/>
                <w:szCs w:val="18"/>
                <w:highlight w:val="none"/>
              </w:rPr>
              <w:t>自2019年1月1日至投标截止时间止，完成过单项合同金额≥280万元的建筑工程施工总承包工程，每项得5分，最高得25分。</w:t>
            </w:r>
          </w:p>
          <w:p>
            <w:pPr>
              <w:widowControl/>
              <w:spacing w:line="276" w:lineRule="auto"/>
              <w:ind w:right="134" w:rightChars="64"/>
              <w:rPr>
                <w:rFonts w:hint="eastAsia" w:ascii="宋体" w:hAnsi="宋体" w:cs="宋体"/>
                <w:color w:val="auto"/>
                <w:sz w:val="18"/>
                <w:szCs w:val="18"/>
                <w:highlight w:val="none"/>
              </w:rPr>
            </w:pPr>
            <w:r>
              <w:rPr>
                <w:rFonts w:hint="eastAsia" w:ascii="宋体" w:hAnsi="宋体" w:cs="宋体"/>
                <w:color w:val="auto"/>
                <w:sz w:val="18"/>
                <w:szCs w:val="18"/>
                <w:highlight w:val="none"/>
              </w:rPr>
              <w:t>注：业绩完成时间以竣工验收证明为准。金额以合同载明工程金额为准；如工程业绩是设计施工一体化工程项目，投标人应为该项目承担施工任务的一方，金额以合同载明施工部分金额为准。如业绩资料不能证明业绩指标（指金额）的，须另提供经建设单位确认的可证明业绩指标的证明资料扫描件。不符合上述条件的不得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149" w:type="dxa"/>
            <w:vMerge w:val="continue"/>
            <w:tcBorders>
              <w:left w:val="single" w:color="000000" w:sz="8"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lang w:val="zh-TW"/>
              </w:rPr>
            </w:pPr>
          </w:p>
        </w:tc>
        <w:tc>
          <w:tcPr>
            <w:tcW w:w="1290" w:type="dxa"/>
            <w:tcBorders>
              <w:top w:val="single" w:color="000000" w:sz="4" w:space="0"/>
              <w:left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第三方评价</w:t>
            </w:r>
          </w:p>
        </w:tc>
        <w:tc>
          <w:tcPr>
            <w:tcW w:w="810" w:type="dxa"/>
            <w:tcBorders>
              <w:top w:val="single" w:color="000000" w:sz="4" w:space="0"/>
              <w:left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rPr>
            </w:pPr>
            <w:r>
              <w:rPr>
                <w:rStyle w:val="19"/>
                <w:rFonts w:ascii="宋体" w:hAnsi="宋体" w:cs="宋体"/>
                <w:bCs/>
                <w:color w:val="auto"/>
                <w:sz w:val="18"/>
                <w:szCs w:val="18"/>
                <w:highlight w:val="none"/>
              </w:rPr>
              <w:t>3</w:t>
            </w:r>
          </w:p>
        </w:tc>
        <w:tc>
          <w:tcPr>
            <w:tcW w:w="11336" w:type="dxa"/>
            <w:tcBorders>
              <w:top w:val="single" w:color="000000" w:sz="4" w:space="0"/>
              <w:left w:val="single" w:color="000000" w:sz="4" w:space="0"/>
              <w:right w:val="single" w:color="000000" w:sz="4" w:space="0"/>
            </w:tcBorders>
            <w:noWrap w:val="0"/>
            <w:vAlign w:val="center"/>
          </w:tcPr>
          <w:p>
            <w:pPr>
              <w:widowControl/>
              <w:spacing w:line="276" w:lineRule="auto"/>
              <w:ind w:right="134" w:rightChars="64"/>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投标人曾经连续获得过“纳税信用 A 级纳税人”称号（须含2021评审年度）的：</w:t>
            </w:r>
          </w:p>
          <w:p>
            <w:pPr>
              <w:widowControl/>
              <w:numPr>
                <w:ilvl w:val="0"/>
                <w:numId w:val="6"/>
              </w:numPr>
              <w:spacing w:line="276" w:lineRule="auto"/>
              <w:ind w:right="134" w:rightChars="64"/>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连续获得5个年度或以上的，得</w:t>
            </w:r>
            <w:r>
              <w:rPr>
                <w:rStyle w:val="19"/>
                <w:rFonts w:ascii="宋体" w:hAnsi="宋体" w:cs="宋体"/>
                <w:bCs/>
                <w:color w:val="auto"/>
                <w:sz w:val="18"/>
                <w:szCs w:val="18"/>
                <w:highlight w:val="none"/>
              </w:rPr>
              <w:t>3</w:t>
            </w:r>
            <w:r>
              <w:rPr>
                <w:rStyle w:val="19"/>
                <w:rFonts w:hint="eastAsia" w:ascii="宋体" w:hAnsi="宋体" w:cs="宋体"/>
                <w:bCs/>
                <w:color w:val="auto"/>
                <w:sz w:val="18"/>
                <w:szCs w:val="18"/>
                <w:highlight w:val="none"/>
                <w:lang w:val="zh-TW"/>
              </w:rPr>
              <w:t>分；</w:t>
            </w:r>
          </w:p>
          <w:p>
            <w:pPr>
              <w:widowControl/>
              <w:numPr>
                <w:ilvl w:val="0"/>
                <w:numId w:val="6"/>
              </w:numPr>
              <w:spacing w:line="276" w:lineRule="auto"/>
              <w:ind w:right="134" w:rightChars="64"/>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连续获得4个年度的，得2.5分；</w:t>
            </w:r>
          </w:p>
          <w:p>
            <w:pPr>
              <w:widowControl/>
              <w:numPr>
                <w:ilvl w:val="0"/>
                <w:numId w:val="6"/>
              </w:numPr>
              <w:spacing w:line="276" w:lineRule="auto"/>
              <w:ind w:right="134" w:rightChars="64"/>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连续获得3个年度的，得2分；</w:t>
            </w:r>
          </w:p>
          <w:p>
            <w:pPr>
              <w:widowControl/>
              <w:numPr>
                <w:ilvl w:val="0"/>
                <w:numId w:val="6"/>
              </w:numPr>
              <w:spacing w:line="276" w:lineRule="auto"/>
              <w:ind w:right="134" w:rightChars="64"/>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曾获得过2个年度的，得1分；</w:t>
            </w:r>
          </w:p>
          <w:p>
            <w:pPr>
              <w:widowControl/>
              <w:numPr>
                <w:ilvl w:val="0"/>
                <w:numId w:val="6"/>
              </w:numPr>
              <w:spacing w:line="276" w:lineRule="auto"/>
              <w:ind w:right="134" w:rightChars="64"/>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曾获得过</w:t>
            </w:r>
            <w:r>
              <w:rPr>
                <w:rStyle w:val="19"/>
                <w:rFonts w:hint="eastAsia" w:ascii="宋体" w:hAnsi="宋体" w:cs="宋体"/>
                <w:bCs/>
                <w:color w:val="auto"/>
                <w:sz w:val="18"/>
                <w:szCs w:val="18"/>
                <w:highlight w:val="none"/>
                <w:lang w:val="zh-TW" w:eastAsia="zh-TW"/>
              </w:rPr>
              <w:t>1</w:t>
            </w:r>
            <w:r>
              <w:rPr>
                <w:rStyle w:val="19"/>
                <w:rFonts w:hint="eastAsia" w:ascii="宋体" w:hAnsi="宋体" w:cs="宋体"/>
                <w:bCs/>
                <w:color w:val="auto"/>
                <w:sz w:val="18"/>
                <w:szCs w:val="18"/>
                <w:highlight w:val="none"/>
                <w:lang w:val="zh-TW"/>
              </w:rPr>
              <w:t>个年度的，得0.5分</w:t>
            </w:r>
          </w:p>
          <w:p>
            <w:pPr>
              <w:widowControl/>
              <w:numPr>
                <w:ilvl w:val="0"/>
                <w:numId w:val="6"/>
              </w:numPr>
              <w:spacing w:line="276" w:lineRule="auto"/>
              <w:ind w:right="134" w:rightChars="64"/>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其他不得分。</w:t>
            </w:r>
          </w:p>
          <w:p>
            <w:pPr>
              <w:widowControl/>
              <w:spacing w:line="276" w:lineRule="auto"/>
              <w:ind w:right="134" w:rightChars="64"/>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本项最高得</w:t>
            </w:r>
            <w:r>
              <w:rPr>
                <w:rStyle w:val="19"/>
                <w:rFonts w:ascii="宋体" w:hAnsi="宋体" w:cs="宋体"/>
                <w:bCs/>
                <w:color w:val="auto"/>
                <w:sz w:val="18"/>
                <w:szCs w:val="18"/>
                <w:highlight w:val="none"/>
              </w:rPr>
              <w:t>3</w:t>
            </w:r>
            <w:r>
              <w:rPr>
                <w:rStyle w:val="19"/>
                <w:rFonts w:hint="eastAsia" w:ascii="宋体" w:hAnsi="宋体" w:cs="宋体"/>
                <w:bCs/>
                <w:color w:val="auto"/>
                <w:sz w:val="18"/>
                <w:szCs w:val="18"/>
                <w:highlight w:val="none"/>
                <w:lang w:val="zh-TW"/>
              </w:rPr>
              <w:t>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149" w:type="dxa"/>
            <w:vMerge w:val="continue"/>
            <w:tcBorders>
              <w:left w:val="single" w:color="000000" w:sz="8"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lang w:val="zh-TW"/>
              </w:rPr>
            </w:pPr>
          </w:p>
        </w:tc>
        <w:tc>
          <w:tcPr>
            <w:tcW w:w="1290" w:type="dxa"/>
            <w:tcBorders>
              <w:top w:val="single" w:color="000000" w:sz="4" w:space="0"/>
              <w:left w:val="single" w:color="000000" w:sz="4" w:space="0"/>
              <w:right w:val="single" w:color="000000" w:sz="4" w:space="0"/>
            </w:tcBorders>
            <w:noWrap w:val="0"/>
            <w:vAlign w:val="center"/>
          </w:tcPr>
          <w:p>
            <w:pPr>
              <w:spacing w:line="276" w:lineRule="auto"/>
              <w:jc w:val="center"/>
              <w:rPr>
                <w:rStyle w:val="19"/>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财务指标</w:t>
            </w:r>
          </w:p>
        </w:tc>
        <w:tc>
          <w:tcPr>
            <w:tcW w:w="810" w:type="dxa"/>
            <w:tcBorders>
              <w:top w:val="single" w:color="000000" w:sz="4" w:space="0"/>
              <w:left w:val="single" w:color="000000" w:sz="4" w:space="0"/>
              <w:right w:val="single" w:color="000000" w:sz="4" w:space="0"/>
            </w:tcBorders>
            <w:noWrap w:val="0"/>
            <w:vAlign w:val="center"/>
          </w:tcPr>
          <w:p>
            <w:pPr>
              <w:spacing w:line="276" w:lineRule="auto"/>
              <w:jc w:val="center"/>
              <w:rPr>
                <w:rStyle w:val="19"/>
                <w:rFonts w:ascii="宋体" w:hAnsi="宋体" w:cs="宋体"/>
                <w:bCs/>
                <w:color w:val="auto"/>
                <w:sz w:val="18"/>
                <w:szCs w:val="18"/>
                <w:highlight w:val="none"/>
              </w:rPr>
            </w:pPr>
            <w:r>
              <w:rPr>
                <w:rStyle w:val="19"/>
                <w:rFonts w:hint="eastAsia" w:ascii="宋体" w:hAnsi="宋体" w:cs="宋体"/>
                <w:bCs/>
                <w:color w:val="auto"/>
                <w:sz w:val="18"/>
                <w:szCs w:val="18"/>
                <w:highlight w:val="none"/>
              </w:rPr>
              <w:t>2</w:t>
            </w:r>
          </w:p>
        </w:tc>
        <w:tc>
          <w:tcPr>
            <w:tcW w:w="11336" w:type="dxa"/>
            <w:tcBorders>
              <w:top w:val="single" w:color="000000" w:sz="4" w:space="0"/>
              <w:left w:val="single" w:color="000000" w:sz="4" w:space="0"/>
              <w:right w:val="single" w:color="000000" w:sz="4" w:space="0"/>
            </w:tcBorders>
            <w:noWrap w:val="0"/>
            <w:vAlign w:val="center"/>
          </w:tcPr>
          <w:p>
            <w:pPr>
              <w:spacing w:line="276" w:lineRule="auto"/>
              <w:rPr>
                <w:rStyle w:val="19"/>
                <w:rFonts w:hint="eastAsia" w:ascii="宋体" w:hAnsi="宋体" w:cs="宋体"/>
                <w:bCs/>
                <w:color w:val="auto"/>
                <w:sz w:val="18"/>
                <w:szCs w:val="18"/>
                <w:highlight w:val="none"/>
                <w:lang w:val="zh-TW"/>
              </w:rPr>
            </w:pPr>
            <w:r>
              <w:rPr>
                <w:rFonts w:hint="eastAsia" w:ascii="宋体" w:hAnsi="宋体" w:cs="宋体"/>
                <w:color w:val="auto"/>
                <w:sz w:val="18"/>
                <w:szCs w:val="18"/>
                <w:highlight w:val="none"/>
              </w:rPr>
              <w:t>投标人近三年（2019年-2021年）度经会计事务所或税务师事务所审计的财务报告，三年均盈利得2分，一年或两年盈利得1分，三年均不盈利或未提供相关材料得0分。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49" w:type="dxa"/>
            <w:vMerge w:val="restart"/>
            <w:tcBorders>
              <w:top w:val="single" w:color="000000" w:sz="4" w:space="0"/>
              <w:left w:val="single" w:color="000000" w:sz="8" w:space="0"/>
              <w:bottom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项目管理机构能力</w:t>
            </w:r>
          </w:p>
          <w:p>
            <w:pPr>
              <w:widowControl/>
              <w:spacing w:line="276" w:lineRule="auto"/>
              <w:ind w:right="134" w:rightChars="64"/>
              <w:jc w:val="center"/>
              <w:rPr>
                <w:rStyle w:val="19"/>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w:t>
            </w:r>
            <w:r>
              <w:rPr>
                <w:rStyle w:val="19"/>
                <w:rFonts w:hint="eastAsia" w:ascii="宋体" w:hAnsi="宋体" w:cs="宋体"/>
                <w:bCs/>
                <w:color w:val="auto"/>
                <w:sz w:val="18"/>
                <w:szCs w:val="18"/>
                <w:highlight w:val="none"/>
              </w:rPr>
              <w:t>60</w:t>
            </w:r>
            <w:r>
              <w:rPr>
                <w:rStyle w:val="19"/>
                <w:rFonts w:hint="eastAsia" w:ascii="宋体" w:hAnsi="宋体" w:cs="宋体"/>
                <w:bCs/>
                <w:color w:val="auto"/>
                <w:sz w:val="18"/>
                <w:szCs w:val="18"/>
                <w:highlight w:val="none"/>
                <w:lang w:val="zh-TW"/>
              </w:rPr>
              <w:t>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宋体" w:hAnsi="宋体" w:cs="宋体"/>
                <w:color w:val="auto"/>
                <w:sz w:val="18"/>
                <w:szCs w:val="18"/>
                <w:highlight w:val="none"/>
                <w:lang w:val="zh-TW"/>
              </w:rPr>
            </w:pPr>
            <w:r>
              <w:rPr>
                <w:rStyle w:val="19"/>
                <w:rFonts w:hint="eastAsia" w:ascii="宋体" w:hAnsi="宋体" w:cs="宋体"/>
                <w:bCs/>
                <w:color w:val="auto"/>
                <w:sz w:val="18"/>
                <w:szCs w:val="18"/>
                <w:highlight w:val="none"/>
                <w:lang w:val="zh-TW"/>
              </w:rPr>
              <w:t>质量负责人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宋体" w:hAnsi="宋体" w:cs="宋体"/>
                <w:color w:val="auto"/>
                <w:sz w:val="18"/>
                <w:szCs w:val="18"/>
                <w:highlight w:val="none"/>
              </w:rPr>
            </w:pPr>
            <w:r>
              <w:rPr>
                <w:rStyle w:val="19"/>
                <w:rFonts w:hint="eastAsia" w:ascii="宋体" w:hAnsi="宋体" w:cs="宋体"/>
                <w:bCs/>
                <w:color w:val="auto"/>
                <w:sz w:val="18"/>
                <w:szCs w:val="18"/>
                <w:highlight w:val="none"/>
              </w:rPr>
              <w:t>15</w:t>
            </w:r>
          </w:p>
        </w:tc>
        <w:tc>
          <w:tcPr>
            <w:tcW w:w="11336"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hint="eastAsia" w:ascii="宋体" w:hAnsi="宋体" w:cs="宋体"/>
                <w:color w:val="auto"/>
                <w:sz w:val="18"/>
                <w:szCs w:val="18"/>
                <w:highlight w:val="none"/>
              </w:rPr>
            </w:pPr>
            <w:r>
              <w:rPr>
                <w:rStyle w:val="20"/>
                <w:rFonts w:hint="default" w:ascii="宋体" w:hAnsi="宋体" w:eastAsia="宋体" w:cs="宋体"/>
                <w:color w:val="auto"/>
                <w:highlight w:val="none"/>
              </w:rPr>
              <w:t>拟委派的</w:t>
            </w:r>
            <w:r>
              <w:rPr>
                <w:rStyle w:val="19"/>
                <w:rFonts w:hint="eastAsia" w:ascii="宋体" w:hAnsi="宋体" w:cs="宋体"/>
                <w:color w:val="auto"/>
                <w:sz w:val="18"/>
                <w:szCs w:val="18"/>
                <w:highlight w:val="none"/>
                <w:lang w:val="zh-TW"/>
              </w:rPr>
              <w:t>质量负责人</w:t>
            </w:r>
            <w:r>
              <w:rPr>
                <w:rStyle w:val="20"/>
                <w:rFonts w:hint="default" w:ascii="宋体" w:hAnsi="宋体" w:eastAsia="宋体" w:cs="宋体"/>
                <w:color w:val="auto"/>
                <w:highlight w:val="none"/>
              </w:rPr>
              <w:t>自2019年1月1日至投标截止时间止，完成过单项合同金额≥100万元的建筑工程业绩，每个得5分，最高得15分。</w:t>
            </w:r>
            <w:r>
              <w:rPr>
                <w:rStyle w:val="19"/>
                <w:rFonts w:hint="eastAsia" w:ascii="宋体" w:hAnsi="宋体" w:cs="宋体"/>
                <w:color w:val="auto"/>
                <w:sz w:val="18"/>
                <w:szCs w:val="18"/>
                <w:highlight w:val="none"/>
                <w:lang w:val="zh-TW"/>
              </w:rPr>
              <w:t>本项累计最高得</w:t>
            </w:r>
            <w:r>
              <w:rPr>
                <w:rStyle w:val="19"/>
                <w:rFonts w:hint="eastAsia" w:ascii="宋体" w:hAnsi="宋体" w:cs="宋体"/>
                <w:color w:val="auto"/>
                <w:sz w:val="18"/>
                <w:szCs w:val="18"/>
                <w:highlight w:val="none"/>
                <w:lang w:val="zh-TW" w:eastAsia="zh-TW"/>
              </w:rPr>
              <w:t>15</w:t>
            </w:r>
            <w:r>
              <w:rPr>
                <w:rStyle w:val="19"/>
                <w:rFonts w:hint="eastAsia" w:ascii="宋体" w:hAnsi="宋体" w:cs="宋体"/>
                <w:color w:val="auto"/>
                <w:sz w:val="18"/>
                <w:szCs w:val="18"/>
                <w:highlight w:val="none"/>
                <w:lang w:val="zh-TW"/>
              </w:rPr>
              <w:t>分，不满足不得分。</w:t>
            </w:r>
            <w:r>
              <w:rPr>
                <w:rFonts w:hint="eastAsia" w:ascii="宋体" w:hAnsi="宋体" w:cs="宋体"/>
                <w:color w:val="auto"/>
                <w:sz w:val="18"/>
                <w:szCs w:val="18"/>
                <w:highlight w:val="none"/>
              </w:rPr>
              <w:t>业绩证明材料应提供以下材料的彩色扫描件并加盖投标人电子印章：中标通知书或免招标证明、施工合同、竣工验收证明（验收文件至少具有建设单位、设计、施工单位盖章）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业绩完成时间以竣工验收证明为准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金额以合同载明工程金额为准</w:t>
            </w:r>
            <w:r>
              <w:rPr>
                <w:rFonts w:hint="eastAsia" w:ascii="宋体" w:hAnsi="宋体" w:cs="宋体"/>
                <w:color w:val="auto"/>
                <w:sz w:val="18"/>
                <w:szCs w:val="18"/>
                <w:highlight w:val="none"/>
                <w:lang w:eastAsia="zh-CN"/>
              </w:rPr>
              <w:t>；以上证明材料中至少一种须体现该质量负责人参与过该项业绩（身份不限），如无，则</w:t>
            </w:r>
            <w:r>
              <w:rPr>
                <w:rFonts w:hint="eastAsia" w:ascii="宋体" w:hAnsi="宋体" w:cs="宋体"/>
                <w:color w:val="auto"/>
                <w:sz w:val="18"/>
                <w:szCs w:val="18"/>
                <w:highlight w:val="none"/>
                <w:lang w:val="en-US" w:eastAsia="zh-CN"/>
              </w:rPr>
              <w:t>提供体现该人员参与过该项目的证明文件扫描件并加盖投标单位电子印章；材料提供不全不得分。</w:t>
            </w:r>
            <w:r>
              <w:rPr>
                <w:rStyle w:val="19"/>
                <w:rFonts w:hint="eastAsia" w:ascii="宋体" w:hAnsi="宋体" w:cs="宋体"/>
                <w:color w:val="auto"/>
                <w:sz w:val="18"/>
                <w:szCs w:val="18"/>
                <w:highlight w:val="none"/>
                <w:lang w:val="zh-TW"/>
              </w:rPr>
              <w:t xml:space="preserve">   </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49" w:type="dxa"/>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lang w:val="zh-TW"/>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宋体" w:hAnsi="宋体" w:cs="宋体"/>
                <w:bCs/>
                <w:color w:val="auto"/>
                <w:sz w:val="18"/>
                <w:szCs w:val="18"/>
                <w:highlight w:val="none"/>
                <w:lang w:val="zh-TW"/>
              </w:rPr>
            </w:pPr>
            <w:r>
              <w:rPr>
                <w:rFonts w:hint="eastAsia" w:ascii="宋体" w:hAnsi="宋体" w:cs="宋体"/>
                <w:bCs/>
                <w:color w:val="auto"/>
                <w:sz w:val="18"/>
                <w:szCs w:val="18"/>
                <w:highlight w:val="none"/>
                <w:lang w:val="zh-TW"/>
              </w:rPr>
              <w:t>装修工程师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15</w:t>
            </w:r>
          </w:p>
        </w:tc>
        <w:tc>
          <w:tcPr>
            <w:tcW w:w="11336" w:type="dxa"/>
            <w:tcBorders>
              <w:top w:val="single" w:color="000000" w:sz="4" w:space="0"/>
              <w:left w:val="single" w:color="000000" w:sz="4" w:space="0"/>
              <w:bottom w:val="single" w:color="000000" w:sz="4" w:space="0"/>
              <w:right w:val="single" w:color="000000" w:sz="4" w:space="0"/>
            </w:tcBorders>
            <w:noWrap w:val="0"/>
            <w:vAlign w:val="center"/>
          </w:tcPr>
          <w:p>
            <w:pPr>
              <w:pStyle w:val="21"/>
              <w:rPr>
                <w:rFonts w:hint="eastAsia"/>
                <w:color w:val="auto"/>
                <w:sz w:val="20"/>
                <w:szCs w:val="20"/>
                <w:highlight w:val="none"/>
                <w:lang w:val="zh-TW" w:eastAsia="zh-TW"/>
              </w:rPr>
            </w:pPr>
            <w:r>
              <w:rPr>
                <w:rStyle w:val="20"/>
                <w:rFonts w:hint="default" w:ascii="宋体" w:hAnsi="宋体" w:eastAsia="宋体"/>
                <w:color w:val="auto"/>
                <w:highlight w:val="none"/>
              </w:rPr>
              <w:t>拟委派的</w:t>
            </w:r>
            <w:r>
              <w:rPr>
                <w:rStyle w:val="22"/>
                <w:rFonts w:hint="default" w:ascii="宋体" w:hAnsi="宋体" w:eastAsia="宋体"/>
                <w:color w:val="auto"/>
                <w:highlight w:val="none"/>
              </w:rPr>
              <w:t>装修工程师</w:t>
            </w:r>
            <w:r>
              <w:rPr>
                <w:rStyle w:val="20"/>
                <w:rFonts w:hint="default" w:ascii="宋体" w:hAnsi="宋体" w:eastAsia="宋体"/>
                <w:color w:val="auto"/>
                <w:highlight w:val="none"/>
              </w:rPr>
              <w:t>自2019年1月1日至投标截止时间止，</w:t>
            </w:r>
            <w:r>
              <w:rPr>
                <w:rStyle w:val="20"/>
                <w:rFonts w:hint="default" w:ascii="宋体" w:hAnsi="宋体" w:eastAsia="宋体"/>
                <w:color w:val="auto"/>
                <w:kern w:val="2"/>
                <w:highlight w:val="none"/>
              </w:rPr>
              <w:t>完</w:t>
            </w:r>
            <w:r>
              <w:rPr>
                <w:rStyle w:val="20"/>
                <w:rFonts w:hint="default" w:ascii="宋体" w:hAnsi="宋体" w:eastAsia="宋体"/>
                <w:color w:val="auto"/>
                <w:highlight w:val="none"/>
              </w:rPr>
              <w:t>成过</w:t>
            </w:r>
            <w:r>
              <w:rPr>
                <w:rStyle w:val="20"/>
                <w:rFonts w:hint="default" w:ascii="宋体" w:hAnsi="宋体" w:eastAsia="宋体" w:cs="宋体"/>
                <w:color w:val="auto"/>
                <w:highlight w:val="none"/>
              </w:rPr>
              <w:t>单项合同金额≥100万元</w:t>
            </w:r>
            <w:r>
              <w:rPr>
                <w:rStyle w:val="20"/>
                <w:rFonts w:hint="default" w:ascii="宋体" w:hAnsi="宋体" w:eastAsia="宋体"/>
                <w:color w:val="auto"/>
                <w:highlight w:val="none"/>
              </w:rPr>
              <w:t>的建筑工程业绩，每个得5分，最高得15分。</w:t>
            </w:r>
            <w:r>
              <w:rPr>
                <w:rStyle w:val="19"/>
                <w:rFonts w:hint="eastAsia"/>
                <w:color w:val="auto"/>
                <w:sz w:val="18"/>
                <w:szCs w:val="18"/>
                <w:highlight w:val="none"/>
                <w:lang w:val="zh-TW"/>
              </w:rPr>
              <w:t>本项累计最高得</w:t>
            </w:r>
            <w:r>
              <w:rPr>
                <w:rStyle w:val="19"/>
                <w:rFonts w:hint="eastAsia"/>
                <w:color w:val="auto"/>
                <w:sz w:val="18"/>
                <w:szCs w:val="18"/>
                <w:highlight w:val="none"/>
                <w:lang w:val="zh-TW" w:eastAsia="zh-TW"/>
              </w:rPr>
              <w:t>15</w:t>
            </w:r>
            <w:r>
              <w:rPr>
                <w:rStyle w:val="19"/>
                <w:rFonts w:hint="eastAsia"/>
                <w:color w:val="auto"/>
                <w:sz w:val="18"/>
                <w:szCs w:val="18"/>
                <w:highlight w:val="none"/>
                <w:lang w:val="zh-TW"/>
              </w:rPr>
              <w:t>分，不满足不得分。</w:t>
            </w:r>
            <w:r>
              <w:rPr>
                <w:rFonts w:hint="eastAsia"/>
                <w:color w:val="auto"/>
                <w:sz w:val="18"/>
                <w:szCs w:val="18"/>
                <w:highlight w:val="none"/>
              </w:rPr>
              <w:t>业绩证明材料应提供以下材料的彩色扫描件并加盖投标人电子印章：中标通知书或免招标证明、施工合同、竣工验收证明（验收文件至少具有建设单位、设计、施工单位盖章）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业绩完成时间以竣工验收证明为准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金额以合同载明工程金额为准</w:t>
            </w:r>
            <w:r>
              <w:rPr>
                <w:rFonts w:hint="eastAsia" w:ascii="宋体" w:hAnsi="宋体" w:cs="宋体"/>
                <w:color w:val="auto"/>
                <w:sz w:val="18"/>
                <w:szCs w:val="18"/>
                <w:highlight w:val="none"/>
                <w:lang w:eastAsia="zh-CN"/>
              </w:rPr>
              <w:t>；以上证明材料中至少一种须体现该质量负责人参与过该项业绩（身份不限），如无，则</w:t>
            </w:r>
            <w:r>
              <w:rPr>
                <w:rFonts w:hint="eastAsia" w:ascii="宋体" w:hAnsi="宋体" w:cs="宋体"/>
                <w:color w:val="auto"/>
                <w:sz w:val="18"/>
                <w:szCs w:val="18"/>
                <w:highlight w:val="none"/>
                <w:lang w:val="en-US" w:eastAsia="zh-CN"/>
              </w:rPr>
              <w:t>提供体现该人员参与过该项目的证明文件扫描件并加盖投标单位电子印章；材料提供不全不得分。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49" w:type="dxa"/>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lang w:val="zh-TW"/>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宋体" w:hAnsi="宋体" w:cs="宋体"/>
                <w:bCs/>
                <w:color w:val="auto"/>
                <w:sz w:val="18"/>
                <w:szCs w:val="18"/>
                <w:highlight w:val="none"/>
                <w:lang w:val="zh-TW"/>
              </w:rPr>
            </w:pPr>
            <w:r>
              <w:rPr>
                <w:rStyle w:val="19"/>
                <w:rFonts w:hint="eastAsia" w:ascii="宋体" w:hAnsi="宋体" w:cs="宋体"/>
                <w:bCs/>
                <w:color w:val="auto"/>
                <w:sz w:val="18"/>
                <w:szCs w:val="18"/>
                <w:highlight w:val="none"/>
                <w:lang w:val="zh-TW"/>
              </w:rPr>
              <w:t>电气工程师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宋体" w:hAnsi="宋体" w:cs="宋体"/>
                <w:bCs/>
                <w:color w:val="auto"/>
                <w:sz w:val="18"/>
                <w:szCs w:val="18"/>
                <w:highlight w:val="none"/>
                <w:lang w:val="zh-TW" w:eastAsia="zh-TW"/>
              </w:rPr>
            </w:pPr>
            <w:r>
              <w:rPr>
                <w:rStyle w:val="19"/>
                <w:rFonts w:hint="eastAsia" w:ascii="宋体" w:hAnsi="宋体" w:cs="宋体"/>
                <w:bCs/>
                <w:color w:val="auto"/>
                <w:sz w:val="18"/>
                <w:szCs w:val="18"/>
                <w:highlight w:val="none"/>
                <w:lang w:val="zh-TW" w:eastAsia="zh-TW"/>
              </w:rPr>
              <w:t>15</w:t>
            </w:r>
          </w:p>
        </w:tc>
        <w:tc>
          <w:tcPr>
            <w:tcW w:w="11336" w:type="dxa"/>
            <w:tcBorders>
              <w:top w:val="single" w:color="000000" w:sz="4" w:space="0"/>
              <w:left w:val="single" w:color="000000" w:sz="4" w:space="0"/>
              <w:bottom w:val="single" w:color="000000" w:sz="4" w:space="0"/>
              <w:right w:val="single" w:color="000000" w:sz="4" w:space="0"/>
            </w:tcBorders>
            <w:noWrap w:val="0"/>
            <w:vAlign w:val="center"/>
          </w:tcPr>
          <w:p>
            <w:pPr>
              <w:pStyle w:val="21"/>
              <w:rPr>
                <w:rFonts w:hint="eastAsia"/>
                <w:color w:val="auto"/>
                <w:sz w:val="20"/>
                <w:szCs w:val="20"/>
                <w:highlight w:val="none"/>
                <w:lang w:val="zh-TW"/>
              </w:rPr>
            </w:pPr>
            <w:r>
              <w:rPr>
                <w:rStyle w:val="20"/>
                <w:rFonts w:hint="default" w:ascii="宋体" w:hAnsi="宋体" w:eastAsia="宋体"/>
                <w:color w:val="auto"/>
                <w:highlight w:val="none"/>
              </w:rPr>
              <w:t>拟委派的</w:t>
            </w:r>
            <w:r>
              <w:rPr>
                <w:rStyle w:val="22"/>
                <w:rFonts w:hint="default" w:ascii="宋体" w:hAnsi="宋体" w:eastAsia="宋体"/>
                <w:color w:val="auto"/>
                <w:highlight w:val="none"/>
              </w:rPr>
              <w:t>电气工程师</w:t>
            </w:r>
            <w:r>
              <w:rPr>
                <w:rStyle w:val="20"/>
                <w:rFonts w:hint="default" w:ascii="宋体" w:hAnsi="宋体" w:eastAsia="宋体"/>
                <w:color w:val="auto"/>
                <w:highlight w:val="none"/>
              </w:rPr>
              <w:t>自2019年1月1日至投标截止时间止</w:t>
            </w:r>
            <w:r>
              <w:rPr>
                <w:rStyle w:val="20"/>
                <w:rFonts w:hint="default" w:ascii="宋体" w:hAnsi="宋体" w:eastAsia="宋体"/>
                <w:strike w:val="0"/>
                <w:dstrike w:val="0"/>
                <w:color w:val="auto"/>
                <w:highlight w:val="none"/>
              </w:rPr>
              <w:t>，</w:t>
            </w:r>
            <w:r>
              <w:rPr>
                <w:rStyle w:val="20"/>
                <w:rFonts w:hint="default" w:ascii="宋体" w:hAnsi="宋体" w:eastAsia="宋体"/>
                <w:color w:val="auto"/>
                <w:kern w:val="2"/>
                <w:highlight w:val="none"/>
              </w:rPr>
              <w:t>完成</w:t>
            </w:r>
            <w:r>
              <w:rPr>
                <w:rStyle w:val="20"/>
                <w:rFonts w:hint="default" w:ascii="宋体" w:hAnsi="宋体" w:eastAsia="宋体"/>
                <w:color w:val="auto"/>
                <w:highlight w:val="none"/>
              </w:rPr>
              <w:t>过</w:t>
            </w:r>
            <w:r>
              <w:rPr>
                <w:rStyle w:val="20"/>
                <w:rFonts w:hint="default" w:ascii="宋体" w:hAnsi="宋体" w:eastAsia="宋体" w:cs="宋体"/>
                <w:color w:val="auto"/>
                <w:highlight w:val="none"/>
              </w:rPr>
              <w:t>单项合同金额≥100万元</w:t>
            </w:r>
            <w:r>
              <w:rPr>
                <w:rStyle w:val="20"/>
                <w:rFonts w:hint="default" w:ascii="宋体" w:hAnsi="宋体" w:eastAsia="宋体"/>
                <w:color w:val="auto"/>
                <w:highlight w:val="none"/>
              </w:rPr>
              <w:t>的建筑工程业绩，每个得5分，</w:t>
            </w:r>
            <w:r>
              <w:rPr>
                <w:rStyle w:val="19"/>
                <w:rFonts w:hint="eastAsia"/>
                <w:color w:val="auto"/>
                <w:sz w:val="18"/>
                <w:szCs w:val="18"/>
                <w:highlight w:val="none"/>
                <w:lang w:val="zh-TW"/>
              </w:rPr>
              <w:t>本项累计最高得</w:t>
            </w:r>
            <w:r>
              <w:rPr>
                <w:rStyle w:val="19"/>
                <w:rFonts w:hint="eastAsia"/>
                <w:color w:val="auto"/>
                <w:sz w:val="18"/>
                <w:szCs w:val="18"/>
                <w:highlight w:val="none"/>
                <w:lang w:val="zh-TW" w:eastAsia="zh-TW"/>
              </w:rPr>
              <w:t>15</w:t>
            </w:r>
            <w:r>
              <w:rPr>
                <w:rStyle w:val="19"/>
                <w:rFonts w:hint="eastAsia"/>
                <w:color w:val="auto"/>
                <w:sz w:val="18"/>
                <w:szCs w:val="18"/>
                <w:highlight w:val="none"/>
                <w:lang w:val="zh-TW"/>
              </w:rPr>
              <w:t>分，不满足不得分。</w:t>
            </w:r>
            <w:r>
              <w:rPr>
                <w:rFonts w:hint="eastAsia"/>
                <w:color w:val="auto"/>
                <w:sz w:val="18"/>
                <w:szCs w:val="18"/>
                <w:highlight w:val="none"/>
              </w:rPr>
              <w:t>业绩证明材料应提供以下材料的彩色扫描件并加盖投标人电子印章：中标通知书或免招标证明、施工合同、竣工验收证明（验收文件至少具有建设单位、设计、施工单位盖章）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业绩完成时间以竣工验收证明为准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金额以合同载明工程金额为准</w:t>
            </w:r>
            <w:r>
              <w:rPr>
                <w:rFonts w:hint="eastAsia" w:ascii="宋体" w:hAnsi="宋体" w:cs="宋体"/>
                <w:color w:val="auto"/>
                <w:sz w:val="18"/>
                <w:szCs w:val="18"/>
                <w:highlight w:val="none"/>
                <w:lang w:eastAsia="zh-CN"/>
              </w:rPr>
              <w:t>；以上证明材料中至少一种须体现该质量负责人参与过该项业绩（身份不限），如无，则</w:t>
            </w:r>
            <w:r>
              <w:rPr>
                <w:rFonts w:hint="eastAsia" w:ascii="宋体" w:hAnsi="宋体" w:cs="宋体"/>
                <w:color w:val="auto"/>
                <w:sz w:val="18"/>
                <w:szCs w:val="18"/>
                <w:highlight w:val="none"/>
                <w:lang w:val="en-US" w:eastAsia="zh-CN"/>
              </w:rPr>
              <w:t>提供体现该人员参与过该项目的证明文件扫描件并加盖投标单位电子印章；材料提供不全不得分。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149" w:type="dxa"/>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lang w:val="zh-TW"/>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ind w:right="134" w:rightChars="64"/>
              <w:jc w:val="center"/>
              <w:rPr>
                <w:rFonts w:hint="eastAsia" w:ascii="宋体" w:hAnsi="宋体" w:cs="宋体"/>
                <w:bCs/>
                <w:color w:val="auto"/>
                <w:sz w:val="18"/>
                <w:szCs w:val="18"/>
                <w:highlight w:val="none"/>
                <w:lang w:val="zh-TW" w:eastAsia="zh-TW"/>
              </w:rPr>
            </w:pPr>
            <w:r>
              <w:rPr>
                <w:rStyle w:val="19"/>
                <w:rFonts w:hint="eastAsia" w:ascii="宋体" w:hAnsi="宋体" w:cs="宋体"/>
                <w:bCs/>
                <w:color w:val="auto"/>
                <w:sz w:val="18"/>
                <w:szCs w:val="18"/>
                <w:highlight w:val="none"/>
              </w:rPr>
              <w:t>暖通</w:t>
            </w:r>
            <w:r>
              <w:rPr>
                <w:rStyle w:val="19"/>
                <w:rFonts w:hint="eastAsia" w:ascii="宋体" w:hAnsi="宋体" w:cs="宋体"/>
                <w:bCs/>
                <w:color w:val="auto"/>
                <w:sz w:val="18"/>
                <w:szCs w:val="18"/>
                <w:highlight w:val="none"/>
                <w:lang w:val="zh-TW"/>
              </w:rPr>
              <w:t>工程师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ind w:right="134" w:rightChars="64"/>
              <w:jc w:val="center"/>
              <w:rPr>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15</w:t>
            </w:r>
          </w:p>
        </w:tc>
        <w:tc>
          <w:tcPr>
            <w:tcW w:w="11336"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hint="eastAsia" w:ascii="宋体" w:hAnsi="宋体" w:cs="宋体"/>
                <w:color w:val="auto"/>
                <w:sz w:val="18"/>
                <w:szCs w:val="18"/>
                <w:highlight w:val="none"/>
                <w:lang w:val="zh-TW"/>
              </w:rPr>
            </w:pPr>
            <w:r>
              <w:rPr>
                <w:rStyle w:val="20"/>
                <w:rFonts w:hint="default" w:ascii="宋体" w:hAnsi="宋体" w:eastAsia="宋体" w:cs="宋体"/>
                <w:color w:val="auto"/>
                <w:highlight w:val="none"/>
              </w:rPr>
              <w:t>拟委派的</w:t>
            </w:r>
            <w:r>
              <w:rPr>
                <w:rStyle w:val="22"/>
                <w:rFonts w:hint="default" w:ascii="宋体" w:hAnsi="宋体" w:eastAsia="宋体" w:cs="宋体"/>
                <w:color w:val="auto"/>
                <w:highlight w:val="none"/>
              </w:rPr>
              <w:t>暖通工程师</w:t>
            </w:r>
            <w:r>
              <w:rPr>
                <w:rStyle w:val="20"/>
                <w:rFonts w:hint="default" w:ascii="宋体" w:hAnsi="宋体" w:eastAsia="宋体" w:cs="宋体"/>
                <w:color w:val="auto"/>
                <w:highlight w:val="none"/>
              </w:rPr>
              <w:t>自2019年1月1日至投标截止时间止，完成过单项合同金额≥100万元的建筑工程业绩，每个得5分，最高得15分。</w:t>
            </w:r>
            <w:r>
              <w:rPr>
                <w:rStyle w:val="19"/>
                <w:rFonts w:hint="eastAsia" w:ascii="宋体" w:hAnsi="宋体" w:cs="宋体"/>
                <w:color w:val="auto"/>
                <w:sz w:val="18"/>
                <w:szCs w:val="18"/>
                <w:highlight w:val="none"/>
                <w:lang w:val="zh-TW"/>
              </w:rPr>
              <w:t>本项累计最高得</w:t>
            </w:r>
            <w:r>
              <w:rPr>
                <w:rStyle w:val="19"/>
                <w:rFonts w:hint="eastAsia" w:ascii="宋体" w:hAnsi="宋体" w:cs="宋体"/>
                <w:color w:val="auto"/>
                <w:sz w:val="18"/>
                <w:szCs w:val="18"/>
                <w:highlight w:val="none"/>
                <w:lang w:val="zh-TW" w:eastAsia="zh-TW"/>
              </w:rPr>
              <w:t>15</w:t>
            </w:r>
            <w:r>
              <w:rPr>
                <w:rStyle w:val="19"/>
                <w:rFonts w:hint="eastAsia" w:ascii="宋体" w:hAnsi="宋体" w:cs="宋体"/>
                <w:color w:val="auto"/>
                <w:sz w:val="18"/>
                <w:szCs w:val="18"/>
                <w:highlight w:val="none"/>
                <w:lang w:val="zh-TW"/>
              </w:rPr>
              <w:t>分，不满足不得分。</w:t>
            </w:r>
            <w:r>
              <w:rPr>
                <w:rFonts w:hint="eastAsia" w:ascii="宋体" w:hAnsi="宋体" w:cs="宋体"/>
                <w:color w:val="auto"/>
                <w:sz w:val="18"/>
                <w:szCs w:val="18"/>
                <w:highlight w:val="none"/>
              </w:rPr>
              <w:t>业绩证明材料应提供以下材料的彩色扫描件并加盖投标人电子印章：中标通知书或免招标证明、施工合同、竣工验收证明（验收文件至少具有建设单位、设计、施工单位盖章）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业绩完成时间以竣工验收证明为准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金额以合同载明工程金额为准</w:t>
            </w:r>
            <w:r>
              <w:rPr>
                <w:rFonts w:hint="eastAsia" w:ascii="宋体" w:hAnsi="宋体" w:cs="宋体"/>
                <w:color w:val="auto"/>
                <w:sz w:val="18"/>
                <w:szCs w:val="18"/>
                <w:highlight w:val="none"/>
                <w:lang w:eastAsia="zh-CN"/>
              </w:rPr>
              <w:t>；以上证明材料中至少一种须体现该质量负责人参与过该项业绩（身份不限），如无，则</w:t>
            </w:r>
            <w:r>
              <w:rPr>
                <w:rFonts w:hint="eastAsia" w:ascii="宋体" w:hAnsi="宋体" w:cs="宋体"/>
                <w:color w:val="auto"/>
                <w:sz w:val="18"/>
                <w:szCs w:val="18"/>
                <w:highlight w:val="none"/>
                <w:lang w:val="en-US" w:eastAsia="zh-CN"/>
              </w:rPr>
              <w:t>提供体现该人员参与过该项目的证明文件扫描件并加盖投标单位电子印章；材料提供不全不得分。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149" w:type="dxa"/>
            <w:vMerge w:val="restart"/>
            <w:tcBorders>
              <w:top w:val="single" w:color="000000" w:sz="4" w:space="0"/>
              <w:left w:val="single" w:color="000000" w:sz="8" w:space="0"/>
              <w:right w:val="single" w:color="000000" w:sz="4" w:space="0"/>
            </w:tcBorders>
            <w:noWrap w:val="0"/>
            <w:vAlign w:val="center"/>
          </w:tcPr>
          <w:p>
            <w:pPr>
              <w:widowControl/>
              <w:spacing w:line="276" w:lineRule="auto"/>
              <w:ind w:right="134" w:rightChars="64"/>
              <w:rPr>
                <w:rStyle w:val="19"/>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施工组织设计（10分）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质量管理水平及保证措施</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6</w:t>
            </w:r>
          </w:p>
        </w:tc>
        <w:tc>
          <w:tcPr>
            <w:tcW w:w="11336"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1.投标人提供的质量管理措施中质量目标符合招标文件要求，提供了工程施工保证措施且内容详尽，质量保证体系完善且质量保证措施可靠，得6分；</w:t>
            </w:r>
          </w:p>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2.投标人提供的质量管理措施中质量目标符合招标文件要求，提供了工程施工保证措施且内容详尽，质量保证措施可靠，得4分；</w:t>
            </w:r>
          </w:p>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3.投标人提供的质量管理措施中质量目标符合招标文件要求，提供了工程施工保证措施，质量保证措施可靠，得3分；</w:t>
            </w:r>
          </w:p>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4.投标人提供的质量管理措施中质量目标满足招标文件要求，提供了工程施工保证措施，质量保证措施一般，得1分。</w:t>
            </w:r>
          </w:p>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5.无措施不得分。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1149" w:type="dxa"/>
            <w:vMerge w:val="continue"/>
            <w:tcBorders>
              <w:left w:val="single" w:color="000000" w:sz="8" w:space="0"/>
              <w:bottom w:val="single" w:color="000000" w:sz="4" w:space="0"/>
              <w:right w:val="single" w:color="000000" w:sz="4" w:space="0"/>
            </w:tcBorders>
            <w:noWrap w:val="0"/>
            <w:vAlign w:val="center"/>
          </w:tcPr>
          <w:p>
            <w:pPr>
              <w:widowControl/>
              <w:spacing w:line="276" w:lineRule="auto"/>
              <w:ind w:right="134" w:rightChars="64"/>
              <w:rPr>
                <w:rStyle w:val="19"/>
                <w:rFonts w:hint="eastAsia" w:ascii="宋体" w:hAnsi="宋体" w:cs="宋体"/>
                <w:bCs/>
                <w:color w:val="auto"/>
                <w:sz w:val="18"/>
                <w:szCs w:val="18"/>
                <w:highlight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工期计划</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ind w:right="134" w:rightChars="64"/>
              <w:jc w:val="center"/>
              <w:rPr>
                <w:rStyle w:val="19"/>
                <w:rFonts w:hint="eastAsia" w:ascii="宋体" w:hAnsi="宋体" w:cs="宋体"/>
                <w:bCs/>
                <w:color w:val="auto"/>
                <w:sz w:val="18"/>
                <w:szCs w:val="18"/>
                <w:highlight w:val="none"/>
              </w:rPr>
            </w:pPr>
            <w:r>
              <w:rPr>
                <w:rStyle w:val="19"/>
                <w:rFonts w:hint="eastAsia" w:ascii="宋体" w:hAnsi="宋体" w:cs="宋体"/>
                <w:bCs/>
                <w:color w:val="auto"/>
                <w:sz w:val="18"/>
                <w:szCs w:val="18"/>
                <w:highlight w:val="none"/>
              </w:rPr>
              <w:t>4</w:t>
            </w:r>
          </w:p>
        </w:tc>
        <w:tc>
          <w:tcPr>
            <w:tcW w:w="11336"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1.对工程每个节点均制定了详细工期进度安排并提供详尽的进度计划保证措施施工工期进度安排合理，得4分。</w:t>
            </w:r>
          </w:p>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2.对工程每个节点均制定了工期进度安排并有进度计划保证措施，施工工期进度安排合理，得2分。</w:t>
            </w:r>
          </w:p>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3.对工程每个节点均制定了工期进度安排并有进度计划保证措施，得1分。</w:t>
            </w:r>
          </w:p>
          <w:p>
            <w:pPr>
              <w:spacing w:line="276" w:lineRule="auto"/>
              <w:rPr>
                <w:rFonts w:hint="eastAsia" w:ascii="宋体" w:hAnsi="宋体" w:cs="宋体"/>
                <w:bCs/>
                <w:color w:val="auto"/>
                <w:sz w:val="18"/>
                <w:szCs w:val="18"/>
                <w:highlight w:val="none"/>
              </w:rPr>
            </w:pPr>
            <w:r>
              <w:rPr>
                <w:rFonts w:hint="eastAsia" w:ascii="宋体" w:hAnsi="宋体" w:cs="宋体"/>
                <w:bCs/>
                <w:color w:val="auto"/>
                <w:sz w:val="18"/>
                <w:szCs w:val="18"/>
                <w:highlight w:val="none"/>
              </w:rPr>
              <w:t>4.无工期进度安排或进度计划保证措施，得0分。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2439" w:type="dxa"/>
            <w:gridSpan w:val="2"/>
            <w:tcBorders>
              <w:top w:val="single" w:color="000000" w:sz="4" w:space="0"/>
              <w:left w:val="single" w:color="000000" w:sz="8" w:space="0"/>
              <w:bottom w:val="single" w:color="000000" w:sz="4" w:space="0"/>
              <w:right w:val="single" w:color="000000" w:sz="4" w:space="0"/>
            </w:tcBorders>
            <w:noWrap w:val="0"/>
            <w:vAlign w:val="center"/>
          </w:tcPr>
          <w:p>
            <w:pPr>
              <w:snapToGrid w:val="0"/>
              <w:spacing w:line="276" w:lineRule="auto"/>
              <w:jc w:val="center"/>
              <w:rPr>
                <w:rStyle w:val="19"/>
                <w:rFonts w:hint="eastAsia" w:ascii="宋体" w:hAnsi="宋体" w:cs="宋体"/>
                <w:color w:val="auto"/>
                <w:sz w:val="18"/>
                <w:szCs w:val="18"/>
                <w:highlight w:val="none"/>
              </w:rPr>
            </w:pPr>
            <w:r>
              <w:rPr>
                <w:rStyle w:val="19"/>
                <w:rFonts w:hint="eastAsia" w:ascii="宋体" w:hAnsi="宋体" w:cs="宋体"/>
                <w:color w:val="auto"/>
                <w:sz w:val="18"/>
                <w:szCs w:val="18"/>
                <w:highlight w:val="none"/>
              </w:rPr>
              <w:t>合计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Style w:val="19"/>
                <w:rFonts w:hint="eastAsia" w:ascii="宋体" w:hAnsi="宋体" w:cs="宋体"/>
                <w:color w:val="auto"/>
                <w:sz w:val="18"/>
                <w:szCs w:val="18"/>
                <w:highlight w:val="none"/>
              </w:rPr>
            </w:pPr>
            <w:r>
              <w:rPr>
                <w:rStyle w:val="19"/>
                <w:rFonts w:hint="eastAsia" w:ascii="宋体" w:hAnsi="宋体" w:cs="宋体"/>
                <w:color w:val="auto"/>
                <w:kern w:val="0"/>
                <w:sz w:val="18"/>
                <w:szCs w:val="18"/>
                <w:highlight w:val="none"/>
              </w:rPr>
              <w:t>100</w:t>
            </w:r>
          </w:p>
        </w:tc>
        <w:tc>
          <w:tcPr>
            <w:tcW w:w="1133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76" w:lineRule="auto"/>
              <w:rPr>
                <w:rStyle w:val="19"/>
                <w:rFonts w:hint="eastAsia" w:ascii="宋体" w:hAnsi="宋体" w:cs="宋体"/>
                <w:color w:val="auto"/>
                <w:sz w:val="18"/>
                <w:szCs w:val="18"/>
                <w:highlight w:val="none"/>
              </w:rPr>
            </w:pPr>
          </w:p>
        </w:tc>
      </w:tr>
    </w:tbl>
    <w:p>
      <w:pPr>
        <w:spacing w:line="276" w:lineRule="auto"/>
        <w:rPr>
          <w:rStyle w:val="19"/>
          <w:rFonts w:hint="eastAsia" w:ascii="宋体" w:hAnsi="宋体"/>
          <w:bCs/>
          <w:color w:val="auto"/>
          <w:szCs w:val="21"/>
          <w:highlight w:val="none"/>
          <w:lang w:val="zh-TW"/>
        </w:rPr>
      </w:pPr>
      <w:r>
        <w:rPr>
          <w:rStyle w:val="19"/>
          <w:rFonts w:hint="eastAsia" w:ascii="宋体" w:hAnsi="宋体"/>
          <w:bCs/>
          <w:color w:val="auto"/>
          <w:szCs w:val="21"/>
          <w:highlight w:val="none"/>
          <w:lang w:val="zh-TW"/>
        </w:rPr>
        <w:t>注：</w:t>
      </w:r>
    </w:p>
    <w:p>
      <w:pPr>
        <w:pStyle w:val="23"/>
        <w:spacing w:line="276" w:lineRule="auto"/>
        <w:ind w:firstLine="0" w:firstLineChars="0"/>
        <w:rPr>
          <w:rStyle w:val="19"/>
          <w:rFonts w:hAnsi="宋体"/>
          <w:bCs/>
          <w:color w:val="auto"/>
          <w:sz w:val="21"/>
          <w:szCs w:val="21"/>
          <w:highlight w:val="none"/>
          <w:lang w:val="zh-TW"/>
        </w:rPr>
      </w:pPr>
      <w:r>
        <w:rPr>
          <w:rStyle w:val="19"/>
          <w:rFonts w:hint="eastAsia" w:hAnsi="宋体"/>
          <w:b/>
          <w:bCs/>
          <w:color w:val="auto"/>
          <w:sz w:val="21"/>
          <w:szCs w:val="21"/>
          <w:highlight w:val="none"/>
          <w:lang w:eastAsia="zh-TW"/>
        </w:rPr>
        <w:t>1</w:t>
      </w:r>
      <w:r>
        <w:rPr>
          <w:rStyle w:val="19"/>
          <w:rFonts w:hAnsi="宋体"/>
          <w:b/>
          <w:bCs/>
          <w:color w:val="auto"/>
          <w:sz w:val="21"/>
          <w:szCs w:val="21"/>
          <w:highlight w:val="none"/>
          <w:lang w:val="zh-TW" w:eastAsia="zh-TW"/>
        </w:rPr>
        <w:t>.</w:t>
      </w:r>
      <w:r>
        <w:rPr>
          <w:rStyle w:val="19"/>
          <w:rFonts w:hint="eastAsia" w:hAnsi="宋体"/>
          <w:b/>
          <w:bCs/>
          <w:color w:val="auto"/>
          <w:sz w:val="21"/>
          <w:szCs w:val="21"/>
          <w:highlight w:val="none"/>
          <w:lang w:val="zh-TW" w:eastAsia="zh-TW"/>
        </w:rPr>
        <w:t>第三方评价：</w:t>
      </w:r>
      <w:r>
        <w:rPr>
          <w:rStyle w:val="19"/>
          <w:rFonts w:hint="eastAsia" w:hAnsi="宋体"/>
          <w:bCs/>
          <w:color w:val="auto"/>
          <w:sz w:val="21"/>
          <w:szCs w:val="21"/>
          <w:highlight w:val="none"/>
          <w:lang w:val="zh-TW" w:eastAsia="zh-TW"/>
        </w:rPr>
        <w:t>“纳税信用A级纳税人”须包含2021年度，只计算投标人自身（不含投标人的子公司或分公司）。以国家税务总局网站（http://www.chinatax.gov.cn/）或下属各省、直辖市税务局网站 “纳税信用A级纳税人名单公布栏”查询记录为准，投标人须提供</w:t>
      </w:r>
      <w:r>
        <w:rPr>
          <w:rStyle w:val="19"/>
          <w:rFonts w:hint="eastAsia" w:hAnsi="宋体"/>
          <w:bCs/>
          <w:color w:val="auto"/>
          <w:sz w:val="21"/>
          <w:szCs w:val="21"/>
          <w:highlight w:val="none"/>
          <w:lang w:val="en-US" w:eastAsia="zh-CN"/>
        </w:rPr>
        <w:t>省</w:t>
      </w:r>
      <w:r>
        <w:rPr>
          <w:rStyle w:val="19"/>
          <w:rFonts w:hint="eastAsia" w:hAnsi="宋体"/>
          <w:bCs/>
          <w:color w:val="auto"/>
          <w:sz w:val="21"/>
          <w:szCs w:val="21"/>
          <w:highlight w:val="none"/>
          <w:lang w:val="zh-TW" w:eastAsia="zh-TW"/>
        </w:rPr>
        <w:t>级或以上税务局网站查询网页信息截图并加盖投标人电子印章。不符合条件或未提交上述证明材料或未加盖公章的不得分。</w:t>
      </w:r>
    </w:p>
    <w:p>
      <w:pPr>
        <w:pStyle w:val="23"/>
        <w:spacing w:line="276" w:lineRule="auto"/>
        <w:ind w:firstLine="0" w:firstLineChars="0"/>
        <w:rPr>
          <w:rStyle w:val="19"/>
          <w:rFonts w:hint="eastAsia" w:hAnsi="宋体"/>
          <w:bCs/>
          <w:color w:val="auto"/>
          <w:sz w:val="21"/>
          <w:szCs w:val="21"/>
          <w:highlight w:val="none"/>
          <w:lang w:val="zh-TW"/>
        </w:rPr>
      </w:pPr>
      <w:r>
        <w:rPr>
          <w:rStyle w:val="19"/>
          <w:rFonts w:hint="eastAsia" w:hAnsi="宋体"/>
          <w:b/>
          <w:bCs/>
          <w:color w:val="auto"/>
          <w:sz w:val="21"/>
          <w:szCs w:val="21"/>
          <w:highlight w:val="none"/>
        </w:rPr>
        <w:t>2</w:t>
      </w:r>
      <w:r>
        <w:rPr>
          <w:rStyle w:val="19"/>
          <w:rFonts w:hAnsi="宋体"/>
          <w:b/>
          <w:bCs/>
          <w:color w:val="auto"/>
          <w:sz w:val="21"/>
          <w:szCs w:val="21"/>
          <w:highlight w:val="none"/>
          <w:lang w:val="zh-TW"/>
        </w:rPr>
        <w:t>.</w:t>
      </w:r>
      <w:r>
        <w:rPr>
          <w:rStyle w:val="19"/>
          <w:rFonts w:hint="eastAsia" w:hAnsi="宋体"/>
          <w:b/>
          <w:bCs/>
          <w:color w:val="auto"/>
          <w:sz w:val="21"/>
          <w:szCs w:val="21"/>
          <w:highlight w:val="none"/>
          <w:lang w:val="zh-TW"/>
        </w:rPr>
        <w:t>财务指标：</w:t>
      </w:r>
      <w:r>
        <w:rPr>
          <w:rStyle w:val="19"/>
          <w:rFonts w:hint="eastAsia" w:hAnsi="宋体"/>
          <w:bCs/>
          <w:color w:val="auto"/>
          <w:sz w:val="21"/>
          <w:szCs w:val="21"/>
          <w:highlight w:val="none"/>
          <w:lang w:val="zh-TW"/>
        </w:rPr>
        <w:t>提供完整的近三年(2019年、2020年、2021年)</w:t>
      </w:r>
      <w:r>
        <w:rPr>
          <w:rFonts w:hint="eastAsia"/>
          <w:color w:val="auto"/>
          <w:highlight w:val="none"/>
        </w:rPr>
        <w:t xml:space="preserve"> </w:t>
      </w:r>
      <w:r>
        <w:rPr>
          <w:rStyle w:val="19"/>
          <w:rFonts w:hint="eastAsia" w:hAnsi="宋体"/>
          <w:bCs/>
          <w:color w:val="auto"/>
          <w:sz w:val="21"/>
          <w:szCs w:val="21"/>
          <w:highlight w:val="none"/>
          <w:lang w:val="zh-TW"/>
        </w:rPr>
        <w:t>会计事务所或税务师事务所审计的财务报告扫描件；不符合上述条件的不得分。</w:t>
      </w:r>
    </w:p>
    <w:p>
      <w:pPr>
        <w:spacing w:line="276" w:lineRule="auto"/>
        <w:rPr>
          <w:rStyle w:val="19"/>
          <w:rFonts w:ascii="宋体" w:hAnsi="宋体"/>
          <w:b/>
          <w:bCs/>
          <w:color w:val="auto"/>
          <w:highlight w:val="none"/>
          <w:lang w:val="zh-TW"/>
        </w:rPr>
      </w:pPr>
      <w:r>
        <w:rPr>
          <w:rStyle w:val="19"/>
          <w:rFonts w:hint="eastAsia" w:ascii="宋体" w:hAnsi="宋体"/>
          <w:b/>
          <w:bCs/>
          <w:color w:val="auto"/>
          <w:szCs w:val="21"/>
          <w:highlight w:val="none"/>
        </w:rPr>
        <w:t>3</w:t>
      </w:r>
      <w:r>
        <w:rPr>
          <w:rStyle w:val="19"/>
          <w:rFonts w:ascii="宋体" w:hAnsi="宋体"/>
          <w:b/>
          <w:bCs/>
          <w:color w:val="auto"/>
          <w:szCs w:val="21"/>
          <w:highlight w:val="none"/>
          <w:lang w:val="zh-TW"/>
        </w:rPr>
        <w:t>.</w:t>
      </w:r>
      <w:r>
        <w:rPr>
          <w:rStyle w:val="19"/>
          <w:rFonts w:hint="eastAsia" w:ascii="宋体" w:hAnsi="宋体"/>
          <w:b/>
          <w:color w:val="auto"/>
          <w:highlight w:val="none"/>
          <w:lang w:val="zh-TW"/>
        </w:rPr>
        <w:t>项目管理机构能力</w:t>
      </w:r>
    </w:p>
    <w:p>
      <w:pPr>
        <w:spacing w:line="276" w:lineRule="auto"/>
        <w:rPr>
          <w:rFonts w:hint="eastAsia" w:ascii="宋体" w:hAnsi="宋体" w:cs="宋体"/>
          <w:color w:val="auto"/>
          <w:szCs w:val="21"/>
          <w:highlight w:val="none"/>
        </w:rPr>
      </w:pPr>
      <w:r>
        <w:rPr>
          <w:rStyle w:val="19"/>
          <w:rFonts w:hint="eastAsia" w:ascii="宋体" w:hAnsi="宋体"/>
          <w:bCs/>
          <w:color w:val="auto"/>
          <w:highlight w:val="none"/>
        </w:rPr>
        <w:t>3</w:t>
      </w:r>
      <w:r>
        <w:rPr>
          <w:rStyle w:val="19"/>
          <w:rFonts w:ascii="宋体" w:hAnsi="宋体" w:eastAsia="PMingLiU"/>
          <w:bCs/>
          <w:color w:val="auto"/>
          <w:highlight w:val="none"/>
          <w:lang w:val="zh-TW" w:eastAsia="zh-TW"/>
        </w:rPr>
        <w:t>.1</w:t>
      </w:r>
      <w:r>
        <w:rPr>
          <w:rFonts w:hint="eastAsia" w:ascii="宋体" w:hAnsi="宋体" w:cs="宋体"/>
          <w:color w:val="auto"/>
          <w:szCs w:val="21"/>
          <w:highlight w:val="none"/>
        </w:rPr>
        <w:t>管理机构人员一个人只能担任1个岗位，不能重复担任，若同一人出现多个档次，则按最高档次计分。</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2投标人必须提供对应人员到投标截止时间前3个月任意一个月（2022年12月-2023年2月期间）购买的社保缴纳证明材料并加盖投标人印章（社保缴纳期限包含疫情防控期的，若当地政府部门允许企业在疫情防控期间缓缴社会保险费的，投标人可提供当地政府部门允许缓缴社保的相关文件作为缴纳社保的证明（已退休人员提供退休证明及返聘证明）。若提供在子公司购买的社保缴纳证明材料则不得分；未按要求提供完整相关资料的人员，该人员不作为评分依据)。</w:t>
      </w:r>
    </w:p>
    <w:p>
      <w:pPr>
        <w:pStyle w:val="23"/>
        <w:spacing w:line="276" w:lineRule="auto"/>
        <w:ind w:firstLine="0" w:firstLineChars="0"/>
        <w:rPr>
          <w:rFonts w:hAnsi="宋体" w:cs="宋体"/>
          <w:color w:val="auto"/>
          <w:sz w:val="21"/>
          <w:szCs w:val="21"/>
          <w:highlight w:val="none"/>
        </w:rPr>
      </w:pPr>
      <w:r>
        <w:rPr>
          <w:rFonts w:hint="eastAsia" w:hAnsi="宋体" w:cs="宋体"/>
          <w:color w:val="auto"/>
          <w:sz w:val="21"/>
          <w:szCs w:val="21"/>
          <w:highlight w:val="none"/>
        </w:rPr>
        <w:t>4</w:t>
      </w:r>
      <w:r>
        <w:rPr>
          <w:rFonts w:hAnsi="宋体" w:cs="宋体"/>
          <w:color w:val="auto"/>
          <w:sz w:val="21"/>
          <w:szCs w:val="21"/>
          <w:highlight w:val="none"/>
        </w:rPr>
        <w:t>.</w:t>
      </w:r>
      <w:r>
        <w:rPr>
          <w:rFonts w:hint="eastAsia" w:hAnsi="宋体" w:cs="宋体"/>
          <w:color w:val="auto"/>
          <w:sz w:val="21"/>
          <w:szCs w:val="21"/>
          <w:highlight w:val="none"/>
        </w:rPr>
        <w:t>以上所附证书证明文件均须提供原件彩色扫描件，投标人提供的网页截图或原件彩色扫描件必须加盖投标人电子印章且内容必须清晰可辨，如因网页截图或原件彩色扫描件内容模糊导致评标时无法判断的，后果由投标人自负。上述资料不提供或提供不完整或提供不符合要求的不得分。</w:t>
      </w:r>
    </w:p>
    <w:p>
      <w:pPr>
        <w:pStyle w:val="2"/>
        <w:spacing w:after="0"/>
        <w:ind w:firstLine="0"/>
        <w:rPr>
          <w:rFonts w:ascii="宋体" w:hAnsi="宋体" w:cs="宋体"/>
          <w:b/>
          <w:color w:val="auto"/>
          <w:szCs w:val="21"/>
          <w:highlight w:val="none"/>
        </w:rPr>
      </w:pPr>
    </w:p>
    <w:p>
      <w:pPr>
        <w:pStyle w:val="2"/>
        <w:spacing w:after="0"/>
        <w:ind w:firstLine="0"/>
        <w:rPr>
          <w:rFonts w:hint="eastAsia" w:ascii="宋体" w:hAnsi="宋体" w:cs="宋体"/>
          <w:b/>
          <w:color w:val="auto"/>
          <w:szCs w:val="21"/>
          <w:highlight w:val="none"/>
        </w:rPr>
      </w:pPr>
      <w:r>
        <w:rPr>
          <w:rFonts w:hint="eastAsia" w:ascii="宋体" w:hAnsi="宋体" w:cs="宋体"/>
          <w:b/>
          <w:color w:val="auto"/>
          <w:szCs w:val="21"/>
          <w:highlight w:val="none"/>
        </w:rPr>
        <w:t>评委签名：</w:t>
      </w:r>
    </w:p>
    <w:p>
      <w:pPr>
        <w:rPr>
          <w:color w:val="auto"/>
          <w:highlight w:val="none"/>
          <w:lang w:eastAsia="zh-Hans"/>
        </w:rPr>
        <w:sectPr>
          <w:pgSz w:w="16838" w:h="11906" w:orient="landscape"/>
          <w:pgMar w:top="1800" w:right="1440" w:bottom="1800" w:left="1440" w:header="851" w:footer="992" w:gutter="0"/>
          <w:pgNumType w:fmt="decimal"/>
          <w:cols w:space="425" w:num="1"/>
          <w:docGrid w:type="lines" w:linePitch="312" w:charSpace="0"/>
        </w:sectPr>
      </w:pPr>
      <w:r>
        <w:rPr>
          <w:color w:val="auto"/>
          <w:szCs w:val="21"/>
          <w:highlight w:val="none"/>
        </w:rPr>
        <w:br w:type="page"/>
      </w:r>
    </w:p>
    <w:p>
      <w:pPr>
        <w:spacing w:line="360" w:lineRule="auto"/>
        <w:jc w:val="left"/>
        <w:rPr>
          <w:rFonts w:hint="eastAsia"/>
          <w:color w:val="auto"/>
          <w:szCs w:val="21"/>
          <w:highlight w:val="none"/>
        </w:rPr>
      </w:pPr>
      <w:r>
        <w:rPr>
          <w:rFonts w:hint="eastAsia"/>
          <w:color w:val="auto"/>
          <w:szCs w:val="21"/>
          <w:highlight w:val="none"/>
        </w:rPr>
        <w:t>附件六</w:t>
      </w:r>
    </w:p>
    <w:p>
      <w:pPr>
        <w:autoSpaceDE w:val="0"/>
        <w:autoSpaceDN w:val="0"/>
        <w:adjustRightInd w:val="0"/>
        <w:ind w:left="-540" w:leftChars="-257" w:firstLine="826" w:firstLineChars="257"/>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施工项目管理团队人员信息表</w:t>
      </w:r>
    </w:p>
    <w:tbl>
      <w:tblPr>
        <w:tblStyle w:val="11"/>
        <w:tblW w:w="8922" w:type="dxa"/>
        <w:jc w:val="center"/>
        <w:tblLayout w:type="fixed"/>
        <w:tblCellMar>
          <w:top w:w="0" w:type="dxa"/>
          <w:left w:w="0" w:type="dxa"/>
          <w:bottom w:w="0" w:type="dxa"/>
          <w:right w:w="0" w:type="dxa"/>
        </w:tblCellMar>
      </w:tblPr>
      <w:tblGrid>
        <w:gridCol w:w="724"/>
        <w:gridCol w:w="1812"/>
        <w:gridCol w:w="2268"/>
        <w:gridCol w:w="1439"/>
        <w:gridCol w:w="2679"/>
      </w:tblGrid>
      <w:tr>
        <w:tblPrEx>
          <w:tblCellMar>
            <w:top w:w="0" w:type="dxa"/>
            <w:left w:w="0" w:type="dxa"/>
            <w:bottom w:w="0" w:type="dxa"/>
            <w:right w:w="0" w:type="dxa"/>
          </w:tblCellMar>
        </w:tblPrEx>
        <w:trPr>
          <w:trHeight w:val="975" w:hRule="atLeast"/>
          <w:jc w:val="center"/>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序号</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姓名</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岗位</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职称</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职称证书或资格证书编号</w:t>
            </w:r>
          </w:p>
        </w:tc>
      </w:tr>
      <w:tr>
        <w:tblPrEx>
          <w:tblCellMar>
            <w:top w:w="0" w:type="dxa"/>
            <w:left w:w="0" w:type="dxa"/>
            <w:bottom w:w="0" w:type="dxa"/>
            <w:right w:w="0" w:type="dxa"/>
          </w:tblCellMar>
        </w:tblPrEx>
        <w:trPr>
          <w:trHeight w:val="555" w:hRule="atLeast"/>
          <w:jc w:val="center"/>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highlight w:val="none"/>
              </w:rPr>
            </w:pPr>
            <w:r>
              <w:rPr>
                <w:rFonts w:hint="eastAsia" w:ascii="宋体" w:hAnsi="宋体" w:cs="宋体"/>
                <w:color w:val="auto"/>
                <w:highlight w:val="none"/>
              </w:rPr>
              <w:t>质量负责人</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r>
      <w:tr>
        <w:tblPrEx>
          <w:tblCellMar>
            <w:top w:w="0" w:type="dxa"/>
            <w:left w:w="0" w:type="dxa"/>
            <w:bottom w:w="0" w:type="dxa"/>
            <w:right w:w="0" w:type="dxa"/>
          </w:tblCellMar>
        </w:tblPrEx>
        <w:trPr>
          <w:trHeight w:val="555" w:hRule="atLeast"/>
          <w:jc w:val="center"/>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highlight w:val="none"/>
              </w:rPr>
            </w:pPr>
            <w:r>
              <w:rPr>
                <w:rFonts w:hint="eastAsia" w:ascii="宋体" w:hAnsi="宋体" w:cs="宋体"/>
                <w:color w:val="auto"/>
                <w:highlight w:val="none"/>
              </w:rPr>
              <w:t>装修工程师</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r>
      <w:tr>
        <w:tblPrEx>
          <w:tblCellMar>
            <w:top w:w="0" w:type="dxa"/>
            <w:left w:w="0" w:type="dxa"/>
            <w:bottom w:w="0" w:type="dxa"/>
            <w:right w:w="0" w:type="dxa"/>
          </w:tblCellMar>
        </w:tblPrEx>
        <w:trPr>
          <w:trHeight w:val="555" w:hRule="atLeast"/>
          <w:jc w:val="center"/>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highlight w:val="none"/>
              </w:rPr>
            </w:pPr>
            <w:r>
              <w:rPr>
                <w:rFonts w:hint="eastAsia" w:ascii="宋体" w:hAnsi="宋体" w:cs="宋体"/>
                <w:color w:val="auto"/>
                <w:highlight w:val="none"/>
              </w:rPr>
              <w:t>电气工程师</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r>
      <w:tr>
        <w:tblPrEx>
          <w:tblCellMar>
            <w:top w:w="0" w:type="dxa"/>
            <w:left w:w="0" w:type="dxa"/>
            <w:bottom w:w="0" w:type="dxa"/>
            <w:right w:w="0" w:type="dxa"/>
          </w:tblCellMar>
        </w:tblPrEx>
        <w:trPr>
          <w:trHeight w:val="555" w:hRule="atLeast"/>
          <w:jc w:val="center"/>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highlight w:val="none"/>
              </w:rPr>
            </w:pPr>
            <w:r>
              <w:rPr>
                <w:rFonts w:hint="eastAsia" w:ascii="宋体" w:hAnsi="宋体" w:cs="宋体"/>
                <w:color w:val="auto"/>
                <w:highlight w:val="none"/>
              </w:rPr>
              <w:t>暖通工程师</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auto"/>
                <w:sz w:val="22"/>
                <w:highlight w:val="none"/>
                <w:u w:val="single"/>
              </w:rPr>
            </w:pPr>
          </w:p>
        </w:tc>
      </w:tr>
    </w:tbl>
    <w:p>
      <w:pPr>
        <w:tabs>
          <w:tab w:val="left" w:pos="720"/>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1、“岗位”要求（除项目负责人和专职安全员外）由招标人根据项目管理需要在本表备注中明确提出，如：委派质量负责人、装修工程师、电气工程师、暖通工程师。以上项目管理团队人员信息将由交易系统提取后供各相关单位在履约时比对、查核。</w:t>
      </w:r>
    </w:p>
    <w:p>
      <w:pPr>
        <w:tabs>
          <w:tab w:val="left" w:pos="720"/>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spacing w:line="360" w:lineRule="auto"/>
        <w:rPr>
          <w:rFonts w:ascii="Calibri" w:hAnsi="Calibri"/>
          <w:color w:val="auto"/>
          <w:highlight w:val="none"/>
        </w:rPr>
      </w:pPr>
      <w:r>
        <w:rPr>
          <w:rFonts w:hint="eastAsia" w:ascii="宋体" w:hAnsi="宋体" w:cs="宋体"/>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w:t>
      </w:r>
      <w:r>
        <w:rPr>
          <w:rFonts w:hint="eastAsia" w:ascii="宋体" w:hAnsi="宋体" w:cs="宋体"/>
          <w:color w:val="auto"/>
          <w:szCs w:val="21"/>
          <w:highlight w:val="none"/>
          <w:lang w:val="en-US" w:eastAsia="zh-CN"/>
        </w:rPr>
        <w:t>准。</w:t>
      </w:r>
    </w:p>
    <w:p>
      <w:pPr>
        <w:rPr>
          <w:color w:val="auto"/>
          <w:highlight w:val="none"/>
        </w:rPr>
      </w:pPr>
      <w:r>
        <w:rPr>
          <w:color w:val="auto"/>
          <w:highlight w:val="none"/>
        </w:rPr>
        <w:br w:type="page"/>
      </w:r>
    </w:p>
    <w:p>
      <w:pPr>
        <w:spacing w:line="360" w:lineRule="auto"/>
        <w:jc w:val="left"/>
        <w:rPr>
          <w:rFonts w:hint="eastAsia" w:eastAsiaTheme="minorEastAsia"/>
          <w:color w:val="auto"/>
          <w:szCs w:val="21"/>
          <w:highlight w:val="none"/>
          <w:lang w:eastAsia="zh-CN"/>
        </w:rPr>
      </w:pPr>
      <w:r>
        <w:rPr>
          <w:rFonts w:hint="eastAsia"/>
          <w:color w:val="auto"/>
          <w:szCs w:val="21"/>
          <w:highlight w:val="none"/>
        </w:rPr>
        <w:t>附件</w:t>
      </w:r>
      <w:r>
        <w:rPr>
          <w:rFonts w:hint="eastAsia"/>
          <w:color w:val="auto"/>
          <w:szCs w:val="21"/>
          <w:highlight w:val="none"/>
          <w:lang w:val="en-US" w:eastAsia="zh-CN"/>
        </w:rPr>
        <w:t>七</w:t>
      </w:r>
    </w:p>
    <w:p>
      <w:pPr>
        <w:autoSpaceDE w:val="0"/>
        <w:autoSpaceDN w:val="0"/>
        <w:adjustRightInd w:val="0"/>
        <w:ind w:firstLine="480" w:firstLineChars="200"/>
        <w:jc w:val="left"/>
        <w:rPr>
          <w:rFonts w:ascii="宋体"/>
          <w:color w:val="auto"/>
          <w:sz w:val="24"/>
          <w:szCs w:val="24"/>
          <w:highlight w:val="none"/>
        </w:rPr>
      </w:pPr>
    </w:p>
    <w:p>
      <w:pPr>
        <w:pStyle w:val="2"/>
        <w:spacing w:after="0" w:line="360" w:lineRule="auto"/>
        <w:ind w:firstLine="0"/>
        <w:jc w:val="left"/>
        <w:rPr>
          <w:rFonts w:ascii="宋体" w:hAnsi="宋体"/>
          <w:b/>
          <w:bCs/>
          <w:color w:val="auto"/>
          <w:szCs w:val="21"/>
          <w:highlight w:val="none"/>
        </w:rPr>
      </w:pPr>
      <w:r>
        <w:rPr>
          <w:rFonts w:hint="eastAsia" w:ascii="宋体" w:hAnsi="宋体"/>
          <w:b/>
          <w:bCs/>
          <w:color w:val="auto"/>
          <w:szCs w:val="21"/>
          <w:highlight w:val="none"/>
        </w:rPr>
        <w:t>格式八</w:t>
      </w:r>
      <w:r>
        <w:rPr>
          <w:rFonts w:ascii="宋体" w:hAnsi="宋体"/>
          <w:b/>
          <w:bCs/>
          <w:color w:val="auto"/>
          <w:szCs w:val="21"/>
          <w:highlight w:val="none"/>
        </w:rPr>
        <w:t>：危险性较大的分部分项工程安全管理措施</w:t>
      </w:r>
    </w:p>
    <w:p>
      <w:pPr>
        <w:autoSpaceDE w:val="0"/>
        <w:autoSpaceDN w:val="0"/>
        <w:spacing w:line="360" w:lineRule="auto"/>
        <w:jc w:val="center"/>
        <w:rPr>
          <w:rFonts w:hint="eastAsia" w:ascii="宋体" w:hAnsi="宋体" w:cs="宋体"/>
          <w:b/>
          <w:bCs/>
          <w:color w:val="auto"/>
          <w:sz w:val="36"/>
          <w:szCs w:val="36"/>
          <w:highlight w:val="none"/>
        </w:rPr>
      </w:pPr>
    </w:p>
    <w:p>
      <w:pPr>
        <w:autoSpaceDE w:val="0"/>
        <w:autoSpaceDN w:val="0"/>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危险性较大的分部分项工程清单及超过一定规模的危险性较大的分部分项工程清单</w:t>
      </w:r>
    </w:p>
    <w:p>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2、招标人根据设计文件的要求及37号文、粤建规范〔2019〕2号</w:t>
      </w:r>
      <w:r>
        <w:rPr>
          <w:rFonts w:hint="eastAsia" w:ascii="宋体" w:hAnsi="宋体"/>
          <w:color w:val="auto"/>
          <w:szCs w:val="21"/>
          <w:highlight w:val="none"/>
        </w:rPr>
        <w:t>文的规定列出“危险性较大的分部分项工程清单及超过一定规模的危险性较大的分部分项工程清单”中与本招标项目相关的清单项，具体详见第</w:t>
      </w:r>
      <w:r>
        <w:rPr>
          <w:rFonts w:ascii="宋体" w:hAnsi="宋体"/>
          <w:color w:val="auto"/>
          <w:szCs w:val="21"/>
          <w:highlight w:val="none"/>
        </w:rPr>
        <w:t>5点“打√”标识。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1）投标单位同意建设单位在清单中标识的该项请在对应项打“√”标识，并与投标文件中提供相应的安全管理措施。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2）投标单位对清单中认为需要补充的该项请在对应项打“√”标识，并与投标文件中提供相应的安全管理措施。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3）投标单位不同意建设单位在清单中标识的该项请在对应项打“×”标识，并在备注栏填上相关说明。</w:t>
      </w:r>
    </w:p>
    <w:p>
      <w:pPr>
        <w:autoSpaceDE w:val="0"/>
        <w:autoSpaceDN w:val="0"/>
        <w:adjustRightInd w:val="0"/>
        <w:spacing w:line="360" w:lineRule="auto"/>
        <w:ind w:firstLine="422" w:firstLineChars="200"/>
        <w:jc w:val="left"/>
        <w:rPr>
          <w:rFonts w:ascii="宋体" w:hAnsi="宋体"/>
          <w:b/>
          <w:color w:val="auto"/>
          <w:szCs w:val="21"/>
          <w:highlight w:val="none"/>
          <w:u w:val="single"/>
        </w:rPr>
      </w:pPr>
      <w:r>
        <w:rPr>
          <w:rFonts w:ascii="宋体" w:hAnsi="宋体"/>
          <w:b/>
          <w:color w:val="auto"/>
          <w:szCs w:val="21"/>
          <w:highlight w:val="none"/>
          <w:u w:val="single"/>
        </w:rPr>
        <w:t>3、投标单位应当在投标时根据招标人提供的下述第5点清单，在投标施工组织中编制专项施工方案。</w:t>
      </w:r>
    </w:p>
    <w:p>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adjustRightInd w:val="0"/>
        <w:spacing w:line="360" w:lineRule="auto"/>
        <w:ind w:firstLine="420" w:firstLineChars="200"/>
        <w:rPr>
          <w:color w:val="auto"/>
          <w:szCs w:val="21"/>
          <w:highlight w:val="none"/>
        </w:rPr>
      </w:pPr>
      <w:r>
        <w:rPr>
          <w:rFonts w:ascii="宋体" w:hAnsi="宋体"/>
          <w:color w:val="auto"/>
          <w:szCs w:val="21"/>
          <w:highlight w:val="none"/>
        </w:rPr>
        <w:t>5、危险性较大的分部分项工程清单及超过一定规模的危险性较大的分部分项工程清单：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8"/>
        <w:gridCol w:w="1353"/>
        <w:gridCol w:w="135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一、危险性较大的分部分项工程清单</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建设单位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投标单位</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一、基坑支护</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（一）开挖深度超过</w:t>
            </w:r>
            <w:r>
              <w:rPr>
                <w:rFonts w:ascii="宋体" w:hAnsi="宋体"/>
                <w:color w:val="auto"/>
                <w:szCs w:val="21"/>
                <w:highlight w:val="none"/>
              </w:rPr>
              <w:t>3m（含3m）的基坑（槽）的土方开挖、支护、降水工程。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（二）开挖深度虽未超过</w:t>
            </w:r>
            <w:r>
              <w:rPr>
                <w:rFonts w:ascii="宋体" w:hAnsi="宋体"/>
                <w:color w:val="auto"/>
                <w:szCs w:val="21"/>
                <w:highlight w:val="none"/>
              </w:rPr>
              <w:t>3m，但地质条件、周围环境和地下管线复杂，或影响毗邻建、构筑物安全的基坑（槽）的土方开挖、支护、降水工程。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二、模板工程及支撑体系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（一）各类工具式模板工程：包括滑模、爬模、飞模、隧道模等工程。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（二）混凝土模板支撑工程：搭设高度</w:t>
            </w:r>
            <w:r>
              <w:rPr>
                <w:rFonts w:ascii="宋体" w:hAnsi="宋体"/>
                <w:color w:val="auto"/>
                <w:szCs w:val="21"/>
                <w:highlight w:val="none"/>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w:t>
            </w:r>
            <w:r>
              <w:rPr>
                <w:rFonts w:ascii="宋体" w:hAnsi="宋体" w:cs="宋体"/>
                <w:color w:val="auto"/>
                <w:szCs w:val="21"/>
                <w:highlight w:val="none"/>
              </w:rPr>
              <w:t>10kN及以上的起重吊装工程。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s="宋体"/>
                <w:color w:val="auto"/>
                <w:szCs w:val="21"/>
                <w:highlight w:val="none"/>
              </w:rPr>
              <w:t>（二）采用起重机械进行安装的工程。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四、脚手架工程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（一）搭设高度</w:t>
            </w:r>
            <w:r>
              <w:rPr>
                <w:rFonts w:ascii="宋体" w:hAnsi="宋体"/>
                <w:color w:val="auto"/>
                <w:szCs w:val="21"/>
                <w:highlight w:val="none"/>
              </w:rPr>
              <w:t>24m及以上的落地式钢管脚手架工程（包括采光井、电梯井脚手架）。</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（二）附着式升降脚手架工程。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（三）悬挑式脚手架工程。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（四）高处作业吊篮。</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（五）卸料平台、操作平台工程。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（六）异型脚手架工程。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五、拆除工程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可能影响行人、交通、电力设施、通讯设施或其它建、构筑物安全的拆除工程。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　六、暗挖工程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采用矿山法、盾构法、顶管法施工的隧道、洞室工程。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七、其它</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（一）建筑幕墙安装工程。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（二）钢结构、网架和索膜结构安装工程。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（三）人工挖孔桩工程。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（四）水下作业工程。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（五）装配式建筑混凝土预制构件安装工程。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（六）采用新技术、新工艺、新材料、新设备可能影响工程施工安全，尚无国家、行业及地方技术标准的分部分项工程。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uto"/>
              <w:rPr>
                <w:rFonts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建设单位</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投标单位</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一、深基坑工程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开挖深度超过</w:t>
            </w:r>
            <w:r>
              <w:rPr>
                <w:rFonts w:ascii="宋体" w:hAnsi="宋体"/>
                <w:color w:val="auto"/>
                <w:szCs w:val="21"/>
                <w:highlight w:val="none"/>
              </w:rPr>
              <w:t>5m（含5m）的基坑（槽）的土方开挖、支护、降水工程。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二、模板工程及支撑体系</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（一）各类工具式模板工程：包括滑模、爬模、飞模、隧道模等工程。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（二）混凝土模板支撑工程：搭设高度</w:t>
            </w:r>
            <w:r>
              <w:rPr>
                <w:rFonts w:ascii="宋体" w:hAnsi="宋体"/>
                <w:color w:val="auto"/>
                <w:szCs w:val="21"/>
                <w:highlight w:val="none"/>
              </w:rPr>
              <w:t>8m及以上，或搭设跨度18m及以上，或施工总荷载（设计值）15kN/m2及以上，或集中线荷载（设计值）20kN/m及以上。</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（三）承重支撑体系：用于钢结构安装等满堂支撑体系，承受单点集中荷载</w:t>
            </w:r>
            <w:r>
              <w:rPr>
                <w:rFonts w:ascii="宋体" w:hAnsi="宋体"/>
                <w:color w:val="auto"/>
                <w:szCs w:val="21"/>
                <w:highlight w:val="none"/>
              </w:rPr>
              <w:t>7kN及以上。</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　三、起重吊装及起重机械安装拆卸工程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（一）采用非常规起重设备、方法，且单件起吊重量在</w:t>
            </w:r>
            <w:r>
              <w:rPr>
                <w:rFonts w:ascii="宋体" w:hAnsi="宋体"/>
                <w:color w:val="auto"/>
                <w:szCs w:val="21"/>
                <w:highlight w:val="none"/>
              </w:rPr>
              <w:t>100kN及以上的起重吊装工程。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（二）起重量</w:t>
            </w:r>
            <w:r>
              <w:rPr>
                <w:rFonts w:ascii="宋体" w:hAnsi="宋体"/>
                <w:color w:val="auto"/>
                <w:szCs w:val="21"/>
                <w:highlight w:val="none"/>
              </w:rPr>
              <w:t>300kN及以上，或搭设总高度200m及以上，或搭设基础标高在200m及以上的起重机械安装和拆卸工程。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四、脚手架工程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（一）搭设高度</w:t>
            </w:r>
            <w:r>
              <w:rPr>
                <w:rFonts w:ascii="宋体" w:hAnsi="宋体"/>
                <w:color w:val="auto"/>
                <w:szCs w:val="21"/>
                <w:highlight w:val="none"/>
              </w:rPr>
              <w:t>50m及以上的落地式钢管脚手架工程。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（二）提升高度在</w:t>
            </w:r>
            <w:r>
              <w:rPr>
                <w:rFonts w:ascii="宋体" w:hAnsi="宋体"/>
                <w:color w:val="auto"/>
                <w:szCs w:val="21"/>
                <w:highlight w:val="none"/>
              </w:rPr>
              <w:t>150m及以上的附着式升降脚手架工程或附着式升降操作平台工程。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（三）分段架体搭设高度</w:t>
            </w:r>
            <w:r>
              <w:rPr>
                <w:rFonts w:ascii="宋体" w:hAnsi="宋体"/>
                <w:color w:val="auto"/>
                <w:szCs w:val="21"/>
                <w:highlight w:val="none"/>
              </w:rPr>
              <w:t>20m及以上的悬挑式脚手架工程。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五、拆除工程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（一）码头、桥梁、高架、烟囱、水塔或拆除中容易引起有毒有害气（液）体或粉尘扩散、易燃易爆事故发生的特殊建、构筑物的拆除工程。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（二）文物保护建筑、优秀历史建筑或历史文化风貌区影响范围内的拆除工程。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六、暗挖工程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采用矿山法、盾构法、顶管法施工的隧道、洞室工程。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七、其它</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（一）施工高度</w:t>
            </w:r>
            <w:r>
              <w:rPr>
                <w:rFonts w:ascii="宋体" w:hAnsi="宋体"/>
                <w:color w:val="auto"/>
                <w:szCs w:val="21"/>
                <w:highlight w:val="none"/>
              </w:rPr>
              <w:t>50m及以上的建筑幕墙安装工程。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b/>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（二）跨度</w:t>
            </w:r>
            <w:r>
              <w:rPr>
                <w:rFonts w:ascii="宋体" w:hAnsi="宋体"/>
                <w:color w:val="auto"/>
                <w:szCs w:val="21"/>
                <w:highlight w:val="none"/>
              </w:rPr>
              <w:t>36m及以上的钢结构安装工程，或跨度60m及以上的网架和索膜结构安装工程。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（三）开挖深度</w:t>
            </w:r>
            <w:r>
              <w:rPr>
                <w:rFonts w:ascii="宋体" w:hAnsi="宋体"/>
                <w:color w:val="auto"/>
                <w:szCs w:val="21"/>
                <w:highlight w:val="none"/>
              </w:rPr>
              <w:t>16m及以上的人工挖孔桩工程。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（四）水下作业工程。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（五）重量</w:t>
            </w:r>
            <w:r>
              <w:rPr>
                <w:rFonts w:ascii="宋体" w:hAnsi="宋体"/>
                <w:color w:val="auto"/>
                <w:szCs w:val="21"/>
                <w:highlight w:val="none"/>
              </w:rPr>
              <w:t>1000kN及以上的大型结构整体顶升、平移、转体等施工工艺。</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60" w:lineRule="auto"/>
              <w:jc w:val="left"/>
              <w:rPr>
                <w:rFonts w:ascii="宋体" w:hAnsi="宋体"/>
                <w:color w:val="auto"/>
                <w:szCs w:val="21"/>
                <w:highlight w:val="none"/>
              </w:rPr>
            </w:pPr>
            <w:r>
              <w:rPr>
                <w:rFonts w:hint="eastAsia" w:ascii="宋体" w:hAnsi="宋体"/>
                <w:color w:val="auto"/>
                <w:szCs w:val="21"/>
                <w:highlight w:val="none"/>
              </w:rPr>
              <w:t>（六）采用新技术、新工艺、新材料、新设备可能影响工程施工安全，尚无国家、行业及地方技术标准的分部分项工程。</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r>
              <w:rPr>
                <w:rFonts w:ascii="宋体" w:hAnsi="宋体"/>
                <w:color w:val="auto"/>
                <w:szCs w:val="21"/>
                <w:highlight w:val="none"/>
              </w:rPr>
              <w:t>(    )</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rPr>
                <w:rFonts w:ascii="宋体" w:hAnsi="宋体"/>
                <w:color w:val="auto"/>
                <w:szCs w:val="21"/>
                <w:highlight w:val="none"/>
              </w:rPr>
            </w:pPr>
          </w:p>
        </w:tc>
      </w:tr>
    </w:tbl>
    <w:p>
      <w:pPr>
        <w:spacing w:line="360" w:lineRule="auto"/>
        <w:ind w:firstLine="3000" w:firstLineChars="1250"/>
        <w:rPr>
          <w:rFonts w:ascii="宋体" w:hAnsi="宋体" w:cs="宋体"/>
          <w:color w:val="auto"/>
          <w:sz w:val="24"/>
          <w:szCs w:val="20"/>
          <w:highlight w:val="none"/>
        </w:rPr>
      </w:pPr>
    </w:p>
    <w:p>
      <w:pPr>
        <w:spacing w:line="36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投标人名称（盖章）：</w:t>
      </w:r>
    </w:p>
    <w:p>
      <w:pPr>
        <w:spacing w:line="36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pPr>
        <w:spacing w:line="360" w:lineRule="auto"/>
        <w:ind w:firstLine="3000" w:firstLineChars="1250"/>
        <w:rPr>
          <w:rFonts w:ascii="宋体" w:hAnsi="宋体"/>
          <w:color w:val="auto"/>
          <w:sz w:val="24"/>
          <w:highlight w:val="none"/>
        </w:rPr>
      </w:pPr>
      <w:r>
        <w:rPr>
          <w:rFonts w:hint="eastAsia" w:ascii="宋体" w:hAnsi="宋体" w:cs="宋体"/>
          <w:color w:val="auto"/>
          <w:sz w:val="24"/>
          <w:szCs w:val="20"/>
          <w:highlight w:val="none"/>
        </w:rPr>
        <w:t>日期：</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pPr>
        <w:widowControl/>
        <w:topLinePunct/>
        <w:adjustRightInd w:val="0"/>
        <w:snapToGrid w:val="0"/>
        <w:jc w:val="left"/>
        <w:rPr>
          <w:rFonts w:ascii="宋体" w:hAnsi="宋体" w:cs="宋体"/>
          <w:b/>
          <w:color w:val="auto"/>
          <w:szCs w:val="21"/>
          <w:highlight w:val="none"/>
        </w:rPr>
      </w:pPr>
    </w:p>
    <w:p>
      <w:pPr>
        <w:pStyle w:val="2"/>
        <w:rPr>
          <w:color w:val="auto"/>
          <w:highlight w:val="none"/>
          <w:lang w:eastAsia="zh-Hans"/>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fldChar w:fldCharType="begin"/>
                          </w:r>
                          <w:r>
                            <w:instrText xml:space="preserve">PAGE   \* MERGEFORMAT</w:instrText>
                          </w:r>
                          <w:r>
                            <w:fldChar w:fldCharType="separate"/>
                          </w:r>
                          <w:r>
                            <w:rPr>
                              <w:lang w:val="zh-CN"/>
                            </w:rP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61</w:t>
                    </w:r>
                    <w:r>
                      <w:fldChar w:fldCharType="end"/>
                    </w:r>
                  </w:p>
                </w:txbxContent>
              </v:textbox>
            </v:shape>
          </w:pict>
        </mc:Fallback>
      </mc:AlternateContent>
    </w:r>
  </w:p>
  <w:p>
    <w:pPr>
      <w:pStyle w:val="8"/>
      <w:ind w:firstLine="392"/>
      <w:jc w:val="right"/>
      <w:rPr>
        <w:rStyle w:val="1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E9D2CB9F"/>
    <w:multiLevelType w:val="singleLevel"/>
    <w:tmpl w:val="E9D2CB9F"/>
    <w:lvl w:ilvl="0" w:tentative="0">
      <w:start w:val="2"/>
      <w:numFmt w:val="decimal"/>
      <w:suff w:val="nothing"/>
      <w:lvlText w:val="（%1）"/>
      <w:lvlJc w:val="left"/>
    </w:lvl>
  </w:abstractNum>
  <w:abstractNum w:abstractNumId="2">
    <w:nsid w:val="140702EF"/>
    <w:multiLevelType w:val="multilevel"/>
    <w:tmpl w:val="140702E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5D7DD4"/>
    <w:multiLevelType w:val="multilevel"/>
    <w:tmpl w:val="265D7DD4"/>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4E480A"/>
    <w:multiLevelType w:val="multilevel"/>
    <w:tmpl w:val="564E480A"/>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A05117"/>
    <w:multiLevelType w:val="singleLevel"/>
    <w:tmpl w:val="6EA05117"/>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lY2NhMTQ4ZjVjZGFjZWQ1OGY3MjI4YmNhMDAxMmIifQ=="/>
  </w:docVars>
  <w:rsids>
    <w:rsidRoot w:val="DFFF4729"/>
    <w:rsid w:val="0016140E"/>
    <w:rsid w:val="00181358"/>
    <w:rsid w:val="002A1D0F"/>
    <w:rsid w:val="003138BA"/>
    <w:rsid w:val="00364E65"/>
    <w:rsid w:val="00516B57"/>
    <w:rsid w:val="00761A62"/>
    <w:rsid w:val="00800E8C"/>
    <w:rsid w:val="00857451"/>
    <w:rsid w:val="008716B1"/>
    <w:rsid w:val="008D406F"/>
    <w:rsid w:val="0090478B"/>
    <w:rsid w:val="0099029E"/>
    <w:rsid w:val="00A442BD"/>
    <w:rsid w:val="00A53E37"/>
    <w:rsid w:val="00C23838"/>
    <w:rsid w:val="00DA3204"/>
    <w:rsid w:val="00E87062"/>
    <w:rsid w:val="00F02E8A"/>
    <w:rsid w:val="00F165FF"/>
    <w:rsid w:val="04880799"/>
    <w:rsid w:val="055E7F14"/>
    <w:rsid w:val="05672E69"/>
    <w:rsid w:val="067254E3"/>
    <w:rsid w:val="06A2176C"/>
    <w:rsid w:val="07DB7519"/>
    <w:rsid w:val="08A54D99"/>
    <w:rsid w:val="0924150D"/>
    <w:rsid w:val="09EC7123"/>
    <w:rsid w:val="0A870FA8"/>
    <w:rsid w:val="0BBD68DF"/>
    <w:rsid w:val="0E5139F9"/>
    <w:rsid w:val="0E627986"/>
    <w:rsid w:val="0E99714E"/>
    <w:rsid w:val="0EF15A6A"/>
    <w:rsid w:val="10945D97"/>
    <w:rsid w:val="115127DD"/>
    <w:rsid w:val="11AD5C9A"/>
    <w:rsid w:val="12E741B1"/>
    <w:rsid w:val="12EE25A0"/>
    <w:rsid w:val="136327BA"/>
    <w:rsid w:val="140C2170"/>
    <w:rsid w:val="145D29CB"/>
    <w:rsid w:val="149070A3"/>
    <w:rsid w:val="16FF4679"/>
    <w:rsid w:val="188744BB"/>
    <w:rsid w:val="1D554B87"/>
    <w:rsid w:val="1D9C4564"/>
    <w:rsid w:val="1DEC35CE"/>
    <w:rsid w:val="20365672"/>
    <w:rsid w:val="20384A18"/>
    <w:rsid w:val="204C4020"/>
    <w:rsid w:val="21B106C3"/>
    <w:rsid w:val="220D345C"/>
    <w:rsid w:val="220D5A1F"/>
    <w:rsid w:val="222F59A7"/>
    <w:rsid w:val="22431452"/>
    <w:rsid w:val="22FA0EB8"/>
    <w:rsid w:val="24747E1D"/>
    <w:rsid w:val="24B91EA0"/>
    <w:rsid w:val="25BC34B0"/>
    <w:rsid w:val="277107DF"/>
    <w:rsid w:val="27F97A81"/>
    <w:rsid w:val="293D6BFB"/>
    <w:rsid w:val="2A4B359A"/>
    <w:rsid w:val="2A4C2E6E"/>
    <w:rsid w:val="2CDA29B3"/>
    <w:rsid w:val="2F2E0BAC"/>
    <w:rsid w:val="30986E0D"/>
    <w:rsid w:val="30AC47E3"/>
    <w:rsid w:val="3123652A"/>
    <w:rsid w:val="321107EC"/>
    <w:rsid w:val="32D16607"/>
    <w:rsid w:val="34B8182C"/>
    <w:rsid w:val="34BA37F6"/>
    <w:rsid w:val="35569A26"/>
    <w:rsid w:val="35FF3733"/>
    <w:rsid w:val="3645402D"/>
    <w:rsid w:val="36674C84"/>
    <w:rsid w:val="39C03DE5"/>
    <w:rsid w:val="3B3E101E"/>
    <w:rsid w:val="3BEEE0FD"/>
    <w:rsid w:val="3BFFD3A5"/>
    <w:rsid w:val="3D5154E4"/>
    <w:rsid w:val="3D6F5094"/>
    <w:rsid w:val="3E01676E"/>
    <w:rsid w:val="3E584682"/>
    <w:rsid w:val="3F7EAA3F"/>
    <w:rsid w:val="3F7F8339"/>
    <w:rsid w:val="3FE93F43"/>
    <w:rsid w:val="405D1410"/>
    <w:rsid w:val="41E023C2"/>
    <w:rsid w:val="44183734"/>
    <w:rsid w:val="448363DE"/>
    <w:rsid w:val="45114203"/>
    <w:rsid w:val="45886FF9"/>
    <w:rsid w:val="476017DF"/>
    <w:rsid w:val="4776D2B0"/>
    <w:rsid w:val="477D2EA6"/>
    <w:rsid w:val="47CD5197"/>
    <w:rsid w:val="47CF32D3"/>
    <w:rsid w:val="48337589"/>
    <w:rsid w:val="48546C4E"/>
    <w:rsid w:val="49EC27F8"/>
    <w:rsid w:val="4D242AB8"/>
    <w:rsid w:val="4D6046FD"/>
    <w:rsid w:val="4FD52EEB"/>
    <w:rsid w:val="50AB29AE"/>
    <w:rsid w:val="51352BFD"/>
    <w:rsid w:val="54894845"/>
    <w:rsid w:val="58216C5D"/>
    <w:rsid w:val="587C570B"/>
    <w:rsid w:val="5A133CA3"/>
    <w:rsid w:val="5A2F4903"/>
    <w:rsid w:val="5BB93DD7"/>
    <w:rsid w:val="5CFD600D"/>
    <w:rsid w:val="5D1A2A6B"/>
    <w:rsid w:val="5DED7EE9"/>
    <w:rsid w:val="5E9335D2"/>
    <w:rsid w:val="628F5A13"/>
    <w:rsid w:val="630574DC"/>
    <w:rsid w:val="63FFEF40"/>
    <w:rsid w:val="64520AA6"/>
    <w:rsid w:val="664A035D"/>
    <w:rsid w:val="67F85E08"/>
    <w:rsid w:val="699335C1"/>
    <w:rsid w:val="69C02612"/>
    <w:rsid w:val="6B4B624F"/>
    <w:rsid w:val="6B640B6A"/>
    <w:rsid w:val="6C871122"/>
    <w:rsid w:val="6E5DA09C"/>
    <w:rsid w:val="6EBF46EC"/>
    <w:rsid w:val="6F6D3CCF"/>
    <w:rsid w:val="6F7915DC"/>
    <w:rsid w:val="710E21F8"/>
    <w:rsid w:val="72A81F7F"/>
    <w:rsid w:val="735E3013"/>
    <w:rsid w:val="736D1458"/>
    <w:rsid w:val="7752F27A"/>
    <w:rsid w:val="77FEAB45"/>
    <w:rsid w:val="7919798C"/>
    <w:rsid w:val="7AD93B54"/>
    <w:rsid w:val="7B1E66CD"/>
    <w:rsid w:val="7B75029D"/>
    <w:rsid w:val="7B936F84"/>
    <w:rsid w:val="7CAD9C14"/>
    <w:rsid w:val="7CF72A0A"/>
    <w:rsid w:val="7D4476CE"/>
    <w:rsid w:val="7D5D5595"/>
    <w:rsid w:val="7F0D487C"/>
    <w:rsid w:val="7F8A3392"/>
    <w:rsid w:val="9FBE6715"/>
    <w:rsid w:val="AF7FAD78"/>
    <w:rsid w:val="D6EFFDAE"/>
    <w:rsid w:val="DCDF2C75"/>
    <w:rsid w:val="DD371386"/>
    <w:rsid w:val="DEC99EB2"/>
    <w:rsid w:val="DFFF4729"/>
    <w:rsid w:val="E2DA1AF8"/>
    <w:rsid w:val="E7F01274"/>
    <w:rsid w:val="E97FAF6C"/>
    <w:rsid w:val="EBBED77A"/>
    <w:rsid w:val="F3249ED0"/>
    <w:rsid w:val="F6A93996"/>
    <w:rsid w:val="F7FAE9A3"/>
    <w:rsid w:val="FB6D302D"/>
    <w:rsid w:val="FB759214"/>
    <w:rsid w:val="FBDB555B"/>
    <w:rsid w:val="FE473D8D"/>
    <w:rsid w:val="FF9C7C0B"/>
    <w:rsid w:val="FFB7E005"/>
    <w:rsid w:val="FFCBA731"/>
    <w:rsid w:val="FFFE4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2"/>
    <w:link w:val="25"/>
    <w:qFormat/>
    <w:uiPriority w:val="0"/>
    <w:pPr>
      <w:keepNext/>
      <w:keepLines/>
      <w:spacing w:after="120" w:line="360" w:lineRule="auto"/>
      <w:outlineLvl w:val="0"/>
    </w:pPr>
    <w:rPr>
      <w:kern w:val="44"/>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Times New Roman" w:hAnsi="Times New Roman" w:eastAsia="宋体" w:cs="Times New Roman"/>
      <w:szCs w:val="20"/>
    </w:rPr>
  </w:style>
  <w:style w:type="paragraph" w:styleId="3">
    <w:name w:val="Body Text"/>
    <w:basedOn w:val="1"/>
    <w:next w:val="1"/>
    <w:qFormat/>
    <w:uiPriority w:val="0"/>
    <w:pPr>
      <w:spacing w:after="120"/>
    </w:pPr>
  </w:style>
  <w:style w:type="paragraph" w:styleId="5">
    <w:name w:val="Title"/>
    <w:basedOn w:val="1"/>
    <w:qFormat/>
    <w:uiPriority w:val="0"/>
    <w:pPr>
      <w:spacing w:before="120" w:after="60"/>
      <w:jc w:val="center"/>
    </w:pPr>
    <w:rPr>
      <w:rFonts w:ascii="Arial" w:hAnsi="Arial" w:eastAsia="宋体" w:cs="Times New Roman"/>
      <w:b/>
      <w:sz w:val="44"/>
      <w:szCs w:val="20"/>
    </w:rPr>
  </w:style>
  <w:style w:type="paragraph" w:styleId="6">
    <w:name w:val="annotation text"/>
    <w:basedOn w:val="1"/>
    <w:qFormat/>
    <w:uiPriority w:val="0"/>
    <w:pPr>
      <w:spacing w:line="360" w:lineRule="auto"/>
      <w:ind w:firstLine="523" w:firstLineChars="218"/>
      <w:jc w:val="left"/>
    </w:pPr>
    <w:rPr>
      <w:rFonts w:ascii="宋体" w:hAnsi="宋体"/>
      <w:kern w:val="0"/>
      <w:sz w:val="24"/>
      <w:szCs w:val="24"/>
    </w:rPr>
  </w:style>
  <w:style w:type="paragraph" w:styleId="7">
    <w:name w:val="Body Text 3"/>
    <w:basedOn w:val="1"/>
    <w:unhideWhenUsed/>
    <w:qFormat/>
    <w:uiPriority w:val="99"/>
    <w:pPr>
      <w:spacing w:after="120"/>
    </w:pPr>
    <w:rPr>
      <w:sz w:val="16"/>
      <w:szCs w:val="16"/>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page number"/>
    <w:qFormat/>
    <w:uiPriority w:val="0"/>
    <w:rPr>
      <w:rFonts w:cs="Times New Roman"/>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 w:type="paragraph" w:customStyle="1" w:styleId="16">
    <w:name w:val="_Style 139"/>
    <w:basedOn w:val="1"/>
    <w:next w:val="1"/>
    <w:qFormat/>
    <w:uiPriority w:val="34"/>
    <w:pPr>
      <w:ind w:firstLine="420" w:firstLineChars="200"/>
    </w:pPr>
    <w:rPr>
      <w:szCs w:val="20"/>
    </w:rPr>
  </w:style>
  <w:style w:type="character" w:customStyle="1" w:styleId="17">
    <w:name w:val="页眉 字符"/>
    <w:basedOn w:val="12"/>
    <w:link w:val="9"/>
    <w:qFormat/>
    <w:uiPriority w:val="0"/>
    <w:rPr>
      <w:rFonts w:asciiTheme="minorHAnsi" w:hAnsiTheme="minorHAnsi" w:eastAsiaTheme="minorEastAsia" w:cstheme="minorBidi"/>
      <w:kern w:val="2"/>
      <w:sz w:val="18"/>
      <w:szCs w:val="18"/>
    </w:rPr>
  </w:style>
  <w:style w:type="character" w:customStyle="1" w:styleId="18">
    <w:name w:val="页脚 字符"/>
    <w:basedOn w:val="12"/>
    <w:link w:val="8"/>
    <w:qFormat/>
    <w:uiPriority w:val="0"/>
    <w:rPr>
      <w:rFonts w:asciiTheme="minorHAnsi" w:hAnsiTheme="minorHAnsi" w:eastAsiaTheme="minorEastAsia" w:cstheme="minorBidi"/>
      <w:kern w:val="2"/>
      <w:sz w:val="18"/>
      <w:szCs w:val="18"/>
    </w:rPr>
  </w:style>
  <w:style w:type="character" w:customStyle="1" w:styleId="19">
    <w:name w:val="NormalCharacter"/>
    <w:qFormat/>
    <w:uiPriority w:val="0"/>
  </w:style>
  <w:style w:type="character" w:customStyle="1" w:styleId="20">
    <w:name w:val="cf01"/>
    <w:qFormat/>
    <w:uiPriority w:val="0"/>
    <w:rPr>
      <w:rFonts w:hint="eastAsia" w:ascii="Microsoft YaHei UI" w:hAnsi="Microsoft YaHei UI" w:eastAsia="Microsoft YaHei UI"/>
      <w:sz w:val="18"/>
      <w:szCs w:val="18"/>
    </w:rPr>
  </w:style>
  <w:style w:type="paragraph" w:customStyle="1" w:styleId="21">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cf11"/>
    <w:qFormat/>
    <w:uiPriority w:val="0"/>
    <w:rPr>
      <w:rFonts w:hint="eastAsia" w:ascii="Microsoft YaHei UI" w:hAnsi="Microsoft YaHei UI" w:eastAsia="Microsoft YaHei UI"/>
      <w:sz w:val="18"/>
      <w:szCs w:val="18"/>
    </w:rPr>
  </w:style>
  <w:style w:type="paragraph" w:customStyle="1" w:styleId="23">
    <w:name w:val="普通正文"/>
    <w:basedOn w:val="24"/>
    <w:qFormat/>
    <w:uiPriority w:val="0"/>
    <w:pPr>
      <w:ind w:firstLine="200" w:firstLineChars="200"/>
    </w:pPr>
    <w:rPr>
      <w:kern w:val="2"/>
    </w:rPr>
  </w:style>
  <w:style w:type="paragraph" w:customStyle="1" w:styleId="24">
    <w:name w:val="正文1"/>
    <w:next w:val="23"/>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25">
    <w:name w:val="标题 1 字符2"/>
    <w:link w:val="4"/>
    <w:qFormat/>
    <w:uiPriority w:val="9"/>
    <w:rPr>
      <w:kern w:val="4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C940D-FF9C-4971-B67D-459326D8A135}">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2226</Words>
  <Characters>12690</Characters>
  <Lines>105</Lines>
  <Paragraphs>29</Paragraphs>
  <TotalTime>12</TotalTime>
  <ScaleCrop>false</ScaleCrop>
  <LinksUpToDate>false</LinksUpToDate>
  <CharactersWithSpaces>14887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2023-01-28T07:59:00Z</dcterms:created>
  <dc:creator>工程部-林工</dc:creator>
  <cp:lastModifiedBy>WPS_1563262325</cp:lastModifiedBy>
  <dcterms:modified xsi:type="dcterms:W3CDTF">2023-02-21T06:19:57Z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6FFBDD8BD233423F95A272E837F0C001</vt:lpwstr>
  </property>
</Properties>
</file>