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F44B0">
      <w:pPr>
        <w:rPr>
          <w:rFonts w:hint="eastAsia"/>
        </w:rPr>
      </w:pPr>
      <w:bookmarkStart w:id="6" w:name="_GoBack"/>
      <w:r>
        <w:rPr>
          <w:rFonts w:hint="eastAsia"/>
        </w:rPr>
        <w:t>附件3：评标办法</w:t>
      </w:r>
    </w:p>
    <w:bookmarkEnd w:id="6"/>
    <w:p w14:paraId="0EA2291D">
      <w:pPr>
        <w:spacing w:line="360" w:lineRule="auto"/>
        <w:ind w:firstLine="562" w:firstLineChars="200"/>
        <w:jc w:val="left"/>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附件3：评标办法（双</w:t>
      </w:r>
      <w:r>
        <w:rPr>
          <w:rFonts w:ascii="黑体" w:hAnsi="黑体" w:eastAsia="黑体"/>
          <w:b/>
          <w:color w:val="000000" w:themeColor="text1"/>
          <w:sz w:val="28"/>
          <w14:textFill>
            <w14:solidFill>
              <w14:schemeClr w14:val="tx1"/>
            </w14:solidFill>
          </w14:textFill>
        </w:rPr>
        <w:t>信封的技术评分最低标价法）</w:t>
      </w:r>
    </w:p>
    <w:tbl>
      <w:tblPr>
        <w:tblStyle w:val="5"/>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234"/>
        <w:gridCol w:w="7228"/>
      </w:tblGrid>
      <w:tr w14:paraId="70DF8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128" w:type="dxa"/>
            <w:gridSpan w:val="2"/>
            <w:noWrap w:val="0"/>
            <w:vAlign w:val="center"/>
          </w:tcPr>
          <w:p w14:paraId="446E7C9B">
            <w:pPr>
              <w:spacing w:line="360" w:lineRule="auto"/>
              <w:ind w:left="673" w:right="666"/>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条款号</w:t>
            </w:r>
          </w:p>
        </w:tc>
        <w:tc>
          <w:tcPr>
            <w:tcW w:w="7228" w:type="dxa"/>
            <w:noWrap w:val="0"/>
            <w:vAlign w:val="center"/>
          </w:tcPr>
          <w:p w14:paraId="2E898C70">
            <w:pPr>
              <w:spacing w:line="360" w:lineRule="auto"/>
              <w:ind w:right="73"/>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评审因素与评审标准</w:t>
            </w:r>
          </w:p>
        </w:tc>
      </w:tr>
      <w:tr w14:paraId="5B6C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7" w:hRule="atLeast"/>
          <w:jc w:val="center"/>
        </w:trPr>
        <w:tc>
          <w:tcPr>
            <w:tcW w:w="894" w:type="dxa"/>
            <w:noWrap w:val="0"/>
            <w:vAlign w:val="center"/>
          </w:tcPr>
          <w:p w14:paraId="59666944">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234" w:type="dxa"/>
            <w:noWrap w:val="0"/>
            <w:vAlign w:val="center"/>
          </w:tcPr>
          <w:p w14:paraId="393491D9">
            <w:pPr>
              <w:spacing w:line="360" w:lineRule="auto"/>
              <w:ind w:left="141"/>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评标方法</w:t>
            </w:r>
          </w:p>
        </w:tc>
        <w:tc>
          <w:tcPr>
            <w:tcW w:w="7228" w:type="dxa"/>
            <w:noWrap w:val="0"/>
            <w:vAlign w:val="center"/>
          </w:tcPr>
          <w:p w14:paraId="6ED1D1EC">
            <w:pPr>
              <w:spacing w:line="360" w:lineRule="auto"/>
              <w:ind w:left="44" w:leftChars="21" w:right="158" w:rightChars="75" w:firstLine="165" w:firstLineChars="7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评标价相等时，评标委员会依次按照以下优先顺序推荐中标候选人或确定中标人：</w:t>
            </w:r>
          </w:p>
          <w:p w14:paraId="3F1DDD76">
            <w:pPr>
              <w:spacing w:line="360" w:lineRule="auto"/>
              <w:ind w:left="44" w:leftChars="21" w:right="158" w:rightChars="75" w:firstLine="165" w:firstLineChars="7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（1）按招标文件规定被认定为最新年度广东省公路工程从业单位信用评价等级较高的投标人优先；</w:t>
            </w:r>
          </w:p>
          <w:p w14:paraId="7D465E98">
            <w:pPr>
              <w:spacing w:line="360" w:lineRule="auto"/>
              <w:ind w:left="44" w:leftChars="21" w:right="158" w:rightChars="75" w:firstLine="165" w:firstLineChars="7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【采用如下的优先顺序：承诺使用的AA 级投标人、不承诺使用的AA 级投标人、承诺使用的A 级投标人、不承诺使用的A 级投标人、B 级投标人、未参评且被确定为B 级投标人】</w:t>
            </w:r>
          </w:p>
          <w:p w14:paraId="1BA0B159">
            <w:pPr>
              <w:spacing w:line="360" w:lineRule="auto"/>
              <w:ind w:left="44" w:leftChars="21" w:right="158" w:rightChars="75" w:firstLine="165" w:firstLineChars="7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（2）以投标人企业最新年度净资产较高的优先；</w:t>
            </w:r>
          </w:p>
          <w:p w14:paraId="0A724A65">
            <w:pPr>
              <w:spacing w:line="360" w:lineRule="auto"/>
              <w:ind w:left="44" w:leftChars="21" w:right="158" w:rightChars="75" w:firstLine="165" w:firstLineChars="7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（3）评标委员会视投标人情况综合比较，投票确定其名次。</w:t>
            </w:r>
          </w:p>
        </w:tc>
      </w:tr>
      <w:tr w14:paraId="74423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jc w:val="center"/>
        </w:trPr>
        <w:tc>
          <w:tcPr>
            <w:tcW w:w="894" w:type="dxa"/>
            <w:noWrap w:val="0"/>
            <w:vAlign w:val="center"/>
          </w:tcPr>
          <w:p w14:paraId="5053484D">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w:t>
            </w:r>
          </w:p>
          <w:p w14:paraId="6EC6C61F">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w:t>
            </w:r>
          </w:p>
        </w:tc>
        <w:tc>
          <w:tcPr>
            <w:tcW w:w="1234" w:type="dxa"/>
            <w:noWrap w:val="0"/>
            <w:vAlign w:val="center"/>
          </w:tcPr>
          <w:p w14:paraId="3285AAC0">
            <w:pPr>
              <w:spacing w:line="360" w:lineRule="auto"/>
              <w:ind w:left="141" w:right="127"/>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形式评审与响应性评审标准</w:t>
            </w:r>
          </w:p>
        </w:tc>
        <w:tc>
          <w:tcPr>
            <w:tcW w:w="7228" w:type="dxa"/>
            <w:noWrap w:val="0"/>
            <w:vAlign w:val="top"/>
          </w:tcPr>
          <w:p w14:paraId="02B07EBC">
            <w:pPr>
              <w:spacing w:line="360" w:lineRule="auto"/>
              <w:ind w:right="158" w:rightChars="75"/>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第一个信封（商务及技术文件）评审标准：</w:t>
            </w:r>
          </w:p>
          <w:p w14:paraId="5C0BE84A">
            <w:pPr>
              <w:spacing w:line="360" w:lineRule="auto"/>
              <w:ind w:left="44" w:leftChars="21" w:right="158" w:rightChars="75" w:firstLine="165" w:firstLineChars="7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（1）投标文件按照招标文件规定的格式、内容填写，字迹清晰可辨：</w:t>
            </w:r>
          </w:p>
          <w:p w14:paraId="3749BBEF">
            <w:pPr>
              <w:spacing w:line="360" w:lineRule="auto"/>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a.投标函按招标文件规定填报了项目名称、标段号</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有</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、补遗书编号（如有）、工期、工程质量要求及安全目标；</w:t>
            </w:r>
          </w:p>
          <w:p w14:paraId="7789B23D">
            <w:pPr>
              <w:spacing w:line="360" w:lineRule="auto"/>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b.投标函附录的所有数据均符合招标文件规定；</w:t>
            </w:r>
          </w:p>
          <w:p w14:paraId="66B9041E">
            <w:pPr>
              <w:spacing w:line="360" w:lineRule="auto"/>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c.投标文件组成齐全完整，内容均按规定填写。</w:t>
            </w:r>
          </w:p>
          <w:p w14:paraId="3E4B8445">
            <w:pPr>
              <w:spacing w:line="360" w:lineRule="auto"/>
              <w:ind w:left="61" w:leftChars="29" w:right="168" w:rightChars="80" w:firstLine="151" w:firstLineChars="7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（2）投标文件上法定代表人或其委托代理人的签字、投标人的单位章盖章齐全，符合招标文件规定。</w:t>
            </w:r>
          </w:p>
          <w:p w14:paraId="602591BB">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）投标人按照招标文件的规定提供了投标保证金：</w:t>
            </w:r>
          </w:p>
          <w:p w14:paraId="2F7DE6F5">
            <w:pPr>
              <w:spacing w:line="360" w:lineRule="auto"/>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a.投标保证金金额符合招标文件规定的金额，且投标保证金有效期不少于投标有效期；</w:t>
            </w:r>
          </w:p>
          <w:p w14:paraId="2B651431">
            <w:pPr>
              <w:spacing w:line="360" w:lineRule="auto"/>
              <w:ind w:left="139" w:leftChars="66" w:right="158" w:rightChars="75" w:firstLine="285" w:firstLineChars="13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b.若投标保证金采用现金或支票形式提交，投标人应在</w:t>
            </w:r>
            <w:r>
              <w:rPr>
                <w:rFonts w:hint="eastAsia" w:ascii="宋体" w:hAnsi="宋体"/>
                <w:color w:val="000000" w:themeColor="text1"/>
                <w:szCs w:val="21"/>
                <w14:textFill>
                  <w14:solidFill>
                    <w14:schemeClr w14:val="tx1"/>
                  </w14:solidFill>
                </w14:textFill>
              </w:rPr>
              <w:t>投标人须知3.4.1款规定时间</w:t>
            </w:r>
            <w:r>
              <w:rPr>
                <w:rFonts w:ascii="宋体" w:hAnsi="宋体"/>
                <w:color w:val="000000" w:themeColor="text1"/>
                <w:szCs w:val="21"/>
                <w14:textFill>
                  <w14:solidFill>
                    <w14:schemeClr w14:val="tx1"/>
                  </w14:solidFill>
                </w14:textFill>
              </w:rPr>
              <w:t>，将投标保证金由投标人的基本账户转入招标人指定账户；</w:t>
            </w:r>
          </w:p>
          <w:p w14:paraId="1C796E87">
            <w:pPr>
              <w:spacing w:line="360" w:lineRule="auto"/>
              <w:ind w:left="139" w:leftChars="66" w:right="158" w:rightChars="75" w:firstLine="285" w:firstLineChars="136"/>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w:t>
            </w:r>
            <w:r>
              <w:rPr>
                <w:rFonts w:hint="eastAsia"/>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若投标保证金采用银行保函或投标人须知前附表3.4.1 项规定的其他形式提交，应满足招标文件要求。</w:t>
            </w:r>
          </w:p>
        </w:tc>
      </w:tr>
    </w:tbl>
    <w:p w14:paraId="2D9E73D2">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续上表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1224"/>
        <w:gridCol w:w="7158"/>
      </w:tblGrid>
      <w:tr w14:paraId="1B20E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2198" w:type="dxa"/>
            <w:gridSpan w:val="2"/>
            <w:noWrap w:val="0"/>
            <w:vAlign w:val="center"/>
          </w:tcPr>
          <w:p w14:paraId="49E07027">
            <w:pPr>
              <w:spacing w:before="109" w:line="252" w:lineRule="exact"/>
              <w:ind w:left="678" w:right="66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条款号</w:t>
            </w:r>
          </w:p>
        </w:tc>
        <w:tc>
          <w:tcPr>
            <w:tcW w:w="7158" w:type="dxa"/>
            <w:noWrap w:val="0"/>
            <w:vAlign w:val="center"/>
          </w:tcPr>
          <w:p w14:paraId="4ED0E47E">
            <w:pPr>
              <w:spacing w:before="109" w:line="252" w:lineRule="exact"/>
              <w:ind w:right="73"/>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评审因素与评审标准</w:t>
            </w:r>
          </w:p>
        </w:tc>
      </w:tr>
      <w:tr w14:paraId="103D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2" w:hRule="atLeast"/>
          <w:jc w:val="center"/>
        </w:trPr>
        <w:tc>
          <w:tcPr>
            <w:tcW w:w="974" w:type="dxa"/>
            <w:noWrap w:val="0"/>
            <w:vAlign w:val="center"/>
          </w:tcPr>
          <w:p w14:paraId="67402C18">
            <w:pPr>
              <w:spacing w:before="151"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w:t>
            </w:r>
          </w:p>
          <w:p w14:paraId="457DF470">
            <w:pPr>
              <w:spacing w:before="151"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w:t>
            </w:r>
          </w:p>
        </w:tc>
        <w:tc>
          <w:tcPr>
            <w:tcW w:w="1224" w:type="dxa"/>
            <w:noWrap w:val="0"/>
            <w:vAlign w:val="center"/>
          </w:tcPr>
          <w:p w14:paraId="24E16AE8">
            <w:pPr>
              <w:spacing w:before="151" w:line="360" w:lineRule="exact"/>
              <w:ind w:left="143" w:right="131"/>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形式评审与响应性评审标准</w:t>
            </w:r>
          </w:p>
        </w:tc>
        <w:tc>
          <w:tcPr>
            <w:tcW w:w="7158" w:type="dxa"/>
            <w:noWrap w:val="0"/>
            <w:vAlign w:val="center"/>
          </w:tcPr>
          <w:p w14:paraId="70A65CD7">
            <w:pPr>
              <w:spacing w:line="360" w:lineRule="auto"/>
              <w:ind w:left="61" w:leftChars="29" w:right="168" w:rightChars="80" w:firstLine="151" w:firstLineChars="7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）投标人法定代表人授权委托代理人签署投标文件的，</w:t>
            </w:r>
            <w:r>
              <w:rPr>
                <w:rFonts w:hint="eastAsia" w:ascii="宋体" w:hAnsi="宋体"/>
                <w:color w:val="000000" w:themeColor="text1"/>
                <w:szCs w:val="21"/>
                <w14:textFill>
                  <w14:solidFill>
                    <w14:schemeClr w14:val="tx1"/>
                  </w14:solidFill>
                </w14:textFill>
              </w:rPr>
              <w:t>需</w:t>
            </w:r>
            <w:r>
              <w:rPr>
                <w:rFonts w:ascii="宋体" w:hAnsi="宋体"/>
                <w:color w:val="000000" w:themeColor="text1"/>
                <w:szCs w:val="21"/>
                <w14:textFill>
                  <w14:solidFill>
                    <w14:schemeClr w14:val="tx1"/>
                  </w14:solidFill>
                </w14:textFill>
              </w:rPr>
              <w:t>提交授权委托书，且授权人和被授权人均在授权委托书上签名，未使用印章、签名章或其他电子制版签名代替。</w:t>
            </w:r>
          </w:p>
          <w:p w14:paraId="6868FB29">
            <w:pPr>
              <w:spacing w:line="360" w:lineRule="auto"/>
              <w:ind w:left="61" w:leftChars="29" w:right="168" w:rightChars="80" w:firstLine="151" w:firstLineChars="7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）投标人法定代表人亲自签署投标文件的，提供了法定代表人身份证明，且法定代表人在法定代表人身份证明上签名，未使用印章、签名章或其他电子制版签名代替。</w:t>
            </w:r>
          </w:p>
          <w:p w14:paraId="73BD95E7">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）同一投标人未提交两个以上不同的投标文件，但招标文件要求提交备选投标的除外。</w:t>
            </w:r>
          </w:p>
          <w:p w14:paraId="256A0A53">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）投标文件中未出现有关投标报价的内容。</w:t>
            </w:r>
          </w:p>
          <w:p w14:paraId="36454D81">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）投标文件载明的招标项目完成期限未超过招标文件规定的时限。</w:t>
            </w:r>
          </w:p>
          <w:p w14:paraId="41A535C2">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9</w:t>
            </w:r>
            <w:r>
              <w:rPr>
                <w:rFonts w:ascii="宋体" w:hAnsi="宋体"/>
                <w:color w:val="000000" w:themeColor="text1"/>
                <w:szCs w:val="21"/>
                <w14:textFill>
                  <w14:solidFill>
                    <w14:schemeClr w14:val="tx1"/>
                  </w14:solidFill>
                </w14:textFill>
              </w:rPr>
              <w:t>）投标文件对招标文件的实质性要求和条件作出响应。</w:t>
            </w:r>
          </w:p>
          <w:p w14:paraId="7F44DE76">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）权利义务符合招标文件规定：</w:t>
            </w:r>
          </w:p>
          <w:p w14:paraId="6236A59B">
            <w:pPr>
              <w:spacing w:line="360" w:lineRule="auto"/>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a.投标人应接受招标文件规定的风险划分原则，未提出新的风险划分办法；</w:t>
            </w:r>
          </w:p>
          <w:p w14:paraId="69FC1522">
            <w:pPr>
              <w:spacing w:line="360" w:lineRule="auto"/>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b.投标人未增加发包人的责任范围，或减少投标人义务；</w:t>
            </w:r>
          </w:p>
          <w:p w14:paraId="64F08704">
            <w:pPr>
              <w:spacing w:line="360" w:lineRule="auto"/>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c.投标人未提出不同的</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验收</w:t>
            </w:r>
            <w:r>
              <w:rPr>
                <w:rFonts w:hint="eastAsia" w:ascii="宋体" w:hAnsi="宋体"/>
                <w:color w:val="000000" w:themeColor="text1"/>
                <w:szCs w:val="21"/>
                <w14:textFill>
                  <w14:solidFill>
                    <w14:schemeClr w14:val="tx1"/>
                  </w14:solidFill>
                </w14:textFill>
              </w:rPr>
              <w:t>、计量</w:t>
            </w:r>
            <w:r>
              <w:rPr>
                <w:rFonts w:ascii="宋体" w:hAnsi="宋体"/>
                <w:color w:val="000000" w:themeColor="text1"/>
                <w:szCs w:val="21"/>
                <w14:textFill>
                  <w14:solidFill>
                    <w14:schemeClr w14:val="tx1"/>
                  </w14:solidFill>
                </w14:textFill>
              </w:rPr>
              <w:t>、支付办法；</w:t>
            </w:r>
          </w:p>
          <w:p w14:paraId="77E0A5F7">
            <w:pPr>
              <w:spacing w:line="360" w:lineRule="auto"/>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d.投标人对合同纠纷、事故处理办法未提出异议；</w:t>
            </w:r>
          </w:p>
          <w:p w14:paraId="62A898AC">
            <w:pPr>
              <w:spacing w:line="360" w:lineRule="auto"/>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e.投标人在投标活动中无欺诈行为；</w:t>
            </w:r>
          </w:p>
          <w:p w14:paraId="5383D81E">
            <w:pPr>
              <w:spacing w:line="360" w:lineRule="auto"/>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f.投标人未对合同条款有重要保留。</w:t>
            </w:r>
          </w:p>
          <w:p w14:paraId="3CB31210">
            <w:pPr>
              <w:spacing w:line="360" w:lineRule="auto"/>
              <w:ind w:left="61" w:leftChars="29" w:right="168" w:rightChars="80" w:firstLine="151" w:firstLineChars="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（11）投标文件未附有招标人不能接受的条件。</w:t>
            </w:r>
          </w:p>
          <w:p w14:paraId="01AA95F5">
            <w:pPr>
              <w:spacing w:line="360" w:lineRule="auto"/>
              <w:ind w:left="61" w:leftChars="29" w:right="168" w:rightChars="80" w:firstLine="152" w:firstLineChars="72"/>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第二个信封（报价文件）评审标准：</w:t>
            </w:r>
          </w:p>
          <w:p w14:paraId="4D7D7FC7">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（1）投标文件按照招标文件规定的格式、内容填写，字迹清晰可辨：</w:t>
            </w:r>
          </w:p>
        </w:tc>
      </w:tr>
    </w:tbl>
    <w:p w14:paraId="0B869403">
      <w:pPr>
        <w:spacing w:line="250" w:lineRule="exact"/>
        <w:rPr>
          <w:color w:val="000000" w:themeColor="text1"/>
          <w:szCs w:val="21"/>
          <w14:textFill>
            <w14:solidFill>
              <w14:schemeClr w14:val="tx1"/>
            </w14:solidFill>
          </w14:textFill>
        </w:rPr>
        <w:sectPr>
          <w:footerReference r:id="rId3" w:type="default"/>
          <w:pgSz w:w="11906" w:h="16838"/>
          <w:pgMar w:top="1418" w:right="1418" w:bottom="1418" w:left="1418" w:header="851" w:footer="851" w:gutter="0"/>
          <w:pgNumType w:start="1"/>
          <w:cols w:space="720" w:num="1"/>
        </w:sectPr>
      </w:pPr>
    </w:p>
    <w:p w14:paraId="56E8F919">
      <w:pPr>
        <w:spacing w:before="72"/>
        <w:ind w:right="631"/>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续上表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7"/>
        <w:gridCol w:w="1226"/>
        <w:gridCol w:w="7175"/>
      </w:tblGrid>
      <w:tr w14:paraId="06B1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2203" w:type="dxa"/>
            <w:gridSpan w:val="2"/>
            <w:noWrap w:val="0"/>
            <w:vAlign w:val="center"/>
          </w:tcPr>
          <w:p w14:paraId="593B6850">
            <w:pPr>
              <w:spacing w:before="109" w:line="252"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条款号</w:t>
            </w:r>
          </w:p>
        </w:tc>
        <w:tc>
          <w:tcPr>
            <w:tcW w:w="7175" w:type="dxa"/>
            <w:noWrap w:val="0"/>
            <w:vAlign w:val="center"/>
          </w:tcPr>
          <w:p w14:paraId="6A1125F7">
            <w:pPr>
              <w:spacing w:before="109" w:line="252"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评审因素与评审标准</w:t>
            </w:r>
          </w:p>
        </w:tc>
      </w:tr>
      <w:tr w14:paraId="6B5CD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977" w:type="dxa"/>
            <w:noWrap w:val="0"/>
            <w:vAlign w:val="center"/>
          </w:tcPr>
          <w:p w14:paraId="09042F39">
            <w:pPr>
              <w:spacing w:before="151"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w:t>
            </w:r>
          </w:p>
          <w:p w14:paraId="0C6103CB">
            <w:pPr>
              <w:spacing w:before="151"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w:t>
            </w:r>
          </w:p>
        </w:tc>
        <w:tc>
          <w:tcPr>
            <w:tcW w:w="1226" w:type="dxa"/>
            <w:noWrap w:val="0"/>
            <w:vAlign w:val="center"/>
          </w:tcPr>
          <w:p w14:paraId="60ADB873">
            <w:pPr>
              <w:spacing w:before="151" w:line="360" w:lineRule="auto"/>
              <w:ind w:right="131"/>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形式评审与响应性评审标准</w:t>
            </w:r>
          </w:p>
        </w:tc>
        <w:tc>
          <w:tcPr>
            <w:tcW w:w="7175" w:type="dxa"/>
            <w:noWrap w:val="0"/>
            <w:vAlign w:val="center"/>
          </w:tcPr>
          <w:p w14:paraId="67FE351C">
            <w:pPr>
              <w:spacing w:line="360" w:lineRule="auto"/>
              <w:ind w:left="61" w:leftChars="29" w:right="168" w:rightChars="80" w:firstLine="151" w:firstLineChars="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a.投标报价函及投标报价函附录按招标文件规定填报了项目名称、标段号（如有）、补遗书编号（如有）、投标总</w:t>
            </w:r>
            <w:r>
              <w:rPr>
                <w:rFonts w:ascii="宋体" w:hAnsi="宋体"/>
                <w:color w:val="000000" w:themeColor="text1"/>
                <w:szCs w:val="21"/>
                <w14:textFill>
                  <w14:solidFill>
                    <w14:schemeClr w14:val="tx1"/>
                  </w14:solidFill>
                </w14:textFill>
              </w:rPr>
              <w:t>报</w:t>
            </w:r>
            <w:r>
              <w:rPr>
                <w:rFonts w:hint="eastAsia" w:ascii="宋体" w:hAnsi="宋体"/>
                <w:color w:val="000000" w:themeColor="text1"/>
                <w:szCs w:val="21"/>
                <w14:textFill>
                  <w14:solidFill>
                    <w14:schemeClr w14:val="tx1"/>
                  </w14:solidFill>
                </w14:textFill>
              </w:rPr>
              <w:t>价（包括大写金额和小写金额）；</w:t>
            </w:r>
          </w:p>
          <w:p w14:paraId="4D7FAADA">
            <w:pPr>
              <w:spacing w:line="360" w:lineRule="auto"/>
              <w:ind w:left="61" w:leftChars="29" w:right="168" w:rightChars="80" w:firstLine="151" w:firstLineChars="72"/>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.投标文件组成齐全完整，内容均按规定填写。</w:t>
            </w:r>
          </w:p>
          <w:p w14:paraId="53BF08C8">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（2）投标文件上法定代表人或其委托代理人的签字、投标人的单位章盖章齐全，符合招标文件规定。</w:t>
            </w:r>
          </w:p>
          <w:p w14:paraId="5ED78F5F">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（3）投标报价未超过招标文件设定的最高投标限价（如有）。</w:t>
            </w:r>
          </w:p>
          <w:p w14:paraId="56D617F8">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（4）投标报价的大写金额能够确定具体数值。</w:t>
            </w:r>
          </w:p>
          <w:p w14:paraId="6F6012F5">
            <w:pPr>
              <w:spacing w:line="360" w:lineRule="auto"/>
              <w:ind w:left="61" w:leftChars="29" w:right="168" w:rightChars="80" w:firstLine="151" w:firstLineChars="7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（5）同一投标人未提交两个以上不同的投标报价，但招标文件要求提交备选投标的除外。</w:t>
            </w:r>
          </w:p>
        </w:tc>
      </w:tr>
      <w:tr w14:paraId="6499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977" w:type="dxa"/>
            <w:noWrap w:val="0"/>
            <w:vAlign w:val="center"/>
          </w:tcPr>
          <w:p w14:paraId="4E6E4292">
            <w:pPr>
              <w:spacing w:before="151"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2.1.2</w:t>
            </w:r>
          </w:p>
        </w:tc>
        <w:tc>
          <w:tcPr>
            <w:tcW w:w="1226" w:type="dxa"/>
            <w:noWrap w:val="0"/>
            <w:vAlign w:val="center"/>
          </w:tcPr>
          <w:p w14:paraId="60239893">
            <w:pPr>
              <w:spacing w:before="151" w:line="360" w:lineRule="auto"/>
              <w:ind w:left="239" w:right="131"/>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资格评审标准</w:t>
            </w:r>
          </w:p>
        </w:tc>
        <w:tc>
          <w:tcPr>
            <w:tcW w:w="7175" w:type="dxa"/>
            <w:noWrap w:val="0"/>
            <w:vAlign w:val="center"/>
          </w:tcPr>
          <w:p w14:paraId="682785EA">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（1）投标人具备有效的营业执照、</w:t>
            </w:r>
            <w:r>
              <w:rPr>
                <w:rFonts w:hint="eastAsia" w:ascii="宋体" w:hAnsi="宋体"/>
                <w:color w:val="000000" w:themeColor="text1"/>
                <w:szCs w:val="21"/>
                <w14:textFill>
                  <w14:solidFill>
                    <w14:schemeClr w14:val="tx1"/>
                  </w14:solidFill>
                </w14:textFill>
              </w:rPr>
              <w:t>施工资质证书</w:t>
            </w:r>
            <w:r>
              <w:rPr>
                <w:rFonts w:ascii="宋体" w:hAnsi="宋体"/>
                <w:color w:val="000000" w:themeColor="text1"/>
                <w:szCs w:val="21"/>
                <w14:textFill>
                  <w14:solidFill>
                    <w14:schemeClr w14:val="tx1"/>
                  </w14:solidFill>
                </w14:textFill>
              </w:rPr>
              <w:t>、安全生产许可证和基本账户开户许可证</w:t>
            </w:r>
            <w:r>
              <w:rPr>
                <w:rFonts w:hint="eastAsia" w:ascii="宋体" w:hAnsi="宋体"/>
                <w:color w:val="000000" w:themeColor="text1"/>
                <w:szCs w:val="21"/>
                <w14:textFill>
                  <w14:solidFill>
                    <w14:schemeClr w14:val="tx1"/>
                  </w14:solidFill>
                </w14:textFill>
              </w:rPr>
              <w:t>（如企业所在地已取消企业银行账户许可而无法提供开户许可证的，则需附上开户银行出具的“基本存款账户信息”或“人民银行账户管理系统查询的基本账户信息截图”）</w:t>
            </w:r>
            <w:r>
              <w:rPr>
                <w:rFonts w:ascii="宋体" w:hAnsi="宋体"/>
                <w:color w:val="000000" w:themeColor="text1"/>
                <w:szCs w:val="21"/>
                <w14:textFill>
                  <w14:solidFill>
                    <w14:schemeClr w14:val="tx1"/>
                  </w14:solidFill>
                </w14:textFill>
              </w:rPr>
              <w:t>。</w:t>
            </w:r>
          </w:p>
          <w:p w14:paraId="2C233322">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（2）投标人的资质等级符合招标文件规定。</w:t>
            </w:r>
          </w:p>
          <w:p w14:paraId="5ACD63FE">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（3）投标人的财务状况符合招标文件规定。</w:t>
            </w:r>
          </w:p>
          <w:p w14:paraId="27EEC768">
            <w:pPr>
              <w:spacing w:line="360" w:lineRule="auto"/>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（4）投标人的类似项目业绩符合招标文件规定。</w:t>
            </w:r>
          </w:p>
          <w:p w14:paraId="43035588">
            <w:pPr>
              <w:spacing w:line="360" w:lineRule="auto"/>
              <w:ind w:left="61" w:leftChars="29" w:firstLine="151" w:firstLineChars="7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（5）投标人的信誉符合招标文件规定。</w:t>
            </w:r>
          </w:p>
          <w:p w14:paraId="78273D93">
            <w:pPr>
              <w:spacing w:line="360" w:lineRule="auto"/>
              <w:ind w:left="61" w:leftChars="29"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（6）投标人的项目经理资格</w:t>
            </w:r>
            <w:r>
              <w:rPr>
                <w:rFonts w:hint="eastAsia" w:ascii="宋体" w:hAnsi="宋体"/>
                <w:color w:val="000000" w:themeColor="text1"/>
                <w:szCs w:val="21"/>
                <w14:textFill>
                  <w14:solidFill>
                    <w14:schemeClr w14:val="tx1"/>
                  </w14:solidFill>
                </w14:textFill>
              </w:rPr>
              <w:t>和</w:t>
            </w:r>
            <w:r>
              <w:rPr>
                <w:rFonts w:ascii="宋体" w:hAnsi="宋体"/>
                <w:color w:val="000000" w:themeColor="text1"/>
                <w:szCs w:val="21"/>
                <w14:textFill>
                  <w14:solidFill>
                    <w14:schemeClr w14:val="tx1"/>
                  </w14:solidFill>
                </w14:textFill>
              </w:rPr>
              <w:t>总工</w:t>
            </w:r>
            <w:r>
              <w:rPr>
                <w:rFonts w:hint="eastAsia" w:ascii="宋体" w:hAnsi="宋体"/>
                <w:color w:val="000000" w:themeColor="text1"/>
                <w:szCs w:val="21"/>
                <w14:textFill>
                  <w14:solidFill>
                    <w14:schemeClr w14:val="tx1"/>
                  </w14:solidFill>
                </w14:textFill>
              </w:rPr>
              <w:t>资格</w:t>
            </w:r>
            <w:r>
              <w:rPr>
                <w:rFonts w:ascii="宋体" w:hAnsi="宋体"/>
                <w:color w:val="000000" w:themeColor="text1"/>
                <w:szCs w:val="21"/>
                <w14:textFill>
                  <w14:solidFill>
                    <w14:schemeClr w14:val="tx1"/>
                  </w14:solidFill>
                </w14:textFill>
              </w:rPr>
              <w:t>、在岗情况符合招标文件规定。</w:t>
            </w:r>
          </w:p>
          <w:p w14:paraId="29351423">
            <w:pPr>
              <w:spacing w:line="360" w:lineRule="auto"/>
              <w:ind w:left="61" w:leftChars="29"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（7）投标人的</w:t>
            </w:r>
            <w:r>
              <w:rPr>
                <w:rFonts w:hint="eastAsia" w:ascii="宋体" w:hAnsi="宋体"/>
                <w:color w:val="000000" w:themeColor="text1"/>
                <w:szCs w:val="21"/>
                <w14:textFill>
                  <w14:solidFill>
                    <w14:schemeClr w14:val="tx1"/>
                  </w14:solidFill>
                </w14:textFill>
              </w:rPr>
              <w:t>其他管理和技术人员</w:t>
            </w:r>
            <w:r>
              <w:rPr>
                <w:rFonts w:ascii="宋体" w:hAnsi="宋体"/>
                <w:color w:val="000000" w:themeColor="text1"/>
                <w:szCs w:val="21"/>
                <w14:textFill>
                  <w14:solidFill>
                    <w14:schemeClr w14:val="tx1"/>
                  </w14:solidFill>
                </w14:textFill>
              </w:rPr>
              <w:t>符合招标文件规定。</w:t>
            </w:r>
          </w:p>
          <w:p w14:paraId="0BF6312F">
            <w:pPr>
              <w:spacing w:line="360" w:lineRule="auto"/>
              <w:ind w:left="61" w:leftChars="29"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（8）投标人不存在第二章“投标人须知”第 1.4.3 项或第 1.4.4 项规定的任何一种情形。</w:t>
            </w:r>
          </w:p>
          <w:p w14:paraId="7D1E38FB">
            <w:pPr>
              <w:spacing w:line="360" w:lineRule="auto"/>
              <w:ind w:left="61" w:leftChars="29" w:firstLine="151" w:firstLineChars="7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（9）投标人符合第二章“投标人须知”第 1.4.5 项规定。</w:t>
            </w:r>
          </w:p>
        </w:tc>
      </w:tr>
    </w:tbl>
    <w:p w14:paraId="5CEB862A">
      <w:pPr>
        <w:pStyle w:val="2"/>
        <w:rPr>
          <w:rFonts w:hint="eastAsia"/>
          <w:color w:val="000000" w:themeColor="text1"/>
          <w14:textFill>
            <w14:solidFill>
              <w14:schemeClr w14:val="tx1"/>
            </w14:solidFill>
          </w14:textFill>
        </w:rPr>
      </w:pPr>
    </w:p>
    <w:tbl>
      <w:tblPr>
        <w:tblStyle w:val="5"/>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416"/>
        <w:gridCol w:w="78"/>
        <w:gridCol w:w="36"/>
        <w:gridCol w:w="463"/>
        <w:gridCol w:w="551"/>
        <w:gridCol w:w="1008"/>
        <w:gridCol w:w="571"/>
        <w:gridCol w:w="5523"/>
      </w:tblGrid>
      <w:tr w14:paraId="6D626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240" w:type="dxa"/>
            <w:gridSpan w:val="4"/>
            <w:noWrap w:val="0"/>
            <w:vAlign w:val="center"/>
          </w:tcPr>
          <w:p w14:paraId="71424613">
            <w:pPr>
              <w:spacing w:before="89" w:line="250" w:lineRule="exact"/>
              <w:jc w:val="center"/>
              <w:rPr>
                <w:rFonts w:ascii="宋体" w:hAnsi="宋体"/>
                <w:b/>
                <w:color w:val="000000" w:themeColor="text1"/>
                <w:sz w:val="22"/>
                <w:szCs w:val="22"/>
                <w14:textFill>
                  <w14:solidFill>
                    <w14:schemeClr w14:val="tx1"/>
                  </w14:solidFill>
                </w14:textFill>
              </w:rPr>
            </w:pPr>
            <w:bookmarkStart w:id="0" w:name="OLE_LINK24"/>
            <w:bookmarkStart w:id="1" w:name="OLE_LINK23"/>
            <w:r>
              <w:rPr>
                <w:rFonts w:ascii="宋体" w:hAnsi="宋体"/>
                <w:b/>
                <w:color w:val="000000" w:themeColor="text1"/>
                <w:sz w:val="22"/>
                <w:szCs w:val="22"/>
                <w14:textFill>
                  <w14:solidFill>
                    <w14:schemeClr w14:val="tx1"/>
                  </w14:solidFill>
                </w14:textFill>
              </w:rPr>
              <w:t>条款号</w:t>
            </w:r>
          </w:p>
        </w:tc>
        <w:tc>
          <w:tcPr>
            <w:tcW w:w="2022" w:type="dxa"/>
            <w:gridSpan w:val="3"/>
            <w:noWrap w:val="0"/>
            <w:vAlign w:val="center"/>
          </w:tcPr>
          <w:p w14:paraId="769DF675">
            <w:pPr>
              <w:spacing w:before="89" w:line="250" w:lineRule="exact"/>
              <w:jc w:val="center"/>
              <w:rPr>
                <w:rFonts w:ascii="宋体" w:hAnsi="宋体"/>
                <w:b/>
                <w:color w:val="000000" w:themeColor="text1"/>
                <w:sz w:val="22"/>
                <w:szCs w:val="22"/>
                <w14:textFill>
                  <w14:solidFill>
                    <w14:schemeClr w14:val="tx1"/>
                  </w14:solidFill>
                </w14:textFill>
              </w:rPr>
            </w:pPr>
            <w:r>
              <w:rPr>
                <w:rFonts w:ascii="宋体" w:hAnsi="宋体"/>
                <w:b/>
                <w:color w:val="000000" w:themeColor="text1"/>
                <w:sz w:val="22"/>
                <w:szCs w:val="22"/>
                <w14:textFill>
                  <w14:solidFill>
                    <w14:schemeClr w14:val="tx1"/>
                  </w14:solidFill>
                </w14:textFill>
              </w:rPr>
              <w:t>条款内容</w:t>
            </w:r>
          </w:p>
        </w:tc>
        <w:tc>
          <w:tcPr>
            <w:tcW w:w="6094" w:type="dxa"/>
            <w:gridSpan w:val="2"/>
            <w:noWrap w:val="0"/>
            <w:vAlign w:val="center"/>
          </w:tcPr>
          <w:p w14:paraId="1A810EF9">
            <w:pPr>
              <w:spacing w:before="89" w:line="250" w:lineRule="exact"/>
              <w:ind w:right="2097"/>
              <w:jc w:val="center"/>
              <w:rPr>
                <w:rFonts w:ascii="宋体" w:hAnsi="宋体"/>
                <w:b/>
                <w:color w:val="000000" w:themeColor="text1"/>
                <w:sz w:val="22"/>
                <w:szCs w:val="22"/>
                <w14:textFill>
                  <w14:solidFill>
                    <w14:schemeClr w14:val="tx1"/>
                  </w14:solidFill>
                </w14:textFill>
              </w:rPr>
            </w:pPr>
            <w:r>
              <w:rPr>
                <w:rFonts w:ascii="宋体" w:hAnsi="宋体"/>
                <w:b/>
                <w:color w:val="000000" w:themeColor="text1"/>
                <w:sz w:val="22"/>
                <w:szCs w:val="22"/>
                <w14:textFill>
                  <w14:solidFill>
                    <w14:schemeClr w14:val="tx1"/>
                  </w14:solidFill>
                </w14:textFill>
              </w:rPr>
              <w:t>编列内容</w:t>
            </w:r>
          </w:p>
        </w:tc>
      </w:tr>
      <w:tr w14:paraId="2B06F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240" w:type="dxa"/>
            <w:gridSpan w:val="4"/>
            <w:noWrap w:val="0"/>
            <w:vAlign w:val="center"/>
          </w:tcPr>
          <w:p w14:paraId="5CCDECD0">
            <w:pPr>
              <w:tabs>
                <w:tab w:val="left" w:pos="2008"/>
              </w:tabs>
              <w:spacing w:before="194"/>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2.2.1</w:t>
            </w:r>
          </w:p>
        </w:tc>
        <w:tc>
          <w:tcPr>
            <w:tcW w:w="2022" w:type="dxa"/>
            <w:gridSpan w:val="3"/>
            <w:noWrap w:val="0"/>
            <w:vAlign w:val="center"/>
          </w:tcPr>
          <w:p w14:paraId="015118DD">
            <w:pPr>
              <w:spacing w:before="92"/>
              <w:ind w:right="199"/>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w:t>
            </w:r>
            <w:r>
              <w:rPr>
                <w:rFonts w:ascii="宋体" w:hAnsi="宋体"/>
                <w:color w:val="000000" w:themeColor="text1"/>
                <w:sz w:val="21"/>
                <w:szCs w:val="21"/>
                <w14:textFill>
                  <w14:solidFill>
                    <w14:schemeClr w14:val="tx1"/>
                  </w14:solidFill>
                </w14:textFill>
              </w:rPr>
              <w:t>一个信封分值构成</w:t>
            </w:r>
          </w:p>
          <w:p w14:paraId="1BF4D851">
            <w:pPr>
              <w:spacing w:before="91"/>
              <w:ind w:right="199"/>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（总分 100分）</w:t>
            </w:r>
          </w:p>
        </w:tc>
        <w:tc>
          <w:tcPr>
            <w:tcW w:w="6094" w:type="dxa"/>
            <w:gridSpan w:val="2"/>
            <w:noWrap w:val="0"/>
            <w:vAlign w:val="center"/>
          </w:tcPr>
          <w:p w14:paraId="1712E5C7">
            <w:pPr>
              <w:adjustRightInd w:val="0"/>
              <w:snapToGrid w:val="0"/>
              <w:spacing w:line="360" w:lineRule="auto"/>
              <w:ind w:right="168" w:rightChars="80" w:firstLine="6" w:firstLineChars="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施工组</w:t>
            </w:r>
            <w:r>
              <w:rPr>
                <w:rFonts w:ascii="宋体" w:hAnsi="宋体"/>
                <w:color w:val="000000" w:themeColor="text1"/>
                <w:sz w:val="21"/>
                <w:szCs w:val="21"/>
                <w14:textFill>
                  <w14:solidFill>
                    <w14:schemeClr w14:val="tx1"/>
                  </w14:solidFill>
                </w14:textFill>
              </w:rPr>
              <w:t>织设计</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A）</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45</w:t>
            </w:r>
            <w:r>
              <w:rPr>
                <w:rFonts w:hint="eastAsia" w:ascii="宋体" w:hAnsi="宋体"/>
                <w:color w:val="000000" w:themeColor="text1"/>
                <w:sz w:val="21"/>
                <w:szCs w:val="21"/>
                <w14:textFill>
                  <w14:solidFill>
                    <w14:schemeClr w14:val="tx1"/>
                  </w14:solidFill>
                </w14:textFill>
              </w:rPr>
              <w:t>分</w:t>
            </w:r>
          </w:p>
          <w:p w14:paraId="761C27BF">
            <w:pPr>
              <w:pStyle w:val="2"/>
              <w:adjustRightInd w:val="0"/>
              <w:snapToGrid w:val="0"/>
              <w:spacing w:line="360" w:lineRule="auto"/>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主</w:t>
            </w:r>
            <w:r>
              <w:rPr>
                <w:rFonts w:hAnsi="宋体"/>
                <w:color w:val="000000" w:themeColor="text1"/>
                <w:sz w:val="21"/>
                <w:szCs w:val="21"/>
                <w14:textFill>
                  <w14:solidFill>
                    <w14:schemeClr w14:val="tx1"/>
                  </w14:solidFill>
                </w14:textFill>
              </w:rPr>
              <w:t>要人员（</w:t>
            </w:r>
            <w:r>
              <w:rPr>
                <w:rFonts w:hint="eastAsia" w:hAnsi="宋体"/>
                <w:color w:val="000000" w:themeColor="text1"/>
                <w:sz w:val="21"/>
                <w:szCs w:val="21"/>
                <w14:textFill>
                  <w14:solidFill>
                    <w14:schemeClr w14:val="tx1"/>
                  </w14:solidFill>
                </w14:textFill>
              </w:rPr>
              <w:t>B</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w:t>
            </w:r>
            <w:r>
              <w:rPr>
                <w:rFonts w:hint="eastAsia" w:hAnsi="宋体"/>
                <w:color w:val="000000" w:themeColor="text1"/>
                <w:sz w:val="21"/>
                <w:szCs w:val="21"/>
                <w:lang w:val="en-US" w:eastAsia="zh-CN"/>
                <w14:textFill>
                  <w14:solidFill>
                    <w14:schemeClr w14:val="tx1"/>
                  </w14:solidFill>
                </w14:textFill>
              </w:rPr>
              <w:t>30</w:t>
            </w:r>
            <w:r>
              <w:rPr>
                <w:rFonts w:hAnsi="宋体"/>
                <w:color w:val="000000" w:themeColor="text1"/>
                <w:sz w:val="21"/>
                <w:szCs w:val="21"/>
                <w14:textFill>
                  <w14:solidFill>
                    <w14:schemeClr w14:val="tx1"/>
                  </w14:solidFill>
                </w14:textFill>
              </w:rPr>
              <w:t>分</w:t>
            </w:r>
          </w:p>
          <w:p w14:paraId="51A2AEC2">
            <w:pPr>
              <w:adjustRightInd w:val="0"/>
              <w:snapToGrid w:val="0"/>
              <w:spacing w:line="360" w:lineRule="auto"/>
              <w:ind w:right="168" w:rightChars="80" w:firstLine="6" w:firstLineChars="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其它因素（C</w:t>
            </w:r>
            <w:r>
              <w:rPr>
                <w:rFonts w:ascii="宋体" w:hAnsi="宋体"/>
                <w:color w:val="000000" w:themeColor="text1"/>
                <w:sz w:val="21"/>
                <w:szCs w:val="21"/>
                <w14:textFill>
                  <w14:solidFill>
                    <w14:schemeClr w14:val="tx1"/>
                  </w14:solidFill>
                </w14:textFill>
              </w:rPr>
              <w:t>）</w:t>
            </w:r>
          </w:p>
          <w:p w14:paraId="150B8321">
            <w:pPr>
              <w:adjustRightInd w:val="0"/>
              <w:snapToGrid w:val="0"/>
              <w:spacing w:line="360" w:lineRule="auto"/>
              <w:ind w:right="168" w:rightChars="80" w:firstLine="6" w:firstLineChars="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技术</w:t>
            </w:r>
            <w:r>
              <w:rPr>
                <w:rFonts w:ascii="宋体" w:hAnsi="宋体"/>
                <w:color w:val="000000" w:themeColor="text1"/>
                <w:sz w:val="21"/>
                <w:szCs w:val="21"/>
                <w14:textFill>
                  <w14:solidFill>
                    <w14:schemeClr w14:val="tx1"/>
                  </w14:solidFill>
                </w14:textFill>
              </w:rPr>
              <w:t>能力</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w:t>
            </w:r>
          </w:p>
          <w:p w14:paraId="61DFB7B0">
            <w:pPr>
              <w:pStyle w:val="2"/>
              <w:adjustRightInd w:val="0"/>
              <w:snapToGrid w:val="0"/>
              <w:spacing w:line="360" w:lineRule="auto"/>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履约</w:t>
            </w:r>
            <w:r>
              <w:rPr>
                <w:rFonts w:hAnsi="宋体"/>
                <w:color w:val="000000" w:themeColor="text1"/>
                <w:sz w:val="21"/>
                <w:szCs w:val="21"/>
                <w14:textFill>
                  <w14:solidFill>
                    <w14:schemeClr w14:val="tx1"/>
                  </w14:solidFill>
                </w14:textFill>
              </w:rPr>
              <w:t>信誉：</w:t>
            </w:r>
            <w:r>
              <w:rPr>
                <w:rFonts w:hint="eastAsia" w:hAnsi="宋体"/>
                <w:color w:val="000000" w:themeColor="text1"/>
                <w:sz w:val="21"/>
                <w:szCs w:val="21"/>
                <w:lang w:val="en-US" w:eastAsia="zh-CN"/>
                <w14:textFill>
                  <w14:solidFill>
                    <w14:schemeClr w14:val="tx1"/>
                  </w14:solidFill>
                </w14:textFill>
              </w:rPr>
              <w:t>23</w:t>
            </w:r>
            <w:r>
              <w:rPr>
                <w:rFonts w:hAnsi="宋体"/>
                <w:color w:val="000000" w:themeColor="text1"/>
                <w:sz w:val="21"/>
                <w:szCs w:val="21"/>
                <w14:textFill>
                  <w14:solidFill>
                    <w14:schemeClr w14:val="tx1"/>
                  </w14:solidFill>
                </w14:textFill>
              </w:rPr>
              <w:t>分</w:t>
            </w:r>
          </w:p>
        </w:tc>
      </w:tr>
      <w:tr w14:paraId="4E1A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jc w:val="center"/>
        </w:trPr>
        <w:tc>
          <w:tcPr>
            <w:tcW w:w="1240" w:type="dxa"/>
            <w:gridSpan w:val="4"/>
            <w:noWrap w:val="0"/>
            <w:vAlign w:val="center"/>
          </w:tcPr>
          <w:p w14:paraId="1E88485E">
            <w:pPr>
              <w:tabs>
                <w:tab w:val="left" w:pos="2008"/>
              </w:tabs>
              <w:spacing w:before="194"/>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2.2.3</w:t>
            </w:r>
          </w:p>
        </w:tc>
        <w:tc>
          <w:tcPr>
            <w:tcW w:w="2022" w:type="dxa"/>
            <w:gridSpan w:val="3"/>
            <w:noWrap w:val="0"/>
            <w:vAlign w:val="center"/>
          </w:tcPr>
          <w:p w14:paraId="76EC4A86">
            <w:pPr>
              <w:spacing w:before="151" w:line="360" w:lineRule="auto"/>
              <w:ind w:right="11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第二个信封详细评审标准</w:t>
            </w:r>
          </w:p>
        </w:tc>
        <w:tc>
          <w:tcPr>
            <w:tcW w:w="6094" w:type="dxa"/>
            <w:gridSpan w:val="2"/>
            <w:noWrap w:val="0"/>
            <w:vAlign w:val="center"/>
          </w:tcPr>
          <w:p w14:paraId="60DABD9A">
            <w:pPr>
              <w:spacing w:line="360" w:lineRule="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评标价的评审：</w:t>
            </w:r>
          </w:p>
          <w:p w14:paraId="0ABC7B67">
            <w:pPr>
              <w:spacing w:line="360" w:lineRule="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(1)评标价计算公式：</w:t>
            </w:r>
          </w:p>
          <w:p w14:paraId="4A8271B3">
            <w:pPr>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评标价=修正后的投标总报价</w:t>
            </w:r>
          </w:p>
          <w:p w14:paraId="083C28F1">
            <w:pPr>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14:paraId="2E1CE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jc w:val="center"/>
        </w:trPr>
        <w:tc>
          <w:tcPr>
            <w:tcW w:w="1240" w:type="dxa"/>
            <w:gridSpan w:val="4"/>
            <w:noWrap w:val="0"/>
            <w:vAlign w:val="center"/>
          </w:tcPr>
          <w:p w14:paraId="46D91F7B">
            <w:pPr>
              <w:tabs>
                <w:tab w:val="left" w:pos="2008"/>
              </w:tabs>
              <w:spacing w:before="194"/>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3.2.4</w:t>
            </w:r>
          </w:p>
        </w:tc>
        <w:tc>
          <w:tcPr>
            <w:tcW w:w="2022" w:type="dxa"/>
            <w:gridSpan w:val="3"/>
            <w:noWrap w:val="0"/>
            <w:vAlign w:val="center"/>
          </w:tcPr>
          <w:p w14:paraId="20D27215">
            <w:pPr>
              <w:spacing w:before="151" w:line="360" w:lineRule="auto"/>
              <w:ind w:right="11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通过第一个信封详细评审的投标人数量</w:t>
            </w:r>
          </w:p>
        </w:tc>
        <w:tc>
          <w:tcPr>
            <w:tcW w:w="6094" w:type="dxa"/>
            <w:gridSpan w:val="2"/>
            <w:noWrap w:val="0"/>
            <w:vAlign w:val="center"/>
          </w:tcPr>
          <w:p w14:paraId="0E00A760">
            <w:pPr>
              <w:spacing w:line="360" w:lineRule="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按照投标人的商务和技术得分由高到低排序，选择</w:t>
            </w:r>
            <w:r>
              <w:rPr>
                <w:rFonts w:hint="eastAsia" w:ascii="宋体" w:hAnsi="宋体"/>
                <w:color w:val="000000" w:themeColor="text1"/>
                <w:sz w:val="21"/>
                <w:szCs w:val="21"/>
                <w:u w:val="single"/>
                <w14:textFill>
                  <w14:solidFill>
                    <w14:schemeClr w14:val="tx1"/>
                  </w14:solidFill>
                </w14:textFill>
              </w:rPr>
              <w:t>前5名（不少于3名但不足5名时，按全部实际数量）</w:t>
            </w:r>
            <w:r>
              <w:rPr>
                <w:rFonts w:hint="eastAsia" w:ascii="宋体" w:hAnsi="宋体"/>
                <w:color w:val="000000" w:themeColor="text1"/>
                <w:sz w:val="21"/>
                <w:szCs w:val="21"/>
                <w14:textFill>
                  <w14:solidFill>
                    <w14:schemeClr w14:val="tx1"/>
                  </w14:solidFill>
                </w14:textFill>
              </w:rPr>
              <w:t>通过详细评审。</w:t>
            </w:r>
          </w:p>
        </w:tc>
      </w:tr>
      <w:tr w14:paraId="3577E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3833" w:type="dxa"/>
            <w:gridSpan w:val="8"/>
            <w:noWrap w:val="0"/>
            <w:vAlign w:val="center"/>
          </w:tcPr>
          <w:p w14:paraId="78601658">
            <w:pPr>
              <w:spacing w:before="89" w:line="250" w:lineRule="exact"/>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评分因素与权重分值</w:t>
            </w:r>
          </w:p>
        </w:tc>
        <w:tc>
          <w:tcPr>
            <w:tcW w:w="5523" w:type="dxa"/>
            <w:noWrap w:val="0"/>
            <w:vAlign w:val="center"/>
          </w:tcPr>
          <w:p w14:paraId="5B4090C8">
            <w:pPr>
              <w:spacing w:before="89" w:line="250" w:lineRule="exact"/>
              <w:jc w:val="center"/>
              <w:rPr>
                <w:rFonts w:ascii="宋体" w:hAnsi="宋体"/>
                <w:b/>
                <w:color w:val="000000" w:themeColor="text1"/>
                <w:sz w:val="22"/>
                <w:szCs w:val="22"/>
                <w14:textFill>
                  <w14:solidFill>
                    <w14:schemeClr w14:val="tx1"/>
                  </w14:solidFill>
                </w14:textFill>
              </w:rPr>
            </w:pPr>
          </w:p>
        </w:tc>
      </w:tr>
      <w:tr w14:paraId="344EC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710" w:type="dxa"/>
            <w:noWrap w:val="0"/>
            <w:vAlign w:val="center"/>
          </w:tcPr>
          <w:p w14:paraId="20FC4A5E">
            <w:pPr>
              <w:spacing w:before="89" w:line="250" w:lineRule="exact"/>
              <w:jc w:val="center"/>
              <w:rPr>
                <w:rFonts w:ascii="宋体" w:hAnsi="宋体"/>
                <w:b/>
                <w:color w:val="000000" w:themeColor="text1"/>
                <w:sz w:val="22"/>
                <w:szCs w:val="22"/>
                <w14:textFill>
                  <w14:solidFill>
                    <w14:schemeClr w14:val="tx1"/>
                  </w14:solidFill>
                </w14:textFill>
              </w:rPr>
            </w:pPr>
            <w:r>
              <w:rPr>
                <w:rFonts w:ascii="宋体" w:hAnsi="宋体"/>
                <w:b/>
                <w:color w:val="000000" w:themeColor="text1"/>
                <w:sz w:val="22"/>
                <w:szCs w:val="22"/>
                <w14:textFill>
                  <w14:solidFill>
                    <w14:schemeClr w14:val="tx1"/>
                  </w14:solidFill>
                </w14:textFill>
              </w:rPr>
              <w:t>条款号</w:t>
            </w:r>
          </w:p>
        </w:tc>
        <w:tc>
          <w:tcPr>
            <w:tcW w:w="993" w:type="dxa"/>
            <w:gridSpan w:val="4"/>
            <w:tcBorders>
              <w:right w:val="single" w:color="auto" w:sz="4" w:space="0"/>
            </w:tcBorders>
            <w:noWrap w:val="0"/>
            <w:vAlign w:val="center"/>
          </w:tcPr>
          <w:p w14:paraId="6CE2D483">
            <w:pPr>
              <w:spacing w:before="89" w:line="250" w:lineRule="exact"/>
              <w:jc w:val="center"/>
              <w:rPr>
                <w:rFonts w:ascii="宋体" w:hAnsi="宋体"/>
                <w:b/>
                <w:color w:val="000000" w:themeColor="text1"/>
                <w:sz w:val="22"/>
                <w:szCs w:val="22"/>
                <w14:textFill>
                  <w14:solidFill>
                    <w14:schemeClr w14:val="tx1"/>
                  </w14:solidFill>
                </w14:textFill>
              </w:rPr>
            </w:pPr>
            <w:r>
              <w:rPr>
                <w:rFonts w:ascii="宋体" w:hAnsi="宋体"/>
                <w:b/>
                <w:color w:val="000000" w:themeColor="text1"/>
                <w:sz w:val="22"/>
                <w:szCs w:val="22"/>
                <w14:textFill>
                  <w14:solidFill>
                    <w14:schemeClr w14:val="tx1"/>
                  </w14:solidFill>
                </w14:textFill>
              </w:rPr>
              <w:t>评分因素</w:t>
            </w:r>
          </w:p>
        </w:tc>
        <w:tc>
          <w:tcPr>
            <w:tcW w:w="551" w:type="dxa"/>
            <w:tcBorders>
              <w:left w:val="single" w:color="auto" w:sz="4" w:space="0"/>
              <w:right w:val="single" w:color="auto" w:sz="4" w:space="0"/>
            </w:tcBorders>
            <w:noWrap w:val="0"/>
            <w:vAlign w:val="center"/>
          </w:tcPr>
          <w:p w14:paraId="0FC0B2CF">
            <w:pPr>
              <w:spacing w:before="89" w:line="250" w:lineRule="exact"/>
              <w:jc w:val="center"/>
              <w:rPr>
                <w:rFonts w:hint="eastAsia" w:ascii="宋体" w:hAnsi="宋体"/>
                <w:b/>
                <w:color w:val="000000" w:themeColor="text1"/>
                <w:sz w:val="22"/>
                <w:szCs w:val="22"/>
                <w14:textFill>
                  <w14:solidFill>
                    <w14:schemeClr w14:val="tx1"/>
                  </w14:solidFill>
                </w14:textFill>
              </w:rPr>
            </w:pPr>
            <w:r>
              <w:rPr>
                <w:rFonts w:ascii="宋体" w:hAnsi="宋体"/>
                <w:b/>
                <w:color w:val="000000" w:themeColor="text1"/>
                <w:sz w:val="22"/>
                <w:szCs w:val="22"/>
                <w14:textFill>
                  <w14:solidFill>
                    <w14:schemeClr w14:val="tx1"/>
                  </w14:solidFill>
                </w14:textFill>
              </w:rPr>
              <w:t>评分因素</w:t>
            </w:r>
            <w:r>
              <w:rPr>
                <w:rFonts w:hint="eastAsia" w:ascii="宋体" w:hAnsi="宋体"/>
                <w:b/>
                <w:color w:val="000000" w:themeColor="text1"/>
                <w:sz w:val="22"/>
                <w:szCs w:val="22"/>
                <w14:textFill>
                  <w14:solidFill>
                    <w14:schemeClr w14:val="tx1"/>
                  </w14:solidFill>
                </w14:textFill>
              </w:rPr>
              <w:t>权重</w:t>
            </w:r>
            <w:r>
              <w:rPr>
                <w:rFonts w:ascii="宋体" w:hAnsi="宋体"/>
                <w:b/>
                <w:color w:val="000000" w:themeColor="text1"/>
                <w:sz w:val="22"/>
                <w:szCs w:val="22"/>
                <w14:textFill>
                  <w14:solidFill>
                    <w14:schemeClr w14:val="tx1"/>
                  </w14:solidFill>
                </w14:textFill>
              </w:rPr>
              <w:t>分值</w:t>
            </w:r>
          </w:p>
        </w:tc>
        <w:tc>
          <w:tcPr>
            <w:tcW w:w="1008" w:type="dxa"/>
            <w:tcBorders>
              <w:left w:val="single" w:color="auto" w:sz="4" w:space="0"/>
              <w:right w:val="single" w:color="auto" w:sz="4" w:space="0"/>
            </w:tcBorders>
            <w:noWrap w:val="0"/>
            <w:vAlign w:val="center"/>
          </w:tcPr>
          <w:p w14:paraId="4C1E648A">
            <w:pPr>
              <w:spacing w:before="89" w:line="250" w:lineRule="exact"/>
              <w:jc w:val="center"/>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各</w:t>
            </w:r>
            <w:r>
              <w:rPr>
                <w:rFonts w:ascii="宋体" w:hAnsi="宋体"/>
                <w:b/>
                <w:color w:val="000000" w:themeColor="text1"/>
                <w:sz w:val="22"/>
                <w:szCs w:val="22"/>
                <w14:textFill>
                  <w14:solidFill>
                    <w14:schemeClr w14:val="tx1"/>
                  </w14:solidFill>
                </w14:textFill>
              </w:rPr>
              <w:t>评分因素分</w:t>
            </w:r>
            <w:r>
              <w:rPr>
                <w:rFonts w:hint="eastAsia" w:ascii="宋体" w:hAnsi="宋体"/>
                <w:b/>
                <w:color w:val="000000" w:themeColor="text1"/>
                <w:sz w:val="22"/>
                <w:szCs w:val="22"/>
                <w14:textFill>
                  <w14:solidFill>
                    <w14:schemeClr w14:val="tx1"/>
                  </w14:solidFill>
                </w14:textFill>
              </w:rPr>
              <w:t>项</w:t>
            </w:r>
          </w:p>
        </w:tc>
        <w:tc>
          <w:tcPr>
            <w:tcW w:w="571" w:type="dxa"/>
            <w:tcBorders>
              <w:left w:val="single" w:color="auto" w:sz="4" w:space="0"/>
            </w:tcBorders>
            <w:noWrap w:val="0"/>
            <w:vAlign w:val="center"/>
          </w:tcPr>
          <w:p w14:paraId="232F5078">
            <w:pPr>
              <w:spacing w:before="89" w:line="250" w:lineRule="exact"/>
              <w:jc w:val="center"/>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分</w:t>
            </w:r>
            <w:r>
              <w:rPr>
                <w:rFonts w:ascii="宋体" w:hAnsi="宋体"/>
                <w:b/>
                <w:color w:val="000000" w:themeColor="text1"/>
                <w:sz w:val="22"/>
                <w:szCs w:val="22"/>
                <w14:textFill>
                  <w14:solidFill>
                    <w14:schemeClr w14:val="tx1"/>
                  </w14:solidFill>
                </w14:textFill>
              </w:rPr>
              <w:t>值</w:t>
            </w:r>
          </w:p>
        </w:tc>
        <w:tc>
          <w:tcPr>
            <w:tcW w:w="5523" w:type="dxa"/>
            <w:noWrap w:val="0"/>
            <w:vAlign w:val="center"/>
          </w:tcPr>
          <w:p w14:paraId="321BA86D">
            <w:pPr>
              <w:spacing w:before="89" w:line="250" w:lineRule="exact"/>
              <w:jc w:val="center"/>
              <w:rPr>
                <w:rFonts w:ascii="宋体" w:hAnsi="宋体"/>
                <w:b/>
                <w:color w:val="000000" w:themeColor="text1"/>
                <w:sz w:val="22"/>
                <w:szCs w:val="22"/>
                <w14:textFill>
                  <w14:solidFill>
                    <w14:schemeClr w14:val="tx1"/>
                  </w14:solidFill>
                </w14:textFill>
              </w:rPr>
            </w:pPr>
            <w:r>
              <w:rPr>
                <w:rFonts w:ascii="宋体" w:hAnsi="宋体"/>
                <w:b/>
                <w:color w:val="000000" w:themeColor="text1"/>
                <w:sz w:val="22"/>
                <w:szCs w:val="22"/>
                <w14:textFill>
                  <w14:solidFill>
                    <w14:schemeClr w14:val="tx1"/>
                  </w14:solidFill>
                </w14:textFill>
              </w:rPr>
              <w:t>评分标准</w:t>
            </w:r>
          </w:p>
        </w:tc>
      </w:tr>
      <w:tr w14:paraId="14B21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10" w:type="dxa"/>
            <w:vMerge w:val="restart"/>
            <w:noWrap w:val="0"/>
            <w:vAlign w:val="center"/>
          </w:tcPr>
          <w:p w14:paraId="114A45CF">
            <w:pPr>
              <w:tabs>
                <w:tab w:val="left" w:pos="0"/>
              </w:tabs>
              <w:spacing w:line="400" w:lineRule="exact"/>
              <w:ind w:left="69" w:right="136"/>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2.2.2</w:t>
            </w:r>
            <w:r>
              <w:rPr>
                <w:rFonts w:hint="eastAsia" w:ascii="宋体" w:hAnsi="宋体"/>
                <w:color w:val="000000" w:themeColor="text1"/>
                <w:sz w:val="21"/>
                <w:szCs w:val="21"/>
                <w14:textFill>
                  <w14:solidFill>
                    <w14:schemeClr w14:val="tx1"/>
                  </w14:solidFill>
                </w14:textFill>
              </w:rPr>
              <w:t>（1）</w:t>
            </w:r>
          </w:p>
        </w:tc>
        <w:tc>
          <w:tcPr>
            <w:tcW w:w="993" w:type="dxa"/>
            <w:gridSpan w:val="4"/>
            <w:vMerge w:val="restart"/>
            <w:tcBorders>
              <w:right w:val="single" w:color="auto" w:sz="4" w:space="0"/>
            </w:tcBorders>
            <w:noWrap w:val="0"/>
            <w:vAlign w:val="center"/>
          </w:tcPr>
          <w:p w14:paraId="7273AF75">
            <w:pPr>
              <w:spacing w:line="360" w:lineRule="auto"/>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施工</w:t>
            </w:r>
            <w:r>
              <w:rPr>
                <w:rFonts w:ascii="宋体" w:hAnsi="宋体"/>
                <w:color w:val="000000" w:themeColor="text1"/>
                <w:sz w:val="21"/>
                <w:szCs w:val="21"/>
                <w14:textFill>
                  <w14:solidFill>
                    <w14:schemeClr w14:val="tx1"/>
                  </w14:solidFill>
                </w14:textFill>
              </w:rPr>
              <w:t>组织设计</w:t>
            </w:r>
          </w:p>
        </w:tc>
        <w:tc>
          <w:tcPr>
            <w:tcW w:w="551" w:type="dxa"/>
            <w:vMerge w:val="restart"/>
            <w:tcBorders>
              <w:left w:val="single" w:color="auto" w:sz="4" w:space="0"/>
              <w:right w:val="single" w:color="auto" w:sz="4" w:space="0"/>
            </w:tcBorders>
            <w:noWrap w:val="0"/>
            <w:vAlign w:val="center"/>
          </w:tcPr>
          <w:p w14:paraId="2D424B22">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45</w:t>
            </w:r>
            <w:r>
              <w:rPr>
                <w:rFonts w:hint="eastAsia" w:ascii="宋体" w:hAnsi="宋体"/>
                <w:color w:val="000000" w:themeColor="text1"/>
                <w:sz w:val="21"/>
                <w:szCs w:val="21"/>
                <w14:textFill>
                  <w14:solidFill>
                    <w14:schemeClr w14:val="tx1"/>
                  </w14:solidFill>
                </w14:textFill>
              </w:rPr>
              <w:t>分</w:t>
            </w:r>
          </w:p>
        </w:tc>
        <w:tc>
          <w:tcPr>
            <w:tcW w:w="1008" w:type="dxa"/>
            <w:tcBorders>
              <w:left w:val="single" w:color="auto" w:sz="4" w:space="0"/>
              <w:bottom w:val="single" w:color="auto" w:sz="4" w:space="0"/>
              <w:right w:val="single" w:color="auto" w:sz="4" w:space="0"/>
            </w:tcBorders>
            <w:noWrap w:val="0"/>
            <w:vAlign w:val="center"/>
          </w:tcPr>
          <w:p w14:paraId="210868AA">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总体施工组织布置及规划</w:t>
            </w:r>
          </w:p>
        </w:tc>
        <w:tc>
          <w:tcPr>
            <w:tcW w:w="571" w:type="dxa"/>
            <w:tcBorders>
              <w:left w:val="single" w:color="auto" w:sz="4" w:space="0"/>
              <w:bottom w:val="single" w:color="auto" w:sz="4" w:space="0"/>
            </w:tcBorders>
            <w:noWrap w:val="0"/>
            <w:vAlign w:val="center"/>
          </w:tcPr>
          <w:p w14:paraId="2C5AA5E8">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分</w:t>
            </w:r>
          </w:p>
        </w:tc>
        <w:tc>
          <w:tcPr>
            <w:tcW w:w="5523" w:type="dxa"/>
            <w:tcBorders>
              <w:bottom w:val="single" w:color="auto" w:sz="4" w:space="0"/>
            </w:tcBorders>
            <w:noWrap w:val="0"/>
            <w:vAlign w:val="center"/>
          </w:tcPr>
          <w:p w14:paraId="1AF2B1E6">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对项目的基本情况了解全面、准确，施工总体布置规划、施工进度计划科学合理、可操作性强，按《广东省公路工程施工标准化指南》及《广东省高速公路工程施工安全标准化指南》《公路工程施工安全防护设施技术指南》执行，得</w:t>
            </w:r>
            <w:bookmarkStart w:id="2" w:name="OLE_LINK13"/>
            <w:r>
              <w:rPr>
                <w:rFonts w:hint="eastAsia" w:ascii="宋体" w:hAnsi="宋体"/>
                <w:color w:val="000000" w:themeColor="text1"/>
                <w:sz w:val="21"/>
                <w:szCs w:val="21"/>
                <w14:textFill>
                  <w14:solidFill>
                    <w14:schemeClr w14:val="tx1"/>
                  </w14:solidFill>
                </w14:textFill>
              </w:rPr>
              <w:t>(12-15</w:t>
            </w:r>
            <w:r>
              <w:rPr>
                <w:rFonts w:ascii="宋体" w:hAnsi="宋体"/>
                <w:color w:val="000000" w:themeColor="text1"/>
                <w:sz w:val="21"/>
                <w:szCs w:val="21"/>
                <w14:textFill>
                  <w14:solidFill>
                    <w14:schemeClr w14:val="tx1"/>
                  </w14:solidFill>
                </w14:textFill>
              </w:rPr>
              <w:t>]</w:t>
            </w:r>
            <w:bookmarkEnd w:id="2"/>
            <w:r>
              <w:rPr>
                <w:rFonts w:hint="eastAsia" w:ascii="宋体" w:hAnsi="宋体"/>
                <w:color w:val="000000" w:themeColor="text1"/>
                <w:sz w:val="21"/>
                <w:szCs w:val="21"/>
                <w14:textFill>
                  <w14:solidFill>
                    <w14:schemeClr w14:val="tx1"/>
                  </w14:solidFill>
                </w14:textFill>
              </w:rPr>
              <w:t>分；</w:t>
            </w:r>
          </w:p>
          <w:p w14:paraId="07A7F693">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（2）满足工程建设需要，施工总体布置规划、施工进</w:t>
            </w:r>
          </w:p>
          <w:p w14:paraId="3F1B1DC2">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度计划基本可行，得(9-12</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分；</w:t>
            </w:r>
          </w:p>
          <w:p w14:paraId="254438C1">
            <w:pPr>
              <w:tabs>
                <w:tab w:val="left" w:pos="5308"/>
              </w:tabs>
              <w:spacing w:line="380" w:lineRule="exact"/>
              <w:ind w:left="108" w:right="9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（3）一般但不被评定为不响应的,得</w:t>
            </w:r>
            <w:r>
              <w:rPr>
                <w:rFonts w:hint="eastAsia" w:ascii="宋体" w:hAnsi="宋体"/>
                <w:color w:val="000000" w:themeColor="text1"/>
                <w:sz w:val="21"/>
                <w:szCs w:val="21"/>
                <w:lang w:val="en-US" w:eastAsia="zh-CN"/>
                <w14:textFill>
                  <w14:solidFill>
                    <w14:schemeClr w14:val="tx1"/>
                  </w14:solidFill>
                </w14:textFill>
              </w:rPr>
              <w:t>9</w:t>
            </w:r>
            <w:r>
              <w:rPr>
                <w:rFonts w:hint="eastAsia" w:ascii="宋体" w:hAnsi="宋体"/>
                <w:color w:val="000000" w:themeColor="text1"/>
                <w:sz w:val="21"/>
                <w:szCs w:val="21"/>
                <w14:textFill>
                  <w14:solidFill>
                    <w14:schemeClr w14:val="tx1"/>
                  </w14:solidFill>
                </w14:textFill>
              </w:rPr>
              <w:t>分。</w:t>
            </w:r>
          </w:p>
        </w:tc>
      </w:tr>
      <w:tr w14:paraId="33C2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10" w:type="dxa"/>
            <w:vMerge w:val="continue"/>
            <w:noWrap w:val="0"/>
            <w:vAlign w:val="center"/>
          </w:tcPr>
          <w:p w14:paraId="08D7502B">
            <w:pPr>
              <w:tabs>
                <w:tab w:val="left" w:pos="0"/>
              </w:tabs>
              <w:spacing w:line="400" w:lineRule="exact"/>
              <w:ind w:left="69" w:right="136"/>
              <w:jc w:val="center"/>
              <w:rPr>
                <w:rFonts w:ascii="宋体" w:hAnsi="宋体"/>
                <w:color w:val="000000" w:themeColor="text1"/>
                <w:sz w:val="21"/>
                <w:szCs w:val="21"/>
                <w14:textFill>
                  <w14:solidFill>
                    <w14:schemeClr w14:val="tx1"/>
                  </w14:solidFill>
                </w14:textFill>
              </w:rPr>
            </w:pPr>
          </w:p>
        </w:tc>
        <w:tc>
          <w:tcPr>
            <w:tcW w:w="993" w:type="dxa"/>
            <w:gridSpan w:val="4"/>
            <w:vMerge w:val="continue"/>
            <w:tcBorders>
              <w:right w:val="single" w:color="auto" w:sz="4" w:space="0"/>
            </w:tcBorders>
            <w:noWrap w:val="0"/>
            <w:vAlign w:val="center"/>
          </w:tcPr>
          <w:p w14:paraId="05163577">
            <w:pPr>
              <w:spacing w:line="360" w:lineRule="auto"/>
              <w:jc w:val="center"/>
              <w:rPr>
                <w:rFonts w:ascii="宋体" w:hAnsi="宋体"/>
                <w:color w:val="000000" w:themeColor="text1"/>
                <w:sz w:val="21"/>
                <w:szCs w:val="21"/>
                <w14:textFill>
                  <w14:solidFill>
                    <w14:schemeClr w14:val="tx1"/>
                  </w14:solidFill>
                </w14:textFill>
              </w:rPr>
            </w:pPr>
          </w:p>
        </w:tc>
        <w:tc>
          <w:tcPr>
            <w:tcW w:w="551" w:type="dxa"/>
            <w:vMerge w:val="continue"/>
            <w:tcBorders>
              <w:left w:val="single" w:color="auto" w:sz="4" w:space="0"/>
              <w:right w:val="single" w:color="auto" w:sz="4" w:space="0"/>
            </w:tcBorders>
            <w:noWrap w:val="0"/>
            <w:vAlign w:val="center"/>
          </w:tcPr>
          <w:p w14:paraId="03DEED7C">
            <w:pPr>
              <w:spacing w:line="360" w:lineRule="auto"/>
              <w:jc w:val="center"/>
              <w:rPr>
                <w:rFonts w:ascii="宋体" w:hAnsi="宋体"/>
                <w:color w:val="000000" w:themeColor="text1"/>
                <w:sz w:val="2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180CFB1">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重点、难点和关键工程的施工方案与技术措施</w:t>
            </w:r>
          </w:p>
        </w:tc>
        <w:tc>
          <w:tcPr>
            <w:tcW w:w="571" w:type="dxa"/>
            <w:tcBorders>
              <w:top w:val="single" w:color="auto" w:sz="4" w:space="0"/>
              <w:left w:val="single" w:color="auto" w:sz="4" w:space="0"/>
              <w:bottom w:val="single" w:color="auto" w:sz="4" w:space="0"/>
            </w:tcBorders>
            <w:noWrap w:val="0"/>
            <w:vAlign w:val="center"/>
          </w:tcPr>
          <w:p w14:paraId="7DDADE64">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分</w:t>
            </w:r>
          </w:p>
        </w:tc>
        <w:tc>
          <w:tcPr>
            <w:tcW w:w="5523" w:type="dxa"/>
            <w:tcBorders>
              <w:top w:val="single" w:color="auto" w:sz="4" w:space="0"/>
              <w:bottom w:val="single" w:color="auto" w:sz="4" w:space="0"/>
            </w:tcBorders>
            <w:noWrap w:val="0"/>
            <w:vAlign w:val="center"/>
          </w:tcPr>
          <w:p w14:paraId="2E5779E0">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w:t>
            </w:r>
            <w:bookmarkStart w:id="3" w:name="OLE_LINK14"/>
            <w:r>
              <w:rPr>
                <w:rFonts w:hint="eastAsia" w:ascii="宋体" w:hAnsi="宋体"/>
                <w:color w:val="000000" w:themeColor="text1"/>
                <w:sz w:val="21"/>
                <w:szCs w:val="21"/>
                <w14:textFill>
                  <w14:solidFill>
                    <w14:schemeClr w14:val="tx1"/>
                  </w14:solidFill>
                </w14:textFill>
              </w:rPr>
              <w:t>得(12-15</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分</w:t>
            </w:r>
            <w:bookmarkEnd w:id="3"/>
            <w:r>
              <w:rPr>
                <w:rFonts w:hint="eastAsia" w:ascii="宋体" w:hAnsi="宋体"/>
                <w:color w:val="000000" w:themeColor="text1"/>
                <w:sz w:val="21"/>
                <w:szCs w:val="21"/>
                <w14:textFill>
                  <w14:solidFill>
                    <w14:schemeClr w14:val="tx1"/>
                  </w14:solidFill>
                </w14:textFill>
              </w:rPr>
              <w:t>；</w:t>
            </w:r>
          </w:p>
          <w:p w14:paraId="34C014AC">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（2）对项目重点、难点和关键工程认识基本到位，施工方案与技术措施基本可行，重点较为突出的，得(9-12</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分；</w:t>
            </w:r>
          </w:p>
          <w:p w14:paraId="27F5ED17">
            <w:pPr>
              <w:tabs>
                <w:tab w:val="left" w:pos="5308"/>
              </w:tabs>
              <w:spacing w:line="380" w:lineRule="exact"/>
              <w:ind w:left="108" w:right="9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（3）一般但不被评定为不响应的, 得</w:t>
            </w:r>
            <w:r>
              <w:rPr>
                <w:rFonts w:hint="eastAsia" w:ascii="宋体" w:hAnsi="宋体"/>
                <w:color w:val="000000" w:themeColor="text1"/>
                <w:sz w:val="21"/>
                <w:szCs w:val="21"/>
                <w:lang w:val="en-US" w:eastAsia="zh-CN"/>
                <w14:textFill>
                  <w14:solidFill>
                    <w14:schemeClr w14:val="tx1"/>
                  </w14:solidFill>
                </w14:textFill>
              </w:rPr>
              <w:t>9</w:t>
            </w:r>
            <w:r>
              <w:rPr>
                <w:rFonts w:hint="eastAsia" w:ascii="宋体" w:hAnsi="宋体"/>
                <w:color w:val="000000" w:themeColor="text1"/>
                <w:sz w:val="21"/>
                <w:szCs w:val="21"/>
                <w14:textFill>
                  <w14:solidFill>
                    <w14:schemeClr w14:val="tx1"/>
                  </w14:solidFill>
                </w14:textFill>
              </w:rPr>
              <w:t>分。</w:t>
            </w:r>
          </w:p>
        </w:tc>
      </w:tr>
      <w:tr w14:paraId="239AD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710" w:type="dxa"/>
            <w:vMerge w:val="continue"/>
            <w:tcBorders>
              <w:bottom w:val="single" w:color="auto" w:sz="4" w:space="0"/>
            </w:tcBorders>
            <w:noWrap w:val="0"/>
            <w:vAlign w:val="center"/>
          </w:tcPr>
          <w:p w14:paraId="74988862">
            <w:pPr>
              <w:tabs>
                <w:tab w:val="left" w:pos="0"/>
              </w:tabs>
              <w:spacing w:line="400" w:lineRule="exact"/>
              <w:ind w:left="69" w:right="136"/>
              <w:jc w:val="center"/>
              <w:rPr>
                <w:rFonts w:ascii="宋体" w:hAnsi="宋体"/>
                <w:color w:val="000000" w:themeColor="text1"/>
                <w:sz w:val="21"/>
                <w:szCs w:val="21"/>
                <w14:textFill>
                  <w14:solidFill>
                    <w14:schemeClr w14:val="tx1"/>
                  </w14:solidFill>
                </w14:textFill>
              </w:rPr>
            </w:pPr>
          </w:p>
        </w:tc>
        <w:tc>
          <w:tcPr>
            <w:tcW w:w="993" w:type="dxa"/>
            <w:gridSpan w:val="4"/>
            <w:vMerge w:val="continue"/>
            <w:tcBorders>
              <w:bottom w:val="single" w:color="auto" w:sz="4" w:space="0"/>
              <w:right w:val="single" w:color="auto" w:sz="4" w:space="0"/>
            </w:tcBorders>
            <w:noWrap w:val="0"/>
            <w:vAlign w:val="center"/>
          </w:tcPr>
          <w:p w14:paraId="3CD49CF1">
            <w:pPr>
              <w:spacing w:line="360" w:lineRule="auto"/>
              <w:jc w:val="center"/>
              <w:rPr>
                <w:rFonts w:ascii="宋体" w:hAnsi="宋体"/>
                <w:color w:val="000000" w:themeColor="text1"/>
                <w:sz w:val="21"/>
                <w:szCs w:val="21"/>
                <w14:textFill>
                  <w14:solidFill>
                    <w14:schemeClr w14:val="tx1"/>
                  </w14:solidFill>
                </w14:textFill>
              </w:rPr>
            </w:pPr>
          </w:p>
        </w:tc>
        <w:tc>
          <w:tcPr>
            <w:tcW w:w="551" w:type="dxa"/>
            <w:vMerge w:val="continue"/>
            <w:tcBorders>
              <w:left w:val="single" w:color="auto" w:sz="4" w:space="0"/>
              <w:bottom w:val="single" w:color="auto" w:sz="4" w:space="0"/>
              <w:right w:val="single" w:color="auto" w:sz="4" w:space="0"/>
            </w:tcBorders>
            <w:noWrap w:val="0"/>
            <w:vAlign w:val="center"/>
          </w:tcPr>
          <w:p w14:paraId="6D7C5BF5">
            <w:pPr>
              <w:spacing w:line="360" w:lineRule="auto"/>
              <w:jc w:val="center"/>
              <w:rPr>
                <w:rFonts w:ascii="宋体" w:hAnsi="宋体"/>
                <w:color w:val="000000" w:themeColor="text1"/>
                <w:sz w:val="2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AE37352">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工期、质量、安全、环保水保、文明施工保证措施</w:t>
            </w:r>
          </w:p>
        </w:tc>
        <w:tc>
          <w:tcPr>
            <w:tcW w:w="571" w:type="dxa"/>
            <w:tcBorders>
              <w:top w:val="single" w:color="auto" w:sz="4" w:space="0"/>
              <w:left w:val="single" w:color="auto" w:sz="4" w:space="0"/>
              <w:bottom w:val="single" w:color="auto" w:sz="4" w:space="0"/>
            </w:tcBorders>
            <w:noWrap w:val="0"/>
            <w:vAlign w:val="center"/>
          </w:tcPr>
          <w:p w14:paraId="4C8DE074">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15分</w:t>
            </w:r>
          </w:p>
        </w:tc>
        <w:tc>
          <w:tcPr>
            <w:tcW w:w="5523" w:type="dxa"/>
            <w:tcBorders>
              <w:top w:val="single" w:color="auto" w:sz="4" w:space="0"/>
              <w:bottom w:val="single" w:color="auto" w:sz="4" w:space="0"/>
            </w:tcBorders>
            <w:noWrap w:val="0"/>
            <w:vAlign w:val="center"/>
          </w:tcPr>
          <w:p w14:paraId="17D8947C">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(12-15</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分；</w:t>
            </w:r>
          </w:p>
          <w:p w14:paraId="6908C948">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（2）对工期、质量、安全、环保、水保等风险有一定认识，预防保证措施基本可行，重点较为突出的，得(9-12</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分；</w:t>
            </w:r>
          </w:p>
          <w:p w14:paraId="76F7B5C9">
            <w:pPr>
              <w:tabs>
                <w:tab w:val="left" w:pos="5308"/>
              </w:tabs>
              <w:spacing w:line="380" w:lineRule="exact"/>
              <w:ind w:left="108" w:right="9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（3）一般但不被评定为不响应的, 得9分。</w:t>
            </w:r>
          </w:p>
        </w:tc>
      </w:tr>
      <w:tr w14:paraId="206B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710" w:type="dxa"/>
            <w:vMerge w:val="restart"/>
            <w:tcBorders>
              <w:top w:val="single" w:color="auto" w:sz="4" w:space="0"/>
            </w:tcBorders>
            <w:noWrap w:val="0"/>
            <w:vAlign w:val="center"/>
          </w:tcPr>
          <w:p w14:paraId="73372A2E">
            <w:pPr>
              <w:tabs>
                <w:tab w:val="left" w:pos="0"/>
              </w:tabs>
              <w:spacing w:line="400" w:lineRule="exact"/>
              <w:ind w:left="69" w:right="136"/>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2.2.2</w:t>
            </w:r>
            <w:r>
              <w:rPr>
                <w:rFonts w:hint="eastAsia" w:ascii="宋体" w:hAnsi="宋体"/>
                <w:color w:val="000000" w:themeColor="text1"/>
                <w:sz w:val="21"/>
                <w:szCs w:val="21"/>
                <w14:textFill>
                  <w14:solidFill>
                    <w14:schemeClr w14:val="tx1"/>
                  </w14:solidFill>
                </w14:textFill>
              </w:rPr>
              <w:t>（2）</w:t>
            </w:r>
          </w:p>
        </w:tc>
        <w:tc>
          <w:tcPr>
            <w:tcW w:w="993" w:type="dxa"/>
            <w:gridSpan w:val="4"/>
            <w:vMerge w:val="restart"/>
            <w:tcBorders>
              <w:top w:val="single" w:color="auto" w:sz="4" w:space="0"/>
              <w:right w:val="single" w:color="auto" w:sz="4" w:space="0"/>
            </w:tcBorders>
            <w:noWrap w:val="0"/>
            <w:vAlign w:val="center"/>
          </w:tcPr>
          <w:p w14:paraId="0B88BEF0">
            <w:pPr>
              <w:spacing w:line="360" w:lineRule="auto"/>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主</w:t>
            </w:r>
            <w:r>
              <w:rPr>
                <w:rFonts w:ascii="宋体" w:hAnsi="宋体"/>
                <w:color w:val="000000" w:themeColor="text1"/>
                <w:sz w:val="21"/>
                <w:szCs w:val="21"/>
                <w14:textFill>
                  <w14:solidFill>
                    <w14:schemeClr w14:val="tx1"/>
                  </w14:solidFill>
                </w14:textFill>
              </w:rPr>
              <w:t>要人员</w:t>
            </w:r>
          </w:p>
        </w:tc>
        <w:tc>
          <w:tcPr>
            <w:tcW w:w="551" w:type="dxa"/>
            <w:vMerge w:val="restart"/>
            <w:tcBorders>
              <w:top w:val="single" w:color="auto" w:sz="4" w:space="0"/>
              <w:left w:val="single" w:color="auto" w:sz="4" w:space="0"/>
              <w:right w:val="single" w:color="auto" w:sz="4" w:space="0"/>
            </w:tcBorders>
            <w:noWrap w:val="0"/>
            <w:vAlign w:val="center"/>
          </w:tcPr>
          <w:p w14:paraId="226525DE">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30</w:t>
            </w:r>
            <w:r>
              <w:rPr>
                <w:rFonts w:hint="eastAsia" w:ascii="宋体" w:hAnsi="宋体"/>
                <w:color w:val="000000" w:themeColor="text1"/>
                <w:sz w:val="21"/>
                <w:szCs w:val="21"/>
                <w14:textFill>
                  <w14:solidFill>
                    <w14:schemeClr w14:val="tx1"/>
                  </w14:solidFill>
                </w14:textFill>
              </w:rPr>
              <w:t>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1A06E94">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项目经理任职资格与业绩</w:t>
            </w:r>
          </w:p>
        </w:tc>
        <w:tc>
          <w:tcPr>
            <w:tcW w:w="571" w:type="dxa"/>
            <w:tcBorders>
              <w:top w:val="single" w:color="auto" w:sz="4" w:space="0"/>
              <w:left w:val="single" w:color="auto" w:sz="4" w:space="0"/>
              <w:bottom w:val="single" w:color="auto" w:sz="4" w:space="0"/>
            </w:tcBorders>
            <w:noWrap w:val="0"/>
            <w:vAlign w:val="center"/>
          </w:tcPr>
          <w:p w14:paraId="46CE3244">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分</w:t>
            </w:r>
          </w:p>
        </w:tc>
        <w:tc>
          <w:tcPr>
            <w:tcW w:w="5523" w:type="dxa"/>
            <w:tcBorders>
              <w:top w:val="single" w:color="auto" w:sz="4" w:space="0"/>
              <w:bottom w:val="single" w:color="auto" w:sz="4" w:space="0"/>
            </w:tcBorders>
            <w:noWrap w:val="0"/>
            <w:vAlign w:val="center"/>
          </w:tcPr>
          <w:p w14:paraId="743C9D5D">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满足资格审查条件（项目经理最低要求）时，得1</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分。</w:t>
            </w:r>
          </w:p>
        </w:tc>
      </w:tr>
      <w:tr w14:paraId="65031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jc w:val="center"/>
        </w:trPr>
        <w:tc>
          <w:tcPr>
            <w:tcW w:w="710" w:type="dxa"/>
            <w:vMerge w:val="continue"/>
            <w:noWrap w:val="0"/>
            <w:vAlign w:val="center"/>
          </w:tcPr>
          <w:p w14:paraId="72F9E367">
            <w:pPr>
              <w:tabs>
                <w:tab w:val="left" w:pos="0"/>
              </w:tabs>
              <w:spacing w:line="400" w:lineRule="exact"/>
              <w:ind w:left="69" w:right="136"/>
              <w:jc w:val="center"/>
              <w:rPr>
                <w:rFonts w:ascii="宋体" w:hAnsi="宋体"/>
                <w:color w:val="000000" w:themeColor="text1"/>
                <w:sz w:val="21"/>
                <w:szCs w:val="21"/>
                <w14:textFill>
                  <w14:solidFill>
                    <w14:schemeClr w14:val="tx1"/>
                  </w14:solidFill>
                </w14:textFill>
              </w:rPr>
            </w:pPr>
          </w:p>
        </w:tc>
        <w:tc>
          <w:tcPr>
            <w:tcW w:w="993" w:type="dxa"/>
            <w:gridSpan w:val="4"/>
            <w:vMerge w:val="continue"/>
            <w:tcBorders>
              <w:right w:val="single" w:color="auto" w:sz="4" w:space="0"/>
            </w:tcBorders>
            <w:noWrap w:val="0"/>
            <w:vAlign w:val="center"/>
          </w:tcPr>
          <w:p w14:paraId="4BC56FC8">
            <w:pPr>
              <w:spacing w:line="360" w:lineRule="auto"/>
              <w:jc w:val="center"/>
              <w:rPr>
                <w:rFonts w:ascii="宋体" w:hAnsi="宋体"/>
                <w:color w:val="000000" w:themeColor="text1"/>
                <w:sz w:val="21"/>
                <w:szCs w:val="21"/>
                <w14:textFill>
                  <w14:solidFill>
                    <w14:schemeClr w14:val="tx1"/>
                  </w14:solidFill>
                </w14:textFill>
              </w:rPr>
            </w:pPr>
          </w:p>
        </w:tc>
        <w:tc>
          <w:tcPr>
            <w:tcW w:w="551" w:type="dxa"/>
            <w:vMerge w:val="continue"/>
            <w:tcBorders>
              <w:left w:val="single" w:color="auto" w:sz="4" w:space="0"/>
              <w:bottom w:val="single" w:color="auto" w:sz="4" w:space="0"/>
              <w:right w:val="single" w:color="auto" w:sz="4" w:space="0"/>
            </w:tcBorders>
            <w:noWrap w:val="0"/>
            <w:vAlign w:val="center"/>
          </w:tcPr>
          <w:p w14:paraId="3F6860CE">
            <w:pPr>
              <w:spacing w:line="360" w:lineRule="auto"/>
              <w:jc w:val="center"/>
              <w:rPr>
                <w:rFonts w:ascii="宋体" w:hAnsi="宋体"/>
                <w:color w:val="000000" w:themeColor="text1"/>
                <w:sz w:val="21"/>
                <w:szCs w:val="21"/>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2CAF211">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项目总工任职资格与业绩</w:t>
            </w:r>
          </w:p>
        </w:tc>
        <w:tc>
          <w:tcPr>
            <w:tcW w:w="571" w:type="dxa"/>
            <w:tcBorders>
              <w:top w:val="single" w:color="auto" w:sz="4" w:space="0"/>
              <w:left w:val="single" w:color="auto" w:sz="4" w:space="0"/>
              <w:bottom w:val="single" w:color="auto" w:sz="4" w:space="0"/>
            </w:tcBorders>
            <w:noWrap w:val="0"/>
            <w:vAlign w:val="center"/>
          </w:tcPr>
          <w:p w14:paraId="3170E15E">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分</w:t>
            </w:r>
          </w:p>
        </w:tc>
        <w:tc>
          <w:tcPr>
            <w:tcW w:w="5523" w:type="dxa"/>
            <w:tcBorders>
              <w:top w:val="single" w:color="auto" w:sz="4" w:space="0"/>
              <w:bottom w:val="single" w:color="auto" w:sz="4" w:space="0"/>
            </w:tcBorders>
            <w:noWrap w:val="0"/>
            <w:vAlign w:val="center"/>
          </w:tcPr>
          <w:p w14:paraId="5D217BD3">
            <w:pPr>
              <w:tabs>
                <w:tab w:val="left" w:pos="5308"/>
              </w:tabs>
              <w:spacing w:line="380" w:lineRule="exact"/>
              <w:ind w:left="108" w:right="96"/>
              <w:rPr>
                <w:rFonts w:hint="eastAsia"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满足资格审查条件（项目总工最低要求）时，得</w:t>
            </w:r>
            <w:r>
              <w:rPr>
                <w:rFonts w:hint="eastAsia" w:ascii="宋体" w:hAnsi="宋体"/>
                <w:color w:val="000000" w:themeColor="text1"/>
                <w:sz w:val="21"/>
                <w:szCs w:val="21"/>
                <w:lang w:val="en-US" w:eastAsia="zh-CN"/>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分</w:t>
            </w:r>
            <w:r>
              <w:rPr>
                <w:rFonts w:hint="eastAsia" w:hAnsi="宋体"/>
                <w:color w:val="000000" w:themeColor="text1"/>
                <w:sz w:val="21"/>
                <w:szCs w:val="21"/>
                <w14:textFill>
                  <w14:solidFill>
                    <w14:schemeClr w14:val="tx1"/>
                  </w14:solidFill>
                </w14:textFill>
              </w:rPr>
              <w:t>。</w:t>
            </w:r>
          </w:p>
        </w:tc>
      </w:tr>
      <w:tr w14:paraId="3EADE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jc w:val="center"/>
        </w:trPr>
        <w:tc>
          <w:tcPr>
            <w:tcW w:w="710" w:type="dxa"/>
            <w:vMerge w:val="restart"/>
            <w:noWrap w:val="0"/>
            <w:vAlign w:val="center"/>
          </w:tcPr>
          <w:p w14:paraId="2DE924AB">
            <w:pPr>
              <w:tabs>
                <w:tab w:val="left" w:pos="0"/>
              </w:tabs>
              <w:spacing w:line="400" w:lineRule="exact"/>
              <w:ind w:left="69" w:right="136"/>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2.2.2（3）</w:t>
            </w:r>
          </w:p>
        </w:tc>
        <w:tc>
          <w:tcPr>
            <w:tcW w:w="416" w:type="dxa"/>
            <w:vMerge w:val="restart"/>
            <w:tcBorders>
              <w:right w:val="single" w:color="auto" w:sz="4" w:space="0"/>
            </w:tcBorders>
            <w:noWrap w:val="0"/>
            <w:vAlign w:val="center"/>
          </w:tcPr>
          <w:p w14:paraId="5FC5DF8D">
            <w:pPr>
              <w:spacing w:line="360" w:lineRule="auto"/>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w:t>
            </w:r>
            <w:r>
              <w:rPr>
                <w:rFonts w:ascii="宋体" w:hAnsi="宋体"/>
                <w:color w:val="000000" w:themeColor="text1"/>
                <w:sz w:val="21"/>
                <w:szCs w:val="21"/>
                <w14:textFill>
                  <w14:solidFill>
                    <w14:schemeClr w14:val="tx1"/>
                  </w14:solidFill>
                </w14:textFill>
              </w:rPr>
              <w:t>因素</w:t>
            </w:r>
          </w:p>
        </w:tc>
        <w:tc>
          <w:tcPr>
            <w:tcW w:w="577" w:type="dxa"/>
            <w:gridSpan w:val="3"/>
            <w:tcBorders>
              <w:right w:val="single" w:color="auto" w:sz="4" w:space="0"/>
            </w:tcBorders>
            <w:noWrap w:val="0"/>
            <w:vAlign w:val="center"/>
          </w:tcPr>
          <w:p w14:paraId="4646ED1F">
            <w:pPr>
              <w:spacing w:line="360" w:lineRule="auto"/>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技术</w:t>
            </w:r>
            <w:r>
              <w:rPr>
                <w:rFonts w:ascii="宋体" w:hAnsi="宋体"/>
                <w:color w:val="000000" w:themeColor="text1"/>
                <w:sz w:val="21"/>
                <w:szCs w:val="21"/>
                <w14:textFill>
                  <w14:solidFill>
                    <w14:schemeClr w14:val="tx1"/>
                  </w14:solidFill>
                </w14:textFill>
              </w:rPr>
              <w:t>能力</w:t>
            </w:r>
          </w:p>
        </w:tc>
        <w:tc>
          <w:tcPr>
            <w:tcW w:w="551" w:type="dxa"/>
            <w:tcBorders>
              <w:top w:val="single" w:color="auto" w:sz="4" w:space="0"/>
              <w:left w:val="single" w:color="auto" w:sz="4" w:space="0"/>
              <w:right w:val="single" w:color="auto" w:sz="4" w:space="0"/>
            </w:tcBorders>
            <w:noWrap w:val="0"/>
            <w:vAlign w:val="center"/>
          </w:tcPr>
          <w:p w14:paraId="6649B124">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w:t>
            </w:r>
          </w:p>
        </w:tc>
        <w:tc>
          <w:tcPr>
            <w:tcW w:w="7102" w:type="dxa"/>
            <w:gridSpan w:val="3"/>
            <w:tcBorders>
              <w:top w:val="single" w:color="auto" w:sz="4" w:space="0"/>
              <w:left w:val="single" w:color="auto" w:sz="4" w:space="0"/>
            </w:tcBorders>
            <w:noWrap w:val="0"/>
            <w:vAlign w:val="center"/>
          </w:tcPr>
          <w:p w14:paraId="7B6B76F1">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（1）投标人获得与项目施工有关的国家级工法、专利（发明专利或实用新型专利）、国家级科学技术进步奖、鲁班奖、詹天佑奖，主编或参编过国家标准，每项加</w:t>
            </w:r>
            <w:r>
              <w:rPr>
                <w:rFonts w:hint="eastAsia" w:ascii="宋体" w:hAnsi="宋体"/>
                <w:color w:val="000000" w:themeColor="text1"/>
                <w:sz w:val="21"/>
                <w:szCs w:val="21"/>
                <w:u w:val="single"/>
                <w:lang w:val="en-US" w:eastAsia="zh-CN"/>
                <w14:textFill>
                  <w14:solidFill>
                    <w14:schemeClr w14:val="tx1"/>
                  </w14:solidFill>
                </w14:textFill>
              </w:rPr>
              <w:t>0.2</w:t>
            </w:r>
            <w:r>
              <w:rPr>
                <w:rFonts w:hint="eastAsia" w:ascii="宋体" w:hAnsi="宋体"/>
                <w:color w:val="000000" w:themeColor="text1"/>
                <w:sz w:val="21"/>
                <w:szCs w:val="21"/>
                <w14:textFill>
                  <w14:solidFill>
                    <w14:schemeClr w14:val="tx1"/>
                  </w14:solidFill>
                </w14:textFill>
              </w:rPr>
              <w:t>分；</w:t>
            </w:r>
            <w:r>
              <w:rPr>
                <w:rFonts w:hint="eastAsia" w:ascii="宋体" w:hAnsi="宋体"/>
                <w:color w:val="000000" w:themeColor="text1"/>
                <w:sz w:val="21"/>
                <w:szCs w:val="21"/>
                <w:lang w:val="en-US" w:eastAsia="zh-CN"/>
                <w14:textFill>
                  <w14:solidFill>
                    <w14:schemeClr w14:val="tx1"/>
                  </w14:solidFill>
                </w14:textFill>
              </w:rPr>
              <w:t>共1分。</w:t>
            </w:r>
          </w:p>
          <w:p w14:paraId="4F38B561">
            <w:pPr>
              <w:tabs>
                <w:tab w:val="left" w:pos="5308"/>
              </w:tabs>
              <w:spacing w:line="380" w:lineRule="exact"/>
              <w:ind w:left="108" w:right="96"/>
              <w:rPr>
                <w:rFonts w:ascii="宋体" w:hAnsi="宋体"/>
                <w:color w:val="000000" w:themeColor="text1"/>
                <w:sz w:val="21"/>
                <w:szCs w:val="21"/>
                <w14:textFill>
                  <w14:solidFill>
                    <w14:schemeClr w14:val="tx1"/>
                  </w14:solidFill>
                </w14:textFill>
              </w:rPr>
            </w:pPr>
            <w:bookmarkStart w:id="4" w:name="OLE_LINK5"/>
            <w:bookmarkStart w:id="5" w:name="OLE_LINK19"/>
            <w:r>
              <w:rPr>
                <w:rFonts w:hint="eastAsia" w:ascii="宋体" w:hAnsi="宋体"/>
                <w:color w:val="000000" w:themeColor="text1"/>
                <w:sz w:val="21"/>
                <w:szCs w:val="21"/>
                <w14:textFill>
                  <w14:solidFill>
                    <w14:schemeClr w14:val="tx1"/>
                  </w14:solidFill>
                </w14:textFill>
              </w:rPr>
              <w:t>（2）投标人获得省级科学技术进步奖，主编或参编过的行业或地方（指省级）标准，每项加</w:t>
            </w:r>
            <w:r>
              <w:rPr>
                <w:rFonts w:hint="eastAsia" w:ascii="宋体" w:hAnsi="宋体"/>
                <w:color w:val="000000" w:themeColor="text1"/>
                <w:sz w:val="21"/>
                <w:szCs w:val="21"/>
                <w:u w:val="single"/>
                <w:lang w:val="en-US" w:eastAsia="zh-CN"/>
                <w14:textFill>
                  <w14:solidFill>
                    <w14:schemeClr w14:val="tx1"/>
                  </w14:solidFill>
                </w14:textFill>
              </w:rPr>
              <w:t>0.5</w:t>
            </w:r>
            <w:r>
              <w:rPr>
                <w:rFonts w:hint="eastAsia" w:ascii="宋体" w:hAnsi="宋体"/>
                <w:color w:val="000000" w:themeColor="text1"/>
                <w:sz w:val="21"/>
                <w:szCs w:val="21"/>
                <w14:textFill>
                  <w14:solidFill>
                    <w14:schemeClr w14:val="tx1"/>
                  </w14:solidFill>
                </w14:textFill>
              </w:rPr>
              <w:t>分；</w:t>
            </w:r>
            <w:r>
              <w:rPr>
                <w:rFonts w:hint="eastAsia" w:ascii="宋体" w:hAnsi="宋体"/>
                <w:color w:val="000000" w:themeColor="text1"/>
                <w:sz w:val="21"/>
                <w:szCs w:val="21"/>
                <w:lang w:val="en-US" w:eastAsia="zh-CN"/>
                <w14:textFill>
                  <w14:solidFill>
                    <w14:schemeClr w14:val="tx1"/>
                  </w14:solidFill>
                </w14:textFill>
              </w:rPr>
              <w:t>共1分。</w:t>
            </w:r>
          </w:p>
          <w:bookmarkEnd w:id="4"/>
          <w:bookmarkEnd w:id="5"/>
          <w:p w14:paraId="2601568E">
            <w:pPr>
              <w:tabs>
                <w:tab w:val="left" w:pos="5308"/>
              </w:tabs>
              <w:spacing w:line="380" w:lineRule="exact"/>
              <w:ind w:left="108" w:right="9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注：技术能力加分最高</w:t>
            </w:r>
            <w:r>
              <w:rPr>
                <w:rFonts w:hint="eastAsia" w:ascii="宋体" w:hAnsi="宋体"/>
                <w:color w:val="000000" w:themeColor="text1"/>
                <w:sz w:val="21"/>
                <w:szCs w:val="21"/>
                <w:u w:val="single"/>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分，同一事项按较高分只计一次。</w:t>
            </w:r>
          </w:p>
        </w:tc>
      </w:tr>
      <w:tr w14:paraId="0052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jc w:val="center"/>
        </w:trPr>
        <w:tc>
          <w:tcPr>
            <w:tcW w:w="710" w:type="dxa"/>
            <w:vMerge w:val="continue"/>
            <w:noWrap w:val="0"/>
            <w:vAlign w:val="center"/>
          </w:tcPr>
          <w:p w14:paraId="1E7062EB">
            <w:pPr>
              <w:tabs>
                <w:tab w:val="left" w:pos="0"/>
              </w:tabs>
              <w:spacing w:line="400" w:lineRule="exact"/>
              <w:ind w:left="69" w:right="136"/>
              <w:jc w:val="center"/>
              <w:rPr>
                <w:rFonts w:ascii="宋体" w:hAnsi="宋体"/>
                <w:color w:val="000000" w:themeColor="text1"/>
                <w:sz w:val="21"/>
                <w:szCs w:val="21"/>
                <w14:textFill>
                  <w14:solidFill>
                    <w14:schemeClr w14:val="tx1"/>
                  </w14:solidFill>
                </w14:textFill>
              </w:rPr>
            </w:pPr>
          </w:p>
        </w:tc>
        <w:tc>
          <w:tcPr>
            <w:tcW w:w="416" w:type="dxa"/>
            <w:vMerge w:val="continue"/>
            <w:tcBorders>
              <w:right w:val="single" w:color="auto" w:sz="4" w:space="0"/>
            </w:tcBorders>
            <w:noWrap w:val="0"/>
            <w:vAlign w:val="center"/>
          </w:tcPr>
          <w:p w14:paraId="4A4E768D">
            <w:pPr>
              <w:spacing w:line="360" w:lineRule="auto"/>
              <w:jc w:val="center"/>
              <w:rPr>
                <w:rFonts w:ascii="宋体" w:hAnsi="宋体"/>
                <w:color w:val="000000" w:themeColor="text1"/>
                <w:sz w:val="21"/>
                <w:szCs w:val="21"/>
                <w14:textFill>
                  <w14:solidFill>
                    <w14:schemeClr w14:val="tx1"/>
                  </w14:solidFill>
                </w14:textFill>
              </w:rPr>
            </w:pPr>
          </w:p>
        </w:tc>
        <w:tc>
          <w:tcPr>
            <w:tcW w:w="577" w:type="dxa"/>
            <w:gridSpan w:val="3"/>
            <w:tcBorders>
              <w:right w:val="single" w:color="auto" w:sz="4" w:space="0"/>
            </w:tcBorders>
            <w:noWrap w:val="0"/>
            <w:vAlign w:val="center"/>
          </w:tcPr>
          <w:p w14:paraId="6B29FF95">
            <w:pPr>
              <w:spacing w:line="360" w:lineRule="auto"/>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履约</w:t>
            </w:r>
            <w:r>
              <w:rPr>
                <w:rFonts w:ascii="宋体" w:hAnsi="宋体"/>
                <w:color w:val="000000" w:themeColor="text1"/>
                <w:sz w:val="21"/>
                <w:szCs w:val="21"/>
                <w14:textFill>
                  <w14:solidFill>
                    <w14:schemeClr w14:val="tx1"/>
                  </w14:solidFill>
                </w14:textFill>
              </w:rPr>
              <w:t>信誉</w:t>
            </w:r>
          </w:p>
        </w:tc>
        <w:tc>
          <w:tcPr>
            <w:tcW w:w="551" w:type="dxa"/>
            <w:tcBorders>
              <w:top w:val="single" w:color="auto" w:sz="4" w:space="0"/>
              <w:left w:val="single" w:color="auto" w:sz="4" w:space="0"/>
              <w:right w:val="single" w:color="auto" w:sz="4" w:space="0"/>
            </w:tcBorders>
            <w:noWrap w:val="0"/>
            <w:vAlign w:val="center"/>
          </w:tcPr>
          <w:p w14:paraId="2EA7FB1E">
            <w:pPr>
              <w:spacing w:line="360" w:lineRule="auto"/>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23</w:t>
            </w:r>
            <w:r>
              <w:rPr>
                <w:rFonts w:hint="eastAsia" w:ascii="宋体" w:hAnsi="宋体"/>
                <w:color w:val="000000" w:themeColor="text1"/>
                <w:sz w:val="21"/>
                <w:szCs w:val="21"/>
                <w14:textFill>
                  <w14:solidFill>
                    <w14:schemeClr w14:val="tx1"/>
                  </w14:solidFill>
                </w14:textFill>
              </w:rPr>
              <w:t>分</w:t>
            </w:r>
          </w:p>
        </w:tc>
        <w:tc>
          <w:tcPr>
            <w:tcW w:w="7102" w:type="dxa"/>
            <w:gridSpan w:val="3"/>
            <w:tcBorders>
              <w:top w:val="single" w:color="auto" w:sz="4" w:space="0"/>
              <w:left w:val="single" w:color="auto" w:sz="4" w:space="0"/>
            </w:tcBorders>
            <w:noWrap w:val="0"/>
            <w:vAlign w:val="center"/>
          </w:tcPr>
          <w:p w14:paraId="49A23B69">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 信用等级分值（10 分）</w:t>
            </w:r>
          </w:p>
          <w:p w14:paraId="31D5BBE7">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AA、A、B、C 级单位的信用等级分得分分别为10、9.5、8.9、7.3分。</w:t>
            </w:r>
          </w:p>
          <w:p w14:paraId="66B06653">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注：信用等级的确定原则遵循投标人须知前附表10.2 款的规定。</w:t>
            </w:r>
          </w:p>
          <w:p w14:paraId="79D87B40">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 履约情况（</w:t>
            </w:r>
            <w:r>
              <w:rPr>
                <w:rFonts w:hint="eastAsia" w:ascii="宋体" w:hAnsi="宋体"/>
                <w:color w:val="000000" w:themeColor="text1"/>
                <w:sz w:val="21"/>
                <w:szCs w:val="21"/>
                <w:lang w:val="en-US" w:eastAsia="zh-CN"/>
                <w14:textFill>
                  <w14:solidFill>
                    <w14:schemeClr w14:val="tx1"/>
                  </w14:solidFill>
                </w14:textFill>
              </w:rPr>
              <w:t>13</w:t>
            </w:r>
            <w:r>
              <w:rPr>
                <w:rFonts w:hint="eastAsia" w:ascii="宋体" w:hAnsi="宋体"/>
                <w:color w:val="000000" w:themeColor="text1"/>
                <w:sz w:val="21"/>
                <w:szCs w:val="21"/>
                <w14:textFill>
                  <w14:solidFill>
                    <w14:schemeClr w14:val="tx1"/>
                  </w14:solidFill>
                </w14:textFill>
              </w:rPr>
              <w:t>分）</w:t>
            </w:r>
          </w:p>
          <w:p w14:paraId="1A592AC6">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若没出现下述情形得满分；</w:t>
            </w:r>
          </w:p>
          <w:p w14:paraId="7E30485A">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投标文件递交截止日前1 年内，投标人因公路工程（含附属设施）质量、安全、履约或招标投标问题等原因被：</w:t>
            </w:r>
          </w:p>
          <w:p w14:paraId="485974A3">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（1）交通运输部行政处罚的，扣5 分/次。</w:t>
            </w:r>
          </w:p>
          <w:p w14:paraId="37F44960">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（2）广东省交通运输厅行政处罚的，扣</w:t>
            </w: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 xml:space="preserve"> 分/次。</w:t>
            </w:r>
          </w:p>
          <w:p w14:paraId="2F6AC1B3">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（3）招标项目所在地地级以上市交通运输局行政处罚的，扣1.5 分/次。</w:t>
            </w:r>
          </w:p>
          <w:p w14:paraId="032A88DD">
            <w:pPr>
              <w:tabs>
                <w:tab w:val="left" w:pos="5308"/>
              </w:tabs>
              <w:spacing w:line="380" w:lineRule="exact"/>
              <w:ind w:left="108" w:right="96"/>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（4）广东省交通运输厅正式约谈的，扣0.1 分/次。</w:t>
            </w:r>
          </w:p>
          <w:p w14:paraId="559C521C">
            <w:pPr>
              <w:tabs>
                <w:tab w:val="left" w:pos="5308"/>
              </w:tabs>
              <w:spacing w:line="380" w:lineRule="exact"/>
              <w:ind w:left="108" w:right="96"/>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同一事项同时被多个部门行政处罚或正式约谈只按最高的扣分计算1次。如果扣完本项分值，可以从总分中扣。</w:t>
            </w:r>
          </w:p>
        </w:tc>
      </w:tr>
      <w:bookmarkEnd w:id="0"/>
      <w:bookmarkEnd w:id="1"/>
      <w:tr w14:paraId="0D0A1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9356" w:type="dxa"/>
            <w:gridSpan w:val="9"/>
            <w:noWrap w:val="0"/>
            <w:vAlign w:val="center"/>
          </w:tcPr>
          <w:p w14:paraId="37B5ED8C">
            <w:pPr>
              <w:spacing w:line="400" w:lineRule="exact"/>
              <w:ind w:left="61" w:leftChars="29" w:right="168" w:rightChars="8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需要补充的其他内容：</w:t>
            </w:r>
          </w:p>
        </w:tc>
      </w:tr>
      <w:tr w14:paraId="366F8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1204" w:type="dxa"/>
            <w:gridSpan w:val="3"/>
            <w:noWrap w:val="0"/>
            <w:vAlign w:val="center"/>
          </w:tcPr>
          <w:p w14:paraId="4D4E25E7">
            <w:pPr>
              <w:spacing w:line="400" w:lineRule="exact"/>
              <w:ind w:left="61" w:leftChars="29" w:right="168" w:rightChars="80" w:firstLine="151" w:firstLineChars="72"/>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条款号</w:t>
            </w:r>
          </w:p>
        </w:tc>
        <w:tc>
          <w:tcPr>
            <w:tcW w:w="8152" w:type="dxa"/>
            <w:gridSpan w:val="6"/>
            <w:noWrap w:val="0"/>
            <w:vAlign w:val="center"/>
          </w:tcPr>
          <w:p w14:paraId="5627F70E">
            <w:pPr>
              <w:spacing w:line="400" w:lineRule="exact"/>
              <w:ind w:left="61" w:leftChars="29" w:right="168" w:rightChars="8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补充或修改的内容</w:t>
            </w:r>
          </w:p>
        </w:tc>
      </w:tr>
      <w:tr w14:paraId="0885D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1204" w:type="dxa"/>
            <w:gridSpan w:val="3"/>
            <w:noWrap w:val="0"/>
            <w:vAlign w:val="center"/>
          </w:tcPr>
          <w:p w14:paraId="3B4E6C3E">
            <w:pPr>
              <w:spacing w:line="400" w:lineRule="exact"/>
              <w:ind w:left="61" w:leftChars="29" w:right="168" w:rightChars="80" w:firstLine="151" w:firstLineChars="7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8152" w:type="dxa"/>
            <w:gridSpan w:val="6"/>
            <w:noWrap w:val="0"/>
            <w:vAlign w:val="center"/>
          </w:tcPr>
          <w:p w14:paraId="68A7E716">
            <w:pPr>
              <w:spacing w:line="400" w:lineRule="exact"/>
              <w:ind w:left="61" w:leftChars="29" w:right="168" w:rightChars="8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将评标办法原文第</w:t>
            </w:r>
            <w:r>
              <w:rPr>
                <w:rFonts w:ascii="宋体" w:hAnsi="宋体"/>
                <w:b/>
                <w:color w:val="000000" w:themeColor="text1"/>
                <w:szCs w:val="21"/>
                <w14:textFill>
                  <w14:solidFill>
                    <w14:schemeClr w14:val="tx1"/>
                  </w14:solidFill>
                </w14:textFill>
              </w:rPr>
              <w:t xml:space="preserve">1 </w:t>
            </w:r>
            <w:r>
              <w:rPr>
                <w:rFonts w:hint="eastAsia" w:ascii="宋体" w:hAnsi="宋体"/>
                <w:b/>
                <w:color w:val="000000" w:themeColor="text1"/>
                <w:szCs w:val="21"/>
                <w14:textFill>
                  <w14:solidFill>
                    <w14:schemeClr w14:val="tx1"/>
                  </w14:solidFill>
                </w14:textFill>
              </w:rPr>
              <w:t>条“评标方法”改为“评标方法、组织及工作程序”，原文内容修改如下：</w:t>
            </w:r>
          </w:p>
          <w:p w14:paraId="3FF67509">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评标方法、组织及工作程序</w:t>
            </w:r>
          </w:p>
          <w:p w14:paraId="322E04F1">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 </w:t>
            </w:r>
            <w:r>
              <w:rPr>
                <w:rFonts w:hint="eastAsia" w:ascii="宋体" w:hAnsi="宋体"/>
                <w:color w:val="000000" w:themeColor="text1"/>
                <w:szCs w:val="21"/>
                <w14:textFill>
                  <w14:solidFill>
                    <w14:schemeClr w14:val="tx1"/>
                  </w14:solidFill>
                </w14:textFill>
              </w:rPr>
              <w:t>评标方法</w:t>
            </w:r>
          </w:p>
          <w:p w14:paraId="30898A3D">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本次评标采用双信封的技术评分最低标价法。评标委员会对满足招标文件实质性要求的投标文件，按照本章第2.2 款规定对通过初步评审的投标人的施工组织设计、主要人员、其他因素等进行评分，按照得分由高到低排序，对排名在招标文件规定数量前5 名（不少于3 名但不足5 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14:paraId="09B56BFA">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 </w:t>
            </w:r>
            <w:r>
              <w:rPr>
                <w:rFonts w:hint="eastAsia" w:ascii="宋体" w:hAnsi="宋体"/>
                <w:color w:val="000000" w:themeColor="text1"/>
                <w:szCs w:val="21"/>
                <w14:textFill>
                  <w14:solidFill>
                    <w14:schemeClr w14:val="tx1"/>
                  </w14:solidFill>
                </w14:textFill>
              </w:rPr>
              <w:t>评标组织</w:t>
            </w:r>
          </w:p>
          <w:p w14:paraId="145EBCBA">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协助工作组</w:t>
            </w:r>
          </w:p>
          <w:p w14:paraId="4D9A5188">
            <w:pPr>
              <w:spacing w:line="400" w:lineRule="exact"/>
              <w:ind w:left="61" w:leftChars="29" w:right="168" w:rightChars="80" w:firstLine="151" w:firstLineChars="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招标人可在评标工作开始前成立协助工作组，选派熟悉招标工作、政治素质高的人员组成，协助评标委员会工作。协助工作组人员的具体数量由招标人视评标工作量确定。</w:t>
            </w:r>
          </w:p>
          <w:p w14:paraId="12DD3D02">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招标人可以协助评标委员会开展下列工作并提供相关信息：</w:t>
            </w:r>
          </w:p>
          <w:p w14:paraId="3486E310">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）根据招标文件，编制评标使用的相应表格；</w:t>
            </w:r>
          </w:p>
          <w:p w14:paraId="55699019">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）对投标报价进行算术性校核；</w:t>
            </w:r>
          </w:p>
          <w:p w14:paraId="6E371506">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）以评标标准和方法为依据，列出投标文件相对于招标文件的所有偏差，并进行归类汇总；</w:t>
            </w:r>
          </w:p>
          <w:p w14:paraId="38120139">
            <w:pPr>
              <w:spacing w:line="400" w:lineRule="exact"/>
              <w:ind w:left="61" w:leftChars="29" w:right="168" w:rightChars="80" w:firstLine="151" w:firstLineChars="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）查询公路建设市场信用信息管理系统，对投标人的资质、业绩、主要人员资历和目前在岗情况、信用等级进行核实。</w:t>
            </w:r>
          </w:p>
          <w:p w14:paraId="7986580B">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招标人不得对投标文件作出任何评价，不得故意遗漏或者片面摘录，不得在评标委员会对所有偏差定性之前透露存有偏差的投标人名称。</w:t>
            </w:r>
          </w:p>
          <w:p w14:paraId="4F48FD30">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评标委员会</w:t>
            </w:r>
          </w:p>
          <w:p w14:paraId="2260ADE9">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评标委员会由招标人按国家、广东省等的有关规定依法组建。评标委员会的主要工作内容包括：</w:t>
            </w:r>
          </w:p>
          <w:p w14:paraId="7078D5F6">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）评标委员会开始评标工作之前，首先听取招标人、协助工作组关于工程情况和辅助工作的说明，并认真研读招标文件，获取评标所需的重要信息和数据；</w:t>
            </w:r>
          </w:p>
          <w:p w14:paraId="2E9B6DA0">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）对协助工作组提供的评标工作用表和评标内容进行核查；</w:t>
            </w:r>
          </w:p>
          <w:p w14:paraId="4FC24BAF">
            <w:pPr>
              <w:spacing w:line="400" w:lineRule="exact"/>
              <w:ind w:left="61" w:leftChars="29" w:right="168" w:rightChars="80" w:firstLine="151" w:firstLineChars="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）按照以下</w:t>
            </w:r>
            <w:r>
              <w:rPr>
                <w:rFonts w:ascii="宋体" w:hAnsi="宋体"/>
                <w:color w:val="000000" w:themeColor="text1"/>
                <w:szCs w:val="21"/>
                <w14:textFill>
                  <w14:solidFill>
                    <w14:schemeClr w14:val="tx1"/>
                  </w14:solidFill>
                </w14:textFill>
              </w:rPr>
              <w:t xml:space="preserve">1.3 </w:t>
            </w:r>
            <w:r>
              <w:rPr>
                <w:rFonts w:hint="eastAsia" w:ascii="宋体" w:hAnsi="宋体"/>
                <w:color w:val="000000" w:themeColor="text1"/>
                <w:szCs w:val="21"/>
                <w14:textFill>
                  <w14:solidFill>
                    <w14:schemeClr w14:val="tx1"/>
                  </w14:solidFill>
                </w14:textFill>
              </w:rPr>
              <w:t>款程序进行各项评审工作。</w:t>
            </w:r>
          </w:p>
          <w:p w14:paraId="15850ED2">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1.3 </w:t>
            </w:r>
            <w:r>
              <w:rPr>
                <w:rFonts w:hint="eastAsia" w:ascii="宋体" w:hAnsi="宋体"/>
                <w:color w:val="000000" w:themeColor="text1"/>
                <w:szCs w:val="21"/>
                <w14:textFill>
                  <w14:solidFill>
                    <w14:schemeClr w14:val="tx1"/>
                  </w14:solidFill>
                </w14:textFill>
              </w:rPr>
              <w:t>评审工作程序</w:t>
            </w:r>
          </w:p>
          <w:p w14:paraId="62FC9239">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评标委员会将按以下程序开展评标工作：</w:t>
            </w:r>
          </w:p>
          <w:p w14:paraId="3E0FC64A">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（一）第一信封（商务及技术文件）的评审：</w:t>
            </w:r>
          </w:p>
          <w:p w14:paraId="6A8CC8F8">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、初步评审：包括对投标文件进行形式评审与响应性评审、资格评审（适用于未进行资格预审）；</w:t>
            </w:r>
          </w:p>
          <w:p w14:paraId="4C5B3446">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详细评审：评标委员会首先对通过初步评审的投标文件第一个信封（商务及技术文件）进行详细评审，对投标人的施工组织设计、主要人员、其他因素等分别评审打分，并按照综合得分由高到低排序，排名在招标文件规定数量前5 名（不少于3 名但不足5 名的，按全部实际数量）的投标人，其投标文件第一个信封（商务及技术文件）通过详细评审。</w:t>
            </w:r>
          </w:p>
          <w:p w14:paraId="6F1A2874">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（二）第二信封（报价文件）的评审：</w:t>
            </w:r>
          </w:p>
          <w:p w14:paraId="34F153B5">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、初步评审：</w:t>
            </w:r>
          </w:p>
          <w:p w14:paraId="6F89319A">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）只有投标文件第一个信封通过详细评审的投标人才能继续参加第二信封报价文件的形式评审与响应性评审；</w:t>
            </w:r>
          </w:p>
          <w:p w14:paraId="68E1412E">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）报价算术性修正。</w:t>
            </w:r>
          </w:p>
          <w:p w14:paraId="2FDB6DE2">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、详细评审：计算评标价；</w:t>
            </w:r>
          </w:p>
          <w:p w14:paraId="7B926ECB">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（三）投标文件相关信息的核查。</w:t>
            </w:r>
          </w:p>
          <w:p w14:paraId="0897A16C">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（四）投标文件的澄清和说明</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如有</w:t>
            </w:r>
            <w:r>
              <w:rPr>
                <w:rFonts w:ascii="宋体" w:hAnsi="宋体"/>
                <w:color w:val="000000" w:themeColor="text1"/>
                <w:szCs w:val="21"/>
                <w14:textFill>
                  <w14:solidFill>
                    <w14:schemeClr w14:val="tx1"/>
                  </w14:solidFill>
                </w14:textFill>
              </w:rPr>
              <w:t>)</w:t>
            </w:r>
          </w:p>
          <w:p w14:paraId="1E7C9289">
            <w:pPr>
              <w:spacing w:line="400" w:lineRule="exact"/>
              <w:ind w:left="61" w:leftChars="29" w:right="168" w:rightChars="80" w:firstLine="151" w:firstLineChars="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（五）按评标办法规定按照第二个信封的评标价由低到高的顺序推荐中标候选人，编写评标报告。</w:t>
            </w:r>
          </w:p>
        </w:tc>
      </w:tr>
      <w:tr w14:paraId="3883F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1204" w:type="dxa"/>
            <w:gridSpan w:val="3"/>
            <w:noWrap w:val="0"/>
            <w:vAlign w:val="center"/>
          </w:tcPr>
          <w:p w14:paraId="7CF0DC6E">
            <w:pPr>
              <w:spacing w:line="400" w:lineRule="exact"/>
              <w:ind w:left="61" w:leftChars="29" w:right="168" w:rightChars="80" w:firstLine="151" w:firstLineChars="72"/>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3.2.2</w:t>
            </w:r>
          </w:p>
        </w:tc>
        <w:tc>
          <w:tcPr>
            <w:tcW w:w="8152" w:type="dxa"/>
            <w:gridSpan w:val="6"/>
            <w:noWrap w:val="0"/>
            <w:vAlign w:val="center"/>
          </w:tcPr>
          <w:p w14:paraId="16330847">
            <w:pPr>
              <w:spacing w:line="400" w:lineRule="exact"/>
              <w:ind w:left="61" w:leftChars="29" w:right="168" w:rightChars="80" w:firstLine="361" w:firstLineChars="1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将评标办法原文第 3.2.2 项修改如下：</w:t>
            </w:r>
          </w:p>
          <w:p w14:paraId="13017E7B">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投标人的商务和技术得分分值计算保留小数点后三位，小数点后第四位“四舍五入 ”。</w:t>
            </w:r>
          </w:p>
        </w:tc>
      </w:tr>
      <w:tr w14:paraId="48FB2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1204" w:type="dxa"/>
            <w:gridSpan w:val="3"/>
            <w:noWrap w:val="0"/>
            <w:vAlign w:val="center"/>
          </w:tcPr>
          <w:p w14:paraId="22651716">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w:t>
            </w:r>
          </w:p>
        </w:tc>
        <w:tc>
          <w:tcPr>
            <w:tcW w:w="8152" w:type="dxa"/>
            <w:gridSpan w:val="6"/>
            <w:noWrap w:val="0"/>
            <w:vAlign w:val="top"/>
          </w:tcPr>
          <w:p w14:paraId="45948699">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将评标办法范本原文第3.2.3款细化如下：</w:t>
            </w:r>
          </w:p>
          <w:p w14:paraId="1694B501">
            <w:pPr>
              <w:spacing w:line="400" w:lineRule="exact"/>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的商务和技术</w:t>
            </w:r>
            <w:r>
              <w:rPr>
                <w:rFonts w:ascii="宋体" w:hAnsi="宋体"/>
                <w:color w:val="000000" w:themeColor="text1"/>
                <w:szCs w:val="21"/>
                <w14:textFill>
                  <w14:solidFill>
                    <w14:schemeClr w14:val="tx1"/>
                  </w14:solidFill>
                </w14:textFill>
              </w:rPr>
              <w:t>得分=</w:t>
            </w:r>
            <w:r>
              <w:rPr>
                <w:rFonts w:hint="eastAsia" w:ascii="宋体" w:hAnsi="宋体"/>
                <w:color w:val="000000" w:themeColor="text1"/>
                <w:szCs w:val="21"/>
                <w14:textFill>
                  <w14:solidFill>
                    <w14:schemeClr w14:val="tx1"/>
                  </w14:solidFill>
                </w14:textFill>
              </w:rPr>
              <w:t>施工组</w:t>
            </w:r>
            <w:r>
              <w:rPr>
                <w:rFonts w:ascii="宋体" w:hAnsi="宋体"/>
                <w:color w:val="000000" w:themeColor="text1"/>
                <w:szCs w:val="21"/>
                <w14:textFill>
                  <w14:solidFill>
                    <w14:schemeClr w14:val="tx1"/>
                  </w14:solidFill>
                </w14:textFill>
              </w:rPr>
              <w:t>织设计</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主</w:t>
            </w:r>
            <w:r>
              <w:rPr>
                <w:rFonts w:ascii="宋体" w:hAnsi="宋体"/>
                <w:color w:val="000000" w:themeColor="text1"/>
                <w:szCs w:val="21"/>
                <w14:textFill>
                  <w14:solidFill>
                    <w14:schemeClr w14:val="tx1"/>
                  </w14:solidFill>
                </w14:textFill>
              </w:rPr>
              <w:t>要人员（</w:t>
            </w:r>
            <w:r>
              <w:rPr>
                <w:rFonts w:hint="eastAsia" w:ascii="宋体" w:hAnsi="宋体"/>
                <w:color w:val="000000" w:themeColor="text1"/>
                <w:szCs w:val="21"/>
                <w14:textFill>
                  <w14:solidFill>
                    <w14:schemeClr w14:val="tx1"/>
                  </w14:solidFill>
                </w14:textFill>
              </w:rPr>
              <w:t>B</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其它因素（C</w:t>
            </w:r>
            <w:r>
              <w:rPr>
                <w:rFonts w:ascii="宋体" w:hAnsi="宋体"/>
                <w:color w:val="000000" w:themeColor="text1"/>
                <w:szCs w:val="21"/>
                <w14:textFill>
                  <w14:solidFill>
                    <w14:schemeClr w14:val="tx1"/>
                  </w14:solidFill>
                </w14:textFill>
              </w:rPr>
              <w:t>）。</w:t>
            </w:r>
          </w:p>
          <w:p w14:paraId="5DAD3C94">
            <w:pPr>
              <w:spacing w:line="400" w:lineRule="exact"/>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除履约信誉、技术能力得分外，投标文件各评分因素细分项得分均不应低于其权重分的60%，评分低于权重分值60%的，评标委员会成员应当在评标报告中作出说明。</w:t>
            </w:r>
          </w:p>
          <w:p w14:paraId="22F2F946">
            <w:pPr>
              <w:spacing w:line="400" w:lineRule="exact"/>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480E7A79">
            <w:pPr>
              <w:spacing w:line="400" w:lineRule="exact"/>
              <w:ind w:left="61" w:leftChars="29" w:right="168" w:rightChars="80" w:firstLine="361" w:firstLineChars="17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取消其中1名评委所有评分的办法一(依次按照以下流程)：(1)对比上述出现技术评分总分差值最大值相等的评委的次大差值(次大差值＝某一评委技术评分总分的最高分－该评委技术评分总分的次低分)，取消次分差值最大的评委所有评分；(2)如次分差值仍相同，则按随机抽取的方式选定取消1名评委评分。</w:t>
            </w:r>
          </w:p>
          <w:p w14:paraId="5C4FD446">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示例:同一评委对5名投标人技术评分总分分别为:6.65(最高分)、5.88、5.11、4.90(次低分)、4.55(最低分)，则其最大差值为2.1、次大差值为6.65-4.90=1.75)。</w:t>
            </w:r>
          </w:p>
        </w:tc>
      </w:tr>
      <w:tr w14:paraId="62662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1204" w:type="dxa"/>
            <w:gridSpan w:val="3"/>
            <w:noWrap w:val="0"/>
            <w:vAlign w:val="center"/>
          </w:tcPr>
          <w:p w14:paraId="0494C8B6">
            <w:pPr>
              <w:spacing w:line="400" w:lineRule="exact"/>
              <w:ind w:left="61" w:leftChars="29" w:right="168" w:rightChars="80" w:firstLine="151" w:firstLineChars="72"/>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6</w:t>
            </w:r>
          </w:p>
        </w:tc>
        <w:tc>
          <w:tcPr>
            <w:tcW w:w="8152" w:type="dxa"/>
            <w:gridSpan w:val="6"/>
            <w:noWrap w:val="0"/>
            <w:vAlign w:val="center"/>
          </w:tcPr>
          <w:p w14:paraId="550D2E6A">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3.6.2项（2） 目末增加以下条款：</w:t>
            </w:r>
          </w:p>
          <w:p w14:paraId="21ABE5F8">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g.当一家以上投标人评标价相同时，若各投标人工程量清单细目单价也相同，视为串标（ 一个标段仅一工作细目报价的除外）。</w:t>
            </w:r>
          </w:p>
          <w:p w14:paraId="4E03255B">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h.广东省实施《中华人民共和国招标投标法》办法第十六条规定的情形。</w:t>
            </w:r>
          </w:p>
          <w:p w14:paraId="307D2855">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增加3.6.3项：</w:t>
            </w:r>
          </w:p>
          <w:p w14:paraId="53B3693A">
            <w:pPr>
              <w:spacing w:line="400" w:lineRule="exact"/>
              <w:ind w:left="61" w:leftChars="29" w:right="168" w:rightChars="80" w:firstLine="361" w:firstLineChars="17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590B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1204" w:type="dxa"/>
            <w:gridSpan w:val="3"/>
            <w:noWrap w:val="0"/>
            <w:vAlign w:val="center"/>
          </w:tcPr>
          <w:p w14:paraId="6A835FAA">
            <w:pPr>
              <w:spacing w:line="400" w:lineRule="exact"/>
              <w:ind w:left="61" w:leftChars="29" w:right="168" w:rightChars="80" w:firstLine="151" w:firstLineChars="72"/>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9</w:t>
            </w:r>
          </w:p>
        </w:tc>
        <w:tc>
          <w:tcPr>
            <w:tcW w:w="8152" w:type="dxa"/>
            <w:gridSpan w:val="6"/>
            <w:noWrap w:val="0"/>
            <w:vAlign w:val="center"/>
          </w:tcPr>
          <w:p w14:paraId="78AC65BE">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增加 3.9.3-3.9.7 项：</w:t>
            </w:r>
          </w:p>
          <w:p w14:paraId="235CF3AA">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3.9.3 推荐中标候选人方式：（1） 已被推荐为某一标段的第一中标候选人， 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6F0CA9ED">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3.9.4 通过第一个信封商务及技术文件评审的投标人少于 3 个的，评标委员会应否决全部投标。</w:t>
            </w:r>
          </w:p>
          <w:p w14:paraId="5D154391">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3.9.5 通过第一个信封商务及技术文件评审的投标人在 3 个及以上的，招标人应当按照招标文件规定的程序进行第二个信封报价文件开标；在对报价文件进行评审后，有效投标不足 3 个的，评标委员会可以否决全部投标。未否决全部投标的，评标委员会应当在评标报告中阐明理由并推荐中标候选人。</w:t>
            </w:r>
          </w:p>
          <w:p w14:paraId="366ECA17">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3.9.6 如果发生无法确定推荐中标候选人的其他意外情况，评标委员会可建议招标人重新招标。</w:t>
            </w:r>
          </w:p>
          <w:p w14:paraId="1D4AFBBF">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3.9.7 本招标文件规定的否决投标条款包含在以下条款：</w:t>
            </w:r>
          </w:p>
          <w:p w14:paraId="68637EAD">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（1）招标公告第 3 点 投标人资格要求；</w:t>
            </w:r>
          </w:p>
          <w:p w14:paraId="1B88A36E">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（2）投标人须知 1.4.3 项、 1.4.</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 xml:space="preserve"> 项、1.4.5 项、1.4.6 项、1.11.1 项、1.12.2 项、3.4.2 项、3.</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 xml:space="preserve"> 项、3.</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 xml:space="preserve"> 项；</w:t>
            </w:r>
          </w:p>
          <w:p w14:paraId="373BF52D">
            <w:pPr>
              <w:spacing w:line="400" w:lineRule="exact"/>
              <w:ind w:left="61" w:leftChars="29" w:right="168" w:rightChars="80" w:firstLine="361" w:firstLineChars="17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（3）本评标办法的否决条款。</w:t>
            </w:r>
          </w:p>
        </w:tc>
      </w:tr>
    </w:tbl>
    <w:p w14:paraId="4CF0EC8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3313">
    <w:pPr>
      <w:pStyle w:val="4"/>
      <w:jc w:val="center"/>
      <w:rPr>
        <w:rFonts w:ascii="宋体" w:hAnsi="宋体"/>
        <w:sz w:val="24"/>
        <w:szCs w:val="24"/>
      </w:rPr>
    </w:pPr>
    <w:r>
      <w:rPr>
        <w:rFonts w:hint="eastAsia" w:ascii="宋体" w:hAnsi="宋体"/>
        <w:sz w:val="24"/>
        <w:szCs w:val="24"/>
      </w:rPr>
      <w:t>-</w:t>
    </w:r>
    <w:r>
      <w:rPr>
        <w:rFonts w:hint="eastAsia" w:ascii="宋体" w:hAnsi="宋体"/>
        <w:sz w:val="10"/>
        <w:szCs w:val="10"/>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14</w:t>
    </w:r>
    <w:r>
      <w:rPr>
        <w:rFonts w:ascii="宋体" w:hAnsi="宋体"/>
        <w:sz w:val="24"/>
        <w:szCs w:val="24"/>
      </w:rPr>
      <w:fldChar w:fldCharType="end"/>
    </w:r>
    <w:r>
      <w:rPr>
        <w:rFonts w:hint="eastAsia" w:ascii="宋体" w:hAnsi="宋体"/>
        <w:sz w:val="10"/>
        <w:szCs w:val="10"/>
      </w:rPr>
      <w:t xml:space="preserve"> </w:t>
    </w:r>
    <w:r>
      <w:rPr>
        <w:rFonts w:hint="eastAsia" w:ascii="宋体" w:hAnsi="宋体"/>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A1EDD"/>
    <w:rsid w:val="2ADA1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2025-11-05T09:47:00Z</dcterms:created>
  <dc:creator>CZM</dc:creator>
  <cp:lastModifiedBy>CZM</cp:lastModifiedBy>
  <dcterms:modified xsi:type="dcterms:W3CDTF">2025-11-05T09:49:09Z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C54B75A082F9407E873B36BB47E0BB7A_11</vt:lpwstr>
  </property>
  <property fmtid="{D5CDD505-2E9C-101B-9397-08002B2CF9AE}" pid="4" name="KSOTemplateDocerSaveRecord">
    <vt:lpwstr>eyJoZGlkIjoiNjY5MDMyNmY3OTgzYTc1ZTI1NjA1ZjQ5ZDQ1ZTc4ZjkiLCJ1c2VySWQiOiI2MDUzNDM2MTAifQ==</vt:lpwstr>
  </property>
</Properties>
</file>