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9BC1C">
      <w:pPr>
        <w:jc w:val="center"/>
        <w:rPr>
          <w:rFonts w:hint="eastAsia" w:ascii="宋体" w:hAnsi="宋体"/>
          <w:b/>
          <w:color w:val="auto"/>
          <w:sz w:val="44"/>
          <w:szCs w:val="44"/>
          <w:highlight w:val="none"/>
          <w:lang w:eastAsia="zh-CN"/>
        </w:rPr>
      </w:pPr>
      <w:bookmarkStart w:id="0" w:name="_Toc25072048"/>
      <w:bookmarkStart w:id="12" w:name="_GoBack"/>
      <w:bookmarkEnd w:id="12"/>
      <w:r>
        <w:rPr>
          <w:rFonts w:hint="eastAsia" w:ascii="宋体" w:hAnsi="宋体"/>
          <w:b/>
          <w:color w:val="auto"/>
          <w:sz w:val="44"/>
          <w:szCs w:val="44"/>
          <w:highlight w:val="none"/>
          <w:lang w:eastAsia="zh-CN"/>
        </w:rPr>
        <w:t>广东水利电力职业技术学院从化校区教学楼</w:t>
      </w:r>
    </w:p>
    <w:p w14:paraId="709F4773">
      <w:pPr>
        <w:jc w:val="center"/>
        <w:rPr>
          <w:rFonts w:ascii="宋体" w:hAnsi="宋体" w:cs="宋体"/>
          <w:b/>
          <w:bCs/>
          <w:color w:val="auto"/>
          <w:sz w:val="20"/>
          <w:szCs w:val="20"/>
          <w:highlight w:val="none"/>
        </w:rPr>
      </w:pPr>
      <w:r>
        <w:rPr>
          <w:rFonts w:hint="eastAsia" w:ascii="宋体" w:hAnsi="宋体"/>
          <w:b/>
          <w:color w:val="auto"/>
          <w:sz w:val="44"/>
          <w:szCs w:val="44"/>
          <w:highlight w:val="none"/>
          <w:lang w:eastAsia="zh-CN"/>
        </w:rPr>
        <w:t>（自编D-6栋）项目勘察设计服务</w:t>
      </w:r>
    </w:p>
    <w:p w14:paraId="40FB1712">
      <w:pPr>
        <w:jc w:val="center"/>
        <w:rPr>
          <w:rFonts w:ascii="宋体" w:hAnsi="宋体"/>
          <w:b/>
          <w:color w:val="auto"/>
          <w:sz w:val="96"/>
          <w:szCs w:val="84"/>
          <w:highlight w:val="none"/>
        </w:rPr>
      </w:pPr>
    </w:p>
    <w:p w14:paraId="50A70D83">
      <w:pPr>
        <w:jc w:val="center"/>
        <w:rPr>
          <w:rFonts w:ascii="宋体" w:hAnsi="宋体"/>
          <w:b/>
          <w:color w:val="auto"/>
          <w:sz w:val="96"/>
          <w:szCs w:val="84"/>
          <w:highlight w:val="none"/>
        </w:rPr>
      </w:pPr>
    </w:p>
    <w:p w14:paraId="6A3C8318">
      <w:pPr>
        <w:jc w:val="center"/>
        <w:rPr>
          <w:rFonts w:ascii="宋体" w:hAnsi="宋体"/>
          <w:b/>
          <w:color w:val="auto"/>
          <w:sz w:val="96"/>
          <w:szCs w:val="84"/>
          <w:highlight w:val="none"/>
        </w:rPr>
      </w:pPr>
      <w:r>
        <w:rPr>
          <w:rFonts w:ascii="宋体" w:hAnsi="宋体"/>
          <w:b/>
          <w:color w:val="auto"/>
          <w:sz w:val="96"/>
          <w:szCs w:val="84"/>
          <w:highlight w:val="none"/>
        </w:rPr>
        <w:t>招标</w:t>
      </w:r>
      <w:r>
        <w:rPr>
          <w:rFonts w:hint="eastAsia" w:ascii="宋体" w:hAnsi="宋体"/>
          <w:b/>
          <w:color w:val="auto"/>
          <w:sz w:val="96"/>
          <w:szCs w:val="84"/>
          <w:highlight w:val="none"/>
        </w:rPr>
        <w:t>公告</w:t>
      </w:r>
    </w:p>
    <w:p w14:paraId="08C60A29">
      <w:pPr>
        <w:rPr>
          <w:rFonts w:ascii="宋体" w:hAnsi="宋体" w:cs="宋体"/>
          <w:color w:val="auto"/>
          <w:sz w:val="44"/>
          <w:szCs w:val="44"/>
          <w:highlight w:val="none"/>
        </w:rPr>
      </w:pPr>
    </w:p>
    <w:p w14:paraId="537D9877">
      <w:pPr>
        <w:rPr>
          <w:rFonts w:ascii="宋体" w:hAnsi="宋体" w:cs="宋体"/>
          <w:color w:val="auto"/>
          <w:sz w:val="44"/>
          <w:szCs w:val="44"/>
          <w:highlight w:val="none"/>
        </w:rPr>
      </w:pPr>
    </w:p>
    <w:p w14:paraId="768947CB">
      <w:pPr>
        <w:rPr>
          <w:rFonts w:ascii="宋体" w:hAnsi="宋体" w:cs="宋体"/>
          <w:color w:val="auto"/>
          <w:sz w:val="44"/>
          <w:szCs w:val="44"/>
          <w:highlight w:val="none"/>
        </w:rPr>
      </w:pPr>
    </w:p>
    <w:p w14:paraId="54D11359">
      <w:pPr>
        <w:rPr>
          <w:rFonts w:ascii="宋体" w:hAnsi="宋体" w:cs="宋体"/>
          <w:color w:val="auto"/>
          <w:sz w:val="44"/>
          <w:szCs w:val="44"/>
          <w:highlight w:val="none"/>
        </w:rPr>
      </w:pPr>
    </w:p>
    <w:p w14:paraId="2CF33DE4">
      <w:pPr>
        <w:spacing w:before="8"/>
        <w:rPr>
          <w:rFonts w:ascii="宋体" w:hAnsi="宋体" w:cs="宋体"/>
          <w:color w:val="auto"/>
          <w:sz w:val="33"/>
          <w:szCs w:val="33"/>
          <w:highlight w:val="none"/>
        </w:rPr>
      </w:pPr>
    </w:p>
    <w:p w14:paraId="3F91765C">
      <w:pPr>
        <w:spacing w:before="8"/>
        <w:rPr>
          <w:rFonts w:ascii="宋体" w:hAnsi="宋体" w:cs="宋体"/>
          <w:color w:val="auto"/>
          <w:sz w:val="33"/>
          <w:szCs w:val="33"/>
          <w:highlight w:val="none"/>
        </w:rPr>
      </w:pPr>
    </w:p>
    <w:p w14:paraId="77EF0159">
      <w:pPr>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   标   人：</w:t>
      </w:r>
      <w:r>
        <w:rPr>
          <w:rFonts w:hint="eastAsia" w:ascii="宋体" w:hAnsi="宋体"/>
          <w:b/>
          <w:color w:val="auto"/>
          <w:sz w:val="32"/>
          <w:highlight w:val="none"/>
          <w:lang w:eastAsia="zh-CN"/>
        </w:rPr>
        <w:t>广东水利电力职业技术学院</w:t>
      </w:r>
    </w:p>
    <w:p w14:paraId="60A9E0FC">
      <w:pPr>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招标代理机构：</w:t>
      </w:r>
      <w:r>
        <w:rPr>
          <w:rFonts w:hint="eastAsia" w:ascii="宋体" w:hAnsi="宋体"/>
          <w:b/>
          <w:color w:val="auto"/>
          <w:sz w:val="32"/>
          <w:highlight w:val="none"/>
          <w:lang w:eastAsia="zh-CN"/>
        </w:rPr>
        <w:t>广州盛园咨询服务有限公司</w:t>
      </w:r>
    </w:p>
    <w:p w14:paraId="1BA23AE7">
      <w:pPr>
        <w:tabs>
          <w:tab w:val="left" w:pos="561"/>
        </w:tabs>
        <w:spacing w:line="360" w:lineRule="auto"/>
        <w:ind w:firstLine="964" w:firstLineChars="300"/>
        <w:rPr>
          <w:rFonts w:ascii="宋体" w:hAnsi="宋体"/>
          <w:b/>
          <w:color w:val="auto"/>
          <w:sz w:val="32"/>
          <w:szCs w:val="32"/>
          <w:highlight w:val="none"/>
        </w:rPr>
      </w:pPr>
      <w:r>
        <w:rPr>
          <w:rFonts w:hint="eastAsia" w:ascii="宋体" w:hAnsi="宋体"/>
          <w:b/>
          <w:color w:val="auto"/>
          <w:sz w:val="32"/>
          <w:szCs w:val="32"/>
          <w:highlight w:val="none"/>
        </w:rPr>
        <w:t>日        期：202</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10</w:t>
      </w:r>
      <w:r>
        <w:rPr>
          <w:rFonts w:hint="eastAsia" w:ascii="宋体" w:hAnsi="宋体"/>
          <w:b/>
          <w:color w:val="auto"/>
          <w:sz w:val="32"/>
          <w:szCs w:val="32"/>
          <w:highlight w:val="none"/>
        </w:rPr>
        <w:t>月</w:t>
      </w:r>
    </w:p>
    <w:p w14:paraId="41C11630">
      <w:pPr>
        <w:pStyle w:val="15"/>
        <w:tabs>
          <w:tab w:val="right" w:pos="9350"/>
        </w:tabs>
        <w:spacing w:line="360" w:lineRule="auto"/>
        <w:jc w:val="center"/>
        <w:rPr>
          <w:b/>
          <w:color w:val="auto"/>
          <w:sz w:val="32"/>
          <w:szCs w:val="32"/>
          <w:highlight w:val="none"/>
          <w:lang w:eastAsia="zh-CN"/>
        </w:rPr>
        <w:sectPr>
          <w:footerReference r:id="rId5" w:type="first"/>
          <w:headerReference r:id="rId3" w:type="default"/>
          <w:footerReference r:id="rId4" w:type="default"/>
          <w:pgSz w:w="11906" w:h="16838"/>
          <w:pgMar w:top="1440" w:right="1440" w:bottom="1440" w:left="1440" w:header="720" w:footer="720" w:gutter="0"/>
          <w:pgNumType w:fmt="decimal"/>
          <w:cols w:space="720" w:num="1"/>
        </w:sectPr>
      </w:pPr>
    </w:p>
    <w:p w14:paraId="33A21600">
      <w:pPr>
        <w:spacing w:line="360" w:lineRule="auto"/>
        <w:jc w:val="center"/>
        <w:rPr>
          <w:rFonts w:ascii="宋体" w:hAnsi="宋体"/>
          <w:b/>
          <w:color w:val="auto"/>
          <w:sz w:val="36"/>
          <w:szCs w:val="36"/>
          <w:highlight w:val="none"/>
        </w:rPr>
      </w:pPr>
      <w:r>
        <w:rPr>
          <w:rFonts w:hint="eastAsia" w:ascii="宋体" w:hAnsi="宋体" w:eastAsia="宋体" w:cs="Times New Roman"/>
          <w:b/>
          <w:color w:val="auto"/>
          <w:kern w:val="2"/>
          <w:sz w:val="36"/>
          <w:szCs w:val="36"/>
          <w:highlight w:val="none"/>
          <w:u w:val="none"/>
          <w:lang w:val="en-US" w:eastAsia="zh-CN" w:bidi="ar"/>
        </w:rPr>
        <w:t>广东水利电力职业技术学院从化校区教学楼（自编</w:t>
      </w:r>
      <w:r>
        <w:rPr>
          <w:rFonts w:hint="eastAsia" w:ascii="宋体" w:hAnsi="宋体" w:cs="Times New Roman"/>
          <w:b/>
          <w:color w:val="auto"/>
          <w:kern w:val="2"/>
          <w:sz w:val="36"/>
          <w:szCs w:val="36"/>
          <w:highlight w:val="none"/>
          <w:u w:val="none"/>
          <w:lang w:val="en-US" w:eastAsia="zh-CN" w:bidi="ar"/>
        </w:rPr>
        <w:t>D-6栋</w:t>
      </w:r>
      <w:r>
        <w:rPr>
          <w:rFonts w:hint="eastAsia" w:ascii="宋体" w:hAnsi="宋体" w:eastAsia="宋体" w:cs="Times New Roman"/>
          <w:b/>
          <w:color w:val="auto"/>
          <w:kern w:val="2"/>
          <w:sz w:val="36"/>
          <w:szCs w:val="36"/>
          <w:highlight w:val="none"/>
          <w:u w:val="none"/>
          <w:lang w:val="en-US" w:eastAsia="zh-CN" w:bidi="ar"/>
        </w:rPr>
        <w:t>）项目</w:t>
      </w:r>
      <w:r>
        <w:rPr>
          <w:rFonts w:hint="eastAsia" w:ascii="宋体" w:hAnsi="宋体"/>
          <w:b/>
          <w:color w:val="auto"/>
          <w:sz w:val="36"/>
          <w:szCs w:val="36"/>
          <w:highlight w:val="none"/>
          <w:lang w:eastAsia="zh-CN"/>
        </w:rPr>
        <w:t>勘察设计服务</w:t>
      </w:r>
      <w:r>
        <w:rPr>
          <w:rFonts w:hint="eastAsia" w:ascii="宋体" w:hAnsi="宋体"/>
          <w:b/>
          <w:color w:val="auto"/>
          <w:sz w:val="36"/>
          <w:szCs w:val="36"/>
          <w:highlight w:val="none"/>
        </w:rPr>
        <w:t>招标公告</w:t>
      </w:r>
    </w:p>
    <w:p w14:paraId="09F9DFC5">
      <w:pPr>
        <w:pStyle w:val="4"/>
        <w:spacing w:line="360" w:lineRule="auto"/>
        <w:rPr>
          <w:rFonts w:ascii="宋体" w:hAnsi="宋体"/>
          <w:b/>
          <w:color w:val="auto"/>
          <w:sz w:val="32"/>
          <w:highlight w:val="none"/>
        </w:rPr>
      </w:pPr>
      <w:r>
        <w:rPr>
          <w:rFonts w:hint="eastAsia" w:ascii="宋体" w:hAnsi="宋体"/>
          <w:b/>
          <w:color w:val="auto"/>
          <w:spacing w:val="1"/>
          <w:sz w:val="32"/>
          <w:highlight w:val="none"/>
        </w:rPr>
        <w:t>1</w:t>
      </w:r>
      <w:r>
        <w:rPr>
          <w:rFonts w:hint="eastAsia" w:ascii="宋体" w:hAnsi="宋体"/>
          <w:b/>
          <w:color w:val="auto"/>
          <w:sz w:val="32"/>
          <w:highlight w:val="none"/>
        </w:rPr>
        <w:t>.招标条件</w:t>
      </w:r>
      <w:bookmarkEnd w:id="0"/>
    </w:p>
    <w:p w14:paraId="754837FB">
      <w:pPr>
        <w:widowControl/>
        <w:spacing w:line="360" w:lineRule="auto"/>
        <w:ind w:firstLine="480" w:firstLineChars="200"/>
        <w:jc w:val="left"/>
        <w:rPr>
          <w:rFonts w:hint="eastAsia" w:ascii="宋体" w:hAnsi="宋体"/>
          <w:color w:val="auto"/>
          <w:sz w:val="24"/>
          <w:highlight w:val="none"/>
          <w:u w:val="single"/>
        </w:rPr>
      </w:pPr>
      <w:r>
        <w:rPr>
          <w:rFonts w:hint="eastAsia" w:ascii="宋体" w:hAnsi="宋体" w:eastAsia="宋体" w:cs="宋体"/>
          <w:color w:val="auto"/>
          <w:kern w:val="2"/>
          <w:sz w:val="24"/>
          <w:szCs w:val="24"/>
          <w:highlight w:val="none"/>
          <w:u w:val="single"/>
          <w:lang w:val="en-US" w:eastAsia="zh-CN" w:bidi="ar"/>
        </w:rPr>
        <w:t>广东水利电力职业技术学院从化校区教学楼（自编</w:t>
      </w:r>
      <w:r>
        <w:rPr>
          <w:rFonts w:hint="eastAsia" w:ascii="宋体" w:hAnsi="宋体" w:cs="宋体"/>
          <w:color w:val="auto"/>
          <w:kern w:val="2"/>
          <w:sz w:val="24"/>
          <w:szCs w:val="24"/>
          <w:highlight w:val="none"/>
          <w:u w:val="single"/>
          <w:lang w:val="en-US" w:eastAsia="zh-CN" w:bidi="ar"/>
        </w:rPr>
        <w:t>D-6栋</w:t>
      </w:r>
      <w:r>
        <w:rPr>
          <w:rFonts w:hint="eastAsia" w:ascii="宋体" w:hAnsi="宋体" w:eastAsia="宋体" w:cs="宋体"/>
          <w:color w:val="auto"/>
          <w:kern w:val="2"/>
          <w:sz w:val="24"/>
          <w:szCs w:val="24"/>
          <w:highlight w:val="none"/>
          <w:u w:val="single"/>
          <w:lang w:val="en-US" w:eastAsia="zh-CN" w:bidi="ar"/>
        </w:rPr>
        <w:t>）项目</w:t>
      </w:r>
      <w:r>
        <w:rPr>
          <w:rFonts w:hint="eastAsia" w:ascii="宋体" w:hAnsi="宋体" w:cs="宋体"/>
          <w:color w:val="auto"/>
          <w:sz w:val="24"/>
          <w:highlight w:val="none"/>
        </w:rPr>
        <w:t>已由</w:t>
      </w:r>
      <w:r>
        <w:rPr>
          <w:rFonts w:hint="eastAsia" w:ascii="宋体" w:hAnsi="宋体" w:cs="宋体"/>
          <w:color w:val="auto"/>
          <w:sz w:val="24"/>
          <w:highlight w:val="none"/>
          <w:u w:val="single"/>
        </w:rPr>
        <w:t>广东省发展和改革委员会</w:t>
      </w:r>
      <w:r>
        <w:rPr>
          <w:rFonts w:hint="eastAsia" w:ascii="宋体" w:hAnsi="宋体"/>
          <w:color w:val="auto"/>
          <w:sz w:val="24"/>
          <w:highlight w:val="none"/>
        </w:rPr>
        <w:t>以</w:t>
      </w:r>
      <w:r>
        <w:rPr>
          <w:rFonts w:hint="eastAsia" w:ascii="宋体" w:hAnsi="宋体"/>
          <w:color w:val="auto"/>
          <w:sz w:val="24"/>
          <w:highlight w:val="none"/>
          <w:u w:val="single"/>
        </w:rPr>
        <w:t>《关于广东水利电力职业技术学院从化校区教学楼项目可行性研究报告的批复》（粤发改投审〔2025〕105号）</w:t>
      </w:r>
      <w:r>
        <w:rPr>
          <w:rFonts w:hint="eastAsia" w:ascii="宋体" w:hAnsi="宋体" w:cs="宋体"/>
          <w:color w:val="auto"/>
          <w:sz w:val="24"/>
          <w:highlight w:val="none"/>
        </w:rPr>
        <w:t>批准建设，</w:t>
      </w:r>
      <w:r>
        <w:rPr>
          <w:rFonts w:hint="eastAsia" w:ascii="宋体" w:hAnsi="宋体"/>
          <w:color w:val="auto"/>
          <w:sz w:val="24"/>
          <w:highlight w:val="none"/>
        </w:rPr>
        <w:t>项目业主为</w:t>
      </w:r>
      <w:r>
        <w:rPr>
          <w:rFonts w:hint="eastAsia" w:ascii="宋体" w:hAnsi="宋体" w:cs="宋体"/>
          <w:color w:val="auto"/>
          <w:sz w:val="24"/>
          <w:highlight w:val="none"/>
          <w:u w:val="single"/>
          <w:lang w:eastAsia="zh-CN"/>
        </w:rPr>
        <w:t>广东水利电力职业技术学院</w:t>
      </w:r>
      <w:r>
        <w:rPr>
          <w:rFonts w:hint="eastAsia" w:ascii="宋体" w:hAnsi="宋体"/>
          <w:color w:val="auto"/>
          <w:sz w:val="24"/>
          <w:highlight w:val="none"/>
          <w:u w:val="single"/>
        </w:rPr>
        <w:t>，</w:t>
      </w:r>
      <w:r>
        <w:rPr>
          <w:rFonts w:hint="eastAsia" w:ascii="宋体" w:hAnsi="宋体" w:cs="宋体"/>
          <w:color w:val="auto"/>
          <w:sz w:val="24"/>
          <w:highlight w:val="none"/>
        </w:rPr>
        <w:t>建设资金来自</w:t>
      </w:r>
      <w:r>
        <w:rPr>
          <w:rFonts w:hint="eastAsia" w:ascii="宋体" w:hAnsi="宋体" w:cs="宋体"/>
          <w:color w:val="auto"/>
          <w:sz w:val="24"/>
          <w:highlight w:val="none"/>
          <w:u w:val="single"/>
        </w:rPr>
        <w:t>财政资金和学校自有资金</w:t>
      </w:r>
      <w:r>
        <w:rPr>
          <w:rFonts w:hint="eastAsia" w:ascii="宋体" w:hAnsi="宋体" w:cs="宋体"/>
          <w:color w:val="auto"/>
          <w:sz w:val="24"/>
          <w:highlight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广东水利电力职业技术学院</w:t>
      </w:r>
      <w:r>
        <w:rPr>
          <w:rFonts w:hint="eastAsia" w:ascii="宋体" w:hAnsi="宋体" w:cs="宋体"/>
          <w:color w:val="auto"/>
          <w:sz w:val="24"/>
          <w:highlight w:val="none"/>
        </w:rPr>
        <w:t>。项目已具备招标条件，现对该项目的</w:t>
      </w:r>
      <w:r>
        <w:rPr>
          <w:rFonts w:hint="eastAsia" w:ascii="宋体" w:hAnsi="宋体" w:cs="宋体"/>
          <w:b/>
          <w:bCs/>
          <w:color w:val="auto"/>
          <w:sz w:val="24"/>
          <w:highlight w:val="none"/>
          <w:u w:val="single"/>
        </w:rPr>
        <w:t>勘察设计</w:t>
      </w:r>
      <w:r>
        <w:rPr>
          <w:rFonts w:hint="eastAsia" w:ascii="宋体" w:hAnsi="宋体" w:cs="宋体"/>
          <w:color w:val="auto"/>
          <w:sz w:val="24"/>
          <w:highlight w:val="none"/>
        </w:rPr>
        <w:t>进行公开招标</w:t>
      </w:r>
      <w:r>
        <w:rPr>
          <w:rFonts w:hint="eastAsia" w:ascii="宋体" w:hAnsi="宋体"/>
          <w:color w:val="auto"/>
          <w:sz w:val="24"/>
          <w:highlight w:val="none"/>
        </w:rPr>
        <w:t>。</w:t>
      </w:r>
      <w:r>
        <w:rPr>
          <w:rFonts w:hint="eastAsia" w:asciiTheme="minorEastAsia" w:hAnsiTheme="minorEastAsia" w:eastAsiaTheme="minorEastAsia" w:cstheme="minorEastAsia"/>
          <w:color w:val="auto"/>
          <w:sz w:val="24"/>
          <w:szCs w:val="24"/>
          <w:highlight w:val="none"/>
        </w:rPr>
        <w:t>投资项目统一代码：</w:t>
      </w:r>
      <w:r>
        <w:rPr>
          <w:rFonts w:hint="eastAsia" w:asciiTheme="minorEastAsia" w:hAnsiTheme="minorEastAsia" w:eastAsiaTheme="minorEastAsia" w:cstheme="minorEastAsia"/>
          <w:color w:val="auto"/>
          <w:sz w:val="24"/>
          <w:highlight w:val="none"/>
          <w:u w:val="single"/>
        </w:rPr>
        <w:t>2504-440117-05-01-363054</w:t>
      </w:r>
      <w:r>
        <w:rPr>
          <w:rFonts w:hint="eastAsia" w:asciiTheme="minorEastAsia" w:hAnsiTheme="minorEastAsia" w:eastAsiaTheme="minorEastAsia" w:cstheme="minorEastAsia"/>
          <w:color w:val="auto"/>
          <w:sz w:val="24"/>
          <w:szCs w:val="24"/>
          <w:highlight w:val="none"/>
          <w:u w:val="single"/>
          <w:lang w:eastAsia="zh-CN"/>
        </w:rPr>
        <w:t>。</w:t>
      </w:r>
    </w:p>
    <w:p w14:paraId="71F0DEAE">
      <w:pPr>
        <w:pStyle w:val="4"/>
        <w:spacing w:line="360" w:lineRule="auto"/>
        <w:rPr>
          <w:rFonts w:ascii="宋体" w:hAnsi="宋体"/>
          <w:b/>
          <w:color w:val="auto"/>
          <w:spacing w:val="1"/>
          <w:sz w:val="32"/>
          <w:highlight w:val="none"/>
        </w:rPr>
      </w:pPr>
      <w:bookmarkStart w:id="1" w:name="_Toc25072049"/>
      <w:r>
        <w:rPr>
          <w:rFonts w:hint="eastAsia" w:ascii="宋体" w:hAnsi="宋体"/>
          <w:b/>
          <w:color w:val="auto"/>
          <w:spacing w:val="1"/>
          <w:sz w:val="32"/>
          <w:highlight w:val="none"/>
        </w:rPr>
        <w:t>2.项目概况与招标范围</w:t>
      </w:r>
      <w:bookmarkEnd w:id="1"/>
    </w:p>
    <w:p w14:paraId="21C4C72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  招标项目概况</w:t>
      </w:r>
    </w:p>
    <w:p w14:paraId="6B0D3FA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2.1.1  招标项目名称：</w:t>
      </w:r>
      <w:r>
        <w:rPr>
          <w:rFonts w:hint="eastAsia" w:ascii="宋体" w:hAnsi="宋体"/>
          <w:color w:val="auto"/>
          <w:sz w:val="24"/>
          <w:highlight w:val="none"/>
          <w:u w:val="single"/>
          <w:lang w:eastAsia="zh-CN"/>
        </w:rPr>
        <w:t>广东水利电力职业技术学院从化校区教学楼（自编D-6栋）项目勘察设计服务</w:t>
      </w:r>
      <w:r>
        <w:rPr>
          <w:rFonts w:hint="eastAsia" w:ascii="宋体" w:hAnsi="宋体"/>
          <w:color w:val="auto"/>
          <w:sz w:val="24"/>
          <w:highlight w:val="none"/>
          <w:u w:val="single"/>
        </w:rPr>
        <w:t>。</w:t>
      </w:r>
    </w:p>
    <w:p w14:paraId="77483914">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2.1.2  工程建设地点：</w:t>
      </w:r>
      <w:r>
        <w:rPr>
          <w:rFonts w:hint="eastAsia" w:ascii="宋体" w:hAnsi="宋体"/>
          <w:color w:val="auto"/>
          <w:sz w:val="24"/>
          <w:highlight w:val="none"/>
          <w:u w:val="single"/>
        </w:rPr>
        <w:t>广州市从化区环市东路 767 号广东水利电力职业技术学院从化校区内。</w:t>
      </w:r>
    </w:p>
    <w:p w14:paraId="636BB09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2.1.3  工程建设规模</w:t>
      </w:r>
      <w:r>
        <w:rPr>
          <w:rFonts w:hint="eastAsia" w:ascii="宋体" w:hAnsi="宋体"/>
          <w:color w:val="auto"/>
          <w:sz w:val="24"/>
          <w:highlight w:val="none"/>
          <w:lang w:eastAsia="zh-CN"/>
        </w:rPr>
        <w:t>和内容</w:t>
      </w:r>
      <w:r>
        <w:rPr>
          <w:rFonts w:hint="eastAsia" w:ascii="宋体" w:hAnsi="宋体"/>
          <w:color w:val="auto"/>
          <w:sz w:val="24"/>
          <w:highlight w:val="none"/>
        </w:rPr>
        <w:t>：</w:t>
      </w:r>
    </w:p>
    <w:p w14:paraId="61DBD01F">
      <w:pPr>
        <w:keepNext w:val="0"/>
        <w:keepLines w:val="0"/>
        <w:widowControl/>
        <w:suppressLineNumbers w:val="0"/>
        <w:spacing w:line="360" w:lineRule="auto"/>
        <w:ind w:firstLine="480" w:firstLineChars="200"/>
        <w:jc w:val="left"/>
        <w:rPr>
          <w:rFonts w:hint="eastAsia" w:ascii="宋体" w:hAnsi="宋体"/>
          <w:color w:val="auto"/>
          <w:sz w:val="24"/>
          <w:highlight w:val="none"/>
          <w:u w:val="single"/>
          <w:lang w:bidi="ar"/>
        </w:rPr>
      </w:pPr>
      <w:r>
        <w:rPr>
          <w:rFonts w:hint="eastAsia" w:ascii="宋体" w:hAnsi="宋体" w:eastAsia="宋体" w:cs="Times New Roman"/>
          <w:color w:val="auto"/>
          <w:kern w:val="2"/>
          <w:sz w:val="24"/>
          <w:szCs w:val="24"/>
          <w:highlight w:val="none"/>
          <w:u w:val="single"/>
          <w:lang w:val="en-US" w:eastAsia="zh-CN" w:bidi="ar"/>
        </w:rPr>
        <w:t>建设规模：新建教学楼 D-6 建筑面积 22483平方米，地上建筑面积 17923平方米，主要是专业教学实训用房，地下一层，建筑面积4560平方米，主要功能为人防工程，平时用作地下车库。</w:t>
      </w:r>
    </w:p>
    <w:p w14:paraId="754DAC83">
      <w:pPr>
        <w:keepNext w:val="0"/>
        <w:keepLines w:val="0"/>
        <w:widowControl/>
        <w:suppressLineNumbers w:val="0"/>
        <w:spacing w:line="360" w:lineRule="auto"/>
        <w:ind w:firstLine="480" w:firstLineChars="200"/>
        <w:jc w:val="left"/>
        <w:rPr>
          <w:rFonts w:hint="eastAsia" w:ascii="宋体" w:hAnsi="宋体" w:eastAsia="宋体" w:cs="Times New Roman"/>
          <w:color w:val="auto"/>
          <w:kern w:val="2"/>
          <w:sz w:val="24"/>
          <w:szCs w:val="24"/>
          <w:highlight w:val="none"/>
          <w:u w:val="single"/>
          <w:lang w:val="en-US" w:eastAsia="zh-CN" w:bidi="ar"/>
        </w:rPr>
      </w:pPr>
      <w:r>
        <w:rPr>
          <w:rFonts w:hint="eastAsia" w:ascii="宋体" w:hAnsi="宋体" w:eastAsia="宋体" w:cs="Times New Roman"/>
          <w:color w:val="auto"/>
          <w:kern w:val="2"/>
          <w:sz w:val="24"/>
          <w:szCs w:val="24"/>
          <w:highlight w:val="none"/>
          <w:u w:val="single"/>
          <w:lang w:val="en-US" w:eastAsia="zh-CN" w:bidi="ar"/>
        </w:rPr>
        <w:t>建设内容：本项目主要建设内容涵盖一栋新建建筑的土石方工程、基础工程、结构工程、地下人防及设备工程、室内外装修工程，以及室内水、电、暖通、消防、电梯等设施的安装工程。</w:t>
      </w:r>
    </w:p>
    <w:p w14:paraId="36F1063F">
      <w:pPr>
        <w:keepNext w:val="0"/>
        <w:keepLines w:val="0"/>
        <w:widowControl/>
        <w:suppressLineNumbers w:val="0"/>
        <w:spacing w:line="360" w:lineRule="auto"/>
        <w:ind w:firstLine="480" w:firstLineChars="200"/>
        <w:jc w:val="left"/>
        <w:rPr>
          <w:rFonts w:hint="eastAsia" w:ascii="宋体" w:hAnsi="宋体"/>
          <w:color w:val="auto"/>
          <w:sz w:val="24"/>
          <w:highlight w:val="none"/>
          <w:u w:val="single"/>
          <w:lang w:val="en-US" w:eastAsia="zh-CN" w:bidi="ar"/>
        </w:rPr>
      </w:pPr>
      <w:r>
        <w:rPr>
          <w:rFonts w:hint="eastAsia" w:ascii="宋体" w:hAnsi="宋体"/>
          <w:color w:val="auto"/>
          <w:sz w:val="24"/>
          <w:highlight w:val="none"/>
          <w:u w:val="single"/>
          <w:lang w:val="en-US" w:eastAsia="zh-CN" w:bidi="ar"/>
        </w:rPr>
        <w:t>室外工程部分，主要涉及建筑周边的附属道路、绿化工程，同时包括校内水电系统与本项目工程的接入工作。除此之外，本项目建设范围不包含室外外部主干道的建设，亦不涉及专业实训设备的采购工作。</w:t>
      </w:r>
    </w:p>
    <w:p w14:paraId="47E977D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2.1.4  规划用地文件：</w:t>
      </w:r>
      <w:r>
        <w:rPr>
          <w:rFonts w:hint="eastAsia" w:ascii="宋体" w:hAnsi="宋体"/>
          <w:color w:val="auto"/>
          <w:sz w:val="24"/>
          <w:highlight w:val="none"/>
          <w:u w:val="single"/>
          <w:lang w:val="en-US" w:eastAsia="zh-CN"/>
        </w:rPr>
        <w:t>穗规划资源业务函</w:t>
      </w:r>
      <w:r>
        <w:rPr>
          <w:rFonts w:hint="eastAsia" w:ascii="宋体" w:hAnsi="宋体" w:cs="宋体"/>
          <w:color w:val="auto"/>
          <w:kern w:val="0"/>
          <w:sz w:val="24"/>
          <w:highlight w:val="none"/>
          <w:u w:val="single"/>
        </w:rPr>
        <w:t>〔</w:t>
      </w:r>
      <w:r>
        <w:rPr>
          <w:rFonts w:hint="eastAsia" w:ascii="宋体" w:hAnsi="宋体"/>
          <w:color w:val="auto"/>
          <w:sz w:val="24"/>
          <w:highlight w:val="none"/>
          <w:u w:val="single"/>
          <w:lang w:val="en-US" w:eastAsia="zh-CN"/>
        </w:rPr>
        <w:t>2020</w:t>
      </w:r>
      <w:r>
        <w:rPr>
          <w:rFonts w:hint="eastAsia" w:ascii="宋体" w:hAnsi="宋体" w:cs="宋体"/>
          <w:color w:val="auto"/>
          <w:kern w:val="0"/>
          <w:sz w:val="24"/>
          <w:highlight w:val="none"/>
          <w:u w:val="single"/>
        </w:rPr>
        <w:t>〕</w:t>
      </w:r>
      <w:r>
        <w:rPr>
          <w:rFonts w:hint="eastAsia" w:ascii="宋体" w:hAnsi="宋体"/>
          <w:color w:val="auto"/>
          <w:sz w:val="24"/>
          <w:highlight w:val="none"/>
          <w:u w:val="single"/>
          <w:lang w:val="en-US" w:eastAsia="zh-CN"/>
        </w:rPr>
        <w:t>13991</w:t>
      </w:r>
      <w:r>
        <w:rPr>
          <w:rFonts w:hint="eastAsia" w:ascii="宋体" w:hAnsi="宋体"/>
          <w:color w:val="auto"/>
          <w:sz w:val="24"/>
          <w:highlight w:val="none"/>
          <w:u w:val="single"/>
        </w:rPr>
        <w:t>号</w:t>
      </w:r>
      <w:r>
        <w:rPr>
          <w:rFonts w:hint="eastAsia" w:ascii="宋体" w:hAnsi="宋体"/>
          <w:color w:val="auto"/>
          <w:sz w:val="24"/>
          <w:highlight w:val="none"/>
        </w:rPr>
        <w:t>。</w:t>
      </w:r>
    </w:p>
    <w:p w14:paraId="52908938">
      <w:pPr>
        <w:spacing w:line="360" w:lineRule="auto"/>
        <w:ind w:firstLine="480" w:firstLineChars="200"/>
        <w:jc w:val="left"/>
        <w:rPr>
          <w:rFonts w:hint="eastAsia"/>
          <w:color w:val="auto"/>
          <w:highlight w:val="none"/>
          <w:lang w:val="en-US" w:eastAsia="zh-CN"/>
        </w:rPr>
      </w:pPr>
      <w:r>
        <w:rPr>
          <w:rFonts w:hint="eastAsia" w:ascii="宋体" w:hAnsi="宋体"/>
          <w:color w:val="auto"/>
          <w:sz w:val="24"/>
          <w:highlight w:val="none"/>
        </w:rPr>
        <w:t>2.1.5  项目批准文件：</w:t>
      </w:r>
      <w:r>
        <w:rPr>
          <w:rFonts w:hint="eastAsia" w:ascii="宋体" w:hAnsi="宋体"/>
          <w:color w:val="auto"/>
          <w:sz w:val="24"/>
          <w:highlight w:val="none"/>
          <w:u w:val="single"/>
        </w:rPr>
        <w:t>《关于广东水利电力职业技术学院从化校区教学楼项目可行性研究报告的批复》（粤发改投审〔2025〕105号）</w:t>
      </w:r>
      <w:r>
        <w:rPr>
          <w:rFonts w:hint="eastAsia" w:ascii="宋体" w:hAnsi="宋体"/>
          <w:color w:val="auto"/>
          <w:sz w:val="24"/>
          <w:highlight w:val="none"/>
          <w:u w:val="single"/>
          <w:lang w:eastAsia="zh-CN"/>
        </w:rPr>
        <w:t>。</w:t>
      </w:r>
      <w:r>
        <w:rPr>
          <w:rFonts w:hint="eastAsia"/>
          <w:color w:val="auto"/>
          <w:highlight w:val="none"/>
          <w:lang w:val="en-US" w:eastAsia="zh-CN"/>
        </w:rPr>
        <w:t xml:space="preserve">   </w:t>
      </w:r>
    </w:p>
    <w:p w14:paraId="56E776A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2.1.6  资金来源：</w:t>
      </w:r>
      <w:r>
        <w:rPr>
          <w:rFonts w:hint="eastAsia" w:ascii="宋体" w:hAnsi="宋体"/>
          <w:color w:val="auto"/>
          <w:sz w:val="24"/>
          <w:highlight w:val="none"/>
          <w:u w:val="single"/>
        </w:rPr>
        <w:t>财政资金和学校自有资金。</w:t>
      </w:r>
    </w:p>
    <w:p w14:paraId="44AA15AB">
      <w:pPr>
        <w:spacing w:line="360" w:lineRule="auto"/>
        <w:ind w:firstLine="480" w:firstLineChars="200"/>
        <w:jc w:val="left"/>
        <w:rPr>
          <w:rFonts w:hint="eastAsia" w:ascii="宋体" w:hAnsi="宋体"/>
          <w:color w:val="auto"/>
          <w:sz w:val="24"/>
          <w:highlight w:val="none"/>
          <w:u w:val="single"/>
          <w:lang w:val="en-US" w:eastAsia="zh-CN"/>
        </w:rPr>
      </w:pPr>
      <w:r>
        <w:rPr>
          <w:rFonts w:hint="eastAsia" w:ascii="宋体" w:hAnsi="宋体"/>
          <w:color w:val="auto"/>
          <w:sz w:val="24"/>
          <w:highlight w:val="none"/>
        </w:rPr>
        <w:t>2.1.7  投资总额：</w:t>
      </w:r>
      <w:r>
        <w:rPr>
          <w:rFonts w:hint="eastAsia" w:ascii="宋体" w:hAnsi="宋体"/>
          <w:color w:val="auto"/>
          <w:sz w:val="24"/>
          <w:highlight w:val="none"/>
          <w:u w:val="single"/>
          <w:lang w:val="en-US" w:eastAsia="zh-CN"/>
        </w:rPr>
        <w:t>总投资 9394.94万元，其中工程费用7836.39万元。</w:t>
      </w:r>
    </w:p>
    <w:p w14:paraId="731210D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2.1.8  总工期：</w:t>
      </w:r>
      <w:r>
        <w:rPr>
          <w:rFonts w:hint="eastAsia" w:ascii="宋体" w:hAnsi="宋体" w:eastAsia="宋体" w:cs="宋体"/>
          <w:color w:val="auto"/>
          <w:kern w:val="2"/>
          <w:sz w:val="24"/>
          <w:szCs w:val="24"/>
          <w:highlight w:val="none"/>
          <w:u w:val="single"/>
          <w:lang w:val="en-US" w:eastAsia="zh-CN" w:bidi="ar"/>
        </w:rPr>
        <w:t>从合同签订之日起至项目竣工联合验收通过。</w:t>
      </w:r>
    </w:p>
    <w:p w14:paraId="3C4E4767">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lang w:val="en-US" w:eastAsia="zh-CN"/>
        </w:rPr>
        <w:t xml:space="preserve">2.1.9  </w:t>
      </w:r>
      <w:r>
        <w:rPr>
          <w:rFonts w:hint="eastAsia" w:ascii="宋体" w:hAnsi="宋体"/>
          <w:color w:val="auto"/>
          <w:sz w:val="24"/>
          <w:highlight w:val="none"/>
        </w:rPr>
        <w:t>标段划分：</w:t>
      </w:r>
      <w:r>
        <w:rPr>
          <w:rFonts w:hint="eastAsia" w:ascii="宋体" w:hAnsi="宋体"/>
          <w:color w:val="auto"/>
          <w:sz w:val="24"/>
          <w:highlight w:val="none"/>
          <w:u w:val="single"/>
        </w:rPr>
        <w:t>本项目设1个标段。</w:t>
      </w:r>
    </w:p>
    <w:p w14:paraId="53DA1C46">
      <w:pPr>
        <w:spacing w:line="360" w:lineRule="auto"/>
        <w:ind w:firstLine="480" w:firstLineChars="20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u w:val="none"/>
          <w:lang w:val="en-US" w:eastAsia="zh-CN"/>
        </w:rPr>
        <w:t xml:space="preserve">2.1.10 </w:t>
      </w:r>
      <w:r>
        <w:rPr>
          <w:rFonts w:hint="eastAsia" w:ascii="宋体" w:hAnsi="宋体" w:eastAsia="宋体" w:cs="宋体"/>
          <w:color w:val="auto"/>
          <w:kern w:val="2"/>
          <w:sz w:val="24"/>
          <w:szCs w:val="22"/>
          <w:highlight w:val="none"/>
          <w:lang w:val="en-US" w:eastAsia="zh-CN" w:bidi="ar-SA"/>
        </w:rPr>
        <w:t>本项目绿色建筑等级要求为：</w:t>
      </w:r>
      <w:r>
        <w:rPr>
          <w:rFonts w:hint="eastAsia" w:ascii="宋体" w:hAnsi="宋体" w:eastAsia="宋体" w:cs="宋体"/>
          <w:color w:val="auto"/>
          <w:kern w:val="2"/>
          <w:sz w:val="24"/>
          <w:szCs w:val="22"/>
          <w:highlight w:val="none"/>
          <w:u w:val="single"/>
          <w:lang w:val="en-US" w:eastAsia="zh-CN" w:bidi="ar-SA"/>
        </w:rPr>
        <w:t>一星</w:t>
      </w:r>
      <w:r>
        <w:rPr>
          <w:rFonts w:hint="eastAsia" w:ascii="宋体" w:hAnsi="宋体" w:cs="宋体"/>
          <w:color w:val="auto"/>
          <w:kern w:val="2"/>
          <w:sz w:val="24"/>
          <w:szCs w:val="22"/>
          <w:highlight w:val="none"/>
          <w:u w:val="single"/>
          <w:lang w:val="en-US" w:eastAsia="zh-CN" w:bidi="ar-SA"/>
        </w:rPr>
        <w:t>。</w:t>
      </w:r>
    </w:p>
    <w:p w14:paraId="3CEF0A6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  招标范围及招标内容</w:t>
      </w:r>
    </w:p>
    <w:p w14:paraId="0646143D">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根据基础资料等要求，完成项目建设范围所涉及建设内容的勘察设计工作，主要包括：</w:t>
      </w:r>
    </w:p>
    <w:p w14:paraId="06F2697A">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（1）工程勘察工作：</w:t>
      </w:r>
      <w:r>
        <w:rPr>
          <w:rFonts w:hint="eastAsia" w:asciiTheme="minorEastAsia" w:hAnsiTheme="minorEastAsia" w:eastAsiaTheme="minorEastAsia" w:cstheme="minorEastAsia"/>
          <w:color w:val="auto"/>
          <w:sz w:val="24"/>
          <w:szCs w:val="24"/>
          <w:highlight w:val="none"/>
          <w:u w:val="single"/>
        </w:rPr>
        <w:t>包括</w:t>
      </w:r>
      <w:r>
        <w:rPr>
          <w:rFonts w:hint="eastAsia" w:asciiTheme="minorEastAsia" w:hAnsiTheme="minorEastAsia" w:eastAsiaTheme="minorEastAsia" w:cstheme="minorEastAsia"/>
          <w:color w:val="auto"/>
          <w:sz w:val="24"/>
          <w:szCs w:val="24"/>
          <w:highlight w:val="none"/>
          <w:u w:val="single"/>
          <w:lang w:val="en-US" w:eastAsia="zh-CN"/>
        </w:rPr>
        <w:t>但不限于</w:t>
      </w:r>
      <w:r>
        <w:rPr>
          <w:rFonts w:hint="eastAsia" w:asciiTheme="minorEastAsia" w:hAnsiTheme="minorEastAsia" w:eastAsiaTheme="minorEastAsia" w:cstheme="minorEastAsia"/>
          <w:color w:val="auto"/>
          <w:sz w:val="24"/>
          <w:szCs w:val="24"/>
          <w:highlight w:val="none"/>
          <w:u w:val="single"/>
        </w:rPr>
        <w:t>初步勘察、详细勘察</w:t>
      </w:r>
      <w:r>
        <w:rPr>
          <w:rFonts w:hint="eastAsia" w:ascii="宋体" w:hAnsi="宋体" w:cs="宋体"/>
          <w:color w:val="auto"/>
          <w:sz w:val="24"/>
          <w:highlight w:val="none"/>
          <w:u w:val="single"/>
        </w:rPr>
        <w:t>（包括岩土工程勘察、基坑勘察、剪切波速试验、抽水试验等）</w:t>
      </w:r>
      <w:r>
        <w:rPr>
          <w:rFonts w:hint="eastAsia" w:ascii="宋体" w:hAnsi="宋体" w:cs="宋体"/>
          <w:color w:val="auto"/>
          <w:sz w:val="24"/>
          <w:highlight w:val="none"/>
          <w:u w:val="single"/>
          <w:lang w:val="en-US" w:eastAsia="zh-CN"/>
        </w:rPr>
        <w:t>工作</w:t>
      </w:r>
      <w:r>
        <w:rPr>
          <w:rFonts w:hint="eastAsia" w:ascii="宋体" w:hAnsi="宋体" w:cs="宋体"/>
          <w:color w:val="auto"/>
          <w:sz w:val="24"/>
          <w:highlight w:val="none"/>
          <w:u w:val="single"/>
        </w:rPr>
        <w:t>，以及对应</w:t>
      </w:r>
      <w:r>
        <w:rPr>
          <w:rFonts w:hint="eastAsia" w:ascii="宋体" w:hAnsi="宋体" w:cs="宋体"/>
          <w:color w:val="auto"/>
          <w:sz w:val="24"/>
          <w:highlight w:val="none"/>
          <w:u w:val="single"/>
          <w:lang w:eastAsia="zh-CN"/>
        </w:rPr>
        <w:t>方案设计</w:t>
      </w:r>
      <w:r>
        <w:rPr>
          <w:rFonts w:hint="eastAsia" w:ascii="宋体" w:hAnsi="宋体" w:cs="宋体"/>
          <w:color w:val="auto"/>
          <w:sz w:val="24"/>
          <w:highlight w:val="none"/>
          <w:u w:val="single"/>
        </w:rPr>
        <w:t>、初步设计、施工图设计、施工等各阶段的勘察要求。</w:t>
      </w:r>
    </w:p>
    <w:p w14:paraId="5824D923">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（2）工程设计工作：完成所有建设内容的</w:t>
      </w:r>
      <w:r>
        <w:rPr>
          <w:rFonts w:hint="eastAsia" w:ascii="宋体" w:hAnsi="宋体" w:cs="宋体"/>
          <w:color w:val="auto"/>
          <w:sz w:val="24"/>
          <w:highlight w:val="none"/>
          <w:u w:val="single"/>
          <w:lang w:eastAsia="zh-CN"/>
        </w:rPr>
        <w:t>方案设计（根据现有设计咨询成果进行深化）</w:t>
      </w:r>
      <w:r>
        <w:rPr>
          <w:rFonts w:hint="eastAsia" w:ascii="宋体" w:hAnsi="宋体" w:cs="宋体"/>
          <w:color w:val="auto"/>
          <w:sz w:val="24"/>
          <w:highlight w:val="none"/>
          <w:u w:val="single"/>
        </w:rPr>
        <w:t>、初步设计、施工图设计等。</w:t>
      </w:r>
    </w:p>
    <w:p w14:paraId="10EE6488">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（3）建筑节能新技术的应用及设计：包括但不限于节能、环保、绿色建筑、海绵城市等专项工程设计。</w:t>
      </w:r>
    </w:p>
    <w:p w14:paraId="4BAE74B4">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（4）装配式建筑设计，装配率不低于50%，且需满足中华人民共和国住房和城乡建设部相关规定的要求。</w:t>
      </w:r>
    </w:p>
    <w:p w14:paraId="27298C91">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（5）负责本项目BIM设计及技术应用。</w:t>
      </w:r>
    </w:p>
    <w:p w14:paraId="6A49E4CE">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（6）其他工作：</w:t>
      </w:r>
    </w:p>
    <w:p w14:paraId="727964BA">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1）造价文件编制工作：完成本项目招标范围内初步设计概算及设计变更（含变更估算）等造价文件的编制工作及相关配合报审工作；</w:t>
      </w:r>
    </w:p>
    <w:p w14:paraId="6BFA7E1B">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2）技术配合工作：招标人后续各类（含招标）工作配合、施工配合、现场服务、竣工图</w:t>
      </w:r>
      <w:r>
        <w:rPr>
          <w:rFonts w:hint="eastAsia" w:ascii="宋体" w:hAnsi="宋体" w:cs="宋体"/>
          <w:color w:val="auto"/>
          <w:sz w:val="24"/>
          <w:highlight w:val="none"/>
          <w:u w:val="single"/>
          <w:lang w:eastAsia="zh-CN"/>
        </w:rPr>
        <w:t>审核</w:t>
      </w:r>
      <w:r>
        <w:rPr>
          <w:rFonts w:hint="eastAsia" w:ascii="宋体" w:hAnsi="宋体" w:cs="宋体"/>
          <w:color w:val="auto"/>
          <w:sz w:val="24"/>
          <w:highlight w:val="none"/>
          <w:u w:val="single"/>
        </w:rPr>
        <w:t>服务等；</w:t>
      </w:r>
    </w:p>
    <w:p w14:paraId="2C818B25">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3）报批报建：包括但不限于完成《建设工程规划许可证》的报建报批工作及各类报建配合、协调工作等。</w:t>
      </w:r>
    </w:p>
    <w:p w14:paraId="1306CFC4">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14:paraId="3F891D3E">
      <w:pPr>
        <w:spacing w:line="360" w:lineRule="auto"/>
        <w:ind w:firstLine="420"/>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本项目已有前期策划方案，投标人可结合和围绕前期策划方案开展方案设计（根据现有设计咨询成果进行深化）工作。</w:t>
      </w:r>
    </w:p>
    <w:p w14:paraId="2BCB0118">
      <w:pPr>
        <w:spacing w:line="360" w:lineRule="auto"/>
        <w:ind w:firstLine="420"/>
        <w:jc w:val="left"/>
        <w:rPr>
          <w:rStyle w:val="28"/>
          <w:color w:val="auto"/>
          <w:highlight w:val="non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）配合工作：详见合同约定。</w:t>
      </w:r>
    </w:p>
    <w:p w14:paraId="2563AAD6">
      <w:pPr>
        <w:spacing w:line="360" w:lineRule="auto"/>
        <w:ind w:firstLine="482" w:firstLineChars="200"/>
        <w:rPr>
          <w:rFonts w:ascii="宋体" w:hAnsi="宋体"/>
          <w:color w:val="auto"/>
          <w:sz w:val="24"/>
          <w:highlight w:val="none"/>
          <w:u w:val="single"/>
        </w:rPr>
      </w:pPr>
      <w:r>
        <w:rPr>
          <w:rFonts w:hint="eastAsia" w:ascii="宋体" w:hAnsi="宋体" w:cs="宋体"/>
          <w:b/>
          <w:bCs/>
          <w:color w:val="auto"/>
          <w:sz w:val="24"/>
          <w:highlight w:val="none"/>
        </w:rPr>
        <w:t>各阶段勘察设计工作的服务深度需满足现行国家、省、市有关规范规定以及有关职能审批部门的要求。具体工作内容及要求详见本项目可行性研究报告及合同条款的有关约定。</w:t>
      </w:r>
    </w:p>
    <w:p w14:paraId="0C0C1DB6">
      <w:pPr>
        <w:pStyle w:val="4"/>
        <w:rPr>
          <w:rFonts w:ascii="宋体" w:hAnsi="宋体"/>
          <w:b/>
          <w:color w:val="auto"/>
          <w:spacing w:val="1"/>
          <w:sz w:val="32"/>
          <w:highlight w:val="none"/>
        </w:rPr>
      </w:pPr>
      <w:r>
        <w:rPr>
          <w:rFonts w:hint="eastAsia" w:ascii="宋体" w:hAnsi="宋体"/>
          <w:b/>
          <w:color w:val="auto"/>
          <w:spacing w:val="1"/>
          <w:sz w:val="32"/>
          <w:highlight w:val="none"/>
        </w:rPr>
        <w:t>3.勘察设计服务期、工作目标</w:t>
      </w:r>
    </w:p>
    <w:p w14:paraId="29C199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3.1勘察工期（含外业和内业，出正式版勘察报告）：</w:t>
      </w:r>
      <w:r>
        <w:rPr>
          <w:rFonts w:hint="eastAsia" w:asciiTheme="minorEastAsia" w:hAnsiTheme="minorEastAsia" w:eastAsiaTheme="minorEastAsia"/>
          <w:color w:val="auto"/>
          <w:sz w:val="24"/>
          <w:highlight w:val="none"/>
          <w:u w:val="single"/>
        </w:rPr>
        <w:t>中标人应在</w:t>
      </w:r>
      <w:r>
        <w:rPr>
          <w:rFonts w:hint="eastAsia" w:ascii="宋体" w:hAnsi="宋体" w:cs="宋体"/>
          <w:color w:val="auto"/>
          <w:sz w:val="24"/>
          <w:highlight w:val="none"/>
          <w:u w:val="single"/>
        </w:rPr>
        <w:t>收到发包人发出的进场通知后不超过</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日历天内提交勘察成果文件。</w:t>
      </w:r>
    </w:p>
    <w:p w14:paraId="6879BE52">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3.2设计工期:</w:t>
      </w:r>
      <w:r>
        <w:rPr>
          <w:rFonts w:hint="eastAsia" w:asciiTheme="minorEastAsia" w:hAnsiTheme="minorEastAsia" w:eastAsiaTheme="minorEastAsia"/>
          <w:color w:val="auto"/>
          <w:sz w:val="24"/>
          <w:highlight w:val="none"/>
          <w:u w:val="single"/>
        </w:rPr>
        <w:t>合同签订后</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日历天内完成方案</w:t>
      </w:r>
      <w:r>
        <w:rPr>
          <w:rFonts w:hint="eastAsia" w:asciiTheme="minorEastAsia" w:hAnsiTheme="minorEastAsia" w:eastAsiaTheme="minorEastAsia"/>
          <w:color w:val="auto"/>
          <w:sz w:val="24"/>
          <w:highlight w:val="none"/>
          <w:u w:val="single"/>
          <w:lang w:eastAsia="zh-CN"/>
        </w:rPr>
        <w:t>设计</w:t>
      </w:r>
      <w:r>
        <w:rPr>
          <w:rFonts w:hint="eastAsia" w:ascii="宋体" w:hAnsi="宋体" w:cs="宋体"/>
          <w:color w:val="auto"/>
          <w:sz w:val="24"/>
          <w:highlight w:val="none"/>
          <w:u w:val="single"/>
          <w:lang w:val="en-US" w:eastAsia="zh-CN"/>
        </w:rPr>
        <w:t>（根据现有设计咨询成果进行深化）</w:t>
      </w:r>
      <w:r>
        <w:rPr>
          <w:rFonts w:hint="eastAsia" w:asciiTheme="minorEastAsia" w:hAnsiTheme="minorEastAsia" w:eastAsiaTheme="minorEastAsia"/>
          <w:color w:val="auto"/>
          <w:sz w:val="24"/>
          <w:highlight w:val="none"/>
          <w:u w:val="single"/>
        </w:rPr>
        <w:t>；方案设计经甲方确认后</w:t>
      </w:r>
      <w:r>
        <w:rPr>
          <w:rFonts w:hint="eastAsia" w:asciiTheme="minorEastAsia" w:hAnsiTheme="minorEastAsia" w:eastAsiaTheme="minorEastAsia"/>
          <w:color w:val="auto"/>
          <w:sz w:val="24"/>
          <w:highlight w:val="none"/>
          <w:u w:val="single"/>
          <w:lang w:eastAsia="zh-CN"/>
        </w:rPr>
        <w:t>、</w:t>
      </w:r>
      <w:r>
        <w:rPr>
          <w:rFonts w:hint="eastAsia" w:asciiTheme="minorEastAsia" w:hAnsiTheme="minorEastAsia" w:eastAsiaTheme="minorEastAsia"/>
          <w:color w:val="auto"/>
          <w:sz w:val="24"/>
          <w:highlight w:val="none"/>
          <w:u w:val="single"/>
        </w:rPr>
        <w:t>出具地质报告后</w:t>
      </w:r>
      <w:r>
        <w:rPr>
          <w:rFonts w:hint="eastAsia" w:asciiTheme="minorEastAsia" w:hAnsiTheme="minorEastAsia" w:eastAsiaTheme="minorEastAsia"/>
          <w:color w:val="auto"/>
          <w:sz w:val="24"/>
          <w:highlight w:val="none"/>
          <w:u w:val="single"/>
          <w:lang w:val="en-US" w:eastAsia="zh-CN"/>
        </w:rPr>
        <w:t>的20</w:t>
      </w:r>
      <w:r>
        <w:rPr>
          <w:rFonts w:hint="eastAsia" w:asciiTheme="minorEastAsia" w:hAnsiTheme="minorEastAsia" w:eastAsiaTheme="minorEastAsia"/>
          <w:color w:val="auto"/>
          <w:sz w:val="24"/>
          <w:highlight w:val="none"/>
          <w:u w:val="single"/>
        </w:rPr>
        <w:t>日历天内完成初步设计，初步设计审查批准后</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u w:val="single"/>
        </w:rPr>
        <w:t>日历天内完成施工图设计，施工图设计文件经审查发现问题后5日历天内完成补充、修改。</w:t>
      </w:r>
    </w:p>
    <w:p w14:paraId="6F067304">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3.3工作目标：</w:t>
      </w:r>
    </w:p>
    <w:p w14:paraId="068D23C3">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本项目工程质量目标须</w:t>
      </w:r>
      <w:r>
        <w:rPr>
          <w:rFonts w:ascii="宋体" w:hAnsi="宋体" w:cs="宋体"/>
          <w:color w:val="auto"/>
          <w:sz w:val="24"/>
          <w:highlight w:val="none"/>
          <w:u w:val="single"/>
        </w:rPr>
        <w:t>符合《建设工程质量管理条例》《建设工程勘察设计管理条例》《建筑工程设计文件编制深度规定（2016年版）》等国家及地方有关工程设计管理法规和规章，达到行业相关规范技术标准等要求。</w:t>
      </w:r>
      <w:r>
        <w:rPr>
          <w:rFonts w:hint="eastAsia" w:ascii="宋体" w:hAnsi="宋体" w:cs="宋体"/>
          <w:color w:val="auto"/>
          <w:sz w:val="24"/>
          <w:highlight w:val="none"/>
          <w:u w:val="single"/>
        </w:rPr>
        <w:t>绿色建筑目标为绿色建筑</w:t>
      </w:r>
      <w:r>
        <w:rPr>
          <w:rFonts w:hint="eastAsia" w:ascii="宋体" w:hAnsi="宋体" w:cs="宋体"/>
          <w:color w:val="auto"/>
          <w:sz w:val="24"/>
          <w:highlight w:val="none"/>
          <w:u w:val="single"/>
          <w:lang w:eastAsia="zh-CN"/>
        </w:rPr>
        <w:t>一</w:t>
      </w:r>
      <w:r>
        <w:rPr>
          <w:rFonts w:hint="eastAsia" w:ascii="宋体" w:hAnsi="宋体" w:cs="宋体"/>
          <w:color w:val="auto"/>
          <w:sz w:val="24"/>
          <w:highlight w:val="none"/>
          <w:u w:val="single"/>
        </w:rPr>
        <w:t>星标准设计。</w:t>
      </w:r>
    </w:p>
    <w:p w14:paraId="4195098B">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u w:val="single"/>
        </w:rPr>
        <w:t>3.4其他：中标人各阶段设计工作及所提交的设计成果应满足上述目标的申报条件，同时中标人应配合上述目标的申报，为申报工作提供相关基础资料。相关费用已包含在投标报价中，招标人不再另行支付费用。</w:t>
      </w:r>
    </w:p>
    <w:p w14:paraId="29242CB7">
      <w:pPr>
        <w:pStyle w:val="4"/>
        <w:rPr>
          <w:rFonts w:ascii="宋体" w:hAnsi="宋体"/>
          <w:b/>
          <w:color w:val="auto"/>
          <w:spacing w:val="1"/>
          <w:sz w:val="32"/>
          <w:highlight w:val="none"/>
        </w:rPr>
      </w:pPr>
      <w:r>
        <w:rPr>
          <w:rFonts w:hint="eastAsia" w:ascii="宋体" w:hAnsi="宋体"/>
          <w:b/>
          <w:color w:val="auto"/>
          <w:spacing w:val="1"/>
          <w:sz w:val="32"/>
          <w:highlight w:val="none"/>
        </w:rPr>
        <w:t>4. 投标限价</w:t>
      </w:r>
    </w:p>
    <w:p w14:paraId="62BFAAED">
      <w:pPr>
        <w:snapToGrid w:val="0"/>
        <w:spacing w:line="360" w:lineRule="auto"/>
        <w:ind w:firstLine="480" w:firstLineChars="200"/>
        <w:rPr>
          <w:rFonts w:hint="eastAsia" w:ascii="宋体" w:hAnsi="宋体" w:cs="宋体"/>
          <w:b/>
          <w:bCs/>
          <w:color w:val="auto"/>
          <w:sz w:val="24"/>
          <w:szCs w:val="22"/>
          <w:highlight w:val="none"/>
          <w:u w:val="single"/>
        </w:rPr>
      </w:pPr>
      <w:r>
        <w:rPr>
          <w:rFonts w:hint="eastAsia" w:ascii="宋体" w:hAnsi="宋体"/>
          <w:color w:val="auto"/>
          <w:sz w:val="24"/>
          <w:highlight w:val="none"/>
          <w:u w:val="single"/>
        </w:rPr>
        <w:t>最高投标限价总价</w:t>
      </w:r>
      <w:r>
        <w:rPr>
          <w:rFonts w:hint="eastAsia" w:ascii="宋体" w:hAnsi="宋体" w:cs="宋体"/>
          <w:color w:val="auto"/>
          <w:sz w:val="24"/>
          <w:szCs w:val="22"/>
          <w:highlight w:val="none"/>
          <w:u w:val="single"/>
        </w:rPr>
        <w:t>为</w:t>
      </w:r>
      <w:r>
        <w:rPr>
          <w:rFonts w:hint="eastAsia" w:ascii="宋体" w:hAnsi="宋体" w:cs="宋体"/>
          <w:color w:val="auto"/>
          <w:sz w:val="24"/>
          <w:szCs w:val="24"/>
          <w:highlight w:val="none"/>
          <w:u w:val="single"/>
          <w:lang w:val="en-US" w:eastAsia="zh-CN"/>
        </w:rPr>
        <w:t>268.736</w:t>
      </w:r>
      <w:r>
        <w:rPr>
          <w:rFonts w:hint="eastAsia" w:ascii="宋体" w:hAnsi="宋体" w:cs="宋体"/>
          <w:color w:val="auto"/>
          <w:sz w:val="24"/>
          <w:szCs w:val="22"/>
          <w:highlight w:val="none"/>
          <w:u w:val="single"/>
        </w:rPr>
        <w:t>万元，其中：</w:t>
      </w:r>
      <w:r>
        <w:rPr>
          <w:rFonts w:hint="eastAsia" w:ascii="宋体" w:hAnsi="宋体" w:cs="宋体"/>
          <w:color w:val="auto"/>
          <w:sz w:val="24"/>
          <w:szCs w:val="22"/>
          <w:highlight w:val="none"/>
          <w:u w:val="single"/>
          <w:lang w:val="en-US" w:eastAsia="zh-CN"/>
        </w:rPr>
        <w:t>工程</w:t>
      </w:r>
      <w:r>
        <w:rPr>
          <w:rFonts w:hint="eastAsia" w:ascii="宋体" w:hAnsi="宋体" w:cs="宋体"/>
          <w:color w:val="auto"/>
          <w:sz w:val="24"/>
          <w:szCs w:val="22"/>
          <w:highlight w:val="none"/>
          <w:u w:val="single"/>
        </w:rPr>
        <w:t>勘察费最高投标限价为</w:t>
      </w:r>
      <w:r>
        <w:rPr>
          <w:rFonts w:hint="eastAsia" w:ascii="宋体" w:hAnsi="宋体" w:cs="宋体"/>
          <w:color w:val="auto"/>
          <w:sz w:val="24"/>
          <w:szCs w:val="22"/>
          <w:highlight w:val="none"/>
          <w:u w:val="single"/>
          <w:lang w:val="en-US" w:eastAsia="zh-CN"/>
        </w:rPr>
        <w:t>16.600</w:t>
      </w:r>
      <w:r>
        <w:rPr>
          <w:rFonts w:hint="eastAsia" w:ascii="宋体" w:hAnsi="宋体" w:cs="宋体"/>
          <w:color w:val="auto"/>
          <w:sz w:val="24"/>
          <w:szCs w:val="22"/>
          <w:highlight w:val="none"/>
          <w:u w:val="single"/>
        </w:rPr>
        <w:t>万元（岩土工程勘察费综合包干单价最高投标限价为</w:t>
      </w:r>
      <w:r>
        <w:rPr>
          <w:rFonts w:hint="eastAsia" w:ascii="宋体" w:hAnsi="宋体" w:cs="宋体"/>
          <w:color w:val="auto"/>
          <w:sz w:val="24"/>
          <w:szCs w:val="22"/>
          <w:highlight w:val="none"/>
          <w:u w:val="single"/>
          <w:lang w:val="en-US" w:eastAsia="zh-CN"/>
        </w:rPr>
        <w:t>150</w:t>
      </w:r>
      <w:r>
        <w:rPr>
          <w:rFonts w:hint="eastAsia" w:ascii="宋体" w:hAnsi="宋体" w:cs="宋体"/>
          <w:color w:val="auto"/>
          <w:sz w:val="24"/>
          <w:szCs w:val="22"/>
          <w:highlight w:val="none"/>
          <w:u w:val="single"/>
        </w:rPr>
        <w:t>元/米</w:t>
      </w:r>
      <w:r>
        <w:rPr>
          <w:rFonts w:hint="eastAsia" w:asciiTheme="minorEastAsia" w:hAnsiTheme="minorEastAsia" w:eastAsiaTheme="minorEastAsia"/>
          <w:color w:val="auto"/>
          <w:sz w:val="24"/>
          <w:szCs w:val="32"/>
          <w:highlight w:val="none"/>
          <w:u w:val="single"/>
          <w:lang w:eastAsia="zh-CN"/>
        </w:rPr>
        <w:t>，暂定1000米，暂列金1</w:t>
      </w:r>
      <w:r>
        <w:rPr>
          <w:rFonts w:asciiTheme="minorEastAsia" w:hAnsiTheme="minorEastAsia" w:eastAsiaTheme="minorEastAsia"/>
          <w:color w:val="auto"/>
          <w:sz w:val="24"/>
          <w:szCs w:val="32"/>
          <w:highlight w:val="none"/>
          <w:u w:val="single"/>
          <w:lang w:eastAsia="zh-CN"/>
        </w:rPr>
        <w:t>.6</w:t>
      </w:r>
      <w:r>
        <w:rPr>
          <w:rFonts w:hint="eastAsia" w:asciiTheme="minorEastAsia" w:hAnsiTheme="minorEastAsia" w:eastAsiaTheme="minorEastAsia"/>
          <w:color w:val="auto"/>
          <w:sz w:val="24"/>
          <w:szCs w:val="32"/>
          <w:highlight w:val="none"/>
          <w:u w:val="single"/>
          <w:lang w:eastAsia="zh-CN"/>
        </w:rPr>
        <w:t>万元，最终按实际勘察工程量结算</w:t>
      </w:r>
      <w:r>
        <w:rPr>
          <w:rFonts w:hint="eastAsia" w:ascii="宋体" w:hAnsi="宋体" w:cs="宋体"/>
          <w:color w:val="auto"/>
          <w:sz w:val="24"/>
          <w:szCs w:val="22"/>
          <w:highlight w:val="none"/>
          <w:u w:val="single"/>
        </w:rPr>
        <w:t>）；</w:t>
      </w:r>
      <w:r>
        <w:rPr>
          <w:rFonts w:hint="eastAsia" w:ascii="宋体" w:hAnsi="宋体" w:cs="宋体"/>
          <w:color w:val="auto"/>
          <w:sz w:val="24"/>
          <w:szCs w:val="22"/>
          <w:highlight w:val="none"/>
          <w:u w:val="single"/>
          <w:lang w:val="en-US" w:eastAsia="zh-CN"/>
        </w:rPr>
        <w:t>工程</w:t>
      </w:r>
      <w:r>
        <w:rPr>
          <w:rFonts w:hint="eastAsia" w:ascii="宋体" w:hAnsi="宋体" w:cs="宋体"/>
          <w:color w:val="auto"/>
          <w:sz w:val="24"/>
          <w:szCs w:val="22"/>
          <w:highlight w:val="none"/>
          <w:u w:val="single"/>
        </w:rPr>
        <w:t>设计费最高投标限价为</w:t>
      </w:r>
      <w:r>
        <w:rPr>
          <w:rFonts w:hint="eastAsia" w:ascii="宋体" w:hAnsi="宋体" w:cs="宋体"/>
          <w:color w:val="auto"/>
          <w:sz w:val="24"/>
          <w:szCs w:val="22"/>
          <w:highlight w:val="none"/>
          <w:u w:val="single"/>
          <w:lang w:val="en-US" w:eastAsia="zh-CN"/>
        </w:rPr>
        <w:t>195.944</w:t>
      </w:r>
      <w:r>
        <w:rPr>
          <w:rFonts w:hint="eastAsia" w:ascii="宋体" w:hAnsi="宋体" w:cs="宋体"/>
          <w:color w:val="auto"/>
          <w:sz w:val="24"/>
          <w:szCs w:val="22"/>
          <w:highlight w:val="none"/>
          <w:u w:val="single"/>
        </w:rPr>
        <w:t>万元</w:t>
      </w:r>
      <w:r>
        <w:rPr>
          <w:rFonts w:hint="eastAsia" w:ascii="宋体" w:hAnsi="宋体" w:cs="宋体"/>
          <w:color w:val="auto"/>
          <w:sz w:val="24"/>
          <w:szCs w:val="22"/>
          <w:highlight w:val="none"/>
          <w:u w:val="single"/>
          <w:lang w:eastAsia="zh-CN"/>
        </w:rPr>
        <w:t>；建筑信息模型（BIM）技术应用费最高投标限价为人民币</w:t>
      </w:r>
      <w:r>
        <w:rPr>
          <w:rFonts w:hint="eastAsia" w:ascii="宋体" w:hAnsi="宋体" w:cs="宋体"/>
          <w:color w:val="auto"/>
          <w:sz w:val="24"/>
          <w:szCs w:val="22"/>
          <w:highlight w:val="none"/>
          <w:u w:val="single"/>
          <w:lang w:val="en-US" w:eastAsia="zh-CN"/>
        </w:rPr>
        <w:t>56.192</w:t>
      </w:r>
      <w:r>
        <w:rPr>
          <w:rFonts w:hint="eastAsia" w:ascii="宋体" w:hAnsi="宋体" w:cs="宋体"/>
          <w:color w:val="auto"/>
          <w:sz w:val="24"/>
          <w:szCs w:val="22"/>
          <w:highlight w:val="none"/>
          <w:u w:val="single"/>
          <w:lang w:eastAsia="zh-CN"/>
        </w:rPr>
        <w:t>万元</w:t>
      </w:r>
      <w:r>
        <w:rPr>
          <w:rFonts w:hint="eastAsia" w:ascii="宋体" w:hAnsi="宋体" w:cs="宋体"/>
          <w:color w:val="auto"/>
          <w:sz w:val="24"/>
          <w:szCs w:val="22"/>
          <w:highlight w:val="none"/>
          <w:u w:val="single"/>
        </w:rPr>
        <w:t>。</w:t>
      </w:r>
    </w:p>
    <w:p w14:paraId="1CA421A9">
      <w:pPr>
        <w:snapToGrid w:val="0"/>
        <w:spacing w:line="360" w:lineRule="auto"/>
        <w:ind w:firstLine="482" w:firstLineChars="200"/>
        <w:rPr>
          <w:rFonts w:ascii="宋体" w:hAnsi="宋体" w:cs="宋体"/>
          <w:color w:val="auto"/>
          <w:sz w:val="24"/>
          <w:szCs w:val="22"/>
          <w:highlight w:val="none"/>
          <w:u w:val="single"/>
        </w:rPr>
      </w:pPr>
      <w:r>
        <w:rPr>
          <w:rFonts w:hint="eastAsia" w:ascii="宋体" w:hAnsi="宋体" w:cs="宋体"/>
          <w:b/>
          <w:bCs/>
          <w:color w:val="auto"/>
          <w:sz w:val="24"/>
          <w:szCs w:val="22"/>
          <w:highlight w:val="none"/>
          <w:u w:val="single"/>
        </w:rPr>
        <w:t>投标人的投标总价或</w:t>
      </w:r>
      <w:r>
        <w:rPr>
          <w:rFonts w:hint="eastAsia" w:ascii="宋体" w:hAnsi="宋体" w:cs="宋体"/>
          <w:b/>
          <w:bCs/>
          <w:color w:val="auto"/>
          <w:sz w:val="24"/>
          <w:szCs w:val="22"/>
          <w:highlight w:val="none"/>
          <w:u w:val="single"/>
          <w:lang w:val="en-US" w:eastAsia="zh-CN"/>
        </w:rPr>
        <w:t>工程</w:t>
      </w:r>
      <w:r>
        <w:rPr>
          <w:rFonts w:hint="eastAsia" w:ascii="宋体" w:hAnsi="宋体" w:cs="宋体"/>
          <w:b/>
          <w:bCs/>
          <w:color w:val="auto"/>
          <w:sz w:val="24"/>
          <w:szCs w:val="22"/>
          <w:highlight w:val="none"/>
          <w:u w:val="single"/>
        </w:rPr>
        <w:t>勘察费或</w:t>
      </w:r>
      <w:r>
        <w:rPr>
          <w:rFonts w:hint="eastAsia" w:ascii="宋体" w:hAnsi="宋体" w:cs="宋体"/>
          <w:b/>
          <w:bCs/>
          <w:color w:val="auto"/>
          <w:sz w:val="24"/>
          <w:szCs w:val="22"/>
          <w:highlight w:val="none"/>
          <w:u w:val="single"/>
          <w:lang w:val="en-US" w:eastAsia="zh-CN"/>
        </w:rPr>
        <w:t>工程</w:t>
      </w:r>
      <w:r>
        <w:rPr>
          <w:rFonts w:hint="eastAsia" w:ascii="宋体" w:hAnsi="宋体" w:cs="宋体"/>
          <w:b/>
          <w:bCs/>
          <w:color w:val="auto"/>
          <w:sz w:val="24"/>
          <w:szCs w:val="22"/>
          <w:highlight w:val="none"/>
          <w:u w:val="single"/>
        </w:rPr>
        <w:t>设计费或BIM技术应用费或综合包干单价超过上述相应最高投标限价的为无</w:t>
      </w:r>
      <w:r>
        <w:rPr>
          <w:rFonts w:hint="eastAsia" w:ascii="宋体" w:hAnsi="宋体" w:cs="宋体"/>
          <w:b/>
          <w:bCs/>
          <w:color w:val="auto"/>
          <w:sz w:val="24"/>
          <w:szCs w:val="22"/>
          <w:highlight w:val="none"/>
          <w:u w:val="single"/>
          <w:lang w:eastAsia="zh-CN"/>
        </w:rPr>
        <w:t>效投</w:t>
      </w:r>
      <w:r>
        <w:rPr>
          <w:rFonts w:hint="eastAsia" w:ascii="宋体" w:hAnsi="宋体" w:cs="宋体"/>
          <w:b/>
          <w:bCs/>
          <w:color w:val="auto"/>
          <w:sz w:val="24"/>
          <w:szCs w:val="22"/>
          <w:highlight w:val="none"/>
          <w:u w:val="single"/>
        </w:rPr>
        <w:t>标。项目应实行限额设计，建安工程费（7836.39万元）作为设计限额。</w:t>
      </w:r>
    </w:p>
    <w:p w14:paraId="21518C3C">
      <w:pPr>
        <w:pStyle w:val="4"/>
        <w:spacing w:line="360" w:lineRule="auto"/>
        <w:rPr>
          <w:rFonts w:ascii="宋体" w:hAnsi="宋体"/>
          <w:b/>
          <w:color w:val="auto"/>
          <w:spacing w:val="1"/>
          <w:sz w:val="32"/>
          <w:highlight w:val="none"/>
        </w:rPr>
      </w:pPr>
      <w:bookmarkStart w:id="2" w:name="_Toc25072050"/>
      <w:r>
        <w:rPr>
          <w:rFonts w:hint="eastAsia" w:ascii="宋体" w:hAnsi="宋体"/>
          <w:b/>
          <w:color w:val="auto"/>
          <w:spacing w:val="1"/>
          <w:sz w:val="32"/>
          <w:highlight w:val="none"/>
        </w:rPr>
        <w:t>5.投标人资格要求</w:t>
      </w:r>
      <w:bookmarkEnd w:id="2"/>
    </w:p>
    <w:p w14:paraId="47DC25FD">
      <w:pPr>
        <w:autoSpaceDE w:val="0"/>
        <w:autoSpaceDN w:val="0"/>
        <w:adjustRightIn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5.1  投标人（如为联合体，则联合体各方）与招标人过去3年内无合同履约纠纷，没有不得参加投标的情形；（以投标人提供的《投标人声明》为评审依据） </w:t>
      </w:r>
    </w:p>
    <w:p w14:paraId="361DDC8D">
      <w:pPr>
        <w:autoSpaceDE w:val="0"/>
        <w:autoSpaceDN w:val="0"/>
        <w:adjustRightInd w:val="0"/>
        <w:spacing w:line="360" w:lineRule="auto"/>
        <w:ind w:firstLine="480" w:firstLineChars="200"/>
        <w:rPr>
          <w:rFonts w:ascii="宋体" w:hAnsi="宋体" w:cs="宋体"/>
          <w:color w:val="auto"/>
          <w:spacing w:val="9"/>
          <w:kern w:val="0"/>
          <w:sz w:val="24"/>
          <w:highlight w:val="none"/>
        </w:rPr>
      </w:pPr>
      <w:r>
        <w:rPr>
          <w:rFonts w:hint="eastAsia" w:ascii="宋体" w:hAnsi="宋体" w:cs="宋体"/>
          <w:color w:val="auto"/>
          <w:kern w:val="0"/>
          <w:sz w:val="24"/>
          <w:highlight w:val="none"/>
          <w:u w:val="single"/>
        </w:rPr>
        <w:t xml:space="preserve">5.2  </w:t>
      </w:r>
      <w:r>
        <w:rPr>
          <w:rFonts w:hint="eastAsia" w:ascii="宋体" w:hAnsi="宋体" w:cs="宋体"/>
          <w:color w:val="auto"/>
          <w:spacing w:val="9"/>
          <w:kern w:val="0"/>
          <w:sz w:val="24"/>
          <w:highlight w:val="none"/>
          <w:u w:val="single"/>
        </w:rPr>
        <w:t>投标人须同时具备以下5.2.1、5.2.2资质证书：</w:t>
      </w:r>
    </w:p>
    <w:p w14:paraId="21622C68">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5.2.1工程勘察资质（以下资质条件之一）：</w:t>
      </w:r>
    </w:p>
    <w:p w14:paraId="72A9F535">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（1）建设行政主管部门颁发的工程勘察综合甲级资质；</w:t>
      </w:r>
    </w:p>
    <w:p w14:paraId="633F8008">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（2）建设行政主管部门颁发的</w:t>
      </w:r>
      <w:r>
        <w:rPr>
          <w:rFonts w:hint="eastAsia" w:ascii="宋体" w:hAnsi="宋体" w:cs="宋体"/>
          <w:color w:val="auto"/>
          <w:kern w:val="0"/>
          <w:sz w:val="24"/>
          <w:highlight w:val="none"/>
          <w:u w:val="single"/>
          <w:lang w:bidi="ar"/>
        </w:rPr>
        <w:t>工程勘察专业类（岩土工程）</w:t>
      </w:r>
      <w:r>
        <w:rPr>
          <w:rFonts w:hint="eastAsia" w:ascii="宋体" w:hAnsi="宋体" w:cs="宋体"/>
          <w:color w:val="auto"/>
          <w:spacing w:val="9"/>
          <w:kern w:val="0"/>
          <w:sz w:val="24"/>
          <w:highlight w:val="none"/>
          <w:u w:val="single"/>
        </w:rPr>
        <w:t>甲级资质；</w:t>
      </w:r>
    </w:p>
    <w:p w14:paraId="38E8A32A">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（3）建设行政主管部门颁发的</w:t>
      </w:r>
      <w:r>
        <w:rPr>
          <w:rFonts w:hint="eastAsia" w:ascii="宋体" w:hAnsi="宋体" w:cs="宋体"/>
          <w:color w:val="auto"/>
          <w:kern w:val="0"/>
          <w:sz w:val="24"/>
          <w:highlight w:val="none"/>
          <w:u w:val="single"/>
          <w:lang w:bidi="ar"/>
        </w:rPr>
        <w:t>工程勘察专业类（岩土工程）（分项）岩土工程勘察</w:t>
      </w:r>
      <w:r>
        <w:rPr>
          <w:rFonts w:hint="eastAsia" w:ascii="宋体" w:hAnsi="宋体" w:cs="宋体"/>
          <w:color w:val="auto"/>
          <w:spacing w:val="9"/>
          <w:kern w:val="0"/>
          <w:sz w:val="24"/>
          <w:highlight w:val="none"/>
          <w:u w:val="single"/>
        </w:rPr>
        <w:t>甲级资质。</w:t>
      </w:r>
    </w:p>
    <w:p w14:paraId="71358537">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5.2.2工程设计资质（以下资质条件之一）：</w:t>
      </w:r>
    </w:p>
    <w:p w14:paraId="40894614">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（1）建设行政主管部门颁发的工程设计综合甲级资质；</w:t>
      </w:r>
    </w:p>
    <w:p w14:paraId="214D6BF0">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（2）建设行政主管部门颁发的工程设计建筑行业甲级资质；</w:t>
      </w:r>
    </w:p>
    <w:p w14:paraId="23061486">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（3）建设行政主管部门颁发的建筑行业（建筑工程）专业设计甲级资质；</w:t>
      </w:r>
    </w:p>
    <w:p w14:paraId="397F6577">
      <w:pPr>
        <w:autoSpaceDE w:val="0"/>
        <w:autoSpaceDN w:val="0"/>
        <w:adjustRightInd w:val="0"/>
        <w:ind w:firstLine="516" w:firstLineChars="200"/>
        <w:rPr>
          <w:rFonts w:ascii="宋体" w:hAnsi="宋体" w:cs="宋体"/>
          <w:color w:val="auto"/>
          <w:sz w:val="24"/>
          <w:highlight w:val="none"/>
        </w:rPr>
      </w:pPr>
      <w:r>
        <w:rPr>
          <w:rFonts w:hint="eastAsia" w:ascii="宋体" w:hAnsi="宋体" w:cs="宋体"/>
          <w:color w:val="auto"/>
          <w:spacing w:val="9"/>
          <w:kern w:val="0"/>
          <w:sz w:val="24"/>
          <w:highlight w:val="none"/>
          <w:u w:val="single"/>
        </w:rPr>
        <w:t>（4）建设行政主管部门颁发的建筑设计事务所资质。</w:t>
      </w:r>
    </w:p>
    <w:p w14:paraId="24F3A9F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注：（1）国内申请人具体资质要求按照</w:t>
      </w:r>
      <w:r>
        <w:rPr>
          <w:rFonts w:hint="eastAsia" w:ascii="宋体" w:hAnsi="宋体" w:cs="宋体"/>
          <w:color w:val="auto"/>
          <w:sz w:val="24"/>
          <w:highlight w:val="none"/>
        </w:rPr>
        <w:t>《建设工程勘察设计资质管理规定》（建设部令第160号）</w:t>
      </w:r>
      <w:r>
        <w:rPr>
          <w:rFonts w:hint="eastAsia" w:ascii="宋体" w:hAnsi="宋体" w:cs="宋体"/>
          <w:color w:val="auto"/>
          <w:kern w:val="0"/>
          <w:sz w:val="24"/>
          <w:highlight w:val="none"/>
        </w:rPr>
        <w:t>、《工程勘察资质分级标准》（建设[2001]22号）</w:t>
      </w:r>
      <w:r>
        <w:rPr>
          <w:rFonts w:hint="eastAsia" w:ascii="宋体" w:hAnsi="宋体" w:cs="宋体"/>
          <w:color w:val="auto"/>
          <w:sz w:val="24"/>
          <w:highlight w:val="none"/>
        </w:rPr>
        <w:t>、</w:t>
      </w:r>
      <w:r>
        <w:rPr>
          <w:rFonts w:hint="eastAsia" w:ascii="宋体" w:hAnsi="宋体" w:cs="宋体"/>
          <w:color w:val="auto"/>
          <w:kern w:val="0"/>
          <w:sz w:val="24"/>
          <w:highlight w:val="none"/>
        </w:rPr>
        <w:t>《工程勘察、工程设计资质分级标准补充规定》（建设〔2001〕178号）、</w:t>
      </w:r>
      <w:r>
        <w:rPr>
          <w:rFonts w:hint="eastAsia" w:ascii="宋体" w:hAnsi="宋体" w:cs="宋体"/>
          <w:color w:val="auto"/>
          <w:sz w:val="24"/>
          <w:highlight w:val="none"/>
        </w:rPr>
        <w:t>《工程设计资质标准》（建市〔2007〕86号）、《建设工程勘察设计资质管理规定实施意见》（建市[2007]202号）、《工程勘察资质标准》（建市[2013]9号）、</w:t>
      </w:r>
      <w:r>
        <w:rPr>
          <w:rFonts w:hint="eastAsia" w:ascii="宋体" w:hAnsi="宋体" w:cs="宋体"/>
          <w:color w:val="auto"/>
          <w:kern w:val="0"/>
          <w:sz w:val="24"/>
          <w:highlight w:val="none"/>
        </w:rPr>
        <w:t>《住房城乡建设部关于促进建筑工程设计事务所发展有关事项的通知》（建市〔2016〕261号）填写。</w:t>
      </w:r>
    </w:p>
    <w:p w14:paraId="6623EBA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cs="宋体"/>
          <w:color w:val="auto"/>
          <w:sz w:val="24"/>
          <w:highlight w:val="none"/>
        </w:rPr>
        <w:t>等相关规定</w:t>
      </w:r>
      <w:r>
        <w:rPr>
          <w:rFonts w:hint="eastAsia" w:ascii="宋体" w:hAnsi="宋体" w:cs="宋体"/>
          <w:color w:val="auto"/>
          <w:kern w:val="0"/>
          <w:sz w:val="24"/>
          <w:highlight w:val="none"/>
        </w:rPr>
        <w:t>执行</w:t>
      </w:r>
      <w:r>
        <w:rPr>
          <w:rFonts w:hint="eastAsia" w:ascii="宋体" w:hAnsi="宋体" w:cs="宋体"/>
          <w:color w:val="auto"/>
          <w:sz w:val="24"/>
          <w:highlight w:val="none"/>
        </w:rPr>
        <w:t>。根据上述文件的要求，投标人需办理企业资质有效期延续的，应当按照相关规定及时办理</w:t>
      </w:r>
      <w:r>
        <w:rPr>
          <w:rFonts w:hint="eastAsia" w:ascii="宋体" w:hAnsi="宋体" w:cs="宋体"/>
          <w:color w:val="auto"/>
          <w:kern w:val="0"/>
          <w:sz w:val="24"/>
          <w:highlight w:val="none"/>
        </w:rPr>
        <w:t xml:space="preserve">。 </w:t>
      </w:r>
    </w:p>
    <w:p w14:paraId="2570C0B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u w:val="single"/>
        </w:rPr>
        <w:t>香港企业独立参加投标的，须在广东省住房和城乡建设主管部门备案且备案的业务范围应符合本招标项目对工程勘察、设计资质的要求</w:t>
      </w:r>
      <w:r>
        <w:rPr>
          <w:rFonts w:hint="eastAsia" w:ascii="宋体" w:hAnsi="宋体" w:cs="宋体"/>
          <w:color w:val="auto"/>
          <w:kern w:val="0"/>
          <w:sz w:val="24"/>
          <w:highlight w:val="none"/>
        </w:rPr>
        <w:t>。</w:t>
      </w:r>
    </w:p>
    <w:p w14:paraId="62FC6CD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香港企业备案的业务范围依据《广东省住房和城乡建设厅关于印发香港工程建设咨询企业和专业人士在粤港澳大湾区内地城市开业执业试点管理暂行办法的通知》（粤建规范〔2020〕1号，详见链接：</w:t>
      </w:r>
      <w:r>
        <w:rPr>
          <w:color w:val="auto"/>
          <w:highlight w:val="none"/>
        </w:rPr>
        <w:fldChar w:fldCharType="begin"/>
      </w:r>
      <w:r>
        <w:rPr>
          <w:color w:val="auto"/>
          <w:highlight w:val="none"/>
        </w:rPr>
        <w:instrText xml:space="preserve"> HYPERLINK "http://zfcxjst.gd.gov.cn/xxgk/wjtz/content/post_3137220.html）确定。香港企业须提供满足招标文件要求的相应资质证书及备案证明资料扫描件。" </w:instrText>
      </w:r>
      <w:r>
        <w:rPr>
          <w:color w:val="auto"/>
          <w:highlight w:val="none"/>
        </w:rPr>
        <w:fldChar w:fldCharType="separate"/>
      </w:r>
      <w:r>
        <w:rPr>
          <w:rFonts w:hint="eastAsia" w:ascii="宋体" w:hAnsi="宋体" w:cs="宋体"/>
          <w:color w:val="auto"/>
          <w:kern w:val="0"/>
          <w:sz w:val="24"/>
          <w:highlight w:val="none"/>
        </w:rPr>
        <w:t>http://zfcxjst.gd.gov.cn/xxgk/wjtz/content/post_3137220.html）确定。香港企业须提供满足招标文件要求的相应资质证书及备案证明资料扫描件。</w:t>
      </w:r>
      <w:r>
        <w:rPr>
          <w:rFonts w:hint="eastAsia" w:ascii="宋体" w:hAnsi="宋体" w:cs="宋体"/>
          <w:color w:val="auto"/>
          <w:kern w:val="0"/>
          <w:sz w:val="24"/>
          <w:highlight w:val="none"/>
        </w:rPr>
        <w:fldChar w:fldCharType="end"/>
      </w:r>
    </w:p>
    <w:p w14:paraId="4B6B3B5A">
      <w:pPr>
        <w:autoSpaceDE w:val="0"/>
        <w:autoSpaceDN w:val="0"/>
        <w:adjustRightInd w:val="0"/>
        <w:spacing w:line="360" w:lineRule="auto"/>
        <w:ind w:firstLine="508" w:firstLineChars="200"/>
        <w:rPr>
          <w:rFonts w:ascii="宋体" w:hAnsi="宋体"/>
          <w:color w:val="auto"/>
          <w:spacing w:val="7"/>
          <w:kern w:val="0"/>
          <w:sz w:val="24"/>
          <w:highlight w:val="none"/>
          <w:u w:val="single"/>
        </w:rPr>
      </w:pPr>
      <w:r>
        <w:rPr>
          <w:rFonts w:hint="eastAsia" w:ascii="宋体" w:hAnsi="宋体"/>
          <w:color w:val="auto"/>
          <w:spacing w:val="7"/>
          <w:kern w:val="0"/>
          <w:sz w:val="24"/>
          <w:highlight w:val="none"/>
        </w:rPr>
        <w:t>5.3  外国或澳门、台湾的设计企业必须选择一家符合上述条件（招标公告第5.1条、第5.2.2条要求）的国内投标人进行合作设计。香港企业如不单独参加投标，也必须选择一家符合上述条件（招标公告第5.1条、第5.2.2条要求）的国内投标人进行合作设计。（需提供合作设计协议书）</w:t>
      </w:r>
    </w:p>
    <w:p w14:paraId="7740B801">
      <w:pPr>
        <w:autoSpaceDE w:val="0"/>
        <w:autoSpaceDN w:val="0"/>
        <w:adjustRightInd w:val="0"/>
        <w:spacing w:line="360" w:lineRule="auto"/>
        <w:ind w:firstLine="508" w:firstLineChars="200"/>
        <w:rPr>
          <w:rFonts w:ascii="宋体" w:hAnsi="宋体"/>
          <w:color w:val="auto"/>
          <w:spacing w:val="7"/>
          <w:kern w:val="0"/>
          <w:sz w:val="24"/>
          <w:highlight w:val="none"/>
          <w:u w:val="single"/>
        </w:rPr>
      </w:pPr>
      <w:r>
        <w:rPr>
          <w:rFonts w:hint="eastAsia" w:ascii="宋体" w:hAnsi="宋体"/>
          <w:color w:val="auto"/>
          <w:spacing w:val="7"/>
          <w:kern w:val="0"/>
          <w:sz w:val="24"/>
          <w:highlight w:val="none"/>
        </w:rPr>
        <w:t>5.4  投标人</w:t>
      </w:r>
      <w:r>
        <w:rPr>
          <w:rFonts w:hint="eastAsia" w:ascii="宋体" w:hAnsi="宋体"/>
          <w:color w:val="auto"/>
          <w:kern w:val="0"/>
          <w:sz w:val="24"/>
          <w:highlight w:val="none"/>
        </w:rPr>
        <w:t>（如为联合体，则联合体各方）</w:t>
      </w:r>
      <w:r>
        <w:rPr>
          <w:rFonts w:hint="eastAsia" w:ascii="宋体" w:hAnsi="宋体"/>
          <w:color w:val="auto"/>
          <w:spacing w:val="7"/>
          <w:kern w:val="0"/>
          <w:sz w:val="24"/>
          <w:highlight w:val="none"/>
        </w:rPr>
        <w:t>已在</w:t>
      </w:r>
      <w:r>
        <w:rPr>
          <w:rFonts w:hint="eastAsia" w:ascii="宋体" w:hAnsi="宋体"/>
          <w:color w:val="auto"/>
          <w:kern w:val="0"/>
          <w:sz w:val="24"/>
          <w:highlight w:val="none"/>
        </w:rPr>
        <w:t>广州市住房和城乡建设局</w:t>
      </w:r>
      <w:r>
        <w:rPr>
          <w:rFonts w:hint="eastAsia" w:ascii="宋体" w:hAnsi="宋体"/>
          <w:color w:val="auto"/>
          <w:spacing w:val="7"/>
          <w:kern w:val="0"/>
          <w:sz w:val="24"/>
          <w:highlight w:val="none"/>
        </w:rPr>
        <w:t>建立企业信用档案，拟委派的项目负责人须是本企业信用档案中的在册人员。（信用档案办理详见《广州市住建行业信用管理平台勘察企业信息录入办理指引》</w:t>
      </w:r>
      <w:r>
        <w:rPr>
          <w:rFonts w:ascii="宋体" w:hAnsi="宋体"/>
          <w:color w:val="auto"/>
          <w:spacing w:val="7"/>
          <w:kern w:val="0"/>
          <w:sz w:val="24"/>
          <w:highlight w:val="none"/>
        </w:rPr>
        <w:t>http://zfcj.gz.gov.cn/zwgk/zsdwxxgkzl/gzsjzyglfwzx/bszy/content/post_8077254.html</w:t>
      </w:r>
      <w:r>
        <w:rPr>
          <w:rFonts w:hint="eastAsia" w:ascii="宋体" w:hAnsi="宋体"/>
          <w:color w:val="auto"/>
          <w:spacing w:val="7"/>
          <w:kern w:val="0"/>
          <w:sz w:val="24"/>
          <w:highlight w:val="none"/>
        </w:rPr>
        <w:t>、《广州市住建行业信用管理平台设计企业信息录入指引》http://zfcj.gz.gov.cn/zwgk/zsdwxxgkzl/gzsjzyglfwzx/bszy/content/post_9116013.html）</w:t>
      </w:r>
    </w:p>
    <w:p w14:paraId="3D39CC9C">
      <w:pPr>
        <w:autoSpaceDE w:val="0"/>
        <w:autoSpaceDN w:val="0"/>
        <w:adjustRightInd w:val="0"/>
        <w:spacing w:line="360" w:lineRule="auto"/>
        <w:ind w:firstLine="508" w:firstLineChars="200"/>
        <w:rPr>
          <w:rFonts w:ascii="宋体" w:hAnsi="宋体"/>
          <w:color w:val="auto"/>
          <w:spacing w:val="7"/>
          <w:kern w:val="0"/>
          <w:sz w:val="24"/>
          <w:highlight w:val="none"/>
          <w:u w:val="single"/>
        </w:rPr>
      </w:pPr>
      <w:r>
        <w:rPr>
          <w:rFonts w:hint="eastAsia" w:ascii="宋体" w:hAnsi="宋体"/>
          <w:color w:val="auto"/>
          <w:spacing w:val="7"/>
          <w:kern w:val="0"/>
          <w:sz w:val="24"/>
          <w:highlight w:val="none"/>
          <w:u w:val="single"/>
        </w:rPr>
        <w:t>5.5  投标人委派的项目负责人须具备一级注册建筑师资格或备案的业务范围</w:t>
      </w:r>
      <w:bookmarkStart w:id="3" w:name="_Hlk106938609"/>
      <w:r>
        <w:rPr>
          <w:rFonts w:hint="eastAsia" w:ascii="宋体" w:hAnsi="宋体"/>
          <w:color w:val="auto"/>
          <w:spacing w:val="7"/>
          <w:kern w:val="0"/>
          <w:sz w:val="24"/>
          <w:highlight w:val="none"/>
          <w:u w:val="single"/>
        </w:rPr>
        <w:t>相当于一级注册建筑师的</w:t>
      </w:r>
      <w:bookmarkEnd w:id="3"/>
      <w:r>
        <w:rPr>
          <w:rFonts w:hint="eastAsia" w:ascii="宋体" w:hAnsi="宋体"/>
          <w:color w:val="auto"/>
          <w:spacing w:val="7"/>
          <w:kern w:val="0"/>
          <w:sz w:val="24"/>
          <w:highlight w:val="none"/>
          <w:u w:val="single"/>
        </w:rPr>
        <w:t>香港专业人士。</w:t>
      </w:r>
    </w:p>
    <w:p w14:paraId="6B787A14">
      <w:pPr>
        <w:pStyle w:val="2"/>
        <w:keepNext w:val="0"/>
        <w:keepLines w:val="0"/>
        <w:widowControl/>
        <w:shd w:val="clear" w:color="auto"/>
        <w:spacing w:before="0" w:after="0" w:line="360" w:lineRule="auto"/>
        <w:ind w:firstLine="510" w:firstLineChars="200"/>
        <w:jc w:val="left"/>
        <w:rPr>
          <w:rFonts w:ascii="宋体" w:hAnsi="宋体" w:cs="宋体"/>
          <w:b w:val="0"/>
          <w:bCs/>
          <w:color w:val="auto"/>
          <w:kern w:val="2"/>
          <w:sz w:val="24"/>
          <w:szCs w:val="24"/>
          <w:highlight w:val="none"/>
          <w:u w:val="single"/>
        </w:rPr>
      </w:pPr>
      <w:r>
        <w:rPr>
          <w:rFonts w:hint="eastAsia" w:ascii="宋体" w:hAnsi="宋体"/>
          <w:color w:val="auto"/>
          <w:spacing w:val="7"/>
          <w:kern w:val="0"/>
          <w:sz w:val="24"/>
          <w:highlight w:val="none"/>
        </w:rPr>
        <w:t>注：</w:t>
      </w:r>
      <w:r>
        <w:rPr>
          <w:rFonts w:hint="eastAsia" w:ascii="宋体" w:hAnsi="宋体"/>
          <w:b w:val="0"/>
          <w:bCs/>
          <w:color w:val="auto"/>
          <w:spacing w:val="7"/>
          <w:kern w:val="0"/>
          <w:sz w:val="24"/>
          <w:highlight w:val="none"/>
        </w:rPr>
        <w:t>（1）</w:t>
      </w:r>
      <w:r>
        <w:rPr>
          <w:rFonts w:hint="eastAsia" w:ascii="宋体" w:hAnsi="宋体"/>
          <w:b w:val="0"/>
          <w:color w:val="auto"/>
          <w:spacing w:val="7"/>
          <w:kern w:val="0"/>
          <w:sz w:val="24"/>
          <w:szCs w:val="24"/>
          <w:highlight w:val="none"/>
        </w:rPr>
        <w:t>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或使用有效期内未在有效期内，该电子证书无效，投标人将自行承担资格审查不通过相应后果</w:t>
      </w:r>
      <w:r>
        <w:rPr>
          <w:rFonts w:ascii="宋体" w:hAnsi="宋体" w:cs="宋体"/>
          <w:b w:val="0"/>
          <w:bCs/>
          <w:color w:val="auto"/>
          <w:kern w:val="2"/>
          <w:sz w:val="24"/>
          <w:szCs w:val="24"/>
          <w:highlight w:val="none"/>
        </w:rPr>
        <w:t>。</w:t>
      </w:r>
    </w:p>
    <w:p w14:paraId="1085A91F">
      <w:pPr>
        <w:autoSpaceDE w:val="0"/>
        <w:autoSpaceDN w:val="0"/>
        <w:adjustRightInd w:val="0"/>
        <w:spacing w:line="360" w:lineRule="auto"/>
        <w:ind w:firstLine="508" w:firstLineChars="200"/>
        <w:rPr>
          <w:color w:val="auto"/>
          <w:highlight w:val="none"/>
        </w:rPr>
      </w:pPr>
      <w:r>
        <w:rPr>
          <w:rFonts w:hint="eastAsia" w:ascii="宋体" w:hAnsi="宋体"/>
          <w:color w:val="auto"/>
          <w:spacing w:val="7"/>
          <w:kern w:val="0"/>
          <w:sz w:val="24"/>
          <w:highlight w:val="none"/>
        </w:rPr>
        <w:t>（2）香港专业人士的备案业务范围依据《广东省住房和城乡建设厅关于印发香港工程建设咨询企业和专业人士在粤港澳大湾区内地城市开业执业试点管理暂行办法的通知》（粤建规范〔2020〕1号）确定。</w:t>
      </w:r>
      <w:bookmarkStart w:id="4" w:name="_Hlk106938655"/>
      <w:r>
        <w:rPr>
          <w:rFonts w:hint="eastAsia" w:ascii="宋体" w:hAnsi="宋体"/>
          <w:color w:val="auto"/>
          <w:spacing w:val="7"/>
          <w:kern w:val="0"/>
          <w:sz w:val="24"/>
          <w:highlight w:val="none"/>
        </w:rPr>
        <w:t>香港专业人士须提供满足招标文件要求的相应执业证书及备案证明资料扫描件。</w:t>
      </w:r>
      <w:bookmarkEnd w:id="4"/>
    </w:p>
    <w:p w14:paraId="60A8200D">
      <w:pPr>
        <w:spacing w:line="360" w:lineRule="auto"/>
        <w:ind w:firstLine="480"/>
        <w:rPr>
          <w:rFonts w:ascii="宋体" w:hAnsi="宋体" w:cs="宋体"/>
          <w:color w:val="auto"/>
          <w:sz w:val="24"/>
          <w:highlight w:val="none"/>
          <w:u w:val="single"/>
        </w:rPr>
      </w:pPr>
      <w:r>
        <w:rPr>
          <w:rFonts w:hint="eastAsia" w:ascii="宋体" w:hAnsi="宋体"/>
          <w:color w:val="auto"/>
          <w:spacing w:val="7"/>
          <w:kern w:val="0"/>
          <w:sz w:val="24"/>
          <w:highlight w:val="none"/>
          <w:u w:val="single"/>
        </w:rPr>
        <w:t xml:space="preserve">5.6  </w:t>
      </w:r>
      <w:r>
        <w:rPr>
          <w:rFonts w:hint="eastAsia" w:ascii="宋体" w:hAnsi="宋体" w:cs="宋体"/>
          <w:color w:val="auto"/>
          <w:sz w:val="24"/>
          <w:highlight w:val="none"/>
          <w:u w:val="single"/>
        </w:rPr>
        <w:t>本次招标接受联合体投标，联合体投标的，应满足下列要求：</w:t>
      </w:r>
    </w:p>
    <w:p w14:paraId="5AD96D3A">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highlight w:val="none"/>
          <w:u w:val="single"/>
        </w:rPr>
        <w:t>投标人可以组成联合体投标，</w:t>
      </w:r>
      <w:r>
        <w:rPr>
          <w:rFonts w:hint="eastAsia" w:ascii="宋体" w:hAnsi="宋体"/>
          <w:color w:val="auto"/>
          <w:sz w:val="24"/>
          <w:highlight w:val="none"/>
          <w:u w:val="single"/>
        </w:rPr>
        <w:t>但只接受最多由</w:t>
      </w:r>
      <w:r>
        <w:rPr>
          <w:rFonts w:ascii="宋体" w:hAnsi="宋体"/>
          <w:color w:val="auto"/>
          <w:sz w:val="24"/>
          <w:highlight w:val="none"/>
          <w:u w:val="single"/>
        </w:rPr>
        <w:t>2</w:t>
      </w:r>
      <w:r>
        <w:rPr>
          <w:rFonts w:hint="eastAsia" w:ascii="宋体" w:hAnsi="宋体"/>
          <w:color w:val="auto"/>
          <w:sz w:val="24"/>
          <w:highlight w:val="none"/>
          <w:u w:val="single"/>
        </w:rPr>
        <w:t>家单位（即</w:t>
      </w:r>
      <w:r>
        <w:rPr>
          <w:rFonts w:hint="eastAsia" w:ascii="宋体" w:hAnsi="宋体"/>
          <w:color w:val="auto"/>
          <w:sz w:val="24"/>
          <w:highlight w:val="none"/>
          <w:u w:val="single"/>
          <w:lang w:eastAsia="zh-CN"/>
        </w:rPr>
        <w:t>1</w:t>
      </w:r>
      <w:r>
        <w:rPr>
          <w:rFonts w:hint="eastAsia" w:ascii="宋体" w:hAnsi="宋体"/>
          <w:color w:val="auto"/>
          <w:sz w:val="24"/>
          <w:highlight w:val="none"/>
          <w:u w:val="single"/>
        </w:rPr>
        <w:t>家勘察单位</w:t>
      </w:r>
      <w:r>
        <w:rPr>
          <w:rFonts w:hint="eastAsia" w:ascii="宋体" w:hAnsi="宋体" w:cs="宋体"/>
          <w:b w:val="0"/>
          <w:bCs w:val="0"/>
          <w:color w:val="auto"/>
          <w:spacing w:val="-2"/>
          <w:sz w:val="24"/>
          <w:highlight w:val="none"/>
          <w:u w:val="double"/>
          <w:lang w:val="en-US" w:eastAsia="zh-CN"/>
        </w:rPr>
        <w:t>负责全部</w:t>
      </w:r>
      <w:r>
        <w:rPr>
          <w:rFonts w:hint="eastAsia" w:ascii="宋体" w:hAnsi="宋体"/>
          <w:color w:val="auto"/>
          <w:sz w:val="24"/>
          <w:highlight w:val="none"/>
          <w:u w:val="single"/>
        </w:rPr>
        <w:t>勘察</w:t>
      </w:r>
      <w:r>
        <w:rPr>
          <w:rFonts w:hint="eastAsia" w:ascii="宋体" w:hAnsi="宋体" w:cs="宋体"/>
          <w:b w:val="0"/>
          <w:bCs w:val="0"/>
          <w:color w:val="auto"/>
          <w:spacing w:val="-2"/>
          <w:sz w:val="24"/>
          <w:highlight w:val="none"/>
          <w:u w:val="double"/>
          <w:lang w:val="en-US" w:eastAsia="zh-CN"/>
        </w:rPr>
        <w:t>工作</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1</w:t>
      </w:r>
      <w:r>
        <w:rPr>
          <w:rFonts w:hint="eastAsia" w:ascii="宋体" w:hAnsi="宋体"/>
          <w:color w:val="auto"/>
          <w:sz w:val="24"/>
          <w:highlight w:val="none"/>
          <w:u w:val="single"/>
        </w:rPr>
        <w:t>家设计单位</w:t>
      </w:r>
      <w:r>
        <w:rPr>
          <w:rFonts w:hint="eastAsia" w:ascii="宋体" w:hAnsi="宋体" w:cs="宋体"/>
          <w:b w:val="0"/>
          <w:bCs w:val="0"/>
          <w:color w:val="auto"/>
          <w:spacing w:val="-2"/>
          <w:sz w:val="24"/>
          <w:highlight w:val="none"/>
          <w:u w:val="double"/>
          <w:lang w:val="en-US" w:eastAsia="zh-CN"/>
        </w:rPr>
        <w:t>负责全部</w:t>
      </w:r>
      <w:r>
        <w:rPr>
          <w:rFonts w:hint="eastAsia" w:ascii="宋体" w:hAnsi="宋体"/>
          <w:color w:val="auto"/>
          <w:sz w:val="24"/>
          <w:highlight w:val="none"/>
          <w:u w:val="single"/>
        </w:rPr>
        <w:t>设计</w:t>
      </w:r>
      <w:r>
        <w:rPr>
          <w:rFonts w:hint="eastAsia" w:ascii="宋体" w:hAnsi="宋体"/>
          <w:color w:val="auto"/>
          <w:sz w:val="24"/>
          <w:highlight w:val="none"/>
          <w:u w:val="single"/>
          <w:lang w:val="en-US" w:eastAsia="zh-CN"/>
        </w:rPr>
        <w:t>工作</w:t>
      </w:r>
      <w:r>
        <w:rPr>
          <w:rFonts w:hint="eastAsia" w:ascii="宋体" w:hAnsi="宋体"/>
          <w:color w:val="auto"/>
          <w:sz w:val="24"/>
          <w:highlight w:val="none"/>
          <w:u w:val="single"/>
        </w:rPr>
        <w:t>）组成的联合体。联合体投标的，应满足下列要求：</w:t>
      </w:r>
    </w:p>
    <w:p w14:paraId="3EF8B964">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如投标人组成联合体，应以具有符合本招标项目要求的工程设计资质的一方为联合体</w:t>
      </w:r>
      <w:r>
        <w:rPr>
          <w:rFonts w:hint="eastAsia" w:ascii="宋体" w:hAnsi="宋体" w:cs="宋体"/>
          <w:color w:val="auto"/>
          <w:sz w:val="24"/>
          <w:highlight w:val="none"/>
          <w:u w:val="single"/>
        </w:rPr>
        <w:t>主办方</w:t>
      </w:r>
      <w:r>
        <w:rPr>
          <w:rFonts w:hint="eastAsia" w:ascii="宋体" w:hAnsi="宋体"/>
          <w:color w:val="auto"/>
          <w:sz w:val="24"/>
          <w:highlight w:val="none"/>
          <w:u w:val="single"/>
        </w:rPr>
        <w:t>，并</w:t>
      </w:r>
      <w:r>
        <w:rPr>
          <w:rFonts w:hint="eastAsia" w:ascii="宋体" w:hAnsi="宋体"/>
          <w:color w:val="auto"/>
          <w:sz w:val="24"/>
          <w:highlight w:val="none"/>
          <w:u w:val="single"/>
          <w:lang w:eastAsia="zh-CN"/>
        </w:rPr>
        <w:t>签订</w:t>
      </w:r>
      <w:r>
        <w:rPr>
          <w:rFonts w:hint="eastAsia" w:ascii="宋体" w:hAnsi="宋体"/>
          <w:color w:val="auto"/>
          <w:sz w:val="24"/>
          <w:highlight w:val="none"/>
          <w:u w:val="single"/>
        </w:rPr>
        <w:t>联合体投标协议。投标登记截止后联合体增减、更换成员的，其投标无效。投标人拟任本招标项目负责人应为联合体</w:t>
      </w:r>
      <w:r>
        <w:rPr>
          <w:rFonts w:hint="eastAsia" w:ascii="宋体" w:hAnsi="宋体" w:cs="宋体"/>
          <w:color w:val="auto"/>
          <w:sz w:val="24"/>
          <w:highlight w:val="none"/>
          <w:u w:val="single"/>
        </w:rPr>
        <w:t>主办方</w:t>
      </w:r>
      <w:r>
        <w:rPr>
          <w:rFonts w:hint="eastAsia" w:ascii="宋体" w:hAnsi="宋体"/>
          <w:color w:val="auto"/>
          <w:sz w:val="24"/>
          <w:highlight w:val="none"/>
          <w:u w:val="single"/>
        </w:rPr>
        <w:t>正式员工。</w:t>
      </w:r>
    </w:p>
    <w:p w14:paraId="2609B2B5">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注：（1）联合体应签订一份联合体协议书（</w:t>
      </w:r>
      <w:r>
        <w:rPr>
          <w:rFonts w:hint="eastAsia" w:ascii="宋体" w:hAnsi="宋体" w:cs="宋体"/>
          <w:color w:val="auto"/>
          <w:sz w:val="24"/>
          <w:highlight w:val="none"/>
          <w:u w:val="single"/>
        </w:rPr>
        <w:t>格式按本招标公告附件一</w:t>
      </w:r>
      <w:r>
        <w:rPr>
          <w:rFonts w:hint="eastAsia" w:ascii="宋体" w:hAnsi="宋体"/>
          <w:color w:val="auto"/>
          <w:sz w:val="24"/>
          <w:highlight w:val="none"/>
          <w:u w:val="single"/>
        </w:rPr>
        <w:t>），明确约定联合体各方拟承担的工作和责任；</w:t>
      </w:r>
    </w:p>
    <w:p w14:paraId="6BFB3D73">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（2）联合体各方不得再单独或与其他单位组成联合体参与本项目投标。出现上述情况者，其投标和与此有关的联合体的投标将被拒绝；</w:t>
      </w:r>
    </w:p>
    <w:p w14:paraId="34B8729B">
      <w:pPr>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（3）联合体投标的除联合体协议书须联合体各方均签字盖章外，其余文件均可由联合体</w:t>
      </w:r>
      <w:r>
        <w:rPr>
          <w:rFonts w:hint="eastAsia" w:ascii="宋体" w:hAnsi="宋体" w:cs="宋体"/>
          <w:color w:val="auto"/>
          <w:sz w:val="24"/>
          <w:highlight w:val="none"/>
          <w:u w:val="single"/>
        </w:rPr>
        <w:t>主办方</w:t>
      </w:r>
      <w:r>
        <w:rPr>
          <w:rFonts w:hint="eastAsia" w:ascii="宋体" w:hAnsi="宋体"/>
          <w:color w:val="auto"/>
          <w:sz w:val="24"/>
          <w:highlight w:val="none"/>
          <w:u w:val="single"/>
        </w:rPr>
        <w:t>签字盖章。</w:t>
      </w:r>
    </w:p>
    <w:p w14:paraId="69BA10B0">
      <w:pPr>
        <w:autoSpaceDE w:val="0"/>
        <w:autoSpaceDN w:val="0"/>
        <w:adjustRightInd w:val="0"/>
        <w:spacing w:line="360" w:lineRule="auto"/>
        <w:ind w:firstLine="508" w:firstLineChars="200"/>
        <w:rPr>
          <w:rFonts w:ascii="宋体" w:hAnsi="宋体"/>
          <w:color w:val="auto"/>
          <w:spacing w:val="7"/>
          <w:kern w:val="0"/>
          <w:sz w:val="24"/>
          <w:highlight w:val="none"/>
          <w:u w:val="single"/>
        </w:rPr>
      </w:pPr>
      <w:r>
        <w:rPr>
          <w:rFonts w:hint="eastAsia" w:ascii="宋体" w:hAnsi="宋体"/>
          <w:color w:val="auto"/>
          <w:spacing w:val="7"/>
          <w:kern w:val="0"/>
          <w:sz w:val="24"/>
          <w:highlight w:val="none"/>
          <w:u w:val="single"/>
        </w:rPr>
        <w:t xml:space="preserve">5.7  </w:t>
      </w:r>
      <w:r>
        <w:rPr>
          <w:rFonts w:hint="eastAsia" w:ascii="宋体" w:hAnsi="宋体"/>
          <w:color w:val="auto"/>
          <w:sz w:val="24"/>
          <w:highlight w:val="none"/>
          <w:u w:val="single"/>
          <w:lang w:bidi="ar"/>
        </w:rPr>
        <w:t>投标人没有招标文件第二章第</w:t>
      </w:r>
      <w:r>
        <w:rPr>
          <w:rFonts w:ascii="宋体" w:hAnsi="宋体"/>
          <w:color w:val="auto"/>
          <w:sz w:val="24"/>
          <w:highlight w:val="none"/>
          <w:u w:val="single"/>
          <w:lang w:bidi="ar"/>
        </w:rPr>
        <w:t>1.4.3项规定的任何一种情形（根据《投标人声明》进行评审），投标人须按《投标人声明》规定的格式填写并加盖投标人章）。</w:t>
      </w:r>
    </w:p>
    <w:p w14:paraId="63BF3F5C">
      <w:pPr>
        <w:autoSpaceDE w:val="0"/>
        <w:autoSpaceDN w:val="0"/>
        <w:adjustRightInd w:val="0"/>
        <w:spacing w:line="360" w:lineRule="auto"/>
        <w:ind w:firstLine="508" w:firstLineChars="200"/>
        <w:rPr>
          <w:rFonts w:hint="eastAsia" w:ascii="宋体" w:hAnsi="宋体" w:cs="宋体"/>
          <w:color w:val="auto"/>
          <w:spacing w:val="7"/>
          <w:kern w:val="0"/>
          <w:sz w:val="24"/>
          <w:highlight w:val="none"/>
          <w:u w:val="single"/>
          <w:lang w:bidi="ar"/>
        </w:rPr>
      </w:pPr>
      <w:r>
        <w:rPr>
          <w:rFonts w:hint="eastAsia" w:ascii="宋体" w:hAnsi="宋体"/>
          <w:color w:val="auto"/>
          <w:spacing w:val="7"/>
          <w:kern w:val="0"/>
          <w:sz w:val="24"/>
          <w:highlight w:val="none"/>
          <w:u w:val="single"/>
        </w:rPr>
        <w:t>5.8  信誉要求：</w:t>
      </w:r>
      <w:r>
        <w:rPr>
          <w:rFonts w:hint="eastAsia" w:ascii="宋体" w:hAnsi="宋体" w:cs="宋体"/>
          <w:color w:val="auto"/>
          <w:spacing w:val="7"/>
          <w:kern w:val="0"/>
          <w:sz w:val="24"/>
          <w:highlight w:val="none"/>
          <w:u w:val="single"/>
          <w:lang w:bidi="ar"/>
        </w:rPr>
        <w:t>未被列入拖欠农民工工资失信联合惩戒对象名单</w:t>
      </w:r>
      <w:r>
        <w:rPr>
          <w:rFonts w:hint="eastAsia" w:ascii="宋体" w:hAnsi="宋体" w:cs="宋体"/>
          <w:color w:val="auto"/>
          <w:spacing w:val="7"/>
          <w:kern w:val="0"/>
          <w:sz w:val="24"/>
          <w:highlight w:val="none"/>
          <w:u w:val="single"/>
          <w:lang w:val="en-US" w:eastAsia="zh-CN" w:bidi="ar"/>
        </w:rPr>
        <w:t>和</w:t>
      </w:r>
      <w:r>
        <w:rPr>
          <w:rFonts w:hint="eastAsia" w:ascii="宋体" w:hAnsi="宋体" w:cs="宋体"/>
          <w:color w:val="auto"/>
          <w:spacing w:val="7"/>
          <w:kern w:val="0"/>
          <w:sz w:val="24"/>
          <w:szCs w:val="24"/>
          <w:highlight w:val="none"/>
          <w:u w:val="single"/>
          <w:lang w:val="en-US" w:eastAsia="zh-CN" w:bidi="ar"/>
        </w:rPr>
        <w:t>失信被执行人</w:t>
      </w:r>
      <w:r>
        <w:rPr>
          <w:rFonts w:hint="eastAsia" w:ascii="宋体" w:hAnsi="宋体" w:cs="宋体"/>
          <w:color w:val="auto"/>
          <w:spacing w:val="7"/>
          <w:kern w:val="0"/>
          <w:sz w:val="24"/>
          <w:highlight w:val="none"/>
          <w:u w:val="single"/>
          <w:lang w:bidi="ar"/>
        </w:rPr>
        <w:t>（投标截止时间内）。</w:t>
      </w:r>
    </w:p>
    <w:p w14:paraId="7EC8A732">
      <w:pPr>
        <w:pStyle w:val="6"/>
        <w:rPr>
          <w:color w:val="auto"/>
          <w:highlight w:val="none"/>
        </w:rPr>
      </w:pPr>
    </w:p>
    <w:p w14:paraId="14CFCEDF">
      <w:pPr>
        <w:pStyle w:val="4"/>
        <w:spacing w:line="360" w:lineRule="auto"/>
        <w:rPr>
          <w:rFonts w:ascii="宋体" w:hAnsi="宋体"/>
          <w:b/>
          <w:color w:val="auto"/>
          <w:spacing w:val="1"/>
          <w:sz w:val="32"/>
          <w:highlight w:val="none"/>
        </w:rPr>
      </w:pPr>
      <w:bookmarkStart w:id="5" w:name="_Toc25072051"/>
      <w:r>
        <w:rPr>
          <w:rFonts w:hint="eastAsia" w:ascii="宋体" w:hAnsi="宋体"/>
          <w:b/>
          <w:color w:val="auto"/>
          <w:spacing w:val="1"/>
          <w:sz w:val="32"/>
          <w:highlight w:val="none"/>
        </w:rPr>
        <w:t>6.未中标单位经济补偿及补偿金额</w:t>
      </w:r>
    </w:p>
    <w:p w14:paraId="16D7628C">
      <w:pPr>
        <w:widowControl/>
        <w:tabs>
          <w:tab w:val="left" w:pos="105"/>
        </w:tabs>
        <w:snapToGrid w:val="0"/>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6.1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本次招标对未中标人投标文件中的技术成果给予经济补偿</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分配办法如下：</w:t>
      </w:r>
    </w:p>
    <w:tbl>
      <w:tblPr>
        <w:tblStyle w:val="21"/>
        <w:tblW w:w="4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1495"/>
        <w:gridCol w:w="1495"/>
        <w:gridCol w:w="1496"/>
      </w:tblGrid>
      <w:tr w14:paraId="461D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216" w:type="pct"/>
            <w:noWrap w:val="0"/>
            <w:vAlign w:val="center"/>
          </w:tcPr>
          <w:p w14:paraId="36FC0B74">
            <w:pPr>
              <w:spacing w:line="360" w:lineRule="auto"/>
              <w:jc w:val="center"/>
              <w:rPr>
                <w:rFonts w:ascii="宋体" w:hAnsi="宋体"/>
                <w:color w:val="auto"/>
                <w:sz w:val="24"/>
                <w:highlight w:val="none"/>
              </w:rPr>
            </w:pPr>
            <w:r>
              <w:rPr>
                <w:rFonts w:hint="eastAsia" w:ascii="宋体" w:hAnsi="宋体" w:eastAsia="宋体" w:cs="Times New Roman"/>
                <w:b w:val="0"/>
                <w:bCs w:val="0"/>
                <w:color w:val="auto"/>
                <w:sz w:val="24"/>
                <w:szCs w:val="24"/>
                <w:highlight w:val="none"/>
                <w:lang w:eastAsia="zh-CN"/>
              </w:rPr>
              <w:t>勘察设计方案</w:t>
            </w:r>
            <w:r>
              <w:rPr>
                <w:rFonts w:hint="eastAsia" w:ascii="宋体" w:hAnsi="宋体"/>
                <w:color w:val="auto"/>
                <w:sz w:val="24"/>
                <w:highlight w:val="none"/>
              </w:rPr>
              <w:t>评审排序</w:t>
            </w:r>
          </w:p>
        </w:tc>
        <w:tc>
          <w:tcPr>
            <w:tcW w:w="927" w:type="pct"/>
            <w:noWrap w:val="0"/>
            <w:vAlign w:val="center"/>
          </w:tcPr>
          <w:p w14:paraId="3C0A872C">
            <w:pPr>
              <w:spacing w:line="360" w:lineRule="auto"/>
              <w:jc w:val="center"/>
              <w:rPr>
                <w:rFonts w:ascii="宋体" w:hAnsi="宋体"/>
                <w:color w:val="auto"/>
                <w:sz w:val="24"/>
                <w:highlight w:val="none"/>
              </w:rPr>
            </w:pPr>
            <w:r>
              <w:rPr>
                <w:rFonts w:hint="eastAsia" w:ascii="宋体" w:hAnsi="宋体"/>
                <w:color w:val="auto"/>
                <w:sz w:val="24"/>
                <w:highlight w:val="none"/>
              </w:rPr>
              <w:t>第1名</w:t>
            </w:r>
          </w:p>
        </w:tc>
        <w:tc>
          <w:tcPr>
            <w:tcW w:w="927" w:type="pct"/>
            <w:noWrap w:val="0"/>
            <w:vAlign w:val="center"/>
          </w:tcPr>
          <w:p w14:paraId="75A887A8">
            <w:pPr>
              <w:spacing w:line="360" w:lineRule="auto"/>
              <w:jc w:val="center"/>
              <w:rPr>
                <w:color w:val="auto"/>
                <w:sz w:val="24"/>
                <w:highlight w:val="none"/>
              </w:rPr>
            </w:pPr>
            <w:r>
              <w:rPr>
                <w:rFonts w:hint="eastAsia" w:ascii="宋体" w:hAnsi="宋体"/>
                <w:color w:val="auto"/>
                <w:sz w:val="24"/>
                <w:highlight w:val="none"/>
              </w:rPr>
              <w:t>第2名</w:t>
            </w:r>
          </w:p>
        </w:tc>
        <w:tc>
          <w:tcPr>
            <w:tcW w:w="927" w:type="pct"/>
            <w:noWrap w:val="0"/>
            <w:vAlign w:val="center"/>
          </w:tcPr>
          <w:p w14:paraId="7014F73E">
            <w:pPr>
              <w:spacing w:line="360" w:lineRule="auto"/>
              <w:jc w:val="center"/>
              <w:rPr>
                <w:color w:val="auto"/>
                <w:sz w:val="24"/>
                <w:highlight w:val="none"/>
              </w:rPr>
            </w:pPr>
            <w:r>
              <w:rPr>
                <w:rFonts w:hint="eastAsia" w:ascii="宋体" w:hAnsi="宋体"/>
                <w:color w:val="auto"/>
                <w:sz w:val="24"/>
                <w:highlight w:val="none"/>
              </w:rPr>
              <w:t>第3名</w:t>
            </w:r>
          </w:p>
        </w:tc>
      </w:tr>
      <w:tr w14:paraId="0F3A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16" w:type="pct"/>
            <w:noWrap w:val="0"/>
            <w:vAlign w:val="center"/>
          </w:tcPr>
          <w:p w14:paraId="25D6A467">
            <w:pPr>
              <w:spacing w:line="360" w:lineRule="auto"/>
              <w:jc w:val="center"/>
              <w:rPr>
                <w:rFonts w:hint="eastAsia" w:ascii="宋体" w:hAnsi="宋体"/>
                <w:color w:val="auto"/>
                <w:sz w:val="24"/>
                <w:highlight w:val="none"/>
              </w:rPr>
            </w:pPr>
            <w:r>
              <w:rPr>
                <w:rFonts w:hint="eastAsia" w:ascii="宋体" w:hAnsi="宋体"/>
                <w:color w:val="auto"/>
                <w:sz w:val="24"/>
                <w:highlight w:val="none"/>
              </w:rPr>
              <w:t>投标经济补偿金额</w:t>
            </w:r>
          </w:p>
          <w:p w14:paraId="60D424DC">
            <w:pPr>
              <w:spacing w:line="360" w:lineRule="auto"/>
              <w:jc w:val="center"/>
              <w:rPr>
                <w:rFonts w:ascii="宋体" w:hAnsi="宋体"/>
                <w:color w:val="auto"/>
                <w:sz w:val="24"/>
                <w:highlight w:val="none"/>
              </w:rPr>
            </w:pPr>
            <w:r>
              <w:rPr>
                <w:rFonts w:hint="eastAsia" w:ascii="宋体" w:hAnsi="宋体"/>
                <w:color w:val="auto"/>
                <w:sz w:val="24"/>
                <w:highlight w:val="none"/>
              </w:rPr>
              <w:t>（万元）</w:t>
            </w:r>
          </w:p>
        </w:tc>
        <w:tc>
          <w:tcPr>
            <w:tcW w:w="927" w:type="pct"/>
            <w:noWrap w:val="0"/>
            <w:vAlign w:val="center"/>
          </w:tcPr>
          <w:p w14:paraId="63E76FF0">
            <w:pPr>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万元</w:t>
            </w:r>
          </w:p>
        </w:tc>
        <w:tc>
          <w:tcPr>
            <w:tcW w:w="927" w:type="pct"/>
            <w:noWrap w:val="0"/>
            <w:vAlign w:val="center"/>
          </w:tcPr>
          <w:p w14:paraId="55C1C864">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万元</w:t>
            </w:r>
          </w:p>
        </w:tc>
        <w:tc>
          <w:tcPr>
            <w:tcW w:w="927" w:type="pct"/>
            <w:noWrap w:val="0"/>
            <w:vAlign w:val="center"/>
          </w:tcPr>
          <w:p w14:paraId="3882650A">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万元</w:t>
            </w:r>
          </w:p>
        </w:tc>
      </w:tr>
    </w:tbl>
    <w:p w14:paraId="4F28FDDE">
      <w:pPr>
        <w:widowControl/>
        <w:tabs>
          <w:tab w:val="left" w:pos="105"/>
        </w:tabs>
        <w:snapToGrid w:val="0"/>
        <w:spacing w:before="156" w:beforeLines="50"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（1</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投标人投标时提供收款的银行支行账号</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其余投标人费用自理。</w:t>
      </w:r>
    </w:p>
    <w:p w14:paraId="127B37E9">
      <w:pPr>
        <w:tabs>
          <w:tab w:val="left" w:pos="105"/>
        </w:tabs>
        <w:spacing w:line="360" w:lineRule="auto"/>
        <w:ind w:firstLine="480" w:firstLineChars="200"/>
        <w:rPr>
          <w:rFonts w:hint="eastAsia" w:ascii="宋体" w:hAnsi="宋体"/>
          <w:color w:val="auto"/>
          <w:sz w:val="24"/>
          <w:highlight w:val="none"/>
          <w:u w:val="single"/>
        </w:rPr>
      </w:pP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2）</w:t>
      </w:r>
      <w:r>
        <w:rPr>
          <w:rFonts w:hint="eastAsia" w:ascii="宋体" w:hAnsi="宋体"/>
          <w:color w:val="auto"/>
          <w:sz w:val="24"/>
          <w:highlight w:val="none"/>
          <w:u w:val="single"/>
        </w:rPr>
        <w:t>并列排名的原则：如出现并列名次的按一个名次计，后续名次空缺，例：如果第2名出现两个投标人并列，则下一名次的投标人排名第4名，如果第2名出现三个投标人并列，则下一名次的投标人排名第5</w:t>
      </w:r>
      <w:r>
        <w:rPr>
          <w:rFonts w:hint="eastAsia" w:ascii="宋体" w:hAnsi="宋体"/>
          <w:color w:val="auto"/>
          <w:sz w:val="24"/>
          <w:highlight w:val="none"/>
          <w:u w:val="single"/>
          <w:lang w:val="en-US" w:eastAsia="zh-CN"/>
        </w:rPr>
        <w:t>名</w:t>
      </w:r>
      <w:r>
        <w:rPr>
          <w:rFonts w:hint="eastAsia" w:ascii="宋体" w:hAnsi="宋体"/>
          <w:color w:val="auto"/>
          <w:sz w:val="24"/>
          <w:highlight w:val="none"/>
          <w:u w:val="single"/>
        </w:rPr>
        <w:t>，依次类推。</w:t>
      </w:r>
    </w:p>
    <w:p w14:paraId="0D789767">
      <w:pPr>
        <w:tabs>
          <w:tab w:val="left" w:pos="105"/>
        </w:tabs>
        <w:spacing w:line="360" w:lineRule="auto"/>
        <w:ind w:firstLine="480" w:firstLineChars="200"/>
        <w:rPr>
          <w:rFonts w:hint="eastAsia" w:ascii="宋体" w:hAnsi="宋体"/>
          <w:color w:val="auto"/>
          <w:sz w:val="24"/>
          <w:highlight w:val="none"/>
          <w:u w:val="single"/>
        </w:rPr>
      </w:pP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3）</w:t>
      </w:r>
      <w:r>
        <w:rPr>
          <w:rFonts w:hint="eastAsia" w:ascii="宋体" w:hAnsi="宋体"/>
          <w:color w:val="auto"/>
          <w:sz w:val="24"/>
          <w:highlight w:val="none"/>
          <w:u w:val="single"/>
        </w:rPr>
        <w:t xml:space="preserve">并列排名的补偿原则：如出现并列名次的，该排名补偿费总额=出现排名并列名次的补偿金额+空缺名次的补偿金额，则n个并列排名投标人的各个补偿金额=该排名补偿费总额/n。例：第2名出现两个投标人并列，则第2名的补偿费总额为    </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0000+</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0000=</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0000元，两个投标人的各个补偿金额为</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0000/2=</w:t>
      </w:r>
      <w:r>
        <w:rPr>
          <w:rFonts w:hint="eastAsia" w:ascii="宋体" w:hAnsi="宋体"/>
          <w:color w:val="auto"/>
          <w:sz w:val="24"/>
          <w:highlight w:val="none"/>
          <w:u w:val="single"/>
          <w:lang w:val="en-US" w:eastAsia="zh-CN"/>
        </w:rPr>
        <w:t>15</w:t>
      </w:r>
      <w:r>
        <w:rPr>
          <w:rFonts w:hint="eastAsia" w:ascii="宋体" w:hAnsi="宋体"/>
          <w:color w:val="auto"/>
          <w:sz w:val="24"/>
          <w:highlight w:val="none"/>
          <w:u w:val="single"/>
        </w:rPr>
        <w:t>000元。</w:t>
      </w:r>
    </w:p>
    <w:p w14:paraId="7153F438">
      <w:pPr>
        <w:tabs>
          <w:tab w:val="left" w:pos="105"/>
        </w:tabs>
        <w:spacing w:line="360" w:lineRule="auto"/>
        <w:ind w:firstLine="480" w:firstLineChars="200"/>
        <w:rPr>
          <w:rFonts w:hAnsi="宋体"/>
          <w:color w:val="auto"/>
          <w:sz w:val="24"/>
          <w:highlight w:val="none"/>
          <w:u w:val="single"/>
        </w:rPr>
      </w:pP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4）</w:t>
      </w:r>
      <w:r>
        <w:rPr>
          <w:rFonts w:hint="eastAsia" w:ascii="宋体" w:hAnsi="宋体"/>
          <w:color w:val="auto"/>
          <w:sz w:val="24"/>
          <w:highlight w:val="none"/>
          <w:u w:val="single"/>
        </w:rPr>
        <w:t>如第</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名出现并列排名，则该排名补偿费总额为</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0000元，n个并列排名第</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名的投标人的各个补偿金额=</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0000/n。</w:t>
      </w:r>
    </w:p>
    <w:p w14:paraId="6E6615A0">
      <w:pPr>
        <w:pStyle w:val="40"/>
        <w:spacing w:line="360" w:lineRule="auto"/>
        <w:ind w:firstLine="480" w:firstLineChars="200"/>
        <w:rPr>
          <w:rFonts w:hint="eastAsia" w:ascii="宋体" w:hAnsi="宋体" w:eastAsia="宋体" w:cs="宋体"/>
          <w:bCs w:val="0"/>
          <w:strike w:val="0"/>
          <w:color w:val="auto"/>
          <w:sz w:val="24"/>
          <w:szCs w:val="24"/>
          <w:highlight w:val="none"/>
          <w:u w:val="single"/>
        </w:rPr>
      </w:pPr>
      <w:r>
        <w:rPr>
          <w:rFonts w:hint="eastAsia" w:ascii="宋体" w:hAnsi="宋体" w:eastAsia="宋体" w:cs="宋体"/>
          <w:color w:val="auto"/>
          <w:sz w:val="24"/>
          <w:highlight w:val="none"/>
          <w:u w:val="single"/>
        </w:rPr>
        <w:t>6.</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szCs w:val="24"/>
          <w:highlight w:val="none"/>
          <w:u w:val="single"/>
        </w:rPr>
        <w:t>投标经济补偿费包括在投标人中标价中，中标人根据评标委员会对投标人的评审排序，在签订合同收到招标人预付款后，对方案评审排序</w:t>
      </w:r>
      <w:r>
        <w:rPr>
          <w:rFonts w:hint="eastAsia" w:ascii="宋体" w:hAnsi="宋体" w:eastAsia="宋体" w:cs="宋体"/>
          <w:color w:val="auto"/>
          <w:sz w:val="24"/>
          <w:szCs w:val="24"/>
          <w:highlight w:val="none"/>
          <w:u w:val="single"/>
          <w:lang w:val="en-US" w:eastAsia="zh-CN"/>
        </w:rPr>
        <w:t>前3</w:t>
      </w:r>
      <w:r>
        <w:rPr>
          <w:rFonts w:hint="eastAsia" w:ascii="宋体" w:hAnsi="宋体" w:eastAsia="宋体" w:cs="宋体"/>
          <w:color w:val="auto"/>
          <w:sz w:val="24"/>
          <w:szCs w:val="24"/>
          <w:highlight w:val="none"/>
          <w:u w:val="single"/>
        </w:rPr>
        <w:t>名</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未中标投标人的设计方案给予补偿。招标人和中标人对获得经济补偿的所有投标方案成果共同享有所有权及知识产权，有权在本项目的设计工作中参考使用投标方案成果的部分内容和对成果进行修改、深化等。如果招标失败，则当次不作投标经济补偿。 对于被判定为废标的投标文件，投标人无权主张经济补偿。对出现废标情形的投标人，将不作投标经济补偿。</w:t>
      </w:r>
    </w:p>
    <w:bookmarkEnd w:id="5"/>
    <w:p w14:paraId="21A63B02">
      <w:pPr>
        <w:pStyle w:val="4"/>
        <w:spacing w:line="360" w:lineRule="auto"/>
        <w:rPr>
          <w:rFonts w:ascii="宋体" w:hAnsi="宋体"/>
          <w:b/>
          <w:color w:val="auto"/>
          <w:spacing w:val="1"/>
          <w:sz w:val="32"/>
          <w:highlight w:val="none"/>
        </w:rPr>
      </w:pPr>
      <w:bookmarkStart w:id="6" w:name="_Toc25072052"/>
      <w:r>
        <w:rPr>
          <w:rFonts w:hint="eastAsia" w:ascii="宋体" w:hAnsi="宋体"/>
          <w:b/>
          <w:color w:val="auto"/>
          <w:spacing w:val="1"/>
          <w:sz w:val="32"/>
          <w:highlight w:val="none"/>
        </w:rPr>
        <w:t>7.</w:t>
      </w:r>
      <w:r>
        <w:rPr>
          <w:rFonts w:ascii="宋体" w:hAnsi="宋体"/>
          <w:b/>
          <w:color w:val="auto"/>
          <w:spacing w:val="1"/>
          <w:sz w:val="32"/>
          <w:highlight w:val="none"/>
        </w:rPr>
        <w:t>发布招标公告、招标文件获取</w:t>
      </w:r>
    </w:p>
    <w:bookmarkEnd w:id="6"/>
    <w:p w14:paraId="739695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7.1招标公告发布时间（含本日）：</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分至202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w:t>
      </w:r>
      <w:r>
        <w:rPr>
          <w:rFonts w:hint="eastAsia" w:ascii="宋体" w:hAnsi="宋体" w:cs="宋体"/>
          <w:color w:val="auto"/>
          <w:sz w:val="24"/>
          <w:highlight w:val="none"/>
        </w:rPr>
        <w:t>（北京时间，下同），凡有意参加投标者，请登录广州交易集团有限公司（广州公共资源交易中心）网站（http//www.gzggzy.cn）在本项目招标公告附件中下载电子招标文件。</w:t>
      </w:r>
    </w:p>
    <w:p w14:paraId="7BBF22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本项目采用全电子化资格后审方式。</w:t>
      </w:r>
    </w:p>
    <w:p w14:paraId="0D9080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65FE98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03AE99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 递交投标文件截止时间与开标时间是否有变化，请密切留意招标答疑中的相关信息。递交投标文件截止时间后，开标时间因故推迟的，相关评标信息仍以原递交投标文件截止时间的信息为准。</w:t>
      </w:r>
    </w:p>
    <w:p w14:paraId="5FF222C0">
      <w:pPr>
        <w:pStyle w:val="4"/>
        <w:spacing w:line="360" w:lineRule="auto"/>
        <w:rPr>
          <w:rFonts w:ascii="宋体" w:hAnsi="宋体"/>
          <w:b/>
          <w:color w:val="auto"/>
          <w:spacing w:val="1"/>
          <w:sz w:val="32"/>
          <w:highlight w:val="none"/>
        </w:rPr>
      </w:pPr>
      <w:bookmarkStart w:id="7" w:name="_Toc25072053"/>
      <w:r>
        <w:rPr>
          <w:rFonts w:hint="eastAsia" w:ascii="宋体" w:hAnsi="宋体"/>
          <w:b/>
          <w:color w:val="auto"/>
          <w:spacing w:val="1"/>
          <w:sz w:val="32"/>
          <w:highlight w:val="none"/>
        </w:rPr>
        <w:t>8.</w:t>
      </w:r>
      <w:r>
        <w:rPr>
          <w:rFonts w:ascii="宋体" w:hAnsi="宋体"/>
          <w:b/>
          <w:color w:val="auto"/>
          <w:spacing w:val="1"/>
          <w:sz w:val="32"/>
          <w:highlight w:val="none"/>
        </w:rPr>
        <w:t>递交投标文件时间、开标时间及办理投标登记</w:t>
      </w:r>
      <w:r>
        <w:rPr>
          <w:rFonts w:hint="eastAsia" w:ascii="宋体" w:hAnsi="宋体"/>
          <w:b/>
          <w:color w:val="auto"/>
          <w:spacing w:val="1"/>
          <w:sz w:val="32"/>
          <w:highlight w:val="none"/>
        </w:rPr>
        <w:t>手续</w:t>
      </w:r>
      <w:bookmarkEnd w:id="7"/>
    </w:p>
    <w:p w14:paraId="38951E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投标文件递交的截止时间（投标截止时间，下同）为</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年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日  时  分</w:t>
      </w:r>
      <w:r>
        <w:rPr>
          <w:rFonts w:hint="eastAsia" w:ascii="宋体" w:hAnsi="宋体" w:cs="宋体"/>
          <w:color w:val="auto"/>
          <w:sz w:val="24"/>
          <w:highlight w:val="none"/>
        </w:rPr>
        <w:t>，投标人应在截止时间前通过广州交易集团有限公司（广州公共资源交易中心）网站（网址：http://www.gzggzy.cn）递交电子投标文件。</w:t>
      </w:r>
    </w:p>
    <w:p w14:paraId="020EC1BD">
      <w:pPr>
        <w:pStyle w:val="6"/>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 投标人应在递交投标文件截止时间前，登录广州交易集团有限公司（广州公共资源交易中心）网站办理网上投标登记手续。操作详见广州交易集团有限公司（广州公共资源交易中心）网站（网址：http://www.gzggzy.cn）。</w:t>
      </w:r>
    </w:p>
    <w:p w14:paraId="325528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w:t>
      </w:r>
      <w:bookmarkStart w:id="8" w:name="_Hlk106940116"/>
      <w:r>
        <w:rPr>
          <w:rFonts w:hint="eastAsia" w:ascii="宋体" w:hAnsi="宋体" w:cs="宋体"/>
          <w:color w:val="auto"/>
          <w:sz w:val="24"/>
          <w:highlight w:val="none"/>
        </w:rPr>
        <w:t xml:space="preserve"> 递交备用投标文件电子光盘</w:t>
      </w:r>
      <w:bookmarkEnd w:id="8"/>
      <w:r>
        <w:rPr>
          <w:rFonts w:hint="eastAsia" w:ascii="宋体" w:hAnsi="宋体" w:cs="宋体"/>
          <w:color w:val="auto"/>
          <w:sz w:val="24"/>
          <w:highlight w:val="none"/>
        </w:rPr>
        <w:t>的规定：</w:t>
      </w:r>
    </w:p>
    <w:p w14:paraId="1024F3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时间为</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分至202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w:t>
      </w:r>
      <w:r>
        <w:rPr>
          <w:rFonts w:hint="eastAsia" w:ascii="宋体" w:hAnsi="宋体" w:cs="宋体"/>
          <w:color w:val="auto"/>
          <w:sz w:val="24"/>
          <w:highlight w:val="none"/>
        </w:rPr>
        <w:t>；地点：广州交易集团有限公司（广州公共资源交易中心）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开标室,具体安排请投标人自行登陆“http://www.gzggzy.cn/xmcxjsgc/index.jhtml”进行查询。（投标人</w:t>
      </w:r>
      <w:r>
        <w:rPr>
          <w:rFonts w:hint="eastAsia" w:ascii="宋体" w:hAnsi="宋体" w:cs="宋体"/>
          <w:color w:val="auto"/>
          <w:sz w:val="24"/>
          <w:highlight w:val="none"/>
          <w:lang w:eastAsia="zh-CN"/>
        </w:rPr>
        <w:t>可在</w:t>
      </w:r>
      <w:r>
        <w:rPr>
          <w:rFonts w:hint="eastAsia" w:ascii="宋体" w:hAnsi="宋体" w:cs="宋体"/>
          <w:color w:val="auto"/>
          <w:sz w:val="24"/>
          <w:highlight w:val="none"/>
        </w:rPr>
        <w:t>投标截止时间前，凭法定代表人证明书原件、法定代表人授权委托证明书原件（非法定代表人办理手续时提供）、本人身份证原件到达开标室递交投标文件光盘（备用）。电子光盘需按规定封装。投标人在将数据刻录到光盘之后，投标前自行检查文件是否可以读取。）</w:t>
      </w:r>
    </w:p>
    <w:p w14:paraId="0812C9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 逾期送达的投标文件，电子招标投标交易平台将予以拒收。</w:t>
      </w:r>
    </w:p>
    <w:p w14:paraId="257581F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8.5 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w:t>
      </w:r>
      <w:r>
        <w:rPr>
          <w:rFonts w:hint="eastAsia" w:ascii="宋体" w:hAnsi="宋体" w:cs="宋体"/>
          <w:color w:val="auto"/>
          <w:sz w:val="24"/>
          <w:highlight w:val="none"/>
        </w:rPr>
        <w:t>。地点：广州交易集团有限公司（广州公共资源交易中心）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开标室,具体安排请投标人自行登陆“http://www.gzggzy.cn/xmcxjsgc/index.jhtml”进行查询。</w:t>
      </w:r>
    </w:p>
    <w:p w14:paraId="232F82DF">
      <w:pPr>
        <w:spacing w:line="360" w:lineRule="auto"/>
        <w:ind w:firstLine="472" w:firstLineChars="200"/>
        <w:jc w:val="left"/>
        <w:rPr>
          <w:color w:val="auto"/>
          <w:highlight w:val="none"/>
        </w:rPr>
      </w:pPr>
      <w:r>
        <w:rPr>
          <w:rFonts w:hint="eastAsia" w:ascii="宋体" w:hAnsi="宋体" w:cs="宋体"/>
          <w:color w:val="auto"/>
          <w:spacing w:val="-2"/>
          <w:kern w:val="0"/>
          <w:sz w:val="24"/>
          <w:highlight w:val="none"/>
          <w:u w:val="single"/>
        </w:rPr>
        <w:t>备注：本项目具体的招投标活动日程安排及场地安排以广州公共资源交</w:t>
      </w:r>
      <w:r>
        <w:rPr>
          <w:rFonts w:hint="eastAsia" w:ascii="宋体" w:hAnsi="宋体"/>
          <w:color w:val="auto"/>
          <w:spacing w:val="-2"/>
          <w:kern w:val="0"/>
          <w:sz w:val="24"/>
          <w:highlight w:val="none"/>
          <w:u w:val="single"/>
        </w:rPr>
        <w:t>易中心网站中“建设工程”→“项目查询（日程安排、答疑纪要）”公布的为准。</w:t>
      </w:r>
    </w:p>
    <w:p w14:paraId="44CC91BE">
      <w:pPr>
        <w:pStyle w:val="4"/>
        <w:spacing w:line="360" w:lineRule="auto"/>
        <w:rPr>
          <w:rFonts w:ascii="宋体" w:hAnsi="宋体"/>
          <w:b/>
          <w:color w:val="auto"/>
          <w:spacing w:val="1"/>
          <w:sz w:val="32"/>
          <w:highlight w:val="none"/>
        </w:rPr>
      </w:pPr>
      <w:bookmarkStart w:id="9" w:name="_Toc25072054"/>
      <w:r>
        <w:rPr>
          <w:rFonts w:hint="eastAsia" w:ascii="宋体" w:hAnsi="宋体"/>
          <w:b/>
          <w:color w:val="auto"/>
          <w:spacing w:val="1"/>
          <w:sz w:val="32"/>
          <w:highlight w:val="none"/>
        </w:rPr>
        <w:t>9.发布公告的媒介</w:t>
      </w:r>
      <w:bookmarkEnd w:id="9"/>
    </w:p>
    <w:p w14:paraId="4873F25D">
      <w:pPr>
        <w:autoSpaceDE w:val="0"/>
        <w:autoSpaceDN w:val="0"/>
        <w:adjustRightInd w:val="0"/>
        <w:spacing w:line="360" w:lineRule="auto"/>
        <w:ind w:firstLine="472" w:firstLineChars="200"/>
        <w:rPr>
          <w:rFonts w:ascii="宋体" w:hAnsi="宋体"/>
          <w:color w:val="auto"/>
          <w:kern w:val="0"/>
          <w:sz w:val="24"/>
          <w:highlight w:val="none"/>
        </w:rPr>
      </w:pPr>
      <w:r>
        <w:rPr>
          <w:rFonts w:hint="eastAsia" w:ascii="宋体" w:hAnsi="宋体"/>
          <w:color w:val="auto"/>
          <w:spacing w:val="-2"/>
          <w:kern w:val="0"/>
          <w:position w:val="-4"/>
          <w:sz w:val="24"/>
          <w:highlight w:val="none"/>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w:t>
      </w:r>
    </w:p>
    <w:p w14:paraId="72E99564">
      <w:pPr>
        <w:pStyle w:val="4"/>
        <w:spacing w:line="360" w:lineRule="auto"/>
        <w:rPr>
          <w:rFonts w:ascii="宋体" w:hAnsi="宋体"/>
          <w:b/>
          <w:color w:val="auto"/>
          <w:spacing w:val="1"/>
          <w:sz w:val="32"/>
          <w:highlight w:val="none"/>
        </w:rPr>
      </w:pPr>
      <w:bookmarkStart w:id="10" w:name="_Toc25072055"/>
      <w:r>
        <w:rPr>
          <w:rFonts w:hint="eastAsia" w:ascii="宋体" w:hAnsi="宋体"/>
          <w:b/>
          <w:color w:val="auto"/>
          <w:spacing w:val="1"/>
          <w:sz w:val="32"/>
          <w:highlight w:val="none"/>
        </w:rPr>
        <w:t>10.</w:t>
      </w:r>
      <w:r>
        <w:rPr>
          <w:rFonts w:hint="eastAsia" w:ascii="宋体" w:hAnsi="宋体"/>
          <w:b/>
          <w:color w:val="auto"/>
          <w:spacing w:val="1"/>
          <w:sz w:val="32"/>
          <w:highlight w:val="none"/>
          <w:lang w:eastAsia="zh-CN"/>
        </w:rPr>
        <w:t>其他</w:t>
      </w:r>
      <w:r>
        <w:rPr>
          <w:rFonts w:hint="eastAsia" w:ascii="宋体" w:hAnsi="宋体"/>
          <w:b/>
          <w:color w:val="auto"/>
          <w:spacing w:val="1"/>
          <w:sz w:val="32"/>
          <w:highlight w:val="none"/>
        </w:rPr>
        <w:t>事项</w:t>
      </w:r>
      <w:bookmarkEnd w:id="10"/>
    </w:p>
    <w:p w14:paraId="5A7478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u w:val="single"/>
        </w:rPr>
        <w:t>需要</w:t>
      </w:r>
      <w:r>
        <w:rPr>
          <w:rFonts w:hint="eastAsia" w:ascii="宋体" w:hAnsi="宋体" w:cs="宋体"/>
          <w:bCs/>
          <w:color w:val="auto"/>
          <w:sz w:val="24"/>
          <w:highlight w:val="none"/>
          <w:u w:val="single"/>
        </w:rPr>
        <w:t>在中标后</w:t>
      </w:r>
      <w:r>
        <w:rPr>
          <w:rFonts w:hint="eastAsia" w:ascii="宋体" w:hAnsi="宋体" w:cs="宋体"/>
          <w:color w:val="auto"/>
          <w:sz w:val="24"/>
          <w:highlight w:val="none"/>
          <w:u w:val="single"/>
        </w:rPr>
        <w:t>提交设计模型：</w:t>
      </w:r>
      <w:r>
        <w:rPr>
          <w:rFonts w:hint="eastAsia" w:ascii="宋体" w:hAnsi="宋体" w:cs="宋体"/>
          <w:bCs/>
          <w:color w:val="auto"/>
          <w:sz w:val="24"/>
          <w:highlight w:val="none"/>
          <w:u w:val="single"/>
        </w:rPr>
        <w:t>D6比例尺为1：75，比例可根据美观及直观考虑适当调整，底座模型要求</w:t>
      </w:r>
      <w:r>
        <w:rPr>
          <w:rFonts w:hint="eastAsia" w:ascii="宋体" w:hAnsi="宋体" w:cs="宋体"/>
          <w:bCs/>
          <w:color w:val="auto"/>
          <w:sz w:val="24"/>
          <w:highlight w:val="none"/>
          <w:u w:val="single"/>
          <w:lang w:val="en-US" w:eastAsia="zh-CN"/>
        </w:rPr>
        <w:t>：</w:t>
      </w:r>
      <w:r>
        <w:rPr>
          <w:rFonts w:hint="eastAsia" w:ascii="宋体" w:hAnsi="宋体" w:cs="宋体"/>
          <w:bCs/>
          <w:color w:val="auto"/>
          <w:sz w:val="24"/>
          <w:highlight w:val="none"/>
          <w:u w:val="single"/>
        </w:rPr>
        <w:t>长不超0.9米，宽不超0.6m</w:t>
      </w:r>
      <w:r>
        <w:rPr>
          <w:rFonts w:hint="eastAsia" w:ascii="宋体" w:hAnsi="宋体" w:cs="宋体"/>
          <w:color w:val="auto"/>
          <w:sz w:val="24"/>
          <w:highlight w:val="none"/>
        </w:rPr>
        <w:t>。</w:t>
      </w:r>
    </w:p>
    <w:p w14:paraId="01895A8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 投标人可通过</w:t>
      </w:r>
      <w:r>
        <w:rPr>
          <w:rFonts w:hint="eastAsia" w:ascii="宋体" w:hAnsi="宋体" w:cs="宋体"/>
          <w:color w:val="auto"/>
          <w:sz w:val="24"/>
          <w:highlight w:val="none"/>
          <w:u w:val="single"/>
        </w:rPr>
        <w:t>http://map.baidu.com选择（地球模式）</w:t>
      </w:r>
      <w:r>
        <w:rPr>
          <w:rFonts w:hint="eastAsia" w:ascii="宋体" w:hAnsi="宋体" w:cs="宋体"/>
          <w:color w:val="auto"/>
          <w:sz w:val="24"/>
          <w:highlight w:val="none"/>
        </w:rPr>
        <w:t>观察本项目的周边环境。</w:t>
      </w:r>
    </w:p>
    <w:p w14:paraId="71ACCBB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10.3 </w:t>
      </w:r>
      <w:r>
        <w:rPr>
          <w:rFonts w:hint="eastAsia" w:ascii="宋体" w:hAnsi="宋体" w:cs="宋体"/>
          <w:color w:val="auto"/>
          <w:sz w:val="24"/>
          <w:highlight w:val="none"/>
        </w:rPr>
        <w:t>项目的其他情况在可行性研究报告中详细介绍。本公告为招标文件的组成部分，更详细的信息以招标文件为准。</w:t>
      </w:r>
    </w:p>
    <w:p w14:paraId="7C1F2A5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 潜在投标人或利害关系人对本招标公告及招标文件有异议的，应当在投标截止时间10日前向招标人书面提出。</w:t>
      </w:r>
    </w:p>
    <w:p w14:paraId="5D11FB1F">
      <w:pPr>
        <w:spacing w:line="44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广东水利电力职业技术学院</w:t>
      </w:r>
    </w:p>
    <w:p w14:paraId="6B5E02C6">
      <w:pPr>
        <w:spacing w:line="440" w:lineRule="exact"/>
        <w:ind w:firstLine="480" w:firstLineChars="200"/>
        <w:rPr>
          <w:rFonts w:hint="default" w:ascii="宋体" w:hAnsi="宋体" w:cs="宋体"/>
          <w:color w:val="auto"/>
          <w:sz w:val="24"/>
          <w:highlight w:val="none"/>
          <w:u w:val="single"/>
          <w:lang w:val="en-US"/>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温老师</w:t>
      </w:r>
    </w:p>
    <w:p w14:paraId="4FF1485C">
      <w:pPr>
        <w:spacing w:line="440" w:lineRule="exact"/>
        <w:ind w:firstLine="480" w:firstLineChars="200"/>
        <w:rPr>
          <w:rFonts w:hint="default" w:ascii="宋体" w:hAnsi="宋体" w:cs="宋体"/>
          <w:color w:val="auto"/>
          <w:sz w:val="24"/>
          <w:highlight w:val="none"/>
          <w:u w:val="single"/>
          <w:lang w:val="en-US"/>
        </w:rPr>
      </w:pPr>
      <w:r>
        <w:rPr>
          <w:rFonts w:hint="eastAsia" w:ascii="宋体" w:hAnsi="宋体" w:cs="宋体"/>
          <w:color w:val="auto"/>
          <w:sz w:val="24"/>
          <w:highlight w:val="none"/>
        </w:rPr>
        <w:t>电话：</w:t>
      </w:r>
      <w:r>
        <w:rPr>
          <w:rFonts w:hint="eastAsia" w:ascii="宋体" w:hAnsi="宋体" w:cs="宋体"/>
          <w:color w:val="auto"/>
          <w:sz w:val="24"/>
          <w:highlight w:val="none"/>
          <w:u w:val="single"/>
        </w:rPr>
        <w:t>020-</w:t>
      </w:r>
      <w:r>
        <w:rPr>
          <w:rFonts w:hint="eastAsia" w:ascii="宋体" w:hAnsi="宋体" w:cs="宋体"/>
          <w:color w:val="auto"/>
          <w:sz w:val="24"/>
          <w:highlight w:val="none"/>
          <w:u w:val="single"/>
          <w:lang w:val="en-US" w:eastAsia="zh-CN"/>
        </w:rPr>
        <w:t>87993289</w:t>
      </w:r>
    </w:p>
    <w:p w14:paraId="71CCACE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广州市天寿路122号</w:t>
      </w:r>
    </w:p>
    <w:p w14:paraId="2A91548A">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38D25E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 特别提示：投标人在本项目招标人的工程项目中存在下列行为的，将被拒绝</w:t>
      </w:r>
      <w:r>
        <w:rPr>
          <w:rFonts w:hint="eastAsia" w:ascii="宋体" w:hAnsi="宋体" w:cs="宋体"/>
          <w:b/>
          <w:bCs/>
          <w:color w:val="auto"/>
          <w:sz w:val="24"/>
          <w:highlight w:val="none"/>
          <w:u w:val="single"/>
        </w:rPr>
        <w:t>一年内</w:t>
      </w:r>
      <w:r>
        <w:rPr>
          <w:rFonts w:hint="eastAsia" w:ascii="宋体" w:hAnsi="宋体" w:cs="宋体"/>
          <w:color w:val="auto"/>
          <w:sz w:val="24"/>
          <w:highlight w:val="none"/>
        </w:rPr>
        <w:t>参与我单位后续工程投标：（注：拒绝投标时限自招标人发出通知之日起计）</w:t>
      </w:r>
    </w:p>
    <w:p w14:paraId="3E865C0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（1）将中标工程转包或者违法分包的；</w:t>
      </w:r>
    </w:p>
    <w:p w14:paraId="295F85C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CE01B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（3）存在围标或串标情形的；</w:t>
      </w:r>
    </w:p>
    <w:p w14:paraId="7440F7A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（4）在投标文件中提供虚假材料的；</w:t>
      </w:r>
    </w:p>
    <w:p w14:paraId="19370D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（5）存在行贿情形的。</w:t>
      </w:r>
    </w:p>
    <w:p w14:paraId="2DFB0D95">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10.6 前期服务机构名称：</w:t>
      </w:r>
      <w:r>
        <w:rPr>
          <w:rFonts w:hint="eastAsia" w:ascii="宋体" w:hAnsi="宋体" w:cs="宋体"/>
          <w:color w:val="auto"/>
          <w:sz w:val="24"/>
          <w:highlight w:val="none"/>
          <w:u w:val="single"/>
          <w:lang w:eastAsia="zh-CN"/>
        </w:rPr>
        <w:t>广东庆达咨询有限公司</w:t>
      </w:r>
      <w:r>
        <w:rPr>
          <w:rFonts w:hint="eastAsia" w:ascii="宋体" w:hAnsi="宋体" w:cs="宋体"/>
          <w:color w:val="auto"/>
          <w:sz w:val="24"/>
          <w:highlight w:val="none"/>
          <w:u w:val="single"/>
        </w:rPr>
        <w:t>（项目可行性研究报告编制单位）</w:t>
      </w:r>
      <w:r>
        <w:rPr>
          <w:rFonts w:hint="eastAsia" w:ascii="宋体" w:hAnsi="宋体" w:cs="宋体"/>
          <w:color w:val="auto"/>
          <w:sz w:val="24"/>
          <w:highlight w:val="none"/>
          <w:u w:val="single"/>
          <w:lang w:eastAsia="zh-CN"/>
        </w:rPr>
        <w:t>、广州建筑产业开发有限公司（</w:t>
      </w:r>
      <w:r>
        <w:rPr>
          <w:rFonts w:hint="eastAsia" w:ascii="宋体" w:hAnsi="宋体" w:cs="宋体"/>
          <w:color w:val="auto"/>
          <w:sz w:val="24"/>
          <w:highlight w:val="none"/>
          <w:u w:val="single"/>
          <w:lang w:val="en-US" w:eastAsia="zh-CN"/>
        </w:rPr>
        <w:t>设计咨询</w:t>
      </w:r>
      <w:r>
        <w:rPr>
          <w:rFonts w:hint="eastAsia" w:ascii="宋体" w:hAnsi="宋体" w:cs="宋体"/>
          <w:color w:val="auto"/>
          <w:sz w:val="24"/>
          <w:highlight w:val="none"/>
          <w:u w:val="single"/>
        </w:rPr>
        <w:t>单位</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1880FA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注：如果前期服务机构参加本次投标，应将本公告发布前最终完成的工作成果（含电子文件）在发布招标公告的同时提供给所有投标人参考，否则前期参与的服务机构中标无效。 </w:t>
      </w:r>
    </w:p>
    <w:p w14:paraId="0CEC4F4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10.7 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7CEB7BF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10.8 现场考察</w:t>
      </w:r>
    </w:p>
    <w:p w14:paraId="1BACBF85">
      <w:pPr>
        <w:autoSpaceDE w:val="0"/>
        <w:autoSpaceDN w:val="0"/>
        <w:adjustRightInd w:val="0"/>
        <w:spacing w:before="16" w:line="440" w:lineRule="exact"/>
        <w:ind w:firstLine="960" w:firstLineChars="400"/>
        <w:jc w:val="left"/>
        <w:rPr>
          <w:rFonts w:ascii="宋体" w:hAnsi="宋体" w:cs="宋体"/>
          <w:color w:val="auto"/>
          <w:sz w:val="24"/>
          <w:highlight w:val="none"/>
        </w:rPr>
      </w:pPr>
      <w:r>
        <w:rPr>
          <w:rFonts w:hint="eastAsia" w:ascii="宋体" w:hAnsi="宋体" w:cs="宋体"/>
          <w:color w:val="auto"/>
          <w:sz w:val="24"/>
          <w:highlight w:val="none"/>
          <w:u w:val="single"/>
        </w:rPr>
        <w:t>时间：不安排统一考察，由投标人自行考察。</w:t>
      </w:r>
    </w:p>
    <w:p w14:paraId="30E21EEB">
      <w:pPr>
        <w:autoSpaceDE w:val="0"/>
        <w:autoSpaceDN w:val="0"/>
        <w:adjustRightInd w:val="0"/>
        <w:spacing w:before="16" w:line="440" w:lineRule="exact"/>
        <w:ind w:firstLine="960" w:firstLineChars="400"/>
        <w:jc w:val="left"/>
        <w:rPr>
          <w:rFonts w:ascii="宋体" w:hAnsi="宋体"/>
          <w:b/>
          <w:color w:val="auto"/>
          <w:sz w:val="24"/>
          <w:highlight w:val="none"/>
          <w:u w:val="single"/>
        </w:rPr>
      </w:pPr>
      <w:r>
        <w:rPr>
          <w:rFonts w:hint="eastAsia" w:ascii="宋体" w:hAnsi="宋体" w:cs="宋体"/>
          <w:color w:val="auto"/>
          <w:sz w:val="24"/>
          <w:highlight w:val="none"/>
          <w:u w:val="single"/>
        </w:rPr>
        <w:t>地点：不安排统一考察，由投标人自行考察。</w:t>
      </w:r>
    </w:p>
    <w:p w14:paraId="0C7E8F1F">
      <w:pPr>
        <w:autoSpaceDE w:val="0"/>
        <w:autoSpaceDN w:val="0"/>
        <w:adjustRightInd w:val="0"/>
        <w:spacing w:line="360" w:lineRule="auto"/>
        <w:jc w:val="left"/>
        <w:rPr>
          <w:rFonts w:ascii="宋体" w:hAnsi="宋体"/>
          <w:b/>
          <w:bCs/>
          <w:color w:val="auto"/>
          <w:sz w:val="32"/>
          <w:szCs w:val="32"/>
          <w:highlight w:val="none"/>
        </w:rPr>
      </w:pPr>
      <w:bookmarkStart w:id="11" w:name="_Toc25072056"/>
    </w:p>
    <w:p w14:paraId="094C039A">
      <w:pPr>
        <w:autoSpaceDE w:val="0"/>
        <w:autoSpaceDN w:val="0"/>
        <w:adjustRightInd w:val="0"/>
        <w:spacing w:line="360" w:lineRule="auto"/>
        <w:jc w:val="left"/>
        <w:rPr>
          <w:rFonts w:ascii="宋体" w:hAnsi="宋体"/>
          <w:color w:val="auto"/>
          <w:sz w:val="24"/>
          <w:highlight w:val="none"/>
        </w:rPr>
      </w:pPr>
      <w:r>
        <w:rPr>
          <w:rFonts w:hint="eastAsia" w:ascii="宋体" w:hAnsi="宋体"/>
          <w:b/>
          <w:bCs/>
          <w:color w:val="auto"/>
          <w:sz w:val="32"/>
          <w:szCs w:val="32"/>
          <w:highlight w:val="none"/>
        </w:rPr>
        <w:t>11.联系方式</w:t>
      </w:r>
      <w:bookmarkEnd w:id="11"/>
    </w:p>
    <w:p w14:paraId="23CE5384">
      <w:pPr>
        <w:autoSpaceDE w:val="0"/>
        <w:autoSpaceDN w:val="0"/>
        <w:adjustRightIn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招标人名称：</w:t>
      </w:r>
      <w:r>
        <w:rPr>
          <w:rFonts w:hint="eastAsia" w:ascii="宋体" w:hAnsi="宋体"/>
          <w:color w:val="auto"/>
          <w:sz w:val="24"/>
          <w:highlight w:val="none"/>
          <w:u w:val="single"/>
          <w:lang w:eastAsia="zh-CN"/>
        </w:rPr>
        <w:t>广东水利电力职业技术学院</w:t>
      </w:r>
    </w:p>
    <w:p w14:paraId="63991EE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邮政编码、地址：</w:t>
      </w:r>
      <w:r>
        <w:rPr>
          <w:rFonts w:hint="eastAsia" w:ascii="宋体" w:hAnsi="宋体"/>
          <w:color w:val="auto"/>
          <w:sz w:val="24"/>
          <w:highlight w:val="none"/>
          <w:u w:val="single"/>
        </w:rPr>
        <w:t>510610、</w:t>
      </w:r>
      <w:r>
        <w:rPr>
          <w:rFonts w:hint="eastAsia" w:ascii="宋体" w:hAnsi="宋体" w:cs="宋体"/>
          <w:color w:val="auto"/>
          <w:sz w:val="24"/>
          <w:highlight w:val="none"/>
          <w:u w:val="single"/>
        </w:rPr>
        <w:t>广州市天寿路122号</w:t>
      </w:r>
    </w:p>
    <w:p w14:paraId="5946E4BA">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 xml:space="preserve">温老师 </w:t>
      </w:r>
    </w:p>
    <w:p w14:paraId="4A2B0CE4">
      <w:pPr>
        <w:spacing w:line="360" w:lineRule="auto"/>
        <w:ind w:firstLine="480" w:firstLineChars="20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电话（手机）号码：</w:t>
      </w:r>
      <w:r>
        <w:rPr>
          <w:rFonts w:hint="eastAsia" w:ascii="宋体" w:hAnsi="宋体" w:cs="宋体"/>
          <w:color w:val="auto"/>
          <w:sz w:val="24"/>
          <w:highlight w:val="none"/>
          <w:u w:val="single"/>
          <w:lang w:eastAsia="zh-CN"/>
        </w:rPr>
        <w:t>020-</w:t>
      </w:r>
      <w:r>
        <w:rPr>
          <w:rFonts w:hint="eastAsia" w:ascii="宋体" w:hAnsi="宋体" w:cs="宋体"/>
          <w:color w:val="auto"/>
          <w:sz w:val="24"/>
          <w:highlight w:val="none"/>
          <w:u w:val="single"/>
          <w:lang w:val="en-US" w:eastAsia="zh-CN"/>
        </w:rPr>
        <w:t>87993289</w:t>
      </w:r>
    </w:p>
    <w:p w14:paraId="73F0AE5F">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电子邮箱：</w:t>
      </w:r>
      <w:r>
        <w:rPr>
          <w:rFonts w:hint="eastAsia" w:ascii="宋体" w:hAnsi="宋体"/>
          <w:color w:val="auto"/>
          <w:sz w:val="24"/>
          <w:highlight w:val="none"/>
          <w:u w:val="single"/>
        </w:rPr>
        <w:t xml:space="preserve">  /  </w:t>
      </w:r>
    </w:p>
    <w:p w14:paraId="113CEE39">
      <w:pPr>
        <w:pStyle w:val="20"/>
        <w:ind w:left="420" w:firstLine="420"/>
        <w:rPr>
          <w:color w:val="auto"/>
          <w:highlight w:val="none"/>
        </w:rPr>
      </w:pPr>
    </w:p>
    <w:p w14:paraId="074903F3">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招标代理名称：</w:t>
      </w:r>
      <w:r>
        <w:rPr>
          <w:rFonts w:hint="eastAsia" w:ascii="宋体" w:hAnsi="宋体" w:cs="宋体"/>
          <w:color w:val="auto"/>
          <w:sz w:val="24"/>
          <w:highlight w:val="none"/>
          <w:u w:val="single"/>
          <w:lang w:eastAsia="zh-CN"/>
        </w:rPr>
        <w:t>广州盛园咨询服务有限公司</w:t>
      </w:r>
    </w:p>
    <w:p w14:paraId="685BE840">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邮政编码、地址：</w:t>
      </w:r>
      <w:r>
        <w:rPr>
          <w:rFonts w:hint="eastAsia" w:ascii="宋体" w:hAnsi="宋体"/>
          <w:color w:val="auto"/>
          <w:sz w:val="24"/>
          <w:highlight w:val="none"/>
          <w:u w:val="single"/>
        </w:rPr>
        <w:t>510440、广州市白云区黄边北路575号4楼</w:t>
      </w:r>
    </w:p>
    <w:p w14:paraId="6FC83DE6">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lang w:eastAsia="zh-CN"/>
        </w:rPr>
        <w:t>陈</w:t>
      </w:r>
      <w:r>
        <w:rPr>
          <w:rFonts w:hint="eastAsia" w:ascii="宋体" w:hAnsi="宋体"/>
          <w:color w:val="auto"/>
          <w:sz w:val="24"/>
          <w:highlight w:val="none"/>
          <w:u w:val="single"/>
        </w:rPr>
        <w:t>工</w:t>
      </w:r>
    </w:p>
    <w:p w14:paraId="4A91613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电话（手机）号码：</w:t>
      </w:r>
      <w:r>
        <w:rPr>
          <w:rFonts w:hint="eastAsia" w:ascii="宋体" w:hAnsi="宋体"/>
          <w:color w:val="auto"/>
          <w:sz w:val="24"/>
          <w:highlight w:val="none"/>
          <w:u w:val="single"/>
          <w:lang w:val="en-US" w:eastAsia="zh-CN"/>
        </w:rPr>
        <w:t>020-83822232</w:t>
      </w:r>
    </w:p>
    <w:p w14:paraId="25D3B605">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highlight w:val="none"/>
        </w:rPr>
        <w:t>电子</w:t>
      </w:r>
      <w:r>
        <w:rPr>
          <w:rFonts w:hint="eastAsia" w:ascii="宋体" w:hAnsi="宋体"/>
          <w:color w:val="auto"/>
          <w:sz w:val="24"/>
          <w:highlight w:val="none"/>
        </w:rPr>
        <w:t>邮</w:t>
      </w:r>
      <w:r>
        <w:rPr>
          <w:rFonts w:hint="eastAsia" w:ascii="宋体" w:hAnsi="宋体" w:cs="宋体"/>
          <w:color w:val="auto"/>
          <w:sz w:val="24"/>
          <w:highlight w:val="none"/>
        </w:rPr>
        <w:t>箱</w:t>
      </w:r>
      <w:r>
        <w:rPr>
          <w:rFonts w:hint="eastAsia" w:ascii="宋体" w:hAnsi="宋体"/>
          <w:color w:val="auto"/>
          <w:sz w:val="24"/>
          <w:highlight w:val="none"/>
        </w:rPr>
        <w:t>：</w:t>
      </w:r>
      <w:r>
        <w:rPr>
          <w:rFonts w:hint="eastAsia" w:ascii="宋体" w:hAnsi="宋体"/>
          <w:color w:val="auto"/>
          <w:sz w:val="24"/>
          <w:highlight w:val="none"/>
          <w:u w:val="single"/>
        </w:rPr>
        <w:t xml:space="preserve">  /  </w:t>
      </w:r>
    </w:p>
    <w:p w14:paraId="11519091">
      <w:pPr>
        <w:pStyle w:val="20"/>
        <w:ind w:left="420" w:firstLine="420"/>
        <w:rPr>
          <w:color w:val="auto"/>
          <w:highlight w:val="none"/>
        </w:rPr>
      </w:pPr>
    </w:p>
    <w:p w14:paraId="3B56DAA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交易服务机构名称：</w:t>
      </w:r>
      <w:r>
        <w:rPr>
          <w:rFonts w:hint="eastAsia" w:ascii="宋体" w:hAnsi="宋体"/>
          <w:color w:val="auto"/>
          <w:sz w:val="24"/>
          <w:highlight w:val="none"/>
          <w:u w:val="single"/>
        </w:rPr>
        <w:t>广州公共资源交易中心</w:t>
      </w:r>
    </w:p>
    <w:p w14:paraId="2D0C4F7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邮政编码、地址：</w:t>
      </w:r>
      <w:r>
        <w:rPr>
          <w:rFonts w:ascii="宋体" w:hAnsi="宋体"/>
          <w:color w:val="auto"/>
          <w:sz w:val="24"/>
          <w:highlight w:val="none"/>
          <w:u w:val="single"/>
        </w:rPr>
        <w:t>510635</w:t>
      </w:r>
      <w:r>
        <w:rPr>
          <w:rFonts w:hint="eastAsia" w:ascii="宋体" w:hAnsi="宋体"/>
          <w:color w:val="auto"/>
          <w:sz w:val="24"/>
          <w:highlight w:val="none"/>
          <w:u w:val="single"/>
        </w:rPr>
        <w:t>、广州市天河区天润路333号4楼</w:t>
      </w:r>
    </w:p>
    <w:p w14:paraId="19759D2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电话（手机）号码：</w:t>
      </w:r>
      <w:r>
        <w:rPr>
          <w:rFonts w:hint="eastAsia" w:ascii="宋体" w:hAnsi="宋体"/>
          <w:color w:val="auto"/>
          <w:sz w:val="24"/>
          <w:highlight w:val="none"/>
          <w:u w:val="single"/>
        </w:rPr>
        <w:t>020-28866000</w:t>
      </w:r>
    </w:p>
    <w:p w14:paraId="78A4B42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传真号码：</w:t>
      </w:r>
      <w:r>
        <w:rPr>
          <w:rFonts w:hint="eastAsia" w:ascii="宋体" w:hAnsi="宋体"/>
          <w:color w:val="auto"/>
          <w:sz w:val="24"/>
          <w:highlight w:val="none"/>
          <w:u w:val="single"/>
        </w:rPr>
        <w:t>020-28866095</w:t>
      </w:r>
    </w:p>
    <w:p w14:paraId="659431C3">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网址：</w:t>
      </w:r>
      <w:r>
        <w:rPr>
          <w:rFonts w:ascii="宋体" w:hAnsi="宋体"/>
          <w:color w:val="auto"/>
          <w:sz w:val="24"/>
          <w:highlight w:val="none"/>
          <w:u w:val="single"/>
        </w:rPr>
        <w:t>http://www.gzggzy.cn</w:t>
      </w:r>
    </w:p>
    <w:p w14:paraId="4A79EC33">
      <w:pPr>
        <w:pStyle w:val="20"/>
        <w:ind w:left="420" w:firstLine="420"/>
        <w:rPr>
          <w:color w:val="auto"/>
          <w:highlight w:val="none"/>
        </w:rPr>
      </w:pPr>
    </w:p>
    <w:p w14:paraId="77C03AE9">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招标管理机构名称：</w:t>
      </w:r>
      <w:r>
        <w:rPr>
          <w:rFonts w:hint="eastAsia" w:ascii="宋体" w:hAnsi="宋体"/>
          <w:color w:val="auto"/>
          <w:sz w:val="24"/>
          <w:highlight w:val="none"/>
          <w:u w:val="single"/>
        </w:rPr>
        <w:t>广州市建设工程招标管理办公室</w:t>
      </w:r>
    </w:p>
    <w:p w14:paraId="669862A3">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邮政编码、地址：</w:t>
      </w:r>
      <w:r>
        <w:rPr>
          <w:rFonts w:ascii="宋体" w:hAnsi="宋体"/>
          <w:color w:val="auto"/>
          <w:sz w:val="24"/>
          <w:highlight w:val="none"/>
          <w:u w:val="single"/>
        </w:rPr>
        <w:t>510635</w:t>
      </w:r>
      <w:r>
        <w:rPr>
          <w:rFonts w:hint="eastAsia" w:ascii="宋体" w:hAnsi="宋体"/>
          <w:color w:val="auto"/>
          <w:sz w:val="24"/>
          <w:highlight w:val="none"/>
          <w:u w:val="single"/>
        </w:rPr>
        <w:t>、广州市天河区天润路333号3楼</w:t>
      </w:r>
    </w:p>
    <w:p w14:paraId="7B71D367">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电话号码：</w:t>
      </w:r>
      <w:r>
        <w:rPr>
          <w:rFonts w:ascii="宋体" w:hAnsi="宋体"/>
          <w:color w:val="auto"/>
          <w:sz w:val="24"/>
          <w:highlight w:val="none"/>
          <w:u w:val="single"/>
        </w:rPr>
        <w:t>020-</w:t>
      </w:r>
      <w:r>
        <w:rPr>
          <w:rFonts w:hint="eastAsia" w:ascii="宋体" w:hAnsi="宋体"/>
          <w:bCs/>
          <w:color w:val="auto"/>
          <w:sz w:val="24"/>
          <w:highlight w:val="none"/>
          <w:u w:val="single"/>
        </w:rPr>
        <w:t>28866213</w:t>
      </w:r>
    </w:p>
    <w:p w14:paraId="1A62E153">
      <w:pPr>
        <w:pStyle w:val="20"/>
        <w:ind w:left="420" w:firstLine="420"/>
        <w:rPr>
          <w:color w:val="auto"/>
          <w:highlight w:val="none"/>
        </w:rPr>
      </w:pPr>
    </w:p>
    <w:p w14:paraId="4C4FB53E">
      <w:pPr>
        <w:spacing w:line="360" w:lineRule="auto"/>
        <w:jc w:val="right"/>
        <w:rPr>
          <w:rFonts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w:t>
      </w:r>
    </w:p>
    <w:p w14:paraId="6467D8B6">
      <w:pPr>
        <w:pStyle w:val="6"/>
        <w:autoSpaceDE w:val="0"/>
        <w:spacing w:line="360" w:lineRule="auto"/>
        <w:ind w:firstLine="0" w:firstLineChars="0"/>
        <w:rPr>
          <w:rFonts w:ascii="宋体" w:hAnsi="宋体" w:eastAsia="宋体"/>
          <w:color w:val="auto"/>
          <w:sz w:val="24"/>
          <w:szCs w:val="24"/>
          <w:highlight w:val="none"/>
          <w:lang w:eastAsia="zh-CN"/>
        </w:rPr>
      </w:pPr>
      <w:r>
        <w:rPr>
          <w:color w:val="auto"/>
          <w:highlight w:val="none"/>
          <w:lang w:eastAsia="zh-CN"/>
        </w:rPr>
        <w:br w:type="page"/>
      </w:r>
      <w:r>
        <w:rPr>
          <w:rFonts w:hint="eastAsia" w:ascii="宋体" w:hAnsi="宋体" w:eastAsia="宋体"/>
          <w:color w:val="auto"/>
          <w:sz w:val="24"/>
          <w:szCs w:val="24"/>
          <w:highlight w:val="none"/>
          <w:lang w:eastAsia="zh-CN"/>
        </w:rPr>
        <w:t>附件一：（参考格式）</w:t>
      </w:r>
    </w:p>
    <w:p w14:paraId="620D686F">
      <w:pPr>
        <w:autoSpaceDE w:val="0"/>
        <w:spacing w:line="360" w:lineRule="auto"/>
        <w:jc w:val="center"/>
        <w:rPr>
          <w:rFonts w:ascii="宋体" w:hAnsi="宋体"/>
          <w:color w:val="auto"/>
          <w:kern w:val="0"/>
          <w:sz w:val="24"/>
          <w:highlight w:val="none"/>
        </w:rPr>
      </w:pPr>
      <w:r>
        <w:rPr>
          <w:rFonts w:hint="eastAsia" w:ascii="宋体" w:hAnsi="宋体" w:cs="宋体"/>
          <w:b/>
          <w:bCs/>
          <w:color w:val="auto"/>
          <w:kern w:val="0"/>
          <w:sz w:val="24"/>
          <w:highlight w:val="none"/>
        </w:rPr>
        <w:t>联合体协议书</w:t>
      </w:r>
    </w:p>
    <w:p w14:paraId="3A1DF23C">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（所有成员单位名称）自愿组成</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（联合体名称）联合体，共同参加</w:t>
      </w:r>
      <w:r>
        <w:rPr>
          <w:rFonts w:hint="eastAsia" w:ascii="宋体" w:hAnsi="宋体"/>
          <w:color w:val="auto"/>
          <w:kern w:val="0"/>
          <w:sz w:val="24"/>
          <w:highlight w:val="none"/>
          <w:u w:val="single"/>
        </w:rPr>
        <w:t xml:space="preserve">                （项目名称）</w:t>
      </w:r>
      <w:r>
        <w:rPr>
          <w:rFonts w:hint="eastAsia" w:ascii="宋体" w:hAnsi="宋体"/>
          <w:color w:val="auto"/>
          <w:kern w:val="0"/>
          <w:sz w:val="24"/>
          <w:highlight w:val="none"/>
        </w:rPr>
        <w:t>招标项目投标。现就联合体投标事宜订立如下协议。</w:t>
      </w:r>
    </w:p>
    <w:p w14:paraId="64DE7BEA">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（某成员单位名称）为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（联合体名称）</w:t>
      </w:r>
      <w:r>
        <w:rPr>
          <w:rFonts w:hint="eastAsia" w:ascii="宋体" w:hAnsi="宋体" w:cs="宋体"/>
          <w:color w:val="auto"/>
          <w:kern w:val="0"/>
          <w:sz w:val="24"/>
          <w:highlight w:val="none"/>
        </w:rPr>
        <w:t>主办方</w:t>
      </w:r>
      <w:r>
        <w:rPr>
          <w:rFonts w:hint="eastAsia" w:ascii="宋体" w:hAnsi="宋体"/>
          <w:color w:val="auto"/>
          <w:kern w:val="0"/>
          <w:sz w:val="24"/>
          <w:highlight w:val="none"/>
        </w:rPr>
        <w:t>。</w:t>
      </w:r>
    </w:p>
    <w:p w14:paraId="1C891C88">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2.联合体各成员授权</w:t>
      </w:r>
      <w:r>
        <w:rPr>
          <w:rFonts w:hint="eastAsia" w:ascii="宋体" w:hAnsi="宋体" w:cs="宋体"/>
          <w:color w:val="auto"/>
          <w:kern w:val="0"/>
          <w:sz w:val="24"/>
          <w:highlight w:val="none"/>
        </w:rPr>
        <w:t>主办方</w:t>
      </w:r>
      <w:r>
        <w:rPr>
          <w:rFonts w:hint="eastAsia" w:ascii="宋体" w:hAnsi="宋体"/>
          <w:color w:val="auto"/>
          <w:kern w:val="0"/>
          <w:sz w:val="24"/>
          <w:highlight w:val="none"/>
        </w:rPr>
        <w:t>代表联合体参加投标活动，签署文件，提交和接收相关的资料、信息及指示，进行合同谈判活动，负责合同实施阶段的组织和协调工作，以及处理与本招标项 目有关的一切事宜。</w:t>
      </w:r>
    </w:p>
    <w:p w14:paraId="29FEA240">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3.联合体</w:t>
      </w:r>
      <w:r>
        <w:rPr>
          <w:rFonts w:hint="eastAsia" w:ascii="宋体" w:hAnsi="宋体" w:cs="宋体"/>
          <w:color w:val="auto"/>
          <w:kern w:val="0"/>
          <w:sz w:val="24"/>
          <w:highlight w:val="none"/>
        </w:rPr>
        <w:t>主办方</w:t>
      </w:r>
      <w:r>
        <w:rPr>
          <w:rFonts w:hint="eastAsia" w:ascii="宋体" w:hAnsi="宋体"/>
          <w:color w:val="auto"/>
          <w:kern w:val="0"/>
          <w:sz w:val="24"/>
          <w:highlight w:val="none"/>
        </w:rPr>
        <w:t>在本项目中签署的一切文件和处理的一切事宜，联合体各成员均予以承认。联合体各成员将严格按照招标文件、投标文件和合同的要求全面履行义务，并向招标人承担连带责任。</w:t>
      </w:r>
    </w:p>
    <w:p w14:paraId="5EE3166A">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4.联合体各成员单位内部的职责分工如下：</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14:paraId="41EC1E20">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5.本协议书自所有成员单位法定代表人或其委托代理人签字或盖单位章之日起生效，合同履行完毕后自动失效。</w:t>
      </w:r>
    </w:p>
    <w:p w14:paraId="1B6953DA">
      <w:pPr>
        <w:autoSpaceDE w:val="0"/>
        <w:autoSpaceDN w:val="0"/>
        <w:adjustRightInd w:val="0"/>
        <w:spacing w:line="360" w:lineRule="auto"/>
        <w:ind w:firstLine="480" w:firstLineChars="200"/>
        <w:jc w:val="left"/>
        <w:rPr>
          <w:rFonts w:ascii="宋体" w:hAnsi="宋体"/>
          <w:color w:val="auto"/>
          <w:kern w:val="21"/>
          <w:sz w:val="24"/>
          <w:highlight w:val="none"/>
        </w:rPr>
      </w:pPr>
      <w:r>
        <w:rPr>
          <w:rFonts w:hint="eastAsia" w:ascii="宋体" w:hAnsi="宋体"/>
          <w:color w:val="auto"/>
          <w:kern w:val="0"/>
          <w:sz w:val="24"/>
          <w:highlight w:val="none"/>
        </w:rPr>
        <w:t>6.本协议书一式</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份，联合体成员和招标人各执一份。</w:t>
      </w:r>
    </w:p>
    <w:p w14:paraId="31ED968D">
      <w:pPr>
        <w:autoSpaceDE w:val="0"/>
        <w:autoSpaceDN w:val="0"/>
        <w:adjustRightInd w:val="0"/>
        <w:spacing w:line="360" w:lineRule="auto"/>
        <w:ind w:firstLine="480" w:firstLineChars="200"/>
        <w:jc w:val="left"/>
        <w:rPr>
          <w:rFonts w:ascii="宋体" w:hAnsi="宋体"/>
          <w:color w:val="auto"/>
          <w:kern w:val="21"/>
          <w:sz w:val="24"/>
          <w:highlight w:val="none"/>
        </w:rPr>
      </w:pPr>
      <w:r>
        <w:rPr>
          <w:rFonts w:hint="eastAsia" w:ascii="宋体" w:hAnsi="宋体"/>
          <w:color w:val="auto"/>
          <w:kern w:val="21"/>
          <w:sz w:val="24"/>
          <w:highlight w:val="none"/>
        </w:rPr>
        <w:t>注：本协议书由法定代表人签字的，应附法定代表人身份证明；由委托代理人签字的，应附授权委托书。</w:t>
      </w:r>
    </w:p>
    <w:p w14:paraId="592AE495">
      <w:pPr>
        <w:autoSpaceDE w:val="0"/>
        <w:autoSpaceDN w:val="0"/>
        <w:adjustRightInd w:val="0"/>
        <w:spacing w:line="360" w:lineRule="auto"/>
        <w:jc w:val="left"/>
        <w:rPr>
          <w:rFonts w:ascii="宋体" w:hAnsi="宋体"/>
          <w:color w:val="auto"/>
          <w:kern w:val="21"/>
          <w:sz w:val="24"/>
          <w:highlight w:val="none"/>
        </w:rPr>
      </w:pPr>
    </w:p>
    <w:p w14:paraId="01AA76EC">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联合体</w:t>
      </w:r>
      <w:r>
        <w:rPr>
          <w:rFonts w:hint="eastAsia" w:ascii="宋体" w:hAnsi="宋体" w:cs="宋体"/>
          <w:color w:val="auto"/>
          <w:kern w:val="21"/>
          <w:sz w:val="24"/>
          <w:highlight w:val="none"/>
        </w:rPr>
        <w:t>主办方</w:t>
      </w:r>
      <w:r>
        <w:rPr>
          <w:rFonts w:hint="eastAsia" w:ascii="宋体" w:hAnsi="宋体"/>
          <w:color w:val="auto"/>
          <w:kern w:val="21"/>
          <w:sz w:val="24"/>
          <w:highlight w:val="none"/>
        </w:rPr>
        <w:t>名称：</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（盖单位章）</w:t>
      </w:r>
    </w:p>
    <w:p w14:paraId="3FFFFCCC">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法定代表人或其委托代理人：</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（签字）</w:t>
      </w:r>
    </w:p>
    <w:p w14:paraId="6151956B">
      <w:pPr>
        <w:autoSpaceDE w:val="0"/>
        <w:autoSpaceDN w:val="0"/>
        <w:adjustRightInd w:val="0"/>
        <w:spacing w:line="360" w:lineRule="auto"/>
        <w:jc w:val="left"/>
        <w:rPr>
          <w:rFonts w:ascii="宋体" w:hAnsi="宋体"/>
          <w:color w:val="auto"/>
          <w:kern w:val="21"/>
          <w:sz w:val="24"/>
          <w:highlight w:val="none"/>
          <w:u w:val="single"/>
        </w:rPr>
      </w:pPr>
      <w:r>
        <w:rPr>
          <w:rFonts w:hint="eastAsia" w:ascii="宋体" w:hAnsi="宋体"/>
          <w:color w:val="auto"/>
          <w:kern w:val="21"/>
          <w:sz w:val="24"/>
          <w:highlight w:val="none"/>
        </w:rPr>
        <w:t>地址：</w:t>
      </w:r>
      <w:r>
        <w:rPr>
          <w:rFonts w:hint="eastAsia" w:ascii="宋体" w:hAnsi="宋体"/>
          <w:color w:val="auto"/>
          <w:kern w:val="21"/>
          <w:sz w:val="24"/>
          <w:highlight w:val="none"/>
          <w:u w:val="single"/>
        </w:rPr>
        <w:t xml:space="preserve">                                                     </w:t>
      </w:r>
    </w:p>
    <w:p w14:paraId="4631E2EE">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邮政编码：</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电话/传真：</w:t>
      </w:r>
      <w:r>
        <w:rPr>
          <w:rFonts w:hint="eastAsia" w:ascii="宋体" w:hAnsi="宋体"/>
          <w:color w:val="auto"/>
          <w:kern w:val="21"/>
          <w:sz w:val="24"/>
          <w:highlight w:val="none"/>
          <w:u w:val="single"/>
        </w:rPr>
        <w:t xml:space="preserve">                    </w:t>
      </w:r>
    </w:p>
    <w:p w14:paraId="6E6F1ABD">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联合体成员名称：</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（盖单位章）</w:t>
      </w:r>
    </w:p>
    <w:p w14:paraId="4C9C36F2">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法定代表人或其委托代理人：</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（签字）</w:t>
      </w:r>
    </w:p>
    <w:p w14:paraId="2F0BAA69">
      <w:pPr>
        <w:autoSpaceDE w:val="0"/>
        <w:autoSpaceDN w:val="0"/>
        <w:adjustRightInd w:val="0"/>
        <w:spacing w:line="360" w:lineRule="auto"/>
        <w:jc w:val="left"/>
        <w:rPr>
          <w:rFonts w:ascii="宋体" w:hAnsi="宋体"/>
          <w:color w:val="auto"/>
          <w:kern w:val="21"/>
          <w:sz w:val="24"/>
          <w:highlight w:val="none"/>
          <w:u w:val="single"/>
        </w:rPr>
      </w:pPr>
      <w:r>
        <w:rPr>
          <w:rFonts w:hint="eastAsia" w:ascii="宋体" w:hAnsi="宋体"/>
          <w:color w:val="auto"/>
          <w:kern w:val="21"/>
          <w:sz w:val="24"/>
          <w:highlight w:val="none"/>
        </w:rPr>
        <w:t>地址：</w:t>
      </w:r>
      <w:r>
        <w:rPr>
          <w:rFonts w:hint="eastAsia" w:ascii="宋体" w:hAnsi="宋体"/>
          <w:color w:val="auto"/>
          <w:kern w:val="21"/>
          <w:sz w:val="24"/>
          <w:highlight w:val="none"/>
          <w:u w:val="single"/>
        </w:rPr>
        <w:t xml:space="preserve">                                                     </w:t>
      </w:r>
    </w:p>
    <w:p w14:paraId="5FCAAD3F">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邮政编码：</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电话/传真：</w:t>
      </w:r>
      <w:r>
        <w:rPr>
          <w:rFonts w:hint="eastAsia" w:ascii="宋体" w:hAnsi="宋体"/>
          <w:color w:val="auto"/>
          <w:kern w:val="21"/>
          <w:sz w:val="24"/>
          <w:highlight w:val="none"/>
          <w:u w:val="single"/>
        </w:rPr>
        <w:t xml:space="preserve">                    </w:t>
      </w:r>
    </w:p>
    <w:p w14:paraId="5FD3017E">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年</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月</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日</w:t>
      </w:r>
    </w:p>
    <w:p w14:paraId="4A7DCD60">
      <w:pPr>
        <w:pStyle w:val="20"/>
        <w:spacing w:after="0" w:line="360" w:lineRule="auto"/>
        <w:ind w:left="0" w:leftChars="0" w:firstLine="482"/>
        <w:rPr>
          <w:rFonts w:ascii="宋体" w:hAnsi="宋体"/>
          <w:color w:val="auto"/>
          <w:sz w:val="24"/>
          <w:highlight w:val="none"/>
        </w:rPr>
      </w:pPr>
      <w:r>
        <w:rPr>
          <w:rFonts w:hint="eastAsia" w:ascii="宋体" w:hAnsi="宋体"/>
          <w:b/>
          <w:color w:val="auto"/>
          <w:kern w:val="0"/>
          <w:sz w:val="24"/>
          <w:highlight w:val="none"/>
        </w:rPr>
        <w:t>注：非联合体投标人，无需提交本协议书。</w:t>
      </w:r>
    </w:p>
    <w:sectPr>
      <w:footerReference r:id="rId7" w:type="first"/>
      <w:footerReference r:id="rId6" w:type="default"/>
      <w:pgSz w:w="11906" w:h="16838"/>
      <w:pgMar w:top="1440" w:right="1588" w:bottom="1440" w:left="1588"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CE0B">
    <w:pPr>
      <w:pStyle w:val="13"/>
      <w:jc w:val="center"/>
    </w:pPr>
  </w:p>
  <w:p w14:paraId="03F87FD1">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D506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8D4B">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1F66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31F66E">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3FB2D">
                          <w:pPr>
                            <w:pStyle w:val="13"/>
                            <w:jc w:val="center"/>
                          </w:pPr>
                        </w:p>
                        <w:p w14:paraId="7763605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03FB2D">
                    <w:pPr>
                      <w:pStyle w:val="13"/>
                      <w:jc w:val="center"/>
                    </w:pPr>
                  </w:p>
                  <w:p w14:paraId="7763605F"/>
                </w:txbxContent>
              </v:textbox>
            </v:shape>
          </w:pict>
        </mc:Fallback>
      </mc:AlternateContent>
    </w:r>
  </w:p>
  <w:p w14:paraId="778A86E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455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5EC3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A5EC3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A5CE">
    <w:pPr>
      <w:pStyle w:val="1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2JkZjI5ZWYzOWYyYzQxMDIwZTA2ODkxZGJjZTkifQ=="/>
  </w:docVars>
  <w:rsids>
    <w:rsidRoot w:val="008D7E6C"/>
    <w:rsid w:val="000172BE"/>
    <w:rsid w:val="00025226"/>
    <w:rsid w:val="00031031"/>
    <w:rsid w:val="00032175"/>
    <w:rsid w:val="00044B36"/>
    <w:rsid w:val="00045F90"/>
    <w:rsid w:val="000469B4"/>
    <w:rsid w:val="00050E32"/>
    <w:rsid w:val="00052BBD"/>
    <w:rsid w:val="00061F4B"/>
    <w:rsid w:val="00072354"/>
    <w:rsid w:val="0008193D"/>
    <w:rsid w:val="00081C59"/>
    <w:rsid w:val="000A009B"/>
    <w:rsid w:val="000A23DC"/>
    <w:rsid w:val="000A68BD"/>
    <w:rsid w:val="000A71D0"/>
    <w:rsid w:val="000B2635"/>
    <w:rsid w:val="000C0FB8"/>
    <w:rsid w:val="000C1778"/>
    <w:rsid w:val="000C2B20"/>
    <w:rsid w:val="000C3E28"/>
    <w:rsid w:val="000C6207"/>
    <w:rsid w:val="000E62EC"/>
    <w:rsid w:val="000F1129"/>
    <w:rsid w:val="00103E33"/>
    <w:rsid w:val="00116060"/>
    <w:rsid w:val="00130575"/>
    <w:rsid w:val="001347AD"/>
    <w:rsid w:val="00136A9B"/>
    <w:rsid w:val="00136E68"/>
    <w:rsid w:val="00136F96"/>
    <w:rsid w:val="001372C6"/>
    <w:rsid w:val="00140A3C"/>
    <w:rsid w:val="00142E43"/>
    <w:rsid w:val="0014369D"/>
    <w:rsid w:val="0015341B"/>
    <w:rsid w:val="001570EC"/>
    <w:rsid w:val="001613B6"/>
    <w:rsid w:val="00171991"/>
    <w:rsid w:val="00176DA8"/>
    <w:rsid w:val="00184564"/>
    <w:rsid w:val="001B38D9"/>
    <w:rsid w:val="001B4F49"/>
    <w:rsid w:val="001B51B0"/>
    <w:rsid w:val="001B637A"/>
    <w:rsid w:val="001C110D"/>
    <w:rsid w:val="001C2705"/>
    <w:rsid w:val="001E4941"/>
    <w:rsid w:val="001E535D"/>
    <w:rsid w:val="001E61EA"/>
    <w:rsid w:val="0020165E"/>
    <w:rsid w:val="0020227E"/>
    <w:rsid w:val="00214C48"/>
    <w:rsid w:val="00226629"/>
    <w:rsid w:val="00256A80"/>
    <w:rsid w:val="002572D1"/>
    <w:rsid w:val="00265992"/>
    <w:rsid w:val="00266840"/>
    <w:rsid w:val="00266A4F"/>
    <w:rsid w:val="0027205F"/>
    <w:rsid w:val="00280488"/>
    <w:rsid w:val="002818D2"/>
    <w:rsid w:val="0029139D"/>
    <w:rsid w:val="00297BDC"/>
    <w:rsid w:val="002A1324"/>
    <w:rsid w:val="002A2300"/>
    <w:rsid w:val="002B4DBF"/>
    <w:rsid w:val="002B5FD1"/>
    <w:rsid w:val="002C1610"/>
    <w:rsid w:val="002C1E37"/>
    <w:rsid w:val="002C4466"/>
    <w:rsid w:val="002D6127"/>
    <w:rsid w:val="002E1CFB"/>
    <w:rsid w:val="002E2231"/>
    <w:rsid w:val="002E5DAF"/>
    <w:rsid w:val="002E713F"/>
    <w:rsid w:val="002F02BA"/>
    <w:rsid w:val="002F38D3"/>
    <w:rsid w:val="0031270D"/>
    <w:rsid w:val="00313E7D"/>
    <w:rsid w:val="003209C0"/>
    <w:rsid w:val="0032440D"/>
    <w:rsid w:val="00334CB5"/>
    <w:rsid w:val="003366EA"/>
    <w:rsid w:val="00344128"/>
    <w:rsid w:val="0034495C"/>
    <w:rsid w:val="00355D52"/>
    <w:rsid w:val="003640F8"/>
    <w:rsid w:val="00370BEF"/>
    <w:rsid w:val="0037737D"/>
    <w:rsid w:val="003776B8"/>
    <w:rsid w:val="00391962"/>
    <w:rsid w:val="003A067A"/>
    <w:rsid w:val="003A14DA"/>
    <w:rsid w:val="003C4E10"/>
    <w:rsid w:val="003D16CB"/>
    <w:rsid w:val="003E2106"/>
    <w:rsid w:val="00403B3E"/>
    <w:rsid w:val="004100BD"/>
    <w:rsid w:val="004102D4"/>
    <w:rsid w:val="0041507E"/>
    <w:rsid w:val="004157CC"/>
    <w:rsid w:val="004175D1"/>
    <w:rsid w:val="00420127"/>
    <w:rsid w:val="00421934"/>
    <w:rsid w:val="00422874"/>
    <w:rsid w:val="00424164"/>
    <w:rsid w:val="004264BA"/>
    <w:rsid w:val="00426679"/>
    <w:rsid w:val="0043030B"/>
    <w:rsid w:val="004303F7"/>
    <w:rsid w:val="0043067B"/>
    <w:rsid w:val="004311FC"/>
    <w:rsid w:val="00442531"/>
    <w:rsid w:val="00460608"/>
    <w:rsid w:val="0046135A"/>
    <w:rsid w:val="00475FB1"/>
    <w:rsid w:val="00480CB3"/>
    <w:rsid w:val="00482E2E"/>
    <w:rsid w:val="00486F1F"/>
    <w:rsid w:val="004A476F"/>
    <w:rsid w:val="004A6F1F"/>
    <w:rsid w:val="004B3C62"/>
    <w:rsid w:val="004D51EA"/>
    <w:rsid w:val="004E10D9"/>
    <w:rsid w:val="004E16B1"/>
    <w:rsid w:val="004E20A1"/>
    <w:rsid w:val="004E486E"/>
    <w:rsid w:val="004E4B72"/>
    <w:rsid w:val="004E5C60"/>
    <w:rsid w:val="004E6095"/>
    <w:rsid w:val="0050634C"/>
    <w:rsid w:val="0051079E"/>
    <w:rsid w:val="00514EDE"/>
    <w:rsid w:val="0052425E"/>
    <w:rsid w:val="00533845"/>
    <w:rsid w:val="005338E9"/>
    <w:rsid w:val="00543E48"/>
    <w:rsid w:val="00557A87"/>
    <w:rsid w:val="00561485"/>
    <w:rsid w:val="005653BB"/>
    <w:rsid w:val="005705D8"/>
    <w:rsid w:val="005727D4"/>
    <w:rsid w:val="00576C29"/>
    <w:rsid w:val="0058052E"/>
    <w:rsid w:val="005825F4"/>
    <w:rsid w:val="0059452C"/>
    <w:rsid w:val="005A4082"/>
    <w:rsid w:val="005B56E3"/>
    <w:rsid w:val="005C04DF"/>
    <w:rsid w:val="005C5E78"/>
    <w:rsid w:val="005D336D"/>
    <w:rsid w:val="005E070D"/>
    <w:rsid w:val="005E6BA1"/>
    <w:rsid w:val="005F14D7"/>
    <w:rsid w:val="005F2A8B"/>
    <w:rsid w:val="005F4344"/>
    <w:rsid w:val="006033C3"/>
    <w:rsid w:val="00604187"/>
    <w:rsid w:val="0060529B"/>
    <w:rsid w:val="006159E1"/>
    <w:rsid w:val="006236EE"/>
    <w:rsid w:val="00625CF4"/>
    <w:rsid w:val="006348BC"/>
    <w:rsid w:val="00650498"/>
    <w:rsid w:val="0065500F"/>
    <w:rsid w:val="00673C89"/>
    <w:rsid w:val="00674112"/>
    <w:rsid w:val="00687AC7"/>
    <w:rsid w:val="00694158"/>
    <w:rsid w:val="006A3DFA"/>
    <w:rsid w:val="006A4484"/>
    <w:rsid w:val="006B0B4F"/>
    <w:rsid w:val="006B2032"/>
    <w:rsid w:val="006B51A2"/>
    <w:rsid w:val="006C1E61"/>
    <w:rsid w:val="006D5455"/>
    <w:rsid w:val="006E199D"/>
    <w:rsid w:val="006E4106"/>
    <w:rsid w:val="006E54E0"/>
    <w:rsid w:val="006E671E"/>
    <w:rsid w:val="006E7409"/>
    <w:rsid w:val="006F513C"/>
    <w:rsid w:val="006F5EE7"/>
    <w:rsid w:val="00700352"/>
    <w:rsid w:val="00701533"/>
    <w:rsid w:val="00703684"/>
    <w:rsid w:val="007274A6"/>
    <w:rsid w:val="00733F5D"/>
    <w:rsid w:val="00736FD2"/>
    <w:rsid w:val="00740E41"/>
    <w:rsid w:val="00751646"/>
    <w:rsid w:val="00753886"/>
    <w:rsid w:val="00753C12"/>
    <w:rsid w:val="0075690B"/>
    <w:rsid w:val="00761296"/>
    <w:rsid w:val="007644BF"/>
    <w:rsid w:val="00771CBC"/>
    <w:rsid w:val="00773080"/>
    <w:rsid w:val="00774E90"/>
    <w:rsid w:val="007778C3"/>
    <w:rsid w:val="00780BD4"/>
    <w:rsid w:val="0078337E"/>
    <w:rsid w:val="00783586"/>
    <w:rsid w:val="007875CE"/>
    <w:rsid w:val="00787F5B"/>
    <w:rsid w:val="00790A8A"/>
    <w:rsid w:val="007A2592"/>
    <w:rsid w:val="007C3539"/>
    <w:rsid w:val="007C4F0E"/>
    <w:rsid w:val="007D016A"/>
    <w:rsid w:val="007D3694"/>
    <w:rsid w:val="007D3A31"/>
    <w:rsid w:val="007E0BBC"/>
    <w:rsid w:val="007E2B0A"/>
    <w:rsid w:val="00804572"/>
    <w:rsid w:val="0081017A"/>
    <w:rsid w:val="00811E21"/>
    <w:rsid w:val="00817C48"/>
    <w:rsid w:val="00823E64"/>
    <w:rsid w:val="00830A0F"/>
    <w:rsid w:val="00855E75"/>
    <w:rsid w:val="0086441C"/>
    <w:rsid w:val="008700E3"/>
    <w:rsid w:val="008727F3"/>
    <w:rsid w:val="008750C9"/>
    <w:rsid w:val="0087555C"/>
    <w:rsid w:val="00875B38"/>
    <w:rsid w:val="008800A0"/>
    <w:rsid w:val="00881F87"/>
    <w:rsid w:val="00883E2D"/>
    <w:rsid w:val="008A06DD"/>
    <w:rsid w:val="008B2D77"/>
    <w:rsid w:val="008B2EC7"/>
    <w:rsid w:val="008C1E5E"/>
    <w:rsid w:val="008C2435"/>
    <w:rsid w:val="008C36F7"/>
    <w:rsid w:val="008C3D0A"/>
    <w:rsid w:val="008C6B34"/>
    <w:rsid w:val="008D547F"/>
    <w:rsid w:val="008D6536"/>
    <w:rsid w:val="008D7E6C"/>
    <w:rsid w:val="008E124C"/>
    <w:rsid w:val="008E714D"/>
    <w:rsid w:val="008F0330"/>
    <w:rsid w:val="008F10B5"/>
    <w:rsid w:val="008F2DA8"/>
    <w:rsid w:val="008F39E0"/>
    <w:rsid w:val="008F5D90"/>
    <w:rsid w:val="00912225"/>
    <w:rsid w:val="00915C13"/>
    <w:rsid w:val="00915DCD"/>
    <w:rsid w:val="00927B62"/>
    <w:rsid w:val="00942D0D"/>
    <w:rsid w:val="00944687"/>
    <w:rsid w:val="009571D5"/>
    <w:rsid w:val="0096066E"/>
    <w:rsid w:val="0096526B"/>
    <w:rsid w:val="00972994"/>
    <w:rsid w:val="00974FB6"/>
    <w:rsid w:val="0097636C"/>
    <w:rsid w:val="00980B86"/>
    <w:rsid w:val="0098128F"/>
    <w:rsid w:val="009A5021"/>
    <w:rsid w:val="009A6AFB"/>
    <w:rsid w:val="009B024F"/>
    <w:rsid w:val="009B5F9F"/>
    <w:rsid w:val="009B7FAA"/>
    <w:rsid w:val="009C17BF"/>
    <w:rsid w:val="009C199D"/>
    <w:rsid w:val="009C3A4D"/>
    <w:rsid w:val="009C572A"/>
    <w:rsid w:val="009E0951"/>
    <w:rsid w:val="009E3797"/>
    <w:rsid w:val="009F51CD"/>
    <w:rsid w:val="009F66CA"/>
    <w:rsid w:val="00A009BC"/>
    <w:rsid w:val="00A06A05"/>
    <w:rsid w:val="00A13611"/>
    <w:rsid w:val="00A2050F"/>
    <w:rsid w:val="00A21AE0"/>
    <w:rsid w:val="00A24D73"/>
    <w:rsid w:val="00A25148"/>
    <w:rsid w:val="00A346AB"/>
    <w:rsid w:val="00A640FA"/>
    <w:rsid w:val="00A7102D"/>
    <w:rsid w:val="00A733E4"/>
    <w:rsid w:val="00A77397"/>
    <w:rsid w:val="00A822A7"/>
    <w:rsid w:val="00A8711A"/>
    <w:rsid w:val="00A9444D"/>
    <w:rsid w:val="00A9567C"/>
    <w:rsid w:val="00AA1F85"/>
    <w:rsid w:val="00AC2287"/>
    <w:rsid w:val="00AC615A"/>
    <w:rsid w:val="00AD1183"/>
    <w:rsid w:val="00AD5B68"/>
    <w:rsid w:val="00AF5AF4"/>
    <w:rsid w:val="00B022DE"/>
    <w:rsid w:val="00B05104"/>
    <w:rsid w:val="00B102D2"/>
    <w:rsid w:val="00B21FFB"/>
    <w:rsid w:val="00B2316A"/>
    <w:rsid w:val="00B24F75"/>
    <w:rsid w:val="00B2608C"/>
    <w:rsid w:val="00B27BD5"/>
    <w:rsid w:val="00B34AC6"/>
    <w:rsid w:val="00B35669"/>
    <w:rsid w:val="00B76380"/>
    <w:rsid w:val="00B84DAD"/>
    <w:rsid w:val="00B91A9C"/>
    <w:rsid w:val="00B9702A"/>
    <w:rsid w:val="00BA3727"/>
    <w:rsid w:val="00BB030D"/>
    <w:rsid w:val="00BB0AD7"/>
    <w:rsid w:val="00BD71F3"/>
    <w:rsid w:val="00BE20DF"/>
    <w:rsid w:val="00BE69B5"/>
    <w:rsid w:val="00BF7658"/>
    <w:rsid w:val="00C01F9B"/>
    <w:rsid w:val="00C038AF"/>
    <w:rsid w:val="00C04FCC"/>
    <w:rsid w:val="00C05472"/>
    <w:rsid w:val="00C16847"/>
    <w:rsid w:val="00C17B85"/>
    <w:rsid w:val="00C3306C"/>
    <w:rsid w:val="00C34D60"/>
    <w:rsid w:val="00C35D79"/>
    <w:rsid w:val="00C3719C"/>
    <w:rsid w:val="00C371CF"/>
    <w:rsid w:val="00C430F2"/>
    <w:rsid w:val="00C52782"/>
    <w:rsid w:val="00C63121"/>
    <w:rsid w:val="00C70BB9"/>
    <w:rsid w:val="00C716FC"/>
    <w:rsid w:val="00C91896"/>
    <w:rsid w:val="00C945D1"/>
    <w:rsid w:val="00C95C97"/>
    <w:rsid w:val="00C9609A"/>
    <w:rsid w:val="00CB32D8"/>
    <w:rsid w:val="00CD4652"/>
    <w:rsid w:val="00D02198"/>
    <w:rsid w:val="00D06360"/>
    <w:rsid w:val="00D31151"/>
    <w:rsid w:val="00D3569D"/>
    <w:rsid w:val="00D40319"/>
    <w:rsid w:val="00D4444C"/>
    <w:rsid w:val="00D453FF"/>
    <w:rsid w:val="00D60E05"/>
    <w:rsid w:val="00D6227B"/>
    <w:rsid w:val="00D63018"/>
    <w:rsid w:val="00D63FCE"/>
    <w:rsid w:val="00D74B63"/>
    <w:rsid w:val="00D752A4"/>
    <w:rsid w:val="00DB4481"/>
    <w:rsid w:val="00DB49BF"/>
    <w:rsid w:val="00DC3AA4"/>
    <w:rsid w:val="00DC5F3D"/>
    <w:rsid w:val="00DE3CBF"/>
    <w:rsid w:val="00DE4468"/>
    <w:rsid w:val="00DE46C6"/>
    <w:rsid w:val="00DF1B9B"/>
    <w:rsid w:val="00E07E5C"/>
    <w:rsid w:val="00E12881"/>
    <w:rsid w:val="00E13815"/>
    <w:rsid w:val="00E155CF"/>
    <w:rsid w:val="00E158A1"/>
    <w:rsid w:val="00E21594"/>
    <w:rsid w:val="00E27AB5"/>
    <w:rsid w:val="00E36293"/>
    <w:rsid w:val="00E42215"/>
    <w:rsid w:val="00E5371B"/>
    <w:rsid w:val="00E53962"/>
    <w:rsid w:val="00E56AAA"/>
    <w:rsid w:val="00E637BF"/>
    <w:rsid w:val="00E6781D"/>
    <w:rsid w:val="00E67C22"/>
    <w:rsid w:val="00E67EDF"/>
    <w:rsid w:val="00E71433"/>
    <w:rsid w:val="00E71800"/>
    <w:rsid w:val="00E7337E"/>
    <w:rsid w:val="00E753E2"/>
    <w:rsid w:val="00E7609F"/>
    <w:rsid w:val="00E80C23"/>
    <w:rsid w:val="00E87D2B"/>
    <w:rsid w:val="00E935E0"/>
    <w:rsid w:val="00E949F0"/>
    <w:rsid w:val="00E978BC"/>
    <w:rsid w:val="00EA2933"/>
    <w:rsid w:val="00EA2DEE"/>
    <w:rsid w:val="00EA3AD0"/>
    <w:rsid w:val="00EA70A6"/>
    <w:rsid w:val="00EA7F8E"/>
    <w:rsid w:val="00EB187E"/>
    <w:rsid w:val="00EC0494"/>
    <w:rsid w:val="00EC1395"/>
    <w:rsid w:val="00EC560D"/>
    <w:rsid w:val="00EC73B6"/>
    <w:rsid w:val="00ED07E5"/>
    <w:rsid w:val="00ED0C43"/>
    <w:rsid w:val="00EE07E3"/>
    <w:rsid w:val="00EF0615"/>
    <w:rsid w:val="00EF0C10"/>
    <w:rsid w:val="00EF197F"/>
    <w:rsid w:val="00EF22FF"/>
    <w:rsid w:val="00EF33A3"/>
    <w:rsid w:val="00EF50B9"/>
    <w:rsid w:val="00F006E1"/>
    <w:rsid w:val="00F1187B"/>
    <w:rsid w:val="00F12EFB"/>
    <w:rsid w:val="00F223F3"/>
    <w:rsid w:val="00F27A36"/>
    <w:rsid w:val="00F31620"/>
    <w:rsid w:val="00F37451"/>
    <w:rsid w:val="00F44539"/>
    <w:rsid w:val="00F4531B"/>
    <w:rsid w:val="00F519F0"/>
    <w:rsid w:val="00F54283"/>
    <w:rsid w:val="00F628A3"/>
    <w:rsid w:val="00F63E95"/>
    <w:rsid w:val="00F83019"/>
    <w:rsid w:val="00F83847"/>
    <w:rsid w:val="00F86D71"/>
    <w:rsid w:val="00F94085"/>
    <w:rsid w:val="00F97603"/>
    <w:rsid w:val="00FA32AB"/>
    <w:rsid w:val="00FA4050"/>
    <w:rsid w:val="00FA4A6E"/>
    <w:rsid w:val="00FA4E6F"/>
    <w:rsid w:val="00FA6794"/>
    <w:rsid w:val="00FB11A7"/>
    <w:rsid w:val="00FB7174"/>
    <w:rsid w:val="00FB77DA"/>
    <w:rsid w:val="00FC0082"/>
    <w:rsid w:val="00FC32B4"/>
    <w:rsid w:val="00FD59CA"/>
    <w:rsid w:val="00FD72D1"/>
    <w:rsid w:val="00FD7D9E"/>
    <w:rsid w:val="00FE6244"/>
    <w:rsid w:val="00FF1FD3"/>
    <w:rsid w:val="015C41A2"/>
    <w:rsid w:val="018A64B7"/>
    <w:rsid w:val="0194055C"/>
    <w:rsid w:val="01B6221C"/>
    <w:rsid w:val="01FD71E6"/>
    <w:rsid w:val="02027CE4"/>
    <w:rsid w:val="02290C40"/>
    <w:rsid w:val="0235122D"/>
    <w:rsid w:val="02663C42"/>
    <w:rsid w:val="02A979E3"/>
    <w:rsid w:val="03332B05"/>
    <w:rsid w:val="03882FFD"/>
    <w:rsid w:val="03907D25"/>
    <w:rsid w:val="03B160CA"/>
    <w:rsid w:val="03B76507"/>
    <w:rsid w:val="042D17AC"/>
    <w:rsid w:val="04380A7C"/>
    <w:rsid w:val="0475505E"/>
    <w:rsid w:val="04FB6822"/>
    <w:rsid w:val="05034C87"/>
    <w:rsid w:val="05141EB3"/>
    <w:rsid w:val="052B08C7"/>
    <w:rsid w:val="058676CD"/>
    <w:rsid w:val="06540C94"/>
    <w:rsid w:val="07024528"/>
    <w:rsid w:val="07073765"/>
    <w:rsid w:val="071B2753"/>
    <w:rsid w:val="074D4469"/>
    <w:rsid w:val="0791707F"/>
    <w:rsid w:val="07AE7DDB"/>
    <w:rsid w:val="07B37F06"/>
    <w:rsid w:val="07D346C5"/>
    <w:rsid w:val="07DF4802"/>
    <w:rsid w:val="0801789B"/>
    <w:rsid w:val="082A649E"/>
    <w:rsid w:val="0858402D"/>
    <w:rsid w:val="08D6378D"/>
    <w:rsid w:val="093B4B3F"/>
    <w:rsid w:val="09765058"/>
    <w:rsid w:val="09860B6D"/>
    <w:rsid w:val="09A14BF0"/>
    <w:rsid w:val="09F614AB"/>
    <w:rsid w:val="0A1977EC"/>
    <w:rsid w:val="0A27603E"/>
    <w:rsid w:val="0A4725D6"/>
    <w:rsid w:val="0A5B3FBB"/>
    <w:rsid w:val="0AC24F48"/>
    <w:rsid w:val="0AE0651F"/>
    <w:rsid w:val="0B03497B"/>
    <w:rsid w:val="0B626897"/>
    <w:rsid w:val="0B7F344E"/>
    <w:rsid w:val="0BC81E68"/>
    <w:rsid w:val="0BCD3CB3"/>
    <w:rsid w:val="0C0701CD"/>
    <w:rsid w:val="0CA20E8E"/>
    <w:rsid w:val="0CA27F6D"/>
    <w:rsid w:val="0CAE380F"/>
    <w:rsid w:val="0CC23915"/>
    <w:rsid w:val="0D156991"/>
    <w:rsid w:val="0D8A550B"/>
    <w:rsid w:val="0E655D57"/>
    <w:rsid w:val="0EED36A3"/>
    <w:rsid w:val="0F0F2FF7"/>
    <w:rsid w:val="0F230F70"/>
    <w:rsid w:val="0F245519"/>
    <w:rsid w:val="0F4E618A"/>
    <w:rsid w:val="0F5B00C3"/>
    <w:rsid w:val="0F6239E3"/>
    <w:rsid w:val="0F7756E1"/>
    <w:rsid w:val="0FD454AF"/>
    <w:rsid w:val="0FE4264A"/>
    <w:rsid w:val="0FE66E7E"/>
    <w:rsid w:val="0FFD19F6"/>
    <w:rsid w:val="10E25CD1"/>
    <w:rsid w:val="1107235F"/>
    <w:rsid w:val="111D49F3"/>
    <w:rsid w:val="112C1F79"/>
    <w:rsid w:val="116E7244"/>
    <w:rsid w:val="1174242F"/>
    <w:rsid w:val="11CC23A2"/>
    <w:rsid w:val="11E85E78"/>
    <w:rsid w:val="12577104"/>
    <w:rsid w:val="12665CCB"/>
    <w:rsid w:val="12FC3F49"/>
    <w:rsid w:val="13086650"/>
    <w:rsid w:val="13564524"/>
    <w:rsid w:val="136A749E"/>
    <w:rsid w:val="14073B68"/>
    <w:rsid w:val="149204C9"/>
    <w:rsid w:val="14B53DB9"/>
    <w:rsid w:val="152D4634"/>
    <w:rsid w:val="15400765"/>
    <w:rsid w:val="15690523"/>
    <w:rsid w:val="156F5D50"/>
    <w:rsid w:val="15772D84"/>
    <w:rsid w:val="15865B1E"/>
    <w:rsid w:val="15947F5C"/>
    <w:rsid w:val="165840B5"/>
    <w:rsid w:val="170C2D16"/>
    <w:rsid w:val="173A61CF"/>
    <w:rsid w:val="17B7328B"/>
    <w:rsid w:val="17CB6B84"/>
    <w:rsid w:val="17D2722C"/>
    <w:rsid w:val="17D84809"/>
    <w:rsid w:val="17EA6DEA"/>
    <w:rsid w:val="1818229D"/>
    <w:rsid w:val="18570964"/>
    <w:rsid w:val="186036F6"/>
    <w:rsid w:val="18944F20"/>
    <w:rsid w:val="18A411AF"/>
    <w:rsid w:val="18C112AA"/>
    <w:rsid w:val="190927CD"/>
    <w:rsid w:val="19612025"/>
    <w:rsid w:val="19B076E9"/>
    <w:rsid w:val="19C423E9"/>
    <w:rsid w:val="19F65087"/>
    <w:rsid w:val="1A0976E0"/>
    <w:rsid w:val="1A2875FE"/>
    <w:rsid w:val="1A307EBA"/>
    <w:rsid w:val="1A4925DD"/>
    <w:rsid w:val="1A77138C"/>
    <w:rsid w:val="1A7B2751"/>
    <w:rsid w:val="1A7C5B51"/>
    <w:rsid w:val="1A845B2B"/>
    <w:rsid w:val="1AAE5D1E"/>
    <w:rsid w:val="1B09527C"/>
    <w:rsid w:val="1B650D9C"/>
    <w:rsid w:val="1B872D57"/>
    <w:rsid w:val="1BB70034"/>
    <w:rsid w:val="1BDC5724"/>
    <w:rsid w:val="1BDE3A90"/>
    <w:rsid w:val="1BEA12D6"/>
    <w:rsid w:val="1C241E60"/>
    <w:rsid w:val="1C50180B"/>
    <w:rsid w:val="1CC72184"/>
    <w:rsid w:val="1D04097D"/>
    <w:rsid w:val="1D3775A1"/>
    <w:rsid w:val="1D3A1AFC"/>
    <w:rsid w:val="1D773929"/>
    <w:rsid w:val="1DB83F21"/>
    <w:rsid w:val="1DC061F8"/>
    <w:rsid w:val="1DC43CB7"/>
    <w:rsid w:val="1DD135C7"/>
    <w:rsid w:val="1E1F623F"/>
    <w:rsid w:val="1E7A15C0"/>
    <w:rsid w:val="1E8474D2"/>
    <w:rsid w:val="1EC43D73"/>
    <w:rsid w:val="1ED91410"/>
    <w:rsid w:val="1EFF124F"/>
    <w:rsid w:val="1F244798"/>
    <w:rsid w:val="1F8630C0"/>
    <w:rsid w:val="1F9874FF"/>
    <w:rsid w:val="1FB31510"/>
    <w:rsid w:val="20AA51A4"/>
    <w:rsid w:val="20AF6F5C"/>
    <w:rsid w:val="2115467B"/>
    <w:rsid w:val="214C3BAE"/>
    <w:rsid w:val="21AF0BC3"/>
    <w:rsid w:val="21DE4C7A"/>
    <w:rsid w:val="221C532F"/>
    <w:rsid w:val="2259110D"/>
    <w:rsid w:val="228D6B72"/>
    <w:rsid w:val="22FD25EF"/>
    <w:rsid w:val="23B8052B"/>
    <w:rsid w:val="23DF41E2"/>
    <w:rsid w:val="24291518"/>
    <w:rsid w:val="246F022B"/>
    <w:rsid w:val="24707C1A"/>
    <w:rsid w:val="24F63F28"/>
    <w:rsid w:val="251065C1"/>
    <w:rsid w:val="252B4E89"/>
    <w:rsid w:val="25675BBE"/>
    <w:rsid w:val="259D28DC"/>
    <w:rsid w:val="25AC3304"/>
    <w:rsid w:val="25CF60A4"/>
    <w:rsid w:val="26005FD9"/>
    <w:rsid w:val="263928D8"/>
    <w:rsid w:val="26395046"/>
    <w:rsid w:val="2679051E"/>
    <w:rsid w:val="267B5AC6"/>
    <w:rsid w:val="2687768F"/>
    <w:rsid w:val="26E42026"/>
    <w:rsid w:val="270703CB"/>
    <w:rsid w:val="27220A79"/>
    <w:rsid w:val="274D0DEC"/>
    <w:rsid w:val="27C506B1"/>
    <w:rsid w:val="27CE64E0"/>
    <w:rsid w:val="28237BE6"/>
    <w:rsid w:val="286B20D6"/>
    <w:rsid w:val="28DA3860"/>
    <w:rsid w:val="29143AF6"/>
    <w:rsid w:val="29766231"/>
    <w:rsid w:val="29917A22"/>
    <w:rsid w:val="29AE7AF9"/>
    <w:rsid w:val="29C572E5"/>
    <w:rsid w:val="2A284E64"/>
    <w:rsid w:val="2A4367D8"/>
    <w:rsid w:val="2A6E5785"/>
    <w:rsid w:val="2A7A4BFE"/>
    <w:rsid w:val="2ACD173B"/>
    <w:rsid w:val="2BD7069D"/>
    <w:rsid w:val="2C3A3850"/>
    <w:rsid w:val="2CD662BD"/>
    <w:rsid w:val="2D033C80"/>
    <w:rsid w:val="2D780B50"/>
    <w:rsid w:val="2DAE35E7"/>
    <w:rsid w:val="2DB25345"/>
    <w:rsid w:val="2DC6525D"/>
    <w:rsid w:val="2E3E5E8A"/>
    <w:rsid w:val="2E653566"/>
    <w:rsid w:val="2E7B3D22"/>
    <w:rsid w:val="2E9542C9"/>
    <w:rsid w:val="2EA14E7B"/>
    <w:rsid w:val="2EC53B9F"/>
    <w:rsid w:val="2EDF7E2F"/>
    <w:rsid w:val="2EFC1307"/>
    <w:rsid w:val="2F354710"/>
    <w:rsid w:val="2F586A27"/>
    <w:rsid w:val="2F5A6DAA"/>
    <w:rsid w:val="2F744788"/>
    <w:rsid w:val="30386410"/>
    <w:rsid w:val="309D3D98"/>
    <w:rsid w:val="30CD38EA"/>
    <w:rsid w:val="310F2A34"/>
    <w:rsid w:val="3164652A"/>
    <w:rsid w:val="320A1F29"/>
    <w:rsid w:val="320D0B65"/>
    <w:rsid w:val="3212499D"/>
    <w:rsid w:val="32BF23CB"/>
    <w:rsid w:val="32CA2B82"/>
    <w:rsid w:val="32F26CA9"/>
    <w:rsid w:val="32F9568D"/>
    <w:rsid w:val="337E678E"/>
    <w:rsid w:val="33B5365F"/>
    <w:rsid w:val="34053F1A"/>
    <w:rsid w:val="34144FE4"/>
    <w:rsid w:val="34776C92"/>
    <w:rsid w:val="347D590F"/>
    <w:rsid w:val="34A27474"/>
    <w:rsid w:val="35054858"/>
    <w:rsid w:val="35082682"/>
    <w:rsid w:val="351F6BA1"/>
    <w:rsid w:val="358C19C5"/>
    <w:rsid w:val="35A973C7"/>
    <w:rsid w:val="35AD335B"/>
    <w:rsid w:val="35F2629F"/>
    <w:rsid w:val="369B00AD"/>
    <w:rsid w:val="36E3772B"/>
    <w:rsid w:val="37025DBC"/>
    <w:rsid w:val="37086AD8"/>
    <w:rsid w:val="371814DD"/>
    <w:rsid w:val="3741388A"/>
    <w:rsid w:val="377A54BF"/>
    <w:rsid w:val="377E4FAF"/>
    <w:rsid w:val="378858C8"/>
    <w:rsid w:val="378B76CC"/>
    <w:rsid w:val="37B04B31"/>
    <w:rsid w:val="382D1C15"/>
    <w:rsid w:val="38740537"/>
    <w:rsid w:val="388606F9"/>
    <w:rsid w:val="38C55D5E"/>
    <w:rsid w:val="3901429C"/>
    <w:rsid w:val="39130F92"/>
    <w:rsid w:val="395768EF"/>
    <w:rsid w:val="39981C2C"/>
    <w:rsid w:val="399A48D8"/>
    <w:rsid w:val="39E96DBE"/>
    <w:rsid w:val="39FF6B36"/>
    <w:rsid w:val="3A0A3629"/>
    <w:rsid w:val="3A0A442D"/>
    <w:rsid w:val="3A3B3B69"/>
    <w:rsid w:val="3A751F6D"/>
    <w:rsid w:val="3ABA7A60"/>
    <w:rsid w:val="3B155DE1"/>
    <w:rsid w:val="3B1E3A34"/>
    <w:rsid w:val="3B1F5495"/>
    <w:rsid w:val="3B2C4D22"/>
    <w:rsid w:val="3B3050F9"/>
    <w:rsid w:val="3B4427E2"/>
    <w:rsid w:val="3B614CE2"/>
    <w:rsid w:val="3BEE002A"/>
    <w:rsid w:val="3C085FDF"/>
    <w:rsid w:val="3C1C08F2"/>
    <w:rsid w:val="3C64407F"/>
    <w:rsid w:val="3C937EF8"/>
    <w:rsid w:val="3CA1644A"/>
    <w:rsid w:val="3CAC7699"/>
    <w:rsid w:val="3CC26DB4"/>
    <w:rsid w:val="3D256E7C"/>
    <w:rsid w:val="3D3C5F97"/>
    <w:rsid w:val="3D3D1D7A"/>
    <w:rsid w:val="3D3F568C"/>
    <w:rsid w:val="3D562EC9"/>
    <w:rsid w:val="3D5A6FF6"/>
    <w:rsid w:val="3D9E6D23"/>
    <w:rsid w:val="3DB515B9"/>
    <w:rsid w:val="3E1A70B4"/>
    <w:rsid w:val="3E4279D9"/>
    <w:rsid w:val="3E901EED"/>
    <w:rsid w:val="3E9D4DC9"/>
    <w:rsid w:val="3EDB698B"/>
    <w:rsid w:val="3EE55913"/>
    <w:rsid w:val="3EFB396C"/>
    <w:rsid w:val="3F4831D6"/>
    <w:rsid w:val="3F6A5E19"/>
    <w:rsid w:val="3FA01E8A"/>
    <w:rsid w:val="3FB672B0"/>
    <w:rsid w:val="3FCC6AD3"/>
    <w:rsid w:val="3FDE46C7"/>
    <w:rsid w:val="404A44BE"/>
    <w:rsid w:val="40863599"/>
    <w:rsid w:val="408A6510"/>
    <w:rsid w:val="40990909"/>
    <w:rsid w:val="40BC0AF0"/>
    <w:rsid w:val="40C07F2B"/>
    <w:rsid w:val="40EF1158"/>
    <w:rsid w:val="41114C78"/>
    <w:rsid w:val="412D5350"/>
    <w:rsid w:val="41540B2E"/>
    <w:rsid w:val="418B6A2A"/>
    <w:rsid w:val="418E13C0"/>
    <w:rsid w:val="41A4541F"/>
    <w:rsid w:val="41A81F82"/>
    <w:rsid w:val="41B460ED"/>
    <w:rsid w:val="41DD0428"/>
    <w:rsid w:val="42624C6C"/>
    <w:rsid w:val="4263369A"/>
    <w:rsid w:val="42F75C15"/>
    <w:rsid w:val="42FD1BBE"/>
    <w:rsid w:val="430D24FE"/>
    <w:rsid w:val="430F11B1"/>
    <w:rsid w:val="432309A9"/>
    <w:rsid w:val="433D406E"/>
    <w:rsid w:val="43781BDE"/>
    <w:rsid w:val="43856453"/>
    <w:rsid w:val="43C76D2A"/>
    <w:rsid w:val="43E01E84"/>
    <w:rsid w:val="44257C85"/>
    <w:rsid w:val="443E0679"/>
    <w:rsid w:val="44862C6F"/>
    <w:rsid w:val="44BD7BB1"/>
    <w:rsid w:val="44C1361A"/>
    <w:rsid w:val="44E328F5"/>
    <w:rsid w:val="44FB7845"/>
    <w:rsid w:val="454D2C0D"/>
    <w:rsid w:val="45D24AB7"/>
    <w:rsid w:val="45D36A02"/>
    <w:rsid w:val="45E061FF"/>
    <w:rsid w:val="45F9389B"/>
    <w:rsid w:val="461936BC"/>
    <w:rsid w:val="46296A2D"/>
    <w:rsid w:val="469367E2"/>
    <w:rsid w:val="47532256"/>
    <w:rsid w:val="47790760"/>
    <w:rsid w:val="47CD6E48"/>
    <w:rsid w:val="480578C8"/>
    <w:rsid w:val="480858BC"/>
    <w:rsid w:val="48194880"/>
    <w:rsid w:val="485F6858"/>
    <w:rsid w:val="48D17504"/>
    <w:rsid w:val="48FC1291"/>
    <w:rsid w:val="494D0887"/>
    <w:rsid w:val="4988056C"/>
    <w:rsid w:val="49C36A7A"/>
    <w:rsid w:val="4A061CA0"/>
    <w:rsid w:val="4A8A19D3"/>
    <w:rsid w:val="4A8C30E7"/>
    <w:rsid w:val="4AEB0785"/>
    <w:rsid w:val="4B0936A4"/>
    <w:rsid w:val="4B467A40"/>
    <w:rsid w:val="4B9B3708"/>
    <w:rsid w:val="4C8077A6"/>
    <w:rsid w:val="4CDB489E"/>
    <w:rsid w:val="4CE9176C"/>
    <w:rsid w:val="4D796175"/>
    <w:rsid w:val="4E0A6C2F"/>
    <w:rsid w:val="4E1C7F13"/>
    <w:rsid w:val="4E777472"/>
    <w:rsid w:val="4E807FB7"/>
    <w:rsid w:val="4EC04344"/>
    <w:rsid w:val="4EDC5022"/>
    <w:rsid w:val="4F10078B"/>
    <w:rsid w:val="4F222B9D"/>
    <w:rsid w:val="4FB30AF7"/>
    <w:rsid w:val="4FD935A4"/>
    <w:rsid w:val="4FE4733E"/>
    <w:rsid w:val="501E2357"/>
    <w:rsid w:val="50307FDF"/>
    <w:rsid w:val="50AD435C"/>
    <w:rsid w:val="510F41E7"/>
    <w:rsid w:val="512027DB"/>
    <w:rsid w:val="515A3F3F"/>
    <w:rsid w:val="51A056CA"/>
    <w:rsid w:val="51BC2BB7"/>
    <w:rsid w:val="51D830B6"/>
    <w:rsid w:val="51DC2AC3"/>
    <w:rsid w:val="52287B99"/>
    <w:rsid w:val="522D5F9F"/>
    <w:rsid w:val="52C5188C"/>
    <w:rsid w:val="52D12824"/>
    <w:rsid w:val="52E40A00"/>
    <w:rsid w:val="5312522B"/>
    <w:rsid w:val="53142AA2"/>
    <w:rsid w:val="53245F65"/>
    <w:rsid w:val="53584630"/>
    <w:rsid w:val="53690469"/>
    <w:rsid w:val="53CD0265"/>
    <w:rsid w:val="542A2E8B"/>
    <w:rsid w:val="54763754"/>
    <w:rsid w:val="54A6457E"/>
    <w:rsid w:val="54AA6D09"/>
    <w:rsid w:val="55234DB6"/>
    <w:rsid w:val="55573001"/>
    <w:rsid w:val="555B56F2"/>
    <w:rsid w:val="556041C7"/>
    <w:rsid w:val="556E169B"/>
    <w:rsid w:val="55C65186"/>
    <w:rsid w:val="55CF2799"/>
    <w:rsid w:val="560D1EEE"/>
    <w:rsid w:val="56170651"/>
    <w:rsid w:val="56586607"/>
    <w:rsid w:val="566D7BF8"/>
    <w:rsid w:val="56A318C0"/>
    <w:rsid w:val="56BB57C2"/>
    <w:rsid w:val="56C5275D"/>
    <w:rsid w:val="56F640C1"/>
    <w:rsid w:val="56F70772"/>
    <w:rsid w:val="56FB4180"/>
    <w:rsid w:val="570D5ED5"/>
    <w:rsid w:val="574902DC"/>
    <w:rsid w:val="574D6943"/>
    <w:rsid w:val="57551397"/>
    <w:rsid w:val="5764574C"/>
    <w:rsid w:val="57680A38"/>
    <w:rsid w:val="57DB4848"/>
    <w:rsid w:val="582A1732"/>
    <w:rsid w:val="582E1C82"/>
    <w:rsid w:val="58654F28"/>
    <w:rsid w:val="588B725B"/>
    <w:rsid w:val="59D933DD"/>
    <w:rsid w:val="59EF5441"/>
    <w:rsid w:val="59FD47F4"/>
    <w:rsid w:val="5A5107D6"/>
    <w:rsid w:val="5A576F72"/>
    <w:rsid w:val="5A594CB7"/>
    <w:rsid w:val="5A943FA5"/>
    <w:rsid w:val="5AD312FA"/>
    <w:rsid w:val="5B4B4B28"/>
    <w:rsid w:val="5B557525"/>
    <w:rsid w:val="5B7753BF"/>
    <w:rsid w:val="5BBC36DE"/>
    <w:rsid w:val="5BDF3AD5"/>
    <w:rsid w:val="5C3405D8"/>
    <w:rsid w:val="5C5A5C04"/>
    <w:rsid w:val="5C6A0070"/>
    <w:rsid w:val="5C8E27C6"/>
    <w:rsid w:val="5CE154B8"/>
    <w:rsid w:val="5CE43621"/>
    <w:rsid w:val="5D1F7DEB"/>
    <w:rsid w:val="5D484C80"/>
    <w:rsid w:val="5DA64068"/>
    <w:rsid w:val="5E516176"/>
    <w:rsid w:val="5E5365ED"/>
    <w:rsid w:val="5E9D51A2"/>
    <w:rsid w:val="5EE47C66"/>
    <w:rsid w:val="5F002AEE"/>
    <w:rsid w:val="5F0E49AD"/>
    <w:rsid w:val="5F294C72"/>
    <w:rsid w:val="5FCB6008"/>
    <w:rsid w:val="60714E01"/>
    <w:rsid w:val="60BA6C35"/>
    <w:rsid w:val="612C6341"/>
    <w:rsid w:val="618C17C7"/>
    <w:rsid w:val="61A92379"/>
    <w:rsid w:val="61FA71CD"/>
    <w:rsid w:val="61FE15DB"/>
    <w:rsid w:val="622D4BF5"/>
    <w:rsid w:val="62794D5A"/>
    <w:rsid w:val="62D4192F"/>
    <w:rsid w:val="63394FD5"/>
    <w:rsid w:val="63F975E8"/>
    <w:rsid w:val="64A932E2"/>
    <w:rsid w:val="65503446"/>
    <w:rsid w:val="655045D5"/>
    <w:rsid w:val="65695672"/>
    <w:rsid w:val="659613AB"/>
    <w:rsid w:val="65EE4C68"/>
    <w:rsid w:val="65F939B1"/>
    <w:rsid w:val="663A5C95"/>
    <w:rsid w:val="66BB00A3"/>
    <w:rsid w:val="66CF485E"/>
    <w:rsid w:val="66FE02BD"/>
    <w:rsid w:val="67127473"/>
    <w:rsid w:val="67146B60"/>
    <w:rsid w:val="674566A0"/>
    <w:rsid w:val="677509D2"/>
    <w:rsid w:val="67937B4A"/>
    <w:rsid w:val="6798438F"/>
    <w:rsid w:val="67AA167A"/>
    <w:rsid w:val="67BD26DA"/>
    <w:rsid w:val="67D24161"/>
    <w:rsid w:val="67EF420A"/>
    <w:rsid w:val="68007F79"/>
    <w:rsid w:val="68554B85"/>
    <w:rsid w:val="68827032"/>
    <w:rsid w:val="68A601A1"/>
    <w:rsid w:val="68B60D74"/>
    <w:rsid w:val="68B82285"/>
    <w:rsid w:val="690153DE"/>
    <w:rsid w:val="691F6794"/>
    <w:rsid w:val="692354A2"/>
    <w:rsid w:val="69994701"/>
    <w:rsid w:val="69C904AC"/>
    <w:rsid w:val="6A103222"/>
    <w:rsid w:val="6A341BE0"/>
    <w:rsid w:val="6A44693C"/>
    <w:rsid w:val="6A91127D"/>
    <w:rsid w:val="6A9260A0"/>
    <w:rsid w:val="6AA30267"/>
    <w:rsid w:val="6AC935EF"/>
    <w:rsid w:val="6B0227AC"/>
    <w:rsid w:val="6B0E0BA4"/>
    <w:rsid w:val="6B1D1901"/>
    <w:rsid w:val="6B3128E6"/>
    <w:rsid w:val="6B6D2669"/>
    <w:rsid w:val="6BA950C0"/>
    <w:rsid w:val="6BD1461F"/>
    <w:rsid w:val="6C1F7C44"/>
    <w:rsid w:val="6C2F5B17"/>
    <w:rsid w:val="6C3715C7"/>
    <w:rsid w:val="6C42752C"/>
    <w:rsid w:val="6C9D4D3E"/>
    <w:rsid w:val="6CE6684F"/>
    <w:rsid w:val="6D1F1CE2"/>
    <w:rsid w:val="6DC20A4A"/>
    <w:rsid w:val="6DE43AD9"/>
    <w:rsid w:val="6E5D6754"/>
    <w:rsid w:val="6E9879FD"/>
    <w:rsid w:val="6F5248F3"/>
    <w:rsid w:val="70513374"/>
    <w:rsid w:val="706A53C9"/>
    <w:rsid w:val="70776A08"/>
    <w:rsid w:val="70814BED"/>
    <w:rsid w:val="70B95DD0"/>
    <w:rsid w:val="70C44199"/>
    <w:rsid w:val="71157494"/>
    <w:rsid w:val="713F0A11"/>
    <w:rsid w:val="714637B5"/>
    <w:rsid w:val="71523242"/>
    <w:rsid w:val="715F1D76"/>
    <w:rsid w:val="7161099F"/>
    <w:rsid w:val="718D067E"/>
    <w:rsid w:val="71973953"/>
    <w:rsid w:val="71A60E62"/>
    <w:rsid w:val="71F61E2F"/>
    <w:rsid w:val="72820E37"/>
    <w:rsid w:val="728D60AF"/>
    <w:rsid w:val="72A2561B"/>
    <w:rsid w:val="735D2FC3"/>
    <w:rsid w:val="735F0AE9"/>
    <w:rsid w:val="73AA2652"/>
    <w:rsid w:val="73E3171A"/>
    <w:rsid w:val="744454B3"/>
    <w:rsid w:val="74E40210"/>
    <w:rsid w:val="75242825"/>
    <w:rsid w:val="754601B3"/>
    <w:rsid w:val="7589009F"/>
    <w:rsid w:val="759462BA"/>
    <w:rsid w:val="7596163F"/>
    <w:rsid w:val="75B20B64"/>
    <w:rsid w:val="75CF7CCE"/>
    <w:rsid w:val="75D814C6"/>
    <w:rsid w:val="7691121C"/>
    <w:rsid w:val="76AB4621"/>
    <w:rsid w:val="76E2026D"/>
    <w:rsid w:val="772A1C1B"/>
    <w:rsid w:val="77597A31"/>
    <w:rsid w:val="77E83812"/>
    <w:rsid w:val="78297EA9"/>
    <w:rsid w:val="7837528E"/>
    <w:rsid w:val="783C2F03"/>
    <w:rsid w:val="787F01DD"/>
    <w:rsid w:val="791B40DF"/>
    <w:rsid w:val="794501AA"/>
    <w:rsid w:val="79915078"/>
    <w:rsid w:val="79CD10C1"/>
    <w:rsid w:val="7A614E1D"/>
    <w:rsid w:val="7A7764C5"/>
    <w:rsid w:val="7A811C8D"/>
    <w:rsid w:val="7B222CF8"/>
    <w:rsid w:val="7B2670F4"/>
    <w:rsid w:val="7B9D3E6D"/>
    <w:rsid w:val="7C280612"/>
    <w:rsid w:val="7C397120"/>
    <w:rsid w:val="7C6859FD"/>
    <w:rsid w:val="7C7F3FAA"/>
    <w:rsid w:val="7CA0439D"/>
    <w:rsid w:val="7CB2612E"/>
    <w:rsid w:val="7CE857E6"/>
    <w:rsid w:val="7CF63FFC"/>
    <w:rsid w:val="7D273CD3"/>
    <w:rsid w:val="7D8C3D8A"/>
    <w:rsid w:val="7EFF9D7C"/>
    <w:rsid w:val="7F4D590E"/>
    <w:rsid w:val="CFFBFE22"/>
    <w:rsid w:val="F7F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kern w:val="44"/>
      <w:sz w:val="44"/>
      <w:szCs w:val="44"/>
    </w:rPr>
  </w:style>
  <w:style w:type="paragraph" w:styleId="3">
    <w:name w:val="heading 2"/>
    <w:basedOn w:val="1"/>
    <w:next w:val="1"/>
    <w:link w:val="31"/>
    <w:autoRedefine/>
    <w:qFormat/>
    <w:uiPriority w:val="99"/>
    <w:pPr>
      <w:keepNext/>
      <w:keepLines/>
      <w:spacing w:before="260" w:after="260" w:line="416" w:lineRule="auto"/>
      <w:jc w:val="center"/>
      <w:outlineLvl w:val="1"/>
    </w:pPr>
    <w:rPr>
      <w:rFonts w:ascii="Cambria" w:hAnsi="Cambria"/>
      <w:b/>
      <w:bCs/>
      <w:kern w:val="0"/>
      <w:sz w:val="30"/>
      <w:szCs w:val="30"/>
    </w:rPr>
  </w:style>
  <w:style w:type="paragraph" w:styleId="4">
    <w:name w:val="heading 3"/>
    <w:basedOn w:val="1"/>
    <w:next w:val="1"/>
    <w:link w:val="32"/>
    <w:autoRedefine/>
    <w:qFormat/>
    <w:uiPriority w:val="99"/>
    <w:pPr>
      <w:keepNext/>
      <w:keepLines/>
      <w:spacing w:before="260" w:after="260" w:line="416" w:lineRule="auto"/>
      <w:outlineLvl w:val="2"/>
    </w:pPr>
    <w:rPr>
      <w:bCs/>
      <w:kern w:val="0"/>
      <w:sz w:val="20"/>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jc w:val="left"/>
    </w:pPr>
    <w:rPr>
      <w:rFonts w:eastAsia="Calibri"/>
      <w:kern w:val="0"/>
      <w:sz w:val="22"/>
      <w:szCs w:val="22"/>
      <w:lang w:eastAsia="en-US"/>
    </w:rPr>
  </w:style>
  <w:style w:type="paragraph" w:styleId="7">
    <w:name w:val="annotation text"/>
    <w:basedOn w:val="1"/>
    <w:link w:val="33"/>
    <w:autoRedefine/>
    <w:unhideWhenUsed/>
    <w:qFormat/>
    <w:uiPriority w:val="99"/>
    <w:pPr>
      <w:jc w:val="left"/>
    </w:pPr>
  </w:style>
  <w:style w:type="paragraph" w:styleId="8">
    <w:name w:val="Body Text"/>
    <w:basedOn w:val="1"/>
    <w:next w:val="1"/>
    <w:autoRedefine/>
    <w:unhideWhenUsed/>
    <w:qFormat/>
    <w:uiPriority w:val="1"/>
    <w:pPr>
      <w:spacing w:after="120"/>
    </w:pPr>
  </w:style>
  <w:style w:type="paragraph" w:styleId="9">
    <w:name w:val="Body Text Indent"/>
    <w:basedOn w:val="1"/>
    <w:next w:val="10"/>
    <w:autoRedefine/>
    <w:qFormat/>
    <w:uiPriority w:val="99"/>
    <w:pPr>
      <w:ind w:firstLine="570"/>
    </w:pPr>
    <w:rPr>
      <w:kern w:val="0"/>
      <w:sz w:val="28"/>
      <w:szCs w:val="20"/>
    </w:rPr>
  </w:style>
  <w:style w:type="paragraph" w:styleId="10">
    <w:name w:val="envelope return"/>
    <w:basedOn w:val="1"/>
    <w:autoRedefine/>
    <w:qFormat/>
    <w:uiPriority w:val="0"/>
    <w:pPr>
      <w:snapToGrid w:val="0"/>
    </w:pPr>
    <w:rPr>
      <w:rFonts w:ascii="Arial" w:hAnsi="Arial"/>
    </w:rPr>
  </w:style>
  <w:style w:type="paragraph" w:styleId="11">
    <w:name w:val="Plain Text"/>
    <w:basedOn w:val="1"/>
    <w:next w:val="1"/>
    <w:autoRedefine/>
    <w:unhideWhenUsed/>
    <w:qFormat/>
    <w:uiPriority w:val="0"/>
    <w:rPr>
      <w:rFonts w:ascii="宋体" w:hAnsi="Courier New"/>
      <w:kern w:val="0"/>
      <w:sz w:val="20"/>
      <w:szCs w:val="21"/>
    </w:rPr>
  </w:style>
  <w:style w:type="paragraph" w:styleId="12">
    <w:name w:val="Balloon Text"/>
    <w:basedOn w:val="1"/>
    <w:link w:val="34"/>
    <w:autoRedefine/>
    <w:unhideWhenUsed/>
    <w:qFormat/>
    <w:uiPriority w:val="99"/>
    <w:rPr>
      <w:kern w:val="0"/>
      <w:sz w:val="18"/>
      <w:szCs w:val="18"/>
    </w:rPr>
  </w:style>
  <w:style w:type="paragraph" w:styleId="13">
    <w:name w:val="footer"/>
    <w:basedOn w:val="1"/>
    <w:link w:val="35"/>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link w:val="3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qFormat/>
    <w:uiPriority w:val="39"/>
    <w:pPr>
      <w:jc w:val="left"/>
    </w:pPr>
    <w:rPr>
      <w:rFonts w:ascii="宋体" w:hAnsi="宋体"/>
      <w:kern w:val="0"/>
      <w:szCs w:val="21"/>
      <w:lang w:eastAsia="en-US"/>
    </w:r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37"/>
    <w:autoRedefine/>
    <w:unhideWhenUsed/>
    <w:qFormat/>
    <w:uiPriority w:val="99"/>
    <w:rPr>
      <w:b/>
      <w:bCs/>
    </w:rPr>
  </w:style>
  <w:style w:type="paragraph" w:styleId="19">
    <w:name w:val="Body Text First Indent"/>
    <w:basedOn w:val="8"/>
    <w:autoRedefine/>
    <w:unhideWhenUsed/>
    <w:qFormat/>
    <w:uiPriority w:val="0"/>
    <w:pPr>
      <w:widowControl/>
      <w:ind w:firstLine="420" w:firstLineChars="100"/>
      <w:jc w:val="left"/>
    </w:pPr>
    <w:rPr>
      <w:kern w:val="0"/>
      <w:sz w:val="20"/>
      <w:szCs w:val="20"/>
    </w:rPr>
  </w:style>
  <w:style w:type="paragraph" w:styleId="20">
    <w:name w:val="Body Text First Indent 2"/>
    <w:basedOn w:val="9"/>
    <w:autoRedefine/>
    <w:qFormat/>
    <w:uiPriority w:val="0"/>
    <w:pPr>
      <w:spacing w:after="120"/>
      <w:ind w:left="200" w:leftChars="200" w:firstLine="200" w:firstLineChars="200"/>
    </w:pPr>
    <w:rPr>
      <w:rFonts w:ascii="Calibri" w:hAnsi="Calibri"/>
      <w:kern w:val="2"/>
      <w:sz w:val="21"/>
      <w:szCs w:val="24"/>
    </w:rPr>
  </w:style>
  <w:style w:type="character" w:styleId="23">
    <w:name w:val="Strong"/>
    <w:autoRedefine/>
    <w:qFormat/>
    <w:uiPriority w:val="0"/>
    <w:rPr>
      <w:b/>
      <w:bCs/>
    </w:rPr>
  </w:style>
  <w:style w:type="character" w:styleId="24">
    <w:name w:val="FollowedHyperlink"/>
    <w:basedOn w:val="22"/>
    <w:autoRedefine/>
    <w:semiHidden/>
    <w:unhideWhenUsed/>
    <w:qFormat/>
    <w:uiPriority w:val="99"/>
    <w:rPr>
      <w:rFonts w:ascii="微软雅黑" w:hAnsi="微软雅黑" w:eastAsia="微软雅黑" w:cs="微软雅黑"/>
      <w:color w:val="337AB7"/>
      <w:u w:val="none"/>
    </w:rPr>
  </w:style>
  <w:style w:type="character" w:styleId="25">
    <w:name w:val="HTML Definition"/>
    <w:basedOn w:val="22"/>
    <w:autoRedefine/>
    <w:semiHidden/>
    <w:unhideWhenUsed/>
    <w:qFormat/>
    <w:uiPriority w:val="99"/>
    <w:rPr>
      <w:i/>
      <w:iCs/>
    </w:rPr>
  </w:style>
  <w:style w:type="character" w:styleId="26">
    <w:name w:val="Hyperlink"/>
    <w:autoRedefine/>
    <w:qFormat/>
    <w:uiPriority w:val="0"/>
    <w:rPr>
      <w:color w:val="000000"/>
      <w:u w:val="none"/>
    </w:rPr>
  </w:style>
  <w:style w:type="character" w:styleId="27">
    <w:name w:val="HTML Code"/>
    <w:basedOn w:val="22"/>
    <w:autoRedefine/>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28">
    <w:name w:val="annotation reference"/>
    <w:autoRedefine/>
    <w:unhideWhenUsed/>
    <w:qFormat/>
    <w:uiPriority w:val="99"/>
    <w:rPr>
      <w:sz w:val="21"/>
      <w:szCs w:val="21"/>
    </w:rPr>
  </w:style>
  <w:style w:type="character" w:styleId="29">
    <w:name w:val="HTML Keyboard"/>
    <w:basedOn w:val="22"/>
    <w:autoRedefine/>
    <w:semiHidden/>
    <w:unhideWhenUsed/>
    <w:qFormat/>
    <w:uiPriority w:val="99"/>
    <w:rPr>
      <w:rFonts w:hint="default" w:ascii="Consolas" w:hAnsi="Consolas" w:eastAsia="Consolas" w:cs="Consolas"/>
      <w:color w:val="FFFFFF"/>
      <w:sz w:val="21"/>
      <w:szCs w:val="21"/>
      <w:shd w:val="clear" w:color="auto" w:fill="333333"/>
    </w:rPr>
  </w:style>
  <w:style w:type="character" w:styleId="30">
    <w:name w:val="HTML Sample"/>
    <w:basedOn w:val="22"/>
    <w:autoRedefine/>
    <w:semiHidden/>
    <w:unhideWhenUsed/>
    <w:qFormat/>
    <w:uiPriority w:val="99"/>
    <w:rPr>
      <w:rFonts w:hint="default" w:ascii="Consolas" w:hAnsi="Consolas" w:eastAsia="Consolas" w:cs="Consolas"/>
      <w:color w:val="555555"/>
      <w:sz w:val="21"/>
      <w:szCs w:val="21"/>
      <w:bdr w:val="single" w:color="E9E9E9" w:sz="6" w:space="0"/>
      <w:shd w:val="clear" w:color="auto" w:fill="FFFFFF"/>
    </w:rPr>
  </w:style>
  <w:style w:type="character" w:customStyle="1" w:styleId="31">
    <w:name w:val="标题 2 Char"/>
    <w:link w:val="3"/>
    <w:autoRedefine/>
    <w:qFormat/>
    <w:uiPriority w:val="99"/>
    <w:rPr>
      <w:rFonts w:ascii="Cambria" w:hAnsi="Cambria" w:eastAsia="宋体" w:cs="Times New Roman"/>
      <w:b/>
      <w:bCs/>
      <w:kern w:val="0"/>
      <w:sz w:val="30"/>
      <w:szCs w:val="30"/>
    </w:rPr>
  </w:style>
  <w:style w:type="character" w:customStyle="1" w:styleId="32">
    <w:name w:val="标题 3 Char"/>
    <w:link w:val="4"/>
    <w:autoRedefine/>
    <w:qFormat/>
    <w:uiPriority w:val="99"/>
    <w:rPr>
      <w:rFonts w:ascii="Times New Roman" w:hAnsi="Times New Roman" w:eastAsia="宋体" w:cs="Times New Roman"/>
      <w:bCs/>
      <w:szCs w:val="32"/>
    </w:rPr>
  </w:style>
  <w:style w:type="character" w:customStyle="1" w:styleId="33">
    <w:name w:val="批注文字 Char"/>
    <w:link w:val="7"/>
    <w:autoRedefine/>
    <w:semiHidden/>
    <w:qFormat/>
    <w:uiPriority w:val="99"/>
    <w:rPr>
      <w:kern w:val="2"/>
      <w:sz w:val="21"/>
      <w:szCs w:val="24"/>
    </w:rPr>
  </w:style>
  <w:style w:type="character" w:customStyle="1" w:styleId="34">
    <w:name w:val="批注框文本 Char"/>
    <w:link w:val="12"/>
    <w:autoRedefine/>
    <w:semiHidden/>
    <w:qFormat/>
    <w:uiPriority w:val="99"/>
    <w:rPr>
      <w:sz w:val="18"/>
      <w:szCs w:val="18"/>
    </w:rPr>
  </w:style>
  <w:style w:type="character" w:customStyle="1" w:styleId="35">
    <w:name w:val="页脚 Char"/>
    <w:link w:val="13"/>
    <w:autoRedefine/>
    <w:qFormat/>
    <w:uiPriority w:val="99"/>
    <w:rPr>
      <w:sz w:val="18"/>
      <w:szCs w:val="18"/>
    </w:rPr>
  </w:style>
  <w:style w:type="character" w:customStyle="1" w:styleId="36">
    <w:name w:val="页眉 Char"/>
    <w:link w:val="14"/>
    <w:autoRedefine/>
    <w:semiHidden/>
    <w:qFormat/>
    <w:uiPriority w:val="99"/>
    <w:rPr>
      <w:sz w:val="18"/>
      <w:szCs w:val="18"/>
    </w:rPr>
  </w:style>
  <w:style w:type="character" w:customStyle="1" w:styleId="37">
    <w:name w:val="批注主题 Char"/>
    <w:link w:val="18"/>
    <w:autoRedefine/>
    <w:semiHidden/>
    <w:qFormat/>
    <w:uiPriority w:val="99"/>
    <w:rPr>
      <w:b/>
      <w:bCs/>
      <w:kern w:val="2"/>
      <w:sz w:val="21"/>
      <w:szCs w:val="24"/>
    </w:rPr>
  </w:style>
  <w:style w:type="character" w:customStyle="1" w:styleId="38">
    <w:name w:val="16"/>
    <w:autoRedefine/>
    <w:qFormat/>
    <w:uiPriority w:val="0"/>
    <w:rPr>
      <w:rFonts w:hint="default" w:ascii="Calibri" w:hAnsi="Calibri" w:cs="Calibri"/>
      <w:color w:val="0000FF"/>
      <w:u w:val="single"/>
    </w:rPr>
  </w:style>
  <w:style w:type="paragraph" w:customStyle="1" w:styleId="39">
    <w:name w:val="_Style 1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公文正文"/>
    <w:autoRedefine/>
    <w:qFormat/>
    <w:uiPriority w:val="0"/>
    <w:pPr>
      <w:widowControl w:val="0"/>
      <w:spacing w:line="360" w:lineRule="auto"/>
      <w:ind w:firstLine="629"/>
      <w:jc w:val="both"/>
    </w:pPr>
    <w:rPr>
      <w:rFonts w:ascii="方正仿宋_GB2312" w:hAnsi="Calibri" w:eastAsia="方正仿宋_GB2312" w:cs="Calibri"/>
      <w:color w:val="000000"/>
      <w:sz w:val="32"/>
      <w:lang w:val="en-US" w:eastAsia="zh-CN" w:bidi="ar-SA"/>
    </w:rPr>
  </w:style>
  <w:style w:type="paragraph" w:customStyle="1" w:styleId="41">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title26"/>
    <w:basedOn w:val="22"/>
    <w:autoRedefine/>
    <w:qFormat/>
    <w:uiPriority w:val="0"/>
  </w:style>
  <w:style w:type="character" w:customStyle="1" w:styleId="43">
    <w:name w:val="username"/>
    <w:basedOn w:val="2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13</Pages>
  <Words>7894</Words>
  <Characters>8923</Characters>
  <Lines>65</Lines>
  <Paragraphs>18</Paragraphs>
  <TotalTime>9</TotalTime>
  <ScaleCrop>false</ScaleCrop>
  <LinksUpToDate>false</LinksUpToDate>
  <CharactersWithSpaces>9369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2024-01-21T02:00:00Z</dcterms:created>
  <dc:creator>NTKO</dc:creator>
  <cp:lastModifiedBy>小方</cp:lastModifiedBy>
  <cp:lastPrinted>2025-07-08T02:44:00Z</cp:lastPrinted>
  <dcterms:modified xsi:type="dcterms:W3CDTF">2025-11-03T10:50:33Z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3FF3646205F64A5288B2786FF61B85E3_13</vt:lpwstr>
  </property>
  <property fmtid="{D5CDD505-2E9C-101B-9397-08002B2CF9AE}" pid="4" name="KSOTemplateDocerSaveRecord">
    <vt:lpwstr>eyJoZGlkIjoiNWM0MzRiOGM4MjUwYzFhYWI2MjUwYmI1MWQwMmM1MTUiLCJ1c2VySWQiOiIyNTI4NzM2MjcifQ==</vt:lpwstr>
  </property>
</Properties>
</file>