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DBAECF">
      <w:pPr>
        <w:jc w:val="center"/>
        <w:rPr>
          <w:rFonts w:ascii="华文中宋" w:hAnsi="华文中宋" w:eastAsia="华文中宋"/>
          <w:b/>
          <w:spacing w:val="20"/>
          <w:sz w:val="28"/>
          <w:szCs w:val="28"/>
        </w:rPr>
      </w:pPr>
    </w:p>
    <w:p w14:paraId="42621EDF">
      <w:pPr>
        <w:pStyle w:val="15"/>
      </w:pPr>
    </w:p>
    <w:p w14:paraId="3CFDB075">
      <w:pPr>
        <w:pStyle w:val="15"/>
      </w:pPr>
    </w:p>
    <w:p w14:paraId="01029DCC">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黑体" w:hAnsi="黑体" w:eastAsia="黑体" w:cs="黑体"/>
          <w:b/>
          <w:sz w:val="52"/>
          <w:szCs w:val="52"/>
          <w:lang w:eastAsia="zh-CN"/>
        </w:rPr>
      </w:pPr>
      <w:r>
        <w:rPr>
          <w:rFonts w:hint="eastAsia" w:ascii="黑体" w:hAnsi="黑体" w:eastAsia="黑体" w:cs="黑体"/>
          <w:b/>
          <w:sz w:val="52"/>
          <w:szCs w:val="52"/>
          <w:lang w:eastAsia="zh-CN"/>
        </w:rPr>
        <w:t>茂名市电白区蓝湾海洋产业发展有限公司深水网箱养殖产业园项目（一期）网箱采购2标(第二次）</w:t>
      </w:r>
    </w:p>
    <w:p w14:paraId="20E4278A">
      <w:pPr>
        <w:spacing w:line="480" w:lineRule="auto"/>
        <w:ind w:firstLine="1018"/>
        <w:jc w:val="center"/>
        <w:rPr>
          <w:rFonts w:ascii="宋体" w:hAnsi="宋体"/>
          <w:b/>
          <w:sz w:val="52"/>
          <w:szCs w:val="52"/>
        </w:rPr>
      </w:pPr>
    </w:p>
    <w:p w14:paraId="0372C4B1">
      <w:pPr>
        <w:spacing w:line="480" w:lineRule="auto"/>
        <w:ind w:firstLine="1018"/>
        <w:jc w:val="center"/>
        <w:rPr>
          <w:rFonts w:ascii="宋体" w:hAnsi="宋体"/>
          <w:b/>
          <w:sz w:val="52"/>
          <w:szCs w:val="52"/>
        </w:rPr>
      </w:pPr>
    </w:p>
    <w:p w14:paraId="24B8C8F1">
      <w:pPr>
        <w:spacing w:line="480" w:lineRule="auto"/>
        <w:ind w:firstLine="1018"/>
        <w:jc w:val="center"/>
        <w:rPr>
          <w:rFonts w:ascii="宋体" w:hAnsi="宋体"/>
          <w:b/>
          <w:sz w:val="52"/>
          <w:szCs w:val="52"/>
        </w:rPr>
      </w:pPr>
    </w:p>
    <w:p w14:paraId="45A81354">
      <w:pPr>
        <w:spacing w:line="480" w:lineRule="auto"/>
        <w:jc w:val="center"/>
        <w:rPr>
          <w:rFonts w:hint="eastAsia" w:ascii="黑体" w:hAnsi="黑体" w:eastAsia="黑体" w:cs="黑体"/>
          <w:b/>
          <w:sz w:val="52"/>
          <w:szCs w:val="52"/>
        </w:rPr>
      </w:pPr>
      <w:bookmarkStart w:id="0" w:name="_Toc29868"/>
      <w:r>
        <w:rPr>
          <w:rFonts w:hint="eastAsia" w:ascii="黑体" w:hAnsi="黑体" w:eastAsia="黑体" w:cs="黑体"/>
          <w:b/>
          <w:sz w:val="52"/>
          <w:szCs w:val="52"/>
        </w:rPr>
        <w:t>招 标 文 件</w:t>
      </w:r>
      <w:bookmarkEnd w:id="0"/>
    </w:p>
    <w:p w14:paraId="4BB3406C">
      <w:pPr>
        <w:jc w:val="center"/>
        <w:rPr>
          <w:rFonts w:hint="eastAsia" w:ascii="黑体" w:hAnsi="黑体" w:eastAsia="黑体" w:cs="黑体"/>
          <w:b/>
          <w:sz w:val="32"/>
        </w:rPr>
      </w:pPr>
    </w:p>
    <w:p w14:paraId="3A178B07">
      <w:pPr>
        <w:rPr>
          <w:rFonts w:hint="eastAsia" w:ascii="黑体" w:hAnsi="黑体" w:eastAsia="黑体" w:cs="黑体"/>
          <w:sz w:val="32"/>
        </w:rPr>
      </w:pPr>
    </w:p>
    <w:p w14:paraId="51162796">
      <w:pPr>
        <w:rPr>
          <w:rFonts w:hint="eastAsia" w:ascii="黑体" w:hAnsi="黑体" w:eastAsia="黑体" w:cs="黑体"/>
          <w:sz w:val="32"/>
        </w:rPr>
      </w:pPr>
    </w:p>
    <w:p w14:paraId="6D0BFFE6">
      <w:pPr>
        <w:pStyle w:val="15"/>
        <w:rPr>
          <w:rFonts w:hint="eastAsia"/>
        </w:rPr>
      </w:pPr>
    </w:p>
    <w:p w14:paraId="72D40843">
      <w:pPr>
        <w:rPr>
          <w:rFonts w:hint="eastAsia" w:ascii="黑体" w:hAnsi="黑体" w:eastAsia="黑体" w:cs="黑体"/>
          <w:sz w:val="32"/>
        </w:rPr>
      </w:pPr>
    </w:p>
    <w:p w14:paraId="1F2AB5E1">
      <w:pPr>
        <w:rPr>
          <w:rFonts w:hint="eastAsia" w:ascii="黑体" w:hAnsi="黑体" w:eastAsia="黑体" w:cs="黑体"/>
          <w:sz w:val="32"/>
        </w:rPr>
      </w:pPr>
    </w:p>
    <w:p w14:paraId="1F0C048C">
      <w:pPr>
        <w:spacing w:line="480" w:lineRule="auto"/>
        <w:ind w:firstLine="964" w:firstLineChars="300"/>
        <w:outlineLvl w:val="9"/>
        <w:rPr>
          <w:rFonts w:hint="eastAsia" w:ascii="黑体" w:hAnsi="黑体" w:eastAsia="黑体" w:cs="黑体"/>
          <w:b/>
          <w:sz w:val="32"/>
          <w:u w:val="single"/>
          <w:lang w:eastAsia="zh-CN"/>
        </w:rPr>
      </w:pPr>
      <w:bookmarkStart w:id="1" w:name="_Toc28384"/>
      <w:r>
        <w:rPr>
          <w:rFonts w:hint="eastAsia" w:ascii="黑体" w:hAnsi="黑体" w:eastAsia="黑体" w:cs="黑体"/>
          <w:b/>
          <w:sz w:val="32"/>
        </w:rPr>
        <w:t>招    标  人：</w:t>
      </w:r>
      <w:bookmarkEnd w:id="1"/>
      <w:r>
        <w:rPr>
          <w:rFonts w:hint="eastAsia" w:ascii="黑体" w:hAnsi="黑体" w:eastAsia="黑体" w:cs="黑体"/>
          <w:b/>
          <w:sz w:val="32"/>
          <w:u w:val="single"/>
          <w:lang w:eastAsia="zh-CN"/>
        </w:rPr>
        <w:t>茂名市电白区蓝湾海洋产业发展有限公司</w:t>
      </w:r>
    </w:p>
    <w:p w14:paraId="3B98355F">
      <w:pPr>
        <w:spacing w:line="480" w:lineRule="auto"/>
        <w:ind w:firstLine="964" w:firstLineChars="300"/>
        <w:outlineLvl w:val="9"/>
        <w:rPr>
          <w:rFonts w:hint="eastAsia" w:ascii="黑体" w:hAnsi="黑体" w:eastAsia="黑体" w:cs="黑体"/>
          <w:b/>
          <w:sz w:val="32"/>
        </w:rPr>
      </w:pPr>
      <w:bookmarkStart w:id="2" w:name="_Toc4826"/>
      <w:r>
        <w:rPr>
          <w:rFonts w:hint="eastAsia" w:ascii="黑体" w:hAnsi="黑体" w:eastAsia="黑体" w:cs="黑体"/>
          <w:b/>
          <w:sz w:val="32"/>
        </w:rPr>
        <w:t>招标代理机构：</w:t>
      </w:r>
      <w:bookmarkEnd w:id="2"/>
      <w:r>
        <w:rPr>
          <w:rFonts w:hint="eastAsia" w:ascii="黑体" w:hAnsi="黑体" w:eastAsia="黑体" w:cs="黑体"/>
          <w:b/>
          <w:sz w:val="32"/>
          <w:u w:val="single"/>
        </w:rPr>
        <w:t>广东省城规建设监理有限公司</w:t>
      </w:r>
    </w:p>
    <w:p w14:paraId="26B2DD59">
      <w:pPr>
        <w:spacing w:line="480" w:lineRule="auto"/>
        <w:ind w:firstLine="964" w:firstLineChars="300"/>
        <w:outlineLvl w:val="9"/>
        <w:rPr>
          <w:rFonts w:ascii="宋体" w:hAnsi="宋体"/>
          <w:b/>
          <w:sz w:val="32"/>
        </w:rPr>
      </w:pPr>
      <w:r>
        <w:rPr>
          <w:rFonts w:hint="eastAsia" w:ascii="黑体" w:hAnsi="黑体" w:eastAsia="黑体" w:cs="黑体"/>
          <w:b/>
          <w:sz w:val="32"/>
        </w:rPr>
        <w:t>日        期：202</w:t>
      </w:r>
      <w:r>
        <w:rPr>
          <w:rFonts w:hint="eastAsia" w:ascii="黑体" w:hAnsi="黑体" w:eastAsia="黑体" w:cs="黑体"/>
          <w:b/>
          <w:sz w:val="32"/>
          <w:lang w:val="en-US" w:eastAsia="zh-CN"/>
        </w:rPr>
        <w:t>5</w:t>
      </w:r>
      <w:r>
        <w:rPr>
          <w:rFonts w:hint="eastAsia" w:ascii="黑体" w:hAnsi="黑体" w:eastAsia="黑体" w:cs="黑体"/>
          <w:b/>
          <w:sz w:val="32"/>
        </w:rPr>
        <w:t>年</w:t>
      </w:r>
      <w:r>
        <w:rPr>
          <w:rFonts w:hint="eastAsia" w:ascii="黑体" w:hAnsi="黑体" w:eastAsia="黑体" w:cs="黑体"/>
          <w:b/>
          <w:sz w:val="32"/>
          <w:lang w:val="en-US" w:eastAsia="zh-CN"/>
        </w:rPr>
        <w:t>10</w:t>
      </w:r>
      <w:r>
        <w:rPr>
          <w:rFonts w:hint="eastAsia" w:ascii="黑体" w:hAnsi="黑体" w:eastAsia="黑体" w:cs="黑体"/>
          <w:b/>
          <w:sz w:val="32"/>
        </w:rPr>
        <w:t>月</w:t>
      </w:r>
    </w:p>
    <w:p w14:paraId="732CEA47">
      <w:pPr>
        <w:jc w:val="center"/>
        <w:rPr>
          <w:rFonts w:ascii="宋体" w:hAnsi="宋体"/>
          <w:b/>
          <w:bCs/>
          <w:spacing w:val="20"/>
          <w:sz w:val="44"/>
          <w:szCs w:val="44"/>
        </w:rPr>
      </w:pPr>
    </w:p>
    <w:p w14:paraId="44D5959C">
      <w:pPr>
        <w:sectPr>
          <w:headerReference r:id="rId4" w:type="default"/>
          <w:footerReference r:id="rId5" w:type="default"/>
          <w:pgSz w:w="11906" w:h="16838"/>
          <w:pgMar w:top="1247" w:right="1247" w:bottom="1247" w:left="1247" w:header="851" w:footer="992" w:gutter="0"/>
          <w:pgNumType w:fmt="decimal" w:start="0"/>
          <w:cols w:space="720" w:num="1"/>
          <w:formProt w:val="0"/>
          <w:docGrid w:type="lines" w:linePitch="312" w:charSpace="0"/>
        </w:sectPr>
      </w:pPr>
    </w:p>
    <w:p w14:paraId="5C9CCA25">
      <w:pPr>
        <w:numPr>
          <w:ilvl w:val="0"/>
          <w:numId w:val="0"/>
        </w:numPr>
        <w:jc w:val="center"/>
        <w:outlineLvl w:val="0"/>
        <w:rPr>
          <w:rFonts w:ascii="宋体" w:hAnsi="宋体"/>
          <w:b/>
          <w:bCs/>
          <w:sz w:val="52"/>
          <w:szCs w:val="52"/>
        </w:rPr>
      </w:pPr>
      <w:bookmarkStart w:id="3" w:name="_Toc10742"/>
      <w:bookmarkStart w:id="4" w:name="_Toc9506"/>
      <w:bookmarkStart w:id="5" w:name="_Toc8073"/>
      <w:bookmarkStart w:id="6" w:name="_Toc26100"/>
      <w:bookmarkStart w:id="7" w:name="_Toc16105"/>
      <w:bookmarkStart w:id="8" w:name="_Toc7796"/>
      <w:r>
        <w:rPr>
          <w:rFonts w:ascii="宋体" w:hAnsi="宋体"/>
          <w:b/>
          <w:bCs/>
          <w:sz w:val="52"/>
          <w:szCs w:val="52"/>
        </w:rPr>
        <w:t>目 录</w:t>
      </w:r>
      <w:bookmarkEnd w:id="3"/>
      <w:bookmarkEnd w:id="4"/>
      <w:bookmarkEnd w:id="5"/>
      <w:bookmarkEnd w:id="6"/>
      <w:bookmarkEnd w:id="7"/>
      <w:bookmarkEnd w:id="8"/>
    </w:p>
    <w:p w14:paraId="533E36F7">
      <w:pPr>
        <w:pStyle w:val="15"/>
        <w:rPr>
          <w:rFonts w:cs="宋体"/>
          <w:b/>
          <w:bCs/>
          <w:szCs w:val="24"/>
        </w:rPr>
      </w:pPr>
    </w:p>
    <w:sdt>
      <w:sdtPr>
        <w:rPr>
          <w:rFonts w:ascii="宋体" w:hAnsi="宋体" w:eastAsia="宋体" w:cs="Times New Roman"/>
          <w:color w:val="auto"/>
          <w:kern w:val="2"/>
          <w:sz w:val="21"/>
          <w:szCs w:val="22"/>
          <w:lang w:val="en-US" w:eastAsia="zh-CN" w:bidi="ar-SA"/>
        </w:rPr>
        <w:id w:val="147460541"/>
        <w15:color w:val="DBDBDB"/>
        <w:docPartObj>
          <w:docPartGallery w:val="Table of Contents"/>
          <w:docPartUnique/>
        </w:docPartObj>
      </w:sdtPr>
      <w:sdtEndPr>
        <w:rPr>
          <w:rFonts w:ascii="Times New Roman" w:hAnsi="Times New Roman" w:eastAsia="宋体" w:cs="Times New Roman"/>
          <w:color w:val="auto"/>
          <w:kern w:val="2"/>
          <w:sz w:val="21"/>
          <w:szCs w:val="22"/>
          <w:lang w:val="en-US" w:eastAsia="zh-CN" w:bidi="ar-SA"/>
        </w:rPr>
      </w:sdtEndPr>
      <w:sdtContent>
        <w:p w14:paraId="0A6CD7FE">
          <w:pPr>
            <w:spacing w:before="0" w:beforeLines="0" w:after="0" w:afterLines="0" w:line="240" w:lineRule="auto"/>
            <w:ind w:left="0" w:leftChars="0" w:right="0" w:rightChars="0" w:firstLine="0" w:firstLineChars="0"/>
            <w:jc w:val="center"/>
          </w:pPr>
        </w:p>
        <w:p w14:paraId="57E9BE73">
          <w:pPr>
            <w:pStyle w:val="22"/>
            <w:tabs>
              <w:tab w:val="right" w:leader="dot" w:pos="9412"/>
            </w:tabs>
            <w:rPr>
              <w:sz w:val="28"/>
              <w:szCs w:val="28"/>
            </w:rPr>
          </w:pPr>
          <w:r>
            <w:rPr>
              <w:sz w:val="24"/>
              <w:szCs w:val="24"/>
            </w:rPr>
            <w:fldChar w:fldCharType="begin"/>
          </w:r>
          <w:r>
            <w:rPr>
              <w:sz w:val="24"/>
              <w:szCs w:val="24"/>
            </w:rPr>
            <w:instrText xml:space="preserve">TOC \o "1-1" \h \u </w:instrText>
          </w:r>
          <w:r>
            <w:rPr>
              <w:sz w:val="24"/>
              <w:szCs w:val="24"/>
            </w:rPr>
            <w:fldChar w:fldCharType="separate"/>
          </w:r>
          <w:r>
            <w:rPr>
              <w:sz w:val="28"/>
              <w:szCs w:val="28"/>
            </w:rPr>
            <w:fldChar w:fldCharType="begin"/>
          </w:r>
          <w:r>
            <w:rPr>
              <w:sz w:val="28"/>
              <w:szCs w:val="28"/>
            </w:rPr>
            <w:instrText xml:space="preserve"> HYPERLINK \l _Toc7357 </w:instrText>
          </w:r>
          <w:r>
            <w:rPr>
              <w:sz w:val="28"/>
              <w:szCs w:val="28"/>
            </w:rPr>
            <w:fldChar w:fldCharType="separate"/>
          </w:r>
          <w:r>
            <w:rPr>
              <w:rFonts w:hint="eastAsia" w:eastAsia="楷体" w:cs="Calibri"/>
              <w:sz w:val="28"/>
              <w:szCs w:val="28"/>
              <w:highlight w:val="none"/>
            </w:rPr>
            <w:t>第一章</w:t>
          </w:r>
          <w:r>
            <w:rPr>
              <w:rFonts w:hint="eastAsia" w:eastAsia="楷体" w:cs="Calibri"/>
              <w:sz w:val="28"/>
              <w:szCs w:val="28"/>
              <w:highlight w:val="none"/>
              <w:lang w:val="en-US" w:eastAsia="zh-CN"/>
            </w:rPr>
            <w:t xml:space="preserve"> </w:t>
          </w:r>
          <w:r>
            <w:rPr>
              <w:rFonts w:hint="eastAsia" w:eastAsia="楷体" w:cs="Calibri"/>
              <w:sz w:val="28"/>
              <w:szCs w:val="28"/>
              <w:highlight w:val="none"/>
            </w:rPr>
            <w:t>招标公告</w:t>
          </w:r>
          <w:r>
            <w:rPr>
              <w:sz w:val="28"/>
              <w:szCs w:val="28"/>
            </w:rPr>
            <w:tab/>
          </w:r>
          <w:r>
            <w:rPr>
              <w:sz w:val="28"/>
              <w:szCs w:val="28"/>
            </w:rPr>
            <w:fldChar w:fldCharType="begin"/>
          </w:r>
          <w:r>
            <w:rPr>
              <w:sz w:val="28"/>
              <w:szCs w:val="28"/>
            </w:rPr>
            <w:instrText xml:space="preserve"> PAGEREF _Toc7357 \h </w:instrText>
          </w:r>
          <w:r>
            <w:rPr>
              <w:sz w:val="28"/>
              <w:szCs w:val="28"/>
            </w:rPr>
            <w:fldChar w:fldCharType="separate"/>
          </w:r>
          <w:r>
            <w:rPr>
              <w:sz w:val="28"/>
              <w:szCs w:val="28"/>
            </w:rPr>
            <w:t>1</w:t>
          </w:r>
          <w:r>
            <w:rPr>
              <w:sz w:val="28"/>
              <w:szCs w:val="28"/>
            </w:rPr>
            <w:fldChar w:fldCharType="end"/>
          </w:r>
          <w:r>
            <w:rPr>
              <w:sz w:val="28"/>
              <w:szCs w:val="28"/>
            </w:rPr>
            <w:fldChar w:fldCharType="end"/>
          </w:r>
        </w:p>
        <w:p w14:paraId="2DA1C287">
          <w:pPr>
            <w:pStyle w:val="22"/>
            <w:tabs>
              <w:tab w:val="right" w:leader="dot" w:pos="9412"/>
            </w:tabs>
            <w:rPr>
              <w:sz w:val="28"/>
              <w:szCs w:val="28"/>
            </w:rPr>
          </w:pPr>
          <w:r>
            <w:rPr>
              <w:sz w:val="28"/>
              <w:szCs w:val="28"/>
            </w:rPr>
            <w:fldChar w:fldCharType="begin"/>
          </w:r>
          <w:r>
            <w:rPr>
              <w:sz w:val="28"/>
              <w:szCs w:val="28"/>
            </w:rPr>
            <w:instrText xml:space="preserve"> HYPERLINK \l _Toc19476 </w:instrText>
          </w:r>
          <w:r>
            <w:rPr>
              <w:sz w:val="28"/>
              <w:szCs w:val="28"/>
            </w:rPr>
            <w:fldChar w:fldCharType="separate"/>
          </w:r>
          <w:r>
            <w:rPr>
              <w:rFonts w:hint="eastAsia" w:eastAsia="楷体" w:cs="Calibri"/>
              <w:sz w:val="28"/>
              <w:szCs w:val="28"/>
              <w:highlight w:val="none"/>
            </w:rPr>
            <w:t>第二章</w:t>
          </w:r>
          <w:r>
            <w:rPr>
              <w:rFonts w:hint="eastAsia" w:eastAsia="楷体" w:cs="Calibri"/>
              <w:sz w:val="28"/>
              <w:szCs w:val="28"/>
              <w:highlight w:val="none"/>
              <w:lang w:val="en-US" w:eastAsia="zh-CN"/>
            </w:rPr>
            <w:t xml:space="preserve"> </w:t>
          </w:r>
          <w:r>
            <w:rPr>
              <w:rFonts w:hint="eastAsia" w:eastAsia="楷体" w:cs="Calibri"/>
              <w:sz w:val="28"/>
              <w:szCs w:val="28"/>
              <w:highlight w:val="none"/>
            </w:rPr>
            <w:t>投标人须知</w:t>
          </w:r>
          <w:r>
            <w:rPr>
              <w:sz w:val="28"/>
              <w:szCs w:val="28"/>
            </w:rPr>
            <w:tab/>
          </w:r>
          <w:r>
            <w:rPr>
              <w:sz w:val="28"/>
              <w:szCs w:val="28"/>
            </w:rPr>
            <w:fldChar w:fldCharType="begin"/>
          </w:r>
          <w:r>
            <w:rPr>
              <w:sz w:val="28"/>
              <w:szCs w:val="28"/>
            </w:rPr>
            <w:instrText xml:space="preserve"> PAGEREF _Toc19476 \h </w:instrText>
          </w:r>
          <w:r>
            <w:rPr>
              <w:sz w:val="28"/>
              <w:szCs w:val="28"/>
            </w:rPr>
            <w:fldChar w:fldCharType="separate"/>
          </w:r>
          <w:r>
            <w:rPr>
              <w:sz w:val="28"/>
              <w:szCs w:val="28"/>
            </w:rPr>
            <w:t>6</w:t>
          </w:r>
          <w:r>
            <w:rPr>
              <w:sz w:val="28"/>
              <w:szCs w:val="28"/>
            </w:rPr>
            <w:fldChar w:fldCharType="end"/>
          </w:r>
          <w:r>
            <w:rPr>
              <w:sz w:val="28"/>
              <w:szCs w:val="28"/>
            </w:rPr>
            <w:fldChar w:fldCharType="end"/>
          </w:r>
        </w:p>
        <w:p w14:paraId="689045F6">
          <w:pPr>
            <w:pStyle w:val="22"/>
            <w:tabs>
              <w:tab w:val="right" w:leader="dot" w:pos="9412"/>
            </w:tabs>
            <w:rPr>
              <w:sz w:val="28"/>
              <w:szCs w:val="28"/>
            </w:rPr>
          </w:pPr>
          <w:r>
            <w:rPr>
              <w:sz w:val="28"/>
              <w:szCs w:val="28"/>
            </w:rPr>
            <w:fldChar w:fldCharType="begin"/>
          </w:r>
          <w:r>
            <w:rPr>
              <w:sz w:val="28"/>
              <w:szCs w:val="28"/>
            </w:rPr>
            <w:instrText xml:space="preserve"> HYPERLINK \l _Toc17595 </w:instrText>
          </w:r>
          <w:r>
            <w:rPr>
              <w:sz w:val="28"/>
              <w:szCs w:val="28"/>
            </w:rPr>
            <w:fldChar w:fldCharType="separate"/>
          </w:r>
          <w:r>
            <w:rPr>
              <w:rFonts w:hint="eastAsia" w:eastAsia="楷体" w:cs="Calibri"/>
              <w:sz w:val="28"/>
              <w:szCs w:val="28"/>
              <w:highlight w:val="none"/>
            </w:rPr>
            <w:t>第三章</w:t>
          </w:r>
          <w:r>
            <w:rPr>
              <w:rFonts w:hint="eastAsia" w:eastAsia="楷体" w:cs="Calibri"/>
              <w:sz w:val="28"/>
              <w:szCs w:val="28"/>
              <w:highlight w:val="none"/>
              <w:lang w:val="en-US" w:eastAsia="zh-CN"/>
            </w:rPr>
            <w:t xml:space="preserve"> </w:t>
          </w:r>
          <w:r>
            <w:rPr>
              <w:rFonts w:hint="eastAsia" w:eastAsia="楷体" w:cs="Calibri"/>
              <w:sz w:val="28"/>
              <w:szCs w:val="28"/>
              <w:highlight w:val="none"/>
            </w:rPr>
            <w:t>评标办法</w:t>
          </w:r>
          <w:r>
            <w:rPr>
              <w:sz w:val="28"/>
              <w:szCs w:val="28"/>
            </w:rPr>
            <w:tab/>
          </w:r>
          <w:r>
            <w:rPr>
              <w:sz w:val="28"/>
              <w:szCs w:val="28"/>
            </w:rPr>
            <w:fldChar w:fldCharType="begin"/>
          </w:r>
          <w:r>
            <w:rPr>
              <w:sz w:val="28"/>
              <w:szCs w:val="28"/>
            </w:rPr>
            <w:instrText xml:space="preserve"> PAGEREF _Toc17595 \h </w:instrText>
          </w:r>
          <w:r>
            <w:rPr>
              <w:sz w:val="28"/>
              <w:szCs w:val="28"/>
            </w:rPr>
            <w:fldChar w:fldCharType="separate"/>
          </w:r>
          <w:r>
            <w:rPr>
              <w:sz w:val="28"/>
              <w:szCs w:val="28"/>
            </w:rPr>
            <w:t>26</w:t>
          </w:r>
          <w:r>
            <w:rPr>
              <w:sz w:val="28"/>
              <w:szCs w:val="28"/>
            </w:rPr>
            <w:fldChar w:fldCharType="end"/>
          </w:r>
          <w:r>
            <w:rPr>
              <w:sz w:val="28"/>
              <w:szCs w:val="28"/>
            </w:rPr>
            <w:fldChar w:fldCharType="end"/>
          </w:r>
        </w:p>
        <w:p w14:paraId="39C35D39">
          <w:pPr>
            <w:pStyle w:val="22"/>
            <w:tabs>
              <w:tab w:val="right" w:leader="dot" w:pos="9412"/>
            </w:tabs>
            <w:rPr>
              <w:sz w:val="28"/>
              <w:szCs w:val="28"/>
            </w:rPr>
          </w:pPr>
          <w:r>
            <w:rPr>
              <w:sz w:val="28"/>
              <w:szCs w:val="28"/>
            </w:rPr>
            <w:fldChar w:fldCharType="begin"/>
          </w:r>
          <w:r>
            <w:rPr>
              <w:sz w:val="28"/>
              <w:szCs w:val="28"/>
            </w:rPr>
            <w:instrText xml:space="preserve"> HYPERLINK \l _Toc11696 </w:instrText>
          </w:r>
          <w:r>
            <w:rPr>
              <w:sz w:val="28"/>
              <w:szCs w:val="28"/>
            </w:rPr>
            <w:fldChar w:fldCharType="separate"/>
          </w:r>
          <w:r>
            <w:rPr>
              <w:rFonts w:ascii="黑体" w:hAnsi="黑体" w:eastAsia="黑体" w:cs="黑体"/>
              <w:kern w:val="0"/>
              <w:sz w:val="28"/>
              <w:szCs w:val="28"/>
            </w:rPr>
            <w:t>第</w:t>
          </w:r>
          <w:r>
            <w:rPr>
              <w:rFonts w:hint="eastAsia" w:ascii="黑体" w:hAnsi="黑体" w:eastAsia="黑体" w:cs="黑体"/>
              <w:kern w:val="0"/>
              <w:sz w:val="28"/>
              <w:szCs w:val="28"/>
              <w:lang w:val="en-US" w:eastAsia="zh-CN"/>
            </w:rPr>
            <w:t>四</w:t>
          </w:r>
          <w:r>
            <w:rPr>
              <w:rFonts w:ascii="黑体" w:hAnsi="黑体" w:eastAsia="黑体" w:cs="黑体"/>
              <w:kern w:val="0"/>
              <w:sz w:val="28"/>
              <w:szCs w:val="28"/>
            </w:rPr>
            <w:t>章 合同条款及格式</w:t>
          </w:r>
          <w:r>
            <w:rPr>
              <w:sz w:val="28"/>
              <w:szCs w:val="28"/>
            </w:rPr>
            <w:tab/>
          </w:r>
          <w:r>
            <w:rPr>
              <w:sz w:val="28"/>
              <w:szCs w:val="28"/>
            </w:rPr>
            <w:fldChar w:fldCharType="begin"/>
          </w:r>
          <w:r>
            <w:rPr>
              <w:sz w:val="28"/>
              <w:szCs w:val="28"/>
            </w:rPr>
            <w:instrText xml:space="preserve"> PAGEREF _Toc11696 \h </w:instrText>
          </w:r>
          <w:r>
            <w:rPr>
              <w:sz w:val="28"/>
              <w:szCs w:val="28"/>
            </w:rPr>
            <w:fldChar w:fldCharType="separate"/>
          </w:r>
          <w:r>
            <w:rPr>
              <w:sz w:val="28"/>
              <w:szCs w:val="28"/>
            </w:rPr>
            <w:t>36</w:t>
          </w:r>
          <w:r>
            <w:rPr>
              <w:sz w:val="28"/>
              <w:szCs w:val="28"/>
            </w:rPr>
            <w:fldChar w:fldCharType="end"/>
          </w:r>
          <w:r>
            <w:rPr>
              <w:sz w:val="28"/>
              <w:szCs w:val="28"/>
            </w:rPr>
            <w:fldChar w:fldCharType="end"/>
          </w:r>
        </w:p>
        <w:p w14:paraId="263A8529">
          <w:pPr>
            <w:pStyle w:val="22"/>
            <w:tabs>
              <w:tab w:val="right" w:leader="dot" w:pos="9412"/>
            </w:tabs>
            <w:rPr>
              <w:sz w:val="28"/>
              <w:szCs w:val="28"/>
            </w:rPr>
          </w:pPr>
          <w:r>
            <w:rPr>
              <w:sz w:val="28"/>
              <w:szCs w:val="28"/>
            </w:rPr>
            <w:fldChar w:fldCharType="begin"/>
          </w:r>
          <w:r>
            <w:rPr>
              <w:sz w:val="28"/>
              <w:szCs w:val="28"/>
            </w:rPr>
            <w:instrText xml:space="preserve"> HYPERLINK \l _Toc1350 </w:instrText>
          </w:r>
          <w:r>
            <w:rPr>
              <w:sz w:val="28"/>
              <w:szCs w:val="28"/>
            </w:rPr>
            <w:fldChar w:fldCharType="separate"/>
          </w:r>
          <w:r>
            <w:rPr>
              <w:rFonts w:ascii="黑体" w:hAnsi="黑体" w:eastAsia="黑体" w:cs="黑体"/>
              <w:kern w:val="0"/>
              <w:sz w:val="28"/>
              <w:szCs w:val="28"/>
            </w:rPr>
            <w:t>第</w:t>
          </w:r>
          <w:r>
            <w:rPr>
              <w:rFonts w:hint="eastAsia" w:ascii="黑体" w:hAnsi="黑体" w:eastAsia="黑体" w:cs="黑体"/>
              <w:kern w:val="0"/>
              <w:sz w:val="28"/>
              <w:szCs w:val="28"/>
              <w:lang w:val="en-US" w:eastAsia="zh-CN"/>
            </w:rPr>
            <w:t>五</w:t>
          </w:r>
          <w:r>
            <w:rPr>
              <w:rFonts w:ascii="黑体" w:hAnsi="黑体" w:eastAsia="黑体" w:cs="黑体"/>
              <w:kern w:val="0"/>
              <w:sz w:val="28"/>
              <w:szCs w:val="28"/>
            </w:rPr>
            <w:t>章</w:t>
          </w:r>
          <w:r>
            <w:rPr>
              <w:rFonts w:hint="eastAsia" w:ascii="黑体" w:hAnsi="黑体" w:eastAsia="黑体" w:cs="黑体"/>
              <w:kern w:val="0"/>
              <w:sz w:val="28"/>
              <w:szCs w:val="28"/>
              <w:lang w:val="en-US" w:eastAsia="zh-CN"/>
            </w:rPr>
            <w:t xml:space="preserve"> </w:t>
          </w:r>
          <w:r>
            <w:rPr>
              <w:rFonts w:hint="eastAsia" w:ascii="黑体" w:hAnsi="黑体" w:eastAsia="黑体" w:cs="黑体"/>
              <w:sz w:val="28"/>
              <w:szCs w:val="28"/>
            </w:rPr>
            <w:t>技术标准和要求</w:t>
          </w:r>
          <w:r>
            <w:rPr>
              <w:sz w:val="28"/>
              <w:szCs w:val="28"/>
            </w:rPr>
            <w:tab/>
          </w:r>
          <w:r>
            <w:rPr>
              <w:sz w:val="28"/>
              <w:szCs w:val="28"/>
            </w:rPr>
            <w:fldChar w:fldCharType="begin"/>
          </w:r>
          <w:r>
            <w:rPr>
              <w:sz w:val="28"/>
              <w:szCs w:val="28"/>
            </w:rPr>
            <w:instrText xml:space="preserve"> PAGEREF _Toc1350 \h </w:instrText>
          </w:r>
          <w:r>
            <w:rPr>
              <w:sz w:val="28"/>
              <w:szCs w:val="28"/>
            </w:rPr>
            <w:fldChar w:fldCharType="separate"/>
          </w:r>
          <w:r>
            <w:rPr>
              <w:sz w:val="28"/>
              <w:szCs w:val="28"/>
            </w:rPr>
            <w:t>68</w:t>
          </w:r>
          <w:r>
            <w:rPr>
              <w:sz w:val="28"/>
              <w:szCs w:val="28"/>
            </w:rPr>
            <w:fldChar w:fldCharType="end"/>
          </w:r>
          <w:r>
            <w:rPr>
              <w:sz w:val="28"/>
              <w:szCs w:val="28"/>
            </w:rPr>
            <w:fldChar w:fldCharType="end"/>
          </w:r>
        </w:p>
        <w:p w14:paraId="67DF05A8">
          <w:pPr>
            <w:pStyle w:val="22"/>
            <w:tabs>
              <w:tab w:val="right" w:leader="dot" w:pos="9412"/>
            </w:tabs>
            <w:rPr>
              <w:sz w:val="28"/>
              <w:szCs w:val="28"/>
            </w:rPr>
          </w:pPr>
          <w:r>
            <w:rPr>
              <w:sz w:val="28"/>
              <w:szCs w:val="28"/>
            </w:rPr>
            <w:fldChar w:fldCharType="begin"/>
          </w:r>
          <w:r>
            <w:rPr>
              <w:sz w:val="28"/>
              <w:szCs w:val="28"/>
            </w:rPr>
            <w:instrText xml:space="preserve"> HYPERLINK \l _Toc26006 </w:instrText>
          </w:r>
          <w:r>
            <w:rPr>
              <w:sz w:val="28"/>
              <w:szCs w:val="28"/>
            </w:rPr>
            <w:fldChar w:fldCharType="separate"/>
          </w:r>
          <w:r>
            <w:rPr>
              <w:rFonts w:hint="eastAsia" w:ascii="黑体" w:hAnsi="黑体" w:eastAsia="黑体" w:cs="黑体"/>
              <w:sz w:val="28"/>
              <w:szCs w:val="28"/>
            </w:rPr>
            <w:t>第</w:t>
          </w:r>
          <w:r>
            <w:rPr>
              <w:rFonts w:hint="eastAsia" w:ascii="黑体" w:hAnsi="黑体" w:eastAsia="黑体" w:cs="黑体"/>
              <w:sz w:val="28"/>
              <w:szCs w:val="28"/>
              <w:lang w:val="en-US" w:eastAsia="zh-CN"/>
            </w:rPr>
            <w:t>六</w:t>
          </w:r>
          <w:r>
            <w:rPr>
              <w:rFonts w:hint="eastAsia" w:ascii="黑体" w:hAnsi="黑体" w:eastAsia="黑体" w:cs="黑体"/>
              <w:sz w:val="28"/>
              <w:szCs w:val="28"/>
            </w:rPr>
            <w:t xml:space="preserve">章 </w:t>
          </w:r>
          <w:r>
            <w:rPr>
              <w:rFonts w:hint="eastAsia" w:ascii="黑体" w:hAnsi="黑体" w:eastAsia="黑体" w:cs="黑体"/>
              <w:kern w:val="0"/>
              <w:sz w:val="28"/>
              <w:szCs w:val="28"/>
            </w:rPr>
            <w:t>工程量清单</w:t>
          </w:r>
          <w:r>
            <w:rPr>
              <w:sz w:val="28"/>
              <w:szCs w:val="28"/>
            </w:rPr>
            <w:tab/>
          </w:r>
          <w:r>
            <w:rPr>
              <w:sz w:val="28"/>
              <w:szCs w:val="28"/>
            </w:rPr>
            <w:fldChar w:fldCharType="begin"/>
          </w:r>
          <w:r>
            <w:rPr>
              <w:sz w:val="28"/>
              <w:szCs w:val="28"/>
            </w:rPr>
            <w:instrText xml:space="preserve"> PAGEREF _Toc26006 \h </w:instrText>
          </w:r>
          <w:r>
            <w:rPr>
              <w:sz w:val="28"/>
              <w:szCs w:val="28"/>
            </w:rPr>
            <w:fldChar w:fldCharType="separate"/>
          </w:r>
          <w:r>
            <w:rPr>
              <w:sz w:val="28"/>
              <w:szCs w:val="28"/>
            </w:rPr>
            <w:t>69</w:t>
          </w:r>
          <w:r>
            <w:rPr>
              <w:sz w:val="28"/>
              <w:szCs w:val="28"/>
            </w:rPr>
            <w:fldChar w:fldCharType="end"/>
          </w:r>
          <w:r>
            <w:rPr>
              <w:sz w:val="28"/>
              <w:szCs w:val="28"/>
            </w:rPr>
            <w:fldChar w:fldCharType="end"/>
          </w:r>
        </w:p>
        <w:p w14:paraId="4F8303E8">
          <w:pPr>
            <w:pStyle w:val="22"/>
            <w:tabs>
              <w:tab w:val="right" w:leader="dot" w:pos="9412"/>
            </w:tabs>
            <w:rPr>
              <w:sz w:val="28"/>
              <w:szCs w:val="28"/>
            </w:rPr>
          </w:pPr>
          <w:r>
            <w:rPr>
              <w:sz w:val="28"/>
              <w:szCs w:val="28"/>
            </w:rPr>
            <w:fldChar w:fldCharType="begin"/>
          </w:r>
          <w:r>
            <w:rPr>
              <w:sz w:val="28"/>
              <w:szCs w:val="28"/>
            </w:rPr>
            <w:instrText xml:space="preserve"> HYPERLINK \l _Toc29730 </w:instrText>
          </w:r>
          <w:r>
            <w:rPr>
              <w:sz w:val="28"/>
              <w:szCs w:val="28"/>
            </w:rPr>
            <w:fldChar w:fldCharType="separate"/>
          </w:r>
          <w:r>
            <w:rPr>
              <w:rFonts w:hint="eastAsia" w:ascii="黑体" w:hAnsi="黑体" w:eastAsia="黑体" w:cs="黑体"/>
              <w:sz w:val="28"/>
              <w:szCs w:val="28"/>
              <w:lang w:val="en-US" w:eastAsia="zh-CN"/>
            </w:rPr>
            <w:t xml:space="preserve">第七章 </w:t>
          </w:r>
          <w:r>
            <w:rPr>
              <w:rFonts w:hint="eastAsia" w:ascii="黑体" w:hAnsi="黑体" w:eastAsia="黑体" w:cs="黑体"/>
              <w:sz w:val="28"/>
              <w:szCs w:val="28"/>
            </w:rPr>
            <w:t>图纸</w:t>
          </w:r>
          <w:r>
            <w:rPr>
              <w:sz w:val="28"/>
              <w:szCs w:val="28"/>
            </w:rPr>
            <w:tab/>
          </w:r>
          <w:r>
            <w:rPr>
              <w:sz w:val="28"/>
              <w:szCs w:val="28"/>
            </w:rPr>
            <w:fldChar w:fldCharType="begin"/>
          </w:r>
          <w:r>
            <w:rPr>
              <w:sz w:val="28"/>
              <w:szCs w:val="28"/>
            </w:rPr>
            <w:instrText xml:space="preserve"> PAGEREF _Toc29730 \h </w:instrText>
          </w:r>
          <w:r>
            <w:rPr>
              <w:sz w:val="28"/>
              <w:szCs w:val="28"/>
            </w:rPr>
            <w:fldChar w:fldCharType="separate"/>
          </w:r>
          <w:r>
            <w:rPr>
              <w:sz w:val="28"/>
              <w:szCs w:val="28"/>
            </w:rPr>
            <w:t>70</w:t>
          </w:r>
          <w:r>
            <w:rPr>
              <w:sz w:val="28"/>
              <w:szCs w:val="28"/>
            </w:rPr>
            <w:fldChar w:fldCharType="end"/>
          </w:r>
          <w:r>
            <w:rPr>
              <w:sz w:val="28"/>
              <w:szCs w:val="28"/>
            </w:rPr>
            <w:fldChar w:fldCharType="end"/>
          </w:r>
        </w:p>
        <w:p w14:paraId="044F0523">
          <w:pPr>
            <w:pStyle w:val="22"/>
            <w:tabs>
              <w:tab w:val="right" w:leader="dot" w:pos="9412"/>
            </w:tabs>
            <w:rPr>
              <w:sz w:val="28"/>
              <w:szCs w:val="28"/>
            </w:rPr>
          </w:pPr>
          <w:r>
            <w:rPr>
              <w:sz w:val="28"/>
              <w:szCs w:val="28"/>
            </w:rPr>
            <w:fldChar w:fldCharType="begin"/>
          </w:r>
          <w:r>
            <w:rPr>
              <w:sz w:val="28"/>
              <w:szCs w:val="28"/>
            </w:rPr>
            <w:instrText xml:space="preserve"> HYPERLINK \l _Toc19450 </w:instrText>
          </w:r>
          <w:r>
            <w:rPr>
              <w:sz w:val="28"/>
              <w:szCs w:val="28"/>
            </w:rPr>
            <w:fldChar w:fldCharType="separate"/>
          </w:r>
          <w:r>
            <w:rPr>
              <w:rFonts w:hint="eastAsia" w:ascii="黑体" w:hAnsi="黑体" w:eastAsia="黑体" w:cs="黑体"/>
              <w:sz w:val="28"/>
              <w:szCs w:val="28"/>
            </w:rPr>
            <w:t>第</w:t>
          </w:r>
          <w:r>
            <w:rPr>
              <w:rFonts w:hint="eastAsia" w:ascii="黑体" w:hAnsi="黑体" w:eastAsia="黑体" w:cs="黑体"/>
              <w:sz w:val="28"/>
              <w:szCs w:val="28"/>
              <w:lang w:val="en-US" w:eastAsia="zh-CN"/>
            </w:rPr>
            <w:t>八</w:t>
          </w:r>
          <w:r>
            <w:rPr>
              <w:rFonts w:hint="eastAsia" w:ascii="黑体" w:hAnsi="黑体" w:eastAsia="黑体" w:cs="黑体"/>
              <w:sz w:val="28"/>
              <w:szCs w:val="28"/>
            </w:rPr>
            <w:t>章 投标文件格式</w:t>
          </w:r>
          <w:r>
            <w:rPr>
              <w:sz w:val="28"/>
              <w:szCs w:val="28"/>
            </w:rPr>
            <w:tab/>
          </w:r>
          <w:r>
            <w:rPr>
              <w:sz w:val="28"/>
              <w:szCs w:val="28"/>
            </w:rPr>
            <w:fldChar w:fldCharType="begin"/>
          </w:r>
          <w:r>
            <w:rPr>
              <w:sz w:val="28"/>
              <w:szCs w:val="28"/>
            </w:rPr>
            <w:instrText xml:space="preserve"> PAGEREF _Toc19450 \h </w:instrText>
          </w:r>
          <w:r>
            <w:rPr>
              <w:sz w:val="28"/>
              <w:szCs w:val="28"/>
            </w:rPr>
            <w:fldChar w:fldCharType="separate"/>
          </w:r>
          <w:r>
            <w:rPr>
              <w:sz w:val="28"/>
              <w:szCs w:val="28"/>
            </w:rPr>
            <w:t>71</w:t>
          </w:r>
          <w:r>
            <w:rPr>
              <w:sz w:val="28"/>
              <w:szCs w:val="28"/>
            </w:rPr>
            <w:fldChar w:fldCharType="end"/>
          </w:r>
          <w:r>
            <w:rPr>
              <w:sz w:val="28"/>
              <w:szCs w:val="28"/>
            </w:rPr>
            <w:fldChar w:fldCharType="end"/>
          </w:r>
        </w:p>
        <w:p w14:paraId="24DCF265">
          <w:pPr>
            <w:pStyle w:val="22"/>
            <w:tabs>
              <w:tab w:val="right" w:leader="dot" w:pos="9412"/>
            </w:tabs>
            <w:rPr>
              <w:sz w:val="28"/>
              <w:szCs w:val="28"/>
            </w:rPr>
          </w:pPr>
          <w:r>
            <w:rPr>
              <w:sz w:val="28"/>
              <w:szCs w:val="28"/>
            </w:rPr>
            <w:fldChar w:fldCharType="begin"/>
          </w:r>
          <w:r>
            <w:rPr>
              <w:sz w:val="28"/>
              <w:szCs w:val="28"/>
            </w:rPr>
            <w:instrText xml:space="preserve"> HYPERLINK \l _Toc17451 </w:instrText>
          </w:r>
          <w:r>
            <w:rPr>
              <w:sz w:val="28"/>
              <w:szCs w:val="28"/>
            </w:rPr>
            <w:fldChar w:fldCharType="separate"/>
          </w:r>
          <w:r>
            <w:rPr>
              <w:rFonts w:ascii="宋体" w:hAnsi="宋体"/>
              <w:sz w:val="28"/>
              <w:szCs w:val="28"/>
            </w:rPr>
            <w:t>附件一：问题澄清通知</w:t>
          </w:r>
          <w:r>
            <w:rPr>
              <w:sz w:val="28"/>
              <w:szCs w:val="28"/>
            </w:rPr>
            <w:tab/>
          </w:r>
          <w:r>
            <w:rPr>
              <w:sz w:val="28"/>
              <w:szCs w:val="28"/>
            </w:rPr>
            <w:fldChar w:fldCharType="begin"/>
          </w:r>
          <w:r>
            <w:rPr>
              <w:sz w:val="28"/>
              <w:szCs w:val="28"/>
            </w:rPr>
            <w:instrText xml:space="preserve"> PAGEREF _Toc17451 \h </w:instrText>
          </w:r>
          <w:r>
            <w:rPr>
              <w:sz w:val="28"/>
              <w:szCs w:val="28"/>
            </w:rPr>
            <w:fldChar w:fldCharType="separate"/>
          </w:r>
          <w:r>
            <w:rPr>
              <w:sz w:val="28"/>
              <w:szCs w:val="28"/>
            </w:rPr>
            <w:t>89</w:t>
          </w:r>
          <w:r>
            <w:rPr>
              <w:sz w:val="28"/>
              <w:szCs w:val="28"/>
            </w:rPr>
            <w:fldChar w:fldCharType="end"/>
          </w:r>
          <w:r>
            <w:rPr>
              <w:sz w:val="28"/>
              <w:szCs w:val="28"/>
            </w:rPr>
            <w:fldChar w:fldCharType="end"/>
          </w:r>
        </w:p>
        <w:p w14:paraId="3DAC9F4D">
          <w:pPr>
            <w:pStyle w:val="22"/>
            <w:tabs>
              <w:tab w:val="right" w:leader="dot" w:pos="9412"/>
            </w:tabs>
            <w:rPr>
              <w:sz w:val="28"/>
              <w:szCs w:val="28"/>
            </w:rPr>
          </w:pPr>
          <w:r>
            <w:rPr>
              <w:sz w:val="28"/>
              <w:szCs w:val="28"/>
            </w:rPr>
            <w:fldChar w:fldCharType="begin"/>
          </w:r>
          <w:r>
            <w:rPr>
              <w:sz w:val="28"/>
              <w:szCs w:val="28"/>
            </w:rPr>
            <w:instrText xml:space="preserve"> HYPERLINK \l _Toc32218 </w:instrText>
          </w:r>
          <w:r>
            <w:rPr>
              <w:sz w:val="28"/>
              <w:szCs w:val="28"/>
            </w:rPr>
            <w:fldChar w:fldCharType="separate"/>
          </w:r>
          <w:r>
            <w:rPr>
              <w:rFonts w:ascii="宋体" w:hAnsi="宋体"/>
              <w:sz w:val="28"/>
              <w:szCs w:val="28"/>
            </w:rPr>
            <w:t>附件二：问题的澄清</w:t>
          </w:r>
          <w:r>
            <w:rPr>
              <w:sz w:val="28"/>
              <w:szCs w:val="28"/>
            </w:rPr>
            <w:tab/>
          </w:r>
          <w:r>
            <w:rPr>
              <w:sz w:val="28"/>
              <w:szCs w:val="28"/>
            </w:rPr>
            <w:fldChar w:fldCharType="begin"/>
          </w:r>
          <w:r>
            <w:rPr>
              <w:sz w:val="28"/>
              <w:szCs w:val="28"/>
            </w:rPr>
            <w:instrText xml:space="preserve"> PAGEREF _Toc32218 \h </w:instrText>
          </w:r>
          <w:r>
            <w:rPr>
              <w:sz w:val="28"/>
              <w:szCs w:val="28"/>
            </w:rPr>
            <w:fldChar w:fldCharType="separate"/>
          </w:r>
          <w:r>
            <w:rPr>
              <w:sz w:val="28"/>
              <w:szCs w:val="28"/>
            </w:rPr>
            <w:t>90</w:t>
          </w:r>
          <w:r>
            <w:rPr>
              <w:sz w:val="28"/>
              <w:szCs w:val="28"/>
            </w:rPr>
            <w:fldChar w:fldCharType="end"/>
          </w:r>
          <w:r>
            <w:rPr>
              <w:sz w:val="28"/>
              <w:szCs w:val="28"/>
            </w:rPr>
            <w:fldChar w:fldCharType="end"/>
          </w:r>
        </w:p>
        <w:p w14:paraId="7ADE00AB">
          <w:pPr>
            <w:pStyle w:val="22"/>
            <w:tabs>
              <w:tab w:val="right" w:leader="dot" w:pos="9412"/>
            </w:tabs>
          </w:pPr>
          <w:r>
            <w:rPr>
              <w:sz w:val="28"/>
              <w:szCs w:val="28"/>
            </w:rPr>
            <w:fldChar w:fldCharType="begin"/>
          </w:r>
          <w:r>
            <w:rPr>
              <w:sz w:val="28"/>
              <w:szCs w:val="28"/>
            </w:rPr>
            <w:instrText xml:space="preserve"> HYPERLINK \l _Toc17844 </w:instrText>
          </w:r>
          <w:r>
            <w:rPr>
              <w:sz w:val="28"/>
              <w:szCs w:val="28"/>
            </w:rPr>
            <w:fldChar w:fldCharType="separate"/>
          </w:r>
          <w:r>
            <w:rPr>
              <w:rFonts w:hint="eastAsia" w:ascii="宋体" w:hAnsi="宋体"/>
              <w:sz w:val="28"/>
              <w:szCs w:val="28"/>
            </w:rPr>
            <w:t>附件</w:t>
          </w:r>
          <w:r>
            <w:rPr>
              <w:rFonts w:hint="eastAsia" w:ascii="宋体" w:hAnsi="宋体"/>
              <w:sz w:val="28"/>
              <w:szCs w:val="28"/>
              <w:lang w:val="en-US" w:eastAsia="zh-CN"/>
            </w:rPr>
            <w:t>三：技术性能考核指标</w:t>
          </w:r>
          <w:r>
            <w:rPr>
              <w:sz w:val="28"/>
              <w:szCs w:val="28"/>
            </w:rPr>
            <w:tab/>
          </w:r>
          <w:r>
            <w:rPr>
              <w:sz w:val="28"/>
              <w:szCs w:val="28"/>
            </w:rPr>
            <w:fldChar w:fldCharType="begin"/>
          </w:r>
          <w:r>
            <w:rPr>
              <w:sz w:val="28"/>
              <w:szCs w:val="28"/>
            </w:rPr>
            <w:instrText xml:space="preserve"> PAGEREF _Toc17844 \h </w:instrText>
          </w:r>
          <w:r>
            <w:rPr>
              <w:sz w:val="28"/>
              <w:szCs w:val="28"/>
            </w:rPr>
            <w:fldChar w:fldCharType="separate"/>
          </w:r>
          <w:r>
            <w:rPr>
              <w:sz w:val="28"/>
              <w:szCs w:val="28"/>
            </w:rPr>
            <w:t>91</w:t>
          </w:r>
          <w:r>
            <w:rPr>
              <w:sz w:val="28"/>
              <w:szCs w:val="28"/>
            </w:rPr>
            <w:fldChar w:fldCharType="end"/>
          </w:r>
          <w:r>
            <w:rPr>
              <w:sz w:val="28"/>
              <w:szCs w:val="28"/>
            </w:rPr>
            <w:fldChar w:fldCharType="end"/>
          </w:r>
        </w:p>
        <w:p w14:paraId="45BD93CB">
          <w:pPr>
            <w:jc w:val="center"/>
          </w:pPr>
          <w:r>
            <w:rPr>
              <w:szCs w:val="24"/>
            </w:rPr>
            <w:fldChar w:fldCharType="end"/>
          </w:r>
        </w:p>
      </w:sdtContent>
    </w:sdt>
    <w:p w14:paraId="5B531485">
      <w:pPr>
        <w:sectPr>
          <w:footerReference r:id="rId6" w:type="default"/>
          <w:pgSz w:w="11906" w:h="16838"/>
          <w:pgMar w:top="1247" w:right="1247" w:bottom="1247" w:left="1247" w:header="851" w:footer="992" w:gutter="0"/>
          <w:pgNumType w:fmt="decimal" w:start="1"/>
          <w:cols w:space="720" w:num="1"/>
          <w:formProt w:val="0"/>
          <w:docGrid w:type="lines" w:linePitch="312" w:charSpace="0"/>
        </w:sectPr>
      </w:pPr>
    </w:p>
    <w:p w14:paraId="477335FB">
      <w:pPr>
        <w:jc w:val="center"/>
        <w:rPr>
          <w:rFonts w:ascii="宋体" w:hAnsi="宋体"/>
          <w:b/>
          <w:i/>
          <w:color w:val="auto"/>
          <w:spacing w:val="40"/>
          <w:sz w:val="84"/>
          <w:szCs w:val="84"/>
          <w:highlight w:val="none"/>
        </w:rPr>
      </w:pPr>
      <w:bookmarkStart w:id="9" w:name="_Toc1969"/>
      <w:bookmarkStart w:id="10" w:name="_Toc435621032"/>
      <w:bookmarkStart w:id="11" w:name="_Toc443311066"/>
    </w:p>
    <w:p w14:paraId="4D9818D5">
      <w:pPr>
        <w:rPr>
          <w:rFonts w:ascii="宋体" w:hAnsi="宋体"/>
          <w:b/>
          <w:color w:val="auto"/>
          <w:spacing w:val="40"/>
          <w:sz w:val="84"/>
          <w:szCs w:val="84"/>
          <w:highlight w:val="none"/>
        </w:rPr>
      </w:pPr>
      <w:bookmarkStart w:id="12" w:name="_Toc31089"/>
    </w:p>
    <w:p w14:paraId="2A32CB86">
      <w:pPr>
        <w:rPr>
          <w:rFonts w:ascii="宋体" w:hAnsi="宋体"/>
          <w:b/>
          <w:color w:val="auto"/>
          <w:spacing w:val="40"/>
          <w:sz w:val="84"/>
          <w:szCs w:val="84"/>
          <w:highlight w:val="none"/>
        </w:rPr>
      </w:pPr>
    </w:p>
    <w:p w14:paraId="6067FBF7">
      <w:pPr>
        <w:rPr>
          <w:rFonts w:ascii="宋体" w:hAnsi="宋体"/>
          <w:b/>
          <w:color w:val="auto"/>
          <w:spacing w:val="40"/>
          <w:sz w:val="84"/>
          <w:szCs w:val="84"/>
          <w:highlight w:val="none"/>
        </w:rPr>
      </w:pPr>
    </w:p>
    <w:p w14:paraId="2233F5EC">
      <w:pPr>
        <w:pStyle w:val="28"/>
        <w:rPr>
          <w:rFonts w:hint="eastAsia" w:eastAsia="楷体" w:cs="Calibri"/>
          <w:sz w:val="84"/>
          <w:highlight w:val="none"/>
        </w:rPr>
      </w:pPr>
      <w:bookmarkStart w:id="13" w:name="_Toc527038760"/>
      <w:bookmarkStart w:id="14" w:name="_Toc10501"/>
      <w:bookmarkStart w:id="15" w:name="_Toc3843"/>
      <w:bookmarkStart w:id="16" w:name="_Toc22810"/>
      <w:bookmarkStart w:id="17" w:name="_Toc23251"/>
      <w:bookmarkStart w:id="18" w:name="_Toc19117"/>
      <w:bookmarkStart w:id="19" w:name="_Toc6150"/>
      <w:bookmarkStart w:id="20" w:name="_Toc469"/>
      <w:bookmarkStart w:id="21" w:name="_Toc487715594"/>
      <w:bookmarkStart w:id="22" w:name="_Toc31662"/>
      <w:bookmarkStart w:id="23" w:name="_Toc14658"/>
      <w:bookmarkStart w:id="24" w:name="_Toc9797"/>
      <w:bookmarkStart w:id="25" w:name="_Toc7357"/>
      <w:r>
        <w:rPr>
          <w:rFonts w:hint="eastAsia" w:eastAsia="楷体" w:cs="Calibri"/>
          <w:sz w:val="84"/>
          <w:highlight w:val="none"/>
        </w:rPr>
        <w:t>第一章</w:t>
      </w:r>
      <w:bookmarkEnd w:id="12"/>
      <w:bookmarkEnd w:id="13"/>
      <w:bookmarkEnd w:id="14"/>
      <w:bookmarkEnd w:id="15"/>
      <w:bookmarkEnd w:id="16"/>
      <w:bookmarkEnd w:id="17"/>
      <w:bookmarkEnd w:id="18"/>
      <w:bookmarkEnd w:id="19"/>
      <w:bookmarkEnd w:id="20"/>
      <w:bookmarkEnd w:id="21"/>
      <w:bookmarkEnd w:id="22"/>
      <w:bookmarkEnd w:id="23"/>
      <w:bookmarkEnd w:id="24"/>
      <w:bookmarkStart w:id="26" w:name="_Toc24265"/>
      <w:bookmarkStart w:id="27" w:name="_Toc32442"/>
      <w:bookmarkStart w:id="28" w:name="_Toc7336"/>
      <w:bookmarkStart w:id="29" w:name="_Toc1650"/>
      <w:bookmarkStart w:id="30" w:name="_Toc26605"/>
      <w:bookmarkStart w:id="31" w:name="_Toc487715595"/>
      <w:bookmarkStart w:id="32" w:name="_Toc23141"/>
      <w:bookmarkStart w:id="33" w:name="_Toc10953"/>
      <w:bookmarkStart w:id="34" w:name="_Toc9021"/>
      <w:bookmarkStart w:id="35" w:name="_Toc527038761"/>
      <w:bookmarkStart w:id="36" w:name="_Toc13799"/>
      <w:bookmarkStart w:id="37" w:name="_Toc14571"/>
      <w:r>
        <w:rPr>
          <w:rFonts w:hint="eastAsia" w:eastAsia="楷体" w:cs="Calibri"/>
          <w:sz w:val="84"/>
          <w:highlight w:val="none"/>
          <w:lang w:val="en-US" w:eastAsia="zh-CN"/>
        </w:rPr>
        <w:t xml:space="preserve"> </w:t>
      </w:r>
      <w:r>
        <w:rPr>
          <w:rFonts w:hint="eastAsia" w:eastAsia="楷体" w:cs="Calibri"/>
          <w:sz w:val="84"/>
          <w:highlight w:val="none"/>
        </w:rPr>
        <w:t>招标公告</w:t>
      </w:r>
      <w:bookmarkEnd w:id="25"/>
      <w:bookmarkEnd w:id="26"/>
      <w:bookmarkEnd w:id="27"/>
      <w:bookmarkEnd w:id="28"/>
      <w:bookmarkEnd w:id="29"/>
      <w:bookmarkEnd w:id="30"/>
      <w:bookmarkEnd w:id="31"/>
      <w:bookmarkEnd w:id="32"/>
      <w:bookmarkEnd w:id="33"/>
      <w:bookmarkEnd w:id="34"/>
      <w:bookmarkEnd w:id="35"/>
      <w:bookmarkEnd w:id="36"/>
      <w:bookmarkEnd w:id="37"/>
    </w:p>
    <w:p w14:paraId="4E788C07">
      <w:pPr>
        <w:jc w:val="center"/>
        <w:rPr>
          <w:rFonts w:ascii="宋体" w:hAnsi="宋体"/>
          <w:b/>
          <w:i/>
          <w:color w:val="auto"/>
          <w:spacing w:val="10"/>
          <w:sz w:val="72"/>
          <w:szCs w:val="84"/>
          <w:highlight w:val="none"/>
        </w:rPr>
      </w:pPr>
    </w:p>
    <w:p w14:paraId="18817803">
      <w:pPr>
        <w:jc w:val="center"/>
        <w:rPr>
          <w:rFonts w:ascii="宋体" w:hAnsi="宋体"/>
          <w:b/>
          <w:i/>
          <w:color w:val="auto"/>
          <w:spacing w:val="10"/>
          <w:sz w:val="72"/>
          <w:szCs w:val="84"/>
          <w:highlight w:val="none"/>
        </w:rPr>
      </w:pPr>
    </w:p>
    <w:p w14:paraId="3BFBD91D">
      <w:pPr>
        <w:numPr>
          <w:ilvl w:val="0"/>
          <w:numId w:val="0"/>
        </w:numPr>
        <w:snapToGrid w:val="0"/>
        <w:spacing w:line="360" w:lineRule="auto"/>
        <w:jc w:val="center"/>
        <w:outlineLvl w:val="0"/>
        <w:rPr>
          <w:rFonts w:hint="eastAsia" w:ascii="黑体" w:hAnsi="黑体" w:eastAsia="黑体" w:cs="黑体"/>
          <w:b/>
          <w:sz w:val="32"/>
          <w:szCs w:val="32"/>
        </w:rPr>
        <w:sectPr>
          <w:headerReference r:id="rId7" w:type="default"/>
          <w:footerReference r:id="rId8" w:type="default"/>
          <w:pgSz w:w="11906" w:h="16838"/>
          <w:pgMar w:top="1026" w:right="992" w:bottom="1009" w:left="1037" w:header="680" w:footer="794" w:gutter="0"/>
          <w:pgNumType w:fmt="decimal" w:start="1"/>
          <w:cols w:space="720" w:num="1"/>
          <w:formProt w:val="0"/>
          <w:docGrid w:linePitch="100" w:charSpace="0"/>
        </w:sectPr>
      </w:pPr>
    </w:p>
    <w:p w14:paraId="372454D6">
      <w:pPr>
        <w:numPr>
          <w:ilvl w:val="0"/>
          <w:numId w:val="0"/>
        </w:numPr>
        <w:snapToGrid w:val="0"/>
        <w:spacing w:line="360" w:lineRule="auto"/>
        <w:jc w:val="center"/>
        <w:outlineLvl w:val="9"/>
        <w:rPr>
          <w:rFonts w:hint="eastAsia" w:ascii="黑体" w:hAnsi="黑体" w:eastAsia="黑体" w:cs="黑体"/>
          <w:b/>
          <w:sz w:val="32"/>
          <w:szCs w:val="32"/>
        </w:rPr>
      </w:pPr>
      <w:r>
        <w:rPr>
          <w:rFonts w:hint="eastAsia" w:ascii="黑体" w:hAnsi="黑体" w:eastAsia="黑体" w:cs="黑体"/>
          <w:b/>
          <w:sz w:val="32"/>
          <w:szCs w:val="32"/>
          <w:u w:val="single"/>
          <w:lang w:eastAsia="zh-CN"/>
        </w:rPr>
        <w:t>茂名市电白区蓝湾海洋产业发展有限公司深水网箱养殖产业园项目（一期）网箱采购2标(第二次）</w:t>
      </w:r>
      <w:r>
        <w:rPr>
          <w:rFonts w:hint="eastAsia" w:ascii="黑体" w:hAnsi="黑体" w:eastAsia="黑体" w:cs="黑体"/>
          <w:b/>
          <w:sz w:val="32"/>
          <w:szCs w:val="32"/>
        </w:rPr>
        <w:t>招标公告</w:t>
      </w:r>
      <w:bookmarkEnd w:id="9"/>
      <w:bookmarkEnd w:id="10"/>
      <w:bookmarkEnd w:id="11"/>
    </w:p>
    <w:tbl>
      <w:tblPr>
        <w:tblStyle w:val="77"/>
        <w:tblpPr w:leftFromText="180" w:rightFromText="180" w:vertAnchor="text" w:horzAnchor="page" w:tblpXSpec="center" w:tblpY="227"/>
        <w:tblW w:w="9979" w:type="dxa"/>
        <w:jc w:val="center"/>
        <w:tblLayout w:type="fixed"/>
        <w:tblCellMar>
          <w:top w:w="0" w:type="dxa"/>
          <w:left w:w="2" w:type="dxa"/>
          <w:bottom w:w="0" w:type="dxa"/>
          <w:right w:w="2" w:type="dxa"/>
        </w:tblCellMar>
      </w:tblPr>
      <w:tblGrid>
        <w:gridCol w:w="2013"/>
        <w:gridCol w:w="1248"/>
        <w:gridCol w:w="833"/>
        <w:gridCol w:w="264"/>
        <w:gridCol w:w="1009"/>
        <w:gridCol w:w="1094"/>
        <w:gridCol w:w="214"/>
        <w:gridCol w:w="138"/>
        <w:gridCol w:w="862"/>
        <w:gridCol w:w="2304"/>
      </w:tblGrid>
      <w:tr w14:paraId="0271094A">
        <w:tblPrEx>
          <w:tblCellMar>
            <w:top w:w="0" w:type="dxa"/>
            <w:left w:w="2" w:type="dxa"/>
            <w:bottom w:w="0" w:type="dxa"/>
            <w:right w:w="2" w:type="dxa"/>
          </w:tblCellMar>
        </w:tblPrEx>
        <w:trPr>
          <w:trHeight w:val="560" w:hRule="atLeast"/>
          <w:jc w:val="center"/>
        </w:trPr>
        <w:tc>
          <w:tcPr>
            <w:tcW w:w="2013" w:type="dxa"/>
            <w:tcBorders>
              <w:top w:val="single" w:color="000000" w:sz="2" w:space="0"/>
              <w:left w:val="single" w:color="000000" w:sz="2" w:space="0"/>
              <w:bottom w:val="single" w:color="000000" w:sz="2" w:space="0"/>
              <w:right w:val="single" w:color="000000" w:sz="2" w:space="0"/>
            </w:tcBorders>
          </w:tcPr>
          <w:p w14:paraId="61690787">
            <w:pPr>
              <w:widowControl w:val="0"/>
              <w:spacing w:before="160" w:after="0" w:line="225" w:lineRule="auto"/>
              <w:ind w:left="239" w:firstLine="0"/>
              <w:rPr>
                <w:rFonts w:ascii="宋体" w:hAnsi="宋体" w:cs="宋体"/>
                <w:sz w:val="23"/>
                <w:szCs w:val="23"/>
              </w:rPr>
            </w:pPr>
            <w:r>
              <w:rPr>
                <w:rFonts w:ascii="宋体" w:hAnsi="宋体" w:cs="宋体"/>
                <w:spacing w:val="12"/>
                <w:sz w:val="23"/>
                <w:szCs w:val="23"/>
                <w14:textOutline w14:w="4356" w14:cap="sq" w14:cmpd="sng" w14:algn="ctr">
                  <w14:solidFill>
                    <w14:srgbClr w14:val="000000"/>
                  </w14:solidFill>
                  <w14:prstDash w14:val="solid"/>
                  <w14:bevel/>
                </w14:textOutline>
              </w:rPr>
              <w:t>投</w:t>
            </w:r>
            <w:r>
              <w:rPr>
                <w:rFonts w:ascii="宋体" w:hAnsi="宋体" w:cs="宋体"/>
                <w:spacing w:val="8"/>
                <w:sz w:val="23"/>
                <w:szCs w:val="23"/>
                <w14:textOutline w14:w="4356" w14:cap="sq" w14:cmpd="sng" w14:algn="ctr">
                  <w14:solidFill>
                    <w14:srgbClr w14:val="000000"/>
                  </w14:solidFill>
                  <w14:prstDash w14:val="solid"/>
                  <w14:bevel/>
                </w14:textOutline>
              </w:rPr>
              <w:t>资项目代码</w:t>
            </w:r>
          </w:p>
        </w:tc>
        <w:tc>
          <w:tcPr>
            <w:tcW w:w="7966" w:type="dxa"/>
            <w:gridSpan w:val="9"/>
            <w:tcBorders>
              <w:top w:val="single" w:color="000000" w:sz="2" w:space="0"/>
              <w:left w:val="single" w:color="000000" w:sz="2" w:space="0"/>
              <w:bottom w:val="single" w:color="000000" w:sz="2" w:space="0"/>
              <w:right w:val="single" w:color="000000" w:sz="2" w:space="0"/>
            </w:tcBorders>
            <w:vAlign w:val="center"/>
          </w:tcPr>
          <w:p w14:paraId="4A0EED2D">
            <w:pPr>
              <w:widowControl w:val="0"/>
              <w:spacing w:before="196" w:after="0" w:line="189" w:lineRule="auto"/>
              <w:jc w:val="center"/>
              <w:rPr>
                <w:rFonts w:ascii="宋体" w:hAnsi="宋体" w:cs="宋体"/>
                <w:sz w:val="23"/>
                <w:szCs w:val="23"/>
              </w:rPr>
            </w:pPr>
            <w:r>
              <w:rPr>
                <w:rFonts w:hint="eastAsia" w:ascii="宋体" w:hAnsi="宋体" w:cs="宋体"/>
                <w:color w:val="262626"/>
                <w:kern w:val="0"/>
                <w:sz w:val="23"/>
                <w:szCs w:val="23"/>
                <w:lang w:bidi="ar-SA"/>
              </w:rPr>
              <w:t>2402-440904-04-01-714870</w:t>
            </w:r>
          </w:p>
        </w:tc>
      </w:tr>
      <w:tr w14:paraId="21924E6B">
        <w:tblPrEx>
          <w:tblCellMar>
            <w:top w:w="0" w:type="dxa"/>
            <w:left w:w="2" w:type="dxa"/>
            <w:bottom w:w="0" w:type="dxa"/>
            <w:right w:w="2" w:type="dxa"/>
          </w:tblCellMar>
        </w:tblPrEx>
        <w:trPr>
          <w:trHeight w:val="602" w:hRule="atLeast"/>
          <w:jc w:val="center"/>
        </w:trPr>
        <w:tc>
          <w:tcPr>
            <w:tcW w:w="2013" w:type="dxa"/>
            <w:tcBorders>
              <w:top w:val="single" w:color="000000" w:sz="2" w:space="0"/>
              <w:left w:val="single" w:color="000000" w:sz="2" w:space="0"/>
              <w:bottom w:val="single" w:color="000000" w:sz="2" w:space="0"/>
              <w:right w:val="single" w:color="000000" w:sz="2" w:space="0"/>
            </w:tcBorders>
          </w:tcPr>
          <w:p w14:paraId="11719F3E">
            <w:pPr>
              <w:widowControl w:val="0"/>
              <w:spacing w:before="154" w:after="0" w:line="228" w:lineRule="auto"/>
              <w:ind w:left="239" w:firstLine="0"/>
              <w:rPr>
                <w:rFonts w:ascii="宋体" w:hAnsi="宋体" w:cs="宋体"/>
                <w:sz w:val="23"/>
                <w:szCs w:val="23"/>
              </w:rPr>
            </w:pPr>
            <w:r>
              <w:rPr>
                <w:rFonts w:ascii="宋体" w:hAnsi="宋体" w:cs="宋体"/>
                <w:spacing w:val="12"/>
                <w:sz w:val="23"/>
                <w:szCs w:val="23"/>
                <w14:textOutline w14:w="4356" w14:cap="sq" w14:cmpd="sng" w14:algn="ctr">
                  <w14:solidFill>
                    <w14:srgbClr w14:val="000000"/>
                  </w14:solidFill>
                  <w14:prstDash w14:val="solid"/>
                  <w14:bevel/>
                </w14:textOutline>
              </w:rPr>
              <w:t>投</w:t>
            </w:r>
            <w:r>
              <w:rPr>
                <w:rFonts w:ascii="宋体" w:hAnsi="宋体" w:cs="宋体"/>
                <w:spacing w:val="8"/>
                <w:sz w:val="23"/>
                <w:szCs w:val="23"/>
                <w14:textOutline w14:w="4356" w14:cap="sq" w14:cmpd="sng" w14:algn="ctr">
                  <w14:solidFill>
                    <w14:srgbClr w14:val="000000"/>
                  </w14:solidFill>
                  <w14:prstDash w14:val="solid"/>
                  <w14:bevel/>
                </w14:textOutline>
              </w:rPr>
              <w:t>资项目名称</w:t>
            </w:r>
          </w:p>
        </w:tc>
        <w:tc>
          <w:tcPr>
            <w:tcW w:w="7966" w:type="dxa"/>
            <w:gridSpan w:val="9"/>
            <w:tcBorders>
              <w:top w:val="single" w:color="000000" w:sz="2" w:space="0"/>
              <w:left w:val="single" w:color="000000" w:sz="2" w:space="0"/>
              <w:bottom w:val="single" w:color="000000" w:sz="2" w:space="0"/>
              <w:right w:val="single" w:color="000000" w:sz="2" w:space="0"/>
            </w:tcBorders>
            <w:vAlign w:val="center"/>
          </w:tcPr>
          <w:p w14:paraId="491798AF">
            <w:pPr>
              <w:widowControl w:val="0"/>
              <w:spacing w:before="154" w:after="0" w:line="225" w:lineRule="auto"/>
              <w:jc w:val="center"/>
              <w:rPr>
                <w:rFonts w:ascii="宋体" w:hAnsi="宋体" w:cs="宋体"/>
                <w:sz w:val="23"/>
                <w:szCs w:val="23"/>
              </w:rPr>
            </w:pPr>
            <w:r>
              <w:rPr>
                <w:rFonts w:hint="eastAsia" w:ascii="宋体" w:hAnsi="宋体" w:cs="宋体"/>
                <w:sz w:val="23"/>
                <w:szCs w:val="23"/>
              </w:rPr>
              <w:t>茂名市电白区蓝湾海洋产业发展有限公司深水网箱养殖产业园项目（一期）</w:t>
            </w:r>
          </w:p>
        </w:tc>
      </w:tr>
      <w:tr w14:paraId="5E1FE0B6">
        <w:tblPrEx>
          <w:tblCellMar>
            <w:top w:w="0" w:type="dxa"/>
            <w:left w:w="2" w:type="dxa"/>
            <w:bottom w:w="0" w:type="dxa"/>
            <w:right w:w="2" w:type="dxa"/>
          </w:tblCellMar>
        </w:tblPrEx>
        <w:trPr>
          <w:trHeight w:val="576" w:hRule="atLeast"/>
          <w:jc w:val="center"/>
        </w:trPr>
        <w:tc>
          <w:tcPr>
            <w:tcW w:w="2013" w:type="dxa"/>
            <w:tcBorders>
              <w:top w:val="single" w:color="000000" w:sz="2" w:space="0"/>
              <w:left w:val="single" w:color="000000" w:sz="2" w:space="0"/>
              <w:bottom w:val="single" w:color="000000" w:sz="2" w:space="0"/>
              <w:right w:val="single" w:color="000000" w:sz="2" w:space="0"/>
            </w:tcBorders>
          </w:tcPr>
          <w:p w14:paraId="322AA424">
            <w:pPr>
              <w:widowControl w:val="0"/>
              <w:spacing w:before="155" w:after="0" w:line="228" w:lineRule="auto"/>
              <w:ind w:left="237" w:firstLine="0"/>
              <w:rPr>
                <w:rFonts w:ascii="宋体" w:hAnsi="宋体" w:cs="宋体"/>
                <w:sz w:val="23"/>
                <w:szCs w:val="23"/>
              </w:rPr>
            </w:pPr>
            <w:r>
              <w:rPr>
                <w:rFonts w:ascii="宋体" w:hAnsi="宋体" w:cs="宋体"/>
                <w:spacing w:val="9"/>
                <w:sz w:val="23"/>
                <w:szCs w:val="23"/>
                <w14:textOutline w14:w="4356" w14:cap="sq" w14:cmpd="sng" w14:algn="ctr">
                  <w14:solidFill>
                    <w14:srgbClr w14:val="000000"/>
                  </w14:solidFill>
                  <w14:prstDash w14:val="solid"/>
                  <w14:bevel/>
                </w14:textOutline>
              </w:rPr>
              <w:t>招标项目名称</w:t>
            </w:r>
          </w:p>
        </w:tc>
        <w:tc>
          <w:tcPr>
            <w:tcW w:w="7966" w:type="dxa"/>
            <w:gridSpan w:val="9"/>
            <w:tcBorders>
              <w:top w:val="single" w:color="000000" w:sz="2" w:space="0"/>
              <w:left w:val="single" w:color="000000" w:sz="2" w:space="0"/>
              <w:bottom w:val="single" w:color="000000" w:sz="2" w:space="0"/>
              <w:right w:val="single" w:color="000000" w:sz="2" w:space="0"/>
            </w:tcBorders>
            <w:vAlign w:val="center"/>
          </w:tcPr>
          <w:p w14:paraId="4C904B1F">
            <w:pPr>
              <w:widowControl w:val="0"/>
              <w:spacing w:before="155" w:after="0" w:line="225" w:lineRule="auto"/>
              <w:jc w:val="center"/>
              <w:rPr>
                <w:rFonts w:hint="eastAsia" w:ascii="宋体" w:hAnsi="宋体" w:eastAsia="宋体" w:cs="宋体"/>
                <w:sz w:val="23"/>
                <w:szCs w:val="23"/>
                <w:lang w:eastAsia="zh-CN"/>
              </w:rPr>
            </w:pPr>
            <w:r>
              <w:rPr>
                <w:rFonts w:hint="eastAsia" w:ascii="宋体" w:hAnsi="宋体" w:cs="宋体"/>
                <w:sz w:val="23"/>
                <w:szCs w:val="23"/>
                <w:lang w:eastAsia="zh-CN"/>
              </w:rPr>
              <w:t>茂名市电白区蓝湾海洋产业发展有限公司深水网箱养殖产业园项目（一期）网箱采购2标(第二次）</w:t>
            </w:r>
          </w:p>
        </w:tc>
      </w:tr>
      <w:tr w14:paraId="6A5EFBD7">
        <w:tblPrEx>
          <w:tblCellMar>
            <w:top w:w="0" w:type="dxa"/>
            <w:left w:w="2" w:type="dxa"/>
            <w:bottom w:w="0" w:type="dxa"/>
            <w:right w:w="2" w:type="dxa"/>
          </w:tblCellMar>
        </w:tblPrEx>
        <w:trPr>
          <w:trHeight w:val="677" w:hRule="atLeast"/>
          <w:jc w:val="center"/>
        </w:trPr>
        <w:tc>
          <w:tcPr>
            <w:tcW w:w="2013" w:type="dxa"/>
            <w:tcBorders>
              <w:top w:val="single" w:color="000000" w:sz="2" w:space="0"/>
              <w:left w:val="single" w:color="000000" w:sz="2" w:space="0"/>
              <w:bottom w:val="single" w:color="000000" w:sz="2" w:space="0"/>
              <w:right w:val="single" w:color="000000" w:sz="2" w:space="0"/>
            </w:tcBorders>
          </w:tcPr>
          <w:p w14:paraId="09DC9AB1">
            <w:pPr>
              <w:widowControl w:val="0"/>
              <w:spacing w:before="154" w:after="0" w:line="228" w:lineRule="auto"/>
              <w:ind w:left="117" w:firstLine="0"/>
              <w:rPr>
                <w:rFonts w:ascii="宋体" w:hAnsi="宋体" w:cs="宋体"/>
                <w:sz w:val="23"/>
                <w:szCs w:val="23"/>
              </w:rPr>
            </w:pPr>
            <w:r>
              <w:rPr>
                <w:rFonts w:ascii="宋体" w:hAnsi="宋体" w:cs="宋体"/>
                <w:spacing w:val="8"/>
                <w:sz w:val="23"/>
                <w:szCs w:val="23"/>
                <w14:textOutline w14:w="4356" w14:cap="sq" w14:cmpd="sng" w14:algn="ctr">
                  <w14:solidFill>
                    <w14:srgbClr w14:val="000000"/>
                  </w14:solidFill>
                  <w14:prstDash w14:val="solid"/>
                  <w14:bevel/>
                </w14:textOutline>
              </w:rPr>
              <w:t>标</w:t>
            </w:r>
            <w:r>
              <w:rPr>
                <w:rFonts w:ascii="宋体" w:hAnsi="宋体" w:cs="宋体"/>
                <w:spacing w:val="7"/>
                <w:sz w:val="23"/>
                <w:szCs w:val="23"/>
                <w14:textOutline w14:w="4356" w14:cap="sq" w14:cmpd="sng" w14:algn="ctr">
                  <w14:solidFill>
                    <w14:srgbClr w14:val="000000"/>
                  </w14:solidFill>
                  <w14:prstDash w14:val="solid"/>
                  <w14:bevel/>
                </w14:textOutline>
              </w:rPr>
              <w:t>段</w:t>
            </w:r>
            <w:r>
              <w:rPr>
                <w:rFonts w:ascii="宋体" w:hAnsi="宋体" w:cs="宋体"/>
                <w:spacing w:val="7"/>
                <w:sz w:val="23"/>
                <w:szCs w:val="23"/>
              </w:rPr>
              <w:t xml:space="preserve"> </w:t>
            </w:r>
            <w:r>
              <w:rPr>
                <w:rFonts w:ascii="宋体" w:hAnsi="宋体" w:cs="宋体"/>
                <w:spacing w:val="7"/>
                <w:sz w:val="23"/>
                <w:szCs w:val="23"/>
                <w14:textOutline w14:w="4356" w14:cap="sq" w14:cmpd="sng" w14:algn="ctr">
                  <w14:solidFill>
                    <w14:srgbClr w14:val="000000"/>
                  </w14:solidFill>
                  <w14:prstDash w14:val="solid"/>
                  <w14:bevel/>
                </w14:textOutline>
              </w:rPr>
              <w:t>(包)</w:t>
            </w:r>
            <w:r>
              <w:rPr>
                <w:rFonts w:ascii="宋体" w:hAnsi="宋体" w:cs="宋体"/>
                <w:spacing w:val="7"/>
                <w:sz w:val="23"/>
                <w:szCs w:val="23"/>
              </w:rPr>
              <w:t xml:space="preserve"> </w:t>
            </w:r>
            <w:r>
              <w:rPr>
                <w:rFonts w:ascii="宋体" w:hAnsi="宋体" w:cs="宋体"/>
                <w:spacing w:val="7"/>
                <w:sz w:val="23"/>
                <w:szCs w:val="23"/>
                <w14:textOutline w14:w="4356" w14:cap="sq" w14:cmpd="sng" w14:algn="ctr">
                  <w14:solidFill>
                    <w14:srgbClr w14:val="000000"/>
                  </w14:solidFill>
                  <w14:prstDash w14:val="solid"/>
                  <w14:bevel/>
                </w14:textOutline>
              </w:rPr>
              <w:t>名称</w:t>
            </w:r>
          </w:p>
        </w:tc>
        <w:tc>
          <w:tcPr>
            <w:tcW w:w="4448" w:type="dxa"/>
            <w:gridSpan w:val="5"/>
            <w:tcBorders>
              <w:top w:val="single" w:color="000000" w:sz="2" w:space="0"/>
              <w:left w:val="single" w:color="000000" w:sz="2" w:space="0"/>
              <w:bottom w:val="single" w:color="000000" w:sz="2" w:space="0"/>
              <w:right w:val="single" w:color="000000" w:sz="2" w:space="0"/>
            </w:tcBorders>
            <w:vAlign w:val="center"/>
          </w:tcPr>
          <w:p w14:paraId="5276BA50">
            <w:pPr>
              <w:widowControl w:val="0"/>
              <w:spacing w:before="154" w:after="0" w:line="225" w:lineRule="auto"/>
              <w:jc w:val="center"/>
              <w:rPr>
                <w:rFonts w:hint="eastAsia" w:ascii="宋体" w:hAnsi="宋体" w:eastAsia="宋体" w:cs="宋体"/>
                <w:sz w:val="23"/>
                <w:szCs w:val="23"/>
                <w:lang w:eastAsia="zh-CN"/>
              </w:rPr>
            </w:pPr>
            <w:r>
              <w:rPr>
                <w:rFonts w:hint="eastAsia" w:ascii="宋体" w:hAnsi="宋体" w:cs="宋体"/>
                <w:spacing w:val="3"/>
                <w:sz w:val="23"/>
                <w:szCs w:val="23"/>
                <w:lang w:eastAsia="zh-CN"/>
              </w:rPr>
              <w:t>茂名市电白区蓝湾海洋产业发展有限公司深水网箱养殖产业园项目（一期）网箱采购2标(第二次）</w:t>
            </w:r>
          </w:p>
        </w:tc>
        <w:tc>
          <w:tcPr>
            <w:tcW w:w="1214" w:type="dxa"/>
            <w:gridSpan w:val="3"/>
            <w:tcBorders>
              <w:top w:val="single" w:color="000000" w:sz="2" w:space="0"/>
              <w:left w:val="single" w:color="000000" w:sz="2" w:space="0"/>
              <w:bottom w:val="single" w:color="000000" w:sz="2" w:space="0"/>
              <w:right w:val="single" w:color="000000" w:sz="2" w:space="0"/>
            </w:tcBorders>
            <w:vAlign w:val="center"/>
          </w:tcPr>
          <w:p w14:paraId="38626597">
            <w:pPr>
              <w:widowControl w:val="0"/>
              <w:spacing w:before="154" w:after="0" w:line="225" w:lineRule="auto"/>
              <w:jc w:val="center"/>
              <w:rPr>
                <w:rFonts w:ascii="宋体" w:hAnsi="宋体" w:cs="宋体"/>
                <w:sz w:val="23"/>
                <w:szCs w:val="23"/>
              </w:rPr>
            </w:pPr>
            <w:r>
              <w:rPr>
                <w:rFonts w:ascii="宋体" w:hAnsi="宋体" w:cs="宋体"/>
                <w:spacing w:val="7"/>
                <w:sz w:val="23"/>
                <w:szCs w:val="23"/>
                <w14:textOutline w14:w="4356" w14:cap="sq" w14:cmpd="sng" w14:algn="ctr">
                  <w14:solidFill>
                    <w14:srgbClr w14:val="000000"/>
                  </w14:solidFill>
                  <w14:prstDash w14:val="solid"/>
                  <w14:bevel/>
                </w14:textOutline>
              </w:rPr>
              <w:t>公</w:t>
            </w:r>
            <w:r>
              <w:rPr>
                <w:rFonts w:ascii="宋体" w:hAnsi="宋体" w:cs="宋体"/>
                <w:spacing w:val="6"/>
                <w:sz w:val="23"/>
                <w:szCs w:val="23"/>
                <w14:textOutline w14:w="4356" w14:cap="sq" w14:cmpd="sng" w14:algn="ctr">
                  <w14:solidFill>
                    <w14:srgbClr w14:val="000000"/>
                  </w14:solidFill>
                  <w14:prstDash w14:val="solid"/>
                  <w14:bevel/>
                </w14:textOutline>
              </w:rPr>
              <w:t>告性质</w:t>
            </w:r>
          </w:p>
        </w:tc>
        <w:tc>
          <w:tcPr>
            <w:tcW w:w="2304" w:type="dxa"/>
            <w:tcBorders>
              <w:top w:val="single" w:color="000000" w:sz="2" w:space="0"/>
              <w:left w:val="single" w:color="000000" w:sz="2" w:space="0"/>
              <w:bottom w:val="single" w:color="000000" w:sz="2" w:space="0"/>
              <w:right w:val="single" w:color="000000" w:sz="2" w:space="0"/>
            </w:tcBorders>
            <w:vAlign w:val="center"/>
          </w:tcPr>
          <w:p w14:paraId="183292EE">
            <w:pPr>
              <w:widowControl w:val="0"/>
              <w:spacing w:before="154" w:after="0" w:line="228" w:lineRule="auto"/>
              <w:jc w:val="center"/>
              <w:rPr>
                <w:rFonts w:ascii="宋体" w:hAnsi="宋体" w:cs="宋体"/>
                <w:sz w:val="23"/>
                <w:szCs w:val="23"/>
              </w:rPr>
            </w:pPr>
            <w:r>
              <w:rPr>
                <w:rFonts w:ascii="宋体" w:hAnsi="宋体" w:cs="宋体"/>
                <w:spacing w:val="3"/>
                <w:sz w:val="23"/>
                <w:szCs w:val="23"/>
              </w:rPr>
              <w:t>正</w:t>
            </w:r>
            <w:r>
              <w:rPr>
                <w:rFonts w:ascii="宋体" w:hAnsi="宋体" w:cs="宋体"/>
                <w:spacing w:val="2"/>
                <w:sz w:val="23"/>
                <w:szCs w:val="23"/>
              </w:rPr>
              <w:t>常</w:t>
            </w:r>
          </w:p>
        </w:tc>
      </w:tr>
      <w:tr w14:paraId="3AEC70B1">
        <w:tblPrEx>
          <w:tblCellMar>
            <w:top w:w="0" w:type="dxa"/>
            <w:left w:w="2" w:type="dxa"/>
            <w:bottom w:w="0" w:type="dxa"/>
            <w:right w:w="2" w:type="dxa"/>
          </w:tblCellMar>
        </w:tblPrEx>
        <w:trPr>
          <w:trHeight w:val="506" w:hRule="atLeast"/>
          <w:jc w:val="center"/>
        </w:trPr>
        <w:tc>
          <w:tcPr>
            <w:tcW w:w="2013" w:type="dxa"/>
            <w:tcBorders>
              <w:top w:val="single" w:color="000000" w:sz="2" w:space="0"/>
              <w:left w:val="single" w:color="000000" w:sz="2" w:space="0"/>
              <w:bottom w:val="single" w:color="000000" w:sz="2" w:space="0"/>
              <w:right w:val="single" w:color="000000" w:sz="2" w:space="0"/>
            </w:tcBorders>
          </w:tcPr>
          <w:p w14:paraId="72A16C23">
            <w:pPr>
              <w:widowControl w:val="0"/>
              <w:spacing w:before="156" w:after="0" w:line="225" w:lineRule="auto"/>
              <w:ind w:left="247" w:firstLine="0"/>
              <w:rPr>
                <w:rFonts w:ascii="宋体" w:hAnsi="宋体" w:cs="宋体"/>
                <w:sz w:val="23"/>
                <w:szCs w:val="23"/>
              </w:rPr>
            </w:pPr>
            <w:r>
              <w:rPr>
                <w:rFonts w:ascii="宋体" w:hAnsi="宋体" w:cs="宋体"/>
                <w:spacing w:val="10"/>
                <w:sz w:val="23"/>
                <w:szCs w:val="23"/>
                <w14:textOutline w14:w="4356" w14:cap="sq" w14:cmpd="sng" w14:algn="ctr">
                  <w14:solidFill>
                    <w14:srgbClr w14:val="000000"/>
                  </w14:solidFill>
                  <w14:prstDash w14:val="solid"/>
                  <w14:bevel/>
                </w14:textOutline>
              </w:rPr>
              <w:t>资</w:t>
            </w:r>
            <w:r>
              <w:rPr>
                <w:rFonts w:ascii="宋体" w:hAnsi="宋体" w:cs="宋体"/>
                <w:spacing w:val="7"/>
                <w:sz w:val="23"/>
                <w:szCs w:val="23"/>
                <w14:textOutline w14:w="4356" w14:cap="sq" w14:cmpd="sng" w14:algn="ctr">
                  <w14:solidFill>
                    <w14:srgbClr w14:val="000000"/>
                  </w14:solidFill>
                  <w14:prstDash w14:val="solid"/>
                  <w14:bevel/>
                </w14:textOutline>
              </w:rPr>
              <w:t>格审查方式</w:t>
            </w:r>
          </w:p>
        </w:tc>
        <w:tc>
          <w:tcPr>
            <w:tcW w:w="7966" w:type="dxa"/>
            <w:gridSpan w:val="9"/>
            <w:tcBorders>
              <w:top w:val="single" w:color="000000" w:sz="2" w:space="0"/>
              <w:left w:val="single" w:color="000000" w:sz="2" w:space="0"/>
              <w:bottom w:val="single" w:color="000000" w:sz="2" w:space="0"/>
              <w:right w:val="single" w:color="000000" w:sz="2" w:space="0"/>
            </w:tcBorders>
            <w:vAlign w:val="center"/>
          </w:tcPr>
          <w:p w14:paraId="5AB28AE1">
            <w:pPr>
              <w:widowControl w:val="0"/>
              <w:spacing w:before="156" w:after="0" w:line="225" w:lineRule="auto"/>
              <w:jc w:val="center"/>
              <w:rPr>
                <w:rFonts w:ascii="宋体" w:hAnsi="宋体" w:cs="宋体"/>
                <w:sz w:val="23"/>
                <w:szCs w:val="23"/>
              </w:rPr>
            </w:pPr>
            <w:r>
              <w:rPr>
                <w:rFonts w:ascii="宋体" w:hAnsi="宋体" w:cs="宋体"/>
                <w:spacing w:val="5"/>
                <w:sz w:val="23"/>
                <w:szCs w:val="23"/>
              </w:rPr>
              <w:t>资格后审</w:t>
            </w:r>
          </w:p>
        </w:tc>
      </w:tr>
      <w:tr w14:paraId="609F338F">
        <w:tblPrEx>
          <w:tblCellMar>
            <w:top w:w="0" w:type="dxa"/>
            <w:left w:w="2" w:type="dxa"/>
            <w:bottom w:w="0" w:type="dxa"/>
            <w:right w:w="2" w:type="dxa"/>
          </w:tblCellMar>
        </w:tblPrEx>
        <w:trPr>
          <w:trHeight w:val="589" w:hRule="atLeast"/>
          <w:jc w:val="center"/>
        </w:trPr>
        <w:tc>
          <w:tcPr>
            <w:tcW w:w="2013" w:type="dxa"/>
            <w:tcBorders>
              <w:top w:val="single" w:color="000000" w:sz="2" w:space="0"/>
              <w:left w:val="single" w:color="000000" w:sz="2" w:space="0"/>
              <w:bottom w:val="single" w:color="000000" w:sz="2" w:space="0"/>
              <w:right w:val="single" w:color="000000" w:sz="2" w:space="0"/>
            </w:tcBorders>
          </w:tcPr>
          <w:p w14:paraId="581FA086">
            <w:pPr>
              <w:widowControl w:val="0"/>
              <w:spacing w:before="78" w:after="0" w:line="256" w:lineRule="auto"/>
              <w:ind w:left="247" w:right="229" w:hanging="10"/>
              <w:rPr>
                <w:rFonts w:ascii="宋体" w:hAnsi="宋体" w:cs="宋体"/>
                <w:sz w:val="23"/>
                <w:szCs w:val="23"/>
              </w:rPr>
            </w:pPr>
            <w:r>
              <w:rPr>
                <w:rFonts w:ascii="宋体" w:hAnsi="宋体" w:cs="宋体"/>
                <w:spacing w:val="9"/>
                <w:sz w:val="23"/>
                <w:szCs w:val="23"/>
                <w14:textOutline w14:w="4356" w14:cap="sq" w14:cmpd="sng" w14:algn="ctr">
                  <w14:solidFill>
                    <w14:srgbClr w14:val="000000"/>
                  </w14:solidFill>
                  <w14:prstDash w14:val="solid"/>
                  <w14:bevel/>
                </w14:textOutline>
              </w:rPr>
              <w:t>招标项目实施</w:t>
            </w:r>
            <w:r>
              <w:rPr>
                <w:rFonts w:ascii="宋体" w:hAnsi="宋体" w:cs="宋体"/>
                <w:sz w:val="23"/>
                <w:szCs w:val="23"/>
              </w:rPr>
              <w:t xml:space="preserve"> </w:t>
            </w:r>
            <w:r>
              <w:rPr>
                <w:rFonts w:ascii="宋体" w:hAnsi="宋体" w:cs="宋体"/>
                <w:spacing w:val="26"/>
                <w:sz w:val="23"/>
                <w:szCs w:val="23"/>
                <w14:textOutline w14:w="4356" w14:cap="sq" w14:cmpd="sng" w14:algn="ctr">
                  <w14:solidFill>
                    <w14:srgbClr w14:val="000000"/>
                  </w14:solidFill>
                  <w14:prstDash w14:val="solid"/>
                  <w14:bevel/>
                </w14:textOutline>
              </w:rPr>
              <w:t>(</w:t>
            </w:r>
            <w:r>
              <w:rPr>
                <w:rFonts w:ascii="宋体" w:hAnsi="宋体" w:cs="宋体"/>
                <w:spacing w:val="22"/>
                <w:sz w:val="23"/>
                <w:szCs w:val="23"/>
                <w14:textOutline w14:w="4356" w14:cap="sq" w14:cmpd="sng" w14:algn="ctr">
                  <w14:solidFill>
                    <w14:srgbClr w14:val="000000"/>
                  </w14:solidFill>
                  <w14:prstDash w14:val="solid"/>
                  <w14:bevel/>
                </w14:textOutline>
              </w:rPr>
              <w:t>交货)</w:t>
            </w:r>
            <w:r>
              <w:rPr>
                <w:rFonts w:ascii="宋体" w:hAnsi="宋体" w:cs="宋体"/>
                <w:spacing w:val="22"/>
                <w:sz w:val="23"/>
                <w:szCs w:val="23"/>
              </w:rPr>
              <w:t xml:space="preserve"> </w:t>
            </w:r>
            <w:r>
              <w:rPr>
                <w:rFonts w:ascii="宋体" w:hAnsi="宋体" w:cs="宋体"/>
                <w:spacing w:val="22"/>
                <w:sz w:val="23"/>
                <w:szCs w:val="23"/>
                <w14:textOutline w14:w="4356" w14:cap="sq" w14:cmpd="sng" w14:algn="ctr">
                  <w14:solidFill>
                    <w14:srgbClr w14:val="000000"/>
                  </w14:solidFill>
                  <w14:prstDash w14:val="solid"/>
                  <w14:bevel/>
                </w14:textOutline>
              </w:rPr>
              <w:t>地点</w:t>
            </w:r>
          </w:p>
        </w:tc>
        <w:tc>
          <w:tcPr>
            <w:tcW w:w="7966" w:type="dxa"/>
            <w:gridSpan w:val="9"/>
            <w:tcBorders>
              <w:top w:val="single" w:color="000000" w:sz="2" w:space="0"/>
              <w:left w:val="single" w:color="000000" w:sz="2" w:space="0"/>
              <w:bottom w:val="single" w:color="000000" w:sz="2" w:space="0"/>
              <w:right w:val="single" w:color="000000" w:sz="2" w:space="0"/>
            </w:tcBorders>
            <w:vAlign w:val="center"/>
          </w:tcPr>
          <w:p w14:paraId="518843D0">
            <w:pPr>
              <w:widowControl w:val="0"/>
              <w:spacing w:before="230" w:after="0" w:line="225" w:lineRule="auto"/>
              <w:jc w:val="center"/>
              <w:rPr>
                <w:rFonts w:ascii="宋体" w:hAnsi="宋体" w:cs="宋体"/>
                <w:sz w:val="23"/>
                <w:szCs w:val="23"/>
              </w:rPr>
            </w:pPr>
            <w:r>
              <w:rPr>
                <w:rFonts w:hint="eastAsia" w:ascii="宋体" w:hAnsi="宋体" w:cs="宋体"/>
                <w:spacing w:val="10"/>
                <w:sz w:val="23"/>
                <w:szCs w:val="23"/>
              </w:rPr>
              <w:t>茂名市电白区晏镜岭东南侧约4.5公里处海域</w:t>
            </w:r>
          </w:p>
        </w:tc>
      </w:tr>
      <w:tr w14:paraId="4626CB6C">
        <w:tblPrEx>
          <w:tblCellMar>
            <w:top w:w="0" w:type="dxa"/>
            <w:left w:w="2" w:type="dxa"/>
            <w:bottom w:w="0" w:type="dxa"/>
            <w:right w:w="2" w:type="dxa"/>
          </w:tblCellMar>
        </w:tblPrEx>
        <w:trPr>
          <w:trHeight w:val="577" w:hRule="atLeast"/>
          <w:jc w:val="center"/>
        </w:trPr>
        <w:tc>
          <w:tcPr>
            <w:tcW w:w="2013" w:type="dxa"/>
            <w:tcBorders>
              <w:top w:val="single" w:color="000000" w:sz="2" w:space="0"/>
              <w:left w:val="single" w:color="000000" w:sz="2" w:space="0"/>
              <w:bottom w:val="single" w:color="000000" w:sz="2" w:space="0"/>
              <w:right w:val="single" w:color="000000" w:sz="2" w:space="0"/>
            </w:tcBorders>
          </w:tcPr>
          <w:p w14:paraId="767BFEC0">
            <w:pPr>
              <w:widowControl w:val="0"/>
              <w:spacing w:before="232" w:after="0" w:line="225" w:lineRule="auto"/>
              <w:ind w:left="489" w:firstLine="0"/>
              <w:rPr>
                <w:rFonts w:ascii="宋体" w:hAnsi="宋体" w:cs="宋体"/>
                <w:sz w:val="23"/>
                <w:szCs w:val="23"/>
              </w:rPr>
            </w:pPr>
            <w:r>
              <w:rPr>
                <w:rFonts w:ascii="宋体" w:hAnsi="宋体" w:cs="宋体"/>
                <w:spacing w:val="7"/>
                <w:sz w:val="23"/>
                <w:szCs w:val="23"/>
                <w14:textOutline w14:w="4356" w14:cap="sq" w14:cmpd="sng" w14:algn="ctr">
                  <w14:solidFill>
                    <w14:srgbClr w14:val="000000"/>
                  </w14:solidFill>
                  <w14:prstDash w14:val="solid"/>
                  <w14:bevel/>
                </w14:textOutline>
              </w:rPr>
              <w:t>资</w:t>
            </w:r>
            <w:r>
              <w:rPr>
                <w:rFonts w:ascii="宋体" w:hAnsi="宋体" w:cs="宋体"/>
                <w:spacing w:val="5"/>
                <w:sz w:val="23"/>
                <w:szCs w:val="23"/>
                <w14:textOutline w14:w="4356" w14:cap="sq" w14:cmpd="sng" w14:algn="ctr">
                  <w14:solidFill>
                    <w14:srgbClr w14:val="000000"/>
                  </w14:solidFill>
                  <w14:prstDash w14:val="solid"/>
                  <w14:bevel/>
                </w14:textOutline>
              </w:rPr>
              <w:t>金来源</w:t>
            </w:r>
          </w:p>
        </w:tc>
        <w:tc>
          <w:tcPr>
            <w:tcW w:w="2345" w:type="dxa"/>
            <w:gridSpan w:val="3"/>
            <w:tcBorders>
              <w:top w:val="single" w:color="000000" w:sz="2" w:space="0"/>
              <w:left w:val="single" w:color="000000" w:sz="2" w:space="0"/>
              <w:bottom w:val="single" w:color="000000" w:sz="2" w:space="0"/>
              <w:right w:val="single" w:color="000000" w:sz="2" w:space="0"/>
            </w:tcBorders>
            <w:vAlign w:val="center"/>
          </w:tcPr>
          <w:p w14:paraId="7C7D270C">
            <w:pPr>
              <w:widowControl w:val="0"/>
              <w:spacing w:before="75" w:after="0" w:line="256" w:lineRule="auto"/>
              <w:ind w:left="329" w:right="200" w:hanging="117"/>
              <w:jc w:val="center"/>
              <w:rPr>
                <w:rFonts w:ascii="宋体" w:hAnsi="宋体" w:eastAsia="宋体" w:cs="宋体"/>
                <w:color w:val="auto"/>
                <w:sz w:val="23"/>
                <w:szCs w:val="23"/>
                <w:shd w:val="clear" w:fill="FFFFFF"/>
                <w:lang w:val="en-US" w:eastAsia="zh-CN"/>
              </w:rPr>
            </w:pPr>
            <w:r>
              <w:rPr>
                <w:rFonts w:hint="eastAsia" w:ascii="宋体" w:hAnsi="宋体" w:cs="宋体"/>
                <w:color w:val="auto"/>
                <w:sz w:val="23"/>
                <w:szCs w:val="23"/>
                <w:shd w:val="clear" w:color="auto" w:fill="FFFFFF"/>
                <w:lang w:val="en-US" w:eastAsia="zh-CN"/>
              </w:rPr>
              <w:t>企业自有资金100%</w:t>
            </w:r>
          </w:p>
        </w:tc>
        <w:tc>
          <w:tcPr>
            <w:tcW w:w="2317" w:type="dxa"/>
            <w:gridSpan w:val="3"/>
            <w:tcBorders>
              <w:top w:val="single" w:color="000000" w:sz="2" w:space="0"/>
              <w:left w:val="single" w:color="000000" w:sz="2" w:space="0"/>
              <w:bottom w:val="single" w:color="000000" w:sz="2" w:space="0"/>
              <w:right w:val="single" w:color="000000" w:sz="2" w:space="0"/>
            </w:tcBorders>
            <w:vAlign w:val="center"/>
          </w:tcPr>
          <w:p w14:paraId="5F59C2A7">
            <w:pPr>
              <w:widowControl w:val="0"/>
              <w:spacing w:before="112" w:after="0" w:line="228" w:lineRule="auto"/>
              <w:jc w:val="center"/>
              <w:rPr>
                <w:rFonts w:ascii="宋体" w:hAnsi="宋体" w:cs="宋体"/>
                <w:color w:val="auto"/>
                <w:sz w:val="23"/>
                <w:szCs w:val="23"/>
              </w:rPr>
            </w:pPr>
            <w:r>
              <w:rPr>
                <w:rFonts w:ascii="宋体" w:hAnsi="宋体" w:cs="宋体"/>
                <w:color w:val="auto"/>
                <w:spacing w:val="10"/>
                <w:sz w:val="23"/>
                <w:szCs w:val="23"/>
                <w14:textOutline w14:w="4356" w14:cap="sq" w14:cmpd="sng" w14:algn="ctr">
                  <w14:solidFill>
                    <w14:srgbClr w14:val="000000"/>
                  </w14:solidFill>
                  <w14:prstDash w14:val="solid"/>
                  <w14:bevel/>
                </w14:textOutline>
              </w:rPr>
              <w:t>资</w:t>
            </w:r>
            <w:r>
              <w:rPr>
                <w:rFonts w:ascii="宋体" w:hAnsi="宋体" w:cs="宋体"/>
                <w:color w:val="auto"/>
                <w:spacing w:val="7"/>
                <w:sz w:val="23"/>
                <w:szCs w:val="23"/>
                <w14:textOutline w14:w="4356" w14:cap="sq" w14:cmpd="sng" w14:algn="ctr">
                  <w14:solidFill>
                    <w14:srgbClr w14:val="000000"/>
                  </w14:solidFill>
                  <w14:prstDash w14:val="solid"/>
                  <w14:bevel/>
                </w14:textOutline>
              </w:rPr>
              <w:t>金来源构成</w:t>
            </w:r>
          </w:p>
        </w:tc>
        <w:tc>
          <w:tcPr>
            <w:tcW w:w="3304" w:type="dxa"/>
            <w:gridSpan w:val="3"/>
            <w:tcBorders>
              <w:top w:val="single" w:color="000000" w:sz="2" w:space="0"/>
              <w:left w:val="single" w:color="000000" w:sz="2" w:space="0"/>
              <w:bottom w:val="single" w:color="000000" w:sz="2" w:space="0"/>
              <w:right w:val="single" w:color="000000" w:sz="2" w:space="0"/>
            </w:tcBorders>
            <w:vAlign w:val="center"/>
          </w:tcPr>
          <w:p w14:paraId="319A8834">
            <w:pPr>
              <w:widowControl w:val="0"/>
              <w:spacing w:before="112" w:after="0" w:line="228" w:lineRule="auto"/>
              <w:jc w:val="center"/>
              <w:rPr>
                <w:rFonts w:ascii="宋体" w:hAnsi="宋体" w:cs="宋体"/>
                <w:color w:val="auto"/>
                <w:sz w:val="23"/>
                <w:szCs w:val="23"/>
                <w:shd w:val="clear" w:fill="FFFFFF"/>
              </w:rPr>
            </w:pPr>
            <w:r>
              <w:rPr>
                <w:rFonts w:hint="eastAsia" w:ascii="宋体" w:hAnsi="宋体" w:cs="宋体"/>
                <w:color w:val="auto"/>
                <w:sz w:val="23"/>
                <w:szCs w:val="23"/>
                <w:shd w:val="clear" w:fill="FFFFFF"/>
              </w:rPr>
              <w:t>企业自有资金</w:t>
            </w:r>
            <w:r>
              <w:rPr>
                <w:rFonts w:ascii="宋体" w:hAnsi="宋体" w:cs="宋体"/>
                <w:color w:val="auto"/>
                <w:sz w:val="23"/>
                <w:szCs w:val="23"/>
                <w:shd w:val="clear" w:fill="FFFFFF"/>
              </w:rPr>
              <w:t>100%</w:t>
            </w:r>
          </w:p>
        </w:tc>
      </w:tr>
      <w:tr w14:paraId="30E6C0DE">
        <w:tblPrEx>
          <w:tblCellMar>
            <w:top w:w="0" w:type="dxa"/>
            <w:left w:w="2" w:type="dxa"/>
            <w:bottom w:w="0" w:type="dxa"/>
            <w:right w:w="2" w:type="dxa"/>
          </w:tblCellMar>
        </w:tblPrEx>
        <w:trPr>
          <w:trHeight w:val="864" w:hRule="atLeast"/>
          <w:jc w:val="center"/>
        </w:trPr>
        <w:tc>
          <w:tcPr>
            <w:tcW w:w="2013" w:type="dxa"/>
            <w:tcBorders>
              <w:top w:val="single" w:color="000000" w:sz="2" w:space="0"/>
              <w:left w:val="single" w:color="000000" w:sz="2" w:space="0"/>
              <w:bottom w:val="single" w:color="000000" w:sz="2" w:space="0"/>
              <w:right w:val="single" w:color="000000" w:sz="2" w:space="0"/>
            </w:tcBorders>
          </w:tcPr>
          <w:p w14:paraId="42051935">
            <w:pPr>
              <w:widowControl w:val="0"/>
              <w:spacing w:before="194" w:after="0" w:line="228" w:lineRule="auto"/>
              <w:jc w:val="center"/>
              <w:rPr>
                <w:rFonts w:ascii="宋体" w:hAnsi="宋体" w:cs="宋体"/>
                <w:sz w:val="23"/>
                <w:szCs w:val="23"/>
              </w:rPr>
            </w:pPr>
            <w:r>
              <w:rPr>
                <w:rFonts w:ascii="宋体" w:hAnsi="宋体" w:cs="宋体"/>
                <w:spacing w:val="10"/>
                <w:sz w:val="23"/>
                <w:szCs w:val="23"/>
                <w14:textOutline w14:w="4356" w14:cap="sq" w14:cmpd="sng" w14:algn="ctr">
                  <w14:solidFill>
                    <w14:srgbClr w14:val="000000"/>
                  </w14:solidFill>
                  <w14:prstDash w14:val="solid"/>
                  <w14:bevel/>
                </w14:textOutline>
              </w:rPr>
              <w:t>招</w:t>
            </w:r>
            <w:r>
              <w:rPr>
                <w:rFonts w:ascii="宋体" w:hAnsi="宋体" w:cs="宋体"/>
                <w:spacing w:val="9"/>
                <w:sz w:val="23"/>
                <w:szCs w:val="23"/>
                <w14:textOutline w14:w="4356" w14:cap="sq" w14:cmpd="sng" w14:algn="ctr">
                  <w14:solidFill>
                    <w14:srgbClr w14:val="000000"/>
                  </w14:solidFill>
                  <w14:prstDash w14:val="solid"/>
                  <w14:bevel/>
                </w14:textOutline>
              </w:rPr>
              <w:t>标范围及规模</w:t>
            </w:r>
          </w:p>
        </w:tc>
        <w:tc>
          <w:tcPr>
            <w:tcW w:w="7966" w:type="dxa"/>
            <w:gridSpan w:val="9"/>
            <w:tcBorders>
              <w:top w:val="single" w:color="000000" w:sz="2" w:space="0"/>
              <w:left w:val="single" w:color="000000" w:sz="2" w:space="0"/>
              <w:bottom w:val="single" w:color="000000" w:sz="2" w:space="0"/>
              <w:right w:val="single" w:color="000000" w:sz="2" w:space="0"/>
            </w:tcBorders>
          </w:tcPr>
          <w:p w14:paraId="34E3B154">
            <w:pPr>
              <w:widowControl w:val="0"/>
              <w:spacing w:before="103" w:after="0" w:line="259" w:lineRule="auto"/>
              <w:ind w:left="112" w:right="126" w:firstLine="3"/>
              <w:jc w:val="left"/>
              <w:rPr>
                <w:rFonts w:ascii="宋体" w:hAnsi="宋体" w:cs="宋体"/>
                <w:sz w:val="23"/>
                <w:szCs w:val="23"/>
              </w:rPr>
            </w:pPr>
            <w:r>
              <w:rPr>
                <w:rStyle w:val="32"/>
                <w:rFonts w:hint="eastAsia" w:ascii="宋体" w:hAnsi="宋体" w:cs="宋体"/>
                <w:b w:val="0"/>
                <w:color w:val="000000"/>
                <w:sz w:val="23"/>
                <w:szCs w:val="23"/>
                <w:lang w:val="en-US" w:eastAsia="zh-CN"/>
              </w:rPr>
              <w:t>本次</w:t>
            </w:r>
            <w:r>
              <w:rPr>
                <w:rStyle w:val="32"/>
                <w:rFonts w:hint="eastAsia" w:ascii="宋体" w:hAnsi="宋体" w:cs="宋体"/>
                <w:b w:val="0"/>
                <w:color w:val="000000"/>
                <w:sz w:val="23"/>
                <w:szCs w:val="23"/>
              </w:rPr>
              <w:t>投资</w:t>
            </w:r>
            <w:r>
              <w:rPr>
                <w:rStyle w:val="32"/>
                <w:rFonts w:hint="eastAsia" w:ascii="宋体" w:hAnsi="宋体" w:cs="宋体"/>
                <w:b w:val="0"/>
                <w:color w:val="000000"/>
                <w:sz w:val="23"/>
                <w:szCs w:val="23"/>
                <w:lang w:val="en-US" w:eastAsia="zh-CN"/>
              </w:rPr>
              <w:t>额为</w:t>
            </w:r>
            <w:r>
              <w:rPr>
                <w:rStyle w:val="32"/>
                <w:rFonts w:hint="eastAsia" w:ascii="宋体" w:hAnsi="宋体" w:cs="宋体"/>
                <w:b w:val="0"/>
                <w:color w:val="000000"/>
                <w:sz w:val="23"/>
                <w:szCs w:val="23"/>
              </w:rPr>
              <w:t>632</w:t>
            </w:r>
            <w:r>
              <w:rPr>
                <w:rStyle w:val="32"/>
                <w:rFonts w:hint="eastAsia" w:ascii="宋体" w:hAnsi="宋体" w:cs="宋体"/>
                <w:b w:val="0"/>
                <w:color w:val="000000"/>
                <w:sz w:val="23"/>
                <w:szCs w:val="23"/>
                <w:lang w:val="en-US" w:eastAsia="zh-CN"/>
              </w:rPr>
              <w:t>.</w:t>
            </w:r>
            <w:r>
              <w:rPr>
                <w:rStyle w:val="32"/>
                <w:rFonts w:hint="eastAsia" w:ascii="宋体" w:hAnsi="宋体" w:cs="宋体"/>
                <w:b w:val="0"/>
                <w:color w:val="000000"/>
                <w:sz w:val="23"/>
                <w:szCs w:val="23"/>
              </w:rPr>
              <w:t>34万元，项目（一期）用海总面积约43.6440公顷，在指定的养殖区内布置15个深水网箱，网箱单口周长90米。</w:t>
            </w:r>
          </w:p>
        </w:tc>
      </w:tr>
      <w:tr w14:paraId="53EA7E27">
        <w:tblPrEx>
          <w:tblCellMar>
            <w:top w:w="0" w:type="dxa"/>
            <w:left w:w="2" w:type="dxa"/>
            <w:bottom w:w="0" w:type="dxa"/>
            <w:right w:w="2" w:type="dxa"/>
          </w:tblCellMar>
        </w:tblPrEx>
        <w:trPr>
          <w:trHeight w:val="1079" w:hRule="atLeast"/>
          <w:jc w:val="center"/>
        </w:trPr>
        <w:tc>
          <w:tcPr>
            <w:tcW w:w="2013" w:type="dxa"/>
            <w:tcBorders>
              <w:top w:val="single" w:color="000000" w:sz="2" w:space="0"/>
              <w:left w:val="single" w:color="000000" w:sz="2" w:space="0"/>
              <w:bottom w:val="single" w:color="000000" w:sz="2" w:space="0"/>
              <w:right w:val="single" w:color="000000" w:sz="2" w:space="0"/>
            </w:tcBorders>
          </w:tcPr>
          <w:p w14:paraId="615472E5">
            <w:pPr>
              <w:widowControl w:val="0"/>
              <w:spacing w:before="0" w:after="0" w:line="312" w:lineRule="auto"/>
              <w:rPr>
                <w:rFonts w:ascii="宋体" w:hAnsi="宋体" w:cs="宋体"/>
                <w:sz w:val="23"/>
                <w:szCs w:val="23"/>
              </w:rPr>
            </w:pPr>
          </w:p>
          <w:p w14:paraId="018B627C">
            <w:pPr>
              <w:widowControl w:val="0"/>
              <w:spacing w:before="75" w:after="0" w:line="225" w:lineRule="auto"/>
              <w:ind w:left="480" w:firstLine="0"/>
              <w:rPr>
                <w:rFonts w:ascii="宋体" w:hAnsi="宋体" w:cs="宋体"/>
                <w:sz w:val="23"/>
                <w:szCs w:val="23"/>
              </w:rPr>
            </w:pPr>
            <w:r>
              <w:rPr>
                <w:rFonts w:ascii="宋体" w:hAnsi="宋体" w:cs="宋体"/>
                <w:spacing w:val="8"/>
                <w:sz w:val="23"/>
                <w:szCs w:val="23"/>
                <w14:textOutline w14:w="4356" w14:cap="sq" w14:cmpd="sng" w14:algn="ctr">
                  <w14:solidFill>
                    <w14:srgbClr w14:val="000000"/>
                  </w14:solidFill>
                  <w14:prstDash w14:val="solid"/>
                  <w14:bevel/>
                </w14:textOutline>
              </w:rPr>
              <w:t>招标内容</w:t>
            </w:r>
          </w:p>
        </w:tc>
        <w:tc>
          <w:tcPr>
            <w:tcW w:w="7966" w:type="dxa"/>
            <w:gridSpan w:val="9"/>
            <w:tcBorders>
              <w:top w:val="single" w:color="000000" w:sz="2" w:space="0"/>
              <w:left w:val="single" w:color="000000" w:sz="2" w:space="0"/>
              <w:bottom w:val="single" w:color="000000" w:sz="2" w:space="0"/>
              <w:right w:val="single" w:color="000000" w:sz="2" w:space="0"/>
            </w:tcBorders>
          </w:tcPr>
          <w:p w14:paraId="63B531EE">
            <w:pPr>
              <w:widowControl w:val="0"/>
              <w:spacing w:before="103" w:after="0" w:line="259" w:lineRule="auto"/>
              <w:ind w:left="112" w:right="126" w:firstLine="3"/>
              <w:jc w:val="left"/>
              <w:rPr>
                <w:rFonts w:hint="eastAsia" w:ascii="宋体" w:hAnsi="宋体" w:eastAsia="宋体" w:cs="宋体"/>
                <w:sz w:val="23"/>
                <w:szCs w:val="23"/>
                <w:lang w:eastAsia="zh-CN"/>
              </w:rPr>
            </w:pPr>
            <w:r>
              <w:rPr>
                <w:rFonts w:hint="eastAsia" w:ascii="宋体" w:hAnsi="宋体" w:cs="宋体"/>
                <w:sz w:val="23"/>
                <w:szCs w:val="23"/>
                <w:shd w:val="clear" w:fill="FFFFFF"/>
              </w:rPr>
              <w:t>本次为茂名市电白区蓝湾海洋产业发展有限公司深水网箱养殖产业园项目（一期）15个深水网箱及配套设施设备的采购及安装；主要包括：（1）网箱框架、（2）网衣、（3）拦饲料网、（4）锚固系统等（具体以招标人提供的设备清单为准）的设计、制作、运输、安装、调试、培训、验收交付等相关服务。</w:t>
            </w:r>
          </w:p>
        </w:tc>
      </w:tr>
      <w:tr w14:paraId="25F5B218">
        <w:tblPrEx>
          <w:tblCellMar>
            <w:top w:w="0" w:type="dxa"/>
            <w:left w:w="2" w:type="dxa"/>
            <w:bottom w:w="0" w:type="dxa"/>
            <w:right w:w="2" w:type="dxa"/>
          </w:tblCellMar>
        </w:tblPrEx>
        <w:trPr>
          <w:trHeight w:val="748" w:hRule="atLeast"/>
          <w:jc w:val="center"/>
        </w:trPr>
        <w:tc>
          <w:tcPr>
            <w:tcW w:w="2013" w:type="dxa"/>
            <w:tcBorders>
              <w:top w:val="single" w:color="000000" w:sz="2" w:space="0"/>
              <w:left w:val="single" w:color="000000" w:sz="2" w:space="0"/>
              <w:bottom w:val="single" w:color="000000" w:sz="2" w:space="0"/>
              <w:right w:val="single" w:color="000000" w:sz="2" w:space="0"/>
            </w:tcBorders>
            <w:vAlign w:val="center"/>
          </w:tcPr>
          <w:p w14:paraId="527B06F9">
            <w:pPr>
              <w:widowControl w:val="0"/>
              <w:spacing w:before="74" w:after="0" w:line="225" w:lineRule="auto"/>
              <w:jc w:val="center"/>
              <w:rPr>
                <w:rFonts w:ascii="宋体" w:hAnsi="宋体" w:cs="宋体"/>
                <w:sz w:val="23"/>
                <w:szCs w:val="23"/>
              </w:rPr>
            </w:pPr>
            <w:r>
              <w:rPr>
                <w:rFonts w:ascii="宋体" w:hAnsi="宋体" w:cs="宋体"/>
                <w:spacing w:val="10"/>
                <w:sz w:val="23"/>
                <w:szCs w:val="23"/>
                <w14:textOutline w14:w="4356" w14:cap="sq" w14:cmpd="sng" w14:algn="ctr">
                  <w14:solidFill>
                    <w14:srgbClr w14:val="000000"/>
                  </w14:solidFill>
                  <w14:prstDash w14:val="solid"/>
                  <w14:bevel/>
                </w14:textOutline>
              </w:rPr>
              <w:t>工</w:t>
            </w:r>
            <w:r>
              <w:rPr>
                <w:rFonts w:ascii="宋体" w:hAnsi="宋体" w:cs="宋体"/>
                <w:spacing w:val="6"/>
                <w:sz w:val="23"/>
                <w:szCs w:val="23"/>
                <w14:textOutline w14:w="4356" w14:cap="sq" w14:cmpd="sng" w14:algn="ctr">
                  <w14:solidFill>
                    <w14:srgbClr w14:val="000000"/>
                  </w14:solidFill>
                  <w14:prstDash w14:val="solid"/>
                  <w14:bevel/>
                </w14:textOutline>
              </w:rPr>
              <w:t>期</w:t>
            </w:r>
            <w:r>
              <w:rPr>
                <w:rFonts w:ascii="宋体" w:hAnsi="宋体" w:cs="宋体"/>
                <w:spacing w:val="6"/>
                <w:sz w:val="23"/>
                <w:szCs w:val="23"/>
              </w:rPr>
              <w:t xml:space="preserve"> </w:t>
            </w:r>
            <w:r>
              <w:rPr>
                <w:rFonts w:ascii="宋体" w:hAnsi="宋体" w:cs="宋体"/>
                <w:spacing w:val="6"/>
                <w:sz w:val="23"/>
                <w:szCs w:val="23"/>
                <w14:textOutline w14:w="4356" w14:cap="sq" w14:cmpd="sng" w14:algn="ctr">
                  <w14:solidFill>
                    <w14:srgbClr w14:val="000000"/>
                  </w14:solidFill>
                  <w14:prstDash w14:val="solid"/>
                  <w14:bevel/>
                </w14:textOutline>
              </w:rPr>
              <w:t>(交货期)</w:t>
            </w:r>
          </w:p>
        </w:tc>
        <w:tc>
          <w:tcPr>
            <w:tcW w:w="7966" w:type="dxa"/>
            <w:gridSpan w:val="9"/>
            <w:tcBorders>
              <w:top w:val="single" w:color="000000" w:sz="2" w:space="0"/>
              <w:left w:val="single" w:color="000000" w:sz="2" w:space="0"/>
              <w:bottom w:val="single" w:color="000000" w:sz="2" w:space="0"/>
              <w:right w:val="single" w:color="000000" w:sz="2" w:space="0"/>
            </w:tcBorders>
            <w:vAlign w:val="center"/>
          </w:tcPr>
          <w:p w14:paraId="13B2DFDC">
            <w:pPr>
              <w:widowControl w:val="0"/>
              <w:spacing w:before="0" w:after="0" w:line="259" w:lineRule="auto"/>
              <w:ind w:left="113" w:firstLine="0"/>
              <w:jc w:val="center"/>
              <w:rPr>
                <w:rFonts w:hint="eastAsia" w:ascii="宋体" w:hAnsi="宋体" w:eastAsia="宋体" w:cs="宋体"/>
                <w:color w:val="0000FF"/>
                <w:sz w:val="23"/>
                <w:szCs w:val="23"/>
                <w:lang w:eastAsia="zh-CN"/>
              </w:rPr>
            </w:pPr>
            <w:r>
              <w:rPr>
                <w:rStyle w:val="32"/>
                <w:rFonts w:hint="eastAsia" w:ascii="宋体" w:hAnsi="宋体" w:cs="宋体"/>
                <w:b w:val="0"/>
                <w:sz w:val="23"/>
                <w:szCs w:val="23"/>
                <w:u w:val="none"/>
                <w:lang w:val="en-US" w:eastAsia="zh-CN"/>
              </w:rPr>
              <w:t>45</w:t>
            </w:r>
            <w:r>
              <w:rPr>
                <w:rStyle w:val="32"/>
                <w:rFonts w:hint="eastAsia" w:ascii="宋体" w:hAnsi="宋体" w:cs="宋体"/>
                <w:b w:val="0"/>
                <w:sz w:val="23"/>
                <w:szCs w:val="23"/>
                <w:u w:val="none"/>
              </w:rPr>
              <w:t xml:space="preserve">日历天 </w:t>
            </w:r>
          </w:p>
        </w:tc>
      </w:tr>
      <w:tr w14:paraId="4678C68A">
        <w:tblPrEx>
          <w:tblCellMar>
            <w:top w:w="0" w:type="dxa"/>
            <w:left w:w="2" w:type="dxa"/>
            <w:bottom w:w="0" w:type="dxa"/>
            <w:right w:w="2" w:type="dxa"/>
          </w:tblCellMar>
        </w:tblPrEx>
        <w:trPr>
          <w:trHeight w:val="748" w:hRule="atLeast"/>
          <w:jc w:val="center"/>
        </w:trPr>
        <w:tc>
          <w:tcPr>
            <w:tcW w:w="2013" w:type="dxa"/>
            <w:tcBorders>
              <w:top w:val="single" w:color="000000" w:sz="2" w:space="0"/>
              <w:left w:val="single" w:color="000000" w:sz="2" w:space="0"/>
              <w:bottom w:val="single" w:color="000000" w:sz="2" w:space="0"/>
              <w:right w:val="single" w:color="000000" w:sz="2" w:space="0"/>
            </w:tcBorders>
            <w:vAlign w:val="center"/>
          </w:tcPr>
          <w:p w14:paraId="284D63B2">
            <w:pPr>
              <w:widowControl w:val="0"/>
              <w:spacing w:before="74" w:after="0" w:line="225" w:lineRule="auto"/>
              <w:jc w:val="center"/>
              <w:rPr>
                <w:rFonts w:hint="eastAsia" w:ascii="宋体" w:hAnsi="宋体" w:eastAsia="宋体" w:cs="宋体"/>
                <w:spacing w:val="10"/>
                <w:sz w:val="23"/>
                <w:szCs w:val="23"/>
                <w:lang w:eastAsia="zh-CN"/>
                <w14:textOutline w14:w="4356" w14:cap="sq" w14:cmpd="sng" w14:algn="ctr">
                  <w14:solidFill>
                    <w14:srgbClr w14:val="000000"/>
                  </w14:solidFill>
                  <w14:prstDash w14:val="solid"/>
                  <w14:bevel/>
                </w14:textOutline>
              </w:rPr>
            </w:pPr>
            <w:r>
              <w:rPr>
                <w:rFonts w:ascii="宋体" w:hAnsi="宋体" w:cs="宋体"/>
                <w:spacing w:val="6"/>
                <w:sz w:val="23"/>
                <w:szCs w:val="23"/>
                <w14:textOutline w14:w="4356" w14:cap="sq" w14:cmpd="sng" w14:algn="ctr">
                  <w14:solidFill>
                    <w14:srgbClr w14:val="000000"/>
                  </w14:solidFill>
                  <w14:prstDash w14:val="solid"/>
                  <w14:bevel/>
                </w14:textOutline>
              </w:rPr>
              <w:t>最高投标限价</w:t>
            </w:r>
          </w:p>
        </w:tc>
        <w:tc>
          <w:tcPr>
            <w:tcW w:w="7966" w:type="dxa"/>
            <w:gridSpan w:val="9"/>
            <w:tcBorders>
              <w:top w:val="single" w:color="000000" w:sz="2" w:space="0"/>
              <w:left w:val="single" w:color="000000" w:sz="2" w:space="0"/>
              <w:bottom w:val="single" w:color="000000" w:sz="2" w:space="0"/>
              <w:right w:val="single" w:color="000000" w:sz="2" w:space="0"/>
            </w:tcBorders>
            <w:vAlign w:val="center"/>
          </w:tcPr>
          <w:p w14:paraId="0C0900DD">
            <w:pPr>
              <w:widowControl w:val="0"/>
              <w:spacing w:before="0" w:after="0" w:line="223" w:lineRule="auto"/>
              <w:jc w:val="center"/>
              <w:rPr>
                <w:rStyle w:val="32"/>
                <w:rFonts w:hint="default" w:ascii="宋体" w:hAnsi="宋体" w:cs="宋体"/>
                <w:b w:val="0"/>
                <w:color w:val="0000FF"/>
                <w:sz w:val="23"/>
                <w:szCs w:val="23"/>
                <w:lang w:val="en-US"/>
              </w:rPr>
            </w:pPr>
            <w:r>
              <w:rPr>
                <w:rStyle w:val="32"/>
                <w:rFonts w:hint="eastAsia" w:ascii="宋体" w:hAnsi="宋体" w:cs="宋体"/>
                <w:b w:val="0"/>
                <w:color w:val="auto"/>
                <w:sz w:val="23"/>
                <w:szCs w:val="23"/>
                <w:lang w:val="en-US" w:eastAsia="zh-CN"/>
              </w:rPr>
              <w:t>591.940515万元</w:t>
            </w:r>
          </w:p>
        </w:tc>
      </w:tr>
      <w:tr w14:paraId="7CB5AF7C">
        <w:tblPrEx>
          <w:tblCellMar>
            <w:top w:w="0" w:type="dxa"/>
            <w:left w:w="2" w:type="dxa"/>
            <w:bottom w:w="0" w:type="dxa"/>
            <w:right w:w="2" w:type="dxa"/>
          </w:tblCellMar>
        </w:tblPrEx>
        <w:trPr>
          <w:trHeight w:val="634" w:hRule="atLeast"/>
          <w:jc w:val="center"/>
        </w:trPr>
        <w:tc>
          <w:tcPr>
            <w:tcW w:w="2013" w:type="dxa"/>
            <w:tcBorders>
              <w:top w:val="single" w:color="000000" w:sz="2" w:space="0"/>
              <w:left w:val="single" w:color="000000" w:sz="2" w:space="0"/>
              <w:bottom w:val="single" w:color="auto" w:sz="4" w:space="0"/>
              <w:right w:val="single" w:color="000000" w:sz="2" w:space="0"/>
            </w:tcBorders>
          </w:tcPr>
          <w:p w14:paraId="52058E61">
            <w:pPr>
              <w:widowControl w:val="0"/>
              <w:spacing w:before="37" w:after="0" w:line="235" w:lineRule="auto"/>
              <w:ind w:left="721" w:right="109" w:hanging="601"/>
              <w:rPr>
                <w:rFonts w:ascii="宋体" w:hAnsi="宋体" w:cs="宋体"/>
                <w:sz w:val="23"/>
                <w:szCs w:val="23"/>
              </w:rPr>
            </w:pPr>
            <w:r>
              <w:rPr>
                <w:rFonts w:ascii="宋体" w:hAnsi="宋体" w:cs="宋体"/>
                <w:spacing w:val="13"/>
                <w:sz w:val="23"/>
                <w:szCs w:val="23"/>
                <w14:textOutline w14:w="4356" w14:cap="sq" w14:cmpd="sng" w14:algn="ctr">
                  <w14:solidFill>
                    <w14:srgbClr w14:val="000000"/>
                  </w14:solidFill>
                  <w14:prstDash w14:val="solid"/>
                  <w14:bevel/>
                </w14:textOutline>
              </w:rPr>
              <w:t>是</w:t>
            </w:r>
            <w:r>
              <w:rPr>
                <w:rFonts w:ascii="宋体" w:hAnsi="宋体" w:cs="宋体"/>
                <w:spacing w:val="8"/>
                <w:sz w:val="23"/>
                <w:szCs w:val="23"/>
                <w14:textOutline w14:w="4356" w14:cap="sq" w14:cmpd="sng" w14:algn="ctr">
                  <w14:solidFill>
                    <w14:srgbClr w14:val="000000"/>
                  </w14:solidFill>
                  <w14:prstDash w14:val="solid"/>
                  <w14:bevel/>
                </w14:textOutline>
              </w:rPr>
              <w:t>否接受联合体</w:t>
            </w:r>
            <w:r>
              <w:rPr>
                <w:rFonts w:ascii="宋体" w:hAnsi="宋体" w:cs="宋体"/>
                <w:sz w:val="23"/>
                <w:szCs w:val="23"/>
              </w:rPr>
              <w:t xml:space="preserve"> </w:t>
            </w:r>
            <w:r>
              <w:rPr>
                <w:rFonts w:ascii="宋体" w:hAnsi="宋体" w:cs="宋体"/>
                <w:spacing w:val="4"/>
                <w:sz w:val="23"/>
                <w:szCs w:val="23"/>
                <w14:textOutline w14:w="4356" w14:cap="sq" w14:cmpd="sng" w14:algn="ctr">
                  <w14:solidFill>
                    <w14:srgbClr w14:val="000000"/>
                  </w14:solidFill>
                  <w14:prstDash w14:val="solid"/>
                  <w14:bevel/>
                </w14:textOutline>
              </w:rPr>
              <w:t>投</w:t>
            </w:r>
            <w:r>
              <w:rPr>
                <w:rFonts w:ascii="宋体" w:hAnsi="宋体" w:cs="宋体"/>
                <w:spacing w:val="3"/>
                <w:sz w:val="23"/>
                <w:szCs w:val="23"/>
                <w14:textOutline w14:w="4356" w14:cap="sq" w14:cmpd="sng" w14:algn="ctr">
                  <w14:solidFill>
                    <w14:srgbClr w14:val="000000"/>
                  </w14:solidFill>
                  <w14:prstDash w14:val="solid"/>
                  <w14:bevel/>
                </w14:textOutline>
              </w:rPr>
              <w:t>标</w:t>
            </w:r>
          </w:p>
        </w:tc>
        <w:tc>
          <w:tcPr>
            <w:tcW w:w="7966" w:type="dxa"/>
            <w:gridSpan w:val="9"/>
            <w:tcBorders>
              <w:top w:val="single" w:color="000000" w:sz="2" w:space="0"/>
              <w:left w:val="single" w:color="000000" w:sz="2" w:space="0"/>
              <w:bottom w:val="single" w:color="auto" w:sz="4" w:space="0"/>
              <w:right w:val="single" w:color="000000" w:sz="2" w:space="0"/>
            </w:tcBorders>
          </w:tcPr>
          <w:p w14:paraId="0C266563">
            <w:pPr>
              <w:widowControl w:val="0"/>
              <w:spacing w:before="193" w:after="0" w:line="225" w:lineRule="auto"/>
              <w:ind w:firstLine="252"/>
              <w:jc w:val="center"/>
              <w:rPr>
                <w:rFonts w:hint="eastAsia" w:ascii="宋体" w:hAnsi="宋体" w:eastAsia="宋体" w:cs="宋体"/>
                <w:sz w:val="23"/>
                <w:szCs w:val="23"/>
                <w:lang w:eastAsia="zh-CN"/>
              </w:rPr>
            </w:pPr>
            <w:r>
              <w:rPr>
                <w:rFonts w:hint="eastAsia" w:ascii="宋体" w:hAnsi="宋体" w:cs="宋体"/>
                <w:spacing w:val="11"/>
                <w:sz w:val="23"/>
                <w:szCs w:val="23"/>
                <w:lang w:eastAsia="zh-CN"/>
              </w:rPr>
              <w:t>否</w:t>
            </w:r>
          </w:p>
        </w:tc>
      </w:tr>
      <w:tr w14:paraId="3D0658CE">
        <w:tblPrEx>
          <w:tblCellMar>
            <w:top w:w="0" w:type="dxa"/>
            <w:left w:w="2" w:type="dxa"/>
            <w:bottom w:w="0" w:type="dxa"/>
            <w:right w:w="2" w:type="dxa"/>
          </w:tblCellMar>
        </w:tblPrEx>
        <w:trPr>
          <w:trHeight w:val="930" w:hRule="atLeast"/>
          <w:jc w:val="center"/>
        </w:trPr>
        <w:tc>
          <w:tcPr>
            <w:tcW w:w="2013" w:type="dxa"/>
            <w:vMerge w:val="restart"/>
            <w:tcBorders>
              <w:top w:val="single" w:color="auto" w:sz="4" w:space="0"/>
              <w:left w:val="single" w:color="auto" w:sz="4" w:space="0"/>
              <w:bottom w:val="single" w:color="auto" w:sz="4" w:space="0"/>
              <w:right w:val="single" w:color="auto" w:sz="4" w:space="0"/>
            </w:tcBorders>
            <w:vAlign w:val="center"/>
          </w:tcPr>
          <w:p w14:paraId="4C02F2C6">
            <w:pPr>
              <w:widowControl w:val="0"/>
              <w:spacing w:before="0" w:after="0" w:line="225" w:lineRule="auto"/>
              <w:jc w:val="center"/>
              <w:rPr>
                <w:rFonts w:hint="eastAsia" w:ascii="宋体" w:hAnsi="宋体" w:cs="宋体"/>
                <w:spacing w:val="9"/>
                <w:sz w:val="23"/>
                <w:szCs w:val="23"/>
                <w14:textOutline w14:w="4356" w14:cap="sq" w14:cmpd="sng" w14:algn="ctr">
                  <w14:solidFill>
                    <w14:srgbClr w14:val="000000"/>
                  </w14:solidFill>
                  <w14:prstDash w14:val="solid"/>
                  <w14:bevel/>
                </w14:textOutline>
              </w:rPr>
            </w:pPr>
            <w:r>
              <w:rPr>
                <w:rFonts w:hint="eastAsia" w:ascii="宋体" w:hAnsi="宋体" w:cs="宋体"/>
                <w:spacing w:val="9"/>
                <w:sz w:val="23"/>
                <w:szCs w:val="23"/>
                <w14:textOutline w14:w="4356" w14:cap="sq" w14:cmpd="sng" w14:algn="ctr">
                  <w14:solidFill>
                    <w14:srgbClr w14:val="000000"/>
                  </w14:solidFill>
                  <w14:prstDash w14:val="solid"/>
                  <w14:bevel/>
                </w14:textOutline>
              </w:rPr>
              <w:t>投标资格能力要求</w:t>
            </w:r>
          </w:p>
          <w:p w14:paraId="33F5EEA6">
            <w:pPr>
              <w:widowControl w:val="0"/>
              <w:spacing w:before="0" w:after="0" w:line="225" w:lineRule="auto"/>
              <w:jc w:val="center"/>
              <w:rPr>
                <w:rFonts w:ascii="宋体" w:hAnsi="宋体" w:cs="宋体"/>
                <w:sz w:val="23"/>
                <w:szCs w:val="23"/>
              </w:rPr>
            </w:pPr>
            <w:r>
              <w:rPr>
                <w:rFonts w:hint="eastAsia" w:ascii="宋体" w:hAnsi="宋体" w:cs="宋体"/>
                <w:spacing w:val="9"/>
                <w:sz w:val="23"/>
                <w:szCs w:val="23"/>
                <w14:textOutline w14:w="4356" w14:cap="sq" w14:cmpd="sng" w14:algn="ctr">
                  <w14:solidFill>
                    <w14:srgbClr w14:val="000000"/>
                  </w14:solidFill>
                  <w14:prstDash w14:val="solid"/>
                  <w14:bevel/>
                </w14:textOutline>
              </w:rPr>
              <w:t>（包括但不限于资质人员、业绩等要求）</w:t>
            </w:r>
          </w:p>
        </w:tc>
        <w:tc>
          <w:tcPr>
            <w:tcW w:w="7966" w:type="dxa"/>
            <w:gridSpan w:val="9"/>
            <w:tcBorders>
              <w:top w:val="single" w:color="auto" w:sz="4" w:space="0"/>
              <w:left w:val="single" w:color="auto" w:sz="4" w:space="0"/>
              <w:bottom w:val="single" w:color="auto" w:sz="4" w:space="0"/>
              <w:right w:val="single" w:color="auto" w:sz="4" w:space="0"/>
            </w:tcBorders>
          </w:tcPr>
          <w:p w14:paraId="6C8BE2AD">
            <w:pPr>
              <w:keepNext w:val="0"/>
              <w:keepLines w:val="0"/>
              <w:widowControl w:val="0"/>
              <w:tabs>
                <w:tab w:val="left" w:pos="0"/>
              </w:tabs>
              <w:overflowPunct w:val="0"/>
              <w:bidi w:val="0"/>
              <w:snapToGrid w:val="0"/>
              <w:spacing w:before="0" w:after="0" w:line="400" w:lineRule="exact"/>
              <w:textAlignment w:val="auto"/>
              <w:rPr>
                <w:rStyle w:val="32"/>
                <w:rFonts w:ascii="宋体" w:hAnsi="宋体" w:cs="宋体"/>
                <w:b w:val="0"/>
                <w:color w:val="000000"/>
                <w:sz w:val="23"/>
                <w:szCs w:val="23"/>
              </w:rPr>
            </w:pPr>
            <w:r>
              <w:rPr>
                <w:rStyle w:val="32"/>
                <w:rFonts w:ascii="宋体" w:hAnsi="宋体" w:cs="宋体"/>
                <w:b w:val="0"/>
                <w:color w:val="000000"/>
                <w:sz w:val="23"/>
                <w:szCs w:val="23"/>
              </w:rPr>
              <w:t>投标人</w:t>
            </w:r>
            <w:r>
              <w:rPr>
                <w:rStyle w:val="32"/>
                <w:rFonts w:hint="eastAsia" w:ascii="宋体" w:hAnsi="宋体" w:cs="宋体"/>
                <w:b w:val="0"/>
                <w:color w:val="000000"/>
                <w:sz w:val="23"/>
                <w:szCs w:val="23"/>
                <w:lang w:eastAsia="zh-CN"/>
              </w:rPr>
              <w:t>资格要求</w:t>
            </w:r>
            <w:r>
              <w:rPr>
                <w:rStyle w:val="32"/>
                <w:rFonts w:ascii="宋体" w:hAnsi="宋体" w:cs="宋体"/>
                <w:b w:val="0"/>
                <w:color w:val="000000"/>
                <w:sz w:val="23"/>
                <w:szCs w:val="23"/>
              </w:rPr>
              <w:t>：</w:t>
            </w:r>
          </w:p>
          <w:p w14:paraId="464178A4">
            <w:pPr>
              <w:keepNext w:val="0"/>
              <w:keepLines w:val="0"/>
              <w:widowControl w:val="0"/>
              <w:tabs>
                <w:tab w:val="left" w:pos="0"/>
              </w:tabs>
              <w:overflowPunct w:val="0"/>
              <w:bidi w:val="0"/>
              <w:snapToGrid w:val="0"/>
              <w:spacing w:before="0" w:after="0" w:line="400" w:lineRule="exact"/>
              <w:textAlignment w:val="auto"/>
              <w:rPr>
                <w:rStyle w:val="32"/>
                <w:rFonts w:ascii="宋体" w:hAnsi="宋体" w:cs="宋体"/>
                <w:b w:val="0"/>
                <w:color w:val="000000"/>
                <w:sz w:val="23"/>
                <w:szCs w:val="23"/>
              </w:rPr>
            </w:pPr>
            <w:r>
              <w:rPr>
                <w:rStyle w:val="32"/>
                <w:rFonts w:ascii="宋体" w:hAnsi="宋体" w:cs="宋体"/>
                <w:b w:val="0"/>
                <w:color w:val="000000"/>
                <w:sz w:val="23"/>
                <w:szCs w:val="23"/>
              </w:rPr>
              <w:t>1.</w:t>
            </w:r>
            <w:r>
              <w:rPr>
                <w:rStyle w:val="32"/>
                <w:rFonts w:hint="eastAsia" w:ascii="宋体" w:hAnsi="宋体" w:cs="宋体"/>
                <w:b w:val="0"/>
                <w:color w:val="000000"/>
                <w:sz w:val="23"/>
                <w:szCs w:val="23"/>
              </w:rPr>
              <w:t>投标人须是在中国境内依法注册的企业法人，工商营业执照有效。</w:t>
            </w:r>
          </w:p>
          <w:p w14:paraId="0D43999E">
            <w:pPr>
              <w:keepNext w:val="0"/>
              <w:keepLines w:val="0"/>
              <w:widowControl w:val="0"/>
              <w:tabs>
                <w:tab w:val="left" w:pos="0"/>
              </w:tabs>
              <w:overflowPunct w:val="0"/>
              <w:bidi w:val="0"/>
              <w:snapToGrid w:val="0"/>
              <w:spacing w:before="0" w:after="0" w:line="400" w:lineRule="exact"/>
              <w:textAlignment w:val="auto"/>
              <w:rPr>
                <w:rStyle w:val="32"/>
                <w:rFonts w:ascii="宋体" w:hAnsi="宋体" w:cs="宋体"/>
                <w:b w:val="0"/>
                <w:color w:val="000000"/>
                <w:sz w:val="23"/>
                <w:szCs w:val="23"/>
              </w:rPr>
            </w:pPr>
            <w:r>
              <w:rPr>
                <w:rStyle w:val="32"/>
                <w:rFonts w:ascii="宋体" w:hAnsi="宋体" w:cs="宋体"/>
                <w:b w:val="0"/>
                <w:color w:val="000000"/>
                <w:sz w:val="23"/>
                <w:szCs w:val="23"/>
              </w:rPr>
              <w:t>2</w:t>
            </w:r>
            <w:r>
              <w:rPr>
                <w:rStyle w:val="32"/>
                <w:rFonts w:hint="eastAsia" w:ascii="宋体" w:hAnsi="宋体" w:cs="宋体"/>
                <w:b w:val="0"/>
                <w:color w:val="000000"/>
                <w:sz w:val="23"/>
                <w:szCs w:val="23"/>
                <w:lang w:val="en-US" w:eastAsia="zh-CN"/>
              </w:rPr>
              <w:t>.</w:t>
            </w:r>
            <w:r>
              <w:rPr>
                <w:rStyle w:val="32"/>
                <w:rFonts w:hint="eastAsia" w:ascii="宋体" w:hAnsi="宋体" w:cs="宋体"/>
                <w:b w:val="0"/>
                <w:color w:val="000000"/>
                <w:sz w:val="23"/>
                <w:szCs w:val="23"/>
              </w:rPr>
              <w:t>投标人须是深水网箱的制造商或其代理经销商。一个制造商对同一品牌同一型号的设备，仅能委托一个代理经销商参加投标。</w:t>
            </w:r>
          </w:p>
          <w:p w14:paraId="4B8B4D24">
            <w:pPr>
              <w:keepNext w:val="0"/>
              <w:keepLines w:val="0"/>
              <w:widowControl w:val="0"/>
              <w:tabs>
                <w:tab w:val="left" w:pos="0"/>
              </w:tabs>
              <w:overflowPunct w:val="0"/>
              <w:bidi w:val="0"/>
              <w:snapToGrid w:val="0"/>
              <w:spacing w:before="0" w:after="0" w:line="400" w:lineRule="exact"/>
              <w:textAlignment w:val="auto"/>
              <w:rPr>
                <w:rStyle w:val="32"/>
                <w:rFonts w:ascii="宋体" w:hAnsi="宋体" w:cs="宋体"/>
                <w:b w:val="0"/>
                <w:sz w:val="23"/>
                <w:szCs w:val="23"/>
              </w:rPr>
            </w:pPr>
            <w:r>
              <w:rPr>
                <w:rStyle w:val="32"/>
                <w:rFonts w:ascii="宋体" w:hAnsi="宋体" w:cs="宋体"/>
                <w:b w:val="0"/>
                <w:sz w:val="23"/>
                <w:szCs w:val="23"/>
              </w:rPr>
              <w:t>3</w:t>
            </w:r>
            <w:r>
              <w:rPr>
                <w:rStyle w:val="32"/>
                <w:rFonts w:hint="eastAsia" w:ascii="宋体" w:hAnsi="宋体" w:cs="宋体"/>
                <w:b w:val="0"/>
                <w:sz w:val="23"/>
                <w:szCs w:val="23"/>
                <w:lang w:val="en-US" w:eastAsia="zh-CN"/>
              </w:rPr>
              <w:t>.</w:t>
            </w:r>
            <w:r>
              <w:rPr>
                <w:rStyle w:val="32"/>
                <w:rFonts w:hint="eastAsia" w:ascii="宋体" w:hAnsi="宋体" w:cs="宋体"/>
                <w:b w:val="0"/>
                <w:bCs w:val="0"/>
                <w:sz w:val="23"/>
                <w:szCs w:val="23"/>
              </w:rPr>
              <w:t>“信用中国”网站（www.creditchina.gov.cn)查询：投标人被列为失信被执行人的，投标活动依法予以限制，不接受其投标。</w:t>
            </w:r>
          </w:p>
          <w:p w14:paraId="64C91792">
            <w:pPr>
              <w:keepNext w:val="0"/>
              <w:keepLines w:val="0"/>
              <w:widowControl w:val="0"/>
              <w:tabs>
                <w:tab w:val="left" w:pos="0"/>
              </w:tabs>
              <w:overflowPunct w:val="0"/>
              <w:bidi w:val="0"/>
              <w:snapToGrid w:val="0"/>
              <w:spacing w:before="0" w:after="0" w:line="400" w:lineRule="exact"/>
              <w:textAlignment w:val="auto"/>
              <w:rPr>
                <w:rStyle w:val="32"/>
                <w:rFonts w:hint="eastAsia" w:ascii="宋体" w:hAnsi="宋体" w:cs="宋体"/>
                <w:b w:val="0"/>
                <w:color w:val="000000"/>
                <w:sz w:val="23"/>
                <w:szCs w:val="23"/>
                <w:lang w:val="en-US" w:eastAsia="zh-CN"/>
              </w:rPr>
            </w:pPr>
            <w:r>
              <w:rPr>
                <w:rStyle w:val="32"/>
                <w:rFonts w:hint="eastAsia" w:ascii="宋体" w:hAnsi="宋体" w:cs="宋体"/>
                <w:b w:val="0"/>
                <w:color w:val="000000"/>
                <w:sz w:val="23"/>
                <w:szCs w:val="23"/>
                <w:lang w:val="en-US" w:eastAsia="zh-CN"/>
              </w:rPr>
              <w:t>4</w:t>
            </w:r>
            <w:r>
              <w:rPr>
                <w:rStyle w:val="32"/>
                <w:rFonts w:hint="eastAsia" w:ascii="宋体" w:hAnsi="宋体" w:cs="宋体"/>
                <w:b w:val="0"/>
                <w:bCs w:val="0"/>
                <w:color w:val="000000"/>
                <w:sz w:val="23"/>
                <w:szCs w:val="23"/>
                <w:lang w:val="en-US" w:eastAsia="zh-CN"/>
              </w:rPr>
              <w:t>.</w:t>
            </w:r>
            <w:r>
              <w:rPr>
                <w:rStyle w:val="32"/>
                <w:rFonts w:hint="eastAsia" w:ascii="宋体" w:hAnsi="宋体" w:cs="宋体"/>
                <w:b w:val="0"/>
                <w:bCs w:val="0"/>
                <w:sz w:val="23"/>
                <w:szCs w:val="23"/>
              </w:rPr>
              <w:t>本次招标 不接受 联合体投标。</w:t>
            </w:r>
          </w:p>
          <w:p w14:paraId="13E36A62">
            <w:pPr>
              <w:keepNext w:val="0"/>
              <w:keepLines w:val="0"/>
              <w:widowControl w:val="0"/>
              <w:tabs>
                <w:tab w:val="left" w:pos="0"/>
              </w:tabs>
              <w:overflowPunct w:val="0"/>
              <w:bidi w:val="0"/>
              <w:snapToGrid w:val="0"/>
              <w:spacing w:before="0" w:after="0" w:line="400" w:lineRule="exact"/>
              <w:textAlignment w:val="auto"/>
              <w:rPr>
                <w:rStyle w:val="32"/>
                <w:rFonts w:hint="eastAsia" w:ascii="宋体" w:hAnsi="宋体" w:eastAsia="宋体" w:cs="宋体"/>
                <w:b w:val="0"/>
                <w:color w:val="000000"/>
                <w:sz w:val="23"/>
                <w:szCs w:val="23"/>
                <w:lang w:eastAsia="zh-CN"/>
              </w:rPr>
            </w:pPr>
            <w:r>
              <w:rPr>
                <w:rStyle w:val="32"/>
                <w:rFonts w:hint="eastAsia" w:ascii="宋体" w:hAnsi="宋体" w:cs="宋体"/>
                <w:b w:val="0"/>
                <w:color w:val="000000"/>
                <w:sz w:val="23"/>
                <w:szCs w:val="23"/>
              </w:rPr>
              <w:t>注：本</w:t>
            </w:r>
            <w:r>
              <w:rPr>
                <w:rStyle w:val="32"/>
                <w:rFonts w:hint="eastAsia" w:ascii="宋体" w:hAnsi="宋体" w:cs="宋体"/>
                <w:b w:val="0"/>
                <w:color w:val="000000"/>
                <w:sz w:val="23"/>
                <w:szCs w:val="23"/>
                <w:lang w:eastAsia="zh-CN"/>
              </w:rPr>
              <w:t>项目</w:t>
            </w:r>
            <w:r>
              <w:rPr>
                <w:rStyle w:val="32"/>
                <w:rFonts w:hint="eastAsia" w:ascii="宋体" w:hAnsi="宋体" w:cs="宋体"/>
                <w:b w:val="0"/>
                <w:color w:val="000000"/>
                <w:sz w:val="23"/>
                <w:szCs w:val="23"/>
              </w:rPr>
              <w:t>实行资格后审</w:t>
            </w:r>
            <w:r>
              <w:rPr>
                <w:rStyle w:val="32"/>
                <w:rFonts w:hint="eastAsia" w:ascii="宋体" w:hAnsi="宋体" w:cs="宋体"/>
                <w:b w:val="0"/>
                <w:color w:val="000000"/>
                <w:sz w:val="23"/>
                <w:szCs w:val="23"/>
                <w:lang w:eastAsia="zh-CN"/>
              </w:rPr>
              <w:t>，</w:t>
            </w:r>
            <w:r>
              <w:rPr>
                <w:rStyle w:val="32"/>
                <w:rFonts w:hint="eastAsia" w:ascii="宋体" w:hAnsi="宋体" w:cs="宋体"/>
                <w:b w:val="0"/>
                <w:color w:val="000000"/>
                <w:sz w:val="23"/>
                <w:szCs w:val="23"/>
              </w:rPr>
              <w:t>资格</w:t>
            </w:r>
            <w:r>
              <w:rPr>
                <w:rStyle w:val="32"/>
                <w:rFonts w:hint="eastAsia" w:ascii="宋体" w:hAnsi="宋体" w:cs="宋体"/>
                <w:b w:val="0"/>
                <w:color w:val="000000"/>
                <w:sz w:val="23"/>
                <w:szCs w:val="23"/>
                <w:lang w:eastAsia="zh-CN"/>
              </w:rPr>
              <w:t>审查</w:t>
            </w:r>
            <w:r>
              <w:rPr>
                <w:rStyle w:val="32"/>
                <w:rFonts w:hint="eastAsia" w:ascii="宋体" w:hAnsi="宋体" w:cs="宋体"/>
                <w:b w:val="0"/>
                <w:color w:val="000000"/>
                <w:sz w:val="23"/>
                <w:szCs w:val="23"/>
              </w:rPr>
              <w:t>的</w:t>
            </w:r>
            <w:r>
              <w:rPr>
                <w:rStyle w:val="32"/>
                <w:rFonts w:hint="eastAsia" w:ascii="宋体" w:hAnsi="宋体" w:cs="宋体"/>
                <w:b w:val="0"/>
                <w:color w:val="000000"/>
                <w:sz w:val="23"/>
                <w:szCs w:val="23"/>
                <w:lang w:eastAsia="zh-CN"/>
              </w:rPr>
              <w:t>条件</w:t>
            </w:r>
            <w:r>
              <w:rPr>
                <w:rStyle w:val="32"/>
                <w:rFonts w:hint="eastAsia" w:ascii="宋体" w:hAnsi="宋体" w:cs="宋体"/>
                <w:b w:val="0"/>
                <w:color w:val="000000"/>
                <w:sz w:val="23"/>
                <w:szCs w:val="23"/>
              </w:rPr>
              <w:t>详见招标文件</w:t>
            </w:r>
            <w:r>
              <w:rPr>
                <w:rStyle w:val="32"/>
                <w:rFonts w:hint="eastAsia" w:ascii="宋体" w:hAnsi="宋体" w:cs="宋体"/>
                <w:b w:val="0"/>
                <w:color w:val="000000"/>
                <w:sz w:val="23"/>
                <w:szCs w:val="23"/>
                <w:lang w:eastAsia="zh-CN"/>
              </w:rPr>
              <w:t>。</w:t>
            </w:r>
          </w:p>
        </w:tc>
      </w:tr>
      <w:tr w14:paraId="38F691BB">
        <w:tblPrEx>
          <w:tblCellMar>
            <w:top w:w="0" w:type="dxa"/>
            <w:left w:w="2" w:type="dxa"/>
            <w:bottom w:w="0" w:type="dxa"/>
            <w:right w:w="2" w:type="dxa"/>
          </w:tblCellMar>
        </w:tblPrEx>
        <w:trPr>
          <w:trHeight w:val="570" w:hRule="atLeast"/>
          <w:jc w:val="center"/>
        </w:trPr>
        <w:tc>
          <w:tcPr>
            <w:tcW w:w="2013" w:type="dxa"/>
            <w:vMerge w:val="continue"/>
            <w:tcBorders>
              <w:left w:val="single" w:color="auto" w:sz="4" w:space="0"/>
              <w:bottom w:val="single" w:color="000000" w:sz="2" w:space="0"/>
              <w:right w:val="single" w:color="000000" w:sz="2" w:space="0"/>
            </w:tcBorders>
          </w:tcPr>
          <w:p w14:paraId="25B187A7">
            <w:pPr>
              <w:widowControl w:val="0"/>
              <w:spacing w:before="0" w:after="0" w:line="225" w:lineRule="auto"/>
              <w:ind w:left="363" w:firstLine="0"/>
              <w:rPr>
                <w:rFonts w:ascii="宋体" w:hAnsi="宋体" w:cs="宋体"/>
                <w:spacing w:val="6"/>
                <w:sz w:val="23"/>
                <w:szCs w:val="23"/>
                <w14:textOutline w14:w="4356" w14:cap="sq" w14:cmpd="sng" w14:algn="ctr">
                  <w14:solidFill>
                    <w14:srgbClr w14:val="000000"/>
                  </w14:solidFill>
                  <w14:prstDash w14:val="solid"/>
                  <w14:bevel/>
                </w14:textOutline>
              </w:rPr>
            </w:pPr>
          </w:p>
        </w:tc>
        <w:tc>
          <w:tcPr>
            <w:tcW w:w="7966" w:type="dxa"/>
            <w:gridSpan w:val="9"/>
            <w:tcBorders>
              <w:top w:val="single" w:color="000000" w:sz="2" w:space="0"/>
              <w:left w:val="single" w:color="000000" w:sz="2" w:space="0"/>
              <w:bottom w:val="single" w:color="000000" w:sz="2" w:space="0"/>
              <w:right w:val="single" w:color="000000" w:sz="2" w:space="0"/>
            </w:tcBorders>
          </w:tcPr>
          <w:p w14:paraId="34BA1C7B">
            <w:pPr>
              <w:keepNext w:val="0"/>
              <w:keepLines w:val="0"/>
              <w:widowControl w:val="0"/>
              <w:tabs>
                <w:tab w:val="left" w:pos="0"/>
              </w:tabs>
              <w:overflowPunct w:val="0"/>
              <w:bidi w:val="0"/>
              <w:snapToGrid w:val="0"/>
              <w:spacing w:before="0" w:after="0" w:line="400" w:lineRule="exact"/>
              <w:textAlignment w:val="auto"/>
              <w:rPr>
                <w:rStyle w:val="32"/>
                <w:rFonts w:hint="eastAsia" w:ascii="宋体" w:hAnsi="宋体" w:eastAsia="宋体" w:cs="宋体"/>
                <w:b w:val="0"/>
                <w:color w:val="000000"/>
                <w:sz w:val="23"/>
                <w:szCs w:val="23"/>
                <w:lang w:eastAsia="zh-CN"/>
              </w:rPr>
            </w:pPr>
            <w:r>
              <w:rPr>
                <w:rStyle w:val="32"/>
                <w:rFonts w:hint="eastAsia" w:ascii="宋体" w:hAnsi="宋体" w:cs="宋体"/>
                <w:b w:val="0"/>
                <w:color w:val="000000"/>
                <w:sz w:val="23"/>
                <w:szCs w:val="23"/>
              </w:rPr>
              <w:t>项目经理资格要求：</w:t>
            </w:r>
            <w:r>
              <w:rPr>
                <w:rStyle w:val="32"/>
                <w:rFonts w:hint="eastAsia" w:ascii="宋体" w:hAnsi="宋体" w:cs="宋体"/>
                <w:b w:val="0"/>
                <w:color w:val="000000"/>
                <w:sz w:val="23"/>
                <w:szCs w:val="23"/>
                <w:lang w:eastAsia="zh-CN"/>
              </w:rPr>
              <w:t>无。</w:t>
            </w:r>
          </w:p>
        </w:tc>
      </w:tr>
      <w:tr w14:paraId="55EEF865">
        <w:tblPrEx>
          <w:tblCellMar>
            <w:top w:w="0" w:type="dxa"/>
            <w:left w:w="2" w:type="dxa"/>
            <w:bottom w:w="0" w:type="dxa"/>
            <w:right w:w="2" w:type="dxa"/>
          </w:tblCellMar>
        </w:tblPrEx>
        <w:trPr>
          <w:trHeight w:val="90" w:hRule="atLeast"/>
          <w:jc w:val="center"/>
        </w:trPr>
        <w:tc>
          <w:tcPr>
            <w:tcW w:w="2013" w:type="dxa"/>
            <w:vMerge w:val="restart"/>
            <w:tcBorders>
              <w:top w:val="single" w:color="000000" w:sz="2" w:space="0"/>
              <w:left w:val="single" w:color="000000" w:sz="2" w:space="0"/>
              <w:bottom w:val="single" w:color="000000" w:sz="2" w:space="0"/>
              <w:right w:val="single" w:color="000000" w:sz="2" w:space="0"/>
            </w:tcBorders>
          </w:tcPr>
          <w:p w14:paraId="52F7507A">
            <w:pPr>
              <w:widowControl w:val="0"/>
              <w:spacing w:before="0" w:after="0" w:line="244" w:lineRule="auto"/>
              <w:rPr>
                <w:rFonts w:ascii="宋体" w:hAnsi="宋体" w:cs="宋体"/>
                <w:sz w:val="23"/>
                <w:szCs w:val="23"/>
              </w:rPr>
            </w:pPr>
          </w:p>
          <w:p w14:paraId="6260B497">
            <w:pPr>
              <w:widowControl w:val="0"/>
              <w:spacing w:before="0" w:after="0" w:line="247" w:lineRule="auto"/>
              <w:rPr>
                <w:rFonts w:ascii="宋体" w:hAnsi="宋体" w:cs="宋体"/>
                <w:sz w:val="23"/>
                <w:szCs w:val="23"/>
              </w:rPr>
            </w:pPr>
          </w:p>
          <w:p w14:paraId="5B6AF43F">
            <w:pPr>
              <w:widowControl w:val="0"/>
              <w:spacing w:before="74" w:after="0" w:line="264" w:lineRule="auto"/>
              <w:ind w:right="229" w:firstLine="0"/>
              <w:rPr>
                <w:rFonts w:ascii="宋体" w:hAnsi="宋体" w:cs="宋体"/>
                <w:spacing w:val="11"/>
                <w:sz w:val="23"/>
                <w:szCs w:val="23"/>
                <w14:textOutline w14:w="4356" w14:cap="sq" w14:cmpd="sng" w14:algn="ctr">
                  <w14:solidFill>
                    <w14:srgbClr w14:val="000000"/>
                  </w14:solidFill>
                  <w14:prstDash w14:val="solid"/>
                  <w14:bevel/>
                </w14:textOutline>
              </w:rPr>
            </w:pPr>
          </w:p>
          <w:p w14:paraId="14D29F0C">
            <w:pPr>
              <w:widowControl w:val="0"/>
              <w:spacing w:before="74" w:after="0" w:line="264" w:lineRule="auto"/>
              <w:ind w:right="229" w:firstLine="0"/>
              <w:jc w:val="center"/>
              <w:rPr>
                <w:rFonts w:ascii="宋体" w:hAnsi="宋体" w:cs="宋体"/>
                <w:spacing w:val="8"/>
                <w:sz w:val="23"/>
                <w:szCs w:val="23"/>
                <w14:textOutline w14:w="4356" w14:cap="sq" w14:cmpd="sng" w14:algn="ctr">
                  <w14:solidFill>
                    <w14:srgbClr w14:val="000000"/>
                  </w14:solidFill>
                  <w14:prstDash w14:val="solid"/>
                  <w14:bevel/>
                </w14:textOutline>
              </w:rPr>
            </w:pPr>
            <w:r>
              <w:rPr>
                <w:rFonts w:ascii="宋体" w:hAnsi="宋体" w:cs="宋体"/>
                <w:spacing w:val="11"/>
                <w:sz w:val="23"/>
                <w:szCs w:val="23"/>
                <w14:textOutline w14:w="4356" w14:cap="sq" w14:cmpd="sng" w14:algn="ctr">
                  <w14:solidFill>
                    <w14:srgbClr w14:val="000000"/>
                  </w14:solidFill>
                  <w14:prstDash w14:val="solid"/>
                  <w14:bevel/>
                </w14:textOutline>
              </w:rPr>
              <w:t>是</w:t>
            </w:r>
            <w:r>
              <w:rPr>
                <w:rFonts w:ascii="宋体" w:hAnsi="宋体" w:cs="宋体"/>
                <w:spacing w:val="8"/>
                <w:sz w:val="23"/>
                <w:szCs w:val="23"/>
                <w14:textOutline w14:w="4356" w14:cap="sq" w14:cmpd="sng" w14:algn="ctr">
                  <w14:solidFill>
                    <w14:srgbClr w14:val="000000"/>
                  </w14:solidFill>
                  <w14:prstDash w14:val="solid"/>
                  <w14:bevel/>
                </w14:textOutline>
              </w:rPr>
              <w:t>否采用电子</w:t>
            </w:r>
          </w:p>
          <w:p w14:paraId="4807B306">
            <w:pPr>
              <w:widowControl w:val="0"/>
              <w:spacing w:before="74" w:after="0" w:line="264" w:lineRule="auto"/>
              <w:ind w:right="229" w:firstLine="0"/>
              <w:jc w:val="center"/>
              <w:rPr>
                <w:rFonts w:ascii="宋体" w:hAnsi="宋体" w:cs="宋体"/>
                <w:sz w:val="23"/>
                <w:szCs w:val="23"/>
              </w:rPr>
            </w:pPr>
            <w:r>
              <w:rPr>
                <w:rFonts w:ascii="宋体" w:hAnsi="宋体" w:cs="宋体"/>
                <w:spacing w:val="9"/>
                <w:sz w:val="23"/>
                <w:szCs w:val="23"/>
                <w14:textOutline w14:w="4356" w14:cap="sq" w14:cmpd="sng" w14:algn="ctr">
                  <w14:solidFill>
                    <w14:srgbClr w14:val="000000"/>
                  </w14:solidFill>
                  <w14:prstDash w14:val="solid"/>
                  <w14:bevel/>
                </w14:textOutline>
              </w:rPr>
              <w:t>招标投标方式</w:t>
            </w:r>
          </w:p>
        </w:tc>
        <w:tc>
          <w:tcPr>
            <w:tcW w:w="1248" w:type="dxa"/>
            <w:vMerge w:val="restart"/>
            <w:tcBorders>
              <w:top w:val="single" w:color="000000" w:sz="2" w:space="0"/>
              <w:left w:val="single" w:color="000000" w:sz="2" w:space="0"/>
              <w:bottom w:val="single" w:color="000000" w:sz="2" w:space="0"/>
              <w:right w:val="single" w:color="000000" w:sz="2" w:space="0"/>
            </w:tcBorders>
          </w:tcPr>
          <w:p w14:paraId="63E6F381">
            <w:pPr>
              <w:widowControl w:val="0"/>
              <w:spacing w:before="75" w:after="0" w:line="230" w:lineRule="auto"/>
              <w:jc w:val="center"/>
              <w:rPr>
                <w:rFonts w:ascii="宋体" w:hAnsi="宋体" w:cs="宋体"/>
                <w:sz w:val="23"/>
                <w:szCs w:val="23"/>
              </w:rPr>
            </w:pPr>
            <w:r>
              <w:rPr>
                <w:rFonts w:ascii="宋体" w:hAnsi="宋体" w:cs="宋体"/>
                <w:sz w:val="23"/>
                <w:szCs w:val="23"/>
              </w:rPr>
              <w:t>是</w:t>
            </w:r>
          </w:p>
          <w:p w14:paraId="0BA4A50C">
            <w:pPr>
              <w:widowControl w:val="0"/>
              <w:spacing w:before="75" w:after="0" w:line="230" w:lineRule="auto"/>
              <w:jc w:val="both"/>
              <w:rPr>
                <w:rFonts w:hint="eastAsia" w:ascii="宋体" w:hAnsi="宋体" w:cs="宋体"/>
                <w:sz w:val="23"/>
                <w:szCs w:val="23"/>
              </w:rPr>
            </w:pPr>
            <w:r>
              <w:rPr>
                <w:rFonts w:hint="eastAsia" w:ascii="宋体" w:hAnsi="宋体" w:cs="宋体"/>
                <w:sz w:val="23"/>
                <w:szCs w:val="23"/>
              </w:rPr>
              <w:t>（具体操作详见广州公共资源交易平台关于全流程电子化项目的相关指南进行操</w:t>
            </w:r>
          </w:p>
          <w:p w14:paraId="7FF8978C">
            <w:pPr>
              <w:widowControl w:val="0"/>
              <w:spacing w:before="75" w:after="0" w:line="230" w:lineRule="auto"/>
              <w:jc w:val="both"/>
              <w:rPr>
                <w:rFonts w:ascii="宋体" w:hAnsi="宋体" w:cs="宋体"/>
                <w:sz w:val="23"/>
                <w:szCs w:val="23"/>
              </w:rPr>
            </w:pPr>
            <w:r>
              <w:rPr>
                <w:rFonts w:hint="eastAsia" w:ascii="宋体" w:hAnsi="宋体" w:cs="宋体"/>
                <w:sz w:val="23"/>
                <w:szCs w:val="23"/>
              </w:rPr>
              <w:t>作）</w:t>
            </w:r>
          </w:p>
        </w:tc>
        <w:tc>
          <w:tcPr>
            <w:tcW w:w="833" w:type="dxa"/>
            <w:vMerge w:val="restart"/>
            <w:tcBorders>
              <w:top w:val="single" w:color="000000" w:sz="2" w:space="0"/>
              <w:left w:val="single" w:color="000000" w:sz="2" w:space="0"/>
              <w:bottom w:val="single" w:color="000000" w:sz="2" w:space="0"/>
              <w:right w:val="single" w:color="000000" w:sz="2" w:space="0"/>
            </w:tcBorders>
          </w:tcPr>
          <w:p w14:paraId="3244E53B">
            <w:pPr>
              <w:widowControl w:val="0"/>
              <w:spacing w:before="0" w:after="0" w:line="247" w:lineRule="auto"/>
              <w:rPr>
                <w:rFonts w:ascii="宋体" w:hAnsi="宋体" w:cs="宋体"/>
                <w:sz w:val="23"/>
                <w:szCs w:val="23"/>
              </w:rPr>
            </w:pPr>
          </w:p>
          <w:p w14:paraId="5BF94010">
            <w:pPr>
              <w:widowControl w:val="0"/>
              <w:spacing w:before="74" w:after="0" w:line="264" w:lineRule="auto"/>
              <w:ind w:right="165" w:firstLine="0"/>
              <w:jc w:val="center"/>
              <w:rPr>
                <w:rFonts w:ascii="宋体" w:hAnsi="宋体" w:cs="宋体"/>
                <w:sz w:val="23"/>
                <w:szCs w:val="23"/>
              </w:rPr>
            </w:pPr>
            <w:r>
              <w:rPr>
                <w:rFonts w:ascii="宋体" w:hAnsi="宋体" w:cs="宋体"/>
                <w:spacing w:val="11"/>
                <w:sz w:val="23"/>
                <w:szCs w:val="23"/>
                <w14:textOutline w14:w="4356" w14:cap="sq" w14:cmpd="sng" w14:algn="ctr">
                  <w14:solidFill>
                    <w14:srgbClr w14:val="000000"/>
                  </w14:solidFill>
                  <w14:prstDash w14:val="solid"/>
                  <w14:bevel/>
                </w14:textOutline>
              </w:rPr>
              <w:t>获</w:t>
            </w:r>
            <w:r>
              <w:rPr>
                <w:rFonts w:ascii="宋体" w:hAnsi="宋体" w:cs="宋体"/>
                <w:spacing w:val="8"/>
                <w:sz w:val="23"/>
                <w:szCs w:val="23"/>
                <w14:textOutline w14:w="4356" w14:cap="sq" w14:cmpd="sng" w14:algn="ctr">
                  <w14:solidFill>
                    <w14:srgbClr w14:val="000000"/>
                  </w14:solidFill>
                  <w14:prstDash w14:val="solid"/>
                  <w14:bevel/>
                </w14:textOutline>
              </w:rPr>
              <w:t>取招标文件</w:t>
            </w:r>
            <w:r>
              <w:rPr>
                <w:rFonts w:ascii="宋体" w:hAnsi="宋体" w:cs="宋体"/>
                <w:spacing w:val="1"/>
                <w:sz w:val="23"/>
                <w:szCs w:val="23"/>
                <w14:textOutline w14:w="4356" w14:cap="sq" w14:cmpd="sng" w14:algn="ctr">
                  <w14:solidFill>
                    <w14:srgbClr w14:val="000000"/>
                  </w14:solidFill>
                  <w14:prstDash w14:val="solid"/>
                  <w14:bevel/>
                </w14:textOutline>
              </w:rPr>
              <w:t>的方式</w:t>
            </w:r>
          </w:p>
        </w:tc>
        <w:tc>
          <w:tcPr>
            <w:tcW w:w="1273" w:type="dxa"/>
            <w:gridSpan w:val="2"/>
            <w:tcBorders>
              <w:top w:val="single" w:color="000000" w:sz="2" w:space="0"/>
              <w:left w:val="single" w:color="000000" w:sz="2" w:space="0"/>
              <w:bottom w:val="single" w:color="000000" w:sz="2" w:space="0"/>
              <w:right w:val="single" w:color="000000" w:sz="2" w:space="0"/>
            </w:tcBorders>
          </w:tcPr>
          <w:p w14:paraId="5F70C3F9">
            <w:pPr>
              <w:widowControl w:val="0"/>
              <w:spacing w:before="33" w:after="0" w:line="244" w:lineRule="auto"/>
              <w:ind w:left="114" w:right="104" w:firstLine="8"/>
              <w:jc w:val="left"/>
              <w:rPr>
                <w:rFonts w:ascii="宋体" w:hAnsi="宋体" w:cs="宋体"/>
                <w:sz w:val="23"/>
                <w:szCs w:val="23"/>
              </w:rPr>
            </w:pPr>
            <w:r>
              <w:rPr>
                <w:rFonts w:ascii="宋体" w:hAnsi="宋体" w:cs="宋体"/>
                <w:spacing w:val="-5"/>
                <w:sz w:val="23"/>
                <w:szCs w:val="23"/>
              </w:rPr>
              <w:t>下</w:t>
            </w:r>
            <w:r>
              <w:rPr>
                <w:rFonts w:ascii="宋体" w:hAnsi="宋体" w:cs="宋体"/>
                <w:spacing w:val="-4"/>
                <w:sz w:val="23"/>
                <w:szCs w:val="23"/>
              </w:rPr>
              <w:t>载招</w:t>
            </w:r>
            <w:r>
              <w:rPr>
                <w:rFonts w:ascii="宋体" w:hAnsi="宋体" w:cs="宋体"/>
                <w:spacing w:val="-2"/>
                <w:sz w:val="23"/>
                <w:szCs w:val="23"/>
              </w:rPr>
              <w:t>标文</w:t>
            </w:r>
            <w:r>
              <w:rPr>
                <w:rFonts w:ascii="宋体" w:hAnsi="宋体" w:cs="宋体"/>
                <w:spacing w:val="-4"/>
                <w:sz w:val="23"/>
                <w:szCs w:val="23"/>
              </w:rPr>
              <w:t>件</w:t>
            </w:r>
            <w:r>
              <w:rPr>
                <w:rFonts w:ascii="宋体" w:hAnsi="宋体" w:cs="宋体"/>
                <w:spacing w:val="-2"/>
                <w:sz w:val="23"/>
                <w:szCs w:val="23"/>
              </w:rPr>
              <w:t>的网</w:t>
            </w:r>
            <w:r>
              <w:rPr>
                <w:rFonts w:ascii="宋体" w:hAnsi="宋体" w:cs="宋体"/>
                <w:spacing w:val="7"/>
                <w:sz w:val="23"/>
                <w:szCs w:val="23"/>
              </w:rPr>
              <w:t>络地址</w:t>
            </w:r>
          </w:p>
        </w:tc>
        <w:tc>
          <w:tcPr>
            <w:tcW w:w="4612" w:type="dxa"/>
            <w:gridSpan w:val="5"/>
            <w:tcBorders>
              <w:top w:val="single" w:color="000000" w:sz="2" w:space="0"/>
              <w:left w:val="single" w:color="000000" w:sz="2" w:space="0"/>
              <w:bottom w:val="single" w:color="000000" w:sz="2" w:space="0"/>
              <w:right w:val="single" w:color="000000" w:sz="2" w:space="0"/>
            </w:tcBorders>
          </w:tcPr>
          <w:p w14:paraId="5D136E6F">
            <w:pPr>
              <w:widowControl w:val="0"/>
              <w:spacing w:before="0" w:after="0" w:line="259" w:lineRule="auto"/>
              <w:ind w:left="113" w:right="108" w:firstLine="0"/>
              <w:jc w:val="left"/>
              <w:rPr>
                <w:rFonts w:ascii="宋体" w:hAnsi="宋体" w:cs="宋体"/>
                <w:sz w:val="23"/>
                <w:szCs w:val="23"/>
              </w:rPr>
            </w:pPr>
            <w:r>
              <w:rPr>
                <w:rFonts w:hint="eastAsia" w:ascii="宋体" w:hAnsi="宋体" w:cs="宋体"/>
                <w:spacing w:val="13"/>
                <w:sz w:val="23"/>
                <w:szCs w:val="23"/>
              </w:rPr>
              <w:t>广州交易集团有限公司网站（https://www.gzggzy.cn/）</w:t>
            </w:r>
          </w:p>
        </w:tc>
      </w:tr>
      <w:tr w14:paraId="560A7DF0">
        <w:tblPrEx>
          <w:tblCellMar>
            <w:top w:w="0" w:type="dxa"/>
            <w:left w:w="2" w:type="dxa"/>
            <w:bottom w:w="0" w:type="dxa"/>
            <w:right w:w="2" w:type="dxa"/>
          </w:tblCellMar>
        </w:tblPrEx>
        <w:trPr>
          <w:trHeight w:val="1878" w:hRule="atLeast"/>
          <w:jc w:val="center"/>
        </w:trPr>
        <w:tc>
          <w:tcPr>
            <w:tcW w:w="2013" w:type="dxa"/>
            <w:vMerge w:val="continue"/>
            <w:tcBorders>
              <w:left w:val="single" w:color="000000" w:sz="2" w:space="0"/>
              <w:bottom w:val="single" w:color="000000" w:sz="2" w:space="0"/>
              <w:right w:val="single" w:color="000000" w:sz="2" w:space="0"/>
            </w:tcBorders>
          </w:tcPr>
          <w:p w14:paraId="58ACD8FE">
            <w:pPr>
              <w:widowControl w:val="0"/>
              <w:spacing w:before="0" w:after="0"/>
              <w:rPr>
                <w:rFonts w:ascii="宋体" w:hAnsi="宋体" w:cs="宋体"/>
                <w:sz w:val="23"/>
                <w:szCs w:val="23"/>
              </w:rPr>
            </w:pPr>
          </w:p>
        </w:tc>
        <w:tc>
          <w:tcPr>
            <w:tcW w:w="1248" w:type="dxa"/>
            <w:vMerge w:val="continue"/>
            <w:tcBorders>
              <w:left w:val="single" w:color="000000" w:sz="2" w:space="0"/>
              <w:bottom w:val="single" w:color="000000" w:sz="2" w:space="0"/>
              <w:right w:val="single" w:color="000000" w:sz="2" w:space="0"/>
            </w:tcBorders>
          </w:tcPr>
          <w:p w14:paraId="454F8025">
            <w:pPr>
              <w:widowControl w:val="0"/>
              <w:spacing w:before="0" w:after="0"/>
              <w:rPr>
                <w:rFonts w:ascii="宋体" w:hAnsi="宋体" w:cs="宋体"/>
                <w:sz w:val="23"/>
                <w:szCs w:val="23"/>
              </w:rPr>
            </w:pPr>
          </w:p>
        </w:tc>
        <w:tc>
          <w:tcPr>
            <w:tcW w:w="833" w:type="dxa"/>
            <w:vMerge w:val="continue"/>
            <w:tcBorders>
              <w:left w:val="single" w:color="000000" w:sz="2" w:space="0"/>
              <w:bottom w:val="single" w:color="000000" w:sz="2" w:space="0"/>
              <w:right w:val="single" w:color="000000" w:sz="2" w:space="0"/>
            </w:tcBorders>
          </w:tcPr>
          <w:p w14:paraId="30F410C1">
            <w:pPr>
              <w:widowControl w:val="0"/>
              <w:spacing w:before="0" w:after="0"/>
              <w:rPr>
                <w:rFonts w:ascii="宋体" w:hAnsi="宋体" w:cs="宋体"/>
                <w:sz w:val="23"/>
                <w:szCs w:val="23"/>
              </w:rPr>
            </w:pPr>
          </w:p>
        </w:tc>
        <w:tc>
          <w:tcPr>
            <w:tcW w:w="1273" w:type="dxa"/>
            <w:gridSpan w:val="2"/>
            <w:tcBorders>
              <w:top w:val="single" w:color="000000" w:sz="2" w:space="0"/>
              <w:left w:val="single" w:color="000000" w:sz="2" w:space="0"/>
              <w:bottom w:val="single" w:color="000000" w:sz="2" w:space="0"/>
              <w:right w:val="single" w:color="000000" w:sz="2" w:space="0"/>
            </w:tcBorders>
          </w:tcPr>
          <w:p w14:paraId="4CA98E68">
            <w:pPr>
              <w:widowControl w:val="0"/>
              <w:spacing w:before="0" w:after="0" w:line="242" w:lineRule="auto"/>
              <w:rPr>
                <w:rFonts w:ascii="宋体" w:hAnsi="宋体" w:cs="宋体"/>
                <w:sz w:val="23"/>
                <w:szCs w:val="23"/>
              </w:rPr>
            </w:pPr>
          </w:p>
          <w:p w14:paraId="4B035492">
            <w:pPr>
              <w:widowControl w:val="0"/>
              <w:spacing w:before="75" w:after="0" w:line="254" w:lineRule="auto"/>
              <w:ind w:right="104" w:firstLine="0"/>
              <w:jc w:val="center"/>
              <w:rPr>
                <w:rFonts w:ascii="宋体" w:hAnsi="宋体" w:cs="宋体"/>
                <w:sz w:val="23"/>
                <w:szCs w:val="23"/>
              </w:rPr>
            </w:pPr>
            <w:r>
              <w:rPr>
                <w:rFonts w:ascii="宋体" w:hAnsi="宋体" w:cs="宋体"/>
                <w:spacing w:val="-5"/>
                <w:sz w:val="23"/>
                <w:szCs w:val="23"/>
              </w:rPr>
              <w:t>获</w:t>
            </w:r>
            <w:r>
              <w:rPr>
                <w:rFonts w:ascii="宋体" w:hAnsi="宋体" w:cs="宋体"/>
                <w:spacing w:val="-3"/>
                <w:sz w:val="23"/>
                <w:szCs w:val="23"/>
              </w:rPr>
              <w:t>取</w:t>
            </w:r>
            <w:r>
              <w:rPr>
                <w:rFonts w:ascii="宋体" w:hAnsi="宋体" w:cs="宋体"/>
                <w:spacing w:val="25"/>
                <w:sz w:val="23"/>
                <w:szCs w:val="23"/>
              </w:rPr>
              <w:t>招</w:t>
            </w:r>
            <w:r>
              <w:rPr>
                <w:rFonts w:ascii="宋体" w:hAnsi="宋体" w:cs="宋体"/>
                <w:spacing w:val="-4"/>
                <w:sz w:val="23"/>
                <w:szCs w:val="23"/>
              </w:rPr>
              <w:t>标</w:t>
            </w:r>
            <w:r>
              <w:rPr>
                <w:rFonts w:ascii="宋体" w:hAnsi="宋体" w:cs="宋体"/>
                <w:spacing w:val="-2"/>
                <w:sz w:val="23"/>
                <w:szCs w:val="23"/>
              </w:rPr>
              <w:t>文件</w:t>
            </w:r>
            <w:r>
              <w:rPr>
                <w:rFonts w:ascii="宋体" w:hAnsi="宋体" w:cs="宋体"/>
                <w:spacing w:val="7"/>
                <w:sz w:val="23"/>
                <w:szCs w:val="23"/>
              </w:rPr>
              <w:t>的</w:t>
            </w:r>
            <w:r>
              <w:rPr>
                <w:rFonts w:ascii="宋体" w:hAnsi="宋体" w:cs="宋体"/>
                <w:spacing w:val="6"/>
                <w:sz w:val="23"/>
                <w:szCs w:val="23"/>
              </w:rPr>
              <w:t>方式</w:t>
            </w:r>
          </w:p>
        </w:tc>
        <w:tc>
          <w:tcPr>
            <w:tcW w:w="4612" w:type="dxa"/>
            <w:gridSpan w:val="5"/>
            <w:tcBorders>
              <w:top w:val="single" w:color="000000" w:sz="2" w:space="0"/>
              <w:left w:val="single" w:color="000000" w:sz="2" w:space="0"/>
              <w:bottom w:val="single" w:color="000000" w:sz="2" w:space="0"/>
              <w:right w:val="single" w:color="000000" w:sz="2" w:space="0"/>
            </w:tcBorders>
          </w:tcPr>
          <w:p w14:paraId="4E743C74">
            <w:pPr>
              <w:widowControl w:val="0"/>
              <w:spacing w:before="38" w:after="0" w:line="247" w:lineRule="auto"/>
              <w:ind w:left="132" w:firstLine="0"/>
              <w:jc w:val="left"/>
              <w:rPr>
                <w:rFonts w:ascii="宋体" w:hAnsi="宋体" w:cs="宋体"/>
                <w:sz w:val="23"/>
                <w:szCs w:val="23"/>
              </w:rPr>
            </w:pPr>
            <w:r>
              <w:rPr>
                <w:rFonts w:ascii="宋体" w:hAnsi="宋体" w:cs="宋体"/>
                <w:spacing w:val="3"/>
                <w:sz w:val="23"/>
                <w:szCs w:val="23"/>
              </w:rPr>
              <w:t>投标人自行登录</w:t>
            </w:r>
            <w:r>
              <w:rPr>
                <w:rFonts w:hint="eastAsia" w:ascii="宋体" w:hAnsi="宋体" w:cs="宋体"/>
                <w:spacing w:val="3"/>
                <w:sz w:val="23"/>
                <w:szCs w:val="23"/>
              </w:rPr>
              <w:t>广州公共资源交易中心（网址：http://www.gzggzy.cn）网站</w:t>
            </w:r>
            <w:r>
              <w:rPr>
                <w:rFonts w:ascii="宋体" w:hAnsi="宋体" w:cs="宋体"/>
                <w:spacing w:val="8"/>
                <w:sz w:val="23"/>
                <w:szCs w:val="23"/>
              </w:rPr>
              <w:t>找到</w:t>
            </w:r>
            <w:r>
              <w:rPr>
                <w:rFonts w:ascii="宋体" w:hAnsi="宋体" w:cs="宋体"/>
                <w:spacing w:val="4"/>
                <w:sz w:val="23"/>
                <w:szCs w:val="23"/>
              </w:rPr>
              <w:t>本项目的招标公告后，下</w:t>
            </w:r>
            <w:r>
              <w:rPr>
                <w:rFonts w:ascii="宋体" w:hAnsi="宋体" w:cs="宋体"/>
                <w:spacing w:val="8"/>
                <w:sz w:val="23"/>
                <w:szCs w:val="23"/>
              </w:rPr>
              <w:t>载招</w:t>
            </w:r>
            <w:r>
              <w:rPr>
                <w:rFonts w:ascii="宋体" w:hAnsi="宋体" w:cs="宋体"/>
                <w:spacing w:val="4"/>
                <w:sz w:val="23"/>
                <w:szCs w:val="23"/>
              </w:rPr>
              <w:t>标文件及相关资料。符合</w:t>
            </w:r>
            <w:r>
              <w:rPr>
                <w:rFonts w:ascii="宋体" w:hAnsi="宋体" w:cs="宋体"/>
                <w:spacing w:val="8"/>
                <w:sz w:val="23"/>
                <w:szCs w:val="23"/>
              </w:rPr>
              <w:t>本项</w:t>
            </w:r>
            <w:r>
              <w:rPr>
                <w:rFonts w:ascii="宋体" w:hAnsi="宋体" w:cs="宋体"/>
                <w:spacing w:val="4"/>
                <w:sz w:val="23"/>
                <w:szCs w:val="23"/>
              </w:rPr>
              <w:t>目资格要求的投标人根据</w:t>
            </w:r>
            <w:r>
              <w:rPr>
                <w:rFonts w:ascii="宋体" w:hAnsi="宋体" w:cs="宋体"/>
                <w:spacing w:val="11"/>
                <w:sz w:val="23"/>
                <w:szCs w:val="23"/>
              </w:rPr>
              <w:t>招</w:t>
            </w:r>
            <w:r>
              <w:rPr>
                <w:rFonts w:ascii="宋体" w:hAnsi="宋体" w:cs="宋体"/>
                <w:spacing w:val="6"/>
                <w:sz w:val="23"/>
                <w:szCs w:val="23"/>
              </w:rPr>
              <w:t>标文件要求编制投标文件</w:t>
            </w:r>
            <w:r>
              <w:rPr>
                <w:rFonts w:hint="eastAsia" w:ascii="宋体" w:hAnsi="宋体" w:cs="宋体"/>
                <w:spacing w:val="6"/>
                <w:sz w:val="23"/>
                <w:szCs w:val="23"/>
              </w:rPr>
              <w:t>及缴纳投标保证金的</w:t>
            </w:r>
            <w:r>
              <w:rPr>
                <w:rFonts w:ascii="宋体" w:hAnsi="宋体" w:cs="宋体"/>
                <w:spacing w:val="6"/>
                <w:sz w:val="23"/>
                <w:szCs w:val="23"/>
              </w:rPr>
              <w:t>，可</w:t>
            </w:r>
            <w:r>
              <w:rPr>
                <w:rFonts w:ascii="宋体" w:hAnsi="宋体" w:cs="宋体"/>
                <w:spacing w:val="4"/>
                <w:sz w:val="23"/>
                <w:szCs w:val="23"/>
              </w:rPr>
              <w:t>直接参与本项目的投标。</w:t>
            </w:r>
          </w:p>
        </w:tc>
      </w:tr>
      <w:tr w14:paraId="4C2C39E9">
        <w:tblPrEx>
          <w:tblCellMar>
            <w:top w:w="0" w:type="dxa"/>
            <w:left w:w="2" w:type="dxa"/>
            <w:bottom w:w="0" w:type="dxa"/>
            <w:right w:w="2" w:type="dxa"/>
          </w:tblCellMar>
        </w:tblPrEx>
        <w:trPr>
          <w:trHeight w:val="902" w:hRule="atLeast"/>
          <w:jc w:val="center"/>
        </w:trPr>
        <w:tc>
          <w:tcPr>
            <w:tcW w:w="2013" w:type="dxa"/>
            <w:tcBorders>
              <w:top w:val="single" w:color="000000" w:sz="2" w:space="0"/>
              <w:left w:val="single" w:color="000000" w:sz="2" w:space="0"/>
              <w:bottom w:val="single" w:color="000000" w:sz="2" w:space="0"/>
              <w:right w:val="single" w:color="000000" w:sz="2" w:space="0"/>
            </w:tcBorders>
          </w:tcPr>
          <w:p w14:paraId="05E8D897">
            <w:pPr>
              <w:widowControl w:val="0"/>
              <w:spacing w:before="177" w:after="0" w:line="264" w:lineRule="auto"/>
              <w:ind w:right="109" w:firstLine="0"/>
              <w:jc w:val="center"/>
              <w:rPr>
                <w:rFonts w:ascii="宋体" w:hAnsi="宋体" w:cs="宋体"/>
                <w:sz w:val="23"/>
                <w:szCs w:val="23"/>
              </w:rPr>
            </w:pPr>
            <w:r>
              <w:rPr>
                <w:rFonts w:ascii="宋体" w:hAnsi="宋体" w:cs="宋体"/>
                <w:spacing w:val="13"/>
                <w:sz w:val="23"/>
                <w:szCs w:val="23"/>
                <w14:textOutline w14:w="4356" w14:cap="sq" w14:cmpd="sng" w14:algn="ctr">
                  <w14:solidFill>
                    <w14:srgbClr w14:val="000000"/>
                  </w14:solidFill>
                  <w14:prstDash w14:val="solid"/>
                  <w14:bevel/>
                </w14:textOutline>
              </w:rPr>
              <w:t>获</w:t>
            </w:r>
            <w:r>
              <w:rPr>
                <w:rFonts w:ascii="宋体" w:hAnsi="宋体" w:cs="宋体"/>
                <w:spacing w:val="8"/>
                <w:sz w:val="23"/>
                <w:szCs w:val="23"/>
                <w14:textOutline w14:w="4356" w14:cap="sq" w14:cmpd="sng" w14:algn="ctr">
                  <w14:solidFill>
                    <w14:srgbClr w14:val="000000"/>
                  </w14:solidFill>
                  <w14:prstDash w14:val="solid"/>
                  <w14:bevel/>
                </w14:textOutline>
              </w:rPr>
              <w:t>取招标文件开</w:t>
            </w:r>
            <w:r>
              <w:rPr>
                <w:rFonts w:ascii="宋体" w:hAnsi="宋体" w:cs="宋体"/>
                <w:sz w:val="23"/>
                <w:szCs w:val="23"/>
              </w:rPr>
              <w:t xml:space="preserve"> </w:t>
            </w:r>
            <w:r>
              <w:rPr>
                <w:rFonts w:ascii="宋体" w:hAnsi="宋体" w:cs="宋体"/>
                <w:spacing w:val="8"/>
                <w:sz w:val="23"/>
                <w:szCs w:val="23"/>
                <w14:textOutline w14:w="4356" w14:cap="sq" w14:cmpd="sng" w14:algn="ctr">
                  <w14:solidFill>
                    <w14:srgbClr w14:val="000000"/>
                  </w14:solidFill>
                  <w14:prstDash w14:val="solid"/>
                  <w14:bevel/>
                </w14:textOutline>
              </w:rPr>
              <w:t>始</w:t>
            </w:r>
            <w:r>
              <w:rPr>
                <w:rFonts w:ascii="宋体" w:hAnsi="宋体" w:cs="宋体"/>
                <w:spacing w:val="7"/>
                <w:sz w:val="23"/>
                <w:szCs w:val="23"/>
                <w14:textOutline w14:w="4356" w14:cap="sq" w14:cmpd="sng" w14:algn="ctr">
                  <w14:solidFill>
                    <w14:srgbClr w14:val="000000"/>
                  </w14:solidFill>
                  <w14:prstDash w14:val="solid"/>
                  <w14:bevel/>
                </w14:textOutline>
              </w:rPr>
              <w:t>时间</w:t>
            </w:r>
          </w:p>
        </w:tc>
        <w:tc>
          <w:tcPr>
            <w:tcW w:w="3354" w:type="dxa"/>
            <w:gridSpan w:val="4"/>
            <w:tcBorders>
              <w:top w:val="single" w:color="000000" w:sz="2" w:space="0"/>
              <w:left w:val="single" w:color="000000" w:sz="2" w:space="0"/>
              <w:bottom w:val="single" w:color="000000" w:sz="2" w:space="0"/>
              <w:right w:val="single" w:color="000000" w:sz="2" w:space="0"/>
            </w:tcBorders>
          </w:tcPr>
          <w:p w14:paraId="0344DF19">
            <w:pPr>
              <w:widowControl w:val="0"/>
              <w:spacing w:before="176" w:after="0" w:line="264" w:lineRule="auto"/>
              <w:ind w:right="188" w:firstLine="0"/>
              <w:rPr>
                <w:rFonts w:ascii="宋体" w:hAnsi="宋体" w:cs="宋体"/>
                <w:spacing w:val="-15"/>
                <w:sz w:val="23"/>
                <w:szCs w:val="23"/>
              </w:rPr>
            </w:pPr>
            <w:r>
              <w:rPr>
                <w:rFonts w:ascii="宋体" w:hAnsi="宋体" w:cs="宋体"/>
                <w:spacing w:val="-28"/>
                <w:sz w:val="23"/>
                <w:szCs w:val="23"/>
              </w:rPr>
              <w:t>2</w:t>
            </w:r>
            <w:r>
              <w:rPr>
                <w:rFonts w:ascii="宋体" w:hAnsi="宋体" w:cs="宋体"/>
                <w:spacing w:val="-16"/>
                <w:sz w:val="23"/>
                <w:szCs w:val="23"/>
              </w:rPr>
              <w:t>02</w:t>
            </w:r>
            <w:r>
              <w:rPr>
                <w:rFonts w:hint="eastAsia" w:ascii="宋体" w:hAnsi="宋体" w:cs="宋体"/>
                <w:spacing w:val="-16"/>
                <w:sz w:val="23"/>
                <w:szCs w:val="23"/>
                <w:lang w:val="en-US" w:eastAsia="zh-CN"/>
              </w:rPr>
              <w:t>5</w:t>
            </w:r>
            <w:r>
              <w:rPr>
                <w:rFonts w:ascii="宋体" w:hAnsi="宋体" w:cs="宋体"/>
                <w:spacing w:val="-16"/>
                <w:sz w:val="23"/>
                <w:szCs w:val="23"/>
              </w:rPr>
              <w:t xml:space="preserve">年 </w:t>
            </w:r>
            <w:r>
              <w:rPr>
                <w:rFonts w:ascii="宋体" w:hAnsi="宋体" w:cs="宋体"/>
                <w:spacing w:val="-16"/>
                <w:sz w:val="23"/>
                <w:szCs w:val="23"/>
                <w:u w:val="single"/>
              </w:rPr>
              <w:t xml:space="preserve">   </w:t>
            </w:r>
            <w:r>
              <w:rPr>
                <w:rFonts w:ascii="宋体" w:hAnsi="宋体" w:cs="宋体"/>
                <w:spacing w:val="-16"/>
                <w:sz w:val="23"/>
                <w:szCs w:val="23"/>
              </w:rPr>
              <w:t xml:space="preserve">月 </w:t>
            </w:r>
            <w:r>
              <w:rPr>
                <w:rFonts w:ascii="宋体" w:hAnsi="宋体" w:cs="宋体"/>
                <w:spacing w:val="-16"/>
                <w:sz w:val="23"/>
                <w:szCs w:val="23"/>
                <w:u w:val="single"/>
              </w:rPr>
              <w:t xml:space="preserve">   </w:t>
            </w:r>
            <w:r>
              <w:rPr>
                <w:rFonts w:ascii="宋体" w:hAnsi="宋体" w:cs="宋体"/>
                <w:spacing w:val="-19"/>
                <w:sz w:val="23"/>
                <w:szCs w:val="23"/>
              </w:rPr>
              <w:t>日</w:t>
            </w:r>
            <w:r>
              <w:rPr>
                <w:rFonts w:ascii="宋体" w:hAnsi="宋体" w:cs="宋体"/>
                <w:spacing w:val="-15"/>
                <w:sz w:val="23"/>
                <w:szCs w:val="23"/>
              </w:rPr>
              <w:t xml:space="preserve"> </w:t>
            </w:r>
            <w:r>
              <w:rPr>
                <w:rFonts w:ascii="宋体" w:hAnsi="宋体" w:cs="宋体"/>
                <w:spacing w:val="-15"/>
                <w:sz w:val="23"/>
                <w:szCs w:val="23"/>
                <w:u w:val="single"/>
              </w:rPr>
              <w:t xml:space="preserve">00 </w:t>
            </w:r>
            <w:r>
              <w:rPr>
                <w:rFonts w:ascii="宋体" w:hAnsi="宋体" w:cs="宋体"/>
                <w:spacing w:val="-15"/>
                <w:sz w:val="23"/>
                <w:szCs w:val="23"/>
              </w:rPr>
              <w:t xml:space="preserve">时 </w:t>
            </w:r>
            <w:r>
              <w:rPr>
                <w:rFonts w:ascii="宋体" w:hAnsi="宋体" w:cs="宋体"/>
                <w:spacing w:val="-15"/>
                <w:sz w:val="23"/>
                <w:szCs w:val="23"/>
                <w:u w:val="single"/>
              </w:rPr>
              <w:t xml:space="preserve">00 </w:t>
            </w:r>
            <w:r>
              <w:rPr>
                <w:rFonts w:ascii="宋体" w:hAnsi="宋体" w:cs="宋体"/>
                <w:spacing w:val="-15"/>
                <w:sz w:val="23"/>
                <w:szCs w:val="23"/>
              </w:rPr>
              <w:t>分</w:t>
            </w:r>
          </w:p>
          <w:p w14:paraId="28B0FE73">
            <w:pPr>
              <w:pStyle w:val="15"/>
              <w:ind w:left="0" w:leftChars="0" w:firstLine="0" w:firstLineChars="0"/>
            </w:pPr>
            <w:r>
              <w:rPr>
                <w:rFonts w:hint="eastAsia"/>
              </w:rPr>
              <w:t>（详见广州公共资源交易中心网本项目日程安排）</w:t>
            </w:r>
          </w:p>
        </w:tc>
        <w:tc>
          <w:tcPr>
            <w:tcW w:w="1446" w:type="dxa"/>
            <w:gridSpan w:val="3"/>
            <w:tcBorders>
              <w:top w:val="single" w:color="000000" w:sz="2" w:space="0"/>
              <w:left w:val="single" w:color="000000" w:sz="2" w:space="0"/>
              <w:bottom w:val="single" w:color="000000" w:sz="2" w:space="0"/>
              <w:right w:val="single" w:color="000000" w:sz="2" w:space="0"/>
            </w:tcBorders>
          </w:tcPr>
          <w:p w14:paraId="5DEF14A6">
            <w:pPr>
              <w:widowControl w:val="0"/>
              <w:spacing w:before="176" w:after="0" w:line="264" w:lineRule="auto"/>
              <w:ind w:right="165" w:firstLine="0"/>
              <w:jc w:val="center"/>
              <w:rPr>
                <w:rFonts w:ascii="宋体" w:hAnsi="宋体" w:cs="宋体"/>
                <w:sz w:val="23"/>
                <w:szCs w:val="23"/>
              </w:rPr>
            </w:pPr>
            <w:r>
              <w:rPr>
                <w:rFonts w:ascii="宋体" w:hAnsi="宋体" w:cs="宋体"/>
                <w:spacing w:val="11"/>
                <w:sz w:val="23"/>
                <w:szCs w:val="23"/>
                <w14:textOutline w14:w="4356" w14:cap="sq" w14:cmpd="sng" w14:algn="ctr">
                  <w14:solidFill>
                    <w14:srgbClr w14:val="000000"/>
                  </w14:solidFill>
                  <w14:prstDash w14:val="solid"/>
                  <w14:bevel/>
                </w14:textOutline>
              </w:rPr>
              <w:t>获</w:t>
            </w:r>
            <w:r>
              <w:rPr>
                <w:rFonts w:ascii="宋体" w:hAnsi="宋体" w:cs="宋体"/>
                <w:spacing w:val="8"/>
                <w:sz w:val="23"/>
                <w:szCs w:val="23"/>
                <w14:textOutline w14:w="4356" w14:cap="sq" w14:cmpd="sng" w14:algn="ctr">
                  <w14:solidFill>
                    <w14:srgbClr w14:val="000000"/>
                  </w14:solidFill>
                  <w14:prstDash w14:val="solid"/>
                  <w14:bevel/>
                </w14:textOutline>
              </w:rPr>
              <w:t>取招标文件</w:t>
            </w:r>
            <w:r>
              <w:rPr>
                <w:rFonts w:ascii="宋体" w:hAnsi="宋体" w:cs="宋体"/>
                <w:spacing w:val="9"/>
                <w:sz w:val="23"/>
                <w:szCs w:val="23"/>
                <w14:textOutline w14:w="4356" w14:cap="sq" w14:cmpd="sng" w14:algn="ctr">
                  <w14:solidFill>
                    <w14:srgbClr w14:val="000000"/>
                  </w14:solidFill>
                  <w14:prstDash w14:val="solid"/>
                  <w14:bevel/>
                </w14:textOutline>
              </w:rPr>
              <w:t>截</w:t>
            </w:r>
            <w:r>
              <w:rPr>
                <w:rFonts w:ascii="宋体" w:hAnsi="宋体" w:cs="宋体"/>
                <w:spacing w:val="8"/>
                <w:sz w:val="23"/>
                <w:szCs w:val="23"/>
                <w14:textOutline w14:w="4356" w14:cap="sq" w14:cmpd="sng" w14:algn="ctr">
                  <w14:solidFill>
                    <w14:srgbClr w14:val="000000"/>
                  </w14:solidFill>
                  <w14:prstDash w14:val="solid"/>
                  <w14:bevel/>
                </w14:textOutline>
              </w:rPr>
              <w:t>止时间</w:t>
            </w:r>
          </w:p>
        </w:tc>
        <w:tc>
          <w:tcPr>
            <w:tcW w:w="3166" w:type="dxa"/>
            <w:gridSpan w:val="2"/>
            <w:tcBorders>
              <w:top w:val="single" w:color="000000" w:sz="2" w:space="0"/>
              <w:left w:val="single" w:color="000000" w:sz="2" w:space="0"/>
              <w:bottom w:val="single" w:color="000000" w:sz="2" w:space="0"/>
              <w:right w:val="single" w:color="000000" w:sz="2" w:space="0"/>
            </w:tcBorders>
          </w:tcPr>
          <w:p w14:paraId="2AA1C630">
            <w:pPr>
              <w:keepNext w:val="0"/>
              <w:keepLines w:val="0"/>
              <w:pageBreakBefore w:val="0"/>
              <w:widowControl w:val="0"/>
              <w:kinsoku/>
              <w:wordWrap/>
              <w:overflowPunct/>
              <w:topLinePunct w:val="0"/>
              <w:autoSpaceDE/>
              <w:autoSpaceDN/>
              <w:bidi w:val="0"/>
              <w:adjustRightInd/>
              <w:snapToGrid/>
              <w:spacing w:before="180" w:after="0" w:line="226" w:lineRule="auto"/>
              <w:textAlignment w:val="auto"/>
              <w:rPr>
                <w:rFonts w:ascii="宋体" w:hAnsi="宋体" w:cs="宋体"/>
                <w:spacing w:val="-22"/>
                <w:sz w:val="23"/>
                <w:szCs w:val="23"/>
              </w:rPr>
            </w:pPr>
            <w:r>
              <w:rPr>
                <w:rFonts w:ascii="宋体" w:hAnsi="宋体" w:cs="宋体"/>
                <w:spacing w:val="-24"/>
                <w:sz w:val="23"/>
                <w:szCs w:val="23"/>
              </w:rPr>
              <w:t>2</w:t>
            </w:r>
            <w:r>
              <w:rPr>
                <w:rFonts w:ascii="宋体" w:hAnsi="宋体" w:cs="宋体"/>
                <w:spacing w:val="-22"/>
                <w:sz w:val="23"/>
                <w:szCs w:val="23"/>
              </w:rPr>
              <w:t>02</w:t>
            </w:r>
            <w:r>
              <w:rPr>
                <w:rFonts w:hint="eastAsia" w:ascii="宋体" w:hAnsi="宋体" w:cs="宋体"/>
                <w:spacing w:val="-22"/>
                <w:sz w:val="23"/>
                <w:szCs w:val="23"/>
                <w:lang w:val="en-US" w:eastAsia="zh-CN"/>
              </w:rPr>
              <w:t>5</w:t>
            </w:r>
            <w:r>
              <w:rPr>
                <w:rFonts w:ascii="宋体" w:hAnsi="宋体" w:cs="宋体"/>
                <w:spacing w:val="-22"/>
                <w:sz w:val="23"/>
                <w:szCs w:val="23"/>
              </w:rPr>
              <w:t xml:space="preserve">年 </w:t>
            </w:r>
            <w:r>
              <w:rPr>
                <w:rFonts w:ascii="宋体" w:hAnsi="宋体" w:cs="宋体"/>
                <w:spacing w:val="-22"/>
                <w:sz w:val="23"/>
                <w:szCs w:val="23"/>
                <w:u w:val="single"/>
              </w:rPr>
              <w:t xml:space="preserve">   </w:t>
            </w:r>
            <w:r>
              <w:rPr>
                <w:rFonts w:ascii="宋体" w:hAnsi="宋体" w:cs="宋体"/>
                <w:spacing w:val="-22"/>
                <w:sz w:val="23"/>
                <w:szCs w:val="23"/>
              </w:rPr>
              <w:t xml:space="preserve">月 </w:t>
            </w:r>
            <w:r>
              <w:rPr>
                <w:rFonts w:ascii="宋体" w:hAnsi="宋体" w:cs="宋体"/>
                <w:spacing w:val="-22"/>
                <w:sz w:val="23"/>
                <w:szCs w:val="23"/>
                <w:u w:val="single"/>
              </w:rPr>
              <w:t xml:space="preserve">   </w:t>
            </w:r>
            <w:r>
              <w:rPr>
                <w:rFonts w:ascii="宋体" w:hAnsi="宋体" w:cs="宋体"/>
                <w:spacing w:val="-22"/>
                <w:sz w:val="23"/>
                <w:szCs w:val="23"/>
              </w:rPr>
              <w:t xml:space="preserve">日 </w:t>
            </w:r>
            <w:r>
              <w:rPr>
                <w:rFonts w:ascii="宋体" w:hAnsi="宋体" w:cs="宋体"/>
                <w:spacing w:val="-22"/>
                <w:sz w:val="23"/>
                <w:szCs w:val="23"/>
                <w:u w:val="single"/>
              </w:rPr>
              <w:t xml:space="preserve"> </w:t>
            </w:r>
            <w:r>
              <w:rPr>
                <w:rFonts w:hint="eastAsia" w:ascii="宋体" w:hAnsi="宋体" w:cs="宋体"/>
                <w:spacing w:val="-22"/>
                <w:sz w:val="23"/>
                <w:szCs w:val="23"/>
                <w:u w:val="single"/>
                <w:lang w:val="en-US" w:eastAsia="zh-CN"/>
              </w:rPr>
              <w:t>9</w:t>
            </w:r>
            <w:r>
              <w:rPr>
                <w:rFonts w:ascii="宋体" w:hAnsi="宋体" w:cs="宋体"/>
                <w:spacing w:val="-22"/>
                <w:sz w:val="23"/>
                <w:szCs w:val="23"/>
                <w:u w:val="single"/>
              </w:rPr>
              <w:t xml:space="preserve"> </w:t>
            </w:r>
            <w:r>
              <w:rPr>
                <w:rFonts w:ascii="宋体" w:hAnsi="宋体" w:cs="宋体"/>
                <w:spacing w:val="-22"/>
                <w:sz w:val="23"/>
                <w:szCs w:val="23"/>
              </w:rPr>
              <w:t xml:space="preserve">时 </w:t>
            </w:r>
            <w:r>
              <w:rPr>
                <w:rFonts w:hint="eastAsia" w:ascii="宋体" w:hAnsi="宋体" w:cs="宋体"/>
                <w:spacing w:val="-22"/>
                <w:sz w:val="23"/>
                <w:szCs w:val="23"/>
                <w:u w:val="single"/>
                <w:lang w:val="en-US" w:eastAsia="zh-CN"/>
              </w:rPr>
              <w:t>3</w:t>
            </w:r>
            <w:r>
              <w:rPr>
                <w:rFonts w:ascii="宋体" w:hAnsi="宋体" w:cs="宋体"/>
                <w:spacing w:val="-22"/>
                <w:sz w:val="23"/>
                <w:szCs w:val="23"/>
                <w:u w:val="single"/>
              </w:rPr>
              <w:t xml:space="preserve">0 </w:t>
            </w:r>
            <w:r>
              <w:rPr>
                <w:rFonts w:ascii="宋体" w:hAnsi="宋体" w:cs="宋体"/>
                <w:spacing w:val="-22"/>
                <w:sz w:val="23"/>
                <w:szCs w:val="23"/>
              </w:rPr>
              <w:t>分</w:t>
            </w:r>
          </w:p>
          <w:p w14:paraId="1407D615">
            <w:pPr>
              <w:pStyle w:val="15"/>
              <w:ind w:left="0" w:leftChars="0" w:firstLine="0" w:firstLineChars="0"/>
            </w:pPr>
            <w:r>
              <w:rPr>
                <w:rFonts w:hint="eastAsia"/>
              </w:rPr>
              <w:t>（详见广州公共资源交易中心网本项目日程安排）</w:t>
            </w:r>
          </w:p>
        </w:tc>
      </w:tr>
      <w:tr w14:paraId="6CF87366">
        <w:tblPrEx>
          <w:tblCellMar>
            <w:top w:w="0" w:type="dxa"/>
            <w:left w:w="2" w:type="dxa"/>
            <w:bottom w:w="0" w:type="dxa"/>
            <w:right w:w="2" w:type="dxa"/>
          </w:tblCellMar>
        </w:tblPrEx>
        <w:trPr>
          <w:trHeight w:val="1641" w:hRule="atLeast"/>
          <w:jc w:val="center"/>
        </w:trPr>
        <w:tc>
          <w:tcPr>
            <w:tcW w:w="2013" w:type="dxa"/>
            <w:tcBorders>
              <w:top w:val="single" w:color="000000" w:sz="2" w:space="0"/>
              <w:left w:val="single" w:color="000000" w:sz="2" w:space="0"/>
              <w:bottom w:val="single" w:color="000000" w:sz="2" w:space="0"/>
              <w:right w:val="single" w:color="000000" w:sz="2" w:space="0"/>
            </w:tcBorders>
          </w:tcPr>
          <w:p w14:paraId="1A5064B4">
            <w:pPr>
              <w:widowControl w:val="0"/>
              <w:spacing w:before="0" w:after="0" w:line="271" w:lineRule="auto"/>
              <w:rPr>
                <w:rFonts w:ascii="宋体" w:hAnsi="宋体" w:cs="宋体"/>
                <w:sz w:val="23"/>
                <w:szCs w:val="23"/>
              </w:rPr>
            </w:pPr>
          </w:p>
          <w:p w14:paraId="4CCDCC68">
            <w:pPr>
              <w:widowControl w:val="0"/>
              <w:spacing w:before="74" w:after="0" w:line="264" w:lineRule="auto"/>
              <w:ind w:right="109" w:firstLine="0"/>
              <w:jc w:val="center"/>
              <w:rPr>
                <w:rFonts w:ascii="宋体" w:hAnsi="宋体" w:cs="宋体"/>
                <w:sz w:val="23"/>
                <w:szCs w:val="23"/>
              </w:rPr>
            </w:pPr>
            <w:r>
              <w:rPr>
                <w:rFonts w:ascii="宋体" w:hAnsi="宋体" w:cs="宋体"/>
                <w:spacing w:val="10"/>
                <w:sz w:val="23"/>
                <w:szCs w:val="23"/>
                <w14:textOutline w14:w="4356" w14:cap="sq" w14:cmpd="sng" w14:algn="ctr">
                  <w14:solidFill>
                    <w14:srgbClr w14:val="000000"/>
                  </w14:solidFill>
                  <w14:prstDash w14:val="solid"/>
                  <w14:bevel/>
                </w14:textOutline>
              </w:rPr>
              <w:t>递</w:t>
            </w:r>
            <w:r>
              <w:rPr>
                <w:rFonts w:ascii="宋体" w:hAnsi="宋体" w:cs="宋体"/>
                <w:spacing w:val="9"/>
                <w:sz w:val="23"/>
                <w:szCs w:val="23"/>
                <w14:textOutline w14:w="4356" w14:cap="sq" w14:cmpd="sng" w14:algn="ctr">
                  <w14:solidFill>
                    <w14:srgbClr w14:val="000000"/>
                  </w14:solidFill>
                  <w14:prstDash w14:val="solid"/>
                  <w14:bevel/>
                </w14:textOutline>
              </w:rPr>
              <w:t>交投标文件截</w:t>
            </w:r>
            <w:r>
              <w:rPr>
                <w:rFonts w:ascii="宋体" w:hAnsi="宋体" w:cs="宋体"/>
                <w:sz w:val="23"/>
                <w:szCs w:val="23"/>
              </w:rPr>
              <w:t xml:space="preserve"> </w:t>
            </w:r>
            <w:r>
              <w:rPr>
                <w:rFonts w:ascii="宋体" w:hAnsi="宋体" w:cs="宋体"/>
                <w:spacing w:val="8"/>
                <w:sz w:val="23"/>
                <w:szCs w:val="23"/>
                <w14:textOutline w14:w="4356" w14:cap="sq" w14:cmpd="sng" w14:algn="ctr">
                  <w14:solidFill>
                    <w14:srgbClr w14:val="000000"/>
                  </w14:solidFill>
                  <w14:prstDash w14:val="solid"/>
                  <w14:bevel/>
                </w14:textOutline>
              </w:rPr>
              <w:t>止</w:t>
            </w:r>
            <w:r>
              <w:rPr>
                <w:rFonts w:ascii="宋体" w:hAnsi="宋体" w:cs="宋体"/>
                <w:spacing w:val="7"/>
                <w:sz w:val="23"/>
                <w:szCs w:val="23"/>
                <w14:textOutline w14:w="4356" w14:cap="sq" w14:cmpd="sng" w14:algn="ctr">
                  <w14:solidFill>
                    <w14:srgbClr w14:val="000000"/>
                  </w14:solidFill>
                  <w14:prstDash w14:val="solid"/>
                  <w14:bevel/>
                </w14:textOutline>
              </w:rPr>
              <w:t>时间</w:t>
            </w:r>
          </w:p>
        </w:tc>
        <w:tc>
          <w:tcPr>
            <w:tcW w:w="2081" w:type="dxa"/>
            <w:gridSpan w:val="2"/>
            <w:tcBorders>
              <w:top w:val="single" w:color="000000" w:sz="2" w:space="0"/>
              <w:left w:val="single" w:color="000000" w:sz="2" w:space="0"/>
              <w:bottom w:val="single" w:color="000000" w:sz="2" w:space="0"/>
              <w:right w:val="single" w:color="000000" w:sz="2" w:space="0"/>
            </w:tcBorders>
          </w:tcPr>
          <w:p w14:paraId="0BB352C3">
            <w:pPr>
              <w:keepNext w:val="0"/>
              <w:keepLines w:val="0"/>
              <w:pageBreakBefore w:val="0"/>
              <w:widowControl w:val="0"/>
              <w:numPr>
                <w:ilvl w:val="0"/>
                <w:numId w:val="1"/>
              </w:numPr>
              <w:kinsoku/>
              <w:wordWrap/>
              <w:overflowPunct/>
              <w:topLinePunct w:val="0"/>
              <w:autoSpaceDE/>
              <w:autoSpaceDN/>
              <w:bidi w:val="0"/>
              <w:adjustRightInd/>
              <w:snapToGrid/>
              <w:spacing w:before="75" w:after="0" w:line="264" w:lineRule="auto"/>
              <w:ind w:left="105" w:leftChars="50" w:right="188" w:firstLine="0"/>
              <w:textAlignment w:val="auto"/>
              <w:rPr>
                <w:rFonts w:ascii="宋体" w:hAnsi="宋体" w:cs="宋体"/>
                <w:spacing w:val="-23"/>
                <w:sz w:val="23"/>
                <w:szCs w:val="23"/>
              </w:rPr>
            </w:pPr>
            <w:r>
              <w:rPr>
                <w:rFonts w:ascii="宋体" w:hAnsi="宋体" w:cs="宋体"/>
                <w:spacing w:val="-16"/>
                <w:sz w:val="23"/>
                <w:szCs w:val="23"/>
              </w:rPr>
              <w:t>电子投标文件的递交截止时间为</w:t>
            </w:r>
            <w:r>
              <w:rPr>
                <w:rFonts w:ascii="宋体" w:hAnsi="宋体" w:cs="宋体"/>
                <w:spacing w:val="-28"/>
                <w:sz w:val="23"/>
                <w:szCs w:val="23"/>
              </w:rPr>
              <w:t>2</w:t>
            </w:r>
            <w:r>
              <w:rPr>
                <w:rFonts w:ascii="宋体" w:hAnsi="宋体" w:cs="宋体"/>
                <w:spacing w:val="-16"/>
                <w:sz w:val="23"/>
                <w:szCs w:val="23"/>
              </w:rPr>
              <w:t>02</w:t>
            </w:r>
            <w:r>
              <w:rPr>
                <w:rFonts w:hint="eastAsia" w:ascii="宋体" w:hAnsi="宋体" w:cs="宋体"/>
                <w:spacing w:val="-16"/>
                <w:sz w:val="23"/>
                <w:szCs w:val="23"/>
                <w:lang w:val="en-US" w:eastAsia="zh-CN"/>
              </w:rPr>
              <w:t>5</w:t>
            </w:r>
            <w:r>
              <w:rPr>
                <w:rFonts w:ascii="宋体" w:hAnsi="宋体" w:cs="宋体"/>
                <w:spacing w:val="-16"/>
                <w:sz w:val="23"/>
                <w:szCs w:val="23"/>
              </w:rPr>
              <w:t>年</w:t>
            </w:r>
            <w:r>
              <w:rPr>
                <w:rFonts w:ascii="宋体" w:hAnsi="宋体" w:cs="宋体"/>
                <w:spacing w:val="-16"/>
                <w:sz w:val="23"/>
                <w:szCs w:val="23"/>
                <w:u w:val="single"/>
              </w:rPr>
              <w:t xml:space="preserve">   </w:t>
            </w:r>
            <w:r>
              <w:rPr>
                <w:rFonts w:ascii="宋体" w:hAnsi="宋体" w:cs="宋体"/>
                <w:spacing w:val="-16"/>
                <w:sz w:val="23"/>
                <w:szCs w:val="23"/>
              </w:rPr>
              <w:t xml:space="preserve">月 </w:t>
            </w:r>
            <w:r>
              <w:rPr>
                <w:rFonts w:ascii="宋体" w:hAnsi="宋体" w:cs="宋体"/>
                <w:spacing w:val="-16"/>
                <w:sz w:val="23"/>
                <w:szCs w:val="23"/>
                <w:u w:val="single"/>
              </w:rPr>
              <w:t xml:space="preserve">   </w:t>
            </w:r>
            <w:r>
              <w:rPr>
                <w:rFonts w:ascii="宋体" w:hAnsi="宋体" w:cs="宋体"/>
                <w:spacing w:val="-31"/>
                <w:sz w:val="23"/>
                <w:szCs w:val="23"/>
              </w:rPr>
              <w:t>日</w:t>
            </w:r>
            <w:r>
              <w:rPr>
                <w:rFonts w:ascii="宋体" w:hAnsi="宋体" w:cs="宋体"/>
                <w:spacing w:val="-23"/>
                <w:sz w:val="23"/>
                <w:szCs w:val="23"/>
              </w:rPr>
              <w:t xml:space="preserve"> </w:t>
            </w:r>
            <w:r>
              <w:rPr>
                <w:rFonts w:ascii="宋体" w:hAnsi="宋体" w:cs="宋体"/>
                <w:spacing w:val="-23"/>
                <w:sz w:val="23"/>
                <w:szCs w:val="23"/>
                <w:u w:val="single"/>
              </w:rPr>
              <w:t xml:space="preserve"> </w:t>
            </w:r>
            <w:r>
              <w:rPr>
                <w:rFonts w:hint="eastAsia" w:ascii="宋体" w:hAnsi="宋体" w:cs="宋体"/>
                <w:spacing w:val="-23"/>
                <w:sz w:val="23"/>
                <w:szCs w:val="23"/>
                <w:u w:val="single"/>
                <w:lang w:val="en-US" w:eastAsia="zh-CN"/>
              </w:rPr>
              <w:t>9</w:t>
            </w:r>
            <w:r>
              <w:rPr>
                <w:rFonts w:ascii="宋体" w:hAnsi="宋体" w:cs="宋体"/>
                <w:spacing w:val="-23"/>
                <w:sz w:val="23"/>
                <w:szCs w:val="23"/>
                <w:u w:val="single"/>
              </w:rPr>
              <w:t xml:space="preserve"> </w:t>
            </w:r>
            <w:r>
              <w:rPr>
                <w:rFonts w:ascii="宋体" w:hAnsi="宋体" w:cs="宋体"/>
                <w:spacing w:val="-23"/>
                <w:sz w:val="23"/>
                <w:szCs w:val="23"/>
              </w:rPr>
              <w:t xml:space="preserve">时 </w:t>
            </w:r>
            <w:r>
              <w:rPr>
                <w:rFonts w:hint="eastAsia" w:ascii="宋体" w:hAnsi="宋体" w:cs="宋体"/>
                <w:spacing w:val="-23"/>
                <w:sz w:val="23"/>
                <w:szCs w:val="23"/>
                <w:u w:val="single"/>
                <w:lang w:val="en-US" w:eastAsia="zh-CN"/>
              </w:rPr>
              <w:t>3</w:t>
            </w:r>
            <w:r>
              <w:rPr>
                <w:rFonts w:ascii="宋体" w:hAnsi="宋体" w:cs="宋体"/>
                <w:spacing w:val="-23"/>
                <w:sz w:val="23"/>
                <w:szCs w:val="23"/>
                <w:u w:val="single"/>
              </w:rPr>
              <w:t xml:space="preserve">0 </w:t>
            </w:r>
            <w:r>
              <w:rPr>
                <w:rFonts w:ascii="宋体" w:hAnsi="宋体" w:cs="宋体"/>
                <w:spacing w:val="-23"/>
                <w:sz w:val="23"/>
                <w:szCs w:val="23"/>
              </w:rPr>
              <w:t>分</w:t>
            </w:r>
            <w:r>
              <w:rPr>
                <w:rFonts w:hint="eastAsia" w:ascii="宋体" w:hAnsi="宋体" w:cs="宋体"/>
                <w:spacing w:val="-23"/>
                <w:sz w:val="23"/>
                <w:szCs w:val="23"/>
                <w:lang w:eastAsia="zh-CN"/>
              </w:rPr>
              <w:t>。</w:t>
            </w:r>
          </w:p>
          <w:p w14:paraId="0E0F7142">
            <w:pPr>
              <w:pStyle w:val="15"/>
              <w:keepNext w:val="0"/>
              <w:keepLines w:val="0"/>
              <w:pageBreakBefore w:val="0"/>
              <w:numPr>
                <w:ilvl w:val="0"/>
                <w:numId w:val="0"/>
              </w:numPr>
              <w:kinsoku/>
              <w:wordWrap/>
              <w:overflowPunct/>
              <w:topLinePunct w:val="0"/>
              <w:autoSpaceDE/>
              <w:autoSpaceDN/>
              <w:bidi w:val="0"/>
              <w:adjustRightInd/>
              <w:snapToGrid/>
              <w:ind w:left="465" w:leftChars="50"/>
              <w:textAlignment w:val="auto"/>
              <w:rPr>
                <w:rFonts w:hint="eastAsia"/>
              </w:rPr>
            </w:pPr>
            <w:r>
              <w:rPr>
                <w:rFonts w:hint="eastAsia"/>
              </w:rPr>
              <w:t>2.</w:t>
            </w:r>
            <w:r>
              <w:rPr>
                <w:rFonts w:hint="eastAsia" w:ascii="宋体" w:hAnsi="宋体" w:eastAsia="宋体" w:cs="宋体"/>
                <w:color w:val="auto"/>
                <w:spacing w:val="-16"/>
                <w:kern w:val="2"/>
                <w:sz w:val="23"/>
                <w:szCs w:val="23"/>
                <w:lang w:val="en-US" w:eastAsia="zh-CN" w:bidi="ar-SA"/>
              </w:rPr>
              <w:t>递交投标文件备用电子U盘</w:t>
            </w:r>
            <w:r>
              <w:rPr>
                <w:rFonts w:hint="eastAsia" w:cs="宋体"/>
                <w:color w:val="auto"/>
                <w:spacing w:val="-16"/>
                <w:kern w:val="2"/>
                <w:sz w:val="23"/>
                <w:szCs w:val="23"/>
                <w:lang w:val="en-US" w:eastAsia="zh-CN" w:bidi="ar-SA"/>
              </w:rPr>
              <w:t>、</w:t>
            </w:r>
            <w:r>
              <w:rPr>
                <w:rFonts w:hint="eastAsia" w:ascii="宋体" w:hAnsi="宋体" w:eastAsia="宋体" w:cs="宋体"/>
                <w:color w:val="auto"/>
                <w:spacing w:val="-16"/>
                <w:kern w:val="2"/>
                <w:sz w:val="23"/>
                <w:szCs w:val="23"/>
                <w:lang w:val="en-US" w:eastAsia="zh-CN" w:bidi="ar-SA"/>
              </w:rPr>
              <w:t>纸质投标担保</w:t>
            </w:r>
            <w:r>
              <w:rPr>
                <w:rFonts w:hint="eastAsia" w:cs="宋体"/>
                <w:color w:val="auto"/>
                <w:spacing w:val="-16"/>
                <w:kern w:val="2"/>
                <w:sz w:val="23"/>
                <w:szCs w:val="23"/>
                <w:lang w:val="en-US" w:eastAsia="zh-CN" w:bidi="ar-SA"/>
              </w:rPr>
              <w:t>（如有）</w:t>
            </w:r>
            <w:r>
              <w:rPr>
                <w:rFonts w:hint="eastAsia" w:ascii="宋体" w:hAnsi="宋体" w:eastAsia="宋体" w:cs="宋体"/>
                <w:color w:val="auto"/>
                <w:spacing w:val="-16"/>
                <w:kern w:val="2"/>
                <w:sz w:val="23"/>
                <w:szCs w:val="23"/>
                <w:lang w:val="en-US" w:eastAsia="zh-CN" w:bidi="ar-SA"/>
              </w:rPr>
              <w:t>时间</w:t>
            </w:r>
            <w:r>
              <w:rPr>
                <w:rFonts w:hint="eastAsia"/>
              </w:rPr>
              <w:t>：</w:t>
            </w:r>
          </w:p>
          <w:p w14:paraId="543043E7">
            <w:pPr>
              <w:pStyle w:val="15"/>
              <w:keepNext w:val="0"/>
              <w:keepLines w:val="0"/>
              <w:pageBreakBefore w:val="0"/>
              <w:numPr>
                <w:ilvl w:val="0"/>
                <w:numId w:val="0"/>
              </w:numPr>
              <w:kinsoku/>
              <w:wordWrap/>
              <w:overflowPunct/>
              <w:topLinePunct w:val="0"/>
              <w:autoSpaceDE/>
              <w:autoSpaceDN/>
              <w:bidi w:val="0"/>
              <w:adjustRightInd/>
              <w:snapToGrid/>
              <w:ind w:left="465" w:leftChars="50"/>
              <w:textAlignment w:val="auto"/>
              <w:rPr>
                <w:rFonts w:hint="eastAsia"/>
              </w:rPr>
            </w:pPr>
            <w:r>
              <w:rPr>
                <w:rFonts w:ascii="宋体" w:hAnsi="宋体" w:cs="宋体"/>
                <w:spacing w:val="-28"/>
                <w:sz w:val="23"/>
                <w:szCs w:val="23"/>
              </w:rPr>
              <w:t>2</w:t>
            </w:r>
            <w:r>
              <w:rPr>
                <w:rFonts w:ascii="宋体" w:hAnsi="宋体" w:cs="宋体"/>
                <w:spacing w:val="-16"/>
                <w:sz w:val="23"/>
                <w:szCs w:val="23"/>
              </w:rPr>
              <w:t>02</w:t>
            </w:r>
            <w:r>
              <w:rPr>
                <w:rFonts w:hint="eastAsia" w:cs="宋体"/>
                <w:spacing w:val="-16"/>
                <w:sz w:val="23"/>
                <w:szCs w:val="23"/>
                <w:lang w:val="en-US" w:eastAsia="zh-CN"/>
              </w:rPr>
              <w:t>5</w:t>
            </w:r>
            <w:r>
              <w:rPr>
                <w:rFonts w:ascii="宋体" w:hAnsi="宋体" w:cs="宋体"/>
                <w:spacing w:val="-16"/>
                <w:sz w:val="23"/>
                <w:szCs w:val="23"/>
              </w:rPr>
              <w:t>年</w:t>
            </w:r>
            <w:r>
              <w:rPr>
                <w:rFonts w:ascii="宋体" w:hAnsi="宋体" w:cs="宋体"/>
                <w:spacing w:val="-16"/>
                <w:sz w:val="23"/>
                <w:szCs w:val="23"/>
                <w:u w:val="single"/>
              </w:rPr>
              <w:t xml:space="preserve">   </w:t>
            </w:r>
            <w:r>
              <w:rPr>
                <w:rFonts w:ascii="宋体" w:hAnsi="宋体" w:cs="宋体"/>
                <w:spacing w:val="-16"/>
                <w:sz w:val="23"/>
                <w:szCs w:val="23"/>
              </w:rPr>
              <w:t xml:space="preserve">月 </w:t>
            </w:r>
            <w:r>
              <w:rPr>
                <w:rFonts w:ascii="宋体" w:hAnsi="宋体" w:cs="宋体"/>
                <w:spacing w:val="-16"/>
                <w:sz w:val="23"/>
                <w:szCs w:val="23"/>
                <w:u w:val="single"/>
              </w:rPr>
              <w:t xml:space="preserve">   </w:t>
            </w:r>
            <w:r>
              <w:rPr>
                <w:rFonts w:ascii="宋体" w:hAnsi="宋体" w:cs="宋体"/>
                <w:spacing w:val="-31"/>
                <w:sz w:val="23"/>
                <w:szCs w:val="23"/>
              </w:rPr>
              <w:t>日</w:t>
            </w:r>
            <w:r>
              <w:rPr>
                <w:rFonts w:ascii="宋体" w:hAnsi="宋体" w:cs="宋体"/>
                <w:spacing w:val="-23"/>
                <w:sz w:val="23"/>
                <w:szCs w:val="23"/>
              </w:rPr>
              <w:t xml:space="preserve"> </w:t>
            </w:r>
            <w:r>
              <w:rPr>
                <w:rFonts w:ascii="宋体" w:hAnsi="宋体" w:cs="宋体"/>
                <w:spacing w:val="-23"/>
                <w:sz w:val="23"/>
                <w:szCs w:val="23"/>
                <w:u w:val="single"/>
              </w:rPr>
              <w:t xml:space="preserve"> </w:t>
            </w:r>
            <w:r>
              <w:rPr>
                <w:rFonts w:hint="eastAsia" w:cs="宋体"/>
                <w:spacing w:val="-23"/>
                <w:sz w:val="23"/>
                <w:szCs w:val="23"/>
                <w:u w:val="single"/>
                <w:lang w:val="en-US" w:eastAsia="zh-CN"/>
              </w:rPr>
              <w:t>9</w:t>
            </w:r>
            <w:r>
              <w:rPr>
                <w:rFonts w:ascii="宋体" w:hAnsi="宋体" w:cs="宋体"/>
                <w:spacing w:val="-23"/>
                <w:sz w:val="23"/>
                <w:szCs w:val="23"/>
                <w:u w:val="single"/>
              </w:rPr>
              <w:t xml:space="preserve"> </w:t>
            </w:r>
            <w:r>
              <w:rPr>
                <w:rFonts w:ascii="宋体" w:hAnsi="宋体" w:cs="宋体"/>
                <w:spacing w:val="-23"/>
                <w:sz w:val="23"/>
                <w:szCs w:val="23"/>
              </w:rPr>
              <w:t xml:space="preserve">时 </w:t>
            </w:r>
            <w:r>
              <w:rPr>
                <w:rFonts w:hint="eastAsia" w:cs="宋体"/>
                <w:spacing w:val="-23"/>
                <w:sz w:val="23"/>
                <w:szCs w:val="23"/>
                <w:u w:val="single"/>
                <w:lang w:val="en-US" w:eastAsia="zh-CN"/>
              </w:rPr>
              <w:t>0</w:t>
            </w:r>
            <w:r>
              <w:rPr>
                <w:rFonts w:ascii="宋体" w:hAnsi="宋体" w:cs="宋体"/>
                <w:spacing w:val="-23"/>
                <w:sz w:val="23"/>
                <w:szCs w:val="23"/>
                <w:u w:val="single"/>
              </w:rPr>
              <w:t xml:space="preserve">0 </w:t>
            </w:r>
            <w:r>
              <w:rPr>
                <w:rFonts w:ascii="宋体" w:hAnsi="宋体" w:cs="宋体"/>
                <w:spacing w:val="-23"/>
                <w:sz w:val="23"/>
                <w:szCs w:val="23"/>
              </w:rPr>
              <w:t>分</w:t>
            </w:r>
            <w:r>
              <w:rPr>
                <w:rFonts w:hint="eastAsia"/>
              </w:rPr>
              <w:t>至</w:t>
            </w:r>
          </w:p>
          <w:p w14:paraId="4DED5430">
            <w:pPr>
              <w:pStyle w:val="15"/>
              <w:keepNext w:val="0"/>
              <w:keepLines w:val="0"/>
              <w:pageBreakBefore w:val="0"/>
              <w:numPr>
                <w:ilvl w:val="0"/>
                <w:numId w:val="0"/>
              </w:numPr>
              <w:kinsoku/>
              <w:wordWrap/>
              <w:overflowPunct/>
              <w:topLinePunct w:val="0"/>
              <w:autoSpaceDE/>
              <w:autoSpaceDN/>
              <w:bidi w:val="0"/>
              <w:adjustRightInd/>
              <w:snapToGrid/>
              <w:ind w:left="465" w:leftChars="50"/>
              <w:textAlignment w:val="auto"/>
              <w:rPr>
                <w:rFonts w:hint="eastAsia"/>
              </w:rPr>
            </w:pPr>
            <w:r>
              <w:rPr>
                <w:rFonts w:ascii="宋体" w:hAnsi="宋体" w:cs="宋体"/>
                <w:spacing w:val="-28"/>
                <w:sz w:val="23"/>
                <w:szCs w:val="23"/>
              </w:rPr>
              <w:t>2</w:t>
            </w:r>
            <w:r>
              <w:rPr>
                <w:rFonts w:ascii="宋体" w:hAnsi="宋体" w:cs="宋体"/>
                <w:spacing w:val="-16"/>
                <w:sz w:val="23"/>
                <w:szCs w:val="23"/>
              </w:rPr>
              <w:t>02</w:t>
            </w:r>
            <w:r>
              <w:rPr>
                <w:rFonts w:hint="eastAsia" w:cs="宋体"/>
                <w:spacing w:val="-16"/>
                <w:sz w:val="23"/>
                <w:szCs w:val="23"/>
                <w:lang w:val="en-US" w:eastAsia="zh-CN"/>
              </w:rPr>
              <w:t>5</w:t>
            </w:r>
            <w:r>
              <w:rPr>
                <w:rFonts w:ascii="宋体" w:hAnsi="宋体" w:cs="宋体"/>
                <w:spacing w:val="-16"/>
                <w:sz w:val="23"/>
                <w:szCs w:val="23"/>
              </w:rPr>
              <w:t>年</w:t>
            </w:r>
            <w:r>
              <w:rPr>
                <w:rFonts w:ascii="宋体" w:hAnsi="宋体" w:cs="宋体"/>
                <w:spacing w:val="-16"/>
                <w:sz w:val="23"/>
                <w:szCs w:val="23"/>
                <w:u w:val="single"/>
              </w:rPr>
              <w:t xml:space="preserve">   </w:t>
            </w:r>
            <w:r>
              <w:rPr>
                <w:rFonts w:ascii="宋体" w:hAnsi="宋体" w:cs="宋体"/>
                <w:spacing w:val="-16"/>
                <w:sz w:val="23"/>
                <w:szCs w:val="23"/>
              </w:rPr>
              <w:t xml:space="preserve">月 </w:t>
            </w:r>
            <w:r>
              <w:rPr>
                <w:rFonts w:ascii="宋体" w:hAnsi="宋体" w:cs="宋体"/>
                <w:spacing w:val="-16"/>
                <w:sz w:val="23"/>
                <w:szCs w:val="23"/>
                <w:u w:val="single"/>
              </w:rPr>
              <w:t xml:space="preserve">   </w:t>
            </w:r>
            <w:r>
              <w:rPr>
                <w:rFonts w:ascii="宋体" w:hAnsi="宋体" w:cs="宋体"/>
                <w:spacing w:val="-31"/>
                <w:sz w:val="23"/>
                <w:szCs w:val="23"/>
              </w:rPr>
              <w:t>日</w:t>
            </w:r>
            <w:r>
              <w:rPr>
                <w:rFonts w:ascii="宋体" w:hAnsi="宋体" w:cs="宋体"/>
                <w:spacing w:val="-23"/>
                <w:sz w:val="23"/>
                <w:szCs w:val="23"/>
              </w:rPr>
              <w:t xml:space="preserve"> </w:t>
            </w:r>
            <w:r>
              <w:rPr>
                <w:rFonts w:ascii="宋体" w:hAnsi="宋体" w:cs="宋体"/>
                <w:spacing w:val="-23"/>
                <w:sz w:val="23"/>
                <w:szCs w:val="23"/>
                <w:u w:val="single"/>
              </w:rPr>
              <w:t xml:space="preserve"> </w:t>
            </w:r>
            <w:r>
              <w:rPr>
                <w:rFonts w:hint="eastAsia" w:cs="宋体"/>
                <w:spacing w:val="-23"/>
                <w:sz w:val="23"/>
                <w:szCs w:val="23"/>
                <w:u w:val="single"/>
                <w:lang w:val="en-US" w:eastAsia="zh-CN"/>
              </w:rPr>
              <w:t>9</w:t>
            </w:r>
            <w:r>
              <w:rPr>
                <w:rFonts w:ascii="宋体" w:hAnsi="宋体" w:cs="宋体"/>
                <w:spacing w:val="-23"/>
                <w:sz w:val="23"/>
                <w:szCs w:val="23"/>
              </w:rPr>
              <w:t xml:space="preserve">时 </w:t>
            </w:r>
            <w:r>
              <w:rPr>
                <w:rFonts w:hint="eastAsia" w:cs="宋体"/>
                <w:spacing w:val="-23"/>
                <w:sz w:val="23"/>
                <w:szCs w:val="23"/>
                <w:u w:val="single"/>
                <w:lang w:val="en-US" w:eastAsia="zh-CN"/>
              </w:rPr>
              <w:t>3</w:t>
            </w:r>
            <w:r>
              <w:rPr>
                <w:rFonts w:ascii="宋体" w:hAnsi="宋体" w:cs="宋体"/>
                <w:spacing w:val="-23"/>
                <w:sz w:val="23"/>
                <w:szCs w:val="23"/>
                <w:u w:val="single"/>
              </w:rPr>
              <w:t xml:space="preserve">0 </w:t>
            </w:r>
            <w:r>
              <w:rPr>
                <w:rFonts w:ascii="宋体" w:hAnsi="宋体" w:cs="宋体"/>
                <w:spacing w:val="-23"/>
                <w:sz w:val="23"/>
                <w:szCs w:val="23"/>
              </w:rPr>
              <w:t>分</w:t>
            </w:r>
            <w:r>
              <w:rPr>
                <w:rFonts w:hint="eastAsia"/>
              </w:rPr>
              <w:t>；</w:t>
            </w:r>
          </w:p>
          <w:p w14:paraId="1EC8181B">
            <w:pPr>
              <w:pStyle w:val="15"/>
              <w:keepNext w:val="0"/>
              <w:keepLines w:val="0"/>
              <w:pageBreakBefore w:val="0"/>
              <w:numPr>
                <w:ilvl w:val="0"/>
                <w:numId w:val="0"/>
              </w:numPr>
              <w:kinsoku/>
              <w:wordWrap/>
              <w:overflowPunct/>
              <w:topLinePunct w:val="0"/>
              <w:autoSpaceDE/>
              <w:autoSpaceDN/>
              <w:bidi w:val="0"/>
              <w:adjustRightInd/>
              <w:snapToGrid/>
              <w:ind w:left="465" w:leftChars="50"/>
              <w:textAlignment w:val="auto"/>
            </w:pPr>
            <w:r>
              <w:rPr>
                <w:rFonts w:hint="eastAsia"/>
              </w:rPr>
              <w:t>地点：广州公共资源交易中心第</w:t>
            </w:r>
            <w:r>
              <w:rPr>
                <w:rFonts w:hint="eastAsia"/>
                <w:u w:val="single"/>
              </w:rPr>
              <w:t xml:space="preserve"> </w:t>
            </w:r>
            <w:r>
              <w:rPr>
                <w:rFonts w:hint="eastAsia"/>
                <w:u w:val="single"/>
                <w:lang w:val="en-US" w:eastAsia="zh-CN"/>
              </w:rPr>
              <w:t xml:space="preserve"> </w:t>
            </w:r>
            <w:r>
              <w:rPr>
                <w:rFonts w:hint="eastAsia"/>
              </w:rPr>
              <w:t>开标室。</w:t>
            </w:r>
          </w:p>
        </w:tc>
        <w:tc>
          <w:tcPr>
            <w:tcW w:w="1273" w:type="dxa"/>
            <w:gridSpan w:val="2"/>
            <w:tcBorders>
              <w:top w:val="single" w:color="000000" w:sz="2" w:space="0"/>
              <w:left w:val="single" w:color="000000" w:sz="2" w:space="0"/>
              <w:bottom w:val="single" w:color="000000" w:sz="2" w:space="0"/>
              <w:right w:val="single" w:color="000000" w:sz="2" w:space="0"/>
            </w:tcBorders>
          </w:tcPr>
          <w:p w14:paraId="44DA2FBC">
            <w:pPr>
              <w:widowControl w:val="0"/>
              <w:spacing w:before="0" w:after="0" w:line="268" w:lineRule="auto"/>
              <w:rPr>
                <w:rFonts w:ascii="宋体" w:hAnsi="宋体" w:cs="宋体"/>
                <w:color w:val="auto"/>
                <w:sz w:val="23"/>
                <w:szCs w:val="23"/>
              </w:rPr>
            </w:pPr>
          </w:p>
          <w:p w14:paraId="5EA3504C">
            <w:pPr>
              <w:widowControl w:val="0"/>
              <w:spacing w:before="74" w:after="0" w:line="264" w:lineRule="auto"/>
              <w:ind w:right="165" w:firstLine="0"/>
              <w:jc w:val="center"/>
              <w:rPr>
                <w:rFonts w:ascii="宋体" w:hAnsi="宋体" w:cs="宋体"/>
                <w:color w:val="auto"/>
                <w:sz w:val="23"/>
                <w:szCs w:val="23"/>
              </w:rPr>
            </w:pPr>
            <w:r>
              <w:rPr>
                <w:rFonts w:ascii="宋体" w:hAnsi="宋体" w:cs="宋体"/>
                <w:color w:val="auto"/>
                <w:spacing w:val="12"/>
                <w:sz w:val="23"/>
                <w:szCs w:val="23"/>
                <w14:textOutline w14:w="4356" w14:cap="sq" w14:cmpd="sng" w14:algn="ctr">
                  <w14:solidFill>
                    <w14:srgbClr w14:val="000000"/>
                  </w14:solidFill>
                  <w14:prstDash w14:val="solid"/>
                  <w14:bevel/>
                </w14:textOutline>
              </w:rPr>
              <w:t>投</w:t>
            </w:r>
            <w:r>
              <w:rPr>
                <w:rFonts w:ascii="宋体" w:hAnsi="宋体" w:cs="宋体"/>
                <w:color w:val="auto"/>
                <w:spacing w:val="8"/>
                <w:sz w:val="23"/>
                <w:szCs w:val="23"/>
                <w14:textOutline w14:w="4356" w14:cap="sq" w14:cmpd="sng" w14:algn="ctr">
                  <w14:solidFill>
                    <w14:srgbClr w14:val="000000"/>
                  </w14:solidFill>
                  <w14:prstDash w14:val="solid"/>
                  <w14:bevel/>
                </w14:textOutline>
              </w:rPr>
              <w:t>标文件递交</w:t>
            </w:r>
            <w:r>
              <w:rPr>
                <w:rFonts w:ascii="宋体" w:hAnsi="宋体" w:cs="宋体"/>
                <w:color w:val="auto"/>
                <w:spacing w:val="5"/>
                <w:sz w:val="23"/>
                <w:szCs w:val="23"/>
                <w14:textOutline w14:w="4356" w14:cap="sq" w14:cmpd="sng" w14:algn="ctr">
                  <w14:solidFill>
                    <w14:srgbClr w14:val="000000"/>
                  </w14:solidFill>
                  <w14:prstDash w14:val="solid"/>
                  <w14:bevel/>
                </w14:textOutline>
              </w:rPr>
              <w:t>方</w:t>
            </w:r>
            <w:r>
              <w:rPr>
                <w:rFonts w:ascii="宋体" w:hAnsi="宋体" w:cs="宋体"/>
                <w:color w:val="auto"/>
                <w:spacing w:val="4"/>
                <w:sz w:val="23"/>
                <w:szCs w:val="23"/>
                <w14:textOutline w14:w="4356" w14:cap="sq" w14:cmpd="sng" w14:algn="ctr">
                  <w14:solidFill>
                    <w14:srgbClr w14:val="000000"/>
                  </w14:solidFill>
                  <w14:prstDash w14:val="solid"/>
                  <w14:bevel/>
                </w14:textOutline>
              </w:rPr>
              <w:t>式</w:t>
            </w:r>
          </w:p>
        </w:tc>
        <w:tc>
          <w:tcPr>
            <w:tcW w:w="4612" w:type="dxa"/>
            <w:gridSpan w:val="5"/>
            <w:tcBorders>
              <w:top w:val="single" w:color="000000" w:sz="2" w:space="0"/>
              <w:left w:val="single" w:color="000000" w:sz="2" w:space="0"/>
              <w:bottom w:val="single" w:color="000000" w:sz="2" w:space="0"/>
              <w:right w:val="single" w:color="000000" w:sz="2" w:space="0"/>
            </w:tcBorders>
          </w:tcPr>
          <w:p w14:paraId="07463988">
            <w:pPr>
              <w:keepNext w:val="0"/>
              <w:keepLines w:val="0"/>
              <w:pageBreakBefore w:val="0"/>
              <w:widowControl w:val="0"/>
              <w:kinsoku/>
              <w:wordWrap/>
              <w:overflowPunct/>
              <w:topLinePunct w:val="0"/>
              <w:autoSpaceDE/>
              <w:autoSpaceDN/>
              <w:bidi w:val="0"/>
              <w:adjustRightInd/>
              <w:snapToGrid/>
              <w:spacing w:before="38" w:after="0" w:line="250" w:lineRule="auto"/>
              <w:ind w:left="115" w:right="222" w:firstLine="16"/>
              <w:textAlignment w:val="auto"/>
              <w:rPr>
                <w:rFonts w:hint="eastAsia" w:ascii="宋体" w:hAnsi="宋体" w:cs="宋体"/>
                <w:color w:val="auto"/>
                <w:spacing w:val="8"/>
                <w:sz w:val="23"/>
                <w:szCs w:val="23"/>
              </w:rPr>
            </w:pPr>
            <w:r>
              <w:rPr>
                <w:rFonts w:ascii="宋体" w:hAnsi="宋体" w:cs="宋体"/>
                <w:color w:val="auto"/>
                <w:spacing w:val="11"/>
                <w:sz w:val="23"/>
                <w:szCs w:val="23"/>
              </w:rPr>
              <w:t>1</w:t>
            </w:r>
            <w:r>
              <w:rPr>
                <w:rFonts w:ascii="宋体" w:hAnsi="宋体" w:cs="宋体"/>
                <w:color w:val="auto"/>
                <w:spacing w:val="8"/>
                <w:sz w:val="23"/>
                <w:szCs w:val="23"/>
              </w:rPr>
              <w:t>、投标</w:t>
            </w:r>
            <w:r>
              <w:rPr>
                <w:rFonts w:hint="eastAsia" w:ascii="宋体" w:hAnsi="宋体" w:cs="宋体"/>
                <w:color w:val="auto"/>
                <w:spacing w:val="8"/>
                <w:sz w:val="23"/>
                <w:szCs w:val="23"/>
              </w:rPr>
              <w:t>人应在投标截止时间前通过广州</w:t>
            </w:r>
          </w:p>
          <w:p w14:paraId="3AA47D28">
            <w:pPr>
              <w:keepNext w:val="0"/>
              <w:keepLines w:val="0"/>
              <w:pageBreakBefore w:val="0"/>
              <w:widowControl w:val="0"/>
              <w:kinsoku/>
              <w:wordWrap/>
              <w:overflowPunct/>
              <w:topLinePunct w:val="0"/>
              <w:autoSpaceDE/>
              <w:autoSpaceDN/>
              <w:bidi w:val="0"/>
              <w:adjustRightInd/>
              <w:snapToGrid/>
              <w:spacing w:before="38" w:after="0" w:line="250" w:lineRule="auto"/>
              <w:ind w:left="113" w:right="221" w:firstLine="17"/>
              <w:textAlignment w:val="auto"/>
              <w:rPr>
                <w:rFonts w:hint="eastAsia" w:ascii="宋体" w:hAnsi="宋体" w:cs="宋体"/>
                <w:color w:val="auto"/>
                <w:spacing w:val="8"/>
                <w:sz w:val="23"/>
                <w:szCs w:val="23"/>
              </w:rPr>
            </w:pPr>
            <w:r>
              <w:rPr>
                <w:rFonts w:hint="eastAsia" w:ascii="宋体" w:hAnsi="宋体" w:cs="宋体"/>
                <w:color w:val="auto"/>
                <w:spacing w:val="8"/>
                <w:sz w:val="23"/>
                <w:szCs w:val="23"/>
              </w:rPr>
              <w:t>公共资源交易中心电子交易平台递交电</w:t>
            </w:r>
          </w:p>
          <w:p w14:paraId="049579E4">
            <w:pPr>
              <w:keepNext w:val="0"/>
              <w:keepLines w:val="0"/>
              <w:pageBreakBefore w:val="0"/>
              <w:widowControl w:val="0"/>
              <w:kinsoku/>
              <w:wordWrap/>
              <w:overflowPunct/>
              <w:topLinePunct w:val="0"/>
              <w:autoSpaceDE/>
              <w:autoSpaceDN/>
              <w:bidi w:val="0"/>
              <w:adjustRightInd/>
              <w:snapToGrid/>
              <w:spacing w:before="38" w:after="0" w:line="250" w:lineRule="auto"/>
              <w:ind w:left="113" w:right="221" w:firstLine="17"/>
              <w:textAlignment w:val="auto"/>
              <w:rPr>
                <w:rFonts w:hint="eastAsia" w:ascii="宋体" w:hAnsi="宋体" w:cs="宋体"/>
                <w:color w:val="auto"/>
                <w:spacing w:val="8"/>
                <w:sz w:val="23"/>
                <w:szCs w:val="23"/>
              </w:rPr>
            </w:pPr>
            <w:r>
              <w:rPr>
                <w:rFonts w:hint="eastAsia" w:ascii="宋体" w:hAnsi="宋体" w:cs="宋体"/>
                <w:color w:val="auto"/>
                <w:spacing w:val="8"/>
                <w:sz w:val="23"/>
                <w:szCs w:val="23"/>
              </w:rPr>
              <w:t>子投标文件，参照广州公共资源交易中</w:t>
            </w:r>
          </w:p>
          <w:p w14:paraId="7A47262F">
            <w:pPr>
              <w:keepNext w:val="0"/>
              <w:keepLines w:val="0"/>
              <w:pageBreakBefore w:val="0"/>
              <w:widowControl w:val="0"/>
              <w:kinsoku/>
              <w:wordWrap/>
              <w:overflowPunct/>
              <w:topLinePunct w:val="0"/>
              <w:autoSpaceDE/>
              <w:autoSpaceDN/>
              <w:bidi w:val="0"/>
              <w:adjustRightInd/>
              <w:snapToGrid/>
              <w:spacing w:before="38" w:after="0" w:line="250" w:lineRule="auto"/>
              <w:ind w:left="113" w:right="221" w:firstLine="17"/>
              <w:textAlignment w:val="auto"/>
              <w:rPr>
                <w:rFonts w:hint="eastAsia" w:ascii="宋体" w:hAnsi="宋体" w:cs="宋体"/>
                <w:color w:val="auto"/>
                <w:spacing w:val="8"/>
                <w:sz w:val="23"/>
                <w:szCs w:val="23"/>
              </w:rPr>
            </w:pPr>
            <w:r>
              <w:rPr>
                <w:rFonts w:hint="eastAsia" w:ascii="宋体" w:hAnsi="宋体" w:cs="宋体"/>
                <w:color w:val="auto"/>
                <w:spacing w:val="8"/>
                <w:sz w:val="23"/>
                <w:szCs w:val="23"/>
              </w:rPr>
              <w:t>心全流程电子化项目招标投标的相关指</w:t>
            </w:r>
          </w:p>
          <w:p w14:paraId="563A3B2A">
            <w:pPr>
              <w:keepNext w:val="0"/>
              <w:keepLines w:val="0"/>
              <w:pageBreakBefore w:val="0"/>
              <w:widowControl w:val="0"/>
              <w:kinsoku/>
              <w:wordWrap/>
              <w:overflowPunct/>
              <w:topLinePunct w:val="0"/>
              <w:autoSpaceDE/>
              <w:autoSpaceDN/>
              <w:bidi w:val="0"/>
              <w:adjustRightInd/>
              <w:snapToGrid/>
              <w:spacing w:before="38" w:after="0" w:line="250" w:lineRule="auto"/>
              <w:ind w:left="113" w:right="221" w:firstLine="17"/>
              <w:textAlignment w:val="auto"/>
              <w:rPr>
                <w:rFonts w:hint="eastAsia" w:ascii="宋体" w:hAnsi="宋体" w:cs="宋体"/>
                <w:color w:val="auto"/>
                <w:spacing w:val="8"/>
                <w:sz w:val="23"/>
                <w:szCs w:val="23"/>
              </w:rPr>
            </w:pPr>
            <w:r>
              <w:rPr>
                <w:rFonts w:hint="eastAsia" w:ascii="宋体" w:hAnsi="宋体" w:cs="宋体"/>
                <w:color w:val="auto"/>
                <w:spacing w:val="8"/>
                <w:sz w:val="23"/>
                <w:szCs w:val="23"/>
              </w:rPr>
              <w:t>南进行操作。</w:t>
            </w:r>
          </w:p>
          <w:p w14:paraId="539A8A41">
            <w:pPr>
              <w:keepNext w:val="0"/>
              <w:keepLines w:val="0"/>
              <w:pageBreakBefore w:val="0"/>
              <w:widowControl w:val="0"/>
              <w:kinsoku/>
              <w:wordWrap/>
              <w:overflowPunct/>
              <w:topLinePunct w:val="0"/>
              <w:autoSpaceDE/>
              <w:autoSpaceDN/>
              <w:bidi w:val="0"/>
              <w:adjustRightInd/>
              <w:snapToGrid/>
              <w:spacing w:before="38" w:after="0" w:line="250" w:lineRule="auto"/>
              <w:ind w:left="115" w:right="222" w:firstLine="16"/>
              <w:textAlignment w:val="auto"/>
              <w:rPr>
                <w:rFonts w:hint="eastAsia" w:ascii="宋体" w:hAnsi="宋体" w:cs="宋体"/>
                <w:color w:val="auto"/>
                <w:spacing w:val="8"/>
                <w:sz w:val="23"/>
                <w:szCs w:val="23"/>
              </w:rPr>
            </w:pPr>
            <w:r>
              <w:rPr>
                <w:rFonts w:hint="eastAsia" w:ascii="宋体" w:hAnsi="宋体" w:cs="宋体"/>
                <w:color w:val="auto"/>
                <w:spacing w:val="8"/>
                <w:sz w:val="23"/>
                <w:szCs w:val="23"/>
              </w:rPr>
              <w:t>2、备用电子U盘需按规定封装。投标人在将数据拷贝到U盘之后，投标前自行检查文件是否可以读取。递交备用电子U盘</w:t>
            </w:r>
            <w:r>
              <w:rPr>
                <w:rFonts w:hint="eastAsia" w:ascii="宋体" w:hAnsi="宋体" w:cs="宋体"/>
                <w:color w:val="auto"/>
                <w:spacing w:val="8"/>
                <w:sz w:val="23"/>
                <w:szCs w:val="23"/>
                <w:lang w:eastAsia="zh-CN"/>
              </w:rPr>
              <w:t>、</w:t>
            </w:r>
            <w:r>
              <w:rPr>
                <w:rFonts w:hint="eastAsia" w:ascii="宋体" w:hAnsi="宋体" w:cs="宋体"/>
                <w:color w:val="auto"/>
                <w:spacing w:val="8"/>
                <w:sz w:val="23"/>
                <w:szCs w:val="23"/>
              </w:rPr>
              <w:t>纸质投标担保（如有）时须提交法定代表人证明及授权委托书（非法定代表人递交时）原件。</w:t>
            </w:r>
          </w:p>
          <w:p w14:paraId="0A524DDC">
            <w:pPr>
              <w:keepNext w:val="0"/>
              <w:keepLines w:val="0"/>
              <w:pageBreakBefore w:val="0"/>
              <w:widowControl w:val="0"/>
              <w:kinsoku/>
              <w:wordWrap/>
              <w:overflowPunct/>
              <w:topLinePunct w:val="0"/>
              <w:autoSpaceDE/>
              <w:autoSpaceDN/>
              <w:bidi w:val="0"/>
              <w:adjustRightInd/>
              <w:snapToGrid/>
              <w:spacing w:before="38" w:after="0" w:line="250" w:lineRule="auto"/>
              <w:ind w:left="115" w:right="222" w:firstLine="16"/>
              <w:textAlignment w:val="auto"/>
              <w:rPr>
                <w:rFonts w:ascii="宋体" w:hAnsi="宋体" w:cs="宋体"/>
                <w:color w:val="auto"/>
                <w:sz w:val="23"/>
                <w:szCs w:val="23"/>
              </w:rPr>
            </w:pPr>
            <w:r>
              <w:rPr>
                <w:rFonts w:hint="eastAsia" w:ascii="宋体" w:hAnsi="宋体" w:cs="宋体"/>
                <w:color w:val="auto"/>
                <w:spacing w:val="8"/>
                <w:sz w:val="23"/>
                <w:szCs w:val="23"/>
                <w:lang w:val="en-US" w:eastAsia="zh-CN"/>
              </w:rPr>
              <w:t>3、</w:t>
            </w:r>
            <w:r>
              <w:rPr>
                <w:rFonts w:hint="eastAsia" w:ascii="宋体" w:hAnsi="宋体" w:cs="宋体"/>
                <w:color w:val="auto"/>
                <w:spacing w:val="8"/>
                <w:sz w:val="23"/>
                <w:szCs w:val="23"/>
              </w:rPr>
              <w:t>投标人缴交资料费人民币100元。</w:t>
            </w:r>
          </w:p>
        </w:tc>
      </w:tr>
      <w:tr w14:paraId="3F714E44">
        <w:tblPrEx>
          <w:tblCellMar>
            <w:top w:w="0" w:type="dxa"/>
            <w:left w:w="2" w:type="dxa"/>
            <w:bottom w:w="0" w:type="dxa"/>
            <w:right w:w="2" w:type="dxa"/>
          </w:tblCellMar>
        </w:tblPrEx>
        <w:trPr>
          <w:trHeight w:val="942" w:hRule="atLeast"/>
          <w:jc w:val="center"/>
        </w:trPr>
        <w:tc>
          <w:tcPr>
            <w:tcW w:w="2013" w:type="dxa"/>
            <w:tcBorders>
              <w:top w:val="single" w:color="000000" w:sz="2" w:space="0"/>
              <w:left w:val="single" w:color="000000" w:sz="2" w:space="0"/>
              <w:bottom w:val="single" w:color="000000" w:sz="2" w:space="0"/>
              <w:right w:val="single" w:color="000000" w:sz="2" w:space="0"/>
            </w:tcBorders>
          </w:tcPr>
          <w:p w14:paraId="2D6FB7A1">
            <w:pPr>
              <w:widowControl w:val="0"/>
              <w:spacing w:before="0" w:after="0" w:line="271" w:lineRule="auto"/>
              <w:jc w:val="center"/>
              <w:rPr>
                <w:rFonts w:ascii="宋体" w:hAnsi="宋体" w:cs="宋体"/>
                <w:sz w:val="23"/>
                <w:szCs w:val="23"/>
              </w:rPr>
            </w:pPr>
          </w:p>
          <w:p w14:paraId="5C0AF4C3">
            <w:pPr>
              <w:widowControl w:val="0"/>
              <w:spacing w:before="75" w:after="0" w:line="228" w:lineRule="auto"/>
              <w:jc w:val="center"/>
              <w:rPr>
                <w:rFonts w:ascii="宋体" w:hAnsi="宋体" w:cs="宋体"/>
                <w:sz w:val="23"/>
                <w:szCs w:val="23"/>
              </w:rPr>
            </w:pPr>
            <w:r>
              <w:rPr>
                <w:rFonts w:ascii="宋体" w:hAnsi="宋体" w:cs="宋体"/>
                <w:spacing w:val="8"/>
                <w:sz w:val="23"/>
                <w:szCs w:val="23"/>
                <w14:textOutline w14:w="4356" w14:cap="sq" w14:cmpd="sng" w14:algn="ctr">
                  <w14:solidFill>
                    <w14:srgbClr w14:val="000000"/>
                  </w14:solidFill>
                  <w14:prstDash w14:val="solid"/>
                  <w14:bevel/>
                </w14:textOutline>
              </w:rPr>
              <w:t>开标时间</w:t>
            </w:r>
          </w:p>
        </w:tc>
        <w:tc>
          <w:tcPr>
            <w:tcW w:w="2081" w:type="dxa"/>
            <w:gridSpan w:val="2"/>
            <w:tcBorders>
              <w:top w:val="single" w:color="000000" w:sz="2" w:space="0"/>
              <w:left w:val="single" w:color="000000" w:sz="2" w:space="0"/>
              <w:bottom w:val="single" w:color="000000" w:sz="2" w:space="0"/>
              <w:right w:val="single" w:color="000000" w:sz="2" w:space="0"/>
            </w:tcBorders>
          </w:tcPr>
          <w:p w14:paraId="702C0CCD">
            <w:pPr>
              <w:widowControl w:val="0"/>
              <w:spacing w:before="194" w:after="0" w:line="264" w:lineRule="auto"/>
              <w:ind w:right="188" w:firstLine="0"/>
              <w:rPr>
                <w:rFonts w:ascii="宋体" w:hAnsi="宋体" w:cs="宋体"/>
                <w:sz w:val="23"/>
                <w:szCs w:val="23"/>
              </w:rPr>
            </w:pPr>
            <w:r>
              <w:rPr>
                <w:rFonts w:ascii="宋体" w:hAnsi="宋体" w:cs="宋体"/>
                <w:spacing w:val="-28"/>
                <w:sz w:val="23"/>
                <w:szCs w:val="23"/>
              </w:rPr>
              <w:t>2</w:t>
            </w:r>
            <w:r>
              <w:rPr>
                <w:rFonts w:ascii="宋体" w:hAnsi="宋体" w:cs="宋体"/>
                <w:spacing w:val="-16"/>
                <w:sz w:val="23"/>
                <w:szCs w:val="23"/>
              </w:rPr>
              <w:t>02</w:t>
            </w:r>
            <w:r>
              <w:rPr>
                <w:rFonts w:hint="eastAsia" w:ascii="宋体" w:hAnsi="宋体" w:cs="宋体"/>
                <w:spacing w:val="-16"/>
                <w:sz w:val="23"/>
                <w:szCs w:val="23"/>
                <w:lang w:val="en-US" w:eastAsia="zh-CN"/>
              </w:rPr>
              <w:t>5</w:t>
            </w:r>
            <w:r>
              <w:rPr>
                <w:rFonts w:ascii="宋体" w:hAnsi="宋体" w:cs="宋体"/>
                <w:spacing w:val="-16"/>
                <w:sz w:val="23"/>
                <w:szCs w:val="23"/>
              </w:rPr>
              <w:t>年</w:t>
            </w:r>
            <w:r>
              <w:rPr>
                <w:rFonts w:ascii="宋体" w:hAnsi="宋体" w:cs="宋体"/>
                <w:spacing w:val="-16"/>
                <w:sz w:val="23"/>
                <w:szCs w:val="23"/>
                <w:u w:val="single"/>
              </w:rPr>
              <w:t xml:space="preserve">   </w:t>
            </w:r>
            <w:r>
              <w:rPr>
                <w:rFonts w:ascii="宋体" w:hAnsi="宋体" w:cs="宋体"/>
                <w:spacing w:val="-16"/>
                <w:sz w:val="23"/>
                <w:szCs w:val="23"/>
              </w:rPr>
              <w:t xml:space="preserve">月 </w:t>
            </w:r>
            <w:r>
              <w:rPr>
                <w:rFonts w:ascii="宋体" w:hAnsi="宋体" w:cs="宋体"/>
                <w:spacing w:val="-16"/>
                <w:sz w:val="23"/>
                <w:szCs w:val="23"/>
                <w:u w:val="single"/>
              </w:rPr>
              <w:t xml:space="preserve">   </w:t>
            </w:r>
            <w:r>
              <w:rPr>
                <w:rFonts w:ascii="宋体" w:hAnsi="宋体" w:cs="宋体"/>
                <w:spacing w:val="-31"/>
                <w:sz w:val="23"/>
                <w:szCs w:val="23"/>
              </w:rPr>
              <w:t>日</w:t>
            </w:r>
            <w:r>
              <w:rPr>
                <w:rFonts w:ascii="宋体" w:hAnsi="宋体" w:cs="宋体"/>
                <w:spacing w:val="-23"/>
                <w:sz w:val="23"/>
                <w:szCs w:val="23"/>
              </w:rPr>
              <w:t xml:space="preserve"> </w:t>
            </w:r>
            <w:r>
              <w:rPr>
                <w:rFonts w:ascii="宋体" w:hAnsi="宋体" w:cs="宋体"/>
                <w:spacing w:val="-23"/>
                <w:sz w:val="23"/>
                <w:szCs w:val="23"/>
                <w:u w:val="single"/>
              </w:rPr>
              <w:t xml:space="preserve"> </w:t>
            </w:r>
            <w:r>
              <w:rPr>
                <w:rFonts w:hint="eastAsia" w:ascii="宋体" w:hAnsi="宋体" w:cs="宋体"/>
                <w:spacing w:val="-23"/>
                <w:sz w:val="23"/>
                <w:szCs w:val="23"/>
                <w:u w:val="single"/>
                <w:lang w:val="en-US" w:eastAsia="zh-CN"/>
              </w:rPr>
              <w:t>9</w:t>
            </w:r>
            <w:r>
              <w:rPr>
                <w:rFonts w:ascii="宋体" w:hAnsi="宋体" w:cs="宋体"/>
                <w:spacing w:val="-23"/>
                <w:sz w:val="23"/>
                <w:szCs w:val="23"/>
                <w:u w:val="single"/>
              </w:rPr>
              <w:t xml:space="preserve"> </w:t>
            </w:r>
            <w:r>
              <w:rPr>
                <w:rFonts w:ascii="宋体" w:hAnsi="宋体" w:cs="宋体"/>
                <w:spacing w:val="-23"/>
                <w:sz w:val="23"/>
                <w:szCs w:val="23"/>
              </w:rPr>
              <w:t xml:space="preserve">时 </w:t>
            </w:r>
            <w:r>
              <w:rPr>
                <w:rFonts w:hint="eastAsia" w:ascii="宋体" w:hAnsi="宋体" w:cs="宋体"/>
                <w:spacing w:val="-23"/>
                <w:sz w:val="23"/>
                <w:szCs w:val="23"/>
                <w:u w:val="single"/>
                <w:lang w:val="en-US" w:eastAsia="zh-CN"/>
              </w:rPr>
              <w:t>3</w:t>
            </w:r>
            <w:r>
              <w:rPr>
                <w:rFonts w:ascii="宋体" w:hAnsi="宋体" w:cs="宋体"/>
                <w:spacing w:val="-23"/>
                <w:sz w:val="23"/>
                <w:szCs w:val="23"/>
                <w:u w:val="single"/>
              </w:rPr>
              <w:t xml:space="preserve">0 </w:t>
            </w:r>
            <w:r>
              <w:rPr>
                <w:rFonts w:ascii="宋体" w:hAnsi="宋体" w:cs="宋体"/>
                <w:spacing w:val="-23"/>
                <w:sz w:val="23"/>
                <w:szCs w:val="23"/>
              </w:rPr>
              <w:t>分</w:t>
            </w:r>
            <w:r>
              <w:rPr>
                <w:rFonts w:hint="eastAsia" w:ascii="宋体" w:hAnsi="宋体" w:cs="宋体"/>
                <w:spacing w:val="-23"/>
                <w:sz w:val="23"/>
                <w:szCs w:val="23"/>
              </w:rPr>
              <w:t>（与投标截止时间为同一时间）</w:t>
            </w:r>
          </w:p>
        </w:tc>
        <w:tc>
          <w:tcPr>
            <w:tcW w:w="1273" w:type="dxa"/>
            <w:gridSpan w:val="2"/>
            <w:tcBorders>
              <w:top w:val="single" w:color="000000" w:sz="2" w:space="0"/>
              <w:left w:val="single" w:color="000000" w:sz="2" w:space="0"/>
              <w:bottom w:val="single" w:color="000000" w:sz="2" w:space="0"/>
              <w:right w:val="single" w:color="000000" w:sz="2" w:space="0"/>
            </w:tcBorders>
          </w:tcPr>
          <w:p w14:paraId="0162CF6A">
            <w:pPr>
              <w:widowControl w:val="0"/>
              <w:spacing w:before="0" w:after="0" w:line="271" w:lineRule="auto"/>
              <w:rPr>
                <w:rFonts w:ascii="宋体" w:hAnsi="宋体" w:cs="宋体"/>
                <w:sz w:val="23"/>
                <w:szCs w:val="23"/>
              </w:rPr>
            </w:pPr>
          </w:p>
          <w:p w14:paraId="0D42D225">
            <w:pPr>
              <w:widowControl w:val="0"/>
              <w:spacing w:before="75" w:after="0" w:line="228" w:lineRule="auto"/>
              <w:jc w:val="center"/>
              <w:rPr>
                <w:rFonts w:ascii="宋体" w:hAnsi="宋体" w:cs="宋体"/>
                <w:sz w:val="23"/>
                <w:szCs w:val="23"/>
              </w:rPr>
            </w:pPr>
            <w:r>
              <w:rPr>
                <w:rFonts w:ascii="宋体" w:hAnsi="宋体" w:cs="宋体"/>
                <w:spacing w:val="8"/>
                <w:sz w:val="23"/>
                <w:szCs w:val="23"/>
                <w14:textOutline w14:w="4356" w14:cap="sq" w14:cmpd="sng" w14:algn="ctr">
                  <w14:solidFill>
                    <w14:srgbClr w14:val="000000"/>
                  </w14:solidFill>
                  <w14:prstDash w14:val="solid"/>
                  <w14:bevel/>
                </w14:textOutline>
              </w:rPr>
              <w:t>开标地点</w:t>
            </w:r>
          </w:p>
        </w:tc>
        <w:tc>
          <w:tcPr>
            <w:tcW w:w="4612" w:type="dxa"/>
            <w:gridSpan w:val="5"/>
            <w:tcBorders>
              <w:top w:val="single" w:color="000000" w:sz="2" w:space="0"/>
              <w:left w:val="single" w:color="000000" w:sz="2" w:space="0"/>
              <w:bottom w:val="single" w:color="000000" w:sz="2" w:space="0"/>
              <w:right w:val="single" w:color="000000" w:sz="2" w:space="0"/>
            </w:tcBorders>
            <w:vAlign w:val="center"/>
          </w:tcPr>
          <w:p w14:paraId="6A830F93">
            <w:pPr>
              <w:widowControl w:val="0"/>
              <w:spacing w:before="40" w:after="0" w:line="225" w:lineRule="auto"/>
              <w:ind w:left="143" w:firstLine="0"/>
              <w:rPr>
                <w:rFonts w:hint="eastAsia" w:ascii="宋体" w:hAnsi="宋体" w:cs="宋体"/>
                <w:spacing w:val="23"/>
                <w:sz w:val="23"/>
                <w:szCs w:val="23"/>
                <w:lang w:eastAsia="zh-CN"/>
              </w:rPr>
            </w:pPr>
            <w:r>
              <w:rPr>
                <w:rFonts w:hint="eastAsia" w:ascii="宋体" w:hAnsi="宋体" w:cs="宋体"/>
                <w:spacing w:val="23"/>
                <w:sz w:val="23"/>
                <w:szCs w:val="23"/>
                <w:lang w:eastAsia="zh-CN"/>
              </w:rPr>
              <w:t>广州公共资源交易中心第</w:t>
            </w:r>
            <w:r>
              <w:rPr>
                <w:rFonts w:hint="eastAsia" w:ascii="宋体" w:hAnsi="宋体" w:cs="宋体"/>
                <w:spacing w:val="23"/>
                <w:sz w:val="23"/>
                <w:szCs w:val="23"/>
                <w:u w:val="single"/>
                <w:lang w:val="en-US" w:eastAsia="zh-CN"/>
              </w:rPr>
              <w:t xml:space="preserve">   </w:t>
            </w:r>
            <w:r>
              <w:rPr>
                <w:rFonts w:hint="eastAsia" w:ascii="宋体" w:hAnsi="宋体" w:cs="宋体"/>
                <w:spacing w:val="23"/>
                <w:sz w:val="23"/>
                <w:szCs w:val="23"/>
                <w:lang w:eastAsia="zh-CN"/>
              </w:rPr>
              <w:t>开标室（广州市天河区天润路333号）</w:t>
            </w:r>
          </w:p>
          <w:p w14:paraId="3ACE18FB">
            <w:pPr>
              <w:pStyle w:val="15"/>
              <w:ind w:left="0" w:leftChars="0" w:firstLine="0" w:firstLineChars="0"/>
            </w:pPr>
            <w:r>
              <w:rPr>
                <w:rFonts w:hint="eastAsia"/>
              </w:rPr>
              <w:t>（详见广州公共资源交易中心网本项目日程安排）</w:t>
            </w:r>
          </w:p>
        </w:tc>
      </w:tr>
      <w:tr w14:paraId="7109ACED">
        <w:tblPrEx>
          <w:tblCellMar>
            <w:top w:w="0" w:type="dxa"/>
            <w:left w:w="2" w:type="dxa"/>
            <w:bottom w:w="0" w:type="dxa"/>
            <w:right w:w="2" w:type="dxa"/>
          </w:tblCellMar>
        </w:tblPrEx>
        <w:trPr>
          <w:trHeight w:val="606" w:hRule="atLeast"/>
          <w:jc w:val="center"/>
        </w:trPr>
        <w:tc>
          <w:tcPr>
            <w:tcW w:w="2013" w:type="dxa"/>
            <w:tcBorders>
              <w:top w:val="single" w:color="000000" w:sz="2" w:space="0"/>
              <w:left w:val="single" w:color="000000" w:sz="2" w:space="0"/>
              <w:bottom w:val="single" w:color="000000" w:sz="2" w:space="0"/>
              <w:right w:val="single" w:color="000000" w:sz="2" w:space="0"/>
            </w:tcBorders>
          </w:tcPr>
          <w:p w14:paraId="6B075823">
            <w:pPr>
              <w:widowControl w:val="0"/>
              <w:spacing w:before="234" w:after="0" w:line="225" w:lineRule="auto"/>
              <w:jc w:val="center"/>
              <w:rPr>
                <w:rFonts w:ascii="宋体" w:hAnsi="宋体" w:cs="宋体"/>
                <w:sz w:val="23"/>
                <w:szCs w:val="23"/>
              </w:rPr>
            </w:pPr>
            <w:r>
              <w:rPr>
                <w:rFonts w:ascii="宋体" w:hAnsi="宋体" w:cs="宋体"/>
                <w:spacing w:val="11"/>
                <w:sz w:val="23"/>
                <w:szCs w:val="23"/>
                <w14:textOutline w14:w="4356" w14:cap="sq" w14:cmpd="sng" w14:algn="ctr">
                  <w14:solidFill>
                    <w14:srgbClr w14:val="000000"/>
                  </w14:solidFill>
                  <w14:prstDash w14:val="solid"/>
                  <w14:bevel/>
                </w14:textOutline>
              </w:rPr>
              <w:t>发</w:t>
            </w:r>
            <w:r>
              <w:rPr>
                <w:rFonts w:ascii="宋体" w:hAnsi="宋体" w:cs="宋体"/>
                <w:spacing w:val="8"/>
                <w:sz w:val="23"/>
                <w:szCs w:val="23"/>
                <w14:textOutline w14:w="4356" w14:cap="sq" w14:cmpd="sng" w14:algn="ctr">
                  <w14:solidFill>
                    <w14:srgbClr w14:val="000000"/>
                  </w14:solidFill>
                  <w14:prstDash w14:val="solid"/>
                  <w14:bevel/>
                </w14:textOutline>
              </w:rPr>
              <w:t>布公告媒介</w:t>
            </w:r>
          </w:p>
        </w:tc>
        <w:tc>
          <w:tcPr>
            <w:tcW w:w="7966" w:type="dxa"/>
            <w:gridSpan w:val="9"/>
            <w:tcBorders>
              <w:top w:val="single" w:color="000000" w:sz="2" w:space="0"/>
              <w:left w:val="single" w:color="000000" w:sz="2" w:space="0"/>
              <w:bottom w:val="single" w:color="000000" w:sz="2" w:space="0"/>
              <w:right w:val="single" w:color="000000" w:sz="2" w:space="0"/>
            </w:tcBorders>
          </w:tcPr>
          <w:p w14:paraId="150A2E2D">
            <w:pPr>
              <w:keepNext w:val="0"/>
              <w:keepLines w:val="0"/>
              <w:pageBreakBefore w:val="0"/>
              <w:widowControl w:val="0"/>
              <w:kinsoku/>
              <w:wordWrap/>
              <w:overflowPunct/>
              <w:topLinePunct w:val="0"/>
              <w:autoSpaceDE/>
              <w:autoSpaceDN/>
              <w:bidi w:val="0"/>
              <w:adjustRightInd/>
              <w:snapToGrid/>
              <w:spacing w:before="0" w:after="0" w:line="440" w:lineRule="exact"/>
              <w:ind w:left="113" w:firstLine="0"/>
              <w:textAlignment w:val="auto"/>
              <w:rPr>
                <w:rFonts w:hint="eastAsia" w:ascii="宋体" w:hAnsi="宋体" w:eastAsia="宋体" w:cs="宋体"/>
                <w:sz w:val="23"/>
                <w:szCs w:val="23"/>
                <w:lang w:eastAsia="zh-CN"/>
              </w:rPr>
            </w:pPr>
            <w:r>
              <w:rPr>
                <w:rFonts w:ascii="宋体" w:hAnsi="宋体" w:cs="宋体"/>
                <w:spacing w:val="9"/>
                <w:sz w:val="23"/>
                <w:szCs w:val="23"/>
              </w:rPr>
              <w:t>广东省公共资源交易平台、广东省招标投标监管</w:t>
            </w:r>
            <w:r>
              <w:rPr>
                <w:rFonts w:ascii="宋体" w:hAnsi="宋体" w:cs="宋体"/>
                <w:spacing w:val="8"/>
                <w:sz w:val="23"/>
                <w:szCs w:val="23"/>
              </w:rPr>
              <w:t>网</w:t>
            </w:r>
            <w:r>
              <w:rPr>
                <w:rFonts w:hint="eastAsia" w:ascii="宋体" w:hAnsi="宋体" w:cs="宋体"/>
                <w:spacing w:val="8"/>
                <w:sz w:val="23"/>
                <w:szCs w:val="23"/>
                <w:lang w:eastAsia="zh-CN"/>
              </w:rPr>
              <w:t>、广州公共资源交易中心等媒介。</w:t>
            </w:r>
          </w:p>
        </w:tc>
      </w:tr>
      <w:tr w14:paraId="68B54805">
        <w:tblPrEx>
          <w:tblCellMar>
            <w:top w:w="0" w:type="dxa"/>
            <w:left w:w="2" w:type="dxa"/>
            <w:bottom w:w="0" w:type="dxa"/>
            <w:right w:w="2" w:type="dxa"/>
          </w:tblCellMar>
        </w:tblPrEx>
        <w:trPr>
          <w:trHeight w:val="692" w:hRule="atLeast"/>
          <w:jc w:val="center"/>
        </w:trPr>
        <w:tc>
          <w:tcPr>
            <w:tcW w:w="2013" w:type="dxa"/>
            <w:tcBorders>
              <w:top w:val="single" w:color="000000" w:sz="2" w:space="0"/>
              <w:left w:val="single" w:color="000000" w:sz="2" w:space="0"/>
              <w:bottom w:val="single" w:color="000000" w:sz="2" w:space="0"/>
              <w:right w:val="single" w:color="000000" w:sz="2" w:space="0"/>
            </w:tcBorders>
            <w:vAlign w:val="center"/>
          </w:tcPr>
          <w:p w14:paraId="79010812">
            <w:pPr>
              <w:widowControl w:val="0"/>
              <w:spacing w:before="216" w:after="0" w:line="228" w:lineRule="auto"/>
              <w:jc w:val="center"/>
              <w:rPr>
                <w:rFonts w:ascii="宋体" w:hAnsi="宋体" w:cs="宋体"/>
                <w:sz w:val="23"/>
                <w:szCs w:val="23"/>
              </w:rPr>
            </w:pPr>
            <w:r>
              <w:rPr>
                <w:rFonts w:ascii="宋体" w:hAnsi="宋体" w:cs="宋体"/>
                <w:spacing w:val="8"/>
                <w:sz w:val="23"/>
                <w:szCs w:val="23"/>
                <w14:textOutline w14:w="4356" w14:cap="sq" w14:cmpd="sng" w14:algn="ctr">
                  <w14:solidFill>
                    <w14:srgbClr w14:val="000000"/>
                  </w14:solidFill>
                  <w14:prstDash w14:val="solid"/>
                  <w14:bevel/>
                </w14:textOutline>
              </w:rPr>
              <w:t>招</w:t>
            </w:r>
            <w:r>
              <w:rPr>
                <w:rFonts w:ascii="宋体" w:hAnsi="宋体" w:cs="宋体"/>
                <w:spacing w:val="7"/>
                <w:sz w:val="23"/>
                <w:szCs w:val="23"/>
                <w14:textOutline w14:w="4356" w14:cap="sq" w14:cmpd="sng" w14:algn="ctr">
                  <w14:solidFill>
                    <w14:srgbClr w14:val="000000"/>
                  </w14:solidFill>
                  <w14:prstDash w14:val="solid"/>
                  <w14:bevel/>
                </w14:textOutline>
              </w:rPr>
              <w:t>标人</w:t>
            </w:r>
          </w:p>
        </w:tc>
        <w:tc>
          <w:tcPr>
            <w:tcW w:w="2081" w:type="dxa"/>
            <w:gridSpan w:val="2"/>
            <w:tcBorders>
              <w:top w:val="single" w:color="000000" w:sz="2" w:space="0"/>
              <w:left w:val="single" w:color="000000" w:sz="2" w:space="0"/>
              <w:bottom w:val="single" w:color="000000" w:sz="2" w:space="0"/>
              <w:right w:val="single" w:color="000000" w:sz="2" w:space="0"/>
            </w:tcBorders>
            <w:vAlign w:val="center"/>
          </w:tcPr>
          <w:p w14:paraId="49172432">
            <w:pPr>
              <w:widowControl w:val="0"/>
              <w:spacing w:before="59" w:after="0" w:line="237" w:lineRule="auto"/>
              <w:ind w:right="200" w:firstLine="0"/>
              <w:jc w:val="center"/>
              <w:rPr>
                <w:rFonts w:hint="eastAsia" w:ascii="宋体" w:hAnsi="宋体" w:eastAsia="宋体" w:cs="宋体"/>
                <w:sz w:val="23"/>
                <w:szCs w:val="23"/>
                <w:lang w:eastAsia="zh-CN"/>
              </w:rPr>
            </w:pPr>
            <w:r>
              <w:rPr>
                <w:rFonts w:hint="eastAsia" w:ascii="宋体" w:hAnsi="宋体" w:cs="宋体"/>
                <w:spacing w:val="9"/>
                <w:sz w:val="23"/>
                <w:szCs w:val="23"/>
                <w:lang w:eastAsia="zh-CN"/>
              </w:rPr>
              <w:t>茂名市电白区蓝湾海洋产业发展有限公司</w:t>
            </w:r>
          </w:p>
        </w:tc>
        <w:tc>
          <w:tcPr>
            <w:tcW w:w="2719" w:type="dxa"/>
            <w:gridSpan w:val="5"/>
            <w:tcBorders>
              <w:top w:val="single" w:color="000000" w:sz="2" w:space="0"/>
              <w:left w:val="single" w:color="000000" w:sz="2" w:space="0"/>
              <w:bottom w:val="single" w:color="000000" w:sz="2" w:space="0"/>
              <w:right w:val="single" w:color="000000" w:sz="2" w:space="0"/>
            </w:tcBorders>
            <w:vAlign w:val="center"/>
          </w:tcPr>
          <w:p w14:paraId="09E960C2">
            <w:pPr>
              <w:widowControl w:val="0"/>
              <w:spacing w:before="215" w:after="0" w:line="228" w:lineRule="auto"/>
              <w:jc w:val="center"/>
              <w:rPr>
                <w:rFonts w:ascii="宋体" w:hAnsi="宋体" w:cs="宋体"/>
                <w:sz w:val="23"/>
                <w:szCs w:val="23"/>
              </w:rPr>
            </w:pPr>
            <w:r>
              <w:rPr>
                <w:rFonts w:ascii="宋体" w:hAnsi="宋体" w:cs="宋体"/>
                <w:spacing w:val="8"/>
                <w:sz w:val="23"/>
                <w:szCs w:val="23"/>
                <w14:textOutline w14:w="4356" w14:cap="sq" w14:cmpd="sng" w14:algn="ctr">
                  <w14:solidFill>
                    <w14:srgbClr w14:val="000000"/>
                  </w14:solidFill>
                  <w14:prstDash w14:val="solid"/>
                  <w14:bevel/>
                </w14:textOutline>
              </w:rPr>
              <w:t>联系地址</w:t>
            </w:r>
          </w:p>
        </w:tc>
        <w:tc>
          <w:tcPr>
            <w:tcW w:w="3166" w:type="dxa"/>
            <w:gridSpan w:val="2"/>
            <w:tcBorders>
              <w:top w:val="single" w:color="000000" w:sz="2" w:space="0"/>
              <w:left w:val="single" w:color="000000" w:sz="2" w:space="0"/>
              <w:bottom w:val="single" w:color="000000" w:sz="2" w:space="0"/>
              <w:right w:val="single" w:color="000000" w:sz="2" w:space="0"/>
            </w:tcBorders>
            <w:vAlign w:val="center"/>
          </w:tcPr>
          <w:p w14:paraId="7792186A">
            <w:pPr>
              <w:widowControl w:val="0"/>
              <w:spacing w:before="215" w:after="0" w:line="225" w:lineRule="auto"/>
              <w:jc w:val="center"/>
              <w:rPr>
                <w:rFonts w:ascii="宋体" w:hAnsi="宋体" w:cs="宋体"/>
                <w:sz w:val="23"/>
                <w:szCs w:val="23"/>
              </w:rPr>
            </w:pPr>
            <w:r>
              <w:rPr>
                <w:rFonts w:hint="eastAsia" w:ascii="宋体" w:hAnsi="宋体" w:cs="宋体"/>
                <w:sz w:val="23"/>
                <w:szCs w:val="23"/>
              </w:rPr>
              <w:t>茂名市电白区电海街道迎宾大道288号2幢3楼</w:t>
            </w:r>
          </w:p>
        </w:tc>
      </w:tr>
      <w:tr w14:paraId="3F9955BA">
        <w:tblPrEx>
          <w:tblCellMar>
            <w:top w:w="0" w:type="dxa"/>
            <w:left w:w="2" w:type="dxa"/>
            <w:bottom w:w="0" w:type="dxa"/>
            <w:right w:w="2" w:type="dxa"/>
          </w:tblCellMar>
        </w:tblPrEx>
        <w:trPr>
          <w:trHeight w:val="518" w:hRule="atLeast"/>
          <w:jc w:val="center"/>
        </w:trPr>
        <w:tc>
          <w:tcPr>
            <w:tcW w:w="2013" w:type="dxa"/>
            <w:tcBorders>
              <w:top w:val="single" w:color="000000" w:sz="2" w:space="0"/>
              <w:left w:val="single" w:color="000000" w:sz="2" w:space="0"/>
              <w:bottom w:val="single" w:color="000000" w:sz="2" w:space="0"/>
              <w:right w:val="single" w:color="000000" w:sz="2" w:space="0"/>
            </w:tcBorders>
            <w:vAlign w:val="center"/>
          </w:tcPr>
          <w:p w14:paraId="6E4C3580">
            <w:pPr>
              <w:widowControl w:val="0"/>
              <w:spacing w:before="211" w:after="0" w:line="228" w:lineRule="auto"/>
              <w:jc w:val="center"/>
              <w:rPr>
                <w:rFonts w:ascii="宋体" w:hAnsi="宋体" w:cs="宋体"/>
                <w:sz w:val="23"/>
                <w:szCs w:val="23"/>
              </w:rPr>
            </w:pPr>
            <w:r>
              <w:rPr>
                <w:rFonts w:ascii="宋体" w:hAnsi="宋体" w:cs="宋体"/>
                <w:spacing w:val="9"/>
                <w:sz w:val="23"/>
                <w:szCs w:val="23"/>
                <w14:textOutline w14:w="4356" w14:cap="sq" w14:cmpd="sng" w14:algn="ctr">
                  <w14:solidFill>
                    <w14:srgbClr w14:val="000000"/>
                  </w14:solidFill>
                  <w14:prstDash w14:val="solid"/>
                  <w14:bevel/>
                </w14:textOutline>
              </w:rPr>
              <w:t>招标人联系人</w:t>
            </w:r>
          </w:p>
        </w:tc>
        <w:tc>
          <w:tcPr>
            <w:tcW w:w="2081" w:type="dxa"/>
            <w:gridSpan w:val="2"/>
            <w:tcBorders>
              <w:top w:val="single" w:color="000000" w:sz="2" w:space="0"/>
              <w:left w:val="single" w:color="000000" w:sz="2" w:space="0"/>
              <w:bottom w:val="single" w:color="000000" w:sz="2" w:space="0"/>
              <w:right w:val="single" w:color="000000" w:sz="2" w:space="0"/>
            </w:tcBorders>
            <w:vAlign w:val="center"/>
          </w:tcPr>
          <w:p w14:paraId="28090EA9">
            <w:pPr>
              <w:widowControl w:val="0"/>
              <w:spacing w:before="211" w:after="0" w:line="225" w:lineRule="auto"/>
              <w:jc w:val="center"/>
              <w:rPr>
                <w:rFonts w:ascii="宋体" w:hAnsi="宋体" w:cs="宋体"/>
                <w:sz w:val="23"/>
                <w:szCs w:val="23"/>
              </w:rPr>
            </w:pPr>
            <w:r>
              <w:rPr>
                <w:rFonts w:hint="eastAsia" w:ascii="宋体" w:hAnsi="宋体" w:cs="宋体"/>
                <w:spacing w:val="6"/>
                <w:sz w:val="23"/>
                <w:szCs w:val="23"/>
                <w:lang w:val="en-US" w:eastAsia="zh-CN"/>
              </w:rPr>
              <w:t>张</w:t>
            </w:r>
            <w:r>
              <w:rPr>
                <w:rFonts w:hint="eastAsia" w:ascii="宋体" w:hAnsi="宋体" w:cs="宋体"/>
                <w:spacing w:val="6"/>
                <w:sz w:val="23"/>
                <w:szCs w:val="23"/>
                <w:lang w:eastAsia="zh-CN"/>
              </w:rPr>
              <w:t>先生</w:t>
            </w:r>
          </w:p>
        </w:tc>
        <w:tc>
          <w:tcPr>
            <w:tcW w:w="2719" w:type="dxa"/>
            <w:gridSpan w:val="5"/>
            <w:tcBorders>
              <w:top w:val="single" w:color="000000" w:sz="2" w:space="0"/>
              <w:left w:val="single" w:color="000000" w:sz="2" w:space="0"/>
              <w:bottom w:val="single" w:color="000000" w:sz="2" w:space="0"/>
              <w:right w:val="single" w:color="000000" w:sz="2" w:space="0"/>
            </w:tcBorders>
            <w:vAlign w:val="center"/>
          </w:tcPr>
          <w:p w14:paraId="7DC18E4A">
            <w:pPr>
              <w:widowControl w:val="0"/>
              <w:spacing w:before="210" w:after="0" w:line="228" w:lineRule="auto"/>
              <w:jc w:val="center"/>
              <w:rPr>
                <w:rFonts w:ascii="宋体" w:hAnsi="宋体" w:cs="宋体"/>
                <w:sz w:val="23"/>
                <w:szCs w:val="23"/>
              </w:rPr>
            </w:pPr>
            <w:r>
              <w:rPr>
                <w:rFonts w:ascii="宋体" w:hAnsi="宋体" w:cs="宋体"/>
                <w:spacing w:val="8"/>
                <w:sz w:val="23"/>
                <w:szCs w:val="23"/>
                <w14:textOutline w14:w="4356" w14:cap="sq" w14:cmpd="sng" w14:algn="ctr">
                  <w14:solidFill>
                    <w14:srgbClr w14:val="000000"/>
                  </w14:solidFill>
                  <w14:prstDash w14:val="solid"/>
                  <w14:bevel/>
                </w14:textOutline>
              </w:rPr>
              <w:t>联系电话</w:t>
            </w:r>
          </w:p>
        </w:tc>
        <w:tc>
          <w:tcPr>
            <w:tcW w:w="3166" w:type="dxa"/>
            <w:gridSpan w:val="2"/>
            <w:tcBorders>
              <w:top w:val="single" w:color="000000" w:sz="2" w:space="0"/>
              <w:left w:val="single" w:color="000000" w:sz="2" w:space="0"/>
              <w:bottom w:val="single" w:color="000000" w:sz="2" w:space="0"/>
              <w:right w:val="single" w:color="000000" w:sz="2" w:space="0"/>
            </w:tcBorders>
            <w:vAlign w:val="center"/>
          </w:tcPr>
          <w:p w14:paraId="37B16635">
            <w:pPr>
              <w:widowControl w:val="0"/>
              <w:spacing w:before="249" w:after="0" w:line="189" w:lineRule="auto"/>
              <w:jc w:val="center"/>
              <w:rPr>
                <w:rFonts w:ascii="宋体" w:hAnsi="宋体" w:eastAsia="宋体" w:cs="宋体"/>
                <w:sz w:val="23"/>
                <w:szCs w:val="23"/>
                <w:lang w:val="en-US" w:eastAsia="zh-CN"/>
              </w:rPr>
            </w:pPr>
            <w:r>
              <w:rPr>
                <w:rFonts w:hint="eastAsia" w:ascii="宋体" w:hAnsi="宋体" w:cs="宋体"/>
                <w:sz w:val="23"/>
                <w:szCs w:val="23"/>
              </w:rPr>
              <w:t>0668-5118180</w:t>
            </w:r>
          </w:p>
        </w:tc>
      </w:tr>
      <w:tr w14:paraId="5899FA82">
        <w:tblPrEx>
          <w:tblCellMar>
            <w:top w:w="0" w:type="dxa"/>
            <w:left w:w="2" w:type="dxa"/>
            <w:bottom w:w="0" w:type="dxa"/>
            <w:right w:w="2" w:type="dxa"/>
          </w:tblCellMar>
        </w:tblPrEx>
        <w:trPr>
          <w:trHeight w:val="676" w:hRule="atLeast"/>
          <w:jc w:val="center"/>
        </w:trPr>
        <w:tc>
          <w:tcPr>
            <w:tcW w:w="2013" w:type="dxa"/>
            <w:tcBorders>
              <w:top w:val="single" w:color="000000" w:sz="2" w:space="0"/>
              <w:left w:val="single" w:color="000000" w:sz="2" w:space="0"/>
              <w:bottom w:val="single" w:color="000000" w:sz="2" w:space="0"/>
              <w:right w:val="single" w:color="000000" w:sz="2" w:space="0"/>
            </w:tcBorders>
            <w:vAlign w:val="center"/>
          </w:tcPr>
          <w:p w14:paraId="3557807F">
            <w:pPr>
              <w:widowControl w:val="0"/>
              <w:spacing w:before="212" w:after="0" w:line="225" w:lineRule="auto"/>
              <w:jc w:val="center"/>
              <w:rPr>
                <w:rFonts w:ascii="宋体" w:hAnsi="宋体" w:cs="宋体"/>
                <w:sz w:val="23"/>
                <w:szCs w:val="23"/>
              </w:rPr>
            </w:pPr>
            <w:r>
              <w:rPr>
                <w:rFonts w:ascii="宋体" w:hAnsi="宋体" w:cs="宋体"/>
                <w:spacing w:val="9"/>
                <w:sz w:val="23"/>
                <w:szCs w:val="23"/>
                <w14:textOutline w14:w="4356" w14:cap="sq" w14:cmpd="sng" w14:algn="ctr">
                  <w14:solidFill>
                    <w14:srgbClr w14:val="000000"/>
                  </w14:solidFill>
                  <w14:prstDash w14:val="solid"/>
                  <w14:bevel/>
                </w14:textOutline>
              </w:rPr>
              <w:t>招标代理机构</w:t>
            </w:r>
          </w:p>
        </w:tc>
        <w:tc>
          <w:tcPr>
            <w:tcW w:w="2081" w:type="dxa"/>
            <w:gridSpan w:val="2"/>
            <w:tcBorders>
              <w:top w:val="single" w:color="000000" w:sz="2" w:space="0"/>
              <w:left w:val="single" w:color="000000" w:sz="2" w:space="0"/>
              <w:bottom w:val="single" w:color="000000" w:sz="2" w:space="0"/>
              <w:right w:val="single" w:color="000000" w:sz="2" w:space="0"/>
            </w:tcBorders>
            <w:vAlign w:val="center"/>
          </w:tcPr>
          <w:p w14:paraId="6617EB53">
            <w:pPr>
              <w:widowControl w:val="0"/>
              <w:spacing w:before="57" w:after="0" w:line="237" w:lineRule="auto"/>
              <w:ind w:right="200" w:firstLine="0"/>
              <w:jc w:val="center"/>
              <w:rPr>
                <w:rFonts w:ascii="宋体" w:hAnsi="宋体" w:cs="宋体"/>
                <w:sz w:val="23"/>
                <w:szCs w:val="23"/>
              </w:rPr>
            </w:pPr>
            <w:r>
              <w:rPr>
                <w:rFonts w:hint="eastAsia" w:ascii="宋体" w:hAnsi="宋体" w:cs="宋体"/>
                <w:spacing w:val="12"/>
                <w:sz w:val="23"/>
                <w:szCs w:val="23"/>
              </w:rPr>
              <w:t>广东省城规建设监理有限公司</w:t>
            </w:r>
          </w:p>
        </w:tc>
        <w:tc>
          <w:tcPr>
            <w:tcW w:w="2719" w:type="dxa"/>
            <w:gridSpan w:val="5"/>
            <w:tcBorders>
              <w:top w:val="single" w:color="000000" w:sz="2" w:space="0"/>
              <w:left w:val="single" w:color="000000" w:sz="2" w:space="0"/>
              <w:bottom w:val="single" w:color="000000" w:sz="2" w:space="0"/>
              <w:right w:val="single" w:color="000000" w:sz="2" w:space="0"/>
            </w:tcBorders>
            <w:vAlign w:val="center"/>
          </w:tcPr>
          <w:p w14:paraId="46514F30">
            <w:pPr>
              <w:widowControl w:val="0"/>
              <w:spacing w:before="212" w:after="0" w:line="228" w:lineRule="auto"/>
              <w:jc w:val="center"/>
              <w:rPr>
                <w:rFonts w:ascii="宋体" w:hAnsi="宋体" w:cs="宋体"/>
                <w:sz w:val="23"/>
                <w:szCs w:val="23"/>
              </w:rPr>
            </w:pPr>
            <w:r>
              <w:rPr>
                <w:rFonts w:ascii="宋体" w:hAnsi="宋体" w:cs="宋体"/>
                <w:spacing w:val="8"/>
                <w:sz w:val="23"/>
                <w:szCs w:val="23"/>
                <w14:textOutline w14:w="4356" w14:cap="sq" w14:cmpd="sng" w14:algn="ctr">
                  <w14:solidFill>
                    <w14:srgbClr w14:val="000000"/>
                  </w14:solidFill>
                  <w14:prstDash w14:val="solid"/>
                  <w14:bevel/>
                </w14:textOutline>
              </w:rPr>
              <w:t>联系地址</w:t>
            </w:r>
          </w:p>
        </w:tc>
        <w:tc>
          <w:tcPr>
            <w:tcW w:w="3166" w:type="dxa"/>
            <w:gridSpan w:val="2"/>
            <w:tcBorders>
              <w:top w:val="single" w:color="000000" w:sz="2" w:space="0"/>
              <w:left w:val="single" w:color="000000" w:sz="2" w:space="0"/>
              <w:bottom w:val="single" w:color="000000" w:sz="2" w:space="0"/>
              <w:right w:val="single" w:color="000000" w:sz="2" w:space="0"/>
            </w:tcBorders>
            <w:vAlign w:val="center"/>
          </w:tcPr>
          <w:p w14:paraId="67698F17">
            <w:pPr>
              <w:widowControl w:val="0"/>
              <w:spacing w:before="213" w:after="0" w:line="225" w:lineRule="auto"/>
              <w:jc w:val="center"/>
              <w:rPr>
                <w:rFonts w:ascii="宋体" w:hAnsi="宋体" w:cs="宋体"/>
                <w:sz w:val="23"/>
                <w:szCs w:val="23"/>
              </w:rPr>
            </w:pPr>
            <w:r>
              <w:rPr>
                <w:rFonts w:hint="eastAsia" w:ascii="宋体" w:hAnsi="宋体" w:cs="宋体"/>
                <w:sz w:val="23"/>
                <w:szCs w:val="23"/>
              </w:rPr>
              <w:t>广州市白云区启德路77号广州法务大厦北塔六楼全层</w:t>
            </w:r>
          </w:p>
        </w:tc>
      </w:tr>
      <w:tr w14:paraId="0DC065A2">
        <w:tblPrEx>
          <w:tblCellMar>
            <w:top w:w="0" w:type="dxa"/>
            <w:left w:w="2" w:type="dxa"/>
            <w:bottom w:w="0" w:type="dxa"/>
            <w:right w:w="2" w:type="dxa"/>
          </w:tblCellMar>
        </w:tblPrEx>
        <w:trPr>
          <w:trHeight w:val="518" w:hRule="atLeast"/>
          <w:jc w:val="center"/>
        </w:trPr>
        <w:tc>
          <w:tcPr>
            <w:tcW w:w="2013" w:type="dxa"/>
            <w:tcBorders>
              <w:top w:val="single" w:color="000000" w:sz="2" w:space="0"/>
              <w:left w:val="single" w:color="000000" w:sz="2" w:space="0"/>
              <w:bottom w:val="single" w:color="000000" w:sz="2" w:space="0"/>
              <w:right w:val="single" w:color="000000" w:sz="2" w:space="0"/>
            </w:tcBorders>
            <w:vAlign w:val="center"/>
          </w:tcPr>
          <w:p w14:paraId="321004F1">
            <w:pPr>
              <w:widowControl w:val="0"/>
              <w:spacing w:before="212" w:after="0" w:line="225" w:lineRule="auto"/>
              <w:jc w:val="center"/>
              <w:rPr>
                <w:rFonts w:ascii="宋体" w:hAnsi="宋体" w:cs="宋体"/>
                <w:sz w:val="23"/>
                <w:szCs w:val="23"/>
              </w:rPr>
            </w:pPr>
            <w:r>
              <w:rPr>
                <w:rFonts w:ascii="宋体" w:hAnsi="宋体" w:cs="宋体"/>
                <w:spacing w:val="10"/>
                <w:sz w:val="23"/>
                <w:szCs w:val="23"/>
                <w14:textOutline w14:w="4356" w14:cap="sq" w14:cmpd="sng" w14:algn="ctr">
                  <w14:solidFill>
                    <w14:srgbClr w14:val="000000"/>
                  </w14:solidFill>
                  <w14:prstDash w14:val="solid"/>
                  <w14:bevel/>
                </w14:textOutline>
              </w:rPr>
              <w:t>招</w:t>
            </w:r>
            <w:r>
              <w:rPr>
                <w:rFonts w:ascii="宋体" w:hAnsi="宋体" w:cs="宋体"/>
                <w:spacing w:val="9"/>
                <w:sz w:val="23"/>
                <w:szCs w:val="23"/>
                <w14:textOutline w14:w="4356" w14:cap="sq" w14:cmpd="sng" w14:algn="ctr">
                  <w14:solidFill>
                    <w14:srgbClr w14:val="000000"/>
                  </w14:solidFill>
                  <w14:prstDash w14:val="solid"/>
                  <w14:bevel/>
                </w14:textOutline>
              </w:rPr>
              <w:t>标代理联系人</w:t>
            </w:r>
          </w:p>
        </w:tc>
        <w:tc>
          <w:tcPr>
            <w:tcW w:w="2081" w:type="dxa"/>
            <w:gridSpan w:val="2"/>
            <w:tcBorders>
              <w:top w:val="single" w:color="000000" w:sz="2" w:space="0"/>
              <w:left w:val="single" w:color="000000" w:sz="2" w:space="0"/>
              <w:bottom w:val="single" w:color="000000" w:sz="2" w:space="0"/>
              <w:right w:val="single" w:color="000000" w:sz="2" w:space="0"/>
            </w:tcBorders>
            <w:vAlign w:val="center"/>
          </w:tcPr>
          <w:p w14:paraId="07CFE09A">
            <w:pPr>
              <w:widowControl w:val="0"/>
              <w:spacing w:before="212" w:after="0" w:line="225" w:lineRule="auto"/>
              <w:jc w:val="center"/>
              <w:rPr>
                <w:rFonts w:hint="eastAsia" w:ascii="宋体" w:hAnsi="宋体" w:eastAsia="宋体" w:cs="宋体"/>
                <w:sz w:val="23"/>
                <w:szCs w:val="23"/>
                <w:lang w:eastAsia="zh-CN"/>
              </w:rPr>
            </w:pPr>
            <w:r>
              <w:rPr>
                <w:rFonts w:hint="eastAsia" w:ascii="宋体" w:hAnsi="宋体" w:cs="宋体"/>
                <w:spacing w:val="7"/>
                <w:sz w:val="23"/>
                <w:szCs w:val="23"/>
              </w:rPr>
              <w:t>梁</w:t>
            </w:r>
            <w:r>
              <w:rPr>
                <w:rFonts w:hint="eastAsia" w:ascii="宋体" w:hAnsi="宋体" w:cs="宋体"/>
                <w:spacing w:val="7"/>
                <w:sz w:val="23"/>
                <w:szCs w:val="23"/>
                <w:lang w:val="en-US" w:eastAsia="zh-CN"/>
              </w:rPr>
              <w:t>先生</w:t>
            </w:r>
          </w:p>
        </w:tc>
        <w:tc>
          <w:tcPr>
            <w:tcW w:w="2719" w:type="dxa"/>
            <w:gridSpan w:val="5"/>
            <w:tcBorders>
              <w:top w:val="single" w:color="000000" w:sz="2" w:space="0"/>
              <w:left w:val="single" w:color="000000" w:sz="2" w:space="0"/>
              <w:bottom w:val="single" w:color="000000" w:sz="2" w:space="0"/>
              <w:right w:val="single" w:color="000000" w:sz="2" w:space="0"/>
            </w:tcBorders>
            <w:vAlign w:val="center"/>
          </w:tcPr>
          <w:p w14:paraId="05F12A44">
            <w:pPr>
              <w:widowControl w:val="0"/>
              <w:spacing w:before="211" w:after="0" w:line="228" w:lineRule="auto"/>
              <w:jc w:val="center"/>
              <w:rPr>
                <w:rFonts w:ascii="宋体" w:hAnsi="宋体" w:cs="宋体"/>
                <w:sz w:val="23"/>
                <w:szCs w:val="23"/>
              </w:rPr>
            </w:pPr>
            <w:r>
              <w:rPr>
                <w:rFonts w:ascii="宋体" w:hAnsi="宋体" w:cs="宋体"/>
                <w:spacing w:val="8"/>
                <w:sz w:val="23"/>
                <w:szCs w:val="23"/>
                <w14:textOutline w14:w="4356" w14:cap="sq" w14:cmpd="sng" w14:algn="ctr">
                  <w14:solidFill>
                    <w14:srgbClr w14:val="000000"/>
                  </w14:solidFill>
                  <w14:prstDash w14:val="solid"/>
                  <w14:bevel/>
                </w14:textOutline>
              </w:rPr>
              <w:t>联系电话</w:t>
            </w:r>
          </w:p>
        </w:tc>
        <w:tc>
          <w:tcPr>
            <w:tcW w:w="3166" w:type="dxa"/>
            <w:gridSpan w:val="2"/>
            <w:tcBorders>
              <w:top w:val="single" w:color="000000" w:sz="2" w:space="0"/>
              <w:left w:val="single" w:color="000000" w:sz="2" w:space="0"/>
              <w:bottom w:val="single" w:color="000000" w:sz="2" w:space="0"/>
              <w:right w:val="single" w:color="000000" w:sz="2" w:space="0"/>
            </w:tcBorders>
            <w:vAlign w:val="center"/>
          </w:tcPr>
          <w:p w14:paraId="49E6F107">
            <w:pPr>
              <w:widowControl w:val="0"/>
              <w:spacing w:before="249" w:after="0" w:line="189" w:lineRule="auto"/>
              <w:jc w:val="center"/>
              <w:rPr>
                <w:rFonts w:ascii="宋体" w:hAnsi="宋体" w:cs="宋体"/>
                <w:sz w:val="23"/>
                <w:szCs w:val="23"/>
              </w:rPr>
            </w:pPr>
            <w:r>
              <w:rPr>
                <w:rFonts w:hint="eastAsia" w:ascii="宋体" w:hAnsi="宋体" w:cs="宋体"/>
                <w:sz w:val="23"/>
                <w:szCs w:val="23"/>
              </w:rPr>
              <w:t>13602427802</w:t>
            </w:r>
          </w:p>
        </w:tc>
      </w:tr>
      <w:tr w14:paraId="009A5D1E">
        <w:tblPrEx>
          <w:tblCellMar>
            <w:top w:w="0" w:type="dxa"/>
            <w:left w:w="2" w:type="dxa"/>
            <w:bottom w:w="0" w:type="dxa"/>
            <w:right w:w="2" w:type="dxa"/>
          </w:tblCellMar>
        </w:tblPrEx>
        <w:trPr>
          <w:trHeight w:val="584" w:hRule="atLeast"/>
          <w:jc w:val="center"/>
        </w:trPr>
        <w:tc>
          <w:tcPr>
            <w:tcW w:w="2013" w:type="dxa"/>
            <w:tcBorders>
              <w:top w:val="single" w:color="000000" w:sz="2" w:space="0"/>
              <w:left w:val="single" w:color="000000" w:sz="2" w:space="0"/>
              <w:bottom w:val="single" w:color="000000" w:sz="2" w:space="0"/>
              <w:right w:val="single" w:color="000000" w:sz="2" w:space="0"/>
            </w:tcBorders>
            <w:vAlign w:val="center"/>
          </w:tcPr>
          <w:p w14:paraId="25E83B2F">
            <w:pPr>
              <w:widowControl w:val="0"/>
              <w:spacing w:before="191" w:after="0" w:line="225" w:lineRule="auto"/>
              <w:jc w:val="center"/>
              <w:rPr>
                <w:rFonts w:ascii="宋体" w:hAnsi="宋体" w:cs="宋体"/>
                <w:color w:val="FF0000"/>
                <w:sz w:val="23"/>
                <w:szCs w:val="23"/>
              </w:rPr>
            </w:pPr>
            <w:r>
              <w:rPr>
                <w:rFonts w:ascii="宋体" w:hAnsi="宋体" w:cs="宋体"/>
                <w:color w:val="FF0000"/>
                <w:spacing w:val="9"/>
                <w:sz w:val="23"/>
                <w:szCs w:val="23"/>
                <w14:textOutline w14:w="4356" w14:cap="sq" w14:cmpd="sng" w14:algn="ctr">
                  <w14:solidFill>
                    <w14:srgbClr w14:val="000000"/>
                  </w14:solidFill>
                  <w14:prstDash w14:val="solid"/>
                  <w14:bevel/>
                </w14:textOutline>
              </w:rPr>
              <w:t>招标监督机构</w:t>
            </w:r>
          </w:p>
        </w:tc>
        <w:tc>
          <w:tcPr>
            <w:tcW w:w="2081" w:type="dxa"/>
            <w:gridSpan w:val="2"/>
            <w:tcBorders>
              <w:top w:val="single" w:color="000000" w:sz="2" w:space="0"/>
              <w:left w:val="single" w:color="000000" w:sz="2" w:space="0"/>
              <w:bottom w:val="single" w:color="000000" w:sz="2" w:space="0"/>
              <w:right w:val="single" w:color="000000" w:sz="2" w:space="0"/>
            </w:tcBorders>
            <w:vAlign w:val="center"/>
          </w:tcPr>
          <w:p w14:paraId="530B9755">
            <w:pPr>
              <w:widowControl w:val="0"/>
              <w:spacing w:before="39" w:after="0" w:line="235" w:lineRule="auto"/>
              <w:ind w:right="200" w:firstLine="0"/>
              <w:jc w:val="center"/>
              <w:rPr>
                <w:rFonts w:hint="eastAsia" w:ascii="宋体" w:hAnsi="宋体" w:eastAsia="宋体" w:cs="宋体"/>
                <w:color w:val="auto"/>
                <w:sz w:val="23"/>
                <w:szCs w:val="23"/>
                <w:lang w:eastAsia="zh-CN"/>
              </w:rPr>
            </w:pPr>
            <w:r>
              <w:rPr>
                <w:rFonts w:hint="eastAsia" w:ascii="宋体" w:hAnsi="宋体" w:cs="宋体"/>
                <w:color w:val="auto"/>
                <w:spacing w:val="9"/>
                <w:sz w:val="23"/>
                <w:szCs w:val="23"/>
                <w:lang w:val="en-US" w:eastAsia="zh-CN"/>
              </w:rPr>
              <w:t xml:space="preserve"> 茂名市电白区农业农村局</w:t>
            </w:r>
          </w:p>
        </w:tc>
        <w:tc>
          <w:tcPr>
            <w:tcW w:w="2719" w:type="dxa"/>
            <w:gridSpan w:val="5"/>
            <w:tcBorders>
              <w:top w:val="single" w:color="000000" w:sz="2" w:space="0"/>
              <w:left w:val="single" w:color="000000" w:sz="2" w:space="0"/>
              <w:bottom w:val="single" w:color="000000" w:sz="2" w:space="0"/>
              <w:right w:val="single" w:color="000000" w:sz="2" w:space="0"/>
            </w:tcBorders>
            <w:vAlign w:val="center"/>
          </w:tcPr>
          <w:p w14:paraId="5580D341">
            <w:pPr>
              <w:widowControl w:val="0"/>
              <w:spacing w:before="191" w:after="0" w:line="228" w:lineRule="auto"/>
              <w:jc w:val="center"/>
              <w:rPr>
                <w:rFonts w:ascii="宋体" w:hAnsi="宋体" w:cs="宋体"/>
                <w:color w:val="auto"/>
                <w:sz w:val="23"/>
                <w:szCs w:val="23"/>
              </w:rPr>
            </w:pPr>
            <w:r>
              <w:rPr>
                <w:rFonts w:ascii="宋体" w:hAnsi="宋体" w:cs="宋体"/>
                <w:color w:val="auto"/>
                <w:spacing w:val="8"/>
                <w:sz w:val="23"/>
                <w:szCs w:val="23"/>
                <w14:textOutline w14:w="4356" w14:cap="sq" w14:cmpd="sng" w14:algn="ctr">
                  <w14:solidFill>
                    <w14:srgbClr w14:val="000000"/>
                  </w14:solidFill>
                  <w14:prstDash w14:val="solid"/>
                  <w14:bevel/>
                </w14:textOutline>
              </w:rPr>
              <w:t>联系电话</w:t>
            </w:r>
          </w:p>
        </w:tc>
        <w:tc>
          <w:tcPr>
            <w:tcW w:w="3166" w:type="dxa"/>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6AB45743">
            <w:pPr>
              <w:keepNext w:val="0"/>
              <w:keepLines w:val="0"/>
              <w:widowControl w:val="0"/>
              <w:overflowPunct w:val="0"/>
              <w:bidi w:val="0"/>
              <w:snapToGrid/>
              <w:spacing w:before="109" w:after="0" w:line="192" w:lineRule="auto"/>
              <w:jc w:val="center"/>
              <w:textAlignment w:val="auto"/>
              <w:rPr>
                <w:rFonts w:hint="eastAsia" w:ascii="宋体" w:hAnsi="宋体" w:eastAsia="宋体" w:cs="宋体"/>
                <w:color w:val="auto"/>
                <w:sz w:val="23"/>
                <w:szCs w:val="23"/>
                <w:lang w:eastAsia="zh-CN"/>
              </w:rPr>
            </w:pPr>
            <w:r>
              <w:rPr>
                <w:rFonts w:hint="eastAsia" w:ascii="宋体" w:hAnsi="宋体" w:cs="宋体"/>
                <w:color w:val="auto"/>
                <w:sz w:val="23"/>
                <w:szCs w:val="23"/>
                <w:shd w:val="clear" w:fill="auto"/>
                <w:lang w:val="en-US" w:eastAsia="zh-CN"/>
              </w:rPr>
              <w:t xml:space="preserve"> 0668-5532996</w:t>
            </w:r>
          </w:p>
        </w:tc>
      </w:tr>
      <w:tr w14:paraId="00D0144D">
        <w:tblPrEx>
          <w:tblCellMar>
            <w:top w:w="0" w:type="dxa"/>
            <w:left w:w="2" w:type="dxa"/>
            <w:bottom w:w="0" w:type="dxa"/>
            <w:right w:w="2" w:type="dxa"/>
          </w:tblCellMar>
        </w:tblPrEx>
        <w:trPr>
          <w:trHeight w:val="537" w:hRule="atLeast"/>
          <w:jc w:val="center"/>
        </w:trPr>
        <w:tc>
          <w:tcPr>
            <w:tcW w:w="2013" w:type="dxa"/>
            <w:tcBorders>
              <w:top w:val="single" w:color="000000" w:sz="2" w:space="0"/>
              <w:left w:val="single" w:color="000000" w:sz="2" w:space="0"/>
              <w:bottom w:val="single" w:color="000000" w:sz="2" w:space="0"/>
              <w:right w:val="single" w:color="000000" w:sz="2" w:space="0"/>
            </w:tcBorders>
          </w:tcPr>
          <w:p w14:paraId="543AC0DB">
            <w:pPr>
              <w:widowControl w:val="0"/>
              <w:spacing w:before="75" w:after="0" w:line="264" w:lineRule="auto"/>
              <w:ind w:right="109"/>
              <w:rPr>
                <w:rFonts w:ascii="宋体" w:hAnsi="宋体" w:cs="宋体"/>
                <w:spacing w:val="10"/>
                <w:sz w:val="23"/>
                <w:szCs w:val="23"/>
                <w14:textOutline w14:w="4356" w14:cap="sq" w14:cmpd="sng" w14:algn="ctr">
                  <w14:solidFill>
                    <w14:srgbClr w14:val="000000"/>
                  </w14:solidFill>
                  <w14:prstDash w14:val="solid"/>
                  <w14:bevel/>
                </w14:textOutline>
              </w:rPr>
            </w:pPr>
          </w:p>
          <w:p w14:paraId="3455AEBB">
            <w:pPr>
              <w:widowControl w:val="0"/>
              <w:spacing w:before="75" w:after="0" w:line="264" w:lineRule="auto"/>
              <w:ind w:right="109"/>
              <w:rPr>
                <w:rFonts w:ascii="宋体" w:hAnsi="宋体" w:cs="宋体"/>
                <w:spacing w:val="10"/>
                <w:sz w:val="23"/>
                <w:szCs w:val="23"/>
                <w14:textOutline w14:w="4356" w14:cap="sq" w14:cmpd="sng" w14:algn="ctr">
                  <w14:solidFill>
                    <w14:srgbClr w14:val="000000"/>
                  </w14:solidFill>
                  <w14:prstDash w14:val="solid"/>
                  <w14:bevel/>
                </w14:textOutline>
              </w:rPr>
            </w:pPr>
          </w:p>
          <w:p w14:paraId="1E7872DD">
            <w:pPr>
              <w:widowControl w:val="0"/>
              <w:spacing w:before="75" w:after="0" w:line="264" w:lineRule="auto"/>
              <w:ind w:right="109"/>
              <w:rPr>
                <w:rFonts w:ascii="宋体" w:hAnsi="宋体" w:cs="宋体"/>
                <w:spacing w:val="10"/>
                <w:sz w:val="23"/>
                <w:szCs w:val="23"/>
                <w14:textOutline w14:w="4356" w14:cap="sq" w14:cmpd="sng" w14:algn="ctr">
                  <w14:solidFill>
                    <w14:srgbClr w14:val="000000"/>
                  </w14:solidFill>
                  <w14:prstDash w14:val="solid"/>
                  <w14:bevel/>
                </w14:textOutline>
              </w:rPr>
            </w:pPr>
          </w:p>
          <w:p w14:paraId="3C81A6CE">
            <w:pPr>
              <w:widowControl w:val="0"/>
              <w:spacing w:before="75" w:after="0" w:line="264" w:lineRule="auto"/>
              <w:ind w:right="109"/>
              <w:rPr>
                <w:rFonts w:ascii="宋体" w:hAnsi="宋体" w:cs="宋体"/>
                <w:spacing w:val="10"/>
                <w:sz w:val="23"/>
                <w:szCs w:val="23"/>
                <w14:textOutline w14:w="4356" w14:cap="sq" w14:cmpd="sng" w14:algn="ctr">
                  <w14:solidFill>
                    <w14:srgbClr w14:val="000000"/>
                  </w14:solidFill>
                  <w14:prstDash w14:val="solid"/>
                  <w14:bevel/>
                </w14:textOutline>
              </w:rPr>
            </w:pPr>
          </w:p>
          <w:p w14:paraId="4744D47C">
            <w:pPr>
              <w:widowControl w:val="0"/>
              <w:spacing w:before="75" w:after="0" w:line="264" w:lineRule="auto"/>
              <w:ind w:right="109"/>
              <w:rPr>
                <w:rFonts w:ascii="宋体" w:hAnsi="宋体" w:cs="宋体"/>
                <w:spacing w:val="10"/>
                <w:sz w:val="23"/>
                <w:szCs w:val="23"/>
                <w14:textOutline w14:w="4356" w14:cap="sq" w14:cmpd="sng" w14:algn="ctr">
                  <w14:solidFill>
                    <w14:srgbClr w14:val="000000"/>
                  </w14:solidFill>
                  <w14:prstDash w14:val="solid"/>
                  <w14:bevel/>
                </w14:textOutline>
              </w:rPr>
            </w:pPr>
          </w:p>
          <w:p w14:paraId="73995C33">
            <w:pPr>
              <w:widowControl w:val="0"/>
              <w:spacing w:before="75" w:after="0" w:line="264" w:lineRule="auto"/>
              <w:ind w:right="109"/>
              <w:jc w:val="center"/>
              <w:rPr>
                <w:rFonts w:ascii="宋体" w:hAnsi="宋体" w:cs="宋体"/>
                <w:sz w:val="23"/>
                <w:szCs w:val="23"/>
              </w:rPr>
            </w:pPr>
            <w:r>
              <w:rPr>
                <w:rFonts w:ascii="宋体" w:hAnsi="宋体" w:cs="宋体"/>
                <w:spacing w:val="10"/>
                <w:sz w:val="23"/>
                <w:szCs w:val="23"/>
                <w14:textOutline w14:w="4356" w14:cap="sq" w14:cmpd="sng" w14:algn="ctr">
                  <w14:solidFill>
                    <w14:srgbClr w14:val="000000"/>
                  </w14:solidFill>
                  <w14:prstDash w14:val="solid"/>
                  <w14:bevel/>
                </w14:textOutline>
              </w:rPr>
              <w:t>其</w:t>
            </w:r>
            <w:r>
              <w:rPr>
                <w:rFonts w:ascii="宋体" w:hAnsi="宋体" w:cs="宋体"/>
                <w:spacing w:val="9"/>
                <w:sz w:val="23"/>
                <w:szCs w:val="23"/>
                <w14:textOutline w14:w="4356" w14:cap="sq" w14:cmpd="sng" w14:algn="ctr">
                  <w14:solidFill>
                    <w14:srgbClr w14:val="000000"/>
                  </w14:solidFill>
                  <w14:prstDash w14:val="solid"/>
                  <w14:bevel/>
                </w14:textOutline>
              </w:rPr>
              <w:t>他依法应当载</w:t>
            </w:r>
            <w:r>
              <w:rPr>
                <w:rFonts w:ascii="宋体" w:hAnsi="宋体" w:cs="宋体"/>
                <w:sz w:val="23"/>
                <w:szCs w:val="23"/>
              </w:rPr>
              <w:t xml:space="preserve"> </w:t>
            </w:r>
            <w:r>
              <w:rPr>
                <w:rFonts w:ascii="宋体" w:hAnsi="宋体" w:cs="宋体"/>
                <w:spacing w:val="4"/>
                <w:sz w:val="23"/>
                <w:szCs w:val="23"/>
                <w14:textOutline w14:w="4356" w14:cap="sq" w14:cmpd="sng" w14:algn="ctr">
                  <w14:solidFill>
                    <w14:srgbClr w14:val="000000"/>
                  </w14:solidFill>
                  <w14:prstDash w14:val="solid"/>
                  <w14:bevel/>
                </w14:textOutline>
              </w:rPr>
              <w:t>明</w:t>
            </w:r>
            <w:r>
              <w:rPr>
                <w:rFonts w:ascii="宋体" w:hAnsi="宋体" w:cs="宋体"/>
                <w:spacing w:val="2"/>
                <w:sz w:val="23"/>
                <w:szCs w:val="23"/>
                <w14:textOutline w14:w="4356" w14:cap="sq" w14:cmpd="sng" w14:algn="ctr">
                  <w14:solidFill>
                    <w14:srgbClr w14:val="000000"/>
                  </w14:solidFill>
                  <w14:prstDash w14:val="solid"/>
                  <w14:bevel/>
                </w14:textOutline>
              </w:rPr>
              <w:t>的内容</w:t>
            </w:r>
          </w:p>
        </w:tc>
        <w:tc>
          <w:tcPr>
            <w:tcW w:w="7966" w:type="dxa"/>
            <w:gridSpan w:val="9"/>
            <w:tcBorders>
              <w:top w:val="single" w:color="000000" w:sz="2" w:space="0"/>
              <w:left w:val="single" w:color="000000" w:sz="2" w:space="0"/>
              <w:bottom w:val="single" w:color="000000" w:sz="2" w:space="0"/>
              <w:right w:val="single" w:color="000000" w:sz="2" w:space="0"/>
            </w:tcBorders>
          </w:tcPr>
          <w:p w14:paraId="089C2422">
            <w:pPr>
              <w:widowControl w:val="0"/>
              <w:spacing w:before="0" w:after="0" w:line="360" w:lineRule="exact"/>
              <w:ind w:left="113" w:right="125" w:firstLine="0"/>
              <w:jc w:val="left"/>
              <w:rPr>
                <w:rFonts w:hint="eastAsia" w:ascii="宋体" w:hAnsi="宋体" w:cs="宋体"/>
                <w:spacing w:val="9"/>
                <w:sz w:val="23"/>
                <w:szCs w:val="23"/>
              </w:rPr>
            </w:pPr>
            <w:r>
              <w:rPr>
                <w:rFonts w:hint="eastAsia" w:ascii="宋体" w:hAnsi="宋体" w:cs="宋体"/>
                <w:spacing w:val="9"/>
                <w:sz w:val="23"/>
                <w:szCs w:val="23"/>
              </w:rPr>
              <w:t>1.凡有意参加投标者，请于招标公告发布后至递交投标文件截止时间前，</w:t>
            </w:r>
            <w:r>
              <w:rPr>
                <w:rFonts w:hint="eastAsia" w:ascii="宋体" w:hAnsi="宋体" w:cs="宋体"/>
                <w:spacing w:val="9"/>
                <w:sz w:val="23"/>
                <w:szCs w:val="23"/>
                <w:lang w:eastAsia="zh-CN"/>
              </w:rPr>
              <w:t>登录</w:t>
            </w:r>
            <w:r>
              <w:rPr>
                <w:rFonts w:hint="eastAsia" w:ascii="宋体" w:hAnsi="宋体" w:cs="宋体"/>
                <w:spacing w:val="9"/>
                <w:sz w:val="23"/>
                <w:szCs w:val="23"/>
              </w:rPr>
              <w:t xml:space="preserve">广州公共资源交易中心电子交易平台办理网上投标登记手续。 </w:t>
            </w:r>
          </w:p>
          <w:p w14:paraId="17407CC5">
            <w:pPr>
              <w:widowControl w:val="0"/>
              <w:spacing w:before="0" w:after="0" w:line="360" w:lineRule="exact"/>
              <w:ind w:left="113" w:right="125" w:firstLine="0"/>
              <w:jc w:val="left"/>
              <w:rPr>
                <w:rFonts w:hint="eastAsia" w:ascii="宋体" w:hAnsi="宋体" w:cs="宋体"/>
                <w:spacing w:val="9"/>
                <w:sz w:val="23"/>
                <w:szCs w:val="23"/>
              </w:rPr>
            </w:pPr>
            <w:r>
              <w:rPr>
                <w:rFonts w:hint="eastAsia" w:ascii="宋体" w:hAnsi="宋体" w:cs="宋体"/>
                <w:spacing w:val="9"/>
                <w:sz w:val="23"/>
                <w:szCs w:val="23"/>
              </w:rPr>
              <w:t>2.投标人投标登记前须在广州公共资源交易中心办理企业信息登记</w:t>
            </w:r>
            <w:r>
              <w:rPr>
                <w:rStyle w:val="32"/>
                <w:rFonts w:hint="eastAsia" w:ascii="宋体" w:hAnsi="宋体" w:cs="宋体"/>
                <w:b w:val="0"/>
                <w:color w:val="000000"/>
                <w:sz w:val="23"/>
                <w:szCs w:val="23"/>
              </w:rPr>
              <w:t>，企业信息登记的办理详见广州公共资源交易中心网站服务指南栏目</w:t>
            </w:r>
            <w:r>
              <w:rPr>
                <w:rFonts w:hint="eastAsia" w:ascii="宋体" w:hAnsi="宋体" w:cs="宋体"/>
                <w:spacing w:val="9"/>
                <w:sz w:val="23"/>
                <w:szCs w:val="23"/>
              </w:rPr>
              <w:t xml:space="preserve">。 </w:t>
            </w:r>
          </w:p>
          <w:p w14:paraId="43C50AFC">
            <w:pPr>
              <w:widowControl w:val="0"/>
              <w:spacing w:before="0" w:after="0" w:line="360" w:lineRule="exact"/>
              <w:ind w:left="113" w:right="125" w:firstLine="0"/>
              <w:jc w:val="left"/>
              <w:rPr>
                <w:rFonts w:hint="eastAsia" w:ascii="宋体" w:hAnsi="宋体" w:cs="宋体"/>
                <w:spacing w:val="9"/>
                <w:sz w:val="23"/>
                <w:szCs w:val="23"/>
              </w:rPr>
            </w:pPr>
            <w:r>
              <w:rPr>
                <w:rFonts w:hint="eastAsia" w:ascii="宋体" w:hAnsi="宋体" w:cs="宋体"/>
                <w:spacing w:val="9"/>
                <w:sz w:val="23"/>
                <w:szCs w:val="23"/>
              </w:rPr>
              <w:t xml:space="preserve">3.招标答疑采用网上答疑方式进行。投标人若对招标文件有疑问的，可在规定的时间内通过广州公共资源交易中心网进入提问区域将问题提交给招标人或招标代理人，提交问题时一律不得署名。 网上答疑的操作指南为：投标人登录广州公共资源交易中心数字交易平台→进入“我是投标人”页面→进入“招标答疑提问”页面→通过项目编号或名称找到所需的项目→在上述答疑时间内点击“答疑提问”→无记名或匿名提出问题。 4.招标人应在投标截止时间15日前解答投标人对招标文件提出的疑问，形成答疑纪要，并在广州公共资源交易中心网项目答疑专区发布。 </w:t>
            </w:r>
          </w:p>
          <w:p w14:paraId="21466A2F">
            <w:pPr>
              <w:widowControl w:val="0"/>
              <w:spacing w:before="0" w:after="0" w:line="360" w:lineRule="exact"/>
              <w:ind w:left="113" w:right="125" w:firstLine="0"/>
              <w:jc w:val="left"/>
              <w:rPr>
                <w:rFonts w:hint="eastAsia" w:ascii="宋体" w:hAnsi="宋体" w:cs="宋体"/>
                <w:spacing w:val="9"/>
                <w:sz w:val="23"/>
                <w:szCs w:val="23"/>
              </w:rPr>
            </w:pPr>
            <w:r>
              <w:rPr>
                <w:rFonts w:hint="eastAsia" w:ascii="宋体" w:hAnsi="宋体" w:cs="宋体"/>
                <w:spacing w:val="9"/>
                <w:sz w:val="23"/>
                <w:szCs w:val="23"/>
              </w:rPr>
              <w:t xml:space="preserve">5.招标答疑纪要一经在广州公共资源交易中心网发布，视作已发放给所有投标人。 </w:t>
            </w:r>
          </w:p>
          <w:p w14:paraId="2A5D44F8">
            <w:pPr>
              <w:widowControl w:val="0"/>
              <w:spacing w:before="0" w:after="0" w:line="360" w:lineRule="exact"/>
              <w:ind w:left="113" w:right="125" w:firstLine="0"/>
              <w:jc w:val="left"/>
              <w:rPr>
                <w:rFonts w:ascii="宋体" w:hAnsi="宋体" w:cs="宋体"/>
                <w:sz w:val="23"/>
                <w:szCs w:val="23"/>
              </w:rPr>
            </w:pPr>
            <w:r>
              <w:rPr>
                <w:rFonts w:hint="eastAsia" w:ascii="宋体" w:hAnsi="宋体" w:cs="宋体"/>
                <w:spacing w:val="9"/>
                <w:sz w:val="23"/>
                <w:szCs w:val="23"/>
              </w:rPr>
              <w:t>6.招标答疑纪要为招标文件的一部分。投标人可在广州公共资源交易中心网浏览、下载招标答疑纪要。</w:t>
            </w:r>
          </w:p>
        </w:tc>
      </w:tr>
    </w:tbl>
    <w:p w14:paraId="4C638641">
      <w:pPr>
        <w:pStyle w:val="16"/>
        <w:rPr>
          <w:rFonts w:ascii="宋体" w:hAnsi="宋体"/>
          <w:b/>
          <w:sz w:val="32"/>
          <w:szCs w:val="32"/>
        </w:rPr>
      </w:pPr>
    </w:p>
    <w:p w14:paraId="0E9D5B55">
      <w:pPr>
        <w:spacing w:line="241" w:lineRule="exact"/>
        <w:rPr>
          <w:rFonts w:ascii="宋体" w:hAnsi="宋体" w:cs="宋体"/>
          <w:sz w:val="24"/>
          <w:szCs w:val="24"/>
        </w:rPr>
        <w:sectPr>
          <w:headerReference r:id="rId9" w:type="default"/>
          <w:pgSz w:w="11906" w:h="16838"/>
          <w:pgMar w:top="1026" w:right="992" w:bottom="1009" w:left="1037" w:header="680" w:footer="794" w:gutter="0"/>
          <w:pgNumType w:fmt="decimal"/>
          <w:cols w:space="720" w:num="1"/>
          <w:formProt w:val="0"/>
          <w:docGrid w:linePitch="100" w:charSpace="0"/>
        </w:sectPr>
      </w:pPr>
    </w:p>
    <w:p w14:paraId="1E4045B8">
      <w:pPr>
        <w:rPr>
          <w:rFonts w:hint="eastAsia" w:ascii="宋体" w:hAnsi="宋体" w:eastAsia="宋体"/>
          <w:sz w:val="28"/>
          <w:szCs w:val="28"/>
          <w:lang w:eastAsia="zh-CN"/>
        </w:rPr>
      </w:pPr>
      <w:r>
        <w:rPr>
          <w:rFonts w:ascii="宋体" w:hAnsi="宋体"/>
          <w:sz w:val="28"/>
          <w:szCs w:val="28"/>
        </w:rPr>
        <w:t>附件</w:t>
      </w:r>
      <w:r>
        <w:rPr>
          <w:rFonts w:hint="eastAsia" w:ascii="宋体" w:hAnsi="宋体"/>
          <w:sz w:val="28"/>
          <w:szCs w:val="28"/>
          <w:lang w:eastAsia="zh-CN"/>
        </w:rPr>
        <w:t>：</w:t>
      </w:r>
    </w:p>
    <w:p w14:paraId="04D721D7">
      <w:pPr>
        <w:spacing w:before="120" w:after="120"/>
        <w:jc w:val="center"/>
        <w:rPr>
          <w:rFonts w:ascii="宋体" w:hAnsi="宋体"/>
          <w:sz w:val="28"/>
          <w:szCs w:val="28"/>
        </w:rPr>
      </w:pPr>
      <w:r>
        <w:rPr>
          <w:rFonts w:ascii="宋体" w:hAnsi="宋体"/>
          <w:sz w:val="28"/>
          <w:szCs w:val="28"/>
          <w:u w:val="single"/>
        </w:rPr>
        <w:t xml:space="preserve"> </w:t>
      </w:r>
      <w:r>
        <w:rPr>
          <w:rFonts w:hint="eastAsia" w:ascii="宋体" w:hAnsi="宋体"/>
          <w:sz w:val="28"/>
          <w:szCs w:val="28"/>
          <w:u w:val="single"/>
          <w:lang w:eastAsia="zh-CN"/>
        </w:rPr>
        <w:t>茂名市电白区蓝湾海洋产业发展有限公司深水网箱养殖产业园项目（一期）网箱采购2标(第二次）</w:t>
      </w:r>
      <w:r>
        <w:rPr>
          <w:rFonts w:ascii="宋体" w:hAnsi="宋体"/>
          <w:sz w:val="28"/>
          <w:szCs w:val="28"/>
          <w:u w:val="single"/>
        </w:rPr>
        <w:t xml:space="preserve"> </w:t>
      </w:r>
      <w:r>
        <w:rPr>
          <w:rFonts w:ascii="宋体" w:hAnsi="宋体"/>
          <w:sz w:val="28"/>
          <w:szCs w:val="28"/>
        </w:rPr>
        <w:t>拒绝投标单位名单（部分）</w:t>
      </w:r>
    </w:p>
    <w:tbl>
      <w:tblPr>
        <w:tblStyle w:val="29"/>
        <w:tblW w:w="10215" w:type="dxa"/>
        <w:tblInd w:w="88" w:type="dxa"/>
        <w:tblLayout w:type="fixed"/>
        <w:tblCellMar>
          <w:top w:w="0" w:type="dxa"/>
          <w:left w:w="108" w:type="dxa"/>
          <w:bottom w:w="0" w:type="dxa"/>
          <w:right w:w="108" w:type="dxa"/>
        </w:tblCellMar>
      </w:tblPr>
      <w:tblGrid>
        <w:gridCol w:w="1380"/>
        <w:gridCol w:w="3644"/>
        <w:gridCol w:w="2056"/>
        <w:gridCol w:w="2055"/>
        <w:gridCol w:w="1080"/>
      </w:tblGrid>
      <w:tr w14:paraId="5326DA30">
        <w:tblPrEx>
          <w:tblCellMar>
            <w:top w:w="0" w:type="dxa"/>
            <w:left w:w="108" w:type="dxa"/>
            <w:bottom w:w="0" w:type="dxa"/>
            <w:right w:w="108" w:type="dxa"/>
          </w:tblCellMar>
        </w:tblPrEx>
        <w:trPr>
          <w:trHeight w:val="567" w:hRule="atLeast"/>
        </w:trPr>
        <w:tc>
          <w:tcPr>
            <w:tcW w:w="1380" w:type="dxa"/>
            <w:vMerge w:val="restart"/>
            <w:tcBorders>
              <w:top w:val="single" w:color="000000" w:sz="4" w:space="0"/>
              <w:left w:val="single" w:color="000000" w:sz="4" w:space="0"/>
              <w:bottom w:val="single" w:color="000000" w:sz="4" w:space="0"/>
              <w:right w:val="single" w:color="000000" w:sz="4" w:space="0"/>
            </w:tcBorders>
            <w:vAlign w:val="center"/>
          </w:tcPr>
          <w:p w14:paraId="5CC1503A">
            <w:pPr>
              <w:widowControl w:val="0"/>
              <w:spacing w:before="0" w:after="0"/>
              <w:jc w:val="center"/>
              <w:rPr>
                <w:rFonts w:ascii="宋体" w:hAnsi="宋体"/>
                <w:sz w:val="28"/>
                <w:szCs w:val="28"/>
              </w:rPr>
            </w:pPr>
            <w:r>
              <w:rPr>
                <w:rFonts w:ascii="宋体" w:hAnsi="宋体"/>
                <w:sz w:val="28"/>
                <w:szCs w:val="28"/>
              </w:rPr>
              <w:t>序号</w:t>
            </w:r>
          </w:p>
        </w:tc>
        <w:tc>
          <w:tcPr>
            <w:tcW w:w="3644" w:type="dxa"/>
            <w:vMerge w:val="restart"/>
            <w:tcBorders>
              <w:top w:val="single" w:color="000000" w:sz="4" w:space="0"/>
              <w:bottom w:val="single" w:color="000000" w:sz="4" w:space="0"/>
              <w:right w:val="single" w:color="000000" w:sz="4" w:space="0"/>
            </w:tcBorders>
            <w:vAlign w:val="center"/>
          </w:tcPr>
          <w:p w14:paraId="29A9F469">
            <w:pPr>
              <w:widowControl w:val="0"/>
              <w:spacing w:before="0" w:after="0"/>
              <w:jc w:val="center"/>
              <w:rPr>
                <w:rFonts w:ascii="宋体" w:hAnsi="宋体"/>
                <w:sz w:val="28"/>
                <w:szCs w:val="28"/>
              </w:rPr>
            </w:pPr>
            <w:r>
              <w:rPr>
                <w:rFonts w:ascii="宋体" w:hAnsi="宋体"/>
                <w:sz w:val="28"/>
                <w:szCs w:val="28"/>
              </w:rPr>
              <w:t>单位</w:t>
            </w:r>
          </w:p>
        </w:tc>
        <w:tc>
          <w:tcPr>
            <w:tcW w:w="4111" w:type="dxa"/>
            <w:gridSpan w:val="2"/>
            <w:tcBorders>
              <w:top w:val="single" w:color="000000" w:sz="4" w:space="0"/>
              <w:bottom w:val="single" w:color="000000" w:sz="4" w:space="0"/>
              <w:right w:val="single" w:color="000000" w:sz="4" w:space="0"/>
            </w:tcBorders>
            <w:vAlign w:val="center"/>
          </w:tcPr>
          <w:p w14:paraId="5F2001DC">
            <w:pPr>
              <w:widowControl w:val="0"/>
              <w:spacing w:before="0" w:after="0"/>
              <w:jc w:val="center"/>
              <w:rPr>
                <w:rFonts w:ascii="宋体" w:hAnsi="宋体"/>
                <w:sz w:val="28"/>
                <w:szCs w:val="28"/>
              </w:rPr>
            </w:pPr>
            <w:r>
              <w:rPr>
                <w:rFonts w:ascii="宋体" w:hAnsi="宋体"/>
                <w:sz w:val="28"/>
                <w:szCs w:val="28"/>
              </w:rPr>
              <w:t>拒绝投标期</w:t>
            </w:r>
          </w:p>
        </w:tc>
        <w:tc>
          <w:tcPr>
            <w:tcW w:w="1080" w:type="dxa"/>
            <w:vMerge w:val="restart"/>
            <w:tcBorders>
              <w:top w:val="single" w:color="000000" w:sz="4" w:space="0"/>
              <w:bottom w:val="single" w:color="000000" w:sz="4" w:space="0"/>
              <w:right w:val="single" w:color="000000" w:sz="4" w:space="0"/>
            </w:tcBorders>
            <w:vAlign w:val="center"/>
          </w:tcPr>
          <w:p w14:paraId="28AAA45E">
            <w:pPr>
              <w:widowControl w:val="0"/>
              <w:spacing w:before="0" w:after="0"/>
              <w:jc w:val="center"/>
              <w:rPr>
                <w:rFonts w:ascii="宋体" w:hAnsi="宋体"/>
                <w:sz w:val="28"/>
                <w:szCs w:val="28"/>
              </w:rPr>
            </w:pPr>
            <w:r>
              <w:rPr>
                <w:rFonts w:ascii="宋体" w:hAnsi="宋体"/>
                <w:sz w:val="28"/>
                <w:szCs w:val="28"/>
              </w:rPr>
              <w:t>备注</w:t>
            </w:r>
          </w:p>
        </w:tc>
      </w:tr>
      <w:tr w14:paraId="69BA660E">
        <w:tblPrEx>
          <w:tblCellMar>
            <w:top w:w="0" w:type="dxa"/>
            <w:left w:w="108" w:type="dxa"/>
            <w:bottom w:w="0" w:type="dxa"/>
            <w:right w:w="108" w:type="dxa"/>
          </w:tblCellMar>
        </w:tblPrEx>
        <w:trPr>
          <w:trHeight w:val="567" w:hRule="atLeast"/>
        </w:trPr>
        <w:tc>
          <w:tcPr>
            <w:tcW w:w="1380" w:type="dxa"/>
            <w:vMerge w:val="continue"/>
            <w:tcBorders>
              <w:top w:val="single" w:color="000000" w:sz="4" w:space="0"/>
              <w:left w:val="single" w:color="000000" w:sz="4" w:space="0"/>
              <w:bottom w:val="single" w:color="000000" w:sz="4" w:space="0"/>
              <w:right w:val="single" w:color="000000" w:sz="4" w:space="0"/>
            </w:tcBorders>
            <w:vAlign w:val="center"/>
          </w:tcPr>
          <w:p w14:paraId="71A40893">
            <w:pPr>
              <w:widowControl w:val="0"/>
              <w:spacing w:before="0" w:after="0"/>
              <w:jc w:val="left"/>
              <w:rPr>
                <w:rFonts w:ascii="宋体" w:hAnsi="宋体"/>
                <w:sz w:val="28"/>
                <w:szCs w:val="28"/>
              </w:rPr>
            </w:pPr>
          </w:p>
        </w:tc>
        <w:tc>
          <w:tcPr>
            <w:tcW w:w="3644" w:type="dxa"/>
            <w:vMerge w:val="continue"/>
            <w:tcBorders>
              <w:top w:val="single" w:color="000000" w:sz="4" w:space="0"/>
              <w:bottom w:val="single" w:color="000000" w:sz="4" w:space="0"/>
              <w:right w:val="single" w:color="000000" w:sz="4" w:space="0"/>
            </w:tcBorders>
            <w:vAlign w:val="center"/>
          </w:tcPr>
          <w:p w14:paraId="0DCBD375">
            <w:pPr>
              <w:widowControl w:val="0"/>
              <w:spacing w:before="0" w:after="0"/>
              <w:jc w:val="left"/>
              <w:rPr>
                <w:rFonts w:ascii="宋体" w:hAnsi="宋体"/>
                <w:sz w:val="28"/>
                <w:szCs w:val="28"/>
              </w:rPr>
            </w:pPr>
          </w:p>
        </w:tc>
        <w:tc>
          <w:tcPr>
            <w:tcW w:w="2056" w:type="dxa"/>
            <w:tcBorders>
              <w:top w:val="single" w:color="000000" w:sz="4" w:space="0"/>
              <w:bottom w:val="single" w:color="000000" w:sz="4" w:space="0"/>
              <w:right w:val="single" w:color="000000" w:sz="4" w:space="0"/>
            </w:tcBorders>
          </w:tcPr>
          <w:p w14:paraId="31A25E63">
            <w:pPr>
              <w:widowControl w:val="0"/>
              <w:spacing w:before="0" w:after="0"/>
              <w:jc w:val="center"/>
              <w:rPr>
                <w:rFonts w:ascii="宋体" w:hAnsi="宋体"/>
                <w:sz w:val="28"/>
                <w:szCs w:val="28"/>
              </w:rPr>
            </w:pPr>
            <w:r>
              <w:rPr>
                <w:rFonts w:ascii="宋体" w:hAnsi="宋体"/>
                <w:sz w:val="28"/>
                <w:szCs w:val="28"/>
              </w:rPr>
              <w:t>起始日期</w:t>
            </w:r>
          </w:p>
        </w:tc>
        <w:tc>
          <w:tcPr>
            <w:tcW w:w="2055" w:type="dxa"/>
            <w:tcBorders>
              <w:top w:val="single" w:color="000000" w:sz="4" w:space="0"/>
              <w:bottom w:val="single" w:color="000000" w:sz="4" w:space="0"/>
              <w:right w:val="single" w:color="000000" w:sz="4" w:space="0"/>
            </w:tcBorders>
          </w:tcPr>
          <w:p w14:paraId="78FEFDF9">
            <w:pPr>
              <w:widowControl w:val="0"/>
              <w:spacing w:before="0" w:after="0"/>
              <w:jc w:val="center"/>
              <w:rPr>
                <w:rFonts w:ascii="宋体" w:hAnsi="宋体"/>
                <w:sz w:val="28"/>
                <w:szCs w:val="28"/>
              </w:rPr>
            </w:pPr>
            <w:r>
              <w:rPr>
                <w:rFonts w:ascii="宋体" w:hAnsi="宋体"/>
                <w:sz w:val="28"/>
                <w:szCs w:val="28"/>
              </w:rPr>
              <w:t>截止日期</w:t>
            </w:r>
          </w:p>
        </w:tc>
        <w:tc>
          <w:tcPr>
            <w:tcW w:w="1080" w:type="dxa"/>
            <w:vMerge w:val="continue"/>
            <w:tcBorders>
              <w:top w:val="single" w:color="000000" w:sz="4" w:space="0"/>
              <w:bottom w:val="single" w:color="000000" w:sz="4" w:space="0"/>
              <w:right w:val="single" w:color="000000" w:sz="4" w:space="0"/>
            </w:tcBorders>
          </w:tcPr>
          <w:p w14:paraId="6ED811E6">
            <w:pPr>
              <w:widowControl w:val="0"/>
              <w:spacing w:before="0" w:after="0"/>
              <w:jc w:val="center"/>
              <w:rPr>
                <w:rFonts w:ascii="宋体" w:hAnsi="宋体"/>
                <w:sz w:val="28"/>
                <w:szCs w:val="28"/>
              </w:rPr>
            </w:pPr>
          </w:p>
        </w:tc>
      </w:tr>
      <w:tr w14:paraId="47F631E8">
        <w:tblPrEx>
          <w:tblCellMar>
            <w:top w:w="0" w:type="dxa"/>
            <w:left w:w="108" w:type="dxa"/>
            <w:bottom w:w="0" w:type="dxa"/>
            <w:right w:w="108" w:type="dxa"/>
          </w:tblCellMar>
        </w:tblPrEx>
        <w:trPr>
          <w:trHeight w:val="567" w:hRule="atLeast"/>
        </w:trPr>
        <w:tc>
          <w:tcPr>
            <w:tcW w:w="1380" w:type="dxa"/>
            <w:tcBorders>
              <w:top w:val="single" w:color="000000" w:sz="4" w:space="0"/>
              <w:left w:val="single" w:color="000000" w:sz="4" w:space="0"/>
              <w:bottom w:val="single" w:color="000000" w:sz="4" w:space="0"/>
              <w:right w:val="single" w:color="000000" w:sz="4" w:space="0"/>
            </w:tcBorders>
          </w:tcPr>
          <w:p w14:paraId="0C5BC0F1">
            <w:pPr>
              <w:widowControl w:val="0"/>
              <w:spacing w:before="0" w:after="0"/>
              <w:jc w:val="center"/>
              <w:rPr>
                <w:rFonts w:ascii="宋体" w:hAnsi="宋体"/>
                <w:sz w:val="28"/>
                <w:szCs w:val="28"/>
              </w:rPr>
            </w:pPr>
            <w:r>
              <w:rPr>
                <w:rFonts w:ascii="宋体" w:hAnsi="宋体"/>
                <w:sz w:val="28"/>
                <w:szCs w:val="28"/>
              </w:rPr>
              <w:t>1</w:t>
            </w:r>
          </w:p>
        </w:tc>
        <w:tc>
          <w:tcPr>
            <w:tcW w:w="3644" w:type="dxa"/>
            <w:tcBorders>
              <w:top w:val="single" w:color="000000" w:sz="4" w:space="0"/>
              <w:bottom w:val="single" w:color="000000" w:sz="4" w:space="0"/>
              <w:right w:val="single" w:color="000000" w:sz="4" w:space="0"/>
            </w:tcBorders>
          </w:tcPr>
          <w:p w14:paraId="094EDF6D">
            <w:pPr>
              <w:widowControl w:val="0"/>
              <w:spacing w:before="0" w:after="0"/>
              <w:jc w:val="center"/>
              <w:rPr>
                <w:rFonts w:ascii="宋体" w:hAnsi="宋体"/>
                <w:sz w:val="28"/>
                <w:szCs w:val="28"/>
              </w:rPr>
            </w:pPr>
          </w:p>
        </w:tc>
        <w:tc>
          <w:tcPr>
            <w:tcW w:w="2056" w:type="dxa"/>
            <w:tcBorders>
              <w:top w:val="single" w:color="000000" w:sz="4" w:space="0"/>
              <w:bottom w:val="single" w:color="000000" w:sz="4" w:space="0"/>
              <w:right w:val="single" w:color="000000" w:sz="4" w:space="0"/>
            </w:tcBorders>
          </w:tcPr>
          <w:p w14:paraId="2BB702B0">
            <w:pPr>
              <w:widowControl w:val="0"/>
              <w:spacing w:before="0" w:after="0"/>
              <w:jc w:val="center"/>
              <w:rPr>
                <w:rFonts w:ascii="宋体" w:hAnsi="宋体"/>
                <w:sz w:val="28"/>
                <w:szCs w:val="28"/>
              </w:rPr>
            </w:pPr>
          </w:p>
        </w:tc>
        <w:tc>
          <w:tcPr>
            <w:tcW w:w="2055" w:type="dxa"/>
            <w:tcBorders>
              <w:top w:val="single" w:color="000000" w:sz="4" w:space="0"/>
              <w:bottom w:val="single" w:color="000000" w:sz="4" w:space="0"/>
              <w:right w:val="single" w:color="000000" w:sz="4" w:space="0"/>
            </w:tcBorders>
          </w:tcPr>
          <w:p w14:paraId="21DF1EE8">
            <w:pPr>
              <w:widowControl w:val="0"/>
              <w:spacing w:before="0" w:after="0"/>
              <w:jc w:val="center"/>
              <w:rPr>
                <w:rFonts w:ascii="宋体" w:hAnsi="宋体"/>
                <w:sz w:val="28"/>
                <w:szCs w:val="28"/>
              </w:rPr>
            </w:pPr>
          </w:p>
        </w:tc>
        <w:tc>
          <w:tcPr>
            <w:tcW w:w="1080" w:type="dxa"/>
            <w:tcBorders>
              <w:top w:val="single" w:color="000000" w:sz="4" w:space="0"/>
              <w:bottom w:val="single" w:color="000000" w:sz="4" w:space="0"/>
              <w:right w:val="single" w:color="000000" w:sz="4" w:space="0"/>
            </w:tcBorders>
          </w:tcPr>
          <w:p w14:paraId="337810AC">
            <w:pPr>
              <w:widowControl w:val="0"/>
              <w:spacing w:before="0" w:after="0"/>
              <w:jc w:val="center"/>
              <w:rPr>
                <w:rFonts w:ascii="宋体" w:hAnsi="宋体"/>
                <w:sz w:val="28"/>
                <w:szCs w:val="28"/>
              </w:rPr>
            </w:pPr>
          </w:p>
        </w:tc>
      </w:tr>
      <w:tr w14:paraId="2A219962">
        <w:tblPrEx>
          <w:tblCellMar>
            <w:top w:w="0" w:type="dxa"/>
            <w:left w:w="108" w:type="dxa"/>
            <w:bottom w:w="0" w:type="dxa"/>
            <w:right w:w="108" w:type="dxa"/>
          </w:tblCellMar>
        </w:tblPrEx>
        <w:trPr>
          <w:trHeight w:val="567" w:hRule="atLeast"/>
        </w:trPr>
        <w:tc>
          <w:tcPr>
            <w:tcW w:w="1380" w:type="dxa"/>
            <w:tcBorders>
              <w:top w:val="single" w:color="000000" w:sz="4" w:space="0"/>
              <w:left w:val="single" w:color="000000" w:sz="4" w:space="0"/>
              <w:bottom w:val="single" w:color="000000" w:sz="4" w:space="0"/>
              <w:right w:val="single" w:color="000000" w:sz="4" w:space="0"/>
            </w:tcBorders>
          </w:tcPr>
          <w:p w14:paraId="72DB9984">
            <w:pPr>
              <w:widowControl w:val="0"/>
              <w:spacing w:before="0" w:after="0"/>
              <w:jc w:val="center"/>
              <w:rPr>
                <w:rFonts w:ascii="宋体" w:hAnsi="宋体"/>
                <w:sz w:val="28"/>
                <w:szCs w:val="28"/>
              </w:rPr>
            </w:pPr>
            <w:r>
              <w:rPr>
                <w:rFonts w:ascii="宋体" w:hAnsi="宋体"/>
                <w:sz w:val="28"/>
                <w:szCs w:val="28"/>
              </w:rPr>
              <w:t>2</w:t>
            </w:r>
          </w:p>
        </w:tc>
        <w:tc>
          <w:tcPr>
            <w:tcW w:w="3644" w:type="dxa"/>
            <w:tcBorders>
              <w:top w:val="single" w:color="000000" w:sz="4" w:space="0"/>
              <w:bottom w:val="single" w:color="000000" w:sz="4" w:space="0"/>
              <w:right w:val="single" w:color="000000" w:sz="4" w:space="0"/>
            </w:tcBorders>
          </w:tcPr>
          <w:p w14:paraId="11DBD1A2">
            <w:pPr>
              <w:widowControl w:val="0"/>
              <w:spacing w:before="0" w:after="0"/>
              <w:rPr>
                <w:rFonts w:ascii="宋体" w:hAnsi="宋体"/>
                <w:sz w:val="28"/>
                <w:szCs w:val="28"/>
              </w:rPr>
            </w:pPr>
          </w:p>
        </w:tc>
        <w:tc>
          <w:tcPr>
            <w:tcW w:w="2056" w:type="dxa"/>
            <w:tcBorders>
              <w:top w:val="single" w:color="000000" w:sz="4" w:space="0"/>
              <w:bottom w:val="single" w:color="000000" w:sz="4" w:space="0"/>
              <w:right w:val="single" w:color="000000" w:sz="4" w:space="0"/>
            </w:tcBorders>
          </w:tcPr>
          <w:p w14:paraId="5B9F7045">
            <w:pPr>
              <w:widowControl w:val="0"/>
              <w:spacing w:before="0" w:after="0"/>
              <w:rPr>
                <w:rFonts w:ascii="宋体" w:hAnsi="宋体"/>
                <w:sz w:val="28"/>
                <w:szCs w:val="28"/>
              </w:rPr>
            </w:pPr>
          </w:p>
        </w:tc>
        <w:tc>
          <w:tcPr>
            <w:tcW w:w="2055" w:type="dxa"/>
            <w:tcBorders>
              <w:top w:val="single" w:color="000000" w:sz="4" w:space="0"/>
              <w:bottom w:val="single" w:color="000000" w:sz="4" w:space="0"/>
              <w:right w:val="single" w:color="000000" w:sz="4" w:space="0"/>
            </w:tcBorders>
          </w:tcPr>
          <w:p w14:paraId="1AD0BF9B">
            <w:pPr>
              <w:widowControl w:val="0"/>
              <w:spacing w:before="0" w:after="0"/>
              <w:rPr>
                <w:rFonts w:ascii="宋体" w:hAnsi="宋体"/>
                <w:sz w:val="28"/>
                <w:szCs w:val="28"/>
              </w:rPr>
            </w:pPr>
          </w:p>
        </w:tc>
        <w:tc>
          <w:tcPr>
            <w:tcW w:w="1080" w:type="dxa"/>
            <w:tcBorders>
              <w:top w:val="single" w:color="000000" w:sz="4" w:space="0"/>
              <w:bottom w:val="single" w:color="000000" w:sz="4" w:space="0"/>
              <w:right w:val="single" w:color="000000" w:sz="4" w:space="0"/>
            </w:tcBorders>
          </w:tcPr>
          <w:p w14:paraId="25B2D80B">
            <w:pPr>
              <w:widowControl w:val="0"/>
              <w:spacing w:before="0" w:after="0"/>
              <w:rPr>
                <w:rFonts w:ascii="宋体" w:hAnsi="宋体"/>
                <w:sz w:val="28"/>
                <w:szCs w:val="28"/>
              </w:rPr>
            </w:pPr>
          </w:p>
        </w:tc>
      </w:tr>
      <w:tr w14:paraId="5AA645F8">
        <w:tblPrEx>
          <w:tblCellMar>
            <w:top w:w="0" w:type="dxa"/>
            <w:left w:w="108" w:type="dxa"/>
            <w:bottom w:w="0" w:type="dxa"/>
            <w:right w:w="108" w:type="dxa"/>
          </w:tblCellMar>
        </w:tblPrEx>
        <w:trPr>
          <w:trHeight w:val="567" w:hRule="atLeast"/>
        </w:trPr>
        <w:tc>
          <w:tcPr>
            <w:tcW w:w="1380" w:type="dxa"/>
            <w:tcBorders>
              <w:top w:val="single" w:color="000000" w:sz="4" w:space="0"/>
              <w:left w:val="single" w:color="000000" w:sz="4" w:space="0"/>
              <w:bottom w:val="single" w:color="000000" w:sz="4" w:space="0"/>
              <w:right w:val="single" w:color="000000" w:sz="4" w:space="0"/>
            </w:tcBorders>
          </w:tcPr>
          <w:p w14:paraId="3F80F55C">
            <w:pPr>
              <w:widowControl w:val="0"/>
              <w:spacing w:before="0" w:after="0"/>
              <w:jc w:val="center"/>
              <w:rPr>
                <w:rFonts w:ascii="宋体" w:hAnsi="宋体"/>
                <w:sz w:val="28"/>
                <w:szCs w:val="28"/>
              </w:rPr>
            </w:pPr>
            <w:r>
              <w:rPr>
                <w:rFonts w:ascii="宋体" w:hAnsi="宋体"/>
                <w:sz w:val="28"/>
                <w:szCs w:val="28"/>
              </w:rPr>
              <w:t>3</w:t>
            </w:r>
          </w:p>
        </w:tc>
        <w:tc>
          <w:tcPr>
            <w:tcW w:w="3644" w:type="dxa"/>
            <w:tcBorders>
              <w:top w:val="single" w:color="000000" w:sz="4" w:space="0"/>
              <w:bottom w:val="single" w:color="000000" w:sz="4" w:space="0"/>
              <w:right w:val="single" w:color="000000" w:sz="4" w:space="0"/>
            </w:tcBorders>
          </w:tcPr>
          <w:p w14:paraId="26F626AA">
            <w:pPr>
              <w:widowControl w:val="0"/>
              <w:spacing w:before="0" w:after="0"/>
              <w:rPr>
                <w:rFonts w:ascii="宋体" w:hAnsi="宋体"/>
                <w:sz w:val="28"/>
                <w:szCs w:val="28"/>
              </w:rPr>
            </w:pPr>
          </w:p>
        </w:tc>
        <w:tc>
          <w:tcPr>
            <w:tcW w:w="2056" w:type="dxa"/>
            <w:tcBorders>
              <w:top w:val="single" w:color="000000" w:sz="4" w:space="0"/>
              <w:bottom w:val="single" w:color="000000" w:sz="4" w:space="0"/>
              <w:right w:val="single" w:color="000000" w:sz="4" w:space="0"/>
            </w:tcBorders>
          </w:tcPr>
          <w:p w14:paraId="255CDEC7">
            <w:pPr>
              <w:widowControl w:val="0"/>
              <w:spacing w:before="0" w:after="0"/>
              <w:rPr>
                <w:rFonts w:ascii="宋体" w:hAnsi="宋体"/>
                <w:sz w:val="28"/>
                <w:szCs w:val="28"/>
              </w:rPr>
            </w:pPr>
          </w:p>
        </w:tc>
        <w:tc>
          <w:tcPr>
            <w:tcW w:w="2055" w:type="dxa"/>
            <w:tcBorders>
              <w:top w:val="single" w:color="000000" w:sz="4" w:space="0"/>
              <w:bottom w:val="single" w:color="000000" w:sz="4" w:space="0"/>
              <w:right w:val="single" w:color="000000" w:sz="4" w:space="0"/>
            </w:tcBorders>
          </w:tcPr>
          <w:p w14:paraId="0167F8DF">
            <w:pPr>
              <w:widowControl w:val="0"/>
              <w:spacing w:before="0" w:after="0"/>
              <w:rPr>
                <w:rFonts w:ascii="宋体" w:hAnsi="宋体"/>
                <w:sz w:val="28"/>
                <w:szCs w:val="28"/>
              </w:rPr>
            </w:pPr>
          </w:p>
        </w:tc>
        <w:tc>
          <w:tcPr>
            <w:tcW w:w="1080" w:type="dxa"/>
            <w:tcBorders>
              <w:top w:val="single" w:color="000000" w:sz="4" w:space="0"/>
              <w:bottom w:val="single" w:color="000000" w:sz="4" w:space="0"/>
              <w:right w:val="single" w:color="000000" w:sz="4" w:space="0"/>
            </w:tcBorders>
          </w:tcPr>
          <w:p w14:paraId="01F46DF2">
            <w:pPr>
              <w:widowControl w:val="0"/>
              <w:spacing w:before="0" w:after="0"/>
              <w:rPr>
                <w:rFonts w:ascii="宋体" w:hAnsi="宋体"/>
                <w:sz w:val="28"/>
                <w:szCs w:val="28"/>
              </w:rPr>
            </w:pPr>
          </w:p>
        </w:tc>
      </w:tr>
      <w:tr w14:paraId="2288825A">
        <w:tblPrEx>
          <w:tblCellMar>
            <w:top w:w="0" w:type="dxa"/>
            <w:left w:w="108" w:type="dxa"/>
            <w:bottom w:w="0" w:type="dxa"/>
            <w:right w:w="108" w:type="dxa"/>
          </w:tblCellMar>
        </w:tblPrEx>
        <w:trPr>
          <w:trHeight w:val="567" w:hRule="atLeast"/>
        </w:trPr>
        <w:tc>
          <w:tcPr>
            <w:tcW w:w="1380" w:type="dxa"/>
            <w:tcBorders>
              <w:top w:val="single" w:color="000000" w:sz="4" w:space="0"/>
              <w:left w:val="single" w:color="000000" w:sz="4" w:space="0"/>
              <w:bottom w:val="single" w:color="000000" w:sz="4" w:space="0"/>
              <w:right w:val="single" w:color="000000" w:sz="4" w:space="0"/>
            </w:tcBorders>
          </w:tcPr>
          <w:p w14:paraId="0EC26D7F">
            <w:pPr>
              <w:widowControl w:val="0"/>
              <w:spacing w:before="0" w:after="0"/>
              <w:jc w:val="center"/>
              <w:rPr>
                <w:rFonts w:ascii="宋体" w:hAnsi="宋体"/>
                <w:sz w:val="28"/>
                <w:szCs w:val="28"/>
              </w:rPr>
            </w:pPr>
            <w:r>
              <w:rPr>
                <w:rFonts w:ascii="宋体" w:hAnsi="宋体"/>
                <w:sz w:val="28"/>
                <w:szCs w:val="28"/>
              </w:rPr>
              <w:t>4</w:t>
            </w:r>
          </w:p>
        </w:tc>
        <w:tc>
          <w:tcPr>
            <w:tcW w:w="3644" w:type="dxa"/>
            <w:tcBorders>
              <w:top w:val="single" w:color="000000" w:sz="4" w:space="0"/>
              <w:bottom w:val="single" w:color="000000" w:sz="4" w:space="0"/>
              <w:right w:val="single" w:color="000000" w:sz="4" w:space="0"/>
            </w:tcBorders>
          </w:tcPr>
          <w:p w14:paraId="127D380C">
            <w:pPr>
              <w:widowControl w:val="0"/>
              <w:spacing w:before="0" w:after="0"/>
              <w:rPr>
                <w:rFonts w:ascii="宋体" w:hAnsi="宋体"/>
                <w:sz w:val="28"/>
                <w:szCs w:val="28"/>
              </w:rPr>
            </w:pPr>
          </w:p>
        </w:tc>
        <w:tc>
          <w:tcPr>
            <w:tcW w:w="2056" w:type="dxa"/>
            <w:tcBorders>
              <w:top w:val="single" w:color="000000" w:sz="4" w:space="0"/>
              <w:bottom w:val="single" w:color="000000" w:sz="4" w:space="0"/>
              <w:right w:val="single" w:color="000000" w:sz="4" w:space="0"/>
            </w:tcBorders>
          </w:tcPr>
          <w:p w14:paraId="04EDCC5E">
            <w:pPr>
              <w:widowControl w:val="0"/>
              <w:spacing w:before="0" w:after="0"/>
              <w:rPr>
                <w:rFonts w:ascii="宋体" w:hAnsi="宋体"/>
                <w:sz w:val="28"/>
                <w:szCs w:val="28"/>
              </w:rPr>
            </w:pPr>
          </w:p>
        </w:tc>
        <w:tc>
          <w:tcPr>
            <w:tcW w:w="2055" w:type="dxa"/>
            <w:tcBorders>
              <w:top w:val="single" w:color="000000" w:sz="4" w:space="0"/>
              <w:bottom w:val="single" w:color="000000" w:sz="4" w:space="0"/>
              <w:right w:val="single" w:color="000000" w:sz="4" w:space="0"/>
            </w:tcBorders>
          </w:tcPr>
          <w:p w14:paraId="620B784D">
            <w:pPr>
              <w:widowControl w:val="0"/>
              <w:spacing w:before="0" w:after="0"/>
              <w:rPr>
                <w:rFonts w:ascii="宋体" w:hAnsi="宋体"/>
                <w:sz w:val="28"/>
                <w:szCs w:val="28"/>
              </w:rPr>
            </w:pPr>
          </w:p>
        </w:tc>
        <w:tc>
          <w:tcPr>
            <w:tcW w:w="1080" w:type="dxa"/>
            <w:tcBorders>
              <w:top w:val="single" w:color="000000" w:sz="4" w:space="0"/>
              <w:bottom w:val="single" w:color="000000" w:sz="4" w:space="0"/>
              <w:right w:val="single" w:color="000000" w:sz="4" w:space="0"/>
            </w:tcBorders>
          </w:tcPr>
          <w:p w14:paraId="6594352B">
            <w:pPr>
              <w:widowControl w:val="0"/>
              <w:spacing w:before="0" w:after="0"/>
              <w:rPr>
                <w:rFonts w:ascii="宋体" w:hAnsi="宋体"/>
                <w:sz w:val="28"/>
                <w:szCs w:val="28"/>
              </w:rPr>
            </w:pPr>
          </w:p>
        </w:tc>
      </w:tr>
      <w:tr w14:paraId="6D3B808F">
        <w:trPr>
          <w:trHeight w:val="567" w:hRule="atLeast"/>
        </w:trPr>
        <w:tc>
          <w:tcPr>
            <w:tcW w:w="1380" w:type="dxa"/>
            <w:tcBorders>
              <w:top w:val="single" w:color="000000" w:sz="4" w:space="0"/>
              <w:left w:val="single" w:color="000000" w:sz="4" w:space="0"/>
              <w:bottom w:val="single" w:color="000000" w:sz="4" w:space="0"/>
              <w:right w:val="single" w:color="000000" w:sz="4" w:space="0"/>
            </w:tcBorders>
          </w:tcPr>
          <w:p w14:paraId="282ADF6F">
            <w:pPr>
              <w:widowControl w:val="0"/>
              <w:spacing w:before="0" w:after="0"/>
              <w:jc w:val="center"/>
              <w:rPr>
                <w:rFonts w:ascii="宋体" w:hAnsi="宋体"/>
                <w:sz w:val="28"/>
                <w:szCs w:val="28"/>
              </w:rPr>
            </w:pPr>
            <w:r>
              <w:rPr>
                <w:rFonts w:ascii="宋体" w:hAnsi="宋体"/>
                <w:sz w:val="28"/>
                <w:szCs w:val="28"/>
              </w:rPr>
              <w:t>5</w:t>
            </w:r>
          </w:p>
        </w:tc>
        <w:tc>
          <w:tcPr>
            <w:tcW w:w="3644" w:type="dxa"/>
            <w:tcBorders>
              <w:top w:val="single" w:color="000000" w:sz="4" w:space="0"/>
              <w:bottom w:val="single" w:color="000000" w:sz="4" w:space="0"/>
              <w:right w:val="single" w:color="000000" w:sz="4" w:space="0"/>
            </w:tcBorders>
          </w:tcPr>
          <w:p w14:paraId="72FC3D07">
            <w:pPr>
              <w:widowControl w:val="0"/>
              <w:spacing w:before="0" w:after="0"/>
              <w:rPr>
                <w:rFonts w:ascii="宋体" w:hAnsi="宋体"/>
                <w:sz w:val="28"/>
                <w:szCs w:val="28"/>
              </w:rPr>
            </w:pPr>
          </w:p>
        </w:tc>
        <w:tc>
          <w:tcPr>
            <w:tcW w:w="2056" w:type="dxa"/>
            <w:tcBorders>
              <w:top w:val="single" w:color="000000" w:sz="4" w:space="0"/>
              <w:bottom w:val="single" w:color="000000" w:sz="4" w:space="0"/>
              <w:right w:val="single" w:color="000000" w:sz="4" w:space="0"/>
            </w:tcBorders>
          </w:tcPr>
          <w:p w14:paraId="444B3FB9">
            <w:pPr>
              <w:widowControl w:val="0"/>
              <w:spacing w:before="0" w:after="0"/>
              <w:rPr>
                <w:rFonts w:ascii="宋体" w:hAnsi="宋体"/>
                <w:sz w:val="28"/>
                <w:szCs w:val="28"/>
              </w:rPr>
            </w:pPr>
          </w:p>
        </w:tc>
        <w:tc>
          <w:tcPr>
            <w:tcW w:w="2055" w:type="dxa"/>
            <w:tcBorders>
              <w:top w:val="single" w:color="000000" w:sz="4" w:space="0"/>
              <w:bottom w:val="single" w:color="000000" w:sz="4" w:space="0"/>
              <w:right w:val="single" w:color="000000" w:sz="4" w:space="0"/>
            </w:tcBorders>
          </w:tcPr>
          <w:p w14:paraId="418148FC">
            <w:pPr>
              <w:widowControl w:val="0"/>
              <w:spacing w:before="0" w:after="0"/>
              <w:rPr>
                <w:rFonts w:ascii="宋体" w:hAnsi="宋体"/>
                <w:sz w:val="28"/>
                <w:szCs w:val="28"/>
              </w:rPr>
            </w:pPr>
          </w:p>
        </w:tc>
        <w:tc>
          <w:tcPr>
            <w:tcW w:w="1080" w:type="dxa"/>
            <w:tcBorders>
              <w:top w:val="single" w:color="000000" w:sz="4" w:space="0"/>
              <w:bottom w:val="single" w:color="000000" w:sz="4" w:space="0"/>
              <w:right w:val="single" w:color="000000" w:sz="4" w:space="0"/>
            </w:tcBorders>
          </w:tcPr>
          <w:p w14:paraId="6FA2995E">
            <w:pPr>
              <w:widowControl w:val="0"/>
              <w:spacing w:before="0" w:after="0"/>
              <w:rPr>
                <w:rFonts w:ascii="宋体" w:hAnsi="宋体"/>
                <w:sz w:val="28"/>
                <w:szCs w:val="28"/>
              </w:rPr>
            </w:pPr>
          </w:p>
        </w:tc>
      </w:tr>
      <w:tr w14:paraId="736EED06">
        <w:tblPrEx>
          <w:tblCellMar>
            <w:top w:w="0" w:type="dxa"/>
            <w:left w:w="108" w:type="dxa"/>
            <w:bottom w:w="0" w:type="dxa"/>
            <w:right w:w="108" w:type="dxa"/>
          </w:tblCellMar>
        </w:tblPrEx>
        <w:trPr>
          <w:trHeight w:val="567" w:hRule="atLeast"/>
        </w:trPr>
        <w:tc>
          <w:tcPr>
            <w:tcW w:w="1380" w:type="dxa"/>
            <w:tcBorders>
              <w:top w:val="single" w:color="000000" w:sz="4" w:space="0"/>
              <w:left w:val="single" w:color="000000" w:sz="4" w:space="0"/>
              <w:bottom w:val="single" w:color="000000" w:sz="4" w:space="0"/>
              <w:right w:val="single" w:color="000000" w:sz="4" w:space="0"/>
            </w:tcBorders>
          </w:tcPr>
          <w:p w14:paraId="234BE5E9">
            <w:pPr>
              <w:widowControl w:val="0"/>
              <w:spacing w:before="0" w:after="0"/>
              <w:jc w:val="center"/>
              <w:rPr>
                <w:rFonts w:ascii="宋体" w:hAnsi="宋体"/>
                <w:sz w:val="28"/>
                <w:szCs w:val="28"/>
              </w:rPr>
            </w:pPr>
            <w:r>
              <w:rPr>
                <w:rFonts w:ascii="宋体" w:hAnsi="宋体"/>
                <w:sz w:val="28"/>
                <w:szCs w:val="28"/>
              </w:rPr>
              <w:t>6</w:t>
            </w:r>
          </w:p>
        </w:tc>
        <w:tc>
          <w:tcPr>
            <w:tcW w:w="3644" w:type="dxa"/>
            <w:tcBorders>
              <w:top w:val="single" w:color="000000" w:sz="4" w:space="0"/>
              <w:bottom w:val="single" w:color="000000" w:sz="4" w:space="0"/>
              <w:right w:val="single" w:color="000000" w:sz="4" w:space="0"/>
            </w:tcBorders>
          </w:tcPr>
          <w:p w14:paraId="72364D9A">
            <w:pPr>
              <w:widowControl w:val="0"/>
              <w:spacing w:before="0" w:after="0"/>
              <w:rPr>
                <w:rFonts w:ascii="宋体" w:hAnsi="宋体"/>
                <w:sz w:val="28"/>
                <w:szCs w:val="28"/>
              </w:rPr>
            </w:pPr>
          </w:p>
        </w:tc>
        <w:tc>
          <w:tcPr>
            <w:tcW w:w="2056" w:type="dxa"/>
            <w:tcBorders>
              <w:top w:val="single" w:color="000000" w:sz="4" w:space="0"/>
              <w:bottom w:val="single" w:color="000000" w:sz="4" w:space="0"/>
              <w:right w:val="single" w:color="000000" w:sz="4" w:space="0"/>
            </w:tcBorders>
          </w:tcPr>
          <w:p w14:paraId="2EC0260B">
            <w:pPr>
              <w:widowControl w:val="0"/>
              <w:spacing w:before="0" w:after="0"/>
              <w:rPr>
                <w:rFonts w:ascii="宋体" w:hAnsi="宋体"/>
                <w:sz w:val="28"/>
                <w:szCs w:val="28"/>
              </w:rPr>
            </w:pPr>
          </w:p>
        </w:tc>
        <w:tc>
          <w:tcPr>
            <w:tcW w:w="2055" w:type="dxa"/>
            <w:tcBorders>
              <w:top w:val="single" w:color="000000" w:sz="4" w:space="0"/>
              <w:bottom w:val="single" w:color="000000" w:sz="4" w:space="0"/>
              <w:right w:val="single" w:color="000000" w:sz="4" w:space="0"/>
            </w:tcBorders>
          </w:tcPr>
          <w:p w14:paraId="4F91561F">
            <w:pPr>
              <w:widowControl w:val="0"/>
              <w:spacing w:before="0" w:after="0"/>
              <w:rPr>
                <w:rFonts w:ascii="宋体" w:hAnsi="宋体"/>
                <w:sz w:val="28"/>
                <w:szCs w:val="28"/>
              </w:rPr>
            </w:pPr>
          </w:p>
        </w:tc>
        <w:tc>
          <w:tcPr>
            <w:tcW w:w="1080" w:type="dxa"/>
            <w:tcBorders>
              <w:top w:val="single" w:color="000000" w:sz="4" w:space="0"/>
              <w:bottom w:val="single" w:color="000000" w:sz="4" w:space="0"/>
              <w:right w:val="single" w:color="000000" w:sz="4" w:space="0"/>
            </w:tcBorders>
          </w:tcPr>
          <w:p w14:paraId="246E684B">
            <w:pPr>
              <w:widowControl w:val="0"/>
              <w:spacing w:before="0" w:after="0"/>
              <w:rPr>
                <w:rFonts w:ascii="宋体" w:hAnsi="宋体"/>
                <w:sz w:val="28"/>
                <w:szCs w:val="28"/>
              </w:rPr>
            </w:pPr>
          </w:p>
        </w:tc>
      </w:tr>
      <w:tr w14:paraId="0BC5A9AC">
        <w:tblPrEx>
          <w:tblCellMar>
            <w:top w:w="0" w:type="dxa"/>
            <w:left w:w="108" w:type="dxa"/>
            <w:bottom w:w="0" w:type="dxa"/>
            <w:right w:w="108" w:type="dxa"/>
          </w:tblCellMar>
        </w:tblPrEx>
        <w:trPr>
          <w:trHeight w:val="567" w:hRule="atLeast"/>
        </w:trPr>
        <w:tc>
          <w:tcPr>
            <w:tcW w:w="1380" w:type="dxa"/>
            <w:tcBorders>
              <w:top w:val="single" w:color="000000" w:sz="4" w:space="0"/>
              <w:left w:val="single" w:color="000000" w:sz="4" w:space="0"/>
              <w:bottom w:val="single" w:color="000000" w:sz="4" w:space="0"/>
              <w:right w:val="single" w:color="000000" w:sz="4" w:space="0"/>
            </w:tcBorders>
          </w:tcPr>
          <w:p w14:paraId="3EA41804">
            <w:pPr>
              <w:widowControl w:val="0"/>
              <w:spacing w:before="0" w:after="0"/>
              <w:jc w:val="center"/>
              <w:rPr>
                <w:rFonts w:ascii="宋体" w:hAnsi="宋体"/>
                <w:sz w:val="28"/>
                <w:szCs w:val="28"/>
              </w:rPr>
            </w:pPr>
            <w:r>
              <w:rPr>
                <w:rFonts w:ascii="宋体" w:hAnsi="宋体"/>
                <w:sz w:val="28"/>
                <w:szCs w:val="28"/>
              </w:rPr>
              <w:t>7</w:t>
            </w:r>
          </w:p>
        </w:tc>
        <w:tc>
          <w:tcPr>
            <w:tcW w:w="3644" w:type="dxa"/>
            <w:tcBorders>
              <w:top w:val="single" w:color="000000" w:sz="4" w:space="0"/>
              <w:bottom w:val="single" w:color="000000" w:sz="4" w:space="0"/>
              <w:right w:val="single" w:color="000000" w:sz="4" w:space="0"/>
            </w:tcBorders>
          </w:tcPr>
          <w:p w14:paraId="09881501">
            <w:pPr>
              <w:widowControl w:val="0"/>
              <w:spacing w:before="0" w:after="0"/>
              <w:rPr>
                <w:rFonts w:ascii="宋体" w:hAnsi="宋体"/>
                <w:sz w:val="28"/>
                <w:szCs w:val="28"/>
              </w:rPr>
            </w:pPr>
          </w:p>
        </w:tc>
        <w:tc>
          <w:tcPr>
            <w:tcW w:w="2056" w:type="dxa"/>
            <w:tcBorders>
              <w:top w:val="single" w:color="000000" w:sz="4" w:space="0"/>
              <w:bottom w:val="single" w:color="000000" w:sz="4" w:space="0"/>
              <w:right w:val="single" w:color="000000" w:sz="4" w:space="0"/>
            </w:tcBorders>
          </w:tcPr>
          <w:p w14:paraId="3A3EBACD">
            <w:pPr>
              <w:widowControl w:val="0"/>
              <w:spacing w:before="0" w:after="0"/>
              <w:rPr>
                <w:rFonts w:ascii="宋体" w:hAnsi="宋体"/>
                <w:sz w:val="28"/>
                <w:szCs w:val="28"/>
              </w:rPr>
            </w:pPr>
          </w:p>
        </w:tc>
        <w:tc>
          <w:tcPr>
            <w:tcW w:w="2055" w:type="dxa"/>
            <w:tcBorders>
              <w:top w:val="single" w:color="000000" w:sz="4" w:space="0"/>
              <w:bottom w:val="single" w:color="000000" w:sz="4" w:space="0"/>
              <w:right w:val="single" w:color="000000" w:sz="4" w:space="0"/>
            </w:tcBorders>
          </w:tcPr>
          <w:p w14:paraId="614AA63B">
            <w:pPr>
              <w:widowControl w:val="0"/>
              <w:spacing w:before="0" w:after="0"/>
              <w:rPr>
                <w:rFonts w:ascii="宋体" w:hAnsi="宋体"/>
                <w:sz w:val="28"/>
                <w:szCs w:val="28"/>
              </w:rPr>
            </w:pPr>
          </w:p>
        </w:tc>
        <w:tc>
          <w:tcPr>
            <w:tcW w:w="1080" w:type="dxa"/>
            <w:tcBorders>
              <w:top w:val="single" w:color="000000" w:sz="4" w:space="0"/>
              <w:bottom w:val="single" w:color="000000" w:sz="4" w:space="0"/>
              <w:right w:val="single" w:color="000000" w:sz="4" w:space="0"/>
            </w:tcBorders>
          </w:tcPr>
          <w:p w14:paraId="02188E57">
            <w:pPr>
              <w:widowControl w:val="0"/>
              <w:spacing w:before="0" w:after="0"/>
              <w:rPr>
                <w:rFonts w:ascii="宋体" w:hAnsi="宋体"/>
                <w:sz w:val="28"/>
                <w:szCs w:val="28"/>
              </w:rPr>
            </w:pPr>
          </w:p>
        </w:tc>
      </w:tr>
      <w:tr w14:paraId="1EC7BBC9">
        <w:tblPrEx>
          <w:tblCellMar>
            <w:top w:w="0" w:type="dxa"/>
            <w:left w:w="108" w:type="dxa"/>
            <w:bottom w:w="0" w:type="dxa"/>
            <w:right w:w="108" w:type="dxa"/>
          </w:tblCellMar>
        </w:tblPrEx>
        <w:trPr>
          <w:trHeight w:val="567" w:hRule="atLeast"/>
        </w:trPr>
        <w:tc>
          <w:tcPr>
            <w:tcW w:w="1380" w:type="dxa"/>
            <w:tcBorders>
              <w:top w:val="single" w:color="000000" w:sz="4" w:space="0"/>
              <w:left w:val="single" w:color="000000" w:sz="4" w:space="0"/>
              <w:bottom w:val="single" w:color="000000" w:sz="4" w:space="0"/>
              <w:right w:val="single" w:color="000000" w:sz="4" w:space="0"/>
            </w:tcBorders>
          </w:tcPr>
          <w:p w14:paraId="4BCE798D">
            <w:pPr>
              <w:widowControl w:val="0"/>
              <w:spacing w:before="0" w:after="0"/>
              <w:jc w:val="center"/>
              <w:rPr>
                <w:rFonts w:ascii="宋体" w:hAnsi="宋体"/>
                <w:sz w:val="28"/>
                <w:szCs w:val="28"/>
              </w:rPr>
            </w:pPr>
            <w:r>
              <w:rPr>
                <w:rFonts w:ascii="宋体" w:hAnsi="宋体"/>
                <w:sz w:val="28"/>
                <w:szCs w:val="28"/>
              </w:rPr>
              <w:t>8</w:t>
            </w:r>
          </w:p>
        </w:tc>
        <w:tc>
          <w:tcPr>
            <w:tcW w:w="3644" w:type="dxa"/>
            <w:tcBorders>
              <w:top w:val="single" w:color="000000" w:sz="4" w:space="0"/>
              <w:bottom w:val="single" w:color="000000" w:sz="4" w:space="0"/>
              <w:right w:val="single" w:color="000000" w:sz="4" w:space="0"/>
            </w:tcBorders>
          </w:tcPr>
          <w:p w14:paraId="2CC9ABF5">
            <w:pPr>
              <w:widowControl w:val="0"/>
              <w:spacing w:before="0" w:after="0"/>
              <w:rPr>
                <w:rFonts w:ascii="宋体" w:hAnsi="宋体"/>
                <w:sz w:val="28"/>
                <w:szCs w:val="28"/>
              </w:rPr>
            </w:pPr>
          </w:p>
        </w:tc>
        <w:tc>
          <w:tcPr>
            <w:tcW w:w="2056" w:type="dxa"/>
            <w:tcBorders>
              <w:top w:val="single" w:color="000000" w:sz="4" w:space="0"/>
              <w:bottom w:val="single" w:color="000000" w:sz="4" w:space="0"/>
              <w:right w:val="single" w:color="000000" w:sz="4" w:space="0"/>
            </w:tcBorders>
          </w:tcPr>
          <w:p w14:paraId="25EC8A04">
            <w:pPr>
              <w:widowControl w:val="0"/>
              <w:spacing w:before="0" w:after="0"/>
              <w:rPr>
                <w:rFonts w:ascii="宋体" w:hAnsi="宋体"/>
                <w:sz w:val="28"/>
                <w:szCs w:val="28"/>
              </w:rPr>
            </w:pPr>
          </w:p>
        </w:tc>
        <w:tc>
          <w:tcPr>
            <w:tcW w:w="2055" w:type="dxa"/>
            <w:tcBorders>
              <w:top w:val="single" w:color="000000" w:sz="4" w:space="0"/>
              <w:bottom w:val="single" w:color="000000" w:sz="4" w:space="0"/>
              <w:right w:val="single" w:color="000000" w:sz="4" w:space="0"/>
            </w:tcBorders>
          </w:tcPr>
          <w:p w14:paraId="0289DF87">
            <w:pPr>
              <w:widowControl w:val="0"/>
              <w:spacing w:before="0" w:after="0"/>
              <w:rPr>
                <w:rFonts w:ascii="宋体" w:hAnsi="宋体"/>
                <w:sz w:val="28"/>
                <w:szCs w:val="28"/>
              </w:rPr>
            </w:pPr>
          </w:p>
        </w:tc>
        <w:tc>
          <w:tcPr>
            <w:tcW w:w="1080" w:type="dxa"/>
            <w:tcBorders>
              <w:top w:val="single" w:color="000000" w:sz="4" w:space="0"/>
              <w:bottom w:val="single" w:color="000000" w:sz="4" w:space="0"/>
              <w:right w:val="single" w:color="000000" w:sz="4" w:space="0"/>
            </w:tcBorders>
          </w:tcPr>
          <w:p w14:paraId="3DA4FD42">
            <w:pPr>
              <w:widowControl w:val="0"/>
              <w:spacing w:before="0" w:after="0"/>
              <w:rPr>
                <w:rFonts w:ascii="宋体" w:hAnsi="宋体"/>
                <w:sz w:val="28"/>
                <w:szCs w:val="28"/>
              </w:rPr>
            </w:pPr>
          </w:p>
        </w:tc>
      </w:tr>
      <w:tr w14:paraId="0DD60125">
        <w:tblPrEx>
          <w:tblCellMar>
            <w:top w:w="0" w:type="dxa"/>
            <w:left w:w="108" w:type="dxa"/>
            <w:bottom w:w="0" w:type="dxa"/>
            <w:right w:w="108" w:type="dxa"/>
          </w:tblCellMar>
        </w:tblPrEx>
        <w:trPr>
          <w:trHeight w:val="567" w:hRule="atLeast"/>
        </w:trPr>
        <w:tc>
          <w:tcPr>
            <w:tcW w:w="1380" w:type="dxa"/>
            <w:tcBorders>
              <w:top w:val="single" w:color="000000" w:sz="4" w:space="0"/>
              <w:left w:val="single" w:color="000000" w:sz="4" w:space="0"/>
              <w:bottom w:val="single" w:color="000000" w:sz="4" w:space="0"/>
              <w:right w:val="single" w:color="000000" w:sz="4" w:space="0"/>
            </w:tcBorders>
          </w:tcPr>
          <w:p w14:paraId="5A3653E7">
            <w:pPr>
              <w:widowControl w:val="0"/>
              <w:spacing w:before="0" w:after="0"/>
              <w:jc w:val="center"/>
              <w:rPr>
                <w:rFonts w:ascii="宋体" w:hAnsi="宋体"/>
                <w:sz w:val="28"/>
                <w:szCs w:val="28"/>
              </w:rPr>
            </w:pPr>
            <w:r>
              <w:rPr>
                <w:rFonts w:ascii="宋体" w:hAnsi="宋体"/>
                <w:sz w:val="28"/>
                <w:szCs w:val="28"/>
              </w:rPr>
              <w:t>9</w:t>
            </w:r>
          </w:p>
        </w:tc>
        <w:tc>
          <w:tcPr>
            <w:tcW w:w="3644" w:type="dxa"/>
            <w:tcBorders>
              <w:top w:val="single" w:color="000000" w:sz="4" w:space="0"/>
              <w:bottom w:val="single" w:color="000000" w:sz="4" w:space="0"/>
              <w:right w:val="single" w:color="000000" w:sz="4" w:space="0"/>
            </w:tcBorders>
          </w:tcPr>
          <w:p w14:paraId="04D0116F">
            <w:pPr>
              <w:widowControl w:val="0"/>
              <w:spacing w:before="0" w:after="0"/>
              <w:rPr>
                <w:rFonts w:ascii="宋体" w:hAnsi="宋体"/>
                <w:sz w:val="28"/>
                <w:szCs w:val="28"/>
              </w:rPr>
            </w:pPr>
          </w:p>
        </w:tc>
        <w:tc>
          <w:tcPr>
            <w:tcW w:w="2056" w:type="dxa"/>
            <w:tcBorders>
              <w:top w:val="single" w:color="000000" w:sz="4" w:space="0"/>
              <w:bottom w:val="single" w:color="000000" w:sz="4" w:space="0"/>
              <w:right w:val="single" w:color="000000" w:sz="4" w:space="0"/>
            </w:tcBorders>
          </w:tcPr>
          <w:p w14:paraId="2C0205FB">
            <w:pPr>
              <w:widowControl w:val="0"/>
              <w:spacing w:before="0" w:after="0"/>
              <w:rPr>
                <w:rFonts w:ascii="宋体" w:hAnsi="宋体"/>
                <w:sz w:val="28"/>
                <w:szCs w:val="28"/>
              </w:rPr>
            </w:pPr>
          </w:p>
        </w:tc>
        <w:tc>
          <w:tcPr>
            <w:tcW w:w="2055" w:type="dxa"/>
            <w:tcBorders>
              <w:top w:val="single" w:color="000000" w:sz="4" w:space="0"/>
              <w:bottom w:val="single" w:color="000000" w:sz="4" w:space="0"/>
              <w:right w:val="single" w:color="000000" w:sz="4" w:space="0"/>
            </w:tcBorders>
          </w:tcPr>
          <w:p w14:paraId="00D2CC41">
            <w:pPr>
              <w:widowControl w:val="0"/>
              <w:spacing w:before="0" w:after="0"/>
              <w:rPr>
                <w:rFonts w:ascii="宋体" w:hAnsi="宋体"/>
                <w:sz w:val="28"/>
                <w:szCs w:val="28"/>
              </w:rPr>
            </w:pPr>
          </w:p>
        </w:tc>
        <w:tc>
          <w:tcPr>
            <w:tcW w:w="1080" w:type="dxa"/>
            <w:tcBorders>
              <w:top w:val="single" w:color="000000" w:sz="4" w:space="0"/>
              <w:bottom w:val="single" w:color="000000" w:sz="4" w:space="0"/>
              <w:right w:val="single" w:color="000000" w:sz="4" w:space="0"/>
            </w:tcBorders>
          </w:tcPr>
          <w:p w14:paraId="3158E87A">
            <w:pPr>
              <w:widowControl w:val="0"/>
              <w:spacing w:before="0" w:after="0"/>
              <w:rPr>
                <w:rFonts w:ascii="宋体" w:hAnsi="宋体"/>
                <w:sz w:val="28"/>
                <w:szCs w:val="28"/>
              </w:rPr>
            </w:pPr>
          </w:p>
        </w:tc>
      </w:tr>
      <w:tr w14:paraId="11F54E33">
        <w:tblPrEx>
          <w:tblCellMar>
            <w:top w:w="0" w:type="dxa"/>
            <w:left w:w="108" w:type="dxa"/>
            <w:bottom w:w="0" w:type="dxa"/>
            <w:right w:w="108" w:type="dxa"/>
          </w:tblCellMar>
        </w:tblPrEx>
        <w:trPr>
          <w:trHeight w:val="567" w:hRule="atLeast"/>
        </w:trPr>
        <w:tc>
          <w:tcPr>
            <w:tcW w:w="1380" w:type="dxa"/>
            <w:tcBorders>
              <w:top w:val="single" w:color="000000" w:sz="4" w:space="0"/>
              <w:left w:val="single" w:color="000000" w:sz="4" w:space="0"/>
              <w:bottom w:val="single" w:color="000000" w:sz="4" w:space="0"/>
              <w:right w:val="single" w:color="000000" w:sz="4" w:space="0"/>
            </w:tcBorders>
          </w:tcPr>
          <w:p w14:paraId="13929057">
            <w:pPr>
              <w:widowControl w:val="0"/>
              <w:spacing w:before="0" w:after="0"/>
              <w:jc w:val="center"/>
              <w:rPr>
                <w:rFonts w:ascii="宋体" w:hAnsi="宋体"/>
                <w:sz w:val="28"/>
                <w:szCs w:val="28"/>
              </w:rPr>
            </w:pPr>
            <w:r>
              <w:rPr>
                <w:rFonts w:ascii="宋体" w:hAnsi="宋体"/>
                <w:sz w:val="28"/>
                <w:szCs w:val="28"/>
              </w:rPr>
              <w:t>10</w:t>
            </w:r>
          </w:p>
        </w:tc>
        <w:tc>
          <w:tcPr>
            <w:tcW w:w="3644" w:type="dxa"/>
            <w:tcBorders>
              <w:top w:val="single" w:color="000000" w:sz="4" w:space="0"/>
              <w:bottom w:val="single" w:color="000000" w:sz="4" w:space="0"/>
              <w:right w:val="single" w:color="000000" w:sz="4" w:space="0"/>
            </w:tcBorders>
          </w:tcPr>
          <w:p w14:paraId="217A05E2">
            <w:pPr>
              <w:widowControl w:val="0"/>
              <w:spacing w:before="0" w:after="0"/>
              <w:rPr>
                <w:rFonts w:ascii="宋体" w:hAnsi="宋体"/>
                <w:sz w:val="28"/>
                <w:szCs w:val="28"/>
              </w:rPr>
            </w:pPr>
          </w:p>
        </w:tc>
        <w:tc>
          <w:tcPr>
            <w:tcW w:w="2056" w:type="dxa"/>
            <w:tcBorders>
              <w:top w:val="single" w:color="000000" w:sz="4" w:space="0"/>
              <w:bottom w:val="single" w:color="000000" w:sz="4" w:space="0"/>
              <w:right w:val="single" w:color="000000" w:sz="4" w:space="0"/>
            </w:tcBorders>
          </w:tcPr>
          <w:p w14:paraId="373DE7E2">
            <w:pPr>
              <w:widowControl w:val="0"/>
              <w:spacing w:before="0" w:after="0"/>
              <w:rPr>
                <w:rFonts w:ascii="宋体" w:hAnsi="宋体"/>
                <w:sz w:val="28"/>
                <w:szCs w:val="28"/>
              </w:rPr>
            </w:pPr>
          </w:p>
        </w:tc>
        <w:tc>
          <w:tcPr>
            <w:tcW w:w="2055" w:type="dxa"/>
            <w:tcBorders>
              <w:top w:val="single" w:color="000000" w:sz="4" w:space="0"/>
              <w:bottom w:val="single" w:color="000000" w:sz="4" w:space="0"/>
              <w:right w:val="single" w:color="000000" w:sz="4" w:space="0"/>
            </w:tcBorders>
          </w:tcPr>
          <w:p w14:paraId="662C9586">
            <w:pPr>
              <w:widowControl w:val="0"/>
              <w:spacing w:before="0" w:after="0"/>
              <w:rPr>
                <w:rFonts w:ascii="宋体" w:hAnsi="宋体"/>
                <w:sz w:val="28"/>
                <w:szCs w:val="28"/>
              </w:rPr>
            </w:pPr>
          </w:p>
        </w:tc>
        <w:tc>
          <w:tcPr>
            <w:tcW w:w="1080" w:type="dxa"/>
            <w:tcBorders>
              <w:top w:val="single" w:color="000000" w:sz="4" w:space="0"/>
              <w:bottom w:val="single" w:color="000000" w:sz="4" w:space="0"/>
              <w:right w:val="single" w:color="000000" w:sz="4" w:space="0"/>
            </w:tcBorders>
          </w:tcPr>
          <w:p w14:paraId="7DDDC10C">
            <w:pPr>
              <w:widowControl w:val="0"/>
              <w:spacing w:before="0" w:after="0"/>
              <w:rPr>
                <w:rFonts w:ascii="宋体" w:hAnsi="宋体"/>
                <w:sz w:val="28"/>
                <w:szCs w:val="28"/>
              </w:rPr>
            </w:pPr>
          </w:p>
        </w:tc>
      </w:tr>
      <w:tr w14:paraId="068F1D15">
        <w:tblPrEx>
          <w:tblCellMar>
            <w:top w:w="0" w:type="dxa"/>
            <w:left w:w="108" w:type="dxa"/>
            <w:bottom w:w="0" w:type="dxa"/>
            <w:right w:w="108" w:type="dxa"/>
          </w:tblCellMar>
        </w:tblPrEx>
        <w:trPr>
          <w:trHeight w:val="567" w:hRule="atLeast"/>
        </w:trPr>
        <w:tc>
          <w:tcPr>
            <w:tcW w:w="1380" w:type="dxa"/>
            <w:tcBorders>
              <w:top w:val="single" w:color="000000" w:sz="4" w:space="0"/>
              <w:left w:val="single" w:color="000000" w:sz="4" w:space="0"/>
              <w:bottom w:val="single" w:color="000000" w:sz="4" w:space="0"/>
              <w:right w:val="single" w:color="000000" w:sz="4" w:space="0"/>
            </w:tcBorders>
          </w:tcPr>
          <w:p w14:paraId="6360D1BD">
            <w:pPr>
              <w:widowControl w:val="0"/>
              <w:spacing w:before="0" w:after="0"/>
              <w:jc w:val="center"/>
              <w:rPr>
                <w:rFonts w:ascii="宋体" w:hAnsi="宋体"/>
                <w:sz w:val="28"/>
                <w:szCs w:val="28"/>
              </w:rPr>
            </w:pPr>
            <w:r>
              <w:rPr>
                <w:rFonts w:ascii="宋体" w:hAnsi="宋体"/>
                <w:sz w:val="28"/>
                <w:szCs w:val="28"/>
              </w:rPr>
              <w:t>11</w:t>
            </w:r>
          </w:p>
        </w:tc>
        <w:tc>
          <w:tcPr>
            <w:tcW w:w="3644" w:type="dxa"/>
            <w:tcBorders>
              <w:top w:val="single" w:color="000000" w:sz="4" w:space="0"/>
              <w:bottom w:val="single" w:color="000000" w:sz="4" w:space="0"/>
              <w:right w:val="single" w:color="000000" w:sz="4" w:space="0"/>
            </w:tcBorders>
          </w:tcPr>
          <w:p w14:paraId="0E14FF7C">
            <w:pPr>
              <w:widowControl w:val="0"/>
              <w:spacing w:before="0" w:after="0"/>
              <w:rPr>
                <w:rFonts w:ascii="宋体" w:hAnsi="宋体"/>
                <w:sz w:val="28"/>
                <w:szCs w:val="28"/>
              </w:rPr>
            </w:pPr>
          </w:p>
        </w:tc>
        <w:tc>
          <w:tcPr>
            <w:tcW w:w="2056" w:type="dxa"/>
            <w:tcBorders>
              <w:top w:val="single" w:color="000000" w:sz="4" w:space="0"/>
              <w:bottom w:val="single" w:color="000000" w:sz="4" w:space="0"/>
              <w:right w:val="single" w:color="000000" w:sz="4" w:space="0"/>
            </w:tcBorders>
          </w:tcPr>
          <w:p w14:paraId="668072E8">
            <w:pPr>
              <w:widowControl w:val="0"/>
              <w:spacing w:before="0" w:after="0"/>
              <w:rPr>
                <w:rFonts w:ascii="宋体" w:hAnsi="宋体"/>
                <w:sz w:val="28"/>
                <w:szCs w:val="28"/>
              </w:rPr>
            </w:pPr>
          </w:p>
        </w:tc>
        <w:tc>
          <w:tcPr>
            <w:tcW w:w="2055" w:type="dxa"/>
            <w:tcBorders>
              <w:top w:val="single" w:color="000000" w:sz="4" w:space="0"/>
              <w:bottom w:val="single" w:color="000000" w:sz="4" w:space="0"/>
              <w:right w:val="single" w:color="000000" w:sz="4" w:space="0"/>
            </w:tcBorders>
          </w:tcPr>
          <w:p w14:paraId="678E8779">
            <w:pPr>
              <w:widowControl w:val="0"/>
              <w:spacing w:before="0" w:after="0"/>
              <w:rPr>
                <w:rFonts w:ascii="宋体" w:hAnsi="宋体"/>
                <w:sz w:val="28"/>
                <w:szCs w:val="28"/>
              </w:rPr>
            </w:pPr>
          </w:p>
        </w:tc>
        <w:tc>
          <w:tcPr>
            <w:tcW w:w="1080" w:type="dxa"/>
            <w:tcBorders>
              <w:top w:val="single" w:color="000000" w:sz="4" w:space="0"/>
              <w:bottom w:val="single" w:color="000000" w:sz="4" w:space="0"/>
              <w:right w:val="single" w:color="000000" w:sz="4" w:space="0"/>
            </w:tcBorders>
          </w:tcPr>
          <w:p w14:paraId="268C441B">
            <w:pPr>
              <w:widowControl w:val="0"/>
              <w:spacing w:before="0" w:after="0"/>
              <w:rPr>
                <w:rFonts w:ascii="宋体" w:hAnsi="宋体"/>
                <w:sz w:val="28"/>
                <w:szCs w:val="28"/>
              </w:rPr>
            </w:pPr>
          </w:p>
        </w:tc>
      </w:tr>
      <w:tr w14:paraId="19BCE8A9">
        <w:tblPrEx>
          <w:tblCellMar>
            <w:top w:w="0" w:type="dxa"/>
            <w:left w:w="108" w:type="dxa"/>
            <w:bottom w:w="0" w:type="dxa"/>
            <w:right w:w="108" w:type="dxa"/>
          </w:tblCellMar>
        </w:tblPrEx>
        <w:trPr>
          <w:trHeight w:val="567" w:hRule="atLeast"/>
        </w:trPr>
        <w:tc>
          <w:tcPr>
            <w:tcW w:w="1380" w:type="dxa"/>
            <w:tcBorders>
              <w:top w:val="single" w:color="000000" w:sz="4" w:space="0"/>
              <w:left w:val="single" w:color="000000" w:sz="4" w:space="0"/>
              <w:bottom w:val="single" w:color="000000" w:sz="4" w:space="0"/>
              <w:right w:val="single" w:color="000000" w:sz="4" w:space="0"/>
            </w:tcBorders>
          </w:tcPr>
          <w:p w14:paraId="3EF28E41">
            <w:pPr>
              <w:widowControl w:val="0"/>
              <w:spacing w:before="0" w:after="0"/>
              <w:jc w:val="center"/>
              <w:rPr>
                <w:rFonts w:ascii="宋体" w:hAnsi="宋体"/>
                <w:sz w:val="28"/>
                <w:szCs w:val="28"/>
              </w:rPr>
            </w:pPr>
            <w:r>
              <w:rPr>
                <w:rFonts w:ascii="宋体" w:hAnsi="宋体"/>
                <w:sz w:val="28"/>
                <w:szCs w:val="28"/>
              </w:rPr>
              <w:t>12</w:t>
            </w:r>
          </w:p>
        </w:tc>
        <w:tc>
          <w:tcPr>
            <w:tcW w:w="3644" w:type="dxa"/>
            <w:tcBorders>
              <w:top w:val="single" w:color="000000" w:sz="4" w:space="0"/>
              <w:bottom w:val="single" w:color="000000" w:sz="4" w:space="0"/>
              <w:right w:val="single" w:color="000000" w:sz="4" w:space="0"/>
            </w:tcBorders>
          </w:tcPr>
          <w:p w14:paraId="79A87BFE">
            <w:pPr>
              <w:widowControl w:val="0"/>
              <w:spacing w:before="0" w:after="0"/>
              <w:rPr>
                <w:rFonts w:ascii="宋体" w:hAnsi="宋体"/>
                <w:sz w:val="28"/>
                <w:szCs w:val="28"/>
              </w:rPr>
            </w:pPr>
          </w:p>
        </w:tc>
        <w:tc>
          <w:tcPr>
            <w:tcW w:w="2056" w:type="dxa"/>
            <w:tcBorders>
              <w:top w:val="single" w:color="000000" w:sz="4" w:space="0"/>
              <w:bottom w:val="single" w:color="000000" w:sz="4" w:space="0"/>
              <w:right w:val="single" w:color="000000" w:sz="4" w:space="0"/>
            </w:tcBorders>
          </w:tcPr>
          <w:p w14:paraId="0D9D9A4C">
            <w:pPr>
              <w:widowControl w:val="0"/>
              <w:spacing w:before="0" w:after="0"/>
              <w:rPr>
                <w:rFonts w:ascii="宋体" w:hAnsi="宋体"/>
                <w:sz w:val="28"/>
                <w:szCs w:val="28"/>
              </w:rPr>
            </w:pPr>
          </w:p>
        </w:tc>
        <w:tc>
          <w:tcPr>
            <w:tcW w:w="2055" w:type="dxa"/>
            <w:tcBorders>
              <w:top w:val="single" w:color="000000" w:sz="4" w:space="0"/>
              <w:bottom w:val="single" w:color="000000" w:sz="4" w:space="0"/>
              <w:right w:val="single" w:color="000000" w:sz="4" w:space="0"/>
            </w:tcBorders>
          </w:tcPr>
          <w:p w14:paraId="1A1BD151">
            <w:pPr>
              <w:widowControl w:val="0"/>
              <w:spacing w:before="0" w:after="0"/>
              <w:rPr>
                <w:rFonts w:ascii="宋体" w:hAnsi="宋体"/>
                <w:sz w:val="28"/>
                <w:szCs w:val="28"/>
              </w:rPr>
            </w:pPr>
          </w:p>
        </w:tc>
        <w:tc>
          <w:tcPr>
            <w:tcW w:w="1080" w:type="dxa"/>
            <w:tcBorders>
              <w:top w:val="single" w:color="000000" w:sz="4" w:space="0"/>
              <w:bottom w:val="single" w:color="000000" w:sz="4" w:space="0"/>
              <w:right w:val="single" w:color="000000" w:sz="4" w:space="0"/>
            </w:tcBorders>
          </w:tcPr>
          <w:p w14:paraId="699E2774">
            <w:pPr>
              <w:widowControl w:val="0"/>
              <w:spacing w:before="0" w:after="0"/>
              <w:rPr>
                <w:rFonts w:ascii="宋体" w:hAnsi="宋体"/>
                <w:sz w:val="28"/>
                <w:szCs w:val="28"/>
              </w:rPr>
            </w:pPr>
          </w:p>
        </w:tc>
      </w:tr>
      <w:tr w14:paraId="13CAF696">
        <w:tblPrEx>
          <w:tblCellMar>
            <w:top w:w="0" w:type="dxa"/>
            <w:left w:w="108" w:type="dxa"/>
            <w:bottom w:w="0" w:type="dxa"/>
            <w:right w:w="108" w:type="dxa"/>
          </w:tblCellMar>
        </w:tblPrEx>
        <w:trPr>
          <w:trHeight w:val="567" w:hRule="atLeast"/>
        </w:trPr>
        <w:tc>
          <w:tcPr>
            <w:tcW w:w="1380" w:type="dxa"/>
            <w:tcBorders>
              <w:top w:val="single" w:color="000000" w:sz="4" w:space="0"/>
              <w:left w:val="single" w:color="000000" w:sz="4" w:space="0"/>
              <w:bottom w:val="single" w:color="000000" w:sz="4" w:space="0"/>
              <w:right w:val="single" w:color="000000" w:sz="4" w:space="0"/>
            </w:tcBorders>
          </w:tcPr>
          <w:p w14:paraId="2022C3A6">
            <w:pPr>
              <w:widowControl w:val="0"/>
              <w:spacing w:before="0" w:after="0"/>
              <w:jc w:val="center"/>
              <w:rPr>
                <w:rFonts w:ascii="宋体" w:hAnsi="宋体"/>
                <w:sz w:val="28"/>
                <w:szCs w:val="28"/>
              </w:rPr>
            </w:pPr>
            <w:r>
              <w:rPr>
                <w:rFonts w:ascii="宋体" w:hAnsi="宋体"/>
                <w:sz w:val="28"/>
                <w:szCs w:val="28"/>
              </w:rPr>
              <w:t>13</w:t>
            </w:r>
          </w:p>
        </w:tc>
        <w:tc>
          <w:tcPr>
            <w:tcW w:w="3644" w:type="dxa"/>
            <w:tcBorders>
              <w:top w:val="single" w:color="000000" w:sz="4" w:space="0"/>
              <w:bottom w:val="single" w:color="000000" w:sz="4" w:space="0"/>
              <w:right w:val="single" w:color="000000" w:sz="4" w:space="0"/>
            </w:tcBorders>
          </w:tcPr>
          <w:p w14:paraId="26396CA5">
            <w:pPr>
              <w:widowControl w:val="0"/>
              <w:spacing w:before="0" w:after="0"/>
              <w:rPr>
                <w:rFonts w:ascii="宋体" w:hAnsi="宋体"/>
                <w:sz w:val="28"/>
                <w:szCs w:val="28"/>
              </w:rPr>
            </w:pPr>
          </w:p>
        </w:tc>
        <w:tc>
          <w:tcPr>
            <w:tcW w:w="2056" w:type="dxa"/>
            <w:tcBorders>
              <w:top w:val="single" w:color="000000" w:sz="4" w:space="0"/>
              <w:bottom w:val="single" w:color="000000" w:sz="4" w:space="0"/>
              <w:right w:val="single" w:color="000000" w:sz="4" w:space="0"/>
            </w:tcBorders>
          </w:tcPr>
          <w:p w14:paraId="461F0D06">
            <w:pPr>
              <w:widowControl w:val="0"/>
              <w:spacing w:before="0" w:after="0"/>
              <w:rPr>
                <w:rFonts w:ascii="宋体" w:hAnsi="宋体"/>
                <w:sz w:val="28"/>
                <w:szCs w:val="28"/>
              </w:rPr>
            </w:pPr>
          </w:p>
        </w:tc>
        <w:tc>
          <w:tcPr>
            <w:tcW w:w="2055" w:type="dxa"/>
            <w:tcBorders>
              <w:top w:val="single" w:color="000000" w:sz="4" w:space="0"/>
              <w:bottom w:val="single" w:color="000000" w:sz="4" w:space="0"/>
              <w:right w:val="single" w:color="000000" w:sz="4" w:space="0"/>
            </w:tcBorders>
          </w:tcPr>
          <w:p w14:paraId="305D23B3">
            <w:pPr>
              <w:widowControl w:val="0"/>
              <w:spacing w:before="0" w:after="0"/>
              <w:rPr>
                <w:rFonts w:ascii="宋体" w:hAnsi="宋体"/>
                <w:sz w:val="28"/>
                <w:szCs w:val="28"/>
              </w:rPr>
            </w:pPr>
          </w:p>
        </w:tc>
        <w:tc>
          <w:tcPr>
            <w:tcW w:w="1080" w:type="dxa"/>
            <w:tcBorders>
              <w:top w:val="single" w:color="000000" w:sz="4" w:space="0"/>
              <w:bottom w:val="single" w:color="000000" w:sz="4" w:space="0"/>
              <w:right w:val="single" w:color="000000" w:sz="4" w:space="0"/>
            </w:tcBorders>
          </w:tcPr>
          <w:p w14:paraId="3ED91F6A">
            <w:pPr>
              <w:widowControl w:val="0"/>
              <w:spacing w:before="0" w:after="0"/>
              <w:rPr>
                <w:rFonts w:ascii="宋体" w:hAnsi="宋体"/>
                <w:sz w:val="28"/>
                <w:szCs w:val="28"/>
              </w:rPr>
            </w:pPr>
          </w:p>
        </w:tc>
      </w:tr>
      <w:tr w14:paraId="32A07482">
        <w:tblPrEx>
          <w:tblCellMar>
            <w:top w:w="0" w:type="dxa"/>
            <w:left w:w="108" w:type="dxa"/>
            <w:bottom w:w="0" w:type="dxa"/>
            <w:right w:w="108" w:type="dxa"/>
          </w:tblCellMar>
        </w:tblPrEx>
        <w:trPr>
          <w:trHeight w:val="567" w:hRule="atLeast"/>
        </w:trPr>
        <w:tc>
          <w:tcPr>
            <w:tcW w:w="1380" w:type="dxa"/>
            <w:tcBorders>
              <w:top w:val="single" w:color="000000" w:sz="4" w:space="0"/>
              <w:left w:val="single" w:color="000000" w:sz="4" w:space="0"/>
              <w:bottom w:val="single" w:color="000000" w:sz="4" w:space="0"/>
              <w:right w:val="single" w:color="000000" w:sz="4" w:space="0"/>
            </w:tcBorders>
          </w:tcPr>
          <w:p w14:paraId="3001F331">
            <w:pPr>
              <w:widowControl w:val="0"/>
              <w:spacing w:before="0" w:after="0"/>
              <w:jc w:val="center"/>
              <w:rPr>
                <w:rFonts w:ascii="宋体" w:hAnsi="宋体"/>
                <w:sz w:val="28"/>
                <w:szCs w:val="28"/>
              </w:rPr>
            </w:pPr>
            <w:r>
              <w:rPr>
                <w:rFonts w:ascii="宋体" w:hAnsi="宋体"/>
                <w:sz w:val="28"/>
                <w:szCs w:val="28"/>
              </w:rPr>
              <w:t>14</w:t>
            </w:r>
          </w:p>
        </w:tc>
        <w:tc>
          <w:tcPr>
            <w:tcW w:w="3644" w:type="dxa"/>
            <w:tcBorders>
              <w:top w:val="single" w:color="000000" w:sz="4" w:space="0"/>
              <w:bottom w:val="single" w:color="000000" w:sz="4" w:space="0"/>
              <w:right w:val="single" w:color="000000" w:sz="4" w:space="0"/>
            </w:tcBorders>
          </w:tcPr>
          <w:p w14:paraId="6DE7D920">
            <w:pPr>
              <w:widowControl w:val="0"/>
              <w:spacing w:before="0" w:after="0"/>
              <w:rPr>
                <w:rFonts w:ascii="宋体" w:hAnsi="宋体"/>
                <w:sz w:val="28"/>
                <w:szCs w:val="28"/>
              </w:rPr>
            </w:pPr>
          </w:p>
        </w:tc>
        <w:tc>
          <w:tcPr>
            <w:tcW w:w="2056" w:type="dxa"/>
            <w:tcBorders>
              <w:top w:val="single" w:color="000000" w:sz="4" w:space="0"/>
              <w:bottom w:val="single" w:color="000000" w:sz="4" w:space="0"/>
              <w:right w:val="single" w:color="000000" w:sz="4" w:space="0"/>
            </w:tcBorders>
          </w:tcPr>
          <w:p w14:paraId="4B310582">
            <w:pPr>
              <w:widowControl w:val="0"/>
              <w:spacing w:before="0" w:after="0"/>
              <w:rPr>
                <w:rFonts w:ascii="宋体" w:hAnsi="宋体"/>
                <w:sz w:val="28"/>
                <w:szCs w:val="28"/>
              </w:rPr>
            </w:pPr>
          </w:p>
        </w:tc>
        <w:tc>
          <w:tcPr>
            <w:tcW w:w="2055" w:type="dxa"/>
            <w:tcBorders>
              <w:top w:val="single" w:color="000000" w:sz="4" w:space="0"/>
              <w:bottom w:val="single" w:color="000000" w:sz="4" w:space="0"/>
              <w:right w:val="single" w:color="000000" w:sz="4" w:space="0"/>
            </w:tcBorders>
          </w:tcPr>
          <w:p w14:paraId="4CC1BD5C">
            <w:pPr>
              <w:widowControl w:val="0"/>
              <w:spacing w:before="0" w:after="0"/>
              <w:rPr>
                <w:rFonts w:ascii="宋体" w:hAnsi="宋体"/>
                <w:sz w:val="28"/>
                <w:szCs w:val="28"/>
              </w:rPr>
            </w:pPr>
          </w:p>
        </w:tc>
        <w:tc>
          <w:tcPr>
            <w:tcW w:w="1080" w:type="dxa"/>
            <w:tcBorders>
              <w:top w:val="single" w:color="000000" w:sz="4" w:space="0"/>
              <w:bottom w:val="single" w:color="000000" w:sz="4" w:space="0"/>
              <w:right w:val="single" w:color="000000" w:sz="4" w:space="0"/>
            </w:tcBorders>
          </w:tcPr>
          <w:p w14:paraId="4E45AADC">
            <w:pPr>
              <w:widowControl w:val="0"/>
              <w:spacing w:before="0" w:after="0"/>
              <w:rPr>
                <w:rFonts w:ascii="宋体" w:hAnsi="宋体"/>
                <w:sz w:val="28"/>
                <w:szCs w:val="28"/>
              </w:rPr>
            </w:pPr>
          </w:p>
        </w:tc>
      </w:tr>
      <w:tr w14:paraId="3FDE9D59">
        <w:tblPrEx>
          <w:tblCellMar>
            <w:top w:w="0" w:type="dxa"/>
            <w:left w:w="108" w:type="dxa"/>
            <w:bottom w:w="0" w:type="dxa"/>
            <w:right w:w="108" w:type="dxa"/>
          </w:tblCellMar>
        </w:tblPrEx>
        <w:trPr>
          <w:trHeight w:val="567" w:hRule="atLeast"/>
        </w:trPr>
        <w:tc>
          <w:tcPr>
            <w:tcW w:w="1380" w:type="dxa"/>
            <w:tcBorders>
              <w:top w:val="single" w:color="000000" w:sz="4" w:space="0"/>
              <w:left w:val="single" w:color="000000" w:sz="4" w:space="0"/>
              <w:bottom w:val="single" w:color="000000" w:sz="4" w:space="0"/>
              <w:right w:val="single" w:color="000000" w:sz="4" w:space="0"/>
            </w:tcBorders>
          </w:tcPr>
          <w:p w14:paraId="7451A352">
            <w:pPr>
              <w:widowControl w:val="0"/>
              <w:spacing w:before="0" w:after="0"/>
              <w:jc w:val="center"/>
              <w:rPr>
                <w:rFonts w:ascii="宋体" w:hAnsi="宋体"/>
                <w:sz w:val="28"/>
                <w:szCs w:val="28"/>
              </w:rPr>
            </w:pPr>
            <w:r>
              <w:rPr>
                <w:rFonts w:ascii="宋体" w:hAnsi="宋体"/>
                <w:sz w:val="28"/>
                <w:szCs w:val="28"/>
              </w:rPr>
              <w:t>15</w:t>
            </w:r>
          </w:p>
        </w:tc>
        <w:tc>
          <w:tcPr>
            <w:tcW w:w="3644" w:type="dxa"/>
            <w:tcBorders>
              <w:top w:val="single" w:color="000000" w:sz="4" w:space="0"/>
              <w:bottom w:val="single" w:color="000000" w:sz="4" w:space="0"/>
              <w:right w:val="single" w:color="000000" w:sz="4" w:space="0"/>
            </w:tcBorders>
          </w:tcPr>
          <w:p w14:paraId="78F4C90F">
            <w:pPr>
              <w:widowControl w:val="0"/>
              <w:spacing w:before="0" w:after="0"/>
              <w:rPr>
                <w:rFonts w:ascii="宋体" w:hAnsi="宋体"/>
                <w:sz w:val="28"/>
                <w:szCs w:val="28"/>
              </w:rPr>
            </w:pPr>
          </w:p>
        </w:tc>
        <w:tc>
          <w:tcPr>
            <w:tcW w:w="2056" w:type="dxa"/>
            <w:tcBorders>
              <w:top w:val="single" w:color="000000" w:sz="4" w:space="0"/>
              <w:bottom w:val="single" w:color="000000" w:sz="4" w:space="0"/>
              <w:right w:val="single" w:color="000000" w:sz="4" w:space="0"/>
            </w:tcBorders>
          </w:tcPr>
          <w:p w14:paraId="0B029F78">
            <w:pPr>
              <w:widowControl w:val="0"/>
              <w:spacing w:before="0" w:after="0"/>
              <w:rPr>
                <w:rFonts w:ascii="宋体" w:hAnsi="宋体"/>
                <w:sz w:val="28"/>
                <w:szCs w:val="28"/>
              </w:rPr>
            </w:pPr>
          </w:p>
        </w:tc>
        <w:tc>
          <w:tcPr>
            <w:tcW w:w="2055" w:type="dxa"/>
            <w:tcBorders>
              <w:top w:val="single" w:color="000000" w:sz="4" w:space="0"/>
              <w:bottom w:val="single" w:color="000000" w:sz="4" w:space="0"/>
              <w:right w:val="single" w:color="000000" w:sz="4" w:space="0"/>
            </w:tcBorders>
          </w:tcPr>
          <w:p w14:paraId="5D8DF349">
            <w:pPr>
              <w:widowControl w:val="0"/>
              <w:spacing w:before="0" w:after="0"/>
              <w:rPr>
                <w:rFonts w:ascii="宋体" w:hAnsi="宋体"/>
                <w:sz w:val="28"/>
                <w:szCs w:val="28"/>
              </w:rPr>
            </w:pPr>
          </w:p>
        </w:tc>
        <w:tc>
          <w:tcPr>
            <w:tcW w:w="1080" w:type="dxa"/>
            <w:tcBorders>
              <w:top w:val="single" w:color="000000" w:sz="4" w:space="0"/>
              <w:bottom w:val="single" w:color="000000" w:sz="4" w:space="0"/>
              <w:right w:val="single" w:color="000000" w:sz="4" w:space="0"/>
            </w:tcBorders>
          </w:tcPr>
          <w:p w14:paraId="45E0BB90">
            <w:pPr>
              <w:widowControl w:val="0"/>
              <w:spacing w:before="0" w:after="0"/>
              <w:rPr>
                <w:rFonts w:ascii="宋体" w:hAnsi="宋体"/>
                <w:sz w:val="28"/>
                <w:szCs w:val="28"/>
              </w:rPr>
            </w:pPr>
          </w:p>
        </w:tc>
      </w:tr>
    </w:tbl>
    <w:p w14:paraId="0E8A0B89">
      <w:pPr>
        <w:keepNext w:val="0"/>
        <w:keepLines w:val="0"/>
        <w:pageBreakBefore w:val="0"/>
        <w:widowControl w:val="0"/>
        <w:kinsoku/>
        <w:wordWrap/>
        <w:overflowPunct/>
        <w:topLinePunct w:val="0"/>
        <w:autoSpaceDE/>
        <w:autoSpaceDN/>
        <w:bidi w:val="0"/>
        <w:adjustRightInd/>
        <w:snapToGrid w:val="0"/>
        <w:spacing w:before="50" w:beforeLines="50" w:line="360" w:lineRule="auto"/>
        <w:ind w:left="1123" w:hanging="1123"/>
        <w:textAlignment w:val="auto"/>
        <w:rPr>
          <w:rFonts w:ascii="宋体" w:hAnsi="宋体"/>
          <w:sz w:val="28"/>
          <w:szCs w:val="28"/>
          <w:u w:val="single"/>
        </w:rPr>
      </w:pPr>
      <w:r>
        <w:rPr>
          <w:rFonts w:ascii="宋体" w:hAnsi="宋体"/>
          <w:sz w:val="28"/>
          <w:szCs w:val="28"/>
        </w:rPr>
        <w:t>说明：1.在拒绝投标期内，拒绝上述单位参与</w:t>
      </w:r>
      <w:r>
        <w:rPr>
          <w:rFonts w:hint="eastAsia" w:ascii="宋体" w:hAnsi="宋体"/>
          <w:sz w:val="28"/>
          <w:szCs w:val="28"/>
          <w:u w:val="single"/>
          <w:lang w:eastAsia="zh-CN"/>
        </w:rPr>
        <w:t>茂名市电白区蓝湾海洋产业发展有限公司深水网箱养殖产业园项目（一期）网箱采购2标(第二次）</w:t>
      </w:r>
      <w:r>
        <w:rPr>
          <w:rFonts w:ascii="宋体" w:hAnsi="宋体"/>
          <w:sz w:val="28"/>
          <w:szCs w:val="28"/>
        </w:rPr>
        <w:t>的投标。</w:t>
      </w:r>
    </w:p>
    <w:p w14:paraId="739C9509">
      <w:pPr>
        <w:spacing w:line="360" w:lineRule="auto"/>
        <w:ind w:firstLine="840"/>
        <w:jc w:val="left"/>
        <w:rPr>
          <w:rFonts w:ascii="宋体" w:hAnsi="宋体"/>
          <w:sz w:val="28"/>
          <w:szCs w:val="28"/>
        </w:rPr>
      </w:pPr>
      <w:r>
        <w:rPr>
          <w:rFonts w:ascii="宋体" w:hAnsi="宋体"/>
          <w:sz w:val="28"/>
          <w:szCs w:val="28"/>
        </w:rPr>
        <w:t>2.若上述单位及拒绝期限发生变化的，则以最新书面文件为准。</w:t>
      </w:r>
    </w:p>
    <w:p w14:paraId="60E53E42">
      <w:pPr>
        <w:spacing w:before="0" w:after="0" w:line="360" w:lineRule="auto"/>
        <w:ind w:firstLine="843"/>
        <w:jc w:val="left"/>
        <w:rPr>
          <w:rFonts w:ascii="宋体" w:hAnsi="宋体" w:eastAsia="宋体"/>
          <w:b w:val="0"/>
          <w:bCs w:val="0"/>
          <w:sz w:val="28"/>
          <w:szCs w:val="28"/>
        </w:rPr>
      </w:pPr>
      <w:r>
        <w:rPr>
          <w:rFonts w:ascii="宋体" w:hAnsi="宋体" w:eastAsia="宋体"/>
          <w:b w:val="0"/>
          <w:bCs w:val="0"/>
          <w:sz w:val="28"/>
          <w:szCs w:val="28"/>
        </w:rPr>
        <w:t>3.</w:t>
      </w:r>
      <w:r>
        <w:rPr>
          <w:rFonts w:ascii="宋体" w:hAnsi="宋体"/>
          <w:b w:val="0"/>
          <w:bCs w:val="0"/>
          <w:sz w:val="28"/>
          <w:szCs w:val="28"/>
        </w:rPr>
        <w:t>上述单位名单未含被人民法院列为失信被执行人企业。</w:t>
      </w:r>
    </w:p>
    <w:p w14:paraId="358AF05B">
      <w:pPr>
        <w:rPr>
          <w:sz w:val="28"/>
          <w:szCs w:val="28"/>
        </w:rPr>
      </w:pPr>
    </w:p>
    <w:p w14:paraId="4B6E2E77">
      <w:pPr>
        <w:pStyle w:val="15"/>
        <w:rPr>
          <w:sz w:val="28"/>
          <w:szCs w:val="28"/>
        </w:rPr>
      </w:pPr>
    </w:p>
    <w:p w14:paraId="44FB92C6">
      <w:pPr>
        <w:rPr>
          <w:rFonts w:ascii="宋体" w:hAnsi="宋体"/>
          <w:sz w:val="28"/>
          <w:szCs w:val="28"/>
        </w:rPr>
        <w:sectPr>
          <w:footerReference r:id="rId10" w:type="default"/>
          <w:pgSz w:w="11906" w:h="16838"/>
          <w:pgMar w:top="1020" w:right="992" w:bottom="992" w:left="1020" w:header="680" w:footer="850" w:gutter="0"/>
          <w:pgNumType w:fmt="decimal"/>
          <w:cols w:space="720" w:num="1"/>
          <w:formProt w:val="0"/>
          <w:docGrid w:linePitch="100" w:charSpace="0"/>
        </w:sectPr>
      </w:pPr>
    </w:p>
    <w:p w14:paraId="4A5DFED6">
      <w:pPr>
        <w:rPr>
          <w:rFonts w:ascii="宋体" w:hAnsi="宋体"/>
          <w:b/>
          <w:i/>
          <w:color w:val="auto"/>
          <w:spacing w:val="40"/>
          <w:sz w:val="84"/>
          <w:szCs w:val="84"/>
          <w:highlight w:val="none"/>
        </w:rPr>
      </w:pPr>
    </w:p>
    <w:p w14:paraId="72417518">
      <w:pPr>
        <w:rPr>
          <w:rFonts w:ascii="宋体" w:hAnsi="宋体"/>
          <w:b/>
          <w:i/>
          <w:color w:val="auto"/>
          <w:spacing w:val="40"/>
          <w:sz w:val="84"/>
          <w:szCs w:val="84"/>
          <w:highlight w:val="none"/>
        </w:rPr>
      </w:pPr>
    </w:p>
    <w:p w14:paraId="6F9AE2DF">
      <w:pPr>
        <w:outlineLvl w:val="9"/>
        <w:rPr>
          <w:rFonts w:ascii="宋体" w:hAnsi="宋体"/>
          <w:b/>
          <w:i/>
          <w:color w:val="auto"/>
          <w:spacing w:val="40"/>
          <w:sz w:val="84"/>
          <w:szCs w:val="84"/>
          <w:highlight w:val="none"/>
        </w:rPr>
      </w:pPr>
    </w:p>
    <w:p w14:paraId="2417DDC5">
      <w:pPr>
        <w:jc w:val="center"/>
        <w:outlineLvl w:val="9"/>
        <w:rPr>
          <w:rFonts w:ascii="宋体" w:hAnsi="宋体"/>
          <w:b/>
          <w:color w:val="auto"/>
          <w:spacing w:val="40"/>
          <w:sz w:val="84"/>
          <w:szCs w:val="84"/>
          <w:highlight w:val="none"/>
        </w:rPr>
      </w:pPr>
      <w:bookmarkStart w:id="38" w:name="_Toc1851"/>
      <w:bookmarkStart w:id="39" w:name="_Toc20768"/>
      <w:bookmarkStart w:id="40" w:name="_Toc487715603"/>
      <w:bookmarkStart w:id="41" w:name="_Toc527038768"/>
      <w:bookmarkStart w:id="42" w:name="_Toc9271"/>
      <w:bookmarkStart w:id="43" w:name="_Toc448"/>
      <w:bookmarkStart w:id="44" w:name="_Toc24535"/>
      <w:bookmarkStart w:id="45" w:name="_Toc22312"/>
      <w:bookmarkStart w:id="46" w:name="_Toc27855"/>
      <w:bookmarkStart w:id="47" w:name="_Toc23555"/>
      <w:bookmarkStart w:id="48" w:name="_Toc28344"/>
      <w:bookmarkStart w:id="49" w:name="_Toc24213"/>
      <w:bookmarkStart w:id="50" w:name="_Toc4597"/>
    </w:p>
    <w:p w14:paraId="3B371D29">
      <w:pPr>
        <w:pStyle w:val="28"/>
        <w:outlineLvl w:val="0"/>
        <w:rPr>
          <w:rFonts w:hint="eastAsia" w:eastAsia="楷体" w:cs="Calibri"/>
          <w:sz w:val="84"/>
          <w:highlight w:val="none"/>
        </w:rPr>
      </w:pPr>
      <w:bookmarkStart w:id="51" w:name="_Toc19476"/>
      <w:r>
        <w:rPr>
          <w:rFonts w:hint="eastAsia" w:eastAsia="楷体" w:cs="Calibri"/>
          <w:sz w:val="84"/>
          <w:highlight w:val="none"/>
        </w:rPr>
        <w:t>第二章</w:t>
      </w:r>
      <w:bookmarkEnd w:id="38"/>
      <w:bookmarkEnd w:id="39"/>
      <w:bookmarkEnd w:id="40"/>
      <w:bookmarkEnd w:id="41"/>
      <w:bookmarkEnd w:id="42"/>
      <w:bookmarkEnd w:id="43"/>
      <w:bookmarkEnd w:id="44"/>
      <w:bookmarkEnd w:id="45"/>
      <w:bookmarkEnd w:id="46"/>
      <w:bookmarkEnd w:id="47"/>
      <w:bookmarkEnd w:id="48"/>
      <w:bookmarkEnd w:id="49"/>
      <w:bookmarkEnd w:id="50"/>
      <w:bookmarkStart w:id="52" w:name="_Toc15590"/>
      <w:bookmarkStart w:id="53" w:name="_Toc17046"/>
      <w:bookmarkStart w:id="54" w:name="_Toc16825"/>
      <w:bookmarkStart w:id="55" w:name="_Toc22849"/>
      <w:bookmarkStart w:id="56" w:name="_Toc30473"/>
      <w:bookmarkStart w:id="57" w:name="_Toc527038769"/>
      <w:bookmarkStart w:id="58" w:name="_Toc17310"/>
      <w:bookmarkStart w:id="59" w:name="_Toc21261"/>
      <w:bookmarkStart w:id="60" w:name="_Toc14854"/>
      <w:bookmarkStart w:id="61" w:name="_Toc20993"/>
      <w:bookmarkStart w:id="62" w:name="_Toc18271"/>
      <w:bookmarkStart w:id="63" w:name="_Toc487715604"/>
      <w:r>
        <w:rPr>
          <w:rFonts w:hint="eastAsia" w:eastAsia="楷体" w:cs="Calibri"/>
          <w:sz w:val="84"/>
          <w:highlight w:val="none"/>
          <w:lang w:val="en-US" w:eastAsia="zh-CN"/>
        </w:rPr>
        <w:t xml:space="preserve"> </w:t>
      </w:r>
      <w:r>
        <w:rPr>
          <w:rFonts w:hint="eastAsia" w:eastAsia="楷体" w:cs="Calibri"/>
          <w:sz w:val="84"/>
          <w:highlight w:val="none"/>
        </w:rPr>
        <w:t>投标人须知</w:t>
      </w:r>
      <w:bookmarkEnd w:id="51"/>
      <w:bookmarkEnd w:id="52"/>
      <w:bookmarkEnd w:id="53"/>
      <w:bookmarkEnd w:id="54"/>
      <w:bookmarkEnd w:id="55"/>
      <w:bookmarkEnd w:id="56"/>
      <w:bookmarkEnd w:id="57"/>
      <w:bookmarkEnd w:id="58"/>
      <w:bookmarkEnd w:id="59"/>
      <w:bookmarkEnd w:id="60"/>
      <w:bookmarkEnd w:id="61"/>
      <w:bookmarkEnd w:id="62"/>
      <w:bookmarkEnd w:id="63"/>
    </w:p>
    <w:p w14:paraId="1F1F6CFF">
      <w:pPr>
        <w:jc w:val="center"/>
        <w:rPr>
          <w:rFonts w:ascii="宋体" w:hAnsi="宋体"/>
          <w:b/>
          <w:color w:val="auto"/>
          <w:spacing w:val="10"/>
          <w:sz w:val="72"/>
          <w:highlight w:val="none"/>
        </w:rPr>
      </w:pPr>
    </w:p>
    <w:p w14:paraId="1B861F5A">
      <w:pPr>
        <w:jc w:val="center"/>
        <w:rPr>
          <w:rFonts w:ascii="宋体" w:hAnsi="宋体"/>
          <w:b/>
          <w:color w:val="auto"/>
          <w:spacing w:val="6"/>
          <w:sz w:val="44"/>
          <w:highlight w:val="none"/>
        </w:rPr>
      </w:pPr>
    </w:p>
    <w:p w14:paraId="4827B71C">
      <w:pPr>
        <w:jc w:val="center"/>
        <w:rPr>
          <w:rFonts w:ascii="宋体" w:hAnsi="宋体"/>
          <w:b/>
          <w:color w:val="auto"/>
          <w:spacing w:val="6"/>
          <w:sz w:val="44"/>
          <w:highlight w:val="none"/>
        </w:rPr>
      </w:pPr>
    </w:p>
    <w:p w14:paraId="54F6CCA3">
      <w:pPr>
        <w:rPr>
          <w:rFonts w:ascii="宋体" w:hAnsi="宋体"/>
          <w:sz w:val="28"/>
          <w:szCs w:val="28"/>
        </w:rPr>
        <w:sectPr>
          <w:pgSz w:w="11906" w:h="16838"/>
          <w:pgMar w:top="1020" w:right="992" w:bottom="992" w:left="1020" w:header="680" w:footer="850" w:gutter="0"/>
          <w:pgNumType w:fmt="decimal"/>
          <w:cols w:space="720" w:num="1"/>
          <w:formProt w:val="0"/>
          <w:docGrid w:linePitch="100" w:charSpace="0"/>
        </w:sectPr>
      </w:pPr>
    </w:p>
    <w:p w14:paraId="122EB647">
      <w:pPr>
        <w:numPr>
          <w:ilvl w:val="0"/>
          <w:numId w:val="0"/>
        </w:numPr>
        <w:spacing w:line="360" w:lineRule="auto"/>
        <w:jc w:val="center"/>
        <w:outlineLvl w:val="1"/>
        <w:rPr>
          <w:rFonts w:hint="eastAsia" w:ascii="黑体" w:hAnsi="黑体" w:eastAsia="黑体" w:cs="黑体"/>
          <w:b/>
          <w:kern w:val="0"/>
          <w:sz w:val="30"/>
          <w:szCs w:val="30"/>
        </w:rPr>
      </w:pPr>
      <w:bookmarkStart w:id="64" w:name="_Toc443308429"/>
      <w:bookmarkStart w:id="65" w:name="_Toc435621034"/>
      <w:bookmarkStart w:id="66" w:name="_Toc413353056"/>
      <w:bookmarkStart w:id="67" w:name="_Toc435690007"/>
      <w:bookmarkStart w:id="68" w:name="_Toc443311068"/>
      <w:bookmarkStart w:id="69" w:name="_Toc297014934"/>
      <w:r>
        <w:rPr>
          <w:rFonts w:hint="eastAsia" w:ascii="黑体" w:hAnsi="黑体" w:eastAsia="黑体" w:cs="黑体"/>
          <w:b/>
          <w:kern w:val="0"/>
          <w:sz w:val="28"/>
          <w:szCs w:val="28"/>
        </w:rPr>
        <w:t>第一节 投标人须知前附表</w:t>
      </w:r>
      <w:bookmarkEnd w:id="64"/>
      <w:bookmarkEnd w:id="65"/>
      <w:bookmarkEnd w:id="66"/>
      <w:bookmarkEnd w:id="67"/>
      <w:bookmarkEnd w:id="68"/>
      <w:bookmarkEnd w:id="69"/>
    </w:p>
    <w:tbl>
      <w:tblPr>
        <w:tblStyle w:val="29"/>
        <w:tblW w:w="10030" w:type="dxa"/>
        <w:jc w:val="center"/>
        <w:tblLayout w:type="fixed"/>
        <w:tblCellMar>
          <w:top w:w="0" w:type="dxa"/>
          <w:left w:w="108" w:type="dxa"/>
          <w:bottom w:w="0" w:type="dxa"/>
          <w:right w:w="108" w:type="dxa"/>
        </w:tblCellMar>
      </w:tblPr>
      <w:tblGrid>
        <w:gridCol w:w="954"/>
        <w:gridCol w:w="2026"/>
        <w:gridCol w:w="21"/>
        <w:gridCol w:w="7029"/>
      </w:tblGrid>
      <w:tr w14:paraId="3021B845">
        <w:tblPrEx>
          <w:tblCellMar>
            <w:top w:w="0" w:type="dxa"/>
            <w:left w:w="108" w:type="dxa"/>
            <w:bottom w:w="0" w:type="dxa"/>
            <w:right w:w="108" w:type="dxa"/>
          </w:tblCellMar>
        </w:tblPrEx>
        <w:trPr>
          <w:trHeight w:val="537" w:hRule="atLeast"/>
          <w:jc w:val="center"/>
        </w:trPr>
        <w:tc>
          <w:tcPr>
            <w:tcW w:w="954" w:type="dxa"/>
            <w:tcBorders>
              <w:top w:val="single" w:color="000000" w:sz="4" w:space="0"/>
              <w:left w:val="single" w:color="000000" w:sz="4" w:space="0"/>
              <w:bottom w:val="single" w:color="000000" w:sz="4" w:space="0"/>
              <w:right w:val="single" w:color="000000" w:sz="4" w:space="0"/>
            </w:tcBorders>
            <w:vAlign w:val="center"/>
          </w:tcPr>
          <w:p w14:paraId="1AAAEEEF">
            <w:pPr>
              <w:keepNext w:val="0"/>
              <w:keepLines w:val="0"/>
              <w:widowControl w:val="0"/>
              <w:tabs>
                <w:tab w:val="left" w:pos="540"/>
              </w:tabs>
              <w:overflowPunct w:val="0"/>
              <w:bidi w:val="0"/>
              <w:snapToGrid/>
              <w:spacing w:before="0" w:after="0" w:line="240" w:lineRule="auto"/>
              <w:jc w:val="center"/>
              <w:textAlignment w:val="auto"/>
              <w:rPr>
                <w:rFonts w:ascii="宋体" w:hAnsi="宋体" w:cs="宋体"/>
                <w:b w:val="0"/>
                <w:bCs/>
                <w:spacing w:val="10"/>
                <w:sz w:val="24"/>
                <w:szCs w:val="24"/>
              </w:rPr>
            </w:pPr>
            <w:r>
              <w:rPr>
                <w:rFonts w:ascii="宋体" w:hAnsi="宋体" w:cs="宋体"/>
                <w:b w:val="0"/>
                <w:bCs/>
                <w:spacing w:val="10"/>
                <w:sz w:val="24"/>
                <w:szCs w:val="24"/>
              </w:rPr>
              <w:t>条款</w:t>
            </w:r>
          </w:p>
        </w:tc>
        <w:tc>
          <w:tcPr>
            <w:tcW w:w="2026" w:type="dxa"/>
            <w:tcBorders>
              <w:top w:val="single" w:color="000000" w:sz="4" w:space="0"/>
              <w:left w:val="single" w:color="000000" w:sz="4" w:space="0"/>
              <w:bottom w:val="single" w:color="000000" w:sz="4" w:space="0"/>
              <w:right w:val="single" w:color="000000" w:sz="4" w:space="0"/>
            </w:tcBorders>
            <w:vAlign w:val="center"/>
          </w:tcPr>
          <w:p w14:paraId="42F639F2">
            <w:pPr>
              <w:keepNext w:val="0"/>
              <w:keepLines w:val="0"/>
              <w:widowControl w:val="0"/>
              <w:tabs>
                <w:tab w:val="left" w:pos="540"/>
              </w:tabs>
              <w:overflowPunct w:val="0"/>
              <w:bidi w:val="0"/>
              <w:snapToGrid/>
              <w:spacing w:before="0" w:after="0" w:line="240" w:lineRule="auto"/>
              <w:jc w:val="center"/>
              <w:textAlignment w:val="auto"/>
              <w:rPr>
                <w:rFonts w:ascii="宋体" w:hAnsi="宋体" w:cs="宋体"/>
                <w:b w:val="0"/>
                <w:bCs/>
                <w:spacing w:val="10"/>
                <w:sz w:val="24"/>
                <w:szCs w:val="24"/>
              </w:rPr>
            </w:pPr>
            <w:r>
              <w:rPr>
                <w:rFonts w:ascii="宋体" w:hAnsi="宋体" w:cs="宋体"/>
                <w:b w:val="0"/>
                <w:bCs/>
                <w:spacing w:val="10"/>
                <w:sz w:val="24"/>
                <w:szCs w:val="24"/>
              </w:rPr>
              <w:t>条款名称</w:t>
            </w:r>
          </w:p>
        </w:tc>
        <w:tc>
          <w:tcPr>
            <w:tcW w:w="7050" w:type="dxa"/>
            <w:gridSpan w:val="2"/>
            <w:tcBorders>
              <w:top w:val="single" w:color="000000" w:sz="4" w:space="0"/>
              <w:left w:val="single" w:color="000000" w:sz="4" w:space="0"/>
              <w:bottom w:val="single" w:color="000000" w:sz="4" w:space="0"/>
              <w:right w:val="single" w:color="000000" w:sz="4" w:space="0"/>
            </w:tcBorders>
            <w:vAlign w:val="center"/>
          </w:tcPr>
          <w:p w14:paraId="18D348BE">
            <w:pPr>
              <w:keepNext w:val="0"/>
              <w:keepLines w:val="0"/>
              <w:widowControl w:val="0"/>
              <w:tabs>
                <w:tab w:val="left" w:pos="540"/>
              </w:tabs>
              <w:overflowPunct w:val="0"/>
              <w:bidi w:val="0"/>
              <w:snapToGrid/>
              <w:spacing w:before="0" w:after="0" w:line="240" w:lineRule="auto"/>
              <w:jc w:val="center"/>
              <w:textAlignment w:val="auto"/>
              <w:rPr>
                <w:rFonts w:ascii="宋体" w:hAnsi="宋体" w:cs="宋体"/>
                <w:b w:val="0"/>
                <w:bCs/>
                <w:spacing w:val="10"/>
                <w:sz w:val="24"/>
                <w:szCs w:val="24"/>
              </w:rPr>
            </w:pPr>
            <w:r>
              <w:rPr>
                <w:rFonts w:ascii="宋体" w:hAnsi="宋体" w:cs="宋体"/>
                <w:b w:val="0"/>
                <w:bCs/>
                <w:spacing w:val="10"/>
                <w:sz w:val="24"/>
                <w:szCs w:val="24"/>
              </w:rPr>
              <w:t>编列内容</w:t>
            </w:r>
          </w:p>
        </w:tc>
      </w:tr>
      <w:tr w14:paraId="3F20E96B">
        <w:tblPrEx>
          <w:tblCellMar>
            <w:top w:w="0" w:type="dxa"/>
            <w:left w:w="108" w:type="dxa"/>
            <w:bottom w:w="0" w:type="dxa"/>
            <w:right w:w="108" w:type="dxa"/>
          </w:tblCellMar>
        </w:tblPrEx>
        <w:trPr>
          <w:trHeight w:val="1351" w:hRule="atLeast"/>
          <w:jc w:val="center"/>
        </w:trPr>
        <w:tc>
          <w:tcPr>
            <w:tcW w:w="954" w:type="dxa"/>
            <w:tcBorders>
              <w:top w:val="single" w:color="000000" w:sz="4" w:space="0"/>
              <w:left w:val="single" w:color="000000" w:sz="4" w:space="0"/>
              <w:bottom w:val="single" w:color="000000" w:sz="4" w:space="0"/>
              <w:right w:val="single" w:color="000000" w:sz="4" w:space="0"/>
            </w:tcBorders>
            <w:vAlign w:val="center"/>
          </w:tcPr>
          <w:p w14:paraId="259131F7">
            <w:pPr>
              <w:widowControl w:val="0"/>
              <w:tabs>
                <w:tab w:val="left" w:pos="540"/>
              </w:tabs>
              <w:spacing w:before="0" w:after="0" w:line="360" w:lineRule="auto"/>
              <w:jc w:val="center"/>
              <w:rPr>
                <w:rFonts w:ascii="宋体" w:hAnsi="宋体" w:cs="宋体"/>
                <w:b w:val="0"/>
                <w:bCs/>
                <w:spacing w:val="10"/>
                <w:sz w:val="24"/>
                <w:szCs w:val="24"/>
              </w:rPr>
            </w:pPr>
            <w:r>
              <w:rPr>
                <w:rFonts w:ascii="宋体" w:hAnsi="宋体" w:cs="宋体"/>
                <w:b w:val="0"/>
                <w:bCs/>
                <w:spacing w:val="10"/>
                <w:sz w:val="24"/>
                <w:szCs w:val="24"/>
              </w:rPr>
              <w:t>1.1.2</w:t>
            </w:r>
          </w:p>
        </w:tc>
        <w:tc>
          <w:tcPr>
            <w:tcW w:w="2026" w:type="dxa"/>
            <w:tcBorders>
              <w:top w:val="single" w:color="000000" w:sz="4" w:space="0"/>
              <w:left w:val="single" w:color="000000" w:sz="4" w:space="0"/>
              <w:bottom w:val="single" w:color="000000" w:sz="4" w:space="0"/>
              <w:right w:val="single" w:color="000000" w:sz="4" w:space="0"/>
            </w:tcBorders>
            <w:vAlign w:val="center"/>
          </w:tcPr>
          <w:p w14:paraId="6426545C">
            <w:pPr>
              <w:widowControl w:val="0"/>
              <w:tabs>
                <w:tab w:val="left" w:pos="540"/>
              </w:tabs>
              <w:spacing w:before="0" w:after="0" w:line="360" w:lineRule="auto"/>
              <w:jc w:val="center"/>
              <w:rPr>
                <w:rFonts w:ascii="宋体" w:hAnsi="宋体" w:cs="宋体"/>
                <w:b w:val="0"/>
                <w:bCs/>
                <w:spacing w:val="10"/>
                <w:sz w:val="24"/>
                <w:szCs w:val="24"/>
              </w:rPr>
            </w:pPr>
            <w:r>
              <w:rPr>
                <w:rFonts w:ascii="宋体" w:hAnsi="宋体" w:cs="宋体"/>
                <w:b w:val="0"/>
                <w:bCs/>
                <w:spacing w:val="10"/>
                <w:sz w:val="24"/>
                <w:szCs w:val="24"/>
              </w:rPr>
              <w:t>招标人</w:t>
            </w:r>
          </w:p>
        </w:tc>
        <w:tc>
          <w:tcPr>
            <w:tcW w:w="7050" w:type="dxa"/>
            <w:gridSpan w:val="2"/>
            <w:tcBorders>
              <w:top w:val="single" w:color="000000" w:sz="4" w:space="0"/>
              <w:left w:val="single" w:color="000000" w:sz="4" w:space="0"/>
              <w:bottom w:val="single" w:color="000000" w:sz="4" w:space="0"/>
              <w:right w:val="single" w:color="000000" w:sz="4" w:space="0"/>
            </w:tcBorders>
            <w:vAlign w:val="center"/>
          </w:tcPr>
          <w:p w14:paraId="56143ACD">
            <w:pPr>
              <w:widowControl w:val="0"/>
              <w:tabs>
                <w:tab w:val="left" w:pos="540"/>
              </w:tabs>
              <w:spacing w:before="0" w:after="0" w:line="400" w:lineRule="exact"/>
              <w:rPr>
                <w:rFonts w:hint="eastAsia" w:ascii="宋体" w:hAnsi="宋体" w:eastAsia="宋体" w:cs="宋体"/>
                <w:b w:val="0"/>
                <w:bCs/>
                <w:kern w:val="0"/>
                <w:sz w:val="24"/>
                <w:szCs w:val="24"/>
                <w:lang w:eastAsia="zh-CN"/>
              </w:rPr>
            </w:pPr>
            <w:r>
              <w:rPr>
                <w:rFonts w:ascii="宋体" w:hAnsi="宋体" w:cs="宋体"/>
                <w:b w:val="0"/>
                <w:bCs/>
                <w:kern w:val="0"/>
                <w:sz w:val="24"/>
                <w:szCs w:val="24"/>
              </w:rPr>
              <w:t>招标人：</w:t>
            </w:r>
            <w:r>
              <w:rPr>
                <w:rFonts w:hint="eastAsia" w:ascii="宋体" w:hAnsi="宋体" w:cs="宋体"/>
                <w:b w:val="0"/>
                <w:bCs/>
                <w:kern w:val="0"/>
                <w:sz w:val="24"/>
                <w:szCs w:val="24"/>
                <w:lang w:eastAsia="zh-CN"/>
              </w:rPr>
              <w:t>茂名市电白区蓝湾海洋产业发展有限公司</w:t>
            </w:r>
          </w:p>
          <w:p w14:paraId="77DC0173">
            <w:pPr>
              <w:widowControl w:val="0"/>
              <w:tabs>
                <w:tab w:val="left" w:pos="540"/>
              </w:tabs>
              <w:spacing w:before="0" w:after="0" w:line="400" w:lineRule="exact"/>
              <w:rPr>
                <w:rFonts w:ascii="宋体" w:hAnsi="宋体" w:cs="宋体"/>
                <w:b w:val="0"/>
                <w:bCs/>
                <w:kern w:val="0"/>
                <w:sz w:val="24"/>
                <w:szCs w:val="24"/>
              </w:rPr>
            </w:pPr>
            <w:r>
              <w:rPr>
                <w:rFonts w:ascii="宋体" w:hAnsi="宋体" w:cs="宋体"/>
                <w:b w:val="0"/>
                <w:bCs/>
                <w:kern w:val="0"/>
                <w:sz w:val="24"/>
                <w:szCs w:val="24"/>
              </w:rPr>
              <w:t>地址：</w:t>
            </w:r>
            <w:r>
              <w:rPr>
                <w:rFonts w:hint="eastAsia" w:ascii="宋体" w:hAnsi="宋体" w:cs="宋体"/>
                <w:b w:val="0"/>
                <w:bCs/>
                <w:sz w:val="24"/>
                <w:szCs w:val="24"/>
              </w:rPr>
              <w:t>茂名市电白区电海街道迎宾大道288号2幢3楼</w:t>
            </w:r>
          </w:p>
          <w:p w14:paraId="1656D6AA">
            <w:pPr>
              <w:widowControl w:val="0"/>
              <w:tabs>
                <w:tab w:val="left" w:pos="540"/>
              </w:tabs>
              <w:spacing w:before="0" w:after="0" w:line="400" w:lineRule="exact"/>
              <w:rPr>
                <w:rFonts w:hint="eastAsia" w:ascii="宋体" w:hAnsi="宋体" w:eastAsia="宋体" w:cs="宋体"/>
                <w:b w:val="0"/>
                <w:bCs/>
                <w:kern w:val="0"/>
                <w:sz w:val="24"/>
                <w:szCs w:val="24"/>
                <w:lang w:eastAsia="zh-CN"/>
              </w:rPr>
            </w:pPr>
            <w:r>
              <w:rPr>
                <w:rFonts w:ascii="宋体" w:hAnsi="宋体" w:cs="宋体"/>
                <w:b w:val="0"/>
                <w:bCs/>
                <w:kern w:val="0"/>
                <w:sz w:val="24"/>
                <w:szCs w:val="24"/>
              </w:rPr>
              <w:t>联系人：</w:t>
            </w:r>
            <w:r>
              <w:rPr>
                <w:rFonts w:hint="eastAsia" w:ascii="宋体" w:hAnsi="宋体" w:cs="宋体"/>
                <w:b w:val="0"/>
                <w:bCs/>
                <w:kern w:val="0"/>
                <w:sz w:val="24"/>
                <w:szCs w:val="24"/>
                <w:lang w:val="en-US" w:eastAsia="zh-CN"/>
              </w:rPr>
              <w:t>张</w:t>
            </w:r>
            <w:r>
              <w:rPr>
                <w:rFonts w:ascii="宋体" w:hAnsi="宋体" w:cs="宋体"/>
                <w:b w:val="0"/>
                <w:bCs/>
                <w:kern w:val="0"/>
                <w:sz w:val="24"/>
                <w:szCs w:val="24"/>
              </w:rPr>
              <w:t>先生      联系</w:t>
            </w:r>
            <w:r>
              <w:rPr>
                <w:rFonts w:ascii="宋体" w:hAnsi="宋体" w:cs="宋体"/>
                <w:b w:val="0"/>
                <w:bCs/>
                <w:color w:val="auto"/>
                <w:kern w:val="0"/>
                <w:sz w:val="24"/>
                <w:szCs w:val="24"/>
              </w:rPr>
              <w:t>电话：</w:t>
            </w:r>
            <w:r>
              <w:rPr>
                <w:rFonts w:hint="eastAsia" w:ascii="宋体" w:hAnsi="宋体" w:cs="宋体"/>
                <w:b w:val="0"/>
                <w:bCs/>
                <w:color w:val="auto"/>
                <w:kern w:val="0"/>
                <w:sz w:val="24"/>
                <w:szCs w:val="24"/>
              </w:rPr>
              <w:t>0668-5118180</w:t>
            </w:r>
            <w:bookmarkStart w:id="147" w:name="_GoBack"/>
            <w:bookmarkEnd w:id="147"/>
          </w:p>
        </w:tc>
      </w:tr>
      <w:tr w14:paraId="401D5D33">
        <w:tblPrEx>
          <w:tblCellMar>
            <w:top w:w="0" w:type="dxa"/>
            <w:left w:w="108" w:type="dxa"/>
            <w:bottom w:w="0" w:type="dxa"/>
            <w:right w:w="108" w:type="dxa"/>
          </w:tblCellMar>
        </w:tblPrEx>
        <w:trPr>
          <w:trHeight w:val="1300" w:hRule="atLeast"/>
          <w:jc w:val="center"/>
        </w:trPr>
        <w:tc>
          <w:tcPr>
            <w:tcW w:w="954" w:type="dxa"/>
            <w:tcBorders>
              <w:top w:val="single" w:color="000000" w:sz="4" w:space="0"/>
              <w:left w:val="single" w:color="000000" w:sz="4" w:space="0"/>
              <w:bottom w:val="single" w:color="000000" w:sz="4" w:space="0"/>
              <w:right w:val="single" w:color="000000" w:sz="4" w:space="0"/>
            </w:tcBorders>
            <w:vAlign w:val="center"/>
          </w:tcPr>
          <w:p w14:paraId="3237F7F0">
            <w:pPr>
              <w:widowControl w:val="0"/>
              <w:tabs>
                <w:tab w:val="left" w:pos="540"/>
              </w:tabs>
              <w:spacing w:before="0" w:after="0" w:line="360" w:lineRule="auto"/>
              <w:jc w:val="center"/>
              <w:rPr>
                <w:rFonts w:ascii="宋体" w:hAnsi="宋体" w:cs="宋体"/>
                <w:b w:val="0"/>
                <w:bCs/>
                <w:sz w:val="24"/>
                <w:szCs w:val="24"/>
              </w:rPr>
            </w:pPr>
            <w:r>
              <w:rPr>
                <w:rFonts w:ascii="宋体" w:hAnsi="宋体" w:cs="宋体"/>
                <w:b w:val="0"/>
                <w:bCs/>
                <w:sz w:val="24"/>
                <w:szCs w:val="24"/>
              </w:rPr>
              <w:t>1.1.3</w:t>
            </w:r>
          </w:p>
        </w:tc>
        <w:tc>
          <w:tcPr>
            <w:tcW w:w="2026" w:type="dxa"/>
            <w:tcBorders>
              <w:top w:val="single" w:color="000000" w:sz="4" w:space="0"/>
              <w:left w:val="single" w:color="000000" w:sz="4" w:space="0"/>
              <w:bottom w:val="single" w:color="000000" w:sz="4" w:space="0"/>
              <w:right w:val="single" w:color="000000" w:sz="4" w:space="0"/>
            </w:tcBorders>
            <w:vAlign w:val="center"/>
          </w:tcPr>
          <w:p w14:paraId="17E10A9D">
            <w:pPr>
              <w:widowControl w:val="0"/>
              <w:tabs>
                <w:tab w:val="left" w:pos="540"/>
              </w:tabs>
              <w:spacing w:before="0" w:after="0" w:line="360" w:lineRule="auto"/>
              <w:jc w:val="center"/>
              <w:rPr>
                <w:rFonts w:ascii="宋体" w:hAnsi="宋体" w:cs="宋体"/>
                <w:b w:val="0"/>
                <w:bCs/>
                <w:spacing w:val="10"/>
                <w:sz w:val="24"/>
                <w:szCs w:val="24"/>
              </w:rPr>
            </w:pPr>
            <w:r>
              <w:rPr>
                <w:rFonts w:ascii="宋体" w:hAnsi="宋体" w:cs="宋体"/>
                <w:b w:val="0"/>
                <w:bCs/>
                <w:spacing w:val="10"/>
                <w:sz w:val="24"/>
                <w:szCs w:val="24"/>
              </w:rPr>
              <w:t>招标代理机构</w:t>
            </w:r>
          </w:p>
        </w:tc>
        <w:tc>
          <w:tcPr>
            <w:tcW w:w="7050" w:type="dxa"/>
            <w:gridSpan w:val="2"/>
            <w:tcBorders>
              <w:top w:val="single" w:color="000000" w:sz="4" w:space="0"/>
              <w:left w:val="single" w:color="000000" w:sz="4" w:space="0"/>
              <w:bottom w:val="single" w:color="000000" w:sz="4" w:space="0"/>
              <w:right w:val="single" w:color="000000" w:sz="4" w:space="0"/>
            </w:tcBorders>
            <w:vAlign w:val="center"/>
          </w:tcPr>
          <w:p w14:paraId="01B13D0F">
            <w:pPr>
              <w:pStyle w:val="10"/>
              <w:widowControl w:val="0"/>
              <w:tabs>
                <w:tab w:val="left" w:pos="540"/>
              </w:tabs>
              <w:spacing w:before="0" w:after="0" w:line="400" w:lineRule="exact"/>
              <w:rPr>
                <w:rFonts w:ascii="宋体" w:hAnsi="宋体" w:cs="宋体"/>
                <w:b w:val="0"/>
                <w:bCs/>
                <w:spacing w:val="10"/>
                <w:szCs w:val="24"/>
              </w:rPr>
            </w:pPr>
            <w:r>
              <w:rPr>
                <w:rFonts w:ascii="宋体" w:hAnsi="宋体" w:cs="宋体"/>
                <w:b w:val="0"/>
                <w:bCs/>
                <w:spacing w:val="10"/>
                <w:szCs w:val="24"/>
              </w:rPr>
              <w:t>名称：</w:t>
            </w:r>
            <w:r>
              <w:rPr>
                <w:rFonts w:hint="eastAsia" w:ascii="宋体" w:hAnsi="宋体" w:cs="宋体"/>
                <w:b w:val="0"/>
                <w:bCs/>
                <w:spacing w:val="10"/>
                <w:szCs w:val="24"/>
              </w:rPr>
              <w:t>广东省城规建设监理有限公司</w:t>
            </w:r>
          </w:p>
          <w:p w14:paraId="1977153B">
            <w:pPr>
              <w:widowControl w:val="0"/>
              <w:tabs>
                <w:tab w:val="left" w:pos="540"/>
              </w:tabs>
              <w:spacing w:before="0" w:after="0" w:line="400" w:lineRule="exact"/>
              <w:rPr>
                <w:rFonts w:ascii="宋体" w:hAnsi="宋体" w:eastAsia="宋体" w:cs="宋体"/>
                <w:b w:val="0"/>
                <w:bCs/>
                <w:kern w:val="0"/>
                <w:sz w:val="24"/>
                <w:szCs w:val="24"/>
              </w:rPr>
            </w:pPr>
            <w:r>
              <w:rPr>
                <w:rFonts w:ascii="宋体" w:hAnsi="宋体" w:cs="宋体"/>
                <w:b w:val="0"/>
                <w:bCs/>
                <w:spacing w:val="10"/>
                <w:sz w:val="24"/>
                <w:szCs w:val="24"/>
              </w:rPr>
              <w:t>地址</w:t>
            </w:r>
            <w:r>
              <w:rPr>
                <w:rFonts w:ascii="宋体" w:hAnsi="宋体" w:eastAsia="宋体" w:cs="宋体"/>
                <w:b w:val="0"/>
                <w:bCs/>
                <w:kern w:val="0"/>
                <w:sz w:val="24"/>
                <w:szCs w:val="24"/>
              </w:rPr>
              <w:t>：</w:t>
            </w:r>
            <w:r>
              <w:rPr>
                <w:rFonts w:hint="eastAsia" w:ascii="宋体" w:hAnsi="宋体" w:eastAsia="宋体" w:cs="宋体"/>
                <w:b w:val="0"/>
                <w:bCs/>
                <w:kern w:val="0"/>
                <w:sz w:val="24"/>
                <w:szCs w:val="24"/>
              </w:rPr>
              <w:t>广州市白云区启德路77号广州法务大厦北塔六楼全层</w:t>
            </w:r>
          </w:p>
          <w:p w14:paraId="153FA366">
            <w:pPr>
              <w:widowControl w:val="0"/>
              <w:tabs>
                <w:tab w:val="left" w:pos="540"/>
              </w:tabs>
              <w:spacing w:before="0" w:after="0" w:line="400" w:lineRule="exact"/>
              <w:rPr>
                <w:rFonts w:ascii="宋体" w:hAnsi="宋体" w:cs="宋体"/>
                <w:b w:val="0"/>
                <w:bCs/>
                <w:spacing w:val="10"/>
                <w:sz w:val="24"/>
                <w:szCs w:val="24"/>
              </w:rPr>
            </w:pPr>
            <w:r>
              <w:rPr>
                <w:rFonts w:ascii="宋体" w:hAnsi="宋体" w:eastAsia="宋体" w:cs="宋体"/>
                <w:b w:val="0"/>
                <w:bCs/>
                <w:kern w:val="0"/>
                <w:sz w:val="24"/>
                <w:szCs w:val="24"/>
              </w:rPr>
              <w:t>联系人：</w:t>
            </w:r>
            <w:r>
              <w:rPr>
                <w:rFonts w:hint="eastAsia" w:ascii="宋体" w:hAnsi="宋体" w:eastAsia="宋体" w:cs="宋体"/>
                <w:b w:val="0"/>
                <w:bCs/>
                <w:kern w:val="0"/>
                <w:sz w:val="24"/>
                <w:szCs w:val="24"/>
                <w:lang w:eastAsia="zh-CN"/>
              </w:rPr>
              <w:t>梁</w:t>
            </w:r>
            <w:r>
              <w:rPr>
                <w:rFonts w:hint="eastAsia" w:ascii="宋体" w:hAnsi="宋体" w:eastAsia="宋体" w:cs="宋体"/>
                <w:b w:val="0"/>
                <w:bCs/>
                <w:kern w:val="0"/>
                <w:sz w:val="24"/>
                <w:szCs w:val="24"/>
                <w:lang w:val="en-US" w:eastAsia="zh-CN"/>
              </w:rPr>
              <w:t>先生</w:t>
            </w:r>
            <w:r>
              <w:rPr>
                <w:rFonts w:ascii="宋体" w:hAnsi="宋体" w:eastAsia="宋体" w:cs="宋体"/>
                <w:b w:val="0"/>
                <w:bCs/>
                <w:kern w:val="0"/>
                <w:sz w:val="24"/>
                <w:szCs w:val="24"/>
              </w:rPr>
              <w:t xml:space="preserve"> </w:t>
            </w:r>
            <w:r>
              <w:rPr>
                <w:rFonts w:ascii="宋体" w:hAnsi="宋体" w:cs="宋体"/>
                <w:b w:val="0"/>
                <w:bCs/>
                <w:spacing w:val="10"/>
                <w:sz w:val="24"/>
                <w:szCs w:val="24"/>
              </w:rPr>
              <w:t xml:space="preserve">   联系电话：</w:t>
            </w:r>
            <w:r>
              <w:rPr>
                <w:rFonts w:hint="eastAsia" w:ascii="宋体" w:hAnsi="宋体" w:cs="宋体"/>
                <w:b w:val="0"/>
                <w:bCs/>
                <w:spacing w:val="10"/>
                <w:sz w:val="24"/>
                <w:szCs w:val="24"/>
              </w:rPr>
              <w:t>13602427802</w:t>
            </w:r>
          </w:p>
        </w:tc>
      </w:tr>
      <w:tr w14:paraId="3387A637">
        <w:tblPrEx>
          <w:tblCellMar>
            <w:top w:w="0" w:type="dxa"/>
            <w:left w:w="108" w:type="dxa"/>
            <w:bottom w:w="0" w:type="dxa"/>
            <w:right w:w="108" w:type="dxa"/>
          </w:tblCellMar>
        </w:tblPrEx>
        <w:trPr>
          <w:trHeight w:val="895" w:hRule="atLeast"/>
          <w:jc w:val="center"/>
        </w:trPr>
        <w:tc>
          <w:tcPr>
            <w:tcW w:w="954" w:type="dxa"/>
            <w:tcBorders>
              <w:top w:val="single" w:color="000000" w:sz="4" w:space="0"/>
              <w:left w:val="single" w:color="000000" w:sz="4" w:space="0"/>
              <w:bottom w:val="single" w:color="000000" w:sz="4" w:space="0"/>
              <w:right w:val="single" w:color="000000" w:sz="4" w:space="0"/>
            </w:tcBorders>
            <w:vAlign w:val="center"/>
          </w:tcPr>
          <w:p w14:paraId="74EDEE2B">
            <w:pPr>
              <w:widowControl w:val="0"/>
              <w:tabs>
                <w:tab w:val="left" w:pos="540"/>
              </w:tabs>
              <w:spacing w:before="0" w:after="0" w:line="360" w:lineRule="auto"/>
              <w:jc w:val="center"/>
              <w:rPr>
                <w:rFonts w:ascii="宋体" w:hAnsi="宋体" w:cs="宋体"/>
                <w:b w:val="0"/>
                <w:bCs/>
                <w:sz w:val="24"/>
                <w:szCs w:val="24"/>
              </w:rPr>
            </w:pPr>
            <w:r>
              <w:rPr>
                <w:rFonts w:ascii="宋体" w:hAnsi="宋体" w:cs="宋体"/>
                <w:b w:val="0"/>
                <w:bCs/>
                <w:sz w:val="24"/>
                <w:szCs w:val="24"/>
              </w:rPr>
              <w:t>1.1.4</w:t>
            </w:r>
          </w:p>
        </w:tc>
        <w:tc>
          <w:tcPr>
            <w:tcW w:w="2026" w:type="dxa"/>
            <w:tcBorders>
              <w:top w:val="single" w:color="000000" w:sz="4" w:space="0"/>
              <w:left w:val="single" w:color="000000" w:sz="4" w:space="0"/>
              <w:bottom w:val="single" w:color="000000" w:sz="4" w:space="0"/>
              <w:right w:val="single" w:color="000000" w:sz="4" w:space="0"/>
            </w:tcBorders>
            <w:vAlign w:val="center"/>
          </w:tcPr>
          <w:p w14:paraId="15F8C23E">
            <w:pPr>
              <w:widowControl w:val="0"/>
              <w:tabs>
                <w:tab w:val="left" w:pos="540"/>
              </w:tabs>
              <w:spacing w:before="0" w:after="0" w:line="360" w:lineRule="auto"/>
              <w:jc w:val="center"/>
              <w:rPr>
                <w:rFonts w:ascii="宋体" w:hAnsi="宋体" w:cs="宋体"/>
                <w:b w:val="0"/>
                <w:bCs/>
                <w:spacing w:val="10"/>
                <w:sz w:val="24"/>
                <w:szCs w:val="24"/>
              </w:rPr>
            </w:pPr>
            <w:r>
              <w:rPr>
                <w:rFonts w:ascii="宋体" w:hAnsi="宋体" w:cs="宋体"/>
                <w:b w:val="0"/>
                <w:bCs/>
                <w:spacing w:val="10"/>
                <w:sz w:val="24"/>
                <w:szCs w:val="24"/>
              </w:rPr>
              <w:t>项目名称</w:t>
            </w:r>
          </w:p>
        </w:tc>
        <w:tc>
          <w:tcPr>
            <w:tcW w:w="7050" w:type="dxa"/>
            <w:gridSpan w:val="2"/>
            <w:tcBorders>
              <w:top w:val="single" w:color="000000" w:sz="4" w:space="0"/>
              <w:left w:val="single" w:color="000000" w:sz="4" w:space="0"/>
              <w:bottom w:val="single" w:color="000000" w:sz="4" w:space="0"/>
              <w:right w:val="single" w:color="000000" w:sz="4" w:space="0"/>
            </w:tcBorders>
            <w:vAlign w:val="center"/>
          </w:tcPr>
          <w:p w14:paraId="647EEDDF">
            <w:pPr>
              <w:widowControl w:val="0"/>
              <w:tabs>
                <w:tab w:val="left" w:pos="540"/>
              </w:tabs>
              <w:spacing w:before="0" w:after="0" w:line="400" w:lineRule="exact"/>
              <w:rPr>
                <w:rFonts w:hint="eastAsia" w:ascii="宋体" w:hAnsi="宋体" w:eastAsia="宋体" w:cs="宋体"/>
                <w:b w:val="0"/>
                <w:bCs/>
                <w:spacing w:val="10"/>
                <w:sz w:val="24"/>
                <w:szCs w:val="24"/>
                <w:lang w:eastAsia="zh-CN"/>
              </w:rPr>
            </w:pPr>
            <w:r>
              <w:rPr>
                <w:rFonts w:hint="eastAsia" w:ascii="宋体" w:hAnsi="宋体" w:cs="宋体"/>
                <w:b w:val="0"/>
                <w:bCs/>
                <w:sz w:val="24"/>
                <w:szCs w:val="24"/>
                <w:lang w:eastAsia="zh-CN"/>
              </w:rPr>
              <w:t>茂名市电白区蓝湾海洋产业发展有限公司深水网箱养殖产业园项目（一期）网箱采购2标(第二次）</w:t>
            </w:r>
          </w:p>
        </w:tc>
      </w:tr>
      <w:tr w14:paraId="7490A51A">
        <w:tblPrEx>
          <w:tblCellMar>
            <w:top w:w="0" w:type="dxa"/>
            <w:left w:w="108" w:type="dxa"/>
            <w:bottom w:w="0" w:type="dxa"/>
            <w:right w:w="108" w:type="dxa"/>
          </w:tblCellMar>
        </w:tblPrEx>
        <w:trPr>
          <w:trHeight w:val="567" w:hRule="exact"/>
          <w:jc w:val="center"/>
        </w:trPr>
        <w:tc>
          <w:tcPr>
            <w:tcW w:w="954" w:type="dxa"/>
            <w:tcBorders>
              <w:top w:val="single" w:color="000000" w:sz="4" w:space="0"/>
              <w:left w:val="single" w:color="000000" w:sz="4" w:space="0"/>
              <w:bottom w:val="single" w:color="000000" w:sz="4" w:space="0"/>
              <w:right w:val="single" w:color="000000" w:sz="4" w:space="0"/>
            </w:tcBorders>
            <w:vAlign w:val="center"/>
          </w:tcPr>
          <w:p w14:paraId="1AE282AF">
            <w:pPr>
              <w:widowControl w:val="0"/>
              <w:tabs>
                <w:tab w:val="left" w:pos="540"/>
              </w:tabs>
              <w:spacing w:before="0" w:after="0" w:line="360" w:lineRule="auto"/>
              <w:jc w:val="center"/>
              <w:rPr>
                <w:rFonts w:ascii="宋体" w:hAnsi="宋体" w:cs="宋体"/>
                <w:b w:val="0"/>
                <w:bCs/>
                <w:sz w:val="24"/>
                <w:szCs w:val="24"/>
              </w:rPr>
            </w:pPr>
            <w:r>
              <w:rPr>
                <w:rFonts w:ascii="宋体" w:hAnsi="宋体" w:cs="宋体"/>
                <w:b w:val="0"/>
                <w:bCs/>
                <w:sz w:val="24"/>
                <w:szCs w:val="24"/>
              </w:rPr>
              <w:t>1.1.5</w:t>
            </w:r>
          </w:p>
        </w:tc>
        <w:tc>
          <w:tcPr>
            <w:tcW w:w="2026" w:type="dxa"/>
            <w:tcBorders>
              <w:top w:val="single" w:color="000000" w:sz="4" w:space="0"/>
              <w:left w:val="single" w:color="000000" w:sz="4" w:space="0"/>
              <w:bottom w:val="single" w:color="000000" w:sz="4" w:space="0"/>
              <w:right w:val="single" w:color="000000" w:sz="4" w:space="0"/>
            </w:tcBorders>
            <w:vAlign w:val="center"/>
          </w:tcPr>
          <w:p w14:paraId="7FC3DA80">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ascii="宋体" w:hAnsi="宋体" w:cs="宋体"/>
                <w:b w:val="0"/>
                <w:bCs/>
                <w:kern w:val="0"/>
                <w:sz w:val="24"/>
                <w:szCs w:val="24"/>
              </w:rPr>
            </w:pPr>
            <w:r>
              <w:rPr>
                <w:rFonts w:hint="eastAsia" w:ascii="宋体" w:hAnsi="宋体" w:cs="宋体"/>
                <w:b w:val="0"/>
                <w:bCs/>
                <w:kern w:val="0"/>
                <w:sz w:val="24"/>
                <w:szCs w:val="24"/>
              </w:rPr>
              <w:t>交货地点</w:t>
            </w:r>
          </w:p>
        </w:tc>
        <w:tc>
          <w:tcPr>
            <w:tcW w:w="7050" w:type="dxa"/>
            <w:gridSpan w:val="2"/>
            <w:tcBorders>
              <w:top w:val="single" w:color="000000" w:sz="4" w:space="0"/>
              <w:left w:val="single" w:color="000000" w:sz="4" w:space="0"/>
              <w:bottom w:val="single" w:color="000000" w:sz="4" w:space="0"/>
              <w:right w:val="single" w:color="000000" w:sz="4" w:space="0"/>
            </w:tcBorders>
            <w:vAlign w:val="center"/>
          </w:tcPr>
          <w:p w14:paraId="11A4CC01">
            <w:pPr>
              <w:widowControl w:val="0"/>
              <w:spacing w:before="0" w:after="0" w:line="400" w:lineRule="exact"/>
              <w:rPr>
                <w:rFonts w:ascii="宋体" w:hAnsi="宋体" w:cs="宋体"/>
                <w:b w:val="0"/>
                <w:bCs/>
                <w:spacing w:val="10"/>
                <w:sz w:val="24"/>
                <w:szCs w:val="24"/>
              </w:rPr>
            </w:pPr>
            <w:r>
              <w:rPr>
                <w:rFonts w:hint="eastAsia" w:ascii="宋体" w:hAnsi="宋体" w:cs="宋体"/>
                <w:b w:val="0"/>
                <w:bCs/>
                <w:spacing w:val="10"/>
                <w:sz w:val="24"/>
                <w:szCs w:val="24"/>
              </w:rPr>
              <w:t>茂名市电白区晏镜岭东南侧约4.5公里处海域</w:t>
            </w:r>
          </w:p>
        </w:tc>
      </w:tr>
      <w:tr w14:paraId="775D75B1">
        <w:tblPrEx>
          <w:tblCellMar>
            <w:top w:w="0" w:type="dxa"/>
            <w:left w:w="108" w:type="dxa"/>
            <w:bottom w:w="0" w:type="dxa"/>
            <w:right w:w="108" w:type="dxa"/>
          </w:tblCellMar>
        </w:tblPrEx>
        <w:trPr>
          <w:trHeight w:val="1280" w:hRule="exact"/>
          <w:jc w:val="center"/>
        </w:trPr>
        <w:tc>
          <w:tcPr>
            <w:tcW w:w="954" w:type="dxa"/>
            <w:tcBorders>
              <w:top w:val="single" w:color="000000" w:sz="4" w:space="0"/>
              <w:left w:val="single" w:color="000000" w:sz="4" w:space="0"/>
              <w:bottom w:val="single" w:color="000000" w:sz="4" w:space="0"/>
              <w:right w:val="single" w:color="000000" w:sz="4" w:space="0"/>
            </w:tcBorders>
            <w:vAlign w:val="center"/>
          </w:tcPr>
          <w:p w14:paraId="56A43FB1">
            <w:pPr>
              <w:widowControl w:val="0"/>
              <w:tabs>
                <w:tab w:val="left" w:pos="540"/>
              </w:tabs>
              <w:spacing w:before="0" w:after="0" w:line="360" w:lineRule="auto"/>
              <w:jc w:val="center"/>
              <w:rPr>
                <w:rFonts w:ascii="宋体" w:hAnsi="宋体" w:cs="宋体"/>
                <w:b w:val="0"/>
                <w:bCs/>
                <w:sz w:val="24"/>
                <w:szCs w:val="24"/>
              </w:rPr>
            </w:pPr>
            <w:r>
              <w:rPr>
                <w:rFonts w:ascii="宋体" w:hAnsi="宋体" w:cs="宋体"/>
                <w:b w:val="0"/>
                <w:bCs/>
                <w:sz w:val="24"/>
                <w:szCs w:val="24"/>
              </w:rPr>
              <w:t>1.1.6</w:t>
            </w:r>
          </w:p>
        </w:tc>
        <w:tc>
          <w:tcPr>
            <w:tcW w:w="2026" w:type="dxa"/>
            <w:tcBorders>
              <w:top w:val="single" w:color="000000" w:sz="4" w:space="0"/>
              <w:left w:val="single" w:color="000000" w:sz="4" w:space="0"/>
              <w:bottom w:val="single" w:color="000000" w:sz="4" w:space="0"/>
              <w:right w:val="single" w:color="000000" w:sz="4" w:space="0"/>
            </w:tcBorders>
            <w:vAlign w:val="center"/>
          </w:tcPr>
          <w:p w14:paraId="34B1AE92">
            <w:pPr>
              <w:widowControl w:val="0"/>
              <w:spacing w:before="0" w:after="0" w:line="360" w:lineRule="auto"/>
              <w:jc w:val="center"/>
              <w:rPr>
                <w:rFonts w:hint="eastAsia" w:ascii="宋体" w:hAnsi="宋体" w:eastAsia="宋体" w:cs="宋体"/>
                <w:b w:val="0"/>
                <w:bCs/>
                <w:kern w:val="0"/>
                <w:sz w:val="24"/>
                <w:szCs w:val="24"/>
                <w:lang w:eastAsia="zh-CN"/>
              </w:rPr>
            </w:pPr>
            <w:r>
              <w:rPr>
                <w:rFonts w:hint="eastAsia" w:ascii="宋体" w:hAnsi="宋体" w:cs="宋体"/>
                <w:b w:val="0"/>
                <w:bCs/>
                <w:kern w:val="0"/>
                <w:sz w:val="24"/>
                <w:szCs w:val="24"/>
              </w:rPr>
              <w:t>建设规模</w:t>
            </w:r>
          </w:p>
        </w:tc>
        <w:tc>
          <w:tcPr>
            <w:tcW w:w="7050" w:type="dxa"/>
            <w:gridSpan w:val="2"/>
            <w:tcBorders>
              <w:top w:val="single" w:color="000000" w:sz="4" w:space="0"/>
              <w:left w:val="single" w:color="000000" w:sz="4" w:space="0"/>
              <w:bottom w:val="single" w:color="000000" w:sz="4" w:space="0"/>
              <w:right w:val="single" w:color="000000" w:sz="4" w:space="0"/>
            </w:tcBorders>
            <w:vAlign w:val="center"/>
          </w:tcPr>
          <w:p w14:paraId="43A52C60">
            <w:pPr>
              <w:widowControl w:val="0"/>
              <w:spacing w:before="0" w:after="0" w:line="400" w:lineRule="exact"/>
              <w:ind w:firstLine="480" w:firstLineChars="200"/>
              <w:jc w:val="left"/>
              <w:rPr>
                <w:rFonts w:ascii="宋体" w:hAnsi="宋体" w:cs="宋体"/>
                <w:b w:val="0"/>
                <w:bCs/>
                <w:kern w:val="0"/>
                <w:sz w:val="24"/>
                <w:szCs w:val="24"/>
              </w:rPr>
            </w:pPr>
            <w:r>
              <w:rPr>
                <w:rFonts w:hint="eastAsia" w:ascii="宋体" w:hAnsi="宋体" w:cs="宋体"/>
                <w:b w:val="0"/>
                <w:bCs/>
                <w:sz w:val="24"/>
                <w:szCs w:val="24"/>
              </w:rPr>
              <w:t>本次投资额为632.34万元，项目（一期）用海总面积约43.6440公顷，在指定的养殖区内布置15个深水网箱，网箱单口周长90米。</w:t>
            </w:r>
          </w:p>
        </w:tc>
      </w:tr>
      <w:tr w14:paraId="73FC4699">
        <w:tblPrEx>
          <w:tblCellMar>
            <w:top w:w="0" w:type="dxa"/>
            <w:left w:w="108" w:type="dxa"/>
            <w:bottom w:w="0" w:type="dxa"/>
            <w:right w:w="108" w:type="dxa"/>
          </w:tblCellMar>
        </w:tblPrEx>
        <w:trPr>
          <w:trHeight w:val="5704" w:hRule="exact"/>
          <w:jc w:val="center"/>
        </w:trPr>
        <w:tc>
          <w:tcPr>
            <w:tcW w:w="954" w:type="dxa"/>
            <w:tcBorders>
              <w:top w:val="single" w:color="000000" w:sz="4" w:space="0"/>
              <w:left w:val="single" w:color="000000" w:sz="4" w:space="0"/>
              <w:bottom w:val="single" w:color="000000" w:sz="4" w:space="0"/>
              <w:right w:val="single" w:color="000000" w:sz="4" w:space="0"/>
            </w:tcBorders>
            <w:vAlign w:val="center"/>
          </w:tcPr>
          <w:p w14:paraId="5E8C1216">
            <w:pPr>
              <w:spacing w:line="360" w:lineRule="auto"/>
              <w:jc w:val="center"/>
              <w:rPr>
                <w:rFonts w:ascii="宋体" w:hAnsi="宋体" w:cs="宋体"/>
                <w:b w:val="0"/>
                <w:bCs/>
                <w:sz w:val="24"/>
                <w:szCs w:val="24"/>
              </w:rPr>
            </w:pPr>
            <w:r>
              <w:rPr>
                <w:rFonts w:hint="eastAsia" w:ascii="宋体" w:hAnsi="宋体"/>
                <w:b w:val="0"/>
                <w:bCs/>
                <w:sz w:val="24"/>
                <w:szCs w:val="24"/>
              </w:rPr>
              <w:t>1.1.7</w:t>
            </w:r>
          </w:p>
        </w:tc>
        <w:tc>
          <w:tcPr>
            <w:tcW w:w="2026" w:type="dxa"/>
            <w:tcBorders>
              <w:top w:val="single" w:color="000000" w:sz="4" w:space="0"/>
              <w:left w:val="single" w:color="000000" w:sz="4" w:space="0"/>
              <w:bottom w:val="single" w:color="000000" w:sz="4" w:space="0"/>
              <w:right w:val="single" w:color="000000" w:sz="4" w:space="0"/>
            </w:tcBorders>
            <w:vAlign w:val="center"/>
          </w:tcPr>
          <w:p w14:paraId="18995F1B">
            <w:pPr>
              <w:spacing w:line="360" w:lineRule="auto"/>
              <w:jc w:val="center"/>
              <w:rPr>
                <w:rFonts w:ascii="宋体" w:hAnsi="宋体" w:cs="宋体"/>
                <w:b w:val="0"/>
                <w:bCs/>
                <w:kern w:val="0"/>
                <w:sz w:val="24"/>
                <w:szCs w:val="24"/>
              </w:rPr>
            </w:pPr>
            <w:r>
              <w:rPr>
                <w:rFonts w:hint="eastAsia" w:ascii="宋体" w:hAnsi="宋体"/>
                <w:b w:val="0"/>
                <w:bCs/>
                <w:sz w:val="24"/>
                <w:szCs w:val="24"/>
                <w:lang w:val="en-US" w:eastAsia="zh-CN"/>
              </w:rPr>
              <w:t>货物</w:t>
            </w:r>
            <w:r>
              <w:rPr>
                <w:rFonts w:hint="eastAsia" w:ascii="宋体" w:hAnsi="宋体"/>
                <w:b w:val="0"/>
                <w:bCs/>
                <w:sz w:val="24"/>
                <w:szCs w:val="24"/>
              </w:rPr>
              <w:t>报价方式及投标最高报价值</w:t>
            </w:r>
          </w:p>
        </w:tc>
        <w:tc>
          <w:tcPr>
            <w:tcW w:w="7050" w:type="dxa"/>
            <w:gridSpan w:val="2"/>
            <w:tcBorders>
              <w:top w:val="single" w:color="000000" w:sz="4" w:space="0"/>
              <w:left w:val="single" w:color="000000" w:sz="4" w:space="0"/>
              <w:bottom w:val="single" w:color="000000" w:sz="4" w:space="0"/>
              <w:right w:val="single" w:color="000000" w:sz="4" w:space="0"/>
            </w:tcBorders>
            <w:vAlign w:val="center"/>
          </w:tcPr>
          <w:p w14:paraId="698E5193">
            <w:pPr>
              <w:keepNext w:val="0"/>
              <w:keepLines w:val="0"/>
              <w:pageBreakBefore w:val="0"/>
              <w:widowControl w:val="0"/>
              <w:kinsoku/>
              <w:wordWrap/>
              <w:overflowPunct/>
              <w:topLinePunct w:val="0"/>
              <w:autoSpaceDE/>
              <w:autoSpaceDN/>
              <w:bidi w:val="0"/>
              <w:adjustRightInd/>
              <w:snapToGrid/>
              <w:spacing w:before="0" w:line="400" w:lineRule="exact"/>
              <w:ind w:firstLine="482" w:firstLineChars="200"/>
              <w:textAlignment w:val="auto"/>
              <w:rPr>
                <w:rFonts w:hint="eastAsia" w:ascii="宋体" w:hAnsi="宋体" w:cs="宋体"/>
                <w:b/>
                <w:bCs w:val="0"/>
                <w:color w:val="auto"/>
                <w:sz w:val="24"/>
                <w:szCs w:val="24"/>
              </w:rPr>
            </w:pPr>
            <w:r>
              <w:rPr>
                <w:rFonts w:hint="eastAsia" w:ascii="宋体" w:hAnsi="宋体" w:cs="宋体"/>
                <w:b/>
                <w:bCs w:val="0"/>
                <w:color w:val="auto"/>
                <w:sz w:val="24"/>
                <w:szCs w:val="24"/>
              </w:rPr>
              <w:t>本项目</w:t>
            </w:r>
            <w:r>
              <w:rPr>
                <w:rFonts w:hint="eastAsia" w:ascii="宋体" w:hAnsi="宋体" w:cs="宋体"/>
                <w:b/>
                <w:bCs w:val="0"/>
                <w:color w:val="auto"/>
                <w:sz w:val="24"/>
                <w:szCs w:val="24"/>
                <w:lang w:eastAsia="zh-CN"/>
              </w:rPr>
              <w:t>的</w:t>
            </w:r>
            <w:r>
              <w:rPr>
                <w:rFonts w:hint="eastAsia" w:ascii="宋体" w:hAnsi="宋体" w:cs="宋体"/>
                <w:b/>
                <w:bCs w:val="0"/>
                <w:color w:val="auto"/>
                <w:sz w:val="24"/>
                <w:szCs w:val="24"/>
              </w:rPr>
              <w:t>招标控制价为：￥</w:t>
            </w:r>
            <w:r>
              <w:rPr>
                <w:rFonts w:hint="eastAsia" w:ascii="宋体" w:hAnsi="宋体" w:cs="宋体"/>
                <w:b/>
                <w:bCs w:val="0"/>
                <w:color w:val="auto"/>
                <w:sz w:val="24"/>
                <w:szCs w:val="24"/>
                <w:lang w:val="en-US" w:eastAsia="zh-CN"/>
              </w:rPr>
              <w:t xml:space="preserve"> 5919405.15</w:t>
            </w:r>
            <w:r>
              <w:rPr>
                <w:rFonts w:hint="eastAsia" w:ascii="宋体" w:hAnsi="宋体" w:cs="宋体"/>
                <w:b/>
                <w:bCs w:val="0"/>
                <w:color w:val="auto"/>
                <w:sz w:val="24"/>
                <w:szCs w:val="24"/>
              </w:rPr>
              <w:t xml:space="preserve"> 元（招标控制价以有资质的审核机构审定为准）。</w:t>
            </w:r>
          </w:p>
          <w:p w14:paraId="6413D399">
            <w:pPr>
              <w:keepNext w:val="0"/>
              <w:keepLines w:val="0"/>
              <w:pageBreakBefore w:val="0"/>
              <w:widowControl w:val="0"/>
              <w:kinsoku/>
              <w:wordWrap/>
              <w:overflowPunct/>
              <w:topLinePunct w:val="0"/>
              <w:autoSpaceDE/>
              <w:autoSpaceDN/>
              <w:bidi w:val="0"/>
              <w:adjustRightInd/>
              <w:snapToGrid/>
              <w:spacing w:before="0" w:line="400" w:lineRule="exact"/>
              <w:ind w:firstLine="480" w:firstLineChars="200"/>
              <w:textAlignment w:val="auto"/>
              <w:rPr>
                <w:rFonts w:hint="eastAsia" w:ascii="宋体" w:hAnsi="宋体" w:cs="宋体"/>
                <w:b w:val="0"/>
                <w:bCs/>
                <w:sz w:val="24"/>
                <w:szCs w:val="24"/>
              </w:rPr>
            </w:pPr>
            <w:r>
              <w:rPr>
                <w:rFonts w:hint="eastAsia" w:ascii="宋体" w:hAnsi="宋体" w:cs="宋体"/>
                <w:b w:val="0"/>
                <w:bCs/>
                <w:sz w:val="24"/>
                <w:szCs w:val="24"/>
              </w:rPr>
              <w:t>投标人的投标报价不能超过招标控制价</w:t>
            </w:r>
            <w:r>
              <w:rPr>
                <w:rFonts w:hint="eastAsia" w:ascii="宋体" w:hAnsi="宋体" w:cs="宋体"/>
                <w:b w:val="0"/>
                <w:bCs/>
                <w:sz w:val="24"/>
                <w:szCs w:val="24"/>
                <w:lang w:eastAsia="zh-CN"/>
              </w:rPr>
              <w:t>且须报价唯一</w:t>
            </w:r>
            <w:r>
              <w:rPr>
                <w:rFonts w:hint="eastAsia" w:ascii="宋体" w:hAnsi="宋体" w:cs="宋体"/>
                <w:b w:val="0"/>
                <w:bCs/>
                <w:sz w:val="24"/>
                <w:szCs w:val="24"/>
              </w:rPr>
              <w:t>，否则其投标文件将被视作无效。本项目按招标控制价进行报下浮率和对应金额，投标人可根据自身实力及市场情况填报投标下浮率及投标总报价</w:t>
            </w:r>
            <w:r>
              <w:rPr>
                <w:rFonts w:hint="eastAsia" w:ascii="宋体" w:hAnsi="宋体" w:cs="宋体"/>
                <w:b w:val="0"/>
                <w:bCs/>
                <w:color w:val="auto"/>
                <w:sz w:val="24"/>
                <w:szCs w:val="24"/>
              </w:rPr>
              <w:t>，投标下浮率大于</w:t>
            </w:r>
            <w:r>
              <w:rPr>
                <w:rFonts w:hint="eastAsia" w:ascii="宋体" w:hAnsi="宋体" w:cs="宋体"/>
                <w:b w:val="0"/>
                <w:bCs/>
                <w:color w:val="auto"/>
                <w:sz w:val="24"/>
                <w:szCs w:val="24"/>
                <w:lang w:val="en-US" w:eastAsia="zh-CN"/>
              </w:rPr>
              <w:t>4</w:t>
            </w:r>
            <w:r>
              <w:rPr>
                <w:rFonts w:hint="eastAsia" w:ascii="宋体" w:hAnsi="宋体" w:cs="宋体"/>
                <w:b w:val="0"/>
                <w:bCs/>
                <w:color w:val="auto"/>
                <w:sz w:val="24"/>
                <w:szCs w:val="24"/>
              </w:rPr>
              <w:t>.00%（以百分比为单位，精确到小数点后</w:t>
            </w:r>
            <w:r>
              <w:rPr>
                <w:rFonts w:hint="eastAsia" w:ascii="宋体" w:hAnsi="宋体" w:cs="宋体"/>
                <w:b w:val="0"/>
                <w:bCs/>
                <w:color w:val="auto"/>
                <w:sz w:val="24"/>
                <w:szCs w:val="24"/>
                <w:lang w:val="en-US" w:eastAsia="zh-CN"/>
              </w:rPr>
              <w:t>2</w:t>
            </w:r>
            <w:r>
              <w:rPr>
                <w:rFonts w:hint="eastAsia" w:ascii="宋体" w:hAnsi="宋体" w:cs="宋体"/>
                <w:b w:val="0"/>
                <w:bCs/>
                <w:color w:val="auto"/>
                <w:sz w:val="24"/>
                <w:szCs w:val="24"/>
              </w:rPr>
              <w:t>位）。</w:t>
            </w:r>
          </w:p>
          <w:p w14:paraId="07F946A1">
            <w:pPr>
              <w:keepNext w:val="0"/>
              <w:keepLines w:val="0"/>
              <w:pageBreakBefore w:val="0"/>
              <w:widowControl w:val="0"/>
              <w:kinsoku/>
              <w:wordWrap/>
              <w:overflowPunct/>
              <w:topLinePunct w:val="0"/>
              <w:autoSpaceDE/>
              <w:autoSpaceDN/>
              <w:bidi w:val="0"/>
              <w:adjustRightInd/>
              <w:snapToGrid/>
              <w:spacing w:before="0" w:line="400" w:lineRule="exact"/>
              <w:ind w:firstLine="480" w:firstLineChars="200"/>
              <w:textAlignment w:val="auto"/>
              <w:rPr>
                <w:rFonts w:hint="eastAsia" w:ascii="宋体" w:hAnsi="宋体" w:cs="宋体"/>
                <w:b w:val="0"/>
                <w:bCs/>
                <w:sz w:val="24"/>
                <w:szCs w:val="24"/>
              </w:rPr>
            </w:pPr>
            <w:r>
              <w:rPr>
                <w:rFonts w:hint="eastAsia" w:ascii="宋体" w:hAnsi="宋体" w:cs="宋体"/>
                <w:b w:val="0"/>
                <w:bCs/>
                <w:sz w:val="24"/>
                <w:szCs w:val="24"/>
              </w:rPr>
              <w:t>投标报价=</w:t>
            </w:r>
            <w:r>
              <w:rPr>
                <w:rFonts w:hint="eastAsia" w:ascii="宋体" w:hAnsi="宋体" w:cs="宋体"/>
                <w:b w:val="0"/>
                <w:bCs/>
                <w:sz w:val="24"/>
                <w:szCs w:val="24"/>
                <w:lang w:val="en-US" w:eastAsia="zh-CN"/>
              </w:rPr>
              <w:t xml:space="preserve"> </w:t>
            </w:r>
            <w:r>
              <w:rPr>
                <w:rFonts w:hint="eastAsia" w:ascii="宋体" w:hAnsi="宋体" w:cs="宋体"/>
                <w:b w:val="0"/>
                <w:bCs/>
                <w:sz w:val="24"/>
                <w:szCs w:val="24"/>
              </w:rPr>
              <w:t>招标控制价×（1－投标下浮率）。</w:t>
            </w:r>
          </w:p>
          <w:p w14:paraId="5D367D6C">
            <w:pPr>
              <w:keepNext w:val="0"/>
              <w:keepLines w:val="0"/>
              <w:pageBreakBefore w:val="0"/>
              <w:widowControl w:val="0"/>
              <w:kinsoku/>
              <w:wordWrap/>
              <w:overflowPunct/>
              <w:topLinePunct w:val="0"/>
              <w:autoSpaceDE/>
              <w:autoSpaceDN/>
              <w:bidi w:val="0"/>
              <w:adjustRightInd/>
              <w:snapToGrid/>
              <w:spacing w:before="0" w:line="400" w:lineRule="exact"/>
              <w:ind w:firstLine="480" w:firstLineChars="200"/>
              <w:textAlignment w:val="auto"/>
              <w:rPr>
                <w:rFonts w:hint="eastAsia" w:ascii="宋体" w:hAnsi="宋体" w:eastAsia="宋体" w:cs="宋体"/>
                <w:b w:val="0"/>
                <w:bCs/>
                <w:sz w:val="24"/>
                <w:szCs w:val="24"/>
                <w:lang w:eastAsia="zh-CN"/>
              </w:rPr>
            </w:pPr>
            <w:r>
              <w:rPr>
                <w:rFonts w:hint="eastAsia" w:ascii="宋体" w:hAnsi="宋体" w:cs="宋体"/>
                <w:b w:val="0"/>
                <w:bCs/>
                <w:sz w:val="24"/>
                <w:szCs w:val="24"/>
              </w:rPr>
              <w:t>投标报价</w:t>
            </w:r>
            <w:r>
              <w:rPr>
                <w:rFonts w:hint="eastAsia" w:ascii="宋体" w:hAnsi="宋体" w:cs="宋体"/>
                <w:b w:val="0"/>
                <w:bCs/>
                <w:sz w:val="24"/>
                <w:szCs w:val="24"/>
                <w:lang w:eastAsia="zh-CN"/>
              </w:rPr>
              <w:t>须按</w:t>
            </w:r>
            <w:r>
              <w:rPr>
                <w:rFonts w:hint="eastAsia" w:ascii="宋体" w:hAnsi="宋体" w:cs="宋体"/>
                <w:b w:val="0"/>
                <w:bCs/>
                <w:sz w:val="24"/>
                <w:szCs w:val="24"/>
              </w:rPr>
              <w:t>以上述规则进行计算，不按本约定报价的，视为不响应招标文件</w:t>
            </w:r>
            <w:r>
              <w:rPr>
                <w:rFonts w:hint="eastAsia" w:ascii="宋体" w:hAnsi="宋体" w:cs="宋体"/>
                <w:b w:val="0"/>
                <w:bCs/>
                <w:sz w:val="24"/>
                <w:szCs w:val="24"/>
                <w:lang w:eastAsia="zh-CN"/>
              </w:rPr>
              <w:t>，</w:t>
            </w:r>
            <w:r>
              <w:rPr>
                <w:rFonts w:hint="eastAsia" w:ascii="宋体" w:hAnsi="宋体" w:eastAsia="宋体" w:cs="Times New Roman"/>
                <w:sz w:val="24"/>
                <w:szCs w:val="24"/>
              </w:rPr>
              <w:t>作无效投标处理。</w:t>
            </w:r>
          </w:p>
          <w:p w14:paraId="37BA1A36">
            <w:pPr>
              <w:keepNext w:val="0"/>
              <w:keepLines w:val="0"/>
              <w:pageBreakBefore w:val="0"/>
              <w:widowControl w:val="0"/>
              <w:kinsoku/>
              <w:wordWrap/>
              <w:overflowPunct/>
              <w:topLinePunct w:val="0"/>
              <w:autoSpaceDE/>
              <w:autoSpaceDN/>
              <w:bidi w:val="0"/>
              <w:adjustRightInd/>
              <w:snapToGrid/>
              <w:spacing w:before="0" w:line="400" w:lineRule="exact"/>
              <w:ind w:firstLine="480" w:firstLineChars="200"/>
              <w:textAlignment w:val="auto"/>
              <w:rPr>
                <w:rFonts w:hint="eastAsia" w:ascii="宋体" w:hAnsi="宋体" w:cs="宋体"/>
                <w:b w:val="0"/>
                <w:bCs/>
                <w:sz w:val="24"/>
                <w:szCs w:val="24"/>
              </w:rPr>
            </w:pPr>
            <w:r>
              <w:rPr>
                <w:rFonts w:hint="eastAsia" w:ascii="宋体" w:hAnsi="宋体" w:cs="宋体"/>
                <w:b w:val="0"/>
                <w:bCs/>
                <w:sz w:val="24"/>
                <w:szCs w:val="24"/>
              </w:rPr>
              <w:t>合同价=第三方</w:t>
            </w:r>
            <w:r>
              <w:rPr>
                <w:rFonts w:hint="eastAsia" w:ascii="宋体" w:hAnsi="宋体" w:cs="宋体"/>
                <w:b w:val="0"/>
                <w:bCs/>
                <w:sz w:val="24"/>
                <w:szCs w:val="24"/>
                <w:lang w:val="en-US" w:eastAsia="zh-CN"/>
              </w:rPr>
              <w:t>审核</w:t>
            </w:r>
            <w:r>
              <w:rPr>
                <w:rFonts w:hint="eastAsia" w:ascii="宋体" w:hAnsi="宋体" w:cs="宋体"/>
                <w:b w:val="0"/>
                <w:bCs/>
                <w:sz w:val="24"/>
                <w:szCs w:val="24"/>
              </w:rPr>
              <w:t>机构审定的预算造价×（1－中标下浮率）。</w:t>
            </w:r>
          </w:p>
          <w:p w14:paraId="00390A15">
            <w:pPr>
              <w:keepNext w:val="0"/>
              <w:keepLines w:val="0"/>
              <w:pageBreakBefore w:val="0"/>
              <w:widowControl w:val="0"/>
              <w:kinsoku/>
              <w:wordWrap/>
              <w:overflowPunct/>
              <w:topLinePunct w:val="0"/>
              <w:autoSpaceDE/>
              <w:autoSpaceDN/>
              <w:bidi w:val="0"/>
              <w:adjustRightInd/>
              <w:snapToGrid/>
              <w:spacing w:before="0" w:line="400" w:lineRule="exact"/>
              <w:ind w:firstLine="480" w:firstLineChars="200"/>
              <w:textAlignment w:val="auto"/>
              <w:rPr>
                <w:rFonts w:hint="eastAsia" w:ascii="宋体" w:hAnsi="宋体" w:cs="宋体"/>
                <w:b w:val="0"/>
                <w:bCs/>
                <w:sz w:val="24"/>
                <w:szCs w:val="24"/>
              </w:rPr>
            </w:pPr>
            <w:r>
              <w:rPr>
                <w:rFonts w:hint="eastAsia" w:ascii="宋体" w:hAnsi="宋体" w:cs="宋体"/>
                <w:b w:val="0"/>
                <w:bCs/>
                <w:sz w:val="24"/>
                <w:szCs w:val="24"/>
              </w:rPr>
              <w:t>各项目合同单价=第三方</w:t>
            </w:r>
            <w:r>
              <w:rPr>
                <w:rFonts w:hint="eastAsia" w:ascii="宋体" w:hAnsi="宋体" w:cs="宋体"/>
                <w:b w:val="0"/>
                <w:bCs/>
                <w:sz w:val="24"/>
                <w:szCs w:val="24"/>
                <w:lang w:val="en-US" w:eastAsia="zh-CN"/>
              </w:rPr>
              <w:t>审核</w:t>
            </w:r>
            <w:r>
              <w:rPr>
                <w:rFonts w:hint="eastAsia" w:ascii="宋体" w:hAnsi="宋体" w:cs="宋体"/>
                <w:b w:val="0"/>
                <w:bCs/>
                <w:sz w:val="24"/>
                <w:szCs w:val="24"/>
              </w:rPr>
              <w:t>机构审定的预算价中的各个项目单价×(1－中标下浮率)。</w:t>
            </w:r>
          </w:p>
        </w:tc>
      </w:tr>
      <w:tr w14:paraId="65CF8106">
        <w:tblPrEx>
          <w:tblCellMar>
            <w:top w:w="0" w:type="dxa"/>
            <w:left w:w="108" w:type="dxa"/>
            <w:bottom w:w="0" w:type="dxa"/>
            <w:right w:w="108" w:type="dxa"/>
          </w:tblCellMar>
        </w:tblPrEx>
        <w:trPr>
          <w:trHeight w:val="537" w:hRule="exact"/>
          <w:jc w:val="center"/>
        </w:trPr>
        <w:tc>
          <w:tcPr>
            <w:tcW w:w="954" w:type="dxa"/>
            <w:tcBorders>
              <w:top w:val="single" w:color="000000" w:sz="4" w:space="0"/>
              <w:left w:val="single" w:color="000000" w:sz="4" w:space="0"/>
              <w:bottom w:val="single" w:color="000000" w:sz="4" w:space="0"/>
              <w:right w:val="single" w:color="000000" w:sz="4" w:space="0"/>
            </w:tcBorders>
            <w:vAlign w:val="center"/>
          </w:tcPr>
          <w:p w14:paraId="08BC3E4E">
            <w:pPr>
              <w:widowControl w:val="0"/>
              <w:tabs>
                <w:tab w:val="left" w:pos="540"/>
              </w:tabs>
              <w:spacing w:before="0" w:after="0" w:line="360" w:lineRule="auto"/>
              <w:jc w:val="center"/>
              <w:rPr>
                <w:rFonts w:hint="default" w:ascii="宋体" w:hAnsi="宋体" w:eastAsia="宋体" w:cs="宋体"/>
                <w:b w:val="0"/>
                <w:bCs/>
                <w:sz w:val="24"/>
                <w:szCs w:val="24"/>
                <w:lang w:val="en-US" w:eastAsia="zh-CN"/>
              </w:rPr>
            </w:pPr>
            <w:r>
              <w:rPr>
                <w:rFonts w:hint="eastAsia" w:ascii="宋体" w:hAnsi="宋体" w:cs="宋体"/>
                <w:b w:val="0"/>
                <w:bCs/>
                <w:sz w:val="24"/>
                <w:szCs w:val="24"/>
              </w:rPr>
              <w:t>1.</w:t>
            </w:r>
            <w:r>
              <w:rPr>
                <w:rFonts w:hint="eastAsia" w:ascii="宋体" w:hAnsi="宋体" w:cs="宋体"/>
                <w:b w:val="0"/>
                <w:bCs/>
                <w:sz w:val="24"/>
                <w:szCs w:val="24"/>
                <w:lang w:val="en-US" w:eastAsia="zh-CN"/>
              </w:rPr>
              <w:t>2.1</w:t>
            </w:r>
          </w:p>
        </w:tc>
        <w:tc>
          <w:tcPr>
            <w:tcW w:w="2026" w:type="dxa"/>
            <w:tcBorders>
              <w:top w:val="single" w:color="000000" w:sz="4" w:space="0"/>
              <w:left w:val="single" w:color="000000" w:sz="4" w:space="0"/>
              <w:bottom w:val="single" w:color="000000" w:sz="4" w:space="0"/>
              <w:right w:val="single" w:color="000000" w:sz="4" w:space="0"/>
            </w:tcBorders>
            <w:vAlign w:val="center"/>
          </w:tcPr>
          <w:p w14:paraId="1DB7C2CF">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ascii="宋体" w:hAnsi="宋体" w:cs="宋体"/>
                <w:b w:val="0"/>
                <w:bCs/>
                <w:color w:val="auto"/>
                <w:kern w:val="0"/>
                <w:sz w:val="24"/>
                <w:szCs w:val="24"/>
              </w:rPr>
            </w:pPr>
            <w:r>
              <w:rPr>
                <w:rFonts w:ascii="宋体" w:hAnsi="宋体" w:cs="宋体"/>
                <w:b w:val="0"/>
                <w:bCs/>
                <w:color w:val="auto"/>
                <w:kern w:val="0"/>
                <w:sz w:val="24"/>
                <w:szCs w:val="24"/>
              </w:rPr>
              <w:t>资金来源</w:t>
            </w:r>
          </w:p>
        </w:tc>
        <w:tc>
          <w:tcPr>
            <w:tcW w:w="7050" w:type="dxa"/>
            <w:gridSpan w:val="2"/>
            <w:tcBorders>
              <w:top w:val="single" w:color="000000" w:sz="4" w:space="0"/>
              <w:left w:val="single" w:color="000000" w:sz="4" w:space="0"/>
              <w:bottom w:val="single" w:color="000000" w:sz="4" w:space="0"/>
              <w:right w:val="single" w:color="000000" w:sz="4" w:space="0"/>
            </w:tcBorders>
            <w:vAlign w:val="center"/>
          </w:tcPr>
          <w:p w14:paraId="52E8337E">
            <w:pPr>
              <w:pStyle w:val="10"/>
              <w:widowControl w:val="0"/>
              <w:tabs>
                <w:tab w:val="left" w:pos="540"/>
              </w:tabs>
              <w:spacing w:before="0" w:after="0" w:line="400" w:lineRule="exact"/>
              <w:rPr>
                <w:rFonts w:ascii="宋体" w:hAnsi="宋体" w:cs="宋体"/>
                <w:b w:val="0"/>
                <w:bCs/>
                <w:color w:val="auto"/>
                <w:kern w:val="0"/>
                <w:szCs w:val="24"/>
              </w:rPr>
            </w:pPr>
            <w:r>
              <w:rPr>
                <w:rFonts w:hint="eastAsia" w:ascii="宋体" w:hAnsi="宋体" w:cs="宋体"/>
                <w:b w:val="0"/>
                <w:bCs/>
                <w:color w:val="auto"/>
                <w:kern w:val="0"/>
                <w:szCs w:val="24"/>
              </w:rPr>
              <w:t>企业自有资金100%</w:t>
            </w:r>
          </w:p>
        </w:tc>
      </w:tr>
      <w:tr w14:paraId="78F96FAC">
        <w:tblPrEx>
          <w:tblCellMar>
            <w:top w:w="0" w:type="dxa"/>
            <w:left w:w="108" w:type="dxa"/>
            <w:bottom w:w="0" w:type="dxa"/>
            <w:right w:w="108" w:type="dxa"/>
          </w:tblCellMar>
        </w:tblPrEx>
        <w:trPr>
          <w:trHeight w:val="2068" w:hRule="exact"/>
          <w:jc w:val="center"/>
        </w:trPr>
        <w:tc>
          <w:tcPr>
            <w:tcW w:w="954" w:type="dxa"/>
            <w:tcBorders>
              <w:top w:val="single" w:color="000000" w:sz="4" w:space="0"/>
              <w:left w:val="single" w:color="000000" w:sz="4" w:space="0"/>
              <w:bottom w:val="single" w:color="000000" w:sz="4" w:space="0"/>
              <w:right w:val="single" w:color="000000" w:sz="4" w:space="0"/>
            </w:tcBorders>
            <w:vAlign w:val="center"/>
          </w:tcPr>
          <w:p w14:paraId="4E4D9B68">
            <w:pPr>
              <w:widowControl w:val="0"/>
              <w:tabs>
                <w:tab w:val="left" w:pos="540"/>
              </w:tabs>
              <w:spacing w:before="0" w:after="0" w:line="360" w:lineRule="auto"/>
              <w:jc w:val="center"/>
              <w:rPr>
                <w:rFonts w:ascii="宋体" w:hAnsi="宋体" w:cs="宋体"/>
                <w:b w:val="0"/>
                <w:bCs/>
                <w:sz w:val="24"/>
                <w:szCs w:val="24"/>
              </w:rPr>
            </w:pPr>
            <w:r>
              <w:rPr>
                <w:rFonts w:ascii="宋体" w:hAnsi="宋体" w:cs="宋体"/>
                <w:b w:val="0"/>
                <w:bCs/>
                <w:sz w:val="24"/>
                <w:szCs w:val="24"/>
              </w:rPr>
              <w:t>1.</w:t>
            </w:r>
            <w:r>
              <w:rPr>
                <w:rFonts w:hint="eastAsia" w:ascii="宋体" w:hAnsi="宋体" w:cs="宋体"/>
                <w:b w:val="0"/>
                <w:bCs/>
                <w:sz w:val="24"/>
                <w:szCs w:val="24"/>
                <w:lang w:val="en-US" w:eastAsia="zh-CN"/>
              </w:rPr>
              <w:t>3</w:t>
            </w:r>
            <w:r>
              <w:rPr>
                <w:rFonts w:ascii="宋体" w:hAnsi="宋体" w:cs="宋体"/>
                <w:b w:val="0"/>
                <w:bCs/>
                <w:sz w:val="24"/>
                <w:szCs w:val="24"/>
              </w:rPr>
              <w:t>.1</w:t>
            </w:r>
          </w:p>
        </w:tc>
        <w:tc>
          <w:tcPr>
            <w:tcW w:w="2026" w:type="dxa"/>
            <w:tcBorders>
              <w:top w:val="single" w:color="000000" w:sz="4" w:space="0"/>
              <w:left w:val="single" w:color="000000" w:sz="4" w:space="0"/>
              <w:bottom w:val="single" w:color="000000" w:sz="4" w:space="0"/>
              <w:right w:val="single" w:color="000000" w:sz="4" w:space="0"/>
            </w:tcBorders>
            <w:vAlign w:val="center"/>
          </w:tcPr>
          <w:p w14:paraId="222C5135">
            <w:pPr>
              <w:widowControl w:val="0"/>
              <w:spacing w:before="0" w:after="0" w:line="360" w:lineRule="auto"/>
              <w:jc w:val="center"/>
              <w:rPr>
                <w:rFonts w:ascii="宋体" w:hAnsi="宋体" w:cs="宋体"/>
                <w:b w:val="0"/>
                <w:bCs/>
                <w:kern w:val="0"/>
                <w:sz w:val="24"/>
                <w:szCs w:val="24"/>
              </w:rPr>
            </w:pPr>
            <w:r>
              <w:rPr>
                <w:rFonts w:ascii="宋体" w:hAnsi="宋体" w:cs="宋体"/>
                <w:b w:val="0"/>
                <w:bCs/>
                <w:kern w:val="0"/>
                <w:sz w:val="24"/>
                <w:szCs w:val="24"/>
              </w:rPr>
              <w:t>招标范围</w:t>
            </w:r>
          </w:p>
        </w:tc>
        <w:tc>
          <w:tcPr>
            <w:tcW w:w="7050" w:type="dxa"/>
            <w:gridSpan w:val="2"/>
            <w:tcBorders>
              <w:top w:val="single" w:color="000000" w:sz="4" w:space="0"/>
              <w:left w:val="single" w:color="000000" w:sz="4" w:space="0"/>
              <w:bottom w:val="single" w:color="000000" w:sz="4" w:space="0"/>
              <w:right w:val="single" w:color="000000" w:sz="4" w:space="0"/>
            </w:tcBorders>
            <w:vAlign w:val="center"/>
          </w:tcPr>
          <w:p w14:paraId="146D850A">
            <w:pPr>
              <w:widowControl w:val="0"/>
              <w:spacing w:before="0" w:after="0" w:line="400" w:lineRule="exact"/>
              <w:ind w:firstLine="480" w:firstLineChars="200"/>
              <w:jc w:val="left"/>
              <w:rPr>
                <w:rFonts w:ascii="宋体" w:hAnsi="宋体" w:cs="宋体"/>
                <w:b w:val="0"/>
                <w:bCs/>
                <w:kern w:val="0"/>
                <w:sz w:val="24"/>
                <w:szCs w:val="24"/>
                <w:u w:val="single"/>
              </w:rPr>
            </w:pPr>
            <w:r>
              <w:rPr>
                <w:rFonts w:hint="eastAsia" w:ascii="宋体" w:hAnsi="宋体" w:cs="宋体"/>
                <w:b w:val="0"/>
                <w:bCs/>
                <w:color w:val="000000"/>
                <w:sz w:val="24"/>
                <w:szCs w:val="24"/>
                <w:shd w:val="clear" w:fill="FFFFFF"/>
              </w:rPr>
              <w:t>本次为茂名市电白区蓝湾海洋产业发展有限公司深水网箱养殖产业园项目（一期）15个深水网箱及配套设施设备的采购及安装；主要包括：（1）网箱框架、（2）网衣、（3）拦饲料网、（4）锚固系统等（具体以招标人提供的设备清单为准）的设计、制作、运输、安装、调试、培训、验收交付等相关服务。</w:t>
            </w:r>
          </w:p>
        </w:tc>
      </w:tr>
      <w:tr w14:paraId="584344A1">
        <w:tblPrEx>
          <w:tblCellMar>
            <w:top w:w="0" w:type="dxa"/>
            <w:left w:w="108" w:type="dxa"/>
            <w:bottom w:w="0" w:type="dxa"/>
            <w:right w:w="108" w:type="dxa"/>
          </w:tblCellMar>
        </w:tblPrEx>
        <w:trPr>
          <w:trHeight w:val="1283" w:hRule="exact"/>
          <w:jc w:val="center"/>
        </w:trPr>
        <w:tc>
          <w:tcPr>
            <w:tcW w:w="954" w:type="dxa"/>
            <w:tcBorders>
              <w:top w:val="single" w:color="000000" w:sz="4" w:space="0"/>
              <w:left w:val="single" w:color="000000" w:sz="4" w:space="0"/>
              <w:bottom w:val="single" w:color="000000" w:sz="4" w:space="0"/>
              <w:right w:val="single" w:color="000000" w:sz="4" w:space="0"/>
            </w:tcBorders>
            <w:vAlign w:val="center"/>
          </w:tcPr>
          <w:p w14:paraId="5E9E7311">
            <w:pPr>
              <w:widowControl w:val="0"/>
              <w:tabs>
                <w:tab w:val="left" w:pos="540"/>
              </w:tabs>
              <w:spacing w:before="0" w:after="0" w:line="360" w:lineRule="auto"/>
              <w:jc w:val="center"/>
              <w:rPr>
                <w:rFonts w:ascii="宋体" w:hAnsi="宋体" w:cs="宋体"/>
                <w:b w:val="0"/>
                <w:bCs/>
                <w:sz w:val="24"/>
                <w:szCs w:val="24"/>
              </w:rPr>
            </w:pPr>
            <w:r>
              <w:rPr>
                <w:rFonts w:ascii="宋体" w:hAnsi="宋体" w:cs="宋体"/>
                <w:b w:val="0"/>
                <w:bCs/>
                <w:sz w:val="24"/>
                <w:szCs w:val="24"/>
              </w:rPr>
              <w:t>1.</w:t>
            </w:r>
            <w:r>
              <w:rPr>
                <w:rFonts w:hint="eastAsia" w:ascii="宋体" w:hAnsi="宋体" w:cs="宋体"/>
                <w:b w:val="0"/>
                <w:bCs/>
                <w:sz w:val="24"/>
                <w:szCs w:val="24"/>
                <w:lang w:val="en-US" w:eastAsia="zh-CN"/>
              </w:rPr>
              <w:t>3</w:t>
            </w:r>
            <w:r>
              <w:rPr>
                <w:rFonts w:ascii="宋体" w:hAnsi="宋体" w:cs="宋体"/>
                <w:b w:val="0"/>
                <w:bCs/>
                <w:sz w:val="24"/>
                <w:szCs w:val="24"/>
              </w:rPr>
              <w:t>.2</w:t>
            </w:r>
          </w:p>
        </w:tc>
        <w:tc>
          <w:tcPr>
            <w:tcW w:w="2026" w:type="dxa"/>
            <w:tcBorders>
              <w:top w:val="single" w:color="000000" w:sz="4" w:space="0"/>
              <w:left w:val="single" w:color="000000" w:sz="4" w:space="0"/>
              <w:bottom w:val="single" w:color="000000" w:sz="4" w:space="0"/>
              <w:right w:val="single" w:color="000000" w:sz="4" w:space="0"/>
            </w:tcBorders>
            <w:vAlign w:val="center"/>
          </w:tcPr>
          <w:p w14:paraId="15DE0FE2">
            <w:pPr>
              <w:widowControl w:val="0"/>
              <w:spacing w:before="0" w:after="0" w:line="360" w:lineRule="auto"/>
              <w:jc w:val="center"/>
              <w:rPr>
                <w:rFonts w:hint="eastAsia" w:ascii="宋体" w:hAnsi="宋体" w:cs="宋体"/>
                <w:b w:val="0"/>
                <w:bCs/>
                <w:kern w:val="0"/>
                <w:sz w:val="24"/>
                <w:szCs w:val="24"/>
              </w:rPr>
            </w:pPr>
            <w:r>
              <w:rPr>
                <w:rFonts w:hint="eastAsia" w:ascii="宋体" w:hAnsi="宋体" w:cs="宋体"/>
                <w:b w:val="0"/>
                <w:bCs/>
                <w:kern w:val="0"/>
                <w:sz w:val="24"/>
                <w:szCs w:val="24"/>
              </w:rPr>
              <w:t>计划工期</w:t>
            </w:r>
          </w:p>
          <w:p w14:paraId="53A7AADB">
            <w:pPr>
              <w:widowControl w:val="0"/>
              <w:spacing w:before="0" w:after="0" w:line="360" w:lineRule="auto"/>
              <w:jc w:val="center"/>
              <w:rPr>
                <w:rFonts w:hint="default" w:ascii="宋体" w:hAnsi="宋体" w:eastAsia="宋体" w:cs="宋体"/>
                <w:b w:val="0"/>
                <w:bCs/>
                <w:kern w:val="0"/>
                <w:sz w:val="24"/>
                <w:szCs w:val="24"/>
                <w:lang w:val="en-US" w:eastAsia="zh-CN"/>
              </w:rPr>
            </w:pPr>
            <w:r>
              <w:rPr>
                <w:rFonts w:hint="eastAsia" w:ascii="宋体" w:hAnsi="宋体" w:cs="宋体"/>
                <w:b w:val="0"/>
                <w:bCs/>
                <w:kern w:val="0"/>
                <w:sz w:val="24"/>
                <w:szCs w:val="24"/>
                <w:lang w:eastAsia="zh-CN"/>
              </w:rPr>
              <w:t>（</w:t>
            </w:r>
            <w:r>
              <w:rPr>
                <w:rFonts w:hint="eastAsia" w:ascii="宋体" w:hAnsi="宋体" w:cs="宋体"/>
                <w:b w:val="0"/>
                <w:bCs/>
                <w:kern w:val="0"/>
                <w:sz w:val="24"/>
                <w:szCs w:val="24"/>
                <w:lang w:val="en-US" w:eastAsia="zh-CN"/>
              </w:rPr>
              <w:t>交货期）</w:t>
            </w:r>
          </w:p>
        </w:tc>
        <w:tc>
          <w:tcPr>
            <w:tcW w:w="7050" w:type="dxa"/>
            <w:gridSpan w:val="2"/>
            <w:tcBorders>
              <w:top w:val="single" w:color="000000" w:sz="4" w:space="0"/>
              <w:left w:val="single" w:color="000000" w:sz="4" w:space="0"/>
              <w:bottom w:val="single" w:color="000000" w:sz="4" w:space="0"/>
              <w:right w:val="single" w:color="000000" w:sz="4" w:space="0"/>
            </w:tcBorders>
            <w:vAlign w:val="center"/>
          </w:tcPr>
          <w:p w14:paraId="303AA661">
            <w:pPr>
              <w:widowControl w:val="0"/>
              <w:spacing w:before="0" w:after="0" w:line="400" w:lineRule="exact"/>
              <w:jc w:val="left"/>
              <w:rPr>
                <w:rFonts w:hint="eastAsia" w:ascii="宋体" w:hAnsi="宋体" w:cs="宋体"/>
                <w:b w:val="0"/>
                <w:bCs/>
                <w:sz w:val="24"/>
                <w:szCs w:val="24"/>
              </w:rPr>
            </w:pPr>
            <w:r>
              <w:rPr>
                <w:rFonts w:hint="eastAsia" w:ascii="宋体" w:hAnsi="宋体" w:cs="宋体"/>
                <w:b w:val="0"/>
                <w:bCs/>
                <w:sz w:val="24"/>
                <w:szCs w:val="24"/>
              </w:rPr>
              <w:t>计划开工：202</w:t>
            </w:r>
            <w:r>
              <w:rPr>
                <w:rFonts w:hint="eastAsia" w:ascii="宋体" w:hAnsi="宋体" w:cs="宋体"/>
                <w:b w:val="0"/>
                <w:bCs/>
                <w:sz w:val="24"/>
                <w:szCs w:val="24"/>
                <w:lang w:val="en-US" w:eastAsia="zh-CN"/>
              </w:rPr>
              <w:t>5</w:t>
            </w:r>
            <w:r>
              <w:rPr>
                <w:rFonts w:hint="eastAsia" w:ascii="宋体" w:hAnsi="宋体" w:cs="宋体"/>
                <w:b w:val="0"/>
                <w:bCs/>
                <w:sz w:val="24"/>
                <w:szCs w:val="24"/>
              </w:rPr>
              <w:t xml:space="preserve">年 </w:t>
            </w:r>
            <w:r>
              <w:rPr>
                <w:rFonts w:hint="eastAsia" w:ascii="宋体" w:hAnsi="宋体" w:cs="宋体"/>
                <w:b w:val="0"/>
                <w:bCs/>
                <w:sz w:val="24"/>
                <w:szCs w:val="24"/>
                <w:lang w:val="en-US" w:eastAsia="zh-CN"/>
              </w:rPr>
              <w:t xml:space="preserve"> </w:t>
            </w:r>
            <w:r>
              <w:rPr>
                <w:rFonts w:hint="eastAsia" w:ascii="宋体" w:hAnsi="宋体" w:cs="宋体"/>
                <w:b w:val="0"/>
                <w:bCs/>
                <w:sz w:val="24"/>
                <w:szCs w:val="24"/>
              </w:rPr>
              <w:t xml:space="preserve">月 </w:t>
            </w:r>
            <w:r>
              <w:rPr>
                <w:rFonts w:hint="eastAsia" w:ascii="宋体" w:hAnsi="宋体" w:cs="宋体"/>
                <w:b w:val="0"/>
                <w:bCs/>
                <w:sz w:val="24"/>
                <w:szCs w:val="24"/>
                <w:lang w:val="en-US" w:eastAsia="zh-CN"/>
              </w:rPr>
              <w:t xml:space="preserve"> </w:t>
            </w:r>
            <w:r>
              <w:rPr>
                <w:rFonts w:hint="eastAsia" w:ascii="宋体" w:hAnsi="宋体" w:cs="宋体"/>
                <w:b w:val="0"/>
                <w:bCs/>
                <w:sz w:val="24"/>
                <w:szCs w:val="24"/>
              </w:rPr>
              <w:t xml:space="preserve">日，计划竣工：2025年 </w:t>
            </w:r>
            <w:r>
              <w:rPr>
                <w:rFonts w:hint="eastAsia" w:ascii="宋体" w:hAnsi="宋体" w:cs="宋体"/>
                <w:b w:val="0"/>
                <w:bCs/>
                <w:sz w:val="24"/>
                <w:szCs w:val="24"/>
                <w:lang w:val="en-US" w:eastAsia="zh-CN"/>
              </w:rPr>
              <w:t xml:space="preserve"> </w:t>
            </w:r>
            <w:r>
              <w:rPr>
                <w:rFonts w:hint="eastAsia" w:ascii="宋体" w:hAnsi="宋体" w:cs="宋体"/>
                <w:b w:val="0"/>
                <w:bCs/>
                <w:sz w:val="24"/>
                <w:szCs w:val="24"/>
              </w:rPr>
              <w:t xml:space="preserve">月 </w:t>
            </w:r>
            <w:r>
              <w:rPr>
                <w:rFonts w:hint="eastAsia" w:ascii="宋体" w:hAnsi="宋体" w:cs="宋体"/>
                <w:b w:val="0"/>
                <w:bCs/>
                <w:sz w:val="24"/>
                <w:szCs w:val="24"/>
                <w:lang w:val="en-US" w:eastAsia="zh-CN"/>
              </w:rPr>
              <w:t xml:space="preserve"> </w:t>
            </w:r>
            <w:r>
              <w:rPr>
                <w:rFonts w:hint="eastAsia" w:ascii="宋体" w:hAnsi="宋体" w:cs="宋体"/>
                <w:b w:val="0"/>
                <w:bCs/>
                <w:sz w:val="24"/>
                <w:szCs w:val="24"/>
              </w:rPr>
              <w:t>日；</w:t>
            </w:r>
          </w:p>
          <w:p w14:paraId="33EFE95A">
            <w:pPr>
              <w:widowControl w:val="0"/>
              <w:spacing w:before="0" w:after="0" w:line="400" w:lineRule="exact"/>
              <w:jc w:val="left"/>
              <w:rPr>
                <w:rFonts w:hint="eastAsia" w:ascii="宋体" w:hAnsi="宋体" w:cs="宋体"/>
                <w:b w:val="0"/>
                <w:bCs/>
                <w:sz w:val="24"/>
                <w:szCs w:val="24"/>
              </w:rPr>
            </w:pPr>
            <w:r>
              <w:rPr>
                <w:rFonts w:hint="eastAsia" w:ascii="宋体" w:hAnsi="宋体" w:cs="宋体"/>
                <w:b w:val="0"/>
                <w:bCs/>
                <w:sz w:val="24"/>
                <w:szCs w:val="24"/>
              </w:rPr>
              <w:t>招标工期（交货期）</w:t>
            </w:r>
            <w:r>
              <w:rPr>
                <w:rFonts w:hint="eastAsia" w:ascii="宋体" w:hAnsi="宋体" w:cs="宋体"/>
                <w:b w:val="0"/>
                <w:bCs/>
                <w:color w:val="auto"/>
                <w:sz w:val="24"/>
                <w:szCs w:val="24"/>
              </w:rPr>
              <w:t>：</w:t>
            </w:r>
            <w:r>
              <w:rPr>
                <w:rFonts w:hint="eastAsia" w:ascii="宋体" w:hAnsi="宋体" w:cs="宋体"/>
                <w:b w:val="0"/>
                <w:bCs/>
                <w:color w:val="auto"/>
                <w:sz w:val="24"/>
                <w:szCs w:val="24"/>
                <w:u w:val="single"/>
              </w:rPr>
              <w:t xml:space="preserve"> </w:t>
            </w:r>
            <w:r>
              <w:rPr>
                <w:rFonts w:hint="eastAsia" w:ascii="宋体" w:hAnsi="宋体" w:cs="宋体"/>
                <w:b w:val="0"/>
                <w:bCs/>
                <w:color w:val="auto"/>
                <w:sz w:val="24"/>
                <w:szCs w:val="24"/>
                <w:u w:val="single"/>
                <w:lang w:val="en-US" w:eastAsia="zh-CN"/>
              </w:rPr>
              <w:t>45</w:t>
            </w:r>
            <w:r>
              <w:rPr>
                <w:rFonts w:hint="eastAsia" w:ascii="宋体" w:hAnsi="宋体" w:cs="宋体"/>
                <w:b w:val="0"/>
                <w:bCs/>
                <w:color w:val="auto"/>
                <w:sz w:val="24"/>
                <w:szCs w:val="24"/>
                <w:u w:val="single"/>
              </w:rPr>
              <w:t xml:space="preserve"> </w:t>
            </w:r>
            <w:r>
              <w:rPr>
                <w:rFonts w:hint="eastAsia" w:ascii="宋体" w:hAnsi="宋体" w:cs="宋体"/>
                <w:b w:val="0"/>
                <w:bCs/>
                <w:color w:val="auto"/>
                <w:sz w:val="24"/>
                <w:szCs w:val="24"/>
              </w:rPr>
              <w:t>日历</w:t>
            </w:r>
            <w:r>
              <w:rPr>
                <w:rFonts w:hint="eastAsia" w:ascii="宋体" w:hAnsi="宋体" w:cs="宋体"/>
                <w:b w:val="0"/>
                <w:bCs/>
                <w:sz w:val="24"/>
                <w:szCs w:val="24"/>
              </w:rPr>
              <w:t>天。</w:t>
            </w:r>
          </w:p>
          <w:p w14:paraId="26B3B10A">
            <w:pPr>
              <w:widowControl w:val="0"/>
              <w:spacing w:before="0" w:after="0" w:line="400" w:lineRule="exact"/>
              <w:jc w:val="left"/>
              <w:rPr>
                <w:rFonts w:ascii="宋体" w:hAnsi="宋体" w:cs="宋体"/>
                <w:b w:val="0"/>
                <w:bCs/>
                <w:kern w:val="0"/>
                <w:sz w:val="24"/>
                <w:szCs w:val="24"/>
              </w:rPr>
            </w:pPr>
            <w:r>
              <w:rPr>
                <w:rFonts w:hint="eastAsia" w:ascii="宋体" w:hAnsi="宋体" w:cs="宋体"/>
                <w:b w:val="0"/>
                <w:bCs/>
                <w:kern w:val="0"/>
                <w:sz w:val="24"/>
                <w:szCs w:val="24"/>
              </w:rPr>
              <w:t>自签订合同之日起</w:t>
            </w:r>
            <w:r>
              <w:rPr>
                <w:rFonts w:hint="eastAsia" w:ascii="宋体" w:hAnsi="宋体" w:cs="宋体"/>
                <w:b w:val="0"/>
                <w:bCs/>
                <w:kern w:val="0"/>
                <w:sz w:val="24"/>
                <w:szCs w:val="24"/>
                <w:lang w:val="en-US" w:eastAsia="zh-CN"/>
              </w:rPr>
              <w:t>45</w:t>
            </w:r>
            <w:r>
              <w:rPr>
                <w:rFonts w:hint="eastAsia" w:ascii="宋体" w:hAnsi="宋体" w:cs="宋体"/>
                <w:b w:val="0"/>
                <w:bCs/>
                <w:kern w:val="0"/>
                <w:sz w:val="24"/>
                <w:szCs w:val="24"/>
              </w:rPr>
              <w:t>天内完成并交付使用。</w:t>
            </w:r>
          </w:p>
        </w:tc>
      </w:tr>
      <w:tr w14:paraId="4E2C52B1">
        <w:tblPrEx>
          <w:tblCellMar>
            <w:top w:w="0" w:type="dxa"/>
            <w:left w:w="108" w:type="dxa"/>
            <w:bottom w:w="0" w:type="dxa"/>
            <w:right w:w="108" w:type="dxa"/>
          </w:tblCellMar>
        </w:tblPrEx>
        <w:trPr>
          <w:trHeight w:val="1656" w:hRule="exact"/>
          <w:jc w:val="center"/>
        </w:trPr>
        <w:tc>
          <w:tcPr>
            <w:tcW w:w="954" w:type="dxa"/>
            <w:tcBorders>
              <w:top w:val="single" w:color="000000" w:sz="4" w:space="0"/>
              <w:left w:val="single" w:color="000000" w:sz="4" w:space="0"/>
              <w:bottom w:val="single" w:color="000000" w:sz="4" w:space="0"/>
              <w:right w:val="single" w:color="000000" w:sz="4" w:space="0"/>
            </w:tcBorders>
            <w:vAlign w:val="center"/>
          </w:tcPr>
          <w:p w14:paraId="16F2EEFE">
            <w:pPr>
              <w:widowControl w:val="0"/>
              <w:tabs>
                <w:tab w:val="left" w:pos="540"/>
              </w:tabs>
              <w:spacing w:before="0" w:after="0" w:line="360" w:lineRule="auto"/>
              <w:jc w:val="center"/>
              <w:rPr>
                <w:rFonts w:ascii="宋体" w:hAnsi="宋体" w:cs="宋体"/>
                <w:b w:val="0"/>
                <w:bCs/>
                <w:sz w:val="24"/>
                <w:szCs w:val="24"/>
              </w:rPr>
            </w:pPr>
            <w:r>
              <w:rPr>
                <w:rFonts w:ascii="宋体" w:hAnsi="宋体" w:cs="宋体"/>
                <w:b w:val="0"/>
                <w:bCs/>
                <w:sz w:val="24"/>
                <w:szCs w:val="24"/>
              </w:rPr>
              <w:t>1.</w:t>
            </w:r>
            <w:r>
              <w:rPr>
                <w:rFonts w:hint="eastAsia" w:ascii="宋体" w:hAnsi="宋体" w:cs="宋体"/>
                <w:b w:val="0"/>
                <w:bCs/>
                <w:sz w:val="24"/>
                <w:szCs w:val="24"/>
                <w:lang w:val="en-US" w:eastAsia="zh-CN"/>
              </w:rPr>
              <w:t>3</w:t>
            </w:r>
            <w:r>
              <w:rPr>
                <w:rFonts w:ascii="宋体" w:hAnsi="宋体" w:cs="宋体"/>
                <w:b w:val="0"/>
                <w:bCs/>
                <w:sz w:val="24"/>
                <w:szCs w:val="24"/>
              </w:rPr>
              <w:t>.3</w:t>
            </w:r>
          </w:p>
        </w:tc>
        <w:tc>
          <w:tcPr>
            <w:tcW w:w="2026" w:type="dxa"/>
            <w:tcBorders>
              <w:top w:val="single" w:color="000000" w:sz="4" w:space="0"/>
              <w:left w:val="single" w:color="000000" w:sz="4" w:space="0"/>
              <w:bottom w:val="single" w:color="000000" w:sz="4" w:space="0"/>
              <w:right w:val="single" w:color="000000" w:sz="4" w:space="0"/>
            </w:tcBorders>
            <w:vAlign w:val="center"/>
          </w:tcPr>
          <w:p w14:paraId="22733839">
            <w:pPr>
              <w:widowControl w:val="0"/>
              <w:spacing w:before="0" w:after="0" w:line="360" w:lineRule="auto"/>
              <w:jc w:val="center"/>
              <w:rPr>
                <w:rFonts w:ascii="宋体" w:hAnsi="宋体" w:cs="宋体"/>
                <w:b w:val="0"/>
                <w:bCs/>
                <w:kern w:val="0"/>
                <w:sz w:val="24"/>
                <w:szCs w:val="24"/>
              </w:rPr>
            </w:pPr>
            <w:r>
              <w:rPr>
                <w:rFonts w:hint="eastAsia" w:ascii="宋体" w:hAnsi="宋体"/>
                <w:b w:val="0"/>
                <w:bCs/>
                <w:sz w:val="24"/>
                <w:szCs w:val="24"/>
              </w:rPr>
              <w:t>质量要求</w:t>
            </w:r>
          </w:p>
        </w:tc>
        <w:tc>
          <w:tcPr>
            <w:tcW w:w="7050" w:type="dxa"/>
            <w:gridSpan w:val="2"/>
            <w:tcBorders>
              <w:top w:val="single" w:color="000000" w:sz="4" w:space="0"/>
              <w:left w:val="single" w:color="000000" w:sz="4" w:space="0"/>
              <w:bottom w:val="single" w:color="000000" w:sz="4" w:space="0"/>
              <w:right w:val="single" w:color="000000" w:sz="4" w:space="0"/>
            </w:tcBorders>
            <w:vAlign w:val="center"/>
          </w:tcPr>
          <w:p w14:paraId="5C153E33">
            <w:pPr>
              <w:widowControl w:val="0"/>
              <w:spacing w:before="0" w:after="0" w:line="400" w:lineRule="exact"/>
              <w:ind w:firstLine="480" w:firstLineChars="200"/>
              <w:jc w:val="left"/>
              <w:rPr>
                <w:rFonts w:ascii="宋体" w:hAnsi="宋体" w:cs="宋体"/>
                <w:b w:val="0"/>
                <w:bCs/>
                <w:color w:val="000000"/>
                <w:kern w:val="0"/>
                <w:sz w:val="24"/>
                <w:szCs w:val="24"/>
                <w:lang w:bidi="ar-SA"/>
              </w:rPr>
            </w:pPr>
            <w:r>
              <w:rPr>
                <w:rFonts w:hint="eastAsia" w:ascii="宋体" w:hAnsi="宋体" w:cs="宋体"/>
                <w:b w:val="0"/>
                <w:bCs/>
                <w:kern w:val="0"/>
                <w:sz w:val="24"/>
                <w:szCs w:val="24"/>
                <w:lang w:bidi="ar-SA"/>
              </w:rPr>
              <w:t>本项目所有的货物和配套的供货及安装调试服务，所涉及的设</w:t>
            </w:r>
            <w:r>
              <w:rPr>
                <w:rFonts w:hint="eastAsia" w:ascii="宋体" w:hAnsi="宋体" w:cs="宋体"/>
                <w:b w:val="0"/>
                <w:bCs/>
                <w:color w:val="auto"/>
                <w:kern w:val="0"/>
                <w:sz w:val="24"/>
                <w:szCs w:val="24"/>
                <w:lang w:bidi="ar-SA"/>
              </w:rPr>
              <w:t>计标准和规范、产品标准和规范、技术标准和规范、验收标准和规范等必须完全符合国家、地方或行业现行的相应标准和规范合格</w:t>
            </w:r>
            <w:r>
              <w:rPr>
                <w:rFonts w:hint="eastAsia" w:ascii="宋体" w:hAnsi="宋体" w:cs="宋体"/>
                <w:b w:val="0"/>
                <w:bCs/>
                <w:color w:val="auto"/>
                <w:kern w:val="0"/>
                <w:sz w:val="24"/>
                <w:szCs w:val="24"/>
                <w:lang w:val="en-US" w:eastAsia="zh-CN" w:bidi="ar-SA"/>
              </w:rPr>
              <w:t>或以上</w:t>
            </w:r>
            <w:r>
              <w:rPr>
                <w:rFonts w:hint="eastAsia" w:ascii="宋体" w:hAnsi="宋体" w:cs="宋体"/>
                <w:b w:val="0"/>
                <w:bCs/>
                <w:color w:val="auto"/>
                <w:kern w:val="0"/>
                <w:sz w:val="24"/>
                <w:szCs w:val="24"/>
                <w:lang w:bidi="ar-SA"/>
              </w:rPr>
              <w:t>要求。</w:t>
            </w:r>
          </w:p>
        </w:tc>
      </w:tr>
      <w:tr w14:paraId="1371AB56">
        <w:tblPrEx>
          <w:tblCellMar>
            <w:top w:w="0" w:type="dxa"/>
            <w:left w:w="108" w:type="dxa"/>
            <w:bottom w:w="0" w:type="dxa"/>
            <w:right w:w="108" w:type="dxa"/>
          </w:tblCellMar>
        </w:tblPrEx>
        <w:trPr>
          <w:trHeight w:val="1666" w:hRule="exact"/>
          <w:jc w:val="center"/>
        </w:trPr>
        <w:tc>
          <w:tcPr>
            <w:tcW w:w="954" w:type="dxa"/>
            <w:tcBorders>
              <w:top w:val="single" w:color="000000" w:sz="4" w:space="0"/>
              <w:left w:val="single" w:color="000000" w:sz="4" w:space="0"/>
              <w:bottom w:val="single" w:color="000000" w:sz="4" w:space="0"/>
              <w:right w:val="single" w:color="000000" w:sz="4" w:space="0"/>
            </w:tcBorders>
            <w:vAlign w:val="center"/>
          </w:tcPr>
          <w:p w14:paraId="38F9E09E">
            <w:pPr>
              <w:widowControl w:val="0"/>
              <w:tabs>
                <w:tab w:val="left" w:pos="540"/>
              </w:tabs>
              <w:spacing w:before="0" w:after="0" w:line="360" w:lineRule="auto"/>
              <w:jc w:val="center"/>
              <w:rPr>
                <w:rFonts w:ascii="宋体" w:hAnsi="宋体" w:cs="宋体"/>
                <w:b w:val="0"/>
                <w:bCs/>
                <w:sz w:val="24"/>
                <w:szCs w:val="24"/>
              </w:rPr>
            </w:pPr>
            <w:r>
              <w:rPr>
                <w:rFonts w:ascii="宋体" w:hAnsi="宋体" w:cs="宋体"/>
                <w:b w:val="0"/>
                <w:bCs/>
                <w:sz w:val="24"/>
                <w:szCs w:val="24"/>
              </w:rPr>
              <w:t>1.</w:t>
            </w:r>
            <w:r>
              <w:rPr>
                <w:rFonts w:hint="eastAsia" w:ascii="宋体" w:hAnsi="宋体" w:cs="宋体"/>
                <w:b w:val="0"/>
                <w:bCs/>
                <w:sz w:val="24"/>
                <w:szCs w:val="24"/>
                <w:lang w:val="en-US" w:eastAsia="zh-CN"/>
              </w:rPr>
              <w:t>3</w:t>
            </w:r>
            <w:r>
              <w:rPr>
                <w:rFonts w:ascii="宋体" w:hAnsi="宋体" w:cs="宋体"/>
                <w:b w:val="0"/>
                <w:bCs/>
                <w:sz w:val="24"/>
                <w:szCs w:val="24"/>
              </w:rPr>
              <w:t>.4</w:t>
            </w:r>
          </w:p>
        </w:tc>
        <w:tc>
          <w:tcPr>
            <w:tcW w:w="2026" w:type="dxa"/>
            <w:tcBorders>
              <w:top w:val="single" w:color="000000" w:sz="4" w:space="0"/>
              <w:left w:val="single" w:color="000000" w:sz="4" w:space="0"/>
              <w:bottom w:val="single" w:color="000000" w:sz="4" w:space="0"/>
              <w:right w:val="single" w:color="000000" w:sz="4" w:space="0"/>
            </w:tcBorders>
            <w:vAlign w:val="center"/>
          </w:tcPr>
          <w:p w14:paraId="5C3955E2">
            <w:pPr>
              <w:widowControl w:val="0"/>
              <w:spacing w:before="0" w:after="0" w:line="360" w:lineRule="auto"/>
              <w:jc w:val="center"/>
              <w:rPr>
                <w:rFonts w:ascii="宋体" w:hAnsi="宋体" w:cs="宋体"/>
                <w:b w:val="0"/>
                <w:bCs/>
                <w:kern w:val="0"/>
                <w:sz w:val="24"/>
                <w:szCs w:val="24"/>
              </w:rPr>
            </w:pPr>
            <w:r>
              <w:rPr>
                <w:rFonts w:hint="eastAsia" w:ascii="宋体" w:hAnsi="宋体" w:cs="宋体"/>
                <w:b w:val="0"/>
                <w:bCs/>
                <w:kern w:val="0"/>
                <w:sz w:val="24"/>
                <w:szCs w:val="24"/>
              </w:rPr>
              <w:t>承包方式</w:t>
            </w:r>
          </w:p>
        </w:tc>
        <w:tc>
          <w:tcPr>
            <w:tcW w:w="7050" w:type="dxa"/>
            <w:gridSpan w:val="2"/>
            <w:tcBorders>
              <w:top w:val="single" w:color="000000" w:sz="4" w:space="0"/>
              <w:left w:val="single" w:color="000000" w:sz="4" w:space="0"/>
              <w:bottom w:val="single" w:color="000000" w:sz="4" w:space="0"/>
              <w:right w:val="single" w:color="000000" w:sz="4" w:space="0"/>
            </w:tcBorders>
            <w:vAlign w:val="center"/>
          </w:tcPr>
          <w:p w14:paraId="00A96F1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包工包料。</w:t>
            </w:r>
          </w:p>
          <w:p w14:paraId="47375F0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kern w:val="0"/>
                <w:sz w:val="24"/>
                <w:szCs w:val="24"/>
                <w:lang w:val="en-US" w:eastAsia="zh-CN" w:bidi="ar-SA"/>
              </w:rPr>
            </w:pPr>
            <w:r>
              <w:rPr>
                <w:rFonts w:hint="eastAsia" w:ascii="宋体" w:hAnsi="宋体" w:cs="宋体"/>
                <w:b w:val="0"/>
                <w:bCs/>
                <w:kern w:val="0"/>
                <w:sz w:val="24"/>
                <w:szCs w:val="24"/>
                <w:lang w:val="en-US" w:eastAsia="zh-CN" w:bidi="ar-SA"/>
              </w:rPr>
              <w:t>☑</w:t>
            </w:r>
            <w:r>
              <w:rPr>
                <w:rFonts w:hint="eastAsia" w:ascii="宋体" w:hAnsi="宋体" w:eastAsia="宋体" w:cs="宋体"/>
                <w:b w:val="0"/>
                <w:bCs/>
                <w:kern w:val="0"/>
                <w:sz w:val="24"/>
                <w:szCs w:val="24"/>
                <w:lang w:val="en-US" w:eastAsia="zh-CN" w:bidi="ar-SA"/>
              </w:rPr>
              <w:t>固定单价合同，按中标价限额</w:t>
            </w:r>
            <w:r>
              <w:rPr>
                <w:rFonts w:hint="eastAsia" w:ascii="宋体" w:hAnsi="宋体" w:cs="宋体"/>
                <w:b w:val="0"/>
                <w:bCs/>
                <w:kern w:val="0"/>
                <w:sz w:val="24"/>
                <w:szCs w:val="24"/>
                <w:lang w:val="en-US" w:eastAsia="zh-CN" w:bidi="ar-SA"/>
              </w:rPr>
              <w:t>实施本项目</w:t>
            </w:r>
            <w:r>
              <w:rPr>
                <w:rFonts w:hint="eastAsia" w:ascii="宋体" w:hAnsi="宋体" w:eastAsia="宋体" w:cs="宋体"/>
                <w:b w:val="0"/>
                <w:bCs/>
                <w:kern w:val="0"/>
                <w:sz w:val="24"/>
                <w:szCs w:val="24"/>
                <w:lang w:val="en-US" w:eastAsia="zh-CN" w:bidi="ar-SA"/>
              </w:rPr>
              <w:t>；</w:t>
            </w:r>
          </w:p>
          <w:p w14:paraId="116412B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□固定总价合同；</w:t>
            </w:r>
          </w:p>
          <w:p w14:paraId="0456F14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ascii="宋体" w:hAnsi="宋体" w:cs="宋体"/>
                <w:b w:val="0"/>
                <w:bCs/>
                <w:kern w:val="0"/>
                <w:sz w:val="24"/>
                <w:szCs w:val="24"/>
              </w:rPr>
            </w:pPr>
            <w:r>
              <w:rPr>
                <w:rFonts w:hint="eastAsia" w:ascii="宋体" w:hAnsi="宋体" w:eastAsia="宋体" w:cs="宋体"/>
                <w:b w:val="0"/>
                <w:bCs/>
                <w:kern w:val="0"/>
                <w:sz w:val="24"/>
                <w:szCs w:val="24"/>
                <w:lang w:val="en-US" w:eastAsia="zh-CN" w:bidi="ar-SA"/>
              </w:rPr>
              <w:t>□其他。</w:t>
            </w:r>
          </w:p>
        </w:tc>
      </w:tr>
      <w:tr w14:paraId="23A95927">
        <w:tblPrEx>
          <w:tblCellMar>
            <w:top w:w="0" w:type="dxa"/>
            <w:left w:w="108" w:type="dxa"/>
            <w:bottom w:w="0" w:type="dxa"/>
            <w:right w:w="108" w:type="dxa"/>
          </w:tblCellMar>
        </w:tblPrEx>
        <w:trPr>
          <w:trHeight w:val="2732" w:hRule="atLeast"/>
          <w:jc w:val="center"/>
        </w:trPr>
        <w:tc>
          <w:tcPr>
            <w:tcW w:w="954" w:type="dxa"/>
            <w:tcBorders>
              <w:top w:val="single" w:color="000000" w:sz="4" w:space="0"/>
              <w:left w:val="single" w:color="000000" w:sz="4" w:space="0"/>
              <w:bottom w:val="single" w:color="000000" w:sz="4" w:space="0"/>
              <w:right w:val="single" w:color="000000" w:sz="4" w:space="0"/>
            </w:tcBorders>
            <w:vAlign w:val="center"/>
          </w:tcPr>
          <w:p w14:paraId="47BC1B74">
            <w:pPr>
              <w:widowControl w:val="0"/>
              <w:tabs>
                <w:tab w:val="left" w:pos="540"/>
              </w:tabs>
              <w:spacing w:before="0" w:after="0" w:line="360" w:lineRule="auto"/>
              <w:jc w:val="center"/>
              <w:rPr>
                <w:rFonts w:ascii="宋体" w:hAnsi="宋体" w:cs="宋体"/>
                <w:b w:val="0"/>
                <w:bCs/>
                <w:sz w:val="24"/>
                <w:szCs w:val="24"/>
              </w:rPr>
            </w:pPr>
            <w:r>
              <w:rPr>
                <w:rFonts w:ascii="宋体" w:hAnsi="宋体" w:cs="宋体"/>
                <w:b w:val="0"/>
                <w:bCs/>
                <w:sz w:val="24"/>
                <w:szCs w:val="24"/>
              </w:rPr>
              <w:t>1.4.1</w:t>
            </w:r>
          </w:p>
        </w:tc>
        <w:tc>
          <w:tcPr>
            <w:tcW w:w="2026" w:type="dxa"/>
            <w:tcBorders>
              <w:top w:val="single" w:color="000000" w:sz="4" w:space="0"/>
              <w:left w:val="single" w:color="000000" w:sz="4" w:space="0"/>
              <w:bottom w:val="single" w:color="000000" w:sz="4" w:space="0"/>
              <w:right w:val="single" w:color="000000" w:sz="4" w:space="0"/>
            </w:tcBorders>
            <w:vAlign w:val="center"/>
          </w:tcPr>
          <w:p w14:paraId="0D6A64BF">
            <w:pPr>
              <w:autoSpaceDE w:val="0"/>
              <w:autoSpaceDN w:val="0"/>
              <w:adjustRightInd w:val="0"/>
              <w:spacing w:line="360" w:lineRule="auto"/>
              <w:jc w:val="center"/>
              <w:rPr>
                <w:rFonts w:hint="eastAsia" w:ascii="宋体" w:hAnsi="宋体" w:eastAsia="宋体" w:cs="宋体"/>
                <w:b w:val="0"/>
                <w:bCs/>
                <w:kern w:val="0"/>
                <w:sz w:val="24"/>
                <w:szCs w:val="24"/>
                <w:lang w:eastAsia="zh-CN"/>
              </w:rPr>
            </w:pPr>
            <w:r>
              <w:rPr>
                <w:rFonts w:hint="eastAsia" w:ascii="宋体" w:hAnsi="宋体" w:cs="宋体"/>
                <w:b w:val="0"/>
                <w:bCs/>
                <w:kern w:val="0"/>
                <w:sz w:val="24"/>
                <w:szCs w:val="24"/>
              </w:rPr>
              <w:t>投标人资质条件和</w:t>
            </w:r>
            <w:r>
              <w:rPr>
                <w:rFonts w:hint="eastAsia" w:ascii="宋体" w:hAnsi="宋体" w:cs="宋体"/>
                <w:b w:val="0"/>
                <w:bCs/>
                <w:kern w:val="0"/>
                <w:sz w:val="24"/>
                <w:szCs w:val="24"/>
                <w:lang w:val="en-US" w:eastAsia="zh-CN"/>
              </w:rPr>
              <w:t>要求</w:t>
            </w:r>
          </w:p>
        </w:tc>
        <w:tc>
          <w:tcPr>
            <w:tcW w:w="7050" w:type="dxa"/>
            <w:gridSpan w:val="2"/>
            <w:tcBorders>
              <w:top w:val="single" w:color="000000" w:sz="4" w:space="0"/>
              <w:left w:val="single" w:color="000000" w:sz="4" w:space="0"/>
              <w:bottom w:val="single" w:color="000000" w:sz="4" w:space="0"/>
              <w:right w:val="single" w:color="000000" w:sz="4" w:space="0"/>
            </w:tcBorders>
            <w:vAlign w:val="center"/>
          </w:tcPr>
          <w:p w14:paraId="13960145">
            <w:pPr>
              <w:keepNext w:val="0"/>
              <w:keepLines w:val="0"/>
              <w:pageBreakBefore w:val="0"/>
              <w:widowControl w:val="0"/>
              <w:kinsoku/>
              <w:wordWrap/>
              <w:overflowPunct/>
              <w:topLinePunct w:val="0"/>
              <w:autoSpaceDE w:val="0"/>
              <w:autoSpaceDN w:val="0"/>
              <w:bidi w:val="0"/>
              <w:adjustRightInd w:val="0"/>
              <w:snapToGrid/>
              <w:spacing w:before="157" w:beforeLines="50" w:line="360" w:lineRule="auto"/>
              <w:ind w:firstLine="241" w:firstLineChars="100"/>
              <w:textAlignment w:val="auto"/>
              <w:rPr>
                <w:rFonts w:ascii="宋体" w:hAnsi="宋体"/>
                <w:b w:val="0"/>
                <w:bCs/>
                <w:sz w:val="24"/>
                <w:szCs w:val="24"/>
              </w:rPr>
            </w:pPr>
            <w:r>
              <w:rPr>
                <w:rFonts w:hint="eastAsia" w:ascii="宋体" w:hAnsi="宋体" w:cs="宋体"/>
                <w:b/>
                <w:bCs w:val="0"/>
                <w:kern w:val="0"/>
                <w:sz w:val="24"/>
                <w:szCs w:val="24"/>
              </w:rPr>
              <w:t>资质</w:t>
            </w:r>
            <w:r>
              <w:rPr>
                <w:rFonts w:hint="eastAsia" w:ascii="宋体" w:hAnsi="宋体" w:cs="宋体"/>
                <w:b/>
                <w:bCs w:val="0"/>
                <w:kern w:val="0"/>
                <w:sz w:val="24"/>
                <w:szCs w:val="24"/>
                <w:lang w:eastAsia="zh-CN"/>
              </w:rPr>
              <w:t>条件</w:t>
            </w:r>
            <w:r>
              <w:rPr>
                <w:rFonts w:hint="eastAsia" w:ascii="宋体" w:hAnsi="宋体" w:cs="宋体"/>
                <w:b/>
                <w:bCs w:val="0"/>
                <w:kern w:val="0"/>
                <w:sz w:val="24"/>
                <w:szCs w:val="24"/>
              </w:rPr>
              <w:t>：</w:t>
            </w:r>
            <w:r>
              <w:rPr>
                <w:rFonts w:hint="eastAsia" w:ascii="宋体" w:hAnsi="宋体"/>
                <w:b w:val="0"/>
                <w:bCs/>
                <w:sz w:val="24"/>
                <w:szCs w:val="24"/>
              </w:rPr>
              <w:t xml:space="preserve">投标人须是深水网箱的制造商或其代理经销商。一个制造商对同一品牌同一型号的设备，仅能委托一个代理经销商参加投标。 </w:t>
            </w:r>
          </w:p>
          <w:p w14:paraId="3FEC46BA">
            <w:pPr>
              <w:autoSpaceDE w:val="0"/>
              <w:autoSpaceDN w:val="0"/>
              <w:adjustRightInd w:val="0"/>
              <w:spacing w:line="360" w:lineRule="auto"/>
              <w:ind w:firstLine="120" w:firstLineChars="50"/>
              <w:rPr>
                <w:rFonts w:hint="eastAsia" w:ascii="宋体" w:hAnsi="宋体" w:eastAsia="宋体"/>
                <w:b/>
                <w:bCs w:val="0"/>
                <w:sz w:val="24"/>
                <w:szCs w:val="24"/>
                <w:lang w:eastAsia="zh-CN"/>
              </w:rPr>
            </w:pPr>
            <w:r>
              <w:rPr>
                <w:rFonts w:hint="eastAsia" w:ascii="宋体" w:hAnsi="宋体" w:cs="宋体"/>
                <w:b/>
                <w:bCs w:val="0"/>
                <w:kern w:val="0"/>
                <w:sz w:val="24"/>
                <w:szCs w:val="24"/>
              </w:rPr>
              <w:t>财务要求：</w:t>
            </w:r>
            <w:r>
              <w:rPr>
                <w:rFonts w:hint="eastAsia" w:ascii="宋体" w:hAnsi="宋体"/>
                <w:b w:val="0"/>
                <w:bCs/>
                <w:sz w:val="24"/>
                <w:szCs w:val="24"/>
                <w:lang w:val="en-US" w:eastAsia="zh-CN"/>
              </w:rPr>
              <w:t>无。</w:t>
            </w:r>
          </w:p>
          <w:p w14:paraId="7DFE1530">
            <w:pPr>
              <w:autoSpaceDE w:val="0"/>
              <w:autoSpaceDN w:val="0"/>
              <w:adjustRightInd w:val="0"/>
              <w:spacing w:line="360" w:lineRule="auto"/>
              <w:ind w:firstLine="120" w:firstLineChars="50"/>
              <w:rPr>
                <w:rFonts w:hint="eastAsia" w:ascii="宋体" w:hAnsi="宋体" w:eastAsia="宋体"/>
                <w:b/>
                <w:bCs w:val="0"/>
                <w:sz w:val="24"/>
                <w:szCs w:val="24"/>
                <w:lang w:eastAsia="zh-CN"/>
              </w:rPr>
            </w:pPr>
            <w:r>
              <w:rPr>
                <w:rFonts w:hint="eastAsia" w:ascii="宋体" w:hAnsi="宋体" w:cs="宋体"/>
                <w:b/>
                <w:bCs w:val="0"/>
                <w:kern w:val="0"/>
                <w:sz w:val="24"/>
                <w:szCs w:val="24"/>
              </w:rPr>
              <w:t>业绩要求：</w:t>
            </w:r>
            <w:r>
              <w:rPr>
                <w:rFonts w:hint="eastAsia" w:ascii="宋体" w:hAnsi="宋体"/>
                <w:b w:val="0"/>
                <w:bCs/>
                <w:sz w:val="24"/>
                <w:szCs w:val="24"/>
                <w:lang w:val="en-US" w:eastAsia="zh-CN"/>
              </w:rPr>
              <w:t>无。</w:t>
            </w:r>
          </w:p>
          <w:p w14:paraId="223A66B1">
            <w:pPr>
              <w:autoSpaceDE w:val="0"/>
              <w:autoSpaceDN w:val="0"/>
              <w:adjustRightInd w:val="0"/>
              <w:spacing w:line="360" w:lineRule="auto"/>
              <w:ind w:firstLine="120" w:firstLineChars="50"/>
              <w:rPr>
                <w:rFonts w:hint="eastAsia" w:ascii="宋体" w:hAnsi="宋体"/>
                <w:b w:val="0"/>
                <w:bCs/>
                <w:sz w:val="24"/>
                <w:szCs w:val="24"/>
              </w:rPr>
            </w:pPr>
            <w:r>
              <w:rPr>
                <w:rFonts w:hint="eastAsia" w:ascii="宋体" w:hAnsi="宋体" w:cs="宋体"/>
                <w:b/>
                <w:bCs w:val="0"/>
                <w:kern w:val="0"/>
                <w:sz w:val="24"/>
                <w:szCs w:val="24"/>
              </w:rPr>
              <w:t>信誉要求：</w:t>
            </w:r>
            <w:r>
              <w:rPr>
                <w:rFonts w:hint="eastAsia" w:ascii="宋体" w:hAnsi="宋体"/>
                <w:b w:val="0"/>
                <w:bCs/>
                <w:sz w:val="24"/>
                <w:szCs w:val="24"/>
              </w:rPr>
              <w:t>投标人在近三年内（202</w:t>
            </w:r>
            <w:r>
              <w:rPr>
                <w:rFonts w:hint="eastAsia" w:ascii="宋体" w:hAnsi="宋体"/>
                <w:b w:val="0"/>
                <w:bCs/>
                <w:sz w:val="24"/>
                <w:szCs w:val="24"/>
                <w:lang w:val="en-US" w:eastAsia="zh-CN"/>
              </w:rPr>
              <w:t>2</w:t>
            </w:r>
            <w:r>
              <w:rPr>
                <w:rFonts w:hint="eastAsia" w:ascii="宋体" w:hAnsi="宋体"/>
                <w:b w:val="0"/>
                <w:bCs/>
                <w:sz w:val="24"/>
                <w:szCs w:val="24"/>
              </w:rPr>
              <w:t>年1月1日至今）</w:t>
            </w:r>
            <w:r>
              <w:rPr>
                <w:rFonts w:hint="eastAsia" w:ascii="宋体" w:hAnsi="宋体"/>
                <w:b w:val="0"/>
                <w:bCs/>
                <w:sz w:val="24"/>
                <w:szCs w:val="24"/>
                <w:lang w:eastAsia="zh-CN"/>
              </w:rPr>
              <w:t>没有</w:t>
            </w:r>
            <w:r>
              <w:rPr>
                <w:rFonts w:hint="eastAsia" w:ascii="宋体" w:hAnsi="宋体"/>
                <w:b w:val="0"/>
                <w:bCs/>
                <w:sz w:val="24"/>
                <w:szCs w:val="24"/>
              </w:rPr>
              <w:t>存在骗取中标或严重违约被解除合</w:t>
            </w:r>
            <w:r>
              <w:rPr>
                <w:rFonts w:hint="eastAsia" w:ascii="宋体" w:hAnsi="宋体"/>
                <w:b w:val="0"/>
                <w:bCs/>
                <w:color w:val="auto"/>
                <w:sz w:val="24"/>
                <w:szCs w:val="24"/>
              </w:rPr>
              <w:t>同或重大</w:t>
            </w:r>
            <w:r>
              <w:rPr>
                <w:rFonts w:hint="eastAsia" w:ascii="宋体" w:hAnsi="宋体"/>
                <w:b w:val="0"/>
                <w:bCs/>
                <w:color w:val="auto"/>
                <w:sz w:val="24"/>
                <w:szCs w:val="24"/>
                <w:lang w:val="en-US" w:eastAsia="zh-CN"/>
              </w:rPr>
              <w:t>货物</w:t>
            </w:r>
            <w:r>
              <w:rPr>
                <w:rFonts w:hint="eastAsia" w:ascii="宋体" w:hAnsi="宋体"/>
                <w:b w:val="0"/>
                <w:bCs/>
                <w:color w:val="auto"/>
                <w:sz w:val="24"/>
                <w:szCs w:val="24"/>
              </w:rPr>
              <w:t>质量问题的行为</w:t>
            </w:r>
            <w:r>
              <w:rPr>
                <w:rFonts w:hint="eastAsia" w:ascii="宋体" w:hAnsi="宋体"/>
                <w:b w:val="0"/>
                <w:bCs/>
                <w:sz w:val="24"/>
                <w:szCs w:val="24"/>
              </w:rPr>
              <w:t>。</w:t>
            </w:r>
          </w:p>
          <w:p w14:paraId="31AC301F">
            <w:pPr>
              <w:autoSpaceDE w:val="0"/>
              <w:autoSpaceDN w:val="0"/>
              <w:adjustRightInd w:val="0"/>
              <w:spacing w:line="360" w:lineRule="auto"/>
              <w:ind w:firstLine="480" w:firstLineChars="200"/>
              <w:rPr>
                <w:rFonts w:ascii="宋体" w:hAnsi="宋体"/>
                <w:b w:val="0"/>
                <w:bCs/>
                <w:sz w:val="24"/>
                <w:szCs w:val="24"/>
              </w:rPr>
            </w:pPr>
            <w:r>
              <w:rPr>
                <w:rFonts w:hint="eastAsia" w:ascii="宋体" w:hAnsi="宋体"/>
                <w:b w:val="0"/>
                <w:bCs/>
                <w:sz w:val="24"/>
                <w:szCs w:val="24"/>
              </w:rPr>
              <w:t>投标人在“信用中国”网站（www.creditchina.gov.cn)查询：没有被列为严重失信主体或被人民法院列为失信被执行人。</w:t>
            </w:r>
            <w:r>
              <w:rPr>
                <w:rFonts w:ascii="宋体" w:hAnsi="宋体"/>
                <w:b w:val="0"/>
                <w:bCs/>
                <w:sz w:val="24"/>
                <w:szCs w:val="24"/>
              </w:rPr>
              <w:t xml:space="preserve"> </w:t>
            </w:r>
          </w:p>
          <w:p w14:paraId="22452554">
            <w:pPr>
              <w:keepNext w:val="0"/>
              <w:keepLines w:val="0"/>
              <w:pageBreakBefore w:val="0"/>
              <w:kinsoku/>
              <w:wordWrap/>
              <w:overflowPunct/>
              <w:topLinePunct w:val="0"/>
              <w:autoSpaceDE w:val="0"/>
              <w:autoSpaceDN w:val="0"/>
              <w:bidi w:val="0"/>
              <w:adjustRightInd w:val="0"/>
              <w:snapToGrid/>
              <w:spacing w:line="360" w:lineRule="auto"/>
              <w:ind w:firstLine="120" w:firstLineChars="50"/>
              <w:textAlignment w:val="auto"/>
              <w:rPr>
                <w:rFonts w:hint="eastAsia" w:ascii="宋体" w:hAnsi="宋体"/>
                <w:b/>
                <w:bCs w:val="0"/>
                <w:sz w:val="24"/>
                <w:szCs w:val="24"/>
              </w:rPr>
            </w:pPr>
            <w:r>
              <w:rPr>
                <w:rFonts w:hint="eastAsia" w:ascii="宋体" w:hAnsi="宋体"/>
                <w:b/>
                <w:bCs w:val="0"/>
                <w:sz w:val="24"/>
                <w:szCs w:val="24"/>
              </w:rPr>
              <w:t>项目经理及其他人员资格：</w:t>
            </w:r>
            <w:r>
              <w:rPr>
                <w:rFonts w:hint="eastAsia" w:cs="Times New Roman"/>
                <w:b w:val="0"/>
                <w:bCs/>
                <w:color w:val="auto"/>
                <w:kern w:val="2"/>
                <w:sz w:val="24"/>
                <w:szCs w:val="24"/>
                <w:lang w:val="en-US" w:eastAsia="zh-CN" w:bidi="ar-SA"/>
              </w:rPr>
              <w:t>无。</w:t>
            </w:r>
          </w:p>
          <w:p w14:paraId="796B91EB">
            <w:pPr>
              <w:pStyle w:val="15"/>
              <w:keepNext w:val="0"/>
              <w:keepLines w:val="0"/>
              <w:pageBreakBefore w:val="0"/>
              <w:kinsoku/>
              <w:wordWrap/>
              <w:overflowPunct/>
              <w:topLinePunct w:val="0"/>
              <w:bidi w:val="0"/>
              <w:snapToGrid/>
              <w:spacing w:line="360" w:lineRule="auto"/>
              <w:ind w:left="0" w:leftChars="0" w:firstLine="241" w:firstLineChars="100"/>
              <w:textAlignment w:val="auto"/>
            </w:pPr>
            <w:r>
              <w:rPr>
                <w:rFonts w:hint="eastAsia" w:ascii="宋体" w:hAnsi="宋体" w:eastAsia="宋体" w:cs="Times New Roman"/>
                <w:b/>
                <w:bCs w:val="0"/>
                <w:color w:val="auto"/>
                <w:kern w:val="2"/>
                <w:sz w:val="24"/>
                <w:szCs w:val="24"/>
                <w:lang w:val="en-US" w:eastAsia="zh-CN" w:bidi="ar-SA"/>
              </w:rPr>
              <w:t>其它要求：</w:t>
            </w:r>
            <w:r>
              <w:rPr>
                <w:rFonts w:hint="eastAsia" w:cs="Times New Roman"/>
                <w:b w:val="0"/>
                <w:bCs/>
                <w:color w:val="auto"/>
                <w:kern w:val="2"/>
                <w:sz w:val="24"/>
                <w:szCs w:val="24"/>
                <w:lang w:val="en-US" w:eastAsia="zh-CN" w:bidi="ar-SA"/>
              </w:rPr>
              <w:t>无。</w:t>
            </w:r>
          </w:p>
        </w:tc>
      </w:tr>
      <w:tr w14:paraId="3D0E419F">
        <w:tblPrEx>
          <w:tblCellMar>
            <w:top w:w="0" w:type="dxa"/>
            <w:left w:w="108" w:type="dxa"/>
            <w:bottom w:w="0" w:type="dxa"/>
            <w:right w:w="108" w:type="dxa"/>
          </w:tblCellMar>
        </w:tblPrEx>
        <w:trPr>
          <w:trHeight w:val="942" w:hRule="exact"/>
          <w:jc w:val="center"/>
        </w:trPr>
        <w:tc>
          <w:tcPr>
            <w:tcW w:w="954" w:type="dxa"/>
            <w:tcBorders>
              <w:top w:val="single" w:color="000000" w:sz="4" w:space="0"/>
              <w:left w:val="single" w:color="000000" w:sz="4" w:space="0"/>
              <w:bottom w:val="single" w:color="000000" w:sz="4" w:space="0"/>
              <w:right w:val="single" w:color="000000" w:sz="4" w:space="0"/>
            </w:tcBorders>
            <w:vAlign w:val="center"/>
          </w:tcPr>
          <w:p w14:paraId="58236E9A">
            <w:pPr>
              <w:snapToGrid w:val="0"/>
              <w:spacing w:line="360" w:lineRule="auto"/>
              <w:jc w:val="center"/>
              <w:rPr>
                <w:rFonts w:ascii="宋体" w:hAnsi="宋体" w:cs="宋体"/>
                <w:b w:val="0"/>
                <w:bCs/>
                <w:sz w:val="24"/>
                <w:szCs w:val="24"/>
              </w:rPr>
            </w:pPr>
            <w:r>
              <w:rPr>
                <w:rFonts w:hint="eastAsia" w:ascii="宋体" w:hAnsi="宋体"/>
                <w:sz w:val="24"/>
                <w:szCs w:val="24"/>
              </w:rPr>
              <w:t>1.4.2</w:t>
            </w:r>
          </w:p>
        </w:tc>
        <w:tc>
          <w:tcPr>
            <w:tcW w:w="2026" w:type="dxa"/>
            <w:tcBorders>
              <w:top w:val="single" w:color="000000" w:sz="4" w:space="0"/>
              <w:left w:val="single" w:color="000000" w:sz="4" w:space="0"/>
              <w:bottom w:val="single" w:color="000000" w:sz="4" w:space="0"/>
              <w:right w:val="single" w:color="000000" w:sz="4" w:space="0"/>
            </w:tcBorders>
            <w:vAlign w:val="center"/>
          </w:tcPr>
          <w:p w14:paraId="519FB998">
            <w:pPr>
              <w:snapToGrid w:val="0"/>
              <w:spacing w:line="360" w:lineRule="auto"/>
              <w:jc w:val="center"/>
              <w:rPr>
                <w:rFonts w:ascii="宋体" w:hAnsi="宋体"/>
                <w:sz w:val="24"/>
                <w:szCs w:val="24"/>
              </w:rPr>
            </w:pPr>
            <w:r>
              <w:rPr>
                <w:rFonts w:hint="eastAsia" w:ascii="宋体" w:hAnsi="宋体"/>
                <w:sz w:val="24"/>
                <w:szCs w:val="24"/>
              </w:rPr>
              <w:t>是否接受</w:t>
            </w:r>
          </w:p>
          <w:p w14:paraId="5041CBC5">
            <w:pPr>
              <w:snapToGrid w:val="0"/>
              <w:spacing w:line="360" w:lineRule="auto"/>
              <w:jc w:val="center"/>
              <w:rPr>
                <w:rFonts w:ascii="宋体" w:hAnsi="宋体" w:cs="宋体"/>
                <w:b w:val="0"/>
                <w:bCs/>
                <w:kern w:val="0"/>
                <w:sz w:val="24"/>
                <w:szCs w:val="24"/>
              </w:rPr>
            </w:pPr>
            <w:r>
              <w:rPr>
                <w:rFonts w:hint="eastAsia" w:ascii="宋体" w:hAnsi="宋体"/>
                <w:sz w:val="24"/>
                <w:szCs w:val="24"/>
              </w:rPr>
              <w:t>联合体投标</w:t>
            </w:r>
          </w:p>
        </w:tc>
        <w:tc>
          <w:tcPr>
            <w:tcW w:w="7050" w:type="dxa"/>
            <w:gridSpan w:val="2"/>
            <w:tcBorders>
              <w:top w:val="single" w:color="000000" w:sz="4" w:space="0"/>
              <w:left w:val="single" w:color="000000" w:sz="4" w:space="0"/>
              <w:bottom w:val="single" w:color="000000" w:sz="4" w:space="0"/>
              <w:right w:val="single" w:color="000000" w:sz="4" w:space="0"/>
            </w:tcBorders>
            <w:vAlign w:val="center"/>
          </w:tcPr>
          <w:p w14:paraId="2AD5F57E">
            <w:pPr>
              <w:snapToGrid w:val="0"/>
              <w:spacing w:line="360" w:lineRule="auto"/>
              <w:rPr>
                <w:rFonts w:ascii="宋体" w:hAnsi="宋体"/>
                <w:sz w:val="24"/>
                <w:szCs w:val="24"/>
              </w:rPr>
            </w:pPr>
            <w:r>
              <w:rPr>
                <w:rFonts w:hint="eastAsia" w:ascii="宋体" w:hAnsi="宋体"/>
                <w:sz w:val="24"/>
                <w:szCs w:val="24"/>
                <w:lang w:eastAsia="zh-CN"/>
              </w:rPr>
              <w:t>☑</w:t>
            </w:r>
            <w:r>
              <w:rPr>
                <w:rFonts w:hint="eastAsia" w:ascii="宋体" w:hAnsi="宋体"/>
                <w:sz w:val="24"/>
                <w:szCs w:val="24"/>
                <w:lang w:val="en-US" w:eastAsia="zh-CN"/>
              </w:rPr>
              <w:t xml:space="preserve"> </w:t>
            </w:r>
            <w:r>
              <w:rPr>
                <w:rFonts w:hint="eastAsia" w:ascii="宋体" w:hAnsi="宋体"/>
                <w:sz w:val="24"/>
                <w:szCs w:val="24"/>
              </w:rPr>
              <w:t>不接受</w:t>
            </w:r>
          </w:p>
          <w:p w14:paraId="1766AF92">
            <w:pPr>
              <w:snapToGrid w:val="0"/>
              <w:spacing w:line="360" w:lineRule="auto"/>
              <w:rPr>
                <w:rFonts w:ascii="宋体" w:hAnsi="宋体" w:cs="宋体"/>
                <w:b w:val="0"/>
                <w:bCs/>
                <w:kern w:val="0"/>
                <w:sz w:val="24"/>
                <w:szCs w:val="24"/>
              </w:rPr>
            </w:pPr>
            <w:r>
              <w:rPr>
                <w:rFonts w:hint="eastAsia" w:ascii="宋体" w:hAnsi="宋体"/>
                <w:sz w:val="24"/>
                <w:szCs w:val="24"/>
              </w:rPr>
              <w:t>□</w:t>
            </w:r>
            <w:r>
              <w:rPr>
                <w:rFonts w:hint="eastAsia" w:ascii="宋体" w:hAnsi="宋体"/>
                <w:sz w:val="24"/>
                <w:szCs w:val="24"/>
                <w:lang w:val="en-US" w:eastAsia="zh-CN"/>
              </w:rPr>
              <w:t xml:space="preserve"> </w:t>
            </w:r>
            <w:r>
              <w:rPr>
                <w:rFonts w:hint="eastAsia" w:ascii="宋体" w:hAnsi="宋体"/>
                <w:sz w:val="24"/>
                <w:szCs w:val="24"/>
              </w:rPr>
              <w:t>接受，应满足下列要求：</w:t>
            </w:r>
            <w:r>
              <w:rPr>
                <w:rFonts w:hint="eastAsia" w:ascii="宋体" w:hAnsi="宋体"/>
                <w:sz w:val="24"/>
                <w:szCs w:val="24"/>
                <w:lang w:val="en-US" w:eastAsia="zh-CN"/>
              </w:rPr>
              <w:t>/ 。</w:t>
            </w:r>
          </w:p>
        </w:tc>
      </w:tr>
      <w:tr w14:paraId="66934CAD">
        <w:tblPrEx>
          <w:tblCellMar>
            <w:top w:w="0" w:type="dxa"/>
            <w:left w:w="108" w:type="dxa"/>
            <w:bottom w:w="0" w:type="dxa"/>
            <w:right w:w="108" w:type="dxa"/>
          </w:tblCellMar>
        </w:tblPrEx>
        <w:trPr>
          <w:jc w:val="center"/>
        </w:trPr>
        <w:tc>
          <w:tcPr>
            <w:tcW w:w="954" w:type="dxa"/>
            <w:tcBorders>
              <w:top w:val="single" w:color="000000" w:sz="4" w:space="0"/>
              <w:left w:val="single" w:color="000000" w:sz="4" w:space="0"/>
              <w:bottom w:val="single" w:color="000000" w:sz="4" w:space="0"/>
              <w:right w:val="single" w:color="000000" w:sz="4" w:space="0"/>
            </w:tcBorders>
            <w:vAlign w:val="center"/>
          </w:tcPr>
          <w:p w14:paraId="66D1FCF1">
            <w:pPr>
              <w:snapToGrid w:val="0"/>
              <w:spacing w:line="360" w:lineRule="auto"/>
              <w:jc w:val="center"/>
              <w:rPr>
                <w:rFonts w:ascii="宋体" w:hAnsi="宋体" w:cs="宋体"/>
                <w:b w:val="0"/>
                <w:bCs/>
                <w:sz w:val="24"/>
                <w:szCs w:val="24"/>
              </w:rPr>
            </w:pPr>
            <w:r>
              <w:rPr>
                <w:rFonts w:hint="eastAsia" w:ascii="宋体" w:hAnsi="宋体"/>
                <w:sz w:val="24"/>
                <w:szCs w:val="24"/>
              </w:rPr>
              <w:t>1.9.1</w:t>
            </w:r>
          </w:p>
        </w:tc>
        <w:tc>
          <w:tcPr>
            <w:tcW w:w="2026" w:type="dxa"/>
            <w:tcBorders>
              <w:top w:val="single" w:color="000000" w:sz="4" w:space="0"/>
              <w:left w:val="single" w:color="000000" w:sz="4" w:space="0"/>
              <w:bottom w:val="single" w:color="000000" w:sz="4" w:space="0"/>
              <w:right w:val="single" w:color="000000" w:sz="4" w:space="0"/>
            </w:tcBorders>
            <w:vAlign w:val="center"/>
          </w:tcPr>
          <w:p w14:paraId="44F57AE6">
            <w:pPr>
              <w:snapToGrid w:val="0"/>
              <w:spacing w:line="360" w:lineRule="auto"/>
              <w:jc w:val="center"/>
              <w:rPr>
                <w:rFonts w:ascii="宋体" w:hAnsi="宋体" w:cs="宋体"/>
                <w:b w:val="0"/>
                <w:bCs/>
                <w:kern w:val="0"/>
                <w:sz w:val="24"/>
                <w:szCs w:val="24"/>
              </w:rPr>
            </w:pPr>
            <w:r>
              <w:rPr>
                <w:rFonts w:hint="eastAsia" w:ascii="宋体" w:hAnsi="宋体"/>
                <w:bCs/>
                <w:sz w:val="24"/>
                <w:szCs w:val="24"/>
              </w:rPr>
              <w:t>踏勘现场</w:t>
            </w:r>
          </w:p>
        </w:tc>
        <w:tc>
          <w:tcPr>
            <w:tcW w:w="7050" w:type="dxa"/>
            <w:gridSpan w:val="2"/>
            <w:tcBorders>
              <w:top w:val="single" w:color="000000" w:sz="4" w:space="0"/>
              <w:left w:val="single" w:color="000000" w:sz="4" w:space="0"/>
              <w:bottom w:val="single" w:color="000000" w:sz="4" w:space="0"/>
              <w:right w:val="single" w:color="000000" w:sz="4" w:space="0"/>
            </w:tcBorders>
            <w:vAlign w:val="center"/>
          </w:tcPr>
          <w:p w14:paraId="1CFD13E8">
            <w:pPr>
              <w:tabs>
                <w:tab w:val="left" w:pos="540"/>
              </w:tabs>
              <w:spacing w:line="360" w:lineRule="auto"/>
              <w:rPr>
                <w:rFonts w:ascii="宋体" w:hAnsi="宋体"/>
                <w:sz w:val="24"/>
                <w:szCs w:val="24"/>
              </w:rPr>
            </w:pPr>
            <w:r>
              <w:rPr>
                <w:rFonts w:hint="eastAsia" w:ascii="宋体" w:hAnsi="宋体"/>
                <w:sz w:val="24"/>
                <w:szCs w:val="24"/>
                <w:lang w:eastAsia="zh-CN"/>
              </w:rPr>
              <w:t>☑</w:t>
            </w:r>
            <w:r>
              <w:rPr>
                <w:rFonts w:hint="eastAsia" w:ascii="宋体" w:hAnsi="宋体"/>
                <w:sz w:val="24"/>
                <w:szCs w:val="24"/>
              </w:rPr>
              <w:t xml:space="preserve"> 不组织，投标人可自行踏勘项目建设现场。</w:t>
            </w:r>
          </w:p>
          <w:p w14:paraId="04C44C23">
            <w:pPr>
              <w:tabs>
                <w:tab w:val="left" w:pos="540"/>
              </w:tabs>
              <w:spacing w:line="360" w:lineRule="auto"/>
              <w:rPr>
                <w:rFonts w:hint="eastAsia" w:ascii="宋体" w:hAnsi="宋体" w:eastAsia="宋体"/>
                <w:sz w:val="24"/>
                <w:szCs w:val="24"/>
                <w:lang w:val="en-US" w:eastAsia="zh-CN"/>
              </w:rPr>
            </w:pPr>
            <w:r>
              <w:rPr>
                <w:rFonts w:hint="eastAsia" w:ascii="宋体" w:hAnsi="宋体"/>
                <w:sz w:val="24"/>
                <w:szCs w:val="24"/>
                <w:lang w:eastAsia="zh-CN"/>
              </w:rPr>
              <w:t>□</w:t>
            </w:r>
            <w:r>
              <w:rPr>
                <w:rFonts w:hint="eastAsia" w:ascii="宋体" w:hAnsi="宋体"/>
                <w:sz w:val="24"/>
                <w:szCs w:val="24"/>
                <w:lang w:val="en-US" w:eastAsia="zh-CN"/>
              </w:rPr>
              <w:t xml:space="preserve"> </w:t>
            </w:r>
            <w:r>
              <w:rPr>
                <w:rFonts w:hint="eastAsia" w:ascii="宋体" w:hAnsi="宋体"/>
                <w:sz w:val="24"/>
                <w:szCs w:val="24"/>
              </w:rPr>
              <w:t>组织，踏勘时间：</w:t>
            </w:r>
            <w:r>
              <w:rPr>
                <w:rFonts w:hint="eastAsia" w:ascii="宋体" w:hAnsi="宋体"/>
                <w:sz w:val="24"/>
                <w:szCs w:val="24"/>
                <w:lang w:val="en-US" w:eastAsia="zh-CN"/>
              </w:rPr>
              <w:t xml:space="preserve">/ </w:t>
            </w:r>
          </w:p>
          <w:p w14:paraId="4D735493">
            <w:pPr>
              <w:tabs>
                <w:tab w:val="left" w:pos="540"/>
              </w:tabs>
              <w:spacing w:line="360" w:lineRule="auto"/>
              <w:ind w:firstLine="480" w:firstLineChars="200"/>
              <w:rPr>
                <w:rFonts w:hint="default" w:ascii="宋体" w:hAnsi="宋体" w:eastAsia="宋体" w:cs="宋体"/>
                <w:b w:val="0"/>
                <w:bCs/>
                <w:kern w:val="0"/>
                <w:sz w:val="24"/>
                <w:szCs w:val="24"/>
                <w:lang w:val="en-US" w:eastAsia="zh-CN"/>
              </w:rPr>
            </w:pPr>
            <w:r>
              <w:rPr>
                <w:rFonts w:hint="eastAsia" w:ascii="宋体" w:hAnsi="宋体"/>
                <w:sz w:val="24"/>
                <w:szCs w:val="24"/>
              </w:rPr>
              <w:t>踏勘集中地点：</w:t>
            </w:r>
            <w:r>
              <w:rPr>
                <w:rFonts w:hint="eastAsia" w:ascii="宋体" w:hAnsi="宋体"/>
                <w:sz w:val="24"/>
                <w:szCs w:val="24"/>
                <w:lang w:val="en-US" w:eastAsia="zh-CN"/>
              </w:rPr>
              <w:t xml:space="preserve">/ </w:t>
            </w:r>
          </w:p>
        </w:tc>
      </w:tr>
      <w:tr w14:paraId="23EBFB87">
        <w:tblPrEx>
          <w:tblCellMar>
            <w:top w:w="0" w:type="dxa"/>
            <w:left w:w="108" w:type="dxa"/>
            <w:bottom w:w="0" w:type="dxa"/>
            <w:right w:w="108" w:type="dxa"/>
          </w:tblCellMar>
        </w:tblPrEx>
        <w:trPr>
          <w:trHeight w:val="789" w:hRule="atLeast"/>
          <w:jc w:val="center"/>
        </w:trPr>
        <w:tc>
          <w:tcPr>
            <w:tcW w:w="954" w:type="dxa"/>
            <w:tcBorders>
              <w:top w:val="single" w:color="000000" w:sz="4" w:space="0"/>
              <w:left w:val="single" w:color="000000" w:sz="4" w:space="0"/>
              <w:bottom w:val="single" w:color="000000" w:sz="4" w:space="0"/>
              <w:right w:val="single" w:color="000000" w:sz="4" w:space="0"/>
            </w:tcBorders>
            <w:vAlign w:val="center"/>
          </w:tcPr>
          <w:p w14:paraId="7DF665CD">
            <w:pPr>
              <w:spacing w:line="360" w:lineRule="auto"/>
              <w:jc w:val="center"/>
              <w:rPr>
                <w:rFonts w:ascii="宋体" w:hAnsi="宋体" w:cs="宋体"/>
                <w:b w:val="0"/>
                <w:bCs/>
                <w:sz w:val="24"/>
                <w:szCs w:val="24"/>
              </w:rPr>
            </w:pPr>
            <w:r>
              <w:rPr>
                <w:rFonts w:hint="eastAsia" w:ascii="宋体" w:hAnsi="宋体"/>
                <w:sz w:val="24"/>
                <w:szCs w:val="24"/>
              </w:rPr>
              <w:t>1.10.1</w:t>
            </w:r>
          </w:p>
        </w:tc>
        <w:tc>
          <w:tcPr>
            <w:tcW w:w="2026" w:type="dxa"/>
            <w:tcBorders>
              <w:top w:val="single" w:color="000000" w:sz="4" w:space="0"/>
              <w:left w:val="single" w:color="000000" w:sz="4" w:space="0"/>
              <w:bottom w:val="single" w:color="000000" w:sz="4" w:space="0"/>
              <w:right w:val="single" w:color="000000" w:sz="4" w:space="0"/>
            </w:tcBorders>
            <w:vAlign w:val="center"/>
          </w:tcPr>
          <w:p w14:paraId="5DE44695">
            <w:pPr>
              <w:tabs>
                <w:tab w:val="left" w:pos="540"/>
              </w:tabs>
              <w:spacing w:line="360" w:lineRule="auto"/>
              <w:jc w:val="center"/>
              <w:rPr>
                <w:rFonts w:ascii="宋体" w:hAnsi="宋体" w:cs="宋体"/>
                <w:b w:val="0"/>
                <w:bCs/>
                <w:kern w:val="0"/>
                <w:sz w:val="24"/>
                <w:szCs w:val="24"/>
              </w:rPr>
            </w:pPr>
            <w:r>
              <w:rPr>
                <w:rFonts w:hint="eastAsia" w:ascii="宋体" w:hAnsi="宋体"/>
                <w:bCs/>
                <w:sz w:val="24"/>
                <w:szCs w:val="24"/>
              </w:rPr>
              <w:t>投标预备会</w:t>
            </w:r>
          </w:p>
        </w:tc>
        <w:tc>
          <w:tcPr>
            <w:tcW w:w="7050" w:type="dxa"/>
            <w:gridSpan w:val="2"/>
            <w:tcBorders>
              <w:top w:val="single" w:color="000000" w:sz="4" w:space="0"/>
              <w:left w:val="single" w:color="000000" w:sz="4" w:space="0"/>
              <w:bottom w:val="single" w:color="000000" w:sz="4" w:space="0"/>
              <w:right w:val="single" w:color="000000" w:sz="4" w:space="0"/>
            </w:tcBorders>
            <w:vAlign w:val="center"/>
          </w:tcPr>
          <w:p w14:paraId="391953D0">
            <w:pPr>
              <w:tabs>
                <w:tab w:val="left" w:pos="540"/>
              </w:tabs>
              <w:spacing w:line="360" w:lineRule="auto"/>
              <w:rPr>
                <w:rFonts w:ascii="宋体" w:hAnsi="宋体"/>
                <w:sz w:val="24"/>
                <w:szCs w:val="24"/>
              </w:rPr>
            </w:pPr>
            <w:r>
              <w:rPr>
                <w:rFonts w:hint="eastAsia" w:ascii="宋体" w:hAnsi="宋体"/>
                <w:sz w:val="24"/>
                <w:szCs w:val="24"/>
                <w:lang w:eastAsia="zh-CN"/>
              </w:rPr>
              <w:t>☑</w:t>
            </w:r>
            <w:r>
              <w:rPr>
                <w:rFonts w:hint="eastAsia" w:ascii="宋体" w:hAnsi="宋体"/>
                <w:sz w:val="24"/>
                <w:szCs w:val="24"/>
                <w:lang w:val="en-US" w:eastAsia="zh-CN"/>
              </w:rPr>
              <w:t xml:space="preserve"> </w:t>
            </w:r>
            <w:r>
              <w:rPr>
                <w:rFonts w:hint="eastAsia" w:ascii="宋体" w:hAnsi="宋体"/>
                <w:sz w:val="24"/>
                <w:szCs w:val="24"/>
              </w:rPr>
              <w:t>不召开。</w:t>
            </w:r>
          </w:p>
          <w:p w14:paraId="702B075C">
            <w:pPr>
              <w:tabs>
                <w:tab w:val="left" w:pos="540"/>
              </w:tabs>
              <w:spacing w:line="360" w:lineRule="auto"/>
              <w:rPr>
                <w:rFonts w:hint="eastAsia" w:ascii="宋体" w:hAnsi="宋体" w:eastAsia="宋体"/>
                <w:sz w:val="24"/>
                <w:szCs w:val="24"/>
                <w:lang w:val="en-US" w:eastAsia="zh-CN"/>
              </w:rPr>
            </w:pPr>
            <w:r>
              <w:rPr>
                <w:rFonts w:hint="eastAsia" w:ascii="宋体" w:hAnsi="宋体"/>
                <w:sz w:val="24"/>
                <w:szCs w:val="24"/>
                <w:lang w:eastAsia="zh-CN"/>
              </w:rPr>
              <w:t>□</w:t>
            </w:r>
            <w:r>
              <w:rPr>
                <w:rFonts w:hint="eastAsia" w:ascii="宋体" w:hAnsi="宋体"/>
                <w:sz w:val="24"/>
                <w:szCs w:val="24"/>
                <w:lang w:val="en-US" w:eastAsia="zh-CN"/>
              </w:rPr>
              <w:t xml:space="preserve"> </w:t>
            </w:r>
            <w:r>
              <w:rPr>
                <w:rFonts w:hint="eastAsia" w:ascii="宋体" w:hAnsi="宋体"/>
                <w:sz w:val="24"/>
                <w:szCs w:val="24"/>
              </w:rPr>
              <w:t>召开，召开时间：</w:t>
            </w:r>
            <w:r>
              <w:rPr>
                <w:rFonts w:hint="eastAsia" w:ascii="宋体" w:hAnsi="宋体"/>
                <w:sz w:val="24"/>
                <w:szCs w:val="24"/>
                <w:lang w:val="en-US" w:eastAsia="zh-CN"/>
              </w:rPr>
              <w:t>/</w:t>
            </w:r>
          </w:p>
          <w:p w14:paraId="3EA8DE68">
            <w:pPr>
              <w:tabs>
                <w:tab w:val="left" w:pos="540"/>
              </w:tabs>
              <w:spacing w:line="360" w:lineRule="auto"/>
              <w:rPr>
                <w:rFonts w:hint="eastAsia" w:ascii="宋体" w:hAnsi="宋体" w:eastAsia="宋体" w:cs="宋体"/>
                <w:b w:val="0"/>
                <w:bCs/>
                <w:kern w:val="0"/>
                <w:sz w:val="24"/>
                <w:szCs w:val="24"/>
                <w:lang w:val="en-US" w:eastAsia="zh-CN"/>
              </w:rPr>
            </w:pPr>
            <w:r>
              <w:rPr>
                <w:rFonts w:hint="eastAsia" w:ascii="宋体" w:hAnsi="宋体"/>
                <w:sz w:val="24"/>
                <w:szCs w:val="24"/>
              </w:rPr>
              <w:t xml:space="preserve">        召开地点：</w:t>
            </w:r>
            <w:r>
              <w:rPr>
                <w:rFonts w:hint="eastAsia" w:ascii="宋体" w:hAnsi="宋体"/>
                <w:sz w:val="24"/>
                <w:szCs w:val="24"/>
                <w:lang w:val="en-US" w:eastAsia="zh-CN"/>
              </w:rPr>
              <w:t>/</w:t>
            </w:r>
          </w:p>
        </w:tc>
      </w:tr>
      <w:tr w14:paraId="17E9C1CE">
        <w:tblPrEx>
          <w:tblCellMar>
            <w:top w:w="0" w:type="dxa"/>
            <w:left w:w="108" w:type="dxa"/>
            <w:bottom w:w="0" w:type="dxa"/>
            <w:right w:w="108" w:type="dxa"/>
          </w:tblCellMar>
        </w:tblPrEx>
        <w:trPr>
          <w:trHeight w:val="689" w:hRule="atLeast"/>
          <w:jc w:val="center"/>
        </w:trPr>
        <w:tc>
          <w:tcPr>
            <w:tcW w:w="954" w:type="dxa"/>
            <w:tcBorders>
              <w:top w:val="single" w:color="000000" w:sz="4" w:space="0"/>
              <w:left w:val="single" w:color="000000" w:sz="4" w:space="0"/>
              <w:bottom w:val="single" w:color="000000" w:sz="4" w:space="0"/>
              <w:right w:val="single" w:color="000000" w:sz="4" w:space="0"/>
            </w:tcBorders>
            <w:vAlign w:val="center"/>
          </w:tcPr>
          <w:p w14:paraId="2107B547">
            <w:pPr>
              <w:spacing w:line="360" w:lineRule="auto"/>
              <w:jc w:val="center"/>
              <w:rPr>
                <w:rFonts w:ascii="宋体" w:hAnsi="宋体" w:cs="宋体"/>
                <w:b w:val="0"/>
                <w:bCs/>
                <w:sz w:val="24"/>
                <w:szCs w:val="24"/>
              </w:rPr>
            </w:pPr>
            <w:r>
              <w:rPr>
                <w:rFonts w:hint="eastAsia" w:ascii="宋体" w:hAnsi="宋体"/>
                <w:sz w:val="24"/>
                <w:szCs w:val="24"/>
              </w:rPr>
              <w:t>1.11</w:t>
            </w:r>
          </w:p>
        </w:tc>
        <w:tc>
          <w:tcPr>
            <w:tcW w:w="2026" w:type="dxa"/>
            <w:tcBorders>
              <w:top w:val="single" w:color="000000" w:sz="4" w:space="0"/>
              <w:left w:val="single" w:color="000000" w:sz="4" w:space="0"/>
              <w:bottom w:val="single" w:color="000000" w:sz="4" w:space="0"/>
              <w:right w:val="single" w:color="000000" w:sz="4" w:space="0"/>
            </w:tcBorders>
            <w:vAlign w:val="center"/>
          </w:tcPr>
          <w:p w14:paraId="669BDDD5">
            <w:pPr>
              <w:tabs>
                <w:tab w:val="left" w:pos="540"/>
              </w:tabs>
              <w:spacing w:line="360" w:lineRule="auto"/>
              <w:jc w:val="center"/>
              <w:rPr>
                <w:rFonts w:ascii="宋体" w:hAnsi="宋体" w:cs="宋体"/>
                <w:b w:val="0"/>
                <w:bCs/>
                <w:spacing w:val="10"/>
                <w:sz w:val="24"/>
                <w:szCs w:val="24"/>
              </w:rPr>
            </w:pPr>
            <w:r>
              <w:rPr>
                <w:rFonts w:hint="eastAsia" w:ascii="宋体" w:hAnsi="宋体"/>
                <w:bCs/>
                <w:sz w:val="24"/>
                <w:szCs w:val="24"/>
              </w:rPr>
              <w:t>分包</w:t>
            </w:r>
          </w:p>
        </w:tc>
        <w:tc>
          <w:tcPr>
            <w:tcW w:w="7050" w:type="dxa"/>
            <w:gridSpan w:val="2"/>
            <w:tcBorders>
              <w:top w:val="single" w:color="000000" w:sz="4" w:space="0"/>
              <w:left w:val="single" w:color="000000" w:sz="4" w:space="0"/>
              <w:bottom w:val="single" w:color="000000" w:sz="4" w:space="0"/>
              <w:right w:val="single" w:color="000000" w:sz="4" w:space="0"/>
            </w:tcBorders>
            <w:vAlign w:val="center"/>
          </w:tcPr>
          <w:p w14:paraId="0B0AABAB">
            <w:pPr>
              <w:tabs>
                <w:tab w:val="left" w:pos="540"/>
              </w:tabs>
              <w:spacing w:line="360" w:lineRule="auto"/>
              <w:rPr>
                <w:rFonts w:ascii="宋体" w:hAnsi="宋体"/>
                <w:bCs/>
                <w:spacing w:val="10"/>
                <w:sz w:val="24"/>
                <w:szCs w:val="24"/>
              </w:rPr>
            </w:pPr>
            <w:r>
              <w:rPr>
                <w:rFonts w:hint="eastAsia" w:ascii="宋体" w:hAnsi="宋体"/>
                <w:sz w:val="24"/>
                <w:szCs w:val="24"/>
                <w:lang w:eastAsia="zh-CN"/>
              </w:rPr>
              <w:t>☑</w:t>
            </w:r>
            <w:r>
              <w:rPr>
                <w:rFonts w:hint="eastAsia" w:ascii="宋体" w:hAnsi="宋体"/>
                <w:sz w:val="24"/>
                <w:szCs w:val="24"/>
              </w:rPr>
              <w:t xml:space="preserve"> 不允许非法分包。</w:t>
            </w:r>
          </w:p>
          <w:p w14:paraId="07CDE2CD">
            <w:pPr>
              <w:numPr>
                <w:ilvl w:val="0"/>
                <w:numId w:val="0"/>
              </w:numPr>
              <w:tabs>
                <w:tab w:val="left" w:pos="540"/>
              </w:tabs>
              <w:spacing w:line="360" w:lineRule="auto"/>
              <w:ind w:leftChars="0"/>
              <w:rPr>
                <w:rFonts w:hint="eastAsia" w:ascii="宋体" w:hAnsi="宋体"/>
                <w:sz w:val="24"/>
                <w:szCs w:val="24"/>
              </w:rPr>
            </w:pPr>
            <w:r>
              <w:rPr>
                <w:rFonts w:hint="eastAsia" w:ascii="宋体" w:hAnsi="宋体"/>
                <w:sz w:val="24"/>
                <w:szCs w:val="24"/>
                <w:lang w:eastAsia="zh-CN"/>
              </w:rPr>
              <w:t>□</w:t>
            </w:r>
            <w:r>
              <w:rPr>
                <w:rFonts w:hint="eastAsia" w:ascii="宋体" w:hAnsi="宋体"/>
                <w:sz w:val="24"/>
                <w:szCs w:val="24"/>
              </w:rPr>
              <w:t xml:space="preserve"> 允许，分包内容要求： /   </w:t>
            </w:r>
          </w:p>
          <w:p w14:paraId="5779C692">
            <w:pPr>
              <w:numPr>
                <w:ilvl w:val="0"/>
                <w:numId w:val="0"/>
              </w:numPr>
              <w:tabs>
                <w:tab w:val="left" w:pos="540"/>
              </w:tabs>
              <w:spacing w:line="360" w:lineRule="auto"/>
              <w:ind w:leftChars="0" w:firstLine="480" w:firstLineChars="200"/>
              <w:rPr>
                <w:rFonts w:hint="eastAsia" w:ascii="宋体" w:hAnsi="宋体"/>
                <w:sz w:val="24"/>
                <w:szCs w:val="24"/>
              </w:rPr>
            </w:pPr>
            <w:r>
              <w:rPr>
                <w:rFonts w:hint="eastAsia" w:ascii="宋体" w:hAnsi="宋体"/>
                <w:sz w:val="24"/>
                <w:szCs w:val="24"/>
              </w:rPr>
              <w:t xml:space="preserve">分包金额要求： /   </w:t>
            </w:r>
          </w:p>
          <w:p w14:paraId="74669426">
            <w:pPr>
              <w:numPr>
                <w:ilvl w:val="0"/>
                <w:numId w:val="0"/>
              </w:numPr>
              <w:tabs>
                <w:tab w:val="left" w:pos="540"/>
              </w:tabs>
              <w:spacing w:line="360" w:lineRule="auto"/>
              <w:ind w:leftChars="0" w:firstLine="480" w:firstLineChars="200"/>
              <w:rPr>
                <w:rFonts w:ascii="宋体" w:hAnsi="宋体" w:cs="宋体"/>
                <w:b w:val="0"/>
                <w:bCs/>
                <w:spacing w:val="10"/>
                <w:sz w:val="24"/>
                <w:szCs w:val="24"/>
              </w:rPr>
            </w:pPr>
            <w:r>
              <w:rPr>
                <w:rFonts w:hint="eastAsia" w:ascii="宋体" w:hAnsi="宋体"/>
                <w:sz w:val="24"/>
                <w:szCs w:val="24"/>
              </w:rPr>
              <w:t>接受分包的第三人资质要求： /</w:t>
            </w:r>
          </w:p>
        </w:tc>
      </w:tr>
      <w:tr w14:paraId="7CD65C4A">
        <w:tblPrEx>
          <w:tblCellMar>
            <w:top w:w="0" w:type="dxa"/>
            <w:left w:w="108" w:type="dxa"/>
            <w:bottom w:w="0" w:type="dxa"/>
            <w:right w:w="108" w:type="dxa"/>
          </w:tblCellMar>
        </w:tblPrEx>
        <w:trPr>
          <w:trHeight w:val="865" w:hRule="atLeast"/>
          <w:jc w:val="center"/>
        </w:trPr>
        <w:tc>
          <w:tcPr>
            <w:tcW w:w="954" w:type="dxa"/>
            <w:tcBorders>
              <w:top w:val="single" w:color="000000" w:sz="4" w:space="0"/>
              <w:left w:val="single" w:color="000000" w:sz="4" w:space="0"/>
              <w:bottom w:val="single" w:color="000000" w:sz="4" w:space="0"/>
              <w:right w:val="single" w:color="000000" w:sz="4" w:space="0"/>
            </w:tcBorders>
            <w:vAlign w:val="center"/>
          </w:tcPr>
          <w:p w14:paraId="1EDFF189">
            <w:pPr>
              <w:tabs>
                <w:tab w:val="left" w:pos="540"/>
              </w:tabs>
              <w:spacing w:line="400" w:lineRule="exact"/>
              <w:jc w:val="center"/>
              <w:rPr>
                <w:rFonts w:hint="eastAsia" w:ascii="宋体" w:hAnsi="宋体"/>
                <w:sz w:val="24"/>
                <w:szCs w:val="24"/>
              </w:rPr>
            </w:pPr>
            <w:r>
              <w:rPr>
                <w:rFonts w:ascii="宋体" w:hAnsi="宋体"/>
                <w:sz w:val="24"/>
                <w:szCs w:val="24"/>
              </w:rPr>
              <w:t>1.12</w:t>
            </w:r>
          </w:p>
        </w:tc>
        <w:tc>
          <w:tcPr>
            <w:tcW w:w="2026" w:type="dxa"/>
            <w:tcBorders>
              <w:top w:val="single" w:color="000000" w:sz="4" w:space="0"/>
              <w:left w:val="single" w:color="000000" w:sz="4" w:space="0"/>
              <w:bottom w:val="single" w:color="000000" w:sz="4" w:space="0"/>
              <w:right w:val="single" w:color="000000" w:sz="4" w:space="0"/>
            </w:tcBorders>
            <w:vAlign w:val="center"/>
          </w:tcPr>
          <w:p w14:paraId="0758CBD4">
            <w:pPr>
              <w:tabs>
                <w:tab w:val="left" w:pos="540"/>
              </w:tabs>
              <w:spacing w:line="400" w:lineRule="exact"/>
              <w:jc w:val="center"/>
              <w:rPr>
                <w:rFonts w:hint="eastAsia" w:ascii="宋体" w:hAnsi="宋体"/>
                <w:bCs/>
                <w:sz w:val="24"/>
                <w:szCs w:val="24"/>
              </w:rPr>
            </w:pPr>
            <w:r>
              <w:rPr>
                <w:rFonts w:hint="eastAsia" w:ascii="宋体" w:hAnsi="宋体"/>
                <w:bCs/>
                <w:sz w:val="24"/>
                <w:szCs w:val="24"/>
              </w:rPr>
              <w:t>偏离</w:t>
            </w:r>
          </w:p>
        </w:tc>
        <w:tc>
          <w:tcPr>
            <w:tcW w:w="7050" w:type="dxa"/>
            <w:gridSpan w:val="2"/>
            <w:tcBorders>
              <w:top w:val="single" w:color="000000" w:sz="4" w:space="0"/>
              <w:left w:val="single" w:color="000000" w:sz="4" w:space="0"/>
              <w:bottom w:val="single" w:color="000000" w:sz="4" w:space="0"/>
              <w:right w:val="single" w:color="000000" w:sz="4" w:space="0"/>
            </w:tcBorders>
            <w:vAlign w:val="center"/>
          </w:tcPr>
          <w:p w14:paraId="0322B133">
            <w:pPr>
              <w:tabs>
                <w:tab w:val="left" w:pos="540"/>
              </w:tabs>
              <w:spacing w:line="400" w:lineRule="exact"/>
              <w:rPr>
                <w:rFonts w:hint="eastAsia" w:ascii="宋体" w:hAnsi="宋体"/>
                <w:bCs/>
                <w:spacing w:val="10"/>
                <w:sz w:val="24"/>
                <w:szCs w:val="24"/>
                <w:lang w:eastAsia="zh-CN"/>
              </w:rPr>
            </w:pPr>
            <w:r>
              <w:rPr>
                <w:rFonts w:hint="eastAsia" w:ascii="宋体" w:hAnsi="宋体"/>
                <w:bCs/>
                <w:spacing w:val="10"/>
                <w:sz w:val="24"/>
                <w:szCs w:val="24"/>
                <w:lang w:eastAsia="zh-CN"/>
              </w:rPr>
              <w:t>☑不允许</w:t>
            </w:r>
          </w:p>
          <w:p w14:paraId="653E0226">
            <w:pPr>
              <w:tabs>
                <w:tab w:val="left" w:pos="540"/>
              </w:tabs>
              <w:spacing w:line="400" w:lineRule="exact"/>
              <w:rPr>
                <w:rFonts w:hint="eastAsia" w:ascii="宋体" w:hAnsi="宋体"/>
                <w:sz w:val="24"/>
                <w:szCs w:val="24"/>
              </w:rPr>
            </w:pPr>
            <w:r>
              <w:rPr>
                <w:rFonts w:hint="eastAsia" w:ascii="宋体" w:hAnsi="宋体"/>
                <w:bCs/>
                <w:spacing w:val="10"/>
                <w:sz w:val="24"/>
                <w:szCs w:val="24"/>
                <w:lang w:eastAsia="zh-CN"/>
              </w:rPr>
              <w:t>□ 允许  允许偏差的范围和幅度</w:t>
            </w:r>
            <w:r>
              <w:rPr>
                <w:rFonts w:hint="eastAsia" w:ascii="宋体" w:hAnsi="宋体"/>
                <w:bCs/>
                <w:spacing w:val="10"/>
                <w:sz w:val="24"/>
                <w:szCs w:val="24"/>
                <w:u w:val="single"/>
                <w:lang w:eastAsia="zh-CN"/>
              </w:rPr>
              <w:t xml:space="preserve">  /   </w:t>
            </w:r>
            <w:r>
              <w:rPr>
                <w:rFonts w:hint="eastAsia" w:ascii="宋体" w:hAnsi="宋体"/>
                <w:bCs/>
                <w:spacing w:val="10"/>
                <w:sz w:val="24"/>
                <w:szCs w:val="24"/>
                <w:lang w:eastAsia="zh-CN"/>
              </w:rPr>
              <w:t>。</w:t>
            </w:r>
          </w:p>
        </w:tc>
      </w:tr>
      <w:tr w14:paraId="6E0917DF">
        <w:tblPrEx>
          <w:tblCellMar>
            <w:top w:w="0" w:type="dxa"/>
            <w:left w:w="108" w:type="dxa"/>
            <w:bottom w:w="0" w:type="dxa"/>
            <w:right w:w="108" w:type="dxa"/>
          </w:tblCellMar>
        </w:tblPrEx>
        <w:trPr>
          <w:trHeight w:val="1310" w:hRule="atLeast"/>
          <w:jc w:val="center"/>
        </w:trPr>
        <w:tc>
          <w:tcPr>
            <w:tcW w:w="954" w:type="dxa"/>
            <w:tcBorders>
              <w:top w:val="single" w:color="000000" w:sz="4" w:space="0"/>
              <w:left w:val="single" w:color="000000" w:sz="4" w:space="0"/>
              <w:bottom w:val="single" w:color="000000" w:sz="4" w:space="0"/>
              <w:right w:val="single" w:color="000000" w:sz="4" w:space="0"/>
            </w:tcBorders>
            <w:vAlign w:val="center"/>
          </w:tcPr>
          <w:p w14:paraId="2677D26C">
            <w:pPr>
              <w:widowControl w:val="0"/>
              <w:spacing w:before="0" w:after="0" w:line="360" w:lineRule="auto"/>
              <w:jc w:val="center"/>
              <w:rPr>
                <w:rFonts w:ascii="宋体" w:hAnsi="宋体" w:cs="宋体"/>
                <w:b w:val="0"/>
                <w:bCs/>
                <w:color w:val="auto"/>
                <w:sz w:val="24"/>
                <w:szCs w:val="24"/>
              </w:rPr>
            </w:pPr>
            <w:r>
              <w:rPr>
                <w:rFonts w:ascii="宋体" w:hAnsi="宋体" w:cs="宋体"/>
                <w:b w:val="0"/>
                <w:bCs/>
                <w:color w:val="auto"/>
                <w:sz w:val="24"/>
                <w:szCs w:val="24"/>
              </w:rPr>
              <w:t>2.2.1</w:t>
            </w:r>
          </w:p>
        </w:tc>
        <w:tc>
          <w:tcPr>
            <w:tcW w:w="2026" w:type="dxa"/>
            <w:tcBorders>
              <w:top w:val="single" w:color="000000" w:sz="4" w:space="0"/>
              <w:left w:val="single" w:color="000000" w:sz="4" w:space="0"/>
              <w:bottom w:val="single" w:color="000000" w:sz="4" w:space="0"/>
              <w:right w:val="single" w:color="000000" w:sz="4" w:space="0"/>
            </w:tcBorders>
            <w:vAlign w:val="center"/>
          </w:tcPr>
          <w:p w14:paraId="1B4538BB">
            <w:pPr>
              <w:keepNext w:val="0"/>
              <w:keepLines w:val="0"/>
              <w:pageBreakBefore w:val="0"/>
              <w:widowControl w:val="0"/>
              <w:tabs>
                <w:tab w:val="left" w:pos="540"/>
              </w:tabs>
              <w:kinsoku/>
              <w:wordWrap/>
              <w:overflowPunct/>
              <w:topLinePunct w:val="0"/>
              <w:autoSpaceDE/>
              <w:autoSpaceDN/>
              <w:bidi w:val="0"/>
              <w:adjustRightInd/>
              <w:snapToGrid/>
              <w:spacing w:before="0" w:after="0" w:line="240" w:lineRule="auto"/>
              <w:jc w:val="center"/>
              <w:textAlignment w:val="auto"/>
              <w:rPr>
                <w:rFonts w:ascii="宋体" w:hAnsi="宋体" w:cs="宋体"/>
                <w:b w:val="0"/>
                <w:bCs/>
                <w:color w:val="auto"/>
                <w:sz w:val="24"/>
                <w:szCs w:val="24"/>
              </w:rPr>
            </w:pPr>
            <w:r>
              <w:rPr>
                <w:rFonts w:hint="eastAsia" w:ascii="宋体" w:hAnsi="宋体" w:cs="宋体"/>
                <w:b w:val="0"/>
                <w:bCs/>
                <w:color w:val="auto"/>
                <w:spacing w:val="10"/>
                <w:sz w:val="24"/>
                <w:szCs w:val="24"/>
              </w:rPr>
              <w:t>招标人澄清、修改或答疑期限和投标人质疑期限</w:t>
            </w:r>
          </w:p>
        </w:tc>
        <w:tc>
          <w:tcPr>
            <w:tcW w:w="7050" w:type="dxa"/>
            <w:gridSpan w:val="2"/>
            <w:tcBorders>
              <w:top w:val="single" w:color="000000" w:sz="4" w:space="0"/>
              <w:left w:val="single" w:color="000000" w:sz="4" w:space="0"/>
              <w:bottom w:val="single" w:color="000000" w:sz="4" w:space="0"/>
              <w:right w:val="single" w:color="000000" w:sz="4" w:space="0"/>
            </w:tcBorders>
            <w:vAlign w:val="center"/>
          </w:tcPr>
          <w:p w14:paraId="4E2D3FE7">
            <w:pPr>
              <w:widowControl w:val="0"/>
              <w:tabs>
                <w:tab w:val="left" w:pos="540"/>
              </w:tabs>
              <w:spacing w:before="0" w:after="0" w:line="400" w:lineRule="exact"/>
              <w:rPr>
                <w:rFonts w:ascii="宋体" w:hAnsi="宋体" w:cs="宋体"/>
                <w:b w:val="0"/>
                <w:bCs/>
                <w:color w:val="auto"/>
                <w:sz w:val="24"/>
                <w:szCs w:val="24"/>
              </w:rPr>
            </w:pPr>
            <w:r>
              <w:rPr>
                <w:rFonts w:ascii="宋体" w:hAnsi="宋体" w:cs="宋体"/>
                <w:b w:val="0"/>
                <w:bCs/>
                <w:color w:val="auto"/>
                <w:sz w:val="24"/>
                <w:szCs w:val="24"/>
              </w:rPr>
              <w:t>1.招标人澄清、修改或补充期限：投标截止日期15日前。</w:t>
            </w:r>
          </w:p>
          <w:p w14:paraId="5A56423B">
            <w:pPr>
              <w:widowControl w:val="0"/>
              <w:tabs>
                <w:tab w:val="left" w:pos="540"/>
              </w:tabs>
              <w:spacing w:before="0" w:after="0" w:line="400" w:lineRule="exact"/>
              <w:rPr>
                <w:rFonts w:ascii="宋体" w:hAnsi="宋体" w:cs="宋体"/>
                <w:b w:val="0"/>
                <w:bCs/>
                <w:color w:val="auto"/>
                <w:sz w:val="24"/>
                <w:szCs w:val="24"/>
              </w:rPr>
            </w:pPr>
            <w:r>
              <w:rPr>
                <w:rFonts w:ascii="宋体" w:hAnsi="宋体" w:cs="宋体"/>
                <w:b w:val="0"/>
                <w:bCs/>
                <w:color w:val="auto"/>
                <w:sz w:val="24"/>
                <w:szCs w:val="24"/>
              </w:rPr>
              <w:t>2.投标人质疑期限：投标截止日期10日前。</w:t>
            </w:r>
          </w:p>
          <w:p w14:paraId="2E419703">
            <w:pPr>
              <w:widowControl w:val="0"/>
              <w:tabs>
                <w:tab w:val="left" w:pos="540"/>
              </w:tabs>
              <w:spacing w:before="0" w:after="0" w:line="400" w:lineRule="exact"/>
              <w:rPr>
                <w:rFonts w:ascii="宋体" w:hAnsi="宋体" w:cs="宋体"/>
                <w:b w:val="0"/>
                <w:bCs/>
                <w:color w:val="auto"/>
                <w:sz w:val="24"/>
                <w:szCs w:val="24"/>
              </w:rPr>
            </w:pPr>
            <w:r>
              <w:rPr>
                <w:rFonts w:hint="eastAsia" w:ascii="宋体" w:hAnsi="宋体" w:cs="宋体"/>
                <w:b w:val="0"/>
                <w:bCs/>
                <w:color w:val="auto"/>
                <w:sz w:val="24"/>
                <w:szCs w:val="24"/>
                <w:lang w:val="en-US" w:eastAsia="zh-CN"/>
              </w:rPr>
              <w:t>3.</w:t>
            </w:r>
            <w:r>
              <w:rPr>
                <w:rFonts w:ascii="宋体" w:hAnsi="宋体" w:cs="宋体"/>
                <w:b w:val="0"/>
                <w:bCs/>
                <w:color w:val="auto"/>
                <w:sz w:val="24"/>
                <w:szCs w:val="24"/>
              </w:rPr>
              <w:t>招标人答疑期限：投标截止日期7日前。</w:t>
            </w:r>
          </w:p>
        </w:tc>
      </w:tr>
      <w:tr w14:paraId="24173EAB">
        <w:tblPrEx>
          <w:tblCellMar>
            <w:top w:w="0" w:type="dxa"/>
            <w:left w:w="108" w:type="dxa"/>
            <w:bottom w:w="0" w:type="dxa"/>
            <w:right w:w="108" w:type="dxa"/>
          </w:tblCellMar>
        </w:tblPrEx>
        <w:trPr>
          <w:trHeight w:val="689" w:hRule="atLeast"/>
          <w:jc w:val="center"/>
        </w:trPr>
        <w:tc>
          <w:tcPr>
            <w:tcW w:w="954" w:type="dxa"/>
            <w:tcBorders>
              <w:top w:val="single" w:color="000000" w:sz="4" w:space="0"/>
              <w:left w:val="single" w:color="000000" w:sz="4" w:space="0"/>
              <w:bottom w:val="single" w:color="000000" w:sz="4" w:space="0"/>
              <w:right w:val="single" w:color="000000" w:sz="4" w:space="0"/>
            </w:tcBorders>
            <w:vAlign w:val="center"/>
          </w:tcPr>
          <w:p w14:paraId="74C39D51">
            <w:pPr>
              <w:widowControl w:val="0"/>
              <w:spacing w:before="0" w:after="0" w:line="360" w:lineRule="auto"/>
              <w:ind w:firstLine="120"/>
              <w:jc w:val="center"/>
              <w:rPr>
                <w:rFonts w:ascii="宋体" w:hAnsi="宋体" w:cs="宋体"/>
                <w:b w:val="0"/>
                <w:bCs/>
                <w:sz w:val="24"/>
                <w:szCs w:val="24"/>
              </w:rPr>
            </w:pPr>
            <w:r>
              <w:rPr>
                <w:rFonts w:ascii="宋体" w:hAnsi="宋体" w:cs="宋体"/>
                <w:b w:val="0"/>
                <w:bCs/>
                <w:sz w:val="24"/>
                <w:szCs w:val="24"/>
              </w:rPr>
              <w:t>2.2.2</w:t>
            </w:r>
          </w:p>
        </w:tc>
        <w:tc>
          <w:tcPr>
            <w:tcW w:w="2026" w:type="dxa"/>
            <w:tcBorders>
              <w:top w:val="single" w:color="000000" w:sz="4" w:space="0"/>
              <w:left w:val="single" w:color="000000" w:sz="4" w:space="0"/>
              <w:bottom w:val="single" w:color="000000" w:sz="4" w:space="0"/>
              <w:right w:val="single" w:color="000000" w:sz="4" w:space="0"/>
            </w:tcBorders>
            <w:vAlign w:val="center"/>
          </w:tcPr>
          <w:p w14:paraId="6155AAAB">
            <w:pPr>
              <w:keepNext w:val="0"/>
              <w:keepLines w:val="0"/>
              <w:pageBreakBefore w:val="0"/>
              <w:widowControl w:val="0"/>
              <w:kinsoku/>
              <w:wordWrap/>
              <w:overflowPunct/>
              <w:topLinePunct w:val="0"/>
              <w:autoSpaceDE/>
              <w:autoSpaceDN/>
              <w:bidi w:val="0"/>
              <w:adjustRightInd/>
              <w:snapToGrid/>
              <w:spacing w:before="157" w:beforeLines="50" w:after="0" w:line="240" w:lineRule="auto"/>
              <w:jc w:val="center"/>
              <w:textAlignment w:val="auto"/>
              <w:rPr>
                <w:rFonts w:ascii="宋体" w:hAnsi="宋体" w:cs="宋体"/>
                <w:b w:val="0"/>
                <w:bCs/>
                <w:sz w:val="24"/>
                <w:szCs w:val="24"/>
              </w:rPr>
            </w:pPr>
            <w:r>
              <w:rPr>
                <w:rFonts w:ascii="宋体" w:hAnsi="宋体" w:cs="宋体"/>
                <w:b w:val="0"/>
                <w:bCs/>
                <w:sz w:val="24"/>
                <w:szCs w:val="24"/>
              </w:rPr>
              <w:t>招标人答疑截止时间</w:t>
            </w:r>
          </w:p>
        </w:tc>
        <w:tc>
          <w:tcPr>
            <w:tcW w:w="7050" w:type="dxa"/>
            <w:gridSpan w:val="2"/>
            <w:tcBorders>
              <w:top w:val="single" w:color="000000" w:sz="4" w:space="0"/>
              <w:left w:val="single" w:color="000000" w:sz="4" w:space="0"/>
              <w:bottom w:val="single" w:color="000000" w:sz="4" w:space="0"/>
              <w:right w:val="single" w:color="000000" w:sz="4" w:space="0"/>
            </w:tcBorders>
            <w:vAlign w:val="center"/>
          </w:tcPr>
          <w:p w14:paraId="04A92596">
            <w:pPr>
              <w:widowControl w:val="0"/>
              <w:spacing w:before="0" w:after="0" w:line="400" w:lineRule="exact"/>
              <w:ind w:firstLine="120"/>
              <w:rPr>
                <w:rFonts w:ascii="宋体" w:hAnsi="宋体" w:cs="宋体"/>
                <w:b w:val="0"/>
                <w:bCs/>
                <w:strike/>
                <w:spacing w:val="10"/>
                <w:sz w:val="24"/>
                <w:szCs w:val="24"/>
              </w:rPr>
            </w:pPr>
            <w:r>
              <w:rPr>
                <w:rFonts w:ascii="宋体" w:hAnsi="宋体" w:cs="宋体"/>
                <w:b w:val="0"/>
                <w:bCs/>
                <w:sz w:val="24"/>
                <w:szCs w:val="24"/>
              </w:rPr>
              <w:t>收到澄清要求之日起3日内。</w:t>
            </w:r>
          </w:p>
        </w:tc>
      </w:tr>
      <w:tr w14:paraId="351EE466">
        <w:tblPrEx>
          <w:tblCellMar>
            <w:top w:w="0" w:type="dxa"/>
            <w:left w:w="108" w:type="dxa"/>
            <w:bottom w:w="0" w:type="dxa"/>
            <w:right w:w="108" w:type="dxa"/>
          </w:tblCellMar>
        </w:tblPrEx>
        <w:trPr>
          <w:trHeight w:val="689" w:hRule="atLeast"/>
          <w:jc w:val="center"/>
        </w:trPr>
        <w:tc>
          <w:tcPr>
            <w:tcW w:w="954" w:type="dxa"/>
            <w:tcBorders>
              <w:top w:val="single" w:color="000000" w:sz="4" w:space="0"/>
              <w:left w:val="single" w:color="000000" w:sz="4" w:space="0"/>
              <w:bottom w:val="single" w:color="000000" w:sz="4" w:space="0"/>
              <w:right w:val="single" w:color="000000" w:sz="4" w:space="0"/>
            </w:tcBorders>
            <w:vAlign w:val="center"/>
          </w:tcPr>
          <w:p w14:paraId="461812B0">
            <w:pPr>
              <w:tabs>
                <w:tab w:val="left" w:pos="540"/>
              </w:tabs>
              <w:spacing w:line="240" w:lineRule="exact"/>
              <w:jc w:val="center"/>
              <w:rPr>
                <w:rFonts w:ascii="宋体" w:hAnsi="宋体" w:cs="宋体"/>
                <w:b w:val="0"/>
                <w:bCs/>
                <w:sz w:val="24"/>
                <w:szCs w:val="24"/>
              </w:rPr>
            </w:pPr>
            <w:r>
              <w:rPr>
                <w:rFonts w:ascii="宋体" w:hAnsi="宋体"/>
                <w:sz w:val="24"/>
                <w:szCs w:val="24"/>
              </w:rPr>
              <w:t>3.3.1</w:t>
            </w:r>
          </w:p>
        </w:tc>
        <w:tc>
          <w:tcPr>
            <w:tcW w:w="2026" w:type="dxa"/>
            <w:tcBorders>
              <w:top w:val="single" w:color="000000" w:sz="4" w:space="0"/>
              <w:left w:val="single" w:color="000000" w:sz="4" w:space="0"/>
              <w:bottom w:val="single" w:color="000000" w:sz="4" w:space="0"/>
              <w:right w:val="single" w:color="000000" w:sz="4" w:space="0"/>
            </w:tcBorders>
            <w:vAlign w:val="center"/>
          </w:tcPr>
          <w:p w14:paraId="38B97444">
            <w:pPr>
              <w:tabs>
                <w:tab w:val="left" w:pos="540"/>
              </w:tabs>
              <w:spacing w:line="300" w:lineRule="exact"/>
              <w:jc w:val="center"/>
              <w:rPr>
                <w:rFonts w:ascii="宋体" w:hAnsi="宋体" w:cs="宋体"/>
                <w:b w:val="0"/>
                <w:bCs/>
                <w:sz w:val="24"/>
                <w:szCs w:val="24"/>
              </w:rPr>
            </w:pPr>
            <w:r>
              <w:rPr>
                <w:rFonts w:hint="eastAsia" w:ascii="宋体" w:hAnsi="宋体"/>
                <w:sz w:val="24"/>
                <w:szCs w:val="24"/>
              </w:rPr>
              <w:t>投标有效期</w:t>
            </w:r>
          </w:p>
        </w:tc>
        <w:tc>
          <w:tcPr>
            <w:tcW w:w="7050" w:type="dxa"/>
            <w:gridSpan w:val="2"/>
            <w:tcBorders>
              <w:top w:val="single" w:color="000000" w:sz="4" w:space="0"/>
              <w:left w:val="single" w:color="000000" w:sz="4" w:space="0"/>
              <w:bottom w:val="single" w:color="000000" w:sz="4" w:space="0"/>
              <w:right w:val="single" w:color="000000" w:sz="4" w:space="0"/>
            </w:tcBorders>
            <w:vAlign w:val="center"/>
          </w:tcPr>
          <w:p w14:paraId="6358FA6B">
            <w:pPr>
              <w:tabs>
                <w:tab w:val="left" w:pos="540"/>
              </w:tabs>
              <w:spacing w:line="360" w:lineRule="exact"/>
              <w:rPr>
                <w:rFonts w:ascii="宋体" w:hAnsi="宋体" w:cs="宋体"/>
                <w:b w:val="0"/>
                <w:bCs/>
                <w:sz w:val="24"/>
                <w:szCs w:val="24"/>
              </w:rPr>
            </w:pPr>
            <w:r>
              <w:rPr>
                <w:rFonts w:hint="eastAsia" w:ascii="宋体" w:hAnsi="宋体"/>
                <w:sz w:val="24"/>
                <w:szCs w:val="24"/>
                <w:u w:val="single"/>
              </w:rPr>
              <w:t xml:space="preserve"> 90</w:t>
            </w:r>
            <w:r>
              <w:rPr>
                <w:rFonts w:hint="eastAsia" w:ascii="宋体" w:hAnsi="宋体"/>
                <w:spacing w:val="6"/>
                <w:sz w:val="24"/>
                <w:szCs w:val="24"/>
              </w:rPr>
              <w:t>日历天（从投标截止之日算起）</w:t>
            </w:r>
          </w:p>
        </w:tc>
      </w:tr>
      <w:tr w14:paraId="5508F563">
        <w:tblPrEx>
          <w:tblCellMar>
            <w:top w:w="0" w:type="dxa"/>
            <w:left w:w="108" w:type="dxa"/>
            <w:bottom w:w="0" w:type="dxa"/>
            <w:right w:w="108" w:type="dxa"/>
          </w:tblCellMar>
        </w:tblPrEx>
        <w:trPr>
          <w:trHeight w:val="90" w:hRule="atLeast"/>
          <w:jc w:val="center"/>
        </w:trPr>
        <w:tc>
          <w:tcPr>
            <w:tcW w:w="954" w:type="dxa"/>
            <w:tcBorders>
              <w:top w:val="single" w:color="000000" w:sz="4" w:space="0"/>
              <w:left w:val="single" w:color="000000" w:sz="4" w:space="0"/>
              <w:bottom w:val="single" w:color="auto" w:sz="4" w:space="0"/>
              <w:right w:val="single" w:color="000000" w:sz="4" w:space="0"/>
            </w:tcBorders>
            <w:vAlign w:val="center"/>
          </w:tcPr>
          <w:p w14:paraId="2494B9E7">
            <w:pPr>
              <w:widowControl w:val="0"/>
              <w:tabs>
                <w:tab w:val="left" w:pos="540"/>
              </w:tabs>
              <w:spacing w:before="0" w:after="0" w:line="360" w:lineRule="auto"/>
              <w:jc w:val="center"/>
              <w:rPr>
                <w:rFonts w:ascii="宋体" w:hAnsi="宋体" w:cs="宋体"/>
                <w:b w:val="0"/>
                <w:bCs/>
                <w:sz w:val="24"/>
                <w:szCs w:val="24"/>
              </w:rPr>
            </w:pPr>
            <w:r>
              <w:rPr>
                <w:rFonts w:ascii="宋体" w:hAnsi="宋体" w:cs="宋体"/>
                <w:b w:val="0"/>
                <w:bCs/>
                <w:sz w:val="24"/>
                <w:szCs w:val="24"/>
              </w:rPr>
              <w:t>3.4.1</w:t>
            </w:r>
          </w:p>
        </w:tc>
        <w:tc>
          <w:tcPr>
            <w:tcW w:w="2026" w:type="dxa"/>
            <w:tcBorders>
              <w:top w:val="single" w:color="000000" w:sz="4" w:space="0"/>
              <w:left w:val="single" w:color="000000" w:sz="4" w:space="0"/>
              <w:bottom w:val="single" w:color="000000" w:sz="4" w:space="0"/>
              <w:right w:val="single" w:color="000000" w:sz="4" w:space="0"/>
            </w:tcBorders>
            <w:vAlign w:val="center"/>
          </w:tcPr>
          <w:p w14:paraId="07328951">
            <w:pPr>
              <w:spacing w:line="360" w:lineRule="auto"/>
              <w:jc w:val="center"/>
              <w:rPr>
                <w:rFonts w:ascii="宋体" w:hAnsi="宋体" w:cs="宋体"/>
                <w:b w:val="0"/>
                <w:bCs/>
                <w:sz w:val="24"/>
                <w:szCs w:val="24"/>
              </w:rPr>
            </w:pPr>
            <w:r>
              <w:rPr>
                <w:rFonts w:hint="eastAsia" w:ascii="宋体" w:hAnsi="宋体"/>
                <w:sz w:val="24"/>
                <w:szCs w:val="24"/>
              </w:rPr>
              <w:t>投标保证金</w:t>
            </w:r>
          </w:p>
        </w:tc>
        <w:tc>
          <w:tcPr>
            <w:tcW w:w="7050" w:type="dxa"/>
            <w:gridSpan w:val="2"/>
            <w:tcBorders>
              <w:top w:val="single" w:color="000000" w:sz="4" w:space="0"/>
              <w:left w:val="single" w:color="000000" w:sz="4" w:space="0"/>
              <w:bottom w:val="single" w:color="000000" w:sz="4" w:space="0"/>
              <w:right w:val="single" w:color="000000" w:sz="4" w:space="0"/>
            </w:tcBorders>
            <w:vAlign w:val="center"/>
          </w:tcPr>
          <w:p w14:paraId="2803A815">
            <w:pPr>
              <w:keepNext w:val="0"/>
              <w:keepLines w:val="0"/>
              <w:pageBreakBefore w:val="0"/>
              <w:tabs>
                <w:tab w:val="left" w:pos="540"/>
              </w:tabs>
              <w:kinsoku/>
              <w:wordWrap/>
              <w:overflowPunct/>
              <w:topLinePunct w:val="0"/>
              <w:autoSpaceDE/>
              <w:autoSpaceDN/>
              <w:bidi w:val="0"/>
              <w:adjustRightInd/>
              <w:snapToGrid/>
              <w:spacing w:line="400" w:lineRule="atLeast"/>
              <w:ind w:firstLine="241" w:firstLineChars="100"/>
              <w:textAlignment w:val="auto"/>
              <w:rPr>
                <w:rFonts w:hint="eastAsia" w:ascii="宋体" w:hAnsi="宋体"/>
                <w:sz w:val="24"/>
                <w:szCs w:val="24"/>
              </w:rPr>
            </w:pPr>
            <w:r>
              <w:rPr>
                <w:rFonts w:hint="eastAsia" w:ascii="宋体" w:hAnsi="宋体"/>
                <w:b/>
                <w:bCs/>
                <w:sz w:val="24"/>
                <w:szCs w:val="24"/>
              </w:rPr>
              <w:t>投标保证金的金额：人民币</w:t>
            </w:r>
            <w:r>
              <w:rPr>
                <w:rFonts w:hint="eastAsia" w:ascii="宋体" w:hAnsi="宋体"/>
                <w:b/>
                <w:bCs/>
                <w:sz w:val="24"/>
                <w:szCs w:val="24"/>
                <w:u w:val="single"/>
                <w:lang w:val="en-US" w:eastAsia="zh-CN"/>
              </w:rPr>
              <w:t>拾</w:t>
            </w:r>
            <w:r>
              <w:rPr>
                <w:rFonts w:hint="eastAsia" w:ascii="宋体" w:hAnsi="宋体"/>
                <w:b/>
                <w:bCs/>
                <w:sz w:val="24"/>
                <w:szCs w:val="24"/>
                <w:u w:val="single"/>
                <w:lang w:eastAsia="zh-CN"/>
              </w:rPr>
              <w:t>万元整</w:t>
            </w:r>
            <w:r>
              <w:rPr>
                <w:rFonts w:hint="eastAsia" w:ascii="宋体" w:hAnsi="宋体"/>
                <w:b/>
                <w:bCs/>
                <w:sz w:val="24"/>
                <w:szCs w:val="24"/>
              </w:rPr>
              <w:t>（￥</w:t>
            </w:r>
            <w:r>
              <w:rPr>
                <w:rFonts w:hint="eastAsia" w:ascii="宋体" w:hAnsi="宋体"/>
                <w:b/>
                <w:bCs/>
                <w:sz w:val="24"/>
                <w:szCs w:val="24"/>
                <w:u w:val="single"/>
                <w:lang w:val="en-US" w:eastAsia="zh-CN"/>
              </w:rPr>
              <w:t>10</w:t>
            </w:r>
            <w:r>
              <w:rPr>
                <w:rFonts w:hint="eastAsia" w:ascii="宋体" w:hAnsi="宋体"/>
                <w:b/>
                <w:bCs/>
                <w:sz w:val="24"/>
                <w:szCs w:val="24"/>
                <w:u w:val="single"/>
              </w:rPr>
              <w:t xml:space="preserve">0000.00 </w:t>
            </w:r>
            <w:r>
              <w:rPr>
                <w:rFonts w:hint="eastAsia" w:ascii="宋体" w:hAnsi="宋体"/>
                <w:b/>
                <w:bCs/>
                <w:sz w:val="24"/>
                <w:szCs w:val="24"/>
              </w:rPr>
              <w:t>元）</w:t>
            </w:r>
            <w:r>
              <w:rPr>
                <w:rFonts w:hint="eastAsia" w:ascii="宋体" w:hAnsi="宋体"/>
                <w:sz w:val="24"/>
                <w:szCs w:val="24"/>
              </w:rPr>
              <w:t>。</w:t>
            </w:r>
          </w:p>
          <w:p w14:paraId="7E6838B7">
            <w:pPr>
              <w:keepNext w:val="0"/>
              <w:keepLines w:val="0"/>
              <w:pageBreakBefore w:val="0"/>
              <w:tabs>
                <w:tab w:val="left" w:pos="540"/>
              </w:tabs>
              <w:kinsoku/>
              <w:wordWrap/>
              <w:overflowPunct/>
              <w:topLinePunct w:val="0"/>
              <w:autoSpaceDE/>
              <w:autoSpaceDN/>
              <w:bidi w:val="0"/>
              <w:adjustRightInd/>
              <w:snapToGrid/>
              <w:spacing w:line="400" w:lineRule="atLeast"/>
              <w:ind w:firstLine="240" w:firstLineChars="100"/>
              <w:textAlignment w:val="auto"/>
              <w:rPr>
                <w:rFonts w:hint="eastAsia" w:ascii="宋体" w:hAnsi="宋体"/>
                <w:b w:val="0"/>
                <w:bCs w:val="0"/>
                <w:sz w:val="24"/>
                <w:szCs w:val="24"/>
              </w:rPr>
            </w:pPr>
            <w:r>
              <w:rPr>
                <w:rFonts w:hint="eastAsia" w:ascii="宋体" w:hAnsi="宋体"/>
                <w:b w:val="0"/>
                <w:bCs w:val="0"/>
                <w:sz w:val="24"/>
                <w:szCs w:val="24"/>
              </w:rPr>
              <w:t>投标人选择以下四种任一种方式递交投标保证金。</w:t>
            </w:r>
          </w:p>
          <w:p w14:paraId="280A2C00">
            <w:pPr>
              <w:keepNext w:val="0"/>
              <w:keepLines w:val="0"/>
              <w:pageBreakBefore w:val="0"/>
              <w:numPr>
                <w:ilvl w:val="0"/>
                <w:numId w:val="0"/>
              </w:numPr>
              <w:tabs>
                <w:tab w:val="left" w:pos="540"/>
              </w:tabs>
              <w:kinsoku/>
              <w:wordWrap/>
              <w:overflowPunct/>
              <w:topLinePunct w:val="0"/>
              <w:autoSpaceDE/>
              <w:autoSpaceDN/>
              <w:bidi w:val="0"/>
              <w:adjustRightInd/>
              <w:snapToGrid/>
              <w:spacing w:line="400" w:lineRule="atLeast"/>
              <w:textAlignment w:val="auto"/>
              <w:rPr>
                <w:rFonts w:hint="eastAsia" w:ascii="宋体" w:hAnsi="宋体"/>
                <w:b/>
                <w:bCs/>
                <w:sz w:val="24"/>
                <w:szCs w:val="24"/>
              </w:rPr>
            </w:pPr>
            <w:r>
              <w:rPr>
                <w:rFonts w:hint="eastAsia" w:ascii="宋体" w:hAnsi="宋体"/>
                <w:b/>
                <w:bCs/>
                <w:sz w:val="24"/>
                <w:szCs w:val="24"/>
                <w:lang w:val="en-US" w:eastAsia="zh-CN"/>
              </w:rPr>
              <w:t>1.</w:t>
            </w:r>
            <w:r>
              <w:rPr>
                <w:rFonts w:hint="eastAsia" w:ascii="宋体" w:hAnsi="宋体"/>
                <w:b/>
                <w:bCs/>
                <w:sz w:val="24"/>
                <w:szCs w:val="24"/>
              </w:rPr>
              <w:t>银行汇款形式：</w:t>
            </w:r>
          </w:p>
          <w:p w14:paraId="327C6F0A">
            <w:pPr>
              <w:pStyle w:val="15"/>
              <w:keepNext w:val="0"/>
              <w:keepLines w:val="0"/>
              <w:pageBreakBefore w:val="0"/>
              <w:numPr>
                <w:ilvl w:val="0"/>
                <w:numId w:val="0"/>
              </w:numPr>
              <w:kinsoku/>
              <w:wordWrap/>
              <w:overflowPunct/>
              <w:topLinePunct w:val="0"/>
              <w:autoSpaceDE/>
              <w:autoSpaceDN/>
              <w:bidi w:val="0"/>
              <w:adjustRightInd/>
              <w:snapToGrid/>
              <w:spacing w:line="400" w:lineRule="atLeast"/>
              <w:ind w:firstLine="480" w:firstLineChars="200"/>
              <w:textAlignment w:val="auto"/>
              <w:rPr>
                <w:rFonts w:hint="eastAsia"/>
              </w:rPr>
            </w:pPr>
            <w:r>
              <w:rPr>
                <w:rFonts w:hint="eastAsia"/>
              </w:rPr>
              <w:t>投标人将本项目投标保证金从投标人开户银行基本账户转到广州公共资源交易中心指定的账户，投标保证金必须在投标截止时间前到账（到账情况以开标时广州公共资源交易中心数据库査询的信息为准）。</w:t>
            </w:r>
          </w:p>
          <w:p w14:paraId="7FD313FC">
            <w:pPr>
              <w:pStyle w:val="15"/>
              <w:keepNext w:val="0"/>
              <w:keepLines w:val="0"/>
              <w:pageBreakBefore w:val="0"/>
              <w:numPr>
                <w:ilvl w:val="0"/>
                <w:numId w:val="0"/>
              </w:numPr>
              <w:kinsoku/>
              <w:wordWrap/>
              <w:overflowPunct/>
              <w:topLinePunct w:val="0"/>
              <w:autoSpaceDE/>
              <w:autoSpaceDN/>
              <w:bidi w:val="0"/>
              <w:adjustRightInd/>
              <w:snapToGrid/>
              <w:spacing w:line="400" w:lineRule="atLeast"/>
              <w:ind w:firstLine="480" w:firstLineChars="200"/>
              <w:textAlignment w:val="auto"/>
              <w:rPr>
                <w:rFonts w:hint="eastAsia"/>
              </w:rPr>
            </w:pPr>
            <w:r>
              <w:rPr>
                <w:rFonts w:hint="eastAsia"/>
              </w:rPr>
              <w:t>户　　名：广州交易集团有限公司</w:t>
            </w:r>
          </w:p>
          <w:p w14:paraId="1607A289">
            <w:pPr>
              <w:pStyle w:val="15"/>
              <w:keepNext w:val="0"/>
              <w:keepLines w:val="0"/>
              <w:pageBreakBefore w:val="0"/>
              <w:numPr>
                <w:ilvl w:val="0"/>
                <w:numId w:val="0"/>
              </w:numPr>
              <w:kinsoku/>
              <w:wordWrap/>
              <w:overflowPunct/>
              <w:topLinePunct w:val="0"/>
              <w:autoSpaceDE/>
              <w:autoSpaceDN/>
              <w:bidi w:val="0"/>
              <w:adjustRightInd/>
              <w:snapToGrid/>
              <w:spacing w:line="400" w:lineRule="atLeast"/>
              <w:ind w:firstLine="480" w:firstLineChars="200"/>
              <w:textAlignment w:val="auto"/>
              <w:rPr>
                <w:rFonts w:hint="eastAsia"/>
              </w:rPr>
            </w:pPr>
            <w:r>
              <w:rPr>
                <w:rFonts w:hint="eastAsia"/>
              </w:rPr>
              <w:t>开户银行：中国建设银行广州市天润路支行</w:t>
            </w:r>
          </w:p>
          <w:p w14:paraId="74C149AE">
            <w:pPr>
              <w:pStyle w:val="15"/>
              <w:keepNext w:val="0"/>
              <w:keepLines w:val="0"/>
              <w:pageBreakBefore w:val="0"/>
              <w:numPr>
                <w:ilvl w:val="0"/>
                <w:numId w:val="0"/>
              </w:numPr>
              <w:kinsoku/>
              <w:wordWrap/>
              <w:overflowPunct/>
              <w:topLinePunct w:val="0"/>
              <w:autoSpaceDE/>
              <w:autoSpaceDN/>
              <w:bidi w:val="0"/>
              <w:adjustRightInd/>
              <w:snapToGrid/>
              <w:spacing w:line="400" w:lineRule="atLeast"/>
              <w:ind w:firstLine="480" w:firstLineChars="200"/>
              <w:textAlignment w:val="auto"/>
              <w:rPr>
                <w:rFonts w:hint="eastAsia"/>
              </w:rPr>
            </w:pPr>
            <w:r>
              <w:rPr>
                <w:rFonts w:hint="eastAsia"/>
              </w:rPr>
              <w:t>帐　　号：44001583404059333333</w:t>
            </w:r>
          </w:p>
          <w:p w14:paraId="1CB36F24">
            <w:pPr>
              <w:pStyle w:val="15"/>
              <w:keepNext w:val="0"/>
              <w:keepLines w:val="0"/>
              <w:pageBreakBefore w:val="0"/>
              <w:numPr>
                <w:ilvl w:val="0"/>
                <w:numId w:val="0"/>
              </w:numPr>
              <w:kinsoku/>
              <w:wordWrap/>
              <w:overflowPunct/>
              <w:topLinePunct w:val="0"/>
              <w:autoSpaceDE/>
              <w:autoSpaceDN/>
              <w:bidi w:val="0"/>
              <w:adjustRightInd/>
              <w:snapToGrid/>
              <w:spacing w:line="400" w:lineRule="atLeast"/>
              <w:ind w:firstLine="482" w:firstLineChars="200"/>
              <w:textAlignment w:val="auto"/>
              <w:rPr>
                <w:rFonts w:hint="eastAsia"/>
                <w:b/>
                <w:bCs/>
              </w:rPr>
            </w:pPr>
            <w:r>
              <w:rPr>
                <w:rFonts w:hint="eastAsia"/>
                <w:b/>
                <w:bCs/>
              </w:rPr>
              <w:t>注：汇入保证金需投标人在交易系统中完成项目绑定操作方能被认定为完成缴交保证金。</w:t>
            </w:r>
          </w:p>
          <w:p w14:paraId="6FAC8596">
            <w:pPr>
              <w:pStyle w:val="15"/>
              <w:keepNext w:val="0"/>
              <w:keepLines w:val="0"/>
              <w:pageBreakBefore w:val="0"/>
              <w:numPr>
                <w:ilvl w:val="0"/>
                <w:numId w:val="0"/>
              </w:numPr>
              <w:kinsoku/>
              <w:wordWrap/>
              <w:overflowPunct/>
              <w:topLinePunct w:val="0"/>
              <w:autoSpaceDE/>
              <w:autoSpaceDN/>
              <w:bidi w:val="0"/>
              <w:adjustRightInd/>
              <w:snapToGrid/>
              <w:spacing w:line="400" w:lineRule="atLeast"/>
              <w:textAlignment w:val="auto"/>
              <w:rPr>
                <w:rFonts w:hint="eastAsia"/>
                <w:b/>
                <w:bCs/>
              </w:rPr>
            </w:pPr>
            <w:r>
              <w:rPr>
                <w:rFonts w:hint="eastAsia"/>
                <w:b/>
                <w:bCs/>
              </w:rPr>
              <w:t>2.银行保函形式：</w:t>
            </w:r>
          </w:p>
          <w:p w14:paraId="096F8287">
            <w:pPr>
              <w:pStyle w:val="15"/>
              <w:keepNext w:val="0"/>
              <w:keepLines w:val="0"/>
              <w:pageBreakBefore w:val="0"/>
              <w:numPr>
                <w:ilvl w:val="0"/>
                <w:numId w:val="0"/>
              </w:numPr>
              <w:kinsoku/>
              <w:wordWrap/>
              <w:overflowPunct/>
              <w:topLinePunct w:val="0"/>
              <w:autoSpaceDE/>
              <w:autoSpaceDN/>
              <w:bidi w:val="0"/>
              <w:adjustRightInd/>
              <w:snapToGrid/>
              <w:spacing w:line="400" w:lineRule="atLeast"/>
              <w:ind w:firstLine="480" w:firstLineChars="200"/>
              <w:textAlignment w:val="auto"/>
              <w:rPr>
                <w:rFonts w:hint="eastAsia"/>
              </w:rPr>
            </w:pPr>
            <w:r>
              <w:rPr>
                <w:rFonts w:hint="eastAsia"/>
              </w:rPr>
              <w:t>投标人在注册地所在地级市范围内或所在省（自治区、直辖市）人民政府所在地城市的国有商业银行或股份制商业银行开具本项目的投标保证金银行保函（须注明项目名称）。</w:t>
            </w:r>
          </w:p>
          <w:p w14:paraId="3097E96D">
            <w:pPr>
              <w:pStyle w:val="15"/>
              <w:keepNext w:val="0"/>
              <w:keepLines w:val="0"/>
              <w:pageBreakBefore w:val="0"/>
              <w:numPr>
                <w:ilvl w:val="0"/>
                <w:numId w:val="0"/>
              </w:numPr>
              <w:kinsoku/>
              <w:wordWrap/>
              <w:overflowPunct/>
              <w:topLinePunct w:val="0"/>
              <w:autoSpaceDE/>
              <w:autoSpaceDN/>
              <w:bidi w:val="0"/>
              <w:adjustRightInd/>
              <w:snapToGrid/>
              <w:spacing w:line="400" w:lineRule="atLeast"/>
              <w:ind w:firstLine="480" w:firstLineChars="200"/>
              <w:textAlignment w:val="auto"/>
              <w:rPr>
                <w:rFonts w:hint="eastAsia"/>
              </w:rPr>
            </w:pPr>
            <w:r>
              <w:rPr>
                <w:rFonts w:hint="eastAsia"/>
              </w:rPr>
              <w:t>注：投标保证金银行投标保函，有效期与投标有效期一致或长于投标有效期，如采用银行保函纸质形式提交的，应在投标文件中提交投标保函扫描件并加盖投标人单位公章或用单位数字证书加盖电子公章，纸质原件须在投标截止时间前提交，具体提交时间及地点同递交备用电子U 盘的时间及地点。</w:t>
            </w:r>
          </w:p>
          <w:p w14:paraId="730BCCCB">
            <w:pPr>
              <w:pStyle w:val="15"/>
              <w:keepNext w:val="0"/>
              <w:keepLines w:val="0"/>
              <w:pageBreakBefore w:val="0"/>
              <w:numPr>
                <w:ilvl w:val="0"/>
                <w:numId w:val="0"/>
              </w:numPr>
              <w:kinsoku/>
              <w:wordWrap/>
              <w:overflowPunct/>
              <w:topLinePunct w:val="0"/>
              <w:autoSpaceDE/>
              <w:autoSpaceDN/>
              <w:bidi w:val="0"/>
              <w:adjustRightInd/>
              <w:snapToGrid/>
              <w:spacing w:line="400" w:lineRule="atLeast"/>
              <w:textAlignment w:val="auto"/>
              <w:rPr>
                <w:rFonts w:hint="eastAsia"/>
                <w:b/>
                <w:bCs/>
              </w:rPr>
            </w:pPr>
            <w:r>
              <w:rPr>
                <w:rFonts w:hint="eastAsia"/>
                <w:b/>
                <w:bCs/>
              </w:rPr>
              <w:t>3.保证保险形式：</w:t>
            </w:r>
          </w:p>
          <w:p w14:paraId="1EE3F2DC">
            <w:pPr>
              <w:pStyle w:val="15"/>
              <w:keepNext w:val="0"/>
              <w:keepLines w:val="0"/>
              <w:pageBreakBefore w:val="0"/>
              <w:numPr>
                <w:ilvl w:val="0"/>
                <w:numId w:val="0"/>
              </w:numPr>
              <w:kinsoku/>
              <w:wordWrap/>
              <w:overflowPunct/>
              <w:topLinePunct w:val="0"/>
              <w:autoSpaceDE/>
              <w:autoSpaceDN/>
              <w:bidi w:val="0"/>
              <w:adjustRightInd/>
              <w:snapToGrid/>
              <w:spacing w:line="400" w:lineRule="atLeast"/>
              <w:ind w:firstLine="480" w:firstLineChars="200"/>
              <w:textAlignment w:val="auto"/>
              <w:rPr>
                <w:rFonts w:hint="eastAsia"/>
              </w:rPr>
            </w:pPr>
            <w:r>
              <w:rPr>
                <w:rFonts w:hint="eastAsia"/>
              </w:rPr>
              <w:t>投标人提供保险公司出具的保险合同或保险单（须注明项目名称，且使用省级保险公司统一的保险合同或保险单版本）。</w:t>
            </w:r>
          </w:p>
          <w:p w14:paraId="34544956">
            <w:pPr>
              <w:pStyle w:val="15"/>
              <w:keepNext w:val="0"/>
              <w:keepLines w:val="0"/>
              <w:pageBreakBefore w:val="0"/>
              <w:numPr>
                <w:ilvl w:val="0"/>
                <w:numId w:val="0"/>
              </w:numPr>
              <w:kinsoku/>
              <w:wordWrap/>
              <w:overflowPunct/>
              <w:topLinePunct w:val="0"/>
              <w:autoSpaceDE/>
              <w:autoSpaceDN/>
              <w:bidi w:val="0"/>
              <w:adjustRightInd/>
              <w:snapToGrid/>
              <w:spacing w:line="400" w:lineRule="atLeast"/>
              <w:ind w:firstLine="480" w:firstLineChars="200"/>
              <w:textAlignment w:val="auto"/>
              <w:rPr>
                <w:rFonts w:hint="eastAsia"/>
              </w:rPr>
            </w:pPr>
            <w:r>
              <w:rPr>
                <w:rFonts w:hint="eastAsia"/>
              </w:rPr>
              <w:t>注：保险公司的投标保证保险保函有效期等于或长于投标有效期，如采用保证保险纸质形式提交的，应在投标文件中提交投标保证保险扫描件并加盖投标人单位公章或用单位数字证书加盖电子公章，纸质原件须在投标截止时间前提交，具体提交时间及地点同递交备用电子 U 盘的时间及地点。</w:t>
            </w:r>
          </w:p>
          <w:p w14:paraId="400B5BD0">
            <w:pPr>
              <w:pStyle w:val="16"/>
              <w:keepNext w:val="0"/>
              <w:keepLines w:val="0"/>
              <w:pageBreakBefore w:val="0"/>
              <w:kinsoku/>
              <w:wordWrap/>
              <w:overflowPunct/>
              <w:topLinePunct w:val="0"/>
              <w:autoSpaceDE/>
              <w:autoSpaceDN/>
              <w:bidi w:val="0"/>
              <w:adjustRightInd/>
              <w:snapToGrid/>
              <w:spacing w:line="400" w:lineRule="atLeast"/>
              <w:textAlignment w:val="auto"/>
              <w:rPr>
                <w:rFonts w:hint="eastAsia"/>
                <w:b/>
                <w:bCs/>
              </w:rPr>
            </w:pPr>
            <w:r>
              <w:rPr>
                <w:rFonts w:hint="eastAsia"/>
                <w:b/>
                <w:bCs/>
              </w:rPr>
              <w:t>4.电子保函形式：</w:t>
            </w:r>
          </w:p>
          <w:p w14:paraId="05D7534E">
            <w:pPr>
              <w:pStyle w:val="16"/>
              <w:keepNext w:val="0"/>
              <w:keepLines w:val="0"/>
              <w:pageBreakBefore w:val="0"/>
              <w:kinsoku/>
              <w:wordWrap/>
              <w:overflowPunct/>
              <w:topLinePunct w:val="0"/>
              <w:autoSpaceDE/>
              <w:autoSpaceDN/>
              <w:bidi w:val="0"/>
              <w:adjustRightInd/>
              <w:snapToGrid/>
              <w:spacing w:line="400" w:lineRule="atLeast"/>
              <w:ind w:firstLine="480" w:firstLineChars="200"/>
              <w:textAlignment w:val="auto"/>
            </w:pPr>
            <w:r>
              <w:rPr>
                <w:rFonts w:hint="eastAsia"/>
              </w:rPr>
              <w:t>按广州公共资源交易中心发布的《关于进一步完善电子保函服务相关事宜的说明》操作。详见：http://www.gzggzy.cn/fwznbszycwxg/857020.jhtml</w:t>
            </w:r>
          </w:p>
        </w:tc>
      </w:tr>
      <w:tr w14:paraId="7AB86100">
        <w:tblPrEx>
          <w:tblCellMar>
            <w:top w:w="0" w:type="dxa"/>
            <w:left w:w="108" w:type="dxa"/>
            <w:bottom w:w="0" w:type="dxa"/>
            <w:right w:w="108" w:type="dxa"/>
          </w:tblCellMar>
        </w:tblPrEx>
        <w:trPr>
          <w:trHeight w:val="813" w:hRule="atLeast"/>
          <w:jc w:val="center"/>
        </w:trPr>
        <w:tc>
          <w:tcPr>
            <w:tcW w:w="954" w:type="dxa"/>
            <w:tcBorders>
              <w:top w:val="single" w:color="auto" w:sz="4" w:space="0"/>
              <w:left w:val="single" w:color="auto" w:sz="4" w:space="0"/>
              <w:bottom w:val="single" w:color="auto" w:sz="4" w:space="0"/>
              <w:right w:val="single" w:color="auto" w:sz="4" w:space="0"/>
            </w:tcBorders>
            <w:vAlign w:val="center"/>
          </w:tcPr>
          <w:p w14:paraId="0581DA51">
            <w:pPr>
              <w:spacing w:line="360" w:lineRule="auto"/>
              <w:jc w:val="center"/>
              <w:rPr>
                <w:rFonts w:hint="default" w:ascii="宋体" w:hAnsi="宋体" w:eastAsia="宋体" w:cs="宋体"/>
                <w:b w:val="0"/>
                <w:bCs/>
                <w:sz w:val="24"/>
                <w:szCs w:val="24"/>
                <w:lang w:val="en-US" w:eastAsia="zh-CN"/>
              </w:rPr>
            </w:pPr>
            <w:r>
              <w:rPr>
                <w:rFonts w:hint="eastAsia" w:ascii="宋体" w:hAnsi="宋体" w:cs="宋体"/>
                <w:b w:val="0"/>
                <w:bCs/>
                <w:sz w:val="24"/>
                <w:szCs w:val="24"/>
                <w:lang w:val="en-US" w:eastAsia="zh-CN"/>
              </w:rPr>
              <w:t>3.7.5</w:t>
            </w:r>
          </w:p>
        </w:tc>
        <w:tc>
          <w:tcPr>
            <w:tcW w:w="2026" w:type="dxa"/>
            <w:tcBorders>
              <w:top w:val="single" w:color="000000" w:sz="4" w:space="0"/>
              <w:left w:val="single" w:color="auto" w:sz="4" w:space="0"/>
              <w:bottom w:val="single" w:color="000000" w:sz="4" w:space="0"/>
              <w:right w:val="single" w:color="000000" w:sz="4" w:space="0"/>
            </w:tcBorders>
            <w:vAlign w:val="center"/>
          </w:tcPr>
          <w:p w14:paraId="3894F7E5">
            <w:pPr>
              <w:autoSpaceDE w:val="0"/>
              <w:autoSpaceDN w:val="0"/>
              <w:adjustRightInd w:val="0"/>
              <w:ind w:left="42" w:leftChars="20" w:right="42" w:rightChars="20"/>
              <w:jc w:val="center"/>
              <w:rPr>
                <w:rFonts w:ascii="宋体" w:hAnsi="宋体" w:cs="宋体"/>
                <w:b w:val="0"/>
                <w:bCs/>
                <w:sz w:val="24"/>
                <w:szCs w:val="24"/>
              </w:rPr>
            </w:pPr>
            <w:r>
              <w:rPr>
                <w:rFonts w:hint="eastAsia" w:ascii="宋体" w:hAnsi="宋体" w:cs="宋体"/>
                <w:spacing w:val="-4"/>
                <w:kern w:val="0"/>
                <w:sz w:val="24"/>
                <w:szCs w:val="24"/>
              </w:rPr>
              <w:t>签字或盖章要求</w:t>
            </w:r>
          </w:p>
        </w:tc>
        <w:tc>
          <w:tcPr>
            <w:tcW w:w="7050" w:type="dxa"/>
            <w:gridSpan w:val="2"/>
            <w:tcBorders>
              <w:top w:val="single" w:color="000000" w:sz="4" w:space="0"/>
              <w:left w:val="single" w:color="000000" w:sz="4" w:space="0"/>
              <w:bottom w:val="single" w:color="000000" w:sz="4" w:space="0"/>
              <w:right w:val="single" w:color="000000" w:sz="4" w:space="0"/>
            </w:tcBorders>
            <w:vAlign w:val="center"/>
          </w:tcPr>
          <w:p w14:paraId="434B022C">
            <w:pPr>
              <w:keepNext w:val="0"/>
              <w:keepLines w:val="0"/>
              <w:pageBreakBefore w:val="0"/>
              <w:widowControl w:val="0"/>
              <w:tabs>
                <w:tab w:val="left" w:pos="540"/>
              </w:tabs>
              <w:kinsoku/>
              <w:wordWrap/>
              <w:overflowPunct/>
              <w:topLinePunct w:val="0"/>
              <w:autoSpaceDE/>
              <w:autoSpaceDN/>
              <w:bidi w:val="0"/>
              <w:adjustRightInd/>
              <w:snapToGrid/>
              <w:spacing w:line="440" w:lineRule="exact"/>
              <w:ind w:right="42" w:rightChars="20" w:firstLine="480" w:firstLineChars="200"/>
              <w:textAlignment w:val="auto"/>
              <w:rPr>
                <w:rFonts w:ascii="宋体" w:hAnsi="宋体" w:cs="宋体"/>
                <w:b w:val="0"/>
                <w:bCs/>
                <w:spacing w:val="10"/>
                <w:sz w:val="24"/>
                <w:szCs w:val="24"/>
              </w:rPr>
            </w:pPr>
            <w:r>
              <w:rPr>
                <w:rFonts w:hint="eastAsia" w:ascii="宋体" w:hAnsi="宋体" w:cs="宋体"/>
                <w:kern w:val="0"/>
                <w:sz w:val="24"/>
                <w:szCs w:val="24"/>
              </w:rPr>
              <w:t>投标文件全部采用电子文档，投标文件所附证书证件均为纸质原件的清晰扫描件，按招标文件要求在相应位置盖单位公章或用单位数字证书加盖电子公章。投标文件格式规定需个人签字的，应加盖个人电子印章或在线下完成后扫描上传。投标人应采用单位数字证书按招标文件要求在相应位置加盖电子印章。单页有多个信息点的只需加盖一次公章，无需重复加盖公章进行分别确认。</w:t>
            </w:r>
          </w:p>
        </w:tc>
      </w:tr>
      <w:tr w14:paraId="5584500F">
        <w:tblPrEx>
          <w:tblCellMar>
            <w:top w:w="0" w:type="dxa"/>
            <w:left w:w="108" w:type="dxa"/>
            <w:bottom w:w="0" w:type="dxa"/>
            <w:right w:w="108" w:type="dxa"/>
          </w:tblCellMar>
        </w:tblPrEx>
        <w:trPr>
          <w:trHeight w:val="566" w:hRule="atLeast"/>
          <w:jc w:val="center"/>
        </w:trPr>
        <w:tc>
          <w:tcPr>
            <w:tcW w:w="954" w:type="dxa"/>
            <w:tcBorders>
              <w:top w:val="single" w:color="auto" w:sz="4" w:space="0"/>
              <w:left w:val="single" w:color="000000" w:sz="4" w:space="0"/>
              <w:bottom w:val="single" w:color="000000" w:sz="4" w:space="0"/>
              <w:right w:val="single" w:color="000000" w:sz="4" w:space="0"/>
            </w:tcBorders>
            <w:vAlign w:val="center"/>
          </w:tcPr>
          <w:p w14:paraId="08F1D9B7">
            <w:pPr>
              <w:tabs>
                <w:tab w:val="left" w:pos="540"/>
              </w:tabs>
              <w:spacing w:line="360" w:lineRule="auto"/>
              <w:ind w:right="42" w:rightChars="20"/>
              <w:rPr>
                <w:rFonts w:hint="eastAsia" w:ascii="宋体" w:hAnsi="宋体" w:cs="宋体"/>
                <w:kern w:val="0"/>
                <w:sz w:val="24"/>
                <w:szCs w:val="24"/>
              </w:rPr>
            </w:pPr>
            <w:r>
              <w:rPr>
                <w:rFonts w:hint="eastAsia" w:ascii="宋体" w:hAnsi="宋体" w:cs="宋体"/>
                <w:kern w:val="0"/>
                <w:sz w:val="24"/>
                <w:szCs w:val="24"/>
              </w:rPr>
              <w:t>4.1.1</w:t>
            </w:r>
          </w:p>
        </w:tc>
        <w:tc>
          <w:tcPr>
            <w:tcW w:w="2026" w:type="dxa"/>
            <w:tcBorders>
              <w:top w:val="single" w:color="000000" w:sz="4" w:space="0"/>
              <w:left w:val="single" w:color="000000" w:sz="4" w:space="0"/>
              <w:bottom w:val="single" w:color="000000" w:sz="4" w:space="0"/>
              <w:right w:val="single" w:color="000000" w:sz="4" w:space="0"/>
            </w:tcBorders>
          </w:tcPr>
          <w:p w14:paraId="60D3DD6A">
            <w:pPr>
              <w:keepNext w:val="0"/>
              <w:keepLines w:val="0"/>
              <w:pageBreakBefore w:val="0"/>
              <w:widowControl w:val="0"/>
              <w:tabs>
                <w:tab w:val="left" w:pos="540"/>
              </w:tabs>
              <w:kinsoku/>
              <w:wordWrap/>
              <w:overflowPunct/>
              <w:topLinePunct w:val="0"/>
              <w:autoSpaceDE/>
              <w:autoSpaceDN/>
              <w:bidi w:val="0"/>
              <w:adjustRightInd/>
              <w:snapToGrid/>
              <w:spacing w:before="157" w:beforeLines="50" w:line="360" w:lineRule="auto"/>
              <w:ind w:right="42" w:rightChars="20"/>
              <w:jc w:val="center"/>
              <w:textAlignment w:val="auto"/>
              <w:rPr>
                <w:rFonts w:hint="eastAsia" w:ascii="宋体" w:hAnsi="宋体" w:cs="宋体"/>
                <w:kern w:val="0"/>
                <w:sz w:val="24"/>
                <w:szCs w:val="24"/>
              </w:rPr>
            </w:pPr>
            <w:r>
              <w:rPr>
                <w:rFonts w:hint="eastAsia" w:ascii="宋体" w:hAnsi="宋体" w:cs="宋体"/>
                <w:kern w:val="0"/>
                <w:sz w:val="24"/>
                <w:szCs w:val="24"/>
              </w:rPr>
              <w:t>投标文件加密要求</w:t>
            </w:r>
          </w:p>
        </w:tc>
        <w:tc>
          <w:tcPr>
            <w:tcW w:w="7050" w:type="dxa"/>
            <w:gridSpan w:val="2"/>
            <w:tcBorders>
              <w:top w:val="single" w:color="000000" w:sz="4" w:space="0"/>
              <w:left w:val="single" w:color="000000" w:sz="4" w:space="0"/>
              <w:bottom w:val="single" w:color="000000" w:sz="4" w:space="0"/>
              <w:right w:val="single" w:color="000000" w:sz="4" w:space="0"/>
            </w:tcBorders>
            <w:vAlign w:val="center"/>
          </w:tcPr>
          <w:p w14:paraId="0996109D">
            <w:pPr>
              <w:keepNext w:val="0"/>
              <w:keepLines w:val="0"/>
              <w:pageBreakBefore w:val="0"/>
              <w:widowControl w:val="0"/>
              <w:tabs>
                <w:tab w:val="left" w:pos="540"/>
              </w:tabs>
              <w:kinsoku/>
              <w:wordWrap/>
              <w:overflowPunct/>
              <w:topLinePunct w:val="0"/>
              <w:autoSpaceDE/>
              <w:autoSpaceDN/>
              <w:bidi w:val="0"/>
              <w:adjustRightInd/>
              <w:snapToGrid/>
              <w:spacing w:line="440" w:lineRule="exact"/>
              <w:ind w:right="42" w:rightChars="20"/>
              <w:textAlignment w:val="auto"/>
              <w:rPr>
                <w:rFonts w:hint="eastAsia" w:ascii="宋体" w:hAnsi="宋体" w:cs="宋体"/>
                <w:kern w:val="0"/>
                <w:sz w:val="24"/>
                <w:szCs w:val="24"/>
              </w:rPr>
            </w:pPr>
            <w:r>
              <w:rPr>
                <w:rFonts w:hint="eastAsia" w:ascii="宋体" w:hAnsi="宋体" w:cs="宋体"/>
                <w:kern w:val="0"/>
                <w:sz w:val="24"/>
                <w:szCs w:val="24"/>
              </w:rPr>
              <w:t>网上递交的电子投标文件必须进行加密。按照广州公共资源交易平台关于全流程电子化项目的相关指南进行操作。未按要求加密的投标文件，广州公共资源交易平台将予以拒收。</w:t>
            </w:r>
          </w:p>
        </w:tc>
      </w:tr>
      <w:tr w14:paraId="3DC4DFE9">
        <w:tblPrEx>
          <w:tblCellMar>
            <w:top w:w="0" w:type="dxa"/>
            <w:left w:w="108" w:type="dxa"/>
            <w:bottom w:w="0" w:type="dxa"/>
            <w:right w:w="108" w:type="dxa"/>
          </w:tblCellMar>
        </w:tblPrEx>
        <w:trPr>
          <w:trHeight w:val="676" w:hRule="atLeast"/>
          <w:jc w:val="center"/>
        </w:trPr>
        <w:tc>
          <w:tcPr>
            <w:tcW w:w="954" w:type="dxa"/>
            <w:tcBorders>
              <w:top w:val="single" w:color="auto" w:sz="4" w:space="0"/>
              <w:left w:val="single" w:color="000000" w:sz="4" w:space="0"/>
              <w:bottom w:val="single" w:color="000000" w:sz="4" w:space="0"/>
              <w:right w:val="single" w:color="000000" w:sz="4" w:space="0"/>
            </w:tcBorders>
            <w:vAlign w:val="center"/>
          </w:tcPr>
          <w:p w14:paraId="28B9250B">
            <w:pPr>
              <w:widowControl w:val="0"/>
              <w:spacing w:before="0" w:after="0" w:line="360" w:lineRule="auto"/>
              <w:jc w:val="center"/>
              <w:rPr>
                <w:rFonts w:ascii="宋体" w:hAnsi="宋体" w:cs="宋体"/>
                <w:b w:val="0"/>
                <w:bCs/>
                <w:sz w:val="24"/>
                <w:szCs w:val="24"/>
              </w:rPr>
            </w:pPr>
            <w:r>
              <w:rPr>
                <w:rFonts w:ascii="宋体" w:hAnsi="宋体" w:cs="宋体"/>
                <w:b w:val="0"/>
                <w:bCs/>
                <w:sz w:val="24"/>
                <w:szCs w:val="24"/>
              </w:rPr>
              <w:t>4.2.1</w:t>
            </w:r>
          </w:p>
        </w:tc>
        <w:tc>
          <w:tcPr>
            <w:tcW w:w="2026" w:type="dxa"/>
            <w:tcBorders>
              <w:top w:val="single" w:color="000000" w:sz="4" w:space="0"/>
              <w:left w:val="single" w:color="000000" w:sz="4" w:space="0"/>
              <w:bottom w:val="single" w:color="000000" w:sz="4" w:space="0"/>
              <w:right w:val="single" w:color="000000" w:sz="4" w:space="0"/>
            </w:tcBorders>
          </w:tcPr>
          <w:p w14:paraId="1DB68C01">
            <w:pPr>
              <w:keepNext w:val="0"/>
              <w:keepLines w:val="0"/>
              <w:pageBreakBefore w:val="0"/>
              <w:widowControl w:val="0"/>
              <w:tabs>
                <w:tab w:val="left" w:pos="540"/>
              </w:tabs>
              <w:kinsoku/>
              <w:wordWrap/>
              <w:overflowPunct/>
              <w:topLinePunct w:val="0"/>
              <w:autoSpaceDE/>
              <w:autoSpaceDN/>
              <w:bidi w:val="0"/>
              <w:adjustRightInd/>
              <w:snapToGrid/>
              <w:spacing w:before="0" w:after="0" w:line="440" w:lineRule="exact"/>
              <w:jc w:val="center"/>
              <w:textAlignment w:val="auto"/>
              <w:rPr>
                <w:rFonts w:ascii="宋体" w:hAnsi="宋体" w:cs="宋体"/>
                <w:b w:val="0"/>
                <w:bCs/>
                <w:sz w:val="24"/>
                <w:szCs w:val="24"/>
              </w:rPr>
            </w:pPr>
            <w:r>
              <w:rPr>
                <w:rFonts w:ascii="宋体" w:hAnsi="宋体" w:cs="宋体"/>
                <w:b w:val="0"/>
                <w:bCs/>
                <w:sz w:val="24"/>
                <w:szCs w:val="24"/>
              </w:rPr>
              <w:t>投标截止时间</w:t>
            </w:r>
          </w:p>
        </w:tc>
        <w:tc>
          <w:tcPr>
            <w:tcW w:w="7050" w:type="dxa"/>
            <w:gridSpan w:val="2"/>
            <w:tcBorders>
              <w:top w:val="single" w:color="000000" w:sz="4" w:space="0"/>
              <w:left w:val="single" w:color="000000" w:sz="4" w:space="0"/>
              <w:bottom w:val="single" w:color="000000" w:sz="4" w:space="0"/>
              <w:right w:val="single" w:color="000000" w:sz="4" w:space="0"/>
            </w:tcBorders>
            <w:vAlign w:val="center"/>
          </w:tcPr>
          <w:p w14:paraId="427C1488">
            <w:pPr>
              <w:widowControl w:val="0"/>
              <w:tabs>
                <w:tab w:val="left" w:pos="540"/>
              </w:tabs>
              <w:spacing w:before="0" w:after="0" w:line="400" w:lineRule="exact"/>
              <w:rPr>
                <w:rFonts w:ascii="宋体" w:hAnsi="宋体" w:cs="宋体"/>
                <w:b w:val="0"/>
                <w:bCs/>
                <w:spacing w:val="10"/>
                <w:sz w:val="24"/>
                <w:szCs w:val="24"/>
                <w:u w:val="single"/>
              </w:rPr>
            </w:pPr>
            <w:r>
              <w:rPr>
                <w:rFonts w:hint="eastAsia" w:ascii="宋体" w:hAnsi="宋体" w:cs="宋体"/>
                <w:b w:val="0"/>
                <w:bCs/>
                <w:spacing w:val="10"/>
                <w:sz w:val="24"/>
                <w:szCs w:val="24"/>
                <w:u w:val="none"/>
              </w:rPr>
              <w:t>详见招标公告投标截止时间。</w:t>
            </w:r>
          </w:p>
        </w:tc>
      </w:tr>
      <w:tr w14:paraId="45DCDBFE">
        <w:tblPrEx>
          <w:tblCellMar>
            <w:top w:w="0" w:type="dxa"/>
            <w:left w:w="108" w:type="dxa"/>
            <w:bottom w:w="0" w:type="dxa"/>
            <w:right w:w="108" w:type="dxa"/>
          </w:tblCellMar>
        </w:tblPrEx>
        <w:trPr>
          <w:jc w:val="center"/>
        </w:trPr>
        <w:tc>
          <w:tcPr>
            <w:tcW w:w="954" w:type="dxa"/>
            <w:tcBorders>
              <w:top w:val="single" w:color="000000" w:sz="4" w:space="0"/>
              <w:left w:val="single" w:color="000000" w:sz="4" w:space="0"/>
              <w:bottom w:val="single" w:color="000000" w:sz="4" w:space="0"/>
              <w:right w:val="single" w:color="000000" w:sz="4" w:space="0"/>
            </w:tcBorders>
            <w:vAlign w:val="center"/>
          </w:tcPr>
          <w:p w14:paraId="3D58FFC8">
            <w:pPr>
              <w:widowControl w:val="0"/>
              <w:spacing w:before="0" w:after="0" w:line="360" w:lineRule="auto"/>
              <w:jc w:val="center"/>
              <w:rPr>
                <w:rFonts w:hint="eastAsia" w:ascii="宋体" w:hAnsi="宋体" w:eastAsia="宋体" w:cs="宋体"/>
                <w:b w:val="0"/>
                <w:bCs/>
                <w:sz w:val="24"/>
                <w:szCs w:val="24"/>
                <w:lang w:eastAsia="zh-CN"/>
              </w:rPr>
            </w:pPr>
            <w:r>
              <w:rPr>
                <w:rFonts w:ascii="宋体" w:hAnsi="宋体" w:cs="宋体"/>
                <w:b w:val="0"/>
                <w:bCs/>
                <w:sz w:val="24"/>
                <w:szCs w:val="24"/>
              </w:rPr>
              <w:t>4.2.</w:t>
            </w:r>
            <w:r>
              <w:rPr>
                <w:rFonts w:hint="eastAsia" w:ascii="宋体" w:hAnsi="宋体" w:cs="宋体"/>
                <w:b w:val="0"/>
                <w:bCs/>
                <w:sz w:val="24"/>
                <w:szCs w:val="24"/>
                <w:lang w:val="en-US" w:eastAsia="zh-CN"/>
              </w:rPr>
              <w:t>2</w:t>
            </w:r>
          </w:p>
        </w:tc>
        <w:tc>
          <w:tcPr>
            <w:tcW w:w="2026" w:type="dxa"/>
            <w:tcBorders>
              <w:top w:val="single" w:color="000000" w:sz="4" w:space="0"/>
              <w:left w:val="single" w:color="000000" w:sz="4" w:space="0"/>
              <w:bottom w:val="single" w:color="000000" w:sz="4" w:space="0"/>
              <w:right w:val="single" w:color="000000" w:sz="4" w:space="0"/>
            </w:tcBorders>
            <w:vAlign w:val="center"/>
          </w:tcPr>
          <w:p w14:paraId="781BD43D">
            <w:pPr>
              <w:widowControl w:val="0"/>
              <w:tabs>
                <w:tab w:val="left" w:pos="540"/>
              </w:tabs>
              <w:spacing w:before="0" w:after="0" w:line="360" w:lineRule="auto"/>
              <w:jc w:val="center"/>
              <w:rPr>
                <w:rFonts w:ascii="宋体" w:hAnsi="宋体" w:cs="宋体"/>
                <w:b w:val="0"/>
                <w:bCs/>
                <w:spacing w:val="10"/>
                <w:sz w:val="24"/>
                <w:szCs w:val="24"/>
              </w:rPr>
            </w:pPr>
            <w:r>
              <w:rPr>
                <w:rFonts w:ascii="宋体" w:hAnsi="宋体" w:cs="宋体"/>
                <w:b w:val="0"/>
                <w:bCs/>
                <w:spacing w:val="10"/>
                <w:sz w:val="24"/>
                <w:szCs w:val="24"/>
              </w:rPr>
              <w:t>递交投标文件地点</w:t>
            </w:r>
          </w:p>
        </w:tc>
        <w:tc>
          <w:tcPr>
            <w:tcW w:w="7050" w:type="dxa"/>
            <w:gridSpan w:val="2"/>
            <w:tcBorders>
              <w:top w:val="single" w:color="000000" w:sz="4" w:space="0"/>
              <w:left w:val="single" w:color="000000" w:sz="4" w:space="0"/>
              <w:bottom w:val="single" w:color="000000" w:sz="4" w:space="0"/>
              <w:right w:val="single" w:color="000000" w:sz="4" w:space="0"/>
            </w:tcBorders>
            <w:vAlign w:val="center"/>
          </w:tcPr>
          <w:p w14:paraId="1D6D0DC7">
            <w:pPr>
              <w:widowControl w:val="0"/>
              <w:spacing w:before="0" w:after="0" w:line="400" w:lineRule="exact"/>
              <w:jc w:val="left"/>
              <w:rPr>
                <w:rFonts w:hint="eastAsia" w:ascii="宋体" w:hAnsi="宋体" w:cs="宋体"/>
                <w:b w:val="0"/>
                <w:bCs/>
                <w:spacing w:val="10"/>
                <w:sz w:val="24"/>
                <w:szCs w:val="24"/>
              </w:rPr>
            </w:pPr>
            <w:r>
              <w:rPr>
                <w:rFonts w:hint="eastAsia" w:ascii="宋体" w:hAnsi="宋体" w:cs="宋体"/>
                <w:b w:val="0"/>
                <w:bCs/>
                <w:spacing w:val="10"/>
                <w:sz w:val="24"/>
                <w:szCs w:val="24"/>
              </w:rPr>
              <w:t>1.投标人登录广州公共资源交易中心电子交易平台递交电子投标文件。</w:t>
            </w:r>
          </w:p>
          <w:p w14:paraId="6B097F6F">
            <w:pPr>
              <w:widowControl w:val="0"/>
              <w:spacing w:before="0" w:after="0" w:line="400" w:lineRule="exact"/>
              <w:jc w:val="left"/>
              <w:rPr>
                <w:rFonts w:hint="eastAsia" w:ascii="宋体" w:hAnsi="宋体" w:cs="宋体"/>
                <w:b w:val="0"/>
                <w:bCs/>
                <w:spacing w:val="10"/>
                <w:sz w:val="24"/>
                <w:szCs w:val="24"/>
              </w:rPr>
            </w:pPr>
            <w:r>
              <w:rPr>
                <w:rFonts w:hint="eastAsia" w:ascii="宋体" w:hAnsi="宋体" w:cs="宋体"/>
                <w:b w:val="0"/>
                <w:bCs/>
                <w:spacing w:val="10"/>
                <w:sz w:val="24"/>
                <w:szCs w:val="24"/>
              </w:rPr>
              <w:t>2.投标人完成电子投标文件上传后，交易平台即时向投标人发出递交回执通知。递交时间以递交回执通知载明的传输完成时间为准。</w:t>
            </w:r>
          </w:p>
          <w:p w14:paraId="3B0A4224">
            <w:pPr>
              <w:widowControl w:val="0"/>
              <w:spacing w:before="0" w:after="0" w:line="400" w:lineRule="exact"/>
              <w:jc w:val="left"/>
              <w:rPr>
                <w:rFonts w:hint="eastAsia" w:ascii="宋体" w:hAnsi="宋体" w:cs="宋体"/>
                <w:b w:val="0"/>
                <w:bCs/>
                <w:spacing w:val="10"/>
                <w:sz w:val="24"/>
                <w:szCs w:val="24"/>
              </w:rPr>
            </w:pPr>
            <w:r>
              <w:rPr>
                <w:rFonts w:hint="eastAsia" w:ascii="宋体" w:hAnsi="宋体" w:cs="宋体"/>
                <w:b w:val="0"/>
                <w:bCs/>
                <w:spacing w:val="10"/>
                <w:sz w:val="24"/>
                <w:szCs w:val="24"/>
              </w:rPr>
              <w:t>3.投标文件备用电子U盘1份，备用电子U盘不得加密。如使用投标文件备用电子U盘时无法读取或导入的，则视为未递交投标文件或撤回投标文件。</w:t>
            </w:r>
          </w:p>
          <w:p w14:paraId="2BC87958">
            <w:pPr>
              <w:widowControl w:val="0"/>
              <w:spacing w:before="0" w:after="0" w:line="400" w:lineRule="exact"/>
              <w:jc w:val="left"/>
              <w:rPr>
                <w:rFonts w:ascii="宋体" w:hAnsi="宋体" w:cs="宋体"/>
                <w:b w:val="0"/>
                <w:bCs/>
                <w:spacing w:val="10"/>
                <w:sz w:val="24"/>
                <w:szCs w:val="24"/>
              </w:rPr>
            </w:pPr>
            <w:r>
              <w:rPr>
                <w:rFonts w:hint="eastAsia" w:ascii="宋体" w:hAnsi="宋体" w:cs="宋体"/>
                <w:b w:val="0"/>
                <w:bCs/>
                <w:spacing w:val="10"/>
                <w:sz w:val="24"/>
                <w:szCs w:val="24"/>
              </w:rPr>
              <w:t>4.备用电子 U 盘、纸质投标担保原件</w:t>
            </w:r>
            <w:r>
              <w:rPr>
                <w:rFonts w:hint="eastAsia" w:ascii="宋体" w:hAnsi="宋体" w:cs="宋体"/>
                <w:b w:val="0"/>
                <w:bCs/>
                <w:spacing w:val="10"/>
                <w:sz w:val="24"/>
                <w:szCs w:val="24"/>
                <w:lang w:eastAsia="zh-CN"/>
              </w:rPr>
              <w:t>（如有）</w:t>
            </w:r>
            <w:r>
              <w:rPr>
                <w:rFonts w:hint="eastAsia" w:ascii="宋体" w:hAnsi="宋体" w:cs="宋体"/>
                <w:b w:val="0"/>
                <w:bCs/>
                <w:spacing w:val="10"/>
                <w:sz w:val="24"/>
                <w:szCs w:val="24"/>
              </w:rPr>
              <w:t>递交至广州公共资源交易中心开标室（具体开标室请投标人自行登录广州公共资源交易网查询，下同）。</w:t>
            </w:r>
          </w:p>
        </w:tc>
      </w:tr>
      <w:tr w14:paraId="09B55BF5">
        <w:tblPrEx>
          <w:tblCellMar>
            <w:top w:w="0" w:type="dxa"/>
            <w:left w:w="108" w:type="dxa"/>
            <w:bottom w:w="0" w:type="dxa"/>
            <w:right w:w="108" w:type="dxa"/>
          </w:tblCellMar>
        </w:tblPrEx>
        <w:trPr>
          <w:trHeight w:val="1224" w:hRule="atLeast"/>
          <w:jc w:val="center"/>
        </w:trPr>
        <w:tc>
          <w:tcPr>
            <w:tcW w:w="954" w:type="dxa"/>
            <w:tcBorders>
              <w:top w:val="single" w:color="000000" w:sz="4" w:space="0"/>
              <w:left w:val="single" w:color="000000" w:sz="4" w:space="0"/>
              <w:bottom w:val="single" w:color="000000" w:sz="4" w:space="0"/>
              <w:right w:val="single" w:color="000000" w:sz="4" w:space="0"/>
            </w:tcBorders>
            <w:vAlign w:val="center"/>
          </w:tcPr>
          <w:p w14:paraId="1EBFA769">
            <w:pPr>
              <w:spacing w:line="360" w:lineRule="auto"/>
              <w:jc w:val="center"/>
              <w:rPr>
                <w:rFonts w:ascii="宋体" w:hAnsi="宋体" w:cs="宋体"/>
                <w:b w:val="0"/>
                <w:bCs/>
                <w:sz w:val="24"/>
                <w:szCs w:val="24"/>
              </w:rPr>
            </w:pPr>
            <w:r>
              <w:rPr>
                <w:rFonts w:ascii="宋体" w:hAnsi="宋体"/>
                <w:sz w:val="24"/>
                <w:szCs w:val="24"/>
              </w:rPr>
              <w:t>4.2.</w:t>
            </w:r>
            <w:r>
              <w:rPr>
                <w:rFonts w:hint="eastAsia" w:ascii="宋体" w:hAnsi="宋体"/>
                <w:sz w:val="24"/>
                <w:szCs w:val="24"/>
              </w:rPr>
              <w:t>5</w:t>
            </w:r>
          </w:p>
        </w:tc>
        <w:tc>
          <w:tcPr>
            <w:tcW w:w="2026" w:type="dxa"/>
            <w:tcBorders>
              <w:top w:val="single" w:color="000000" w:sz="4" w:space="0"/>
              <w:left w:val="single" w:color="000000" w:sz="4" w:space="0"/>
              <w:bottom w:val="single" w:color="000000" w:sz="4" w:space="0"/>
              <w:right w:val="single" w:color="000000" w:sz="4" w:space="0"/>
            </w:tcBorders>
            <w:vAlign w:val="center"/>
          </w:tcPr>
          <w:p w14:paraId="714C2173">
            <w:pPr>
              <w:tabs>
                <w:tab w:val="left" w:pos="540"/>
              </w:tabs>
              <w:spacing w:line="360" w:lineRule="auto"/>
              <w:jc w:val="center"/>
              <w:rPr>
                <w:rFonts w:ascii="宋体" w:hAnsi="宋体" w:cs="宋体"/>
                <w:b w:val="0"/>
                <w:bCs/>
                <w:spacing w:val="10"/>
                <w:sz w:val="24"/>
                <w:szCs w:val="24"/>
              </w:rPr>
            </w:pPr>
            <w:r>
              <w:rPr>
                <w:rFonts w:hint="eastAsia" w:ascii="宋体" w:hAnsi="宋体" w:cs="宋体"/>
                <w:spacing w:val="-6"/>
                <w:kern w:val="0"/>
                <w:sz w:val="24"/>
                <w:szCs w:val="24"/>
              </w:rPr>
              <w:t>招标人通知延后投标截止时间的时间</w:t>
            </w:r>
          </w:p>
        </w:tc>
        <w:tc>
          <w:tcPr>
            <w:tcW w:w="7050" w:type="dxa"/>
            <w:gridSpan w:val="2"/>
            <w:tcBorders>
              <w:top w:val="single" w:color="000000" w:sz="4" w:space="0"/>
              <w:left w:val="single" w:color="000000" w:sz="4" w:space="0"/>
              <w:bottom w:val="single" w:color="000000" w:sz="4" w:space="0"/>
              <w:right w:val="single" w:color="000000" w:sz="4" w:space="0"/>
            </w:tcBorders>
            <w:vAlign w:val="center"/>
          </w:tcPr>
          <w:p w14:paraId="45A99F7D">
            <w:pPr>
              <w:tabs>
                <w:tab w:val="left" w:pos="540"/>
              </w:tabs>
              <w:spacing w:line="360" w:lineRule="auto"/>
              <w:ind w:left="105" w:leftChars="50" w:right="105" w:rightChars="50"/>
              <w:rPr>
                <w:rFonts w:ascii="宋体" w:hAnsi="宋体" w:cs="宋体"/>
                <w:b w:val="0"/>
                <w:bCs/>
                <w:spacing w:val="10"/>
                <w:sz w:val="24"/>
                <w:szCs w:val="24"/>
              </w:rPr>
            </w:pPr>
            <w:r>
              <w:rPr>
                <w:rFonts w:hint="eastAsia" w:ascii="宋体" w:hAnsi="宋体" w:cs="宋体"/>
                <w:kern w:val="0"/>
                <w:sz w:val="24"/>
                <w:szCs w:val="24"/>
              </w:rPr>
              <w:t>原定投标截止时间</w:t>
            </w:r>
            <w:r>
              <w:rPr>
                <w:rFonts w:hint="eastAsia" w:ascii="宋体" w:hAnsi="宋体" w:cs="宋体"/>
                <w:kern w:val="0"/>
                <w:sz w:val="24"/>
                <w:szCs w:val="24"/>
                <w:u w:val="single"/>
                <w:lang w:val="en-US" w:eastAsia="zh-CN"/>
              </w:rPr>
              <w:t xml:space="preserve"> 3 </w:t>
            </w:r>
            <w:r>
              <w:rPr>
                <w:rFonts w:hint="eastAsia" w:ascii="宋体" w:hAnsi="宋体" w:cs="宋体"/>
                <w:spacing w:val="-1"/>
                <w:kern w:val="0"/>
                <w:sz w:val="24"/>
                <w:szCs w:val="24"/>
              </w:rPr>
              <w:t>天前</w:t>
            </w:r>
          </w:p>
        </w:tc>
      </w:tr>
      <w:tr w14:paraId="3934F47D">
        <w:tblPrEx>
          <w:tblCellMar>
            <w:top w:w="0" w:type="dxa"/>
            <w:left w:w="108" w:type="dxa"/>
            <w:bottom w:w="0" w:type="dxa"/>
            <w:right w:w="108" w:type="dxa"/>
          </w:tblCellMar>
        </w:tblPrEx>
        <w:trPr>
          <w:trHeight w:val="1045" w:hRule="atLeast"/>
          <w:jc w:val="center"/>
        </w:trPr>
        <w:tc>
          <w:tcPr>
            <w:tcW w:w="954" w:type="dxa"/>
            <w:tcBorders>
              <w:top w:val="single" w:color="000000" w:sz="4" w:space="0"/>
              <w:left w:val="single" w:color="000000" w:sz="4" w:space="0"/>
              <w:bottom w:val="single" w:color="000000" w:sz="4" w:space="0"/>
              <w:right w:val="single" w:color="000000" w:sz="4" w:space="0"/>
            </w:tcBorders>
            <w:vAlign w:val="center"/>
          </w:tcPr>
          <w:p w14:paraId="625FBA65">
            <w:pPr>
              <w:widowControl w:val="0"/>
              <w:tabs>
                <w:tab w:val="left" w:pos="540"/>
              </w:tabs>
              <w:spacing w:before="0" w:after="0" w:line="360" w:lineRule="auto"/>
              <w:jc w:val="center"/>
              <w:rPr>
                <w:rFonts w:ascii="宋体" w:hAnsi="宋体" w:cs="宋体"/>
                <w:b w:val="0"/>
                <w:bCs/>
                <w:spacing w:val="10"/>
                <w:sz w:val="24"/>
                <w:szCs w:val="24"/>
              </w:rPr>
            </w:pPr>
            <w:r>
              <w:rPr>
                <w:rFonts w:ascii="宋体" w:hAnsi="宋体" w:cs="宋体"/>
                <w:b w:val="0"/>
                <w:bCs/>
                <w:spacing w:val="10"/>
                <w:sz w:val="24"/>
                <w:szCs w:val="24"/>
              </w:rPr>
              <w:t>5.1</w:t>
            </w:r>
          </w:p>
        </w:tc>
        <w:tc>
          <w:tcPr>
            <w:tcW w:w="2026" w:type="dxa"/>
            <w:tcBorders>
              <w:top w:val="single" w:color="000000" w:sz="4" w:space="0"/>
              <w:left w:val="single" w:color="000000" w:sz="4" w:space="0"/>
              <w:bottom w:val="single" w:color="000000" w:sz="4" w:space="0"/>
              <w:right w:val="single" w:color="000000" w:sz="4" w:space="0"/>
            </w:tcBorders>
            <w:vAlign w:val="center"/>
          </w:tcPr>
          <w:p w14:paraId="0F6F546A">
            <w:pPr>
              <w:widowControl w:val="0"/>
              <w:tabs>
                <w:tab w:val="left" w:pos="540"/>
              </w:tabs>
              <w:spacing w:before="0" w:after="0" w:line="360" w:lineRule="auto"/>
              <w:jc w:val="center"/>
              <w:rPr>
                <w:rFonts w:hint="eastAsia" w:ascii="宋体" w:hAnsi="宋体" w:cs="宋体"/>
                <w:b w:val="0"/>
                <w:bCs/>
                <w:spacing w:val="10"/>
                <w:sz w:val="24"/>
                <w:szCs w:val="24"/>
              </w:rPr>
            </w:pPr>
            <w:r>
              <w:rPr>
                <w:rFonts w:hint="eastAsia" w:ascii="宋体" w:hAnsi="宋体" w:cs="宋体"/>
                <w:b w:val="0"/>
                <w:bCs/>
                <w:spacing w:val="10"/>
                <w:sz w:val="24"/>
                <w:szCs w:val="24"/>
              </w:rPr>
              <w:t>开标时间</w:t>
            </w:r>
          </w:p>
          <w:p w14:paraId="4169175E">
            <w:pPr>
              <w:widowControl w:val="0"/>
              <w:tabs>
                <w:tab w:val="left" w:pos="540"/>
              </w:tabs>
              <w:spacing w:before="0" w:after="0" w:line="360" w:lineRule="auto"/>
              <w:jc w:val="center"/>
              <w:rPr>
                <w:rFonts w:ascii="宋体" w:hAnsi="宋体" w:cs="宋体"/>
                <w:b w:val="0"/>
                <w:bCs/>
                <w:spacing w:val="10"/>
                <w:sz w:val="24"/>
                <w:szCs w:val="24"/>
              </w:rPr>
            </w:pPr>
            <w:r>
              <w:rPr>
                <w:rFonts w:hint="eastAsia" w:ascii="宋体" w:hAnsi="宋体" w:cs="宋体"/>
                <w:b w:val="0"/>
                <w:bCs/>
                <w:spacing w:val="10"/>
                <w:sz w:val="24"/>
                <w:szCs w:val="24"/>
              </w:rPr>
              <w:t>和地点</w:t>
            </w:r>
          </w:p>
        </w:tc>
        <w:tc>
          <w:tcPr>
            <w:tcW w:w="7050" w:type="dxa"/>
            <w:gridSpan w:val="2"/>
            <w:tcBorders>
              <w:top w:val="single" w:color="000000" w:sz="4" w:space="0"/>
              <w:left w:val="single" w:color="000000" w:sz="4" w:space="0"/>
              <w:bottom w:val="single" w:color="000000" w:sz="4" w:space="0"/>
              <w:right w:val="single" w:color="000000" w:sz="4" w:space="0"/>
            </w:tcBorders>
            <w:vAlign w:val="center"/>
          </w:tcPr>
          <w:p w14:paraId="77528EA8">
            <w:pPr>
              <w:widowControl w:val="0"/>
              <w:tabs>
                <w:tab w:val="left" w:pos="540"/>
              </w:tabs>
              <w:spacing w:before="0" w:after="0" w:line="400" w:lineRule="exact"/>
              <w:rPr>
                <w:rFonts w:ascii="宋体" w:hAnsi="宋体" w:cs="宋体"/>
                <w:b w:val="0"/>
                <w:bCs/>
                <w:kern w:val="0"/>
                <w:sz w:val="24"/>
                <w:szCs w:val="24"/>
              </w:rPr>
            </w:pPr>
            <w:r>
              <w:rPr>
                <w:rFonts w:ascii="宋体" w:hAnsi="宋体" w:cs="宋体"/>
                <w:b w:val="0"/>
                <w:bCs/>
                <w:spacing w:val="10"/>
                <w:sz w:val="24"/>
                <w:szCs w:val="24"/>
              </w:rPr>
              <w:t>开标时间：同</w:t>
            </w:r>
            <w:r>
              <w:rPr>
                <w:rFonts w:ascii="宋体" w:hAnsi="宋体" w:cs="宋体"/>
                <w:b w:val="0"/>
                <w:bCs/>
                <w:sz w:val="24"/>
                <w:szCs w:val="24"/>
              </w:rPr>
              <w:t>投标截止时间</w:t>
            </w:r>
          </w:p>
          <w:p w14:paraId="5CD9CD98">
            <w:pPr>
              <w:widowControl w:val="0"/>
              <w:spacing w:before="0" w:after="0" w:line="400" w:lineRule="exact"/>
              <w:jc w:val="left"/>
              <w:rPr>
                <w:rFonts w:ascii="宋体" w:hAnsi="宋体" w:cs="宋体"/>
                <w:b w:val="0"/>
                <w:bCs/>
                <w:spacing w:val="10"/>
                <w:sz w:val="24"/>
                <w:szCs w:val="24"/>
              </w:rPr>
            </w:pPr>
            <w:r>
              <w:rPr>
                <w:rFonts w:ascii="宋体" w:hAnsi="宋体" w:cs="宋体"/>
                <w:b w:val="0"/>
                <w:bCs/>
                <w:spacing w:val="10"/>
                <w:sz w:val="24"/>
                <w:szCs w:val="24"/>
              </w:rPr>
              <w:t>开标地点：</w:t>
            </w:r>
            <w:r>
              <w:rPr>
                <w:rFonts w:hint="eastAsia" w:ascii="宋体" w:hAnsi="宋体" w:cs="宋体"/>
                <w:b w:val="0"/>
                <w:bCs/>
                <w:spacing w:val="10"/>
                <w:sz w:val="24"/>
                <w:szCs w:val="24"/>
              </w:rPr>
              <w:t>广州公共资源交易中心第</w:t>
            </w:r>
            <w:r>
              <w:rPr>
                <w:rFonts w:hint="eastAsia" w:ascii="宋体" w:hAnsi="宋体" w:cs="宋体"/>
                <w:b w:val="0"/>
                <w:bCs/>
                <w:spacing w:val="10"/>
                <w:sz w:val="24"/>
                <w:szCs w:val="24"/>
                <w:u w:val="single"/>
              </w:rPr>
              <w:t xml:space="preserve"> </w:t>
            </w:r>
            <w:r>
              <w:rPr>
                <w:rFonts w:hint="eastAsia" w:ascii="宋体" w:hAnsi="宋体" w:cs="宋体"/>
                <w:b w:val="0"/>
                <w:bCs/>
                <w:spacing w:val="10"/>
                <w:sz w:val="24"/>
                <w:szCs w:val="24"/>
                <w:u w:val="single"/>
                <w:lang w:val="en-US" w:eastAsia="zh-CN"/>
              </w:rPr>
              <w:t xml:space="preserve">   </w:t>
            </w:r>
            <w:r>
              <w:rPr>
                <w:rFonts w:hint="eastAsia" w:ascii="宋体" w:hAnsi="宋体" w:cs="宋体"/>
                <w:b w:val="0"/>
                <w:bCs/>
                <w:spacing w:val="10"/>
                <w:sz w:val="24"/>
                <w:szCs w:val="24"/>
              </w:rPr>
              <w:t>开标室（广州市天河区天润路 333 号）</w:t>
            </w:r>
          </w:p>
        </w:tc>
      </w:tr>
      <w:tr w14:paraId="25C9D87C">
        <w:tblPrEx>
          <w:tblCellMar>
            <w:top w:w="0" w:type="dxa"/>
            <w:left w:w="108" w:type="dxa"/>
            <w:bottom w:w="0" w:type="dxa"/>
            <w:right w:w="108" w:type="dxa"/>
          </w:tblCellMar>
        </w:tblPrEx>
        <w:trPr>
          <w:trHeight w:val="1720" w:hRule="atLeast"/>
          <w:jc w:val="center"/>
        </w:trPr>
        <w:tc>
          <w:tcPr>
            <w:tcW w:w="954" w:type="dxa"/>
            <w:tcBorders>
              <w:top w:val="single" w:color="000000" w:sz="4" w:space="0"/>
              <w:left w:val="single" w:color="000000" w:sz="4" w:space="0"/>
              <w:bottom w:val="single" w:color="000000" w:sz="4" w:space="0"/>
              <w:right w:val="single" w:color="000000" w:sz="4" w:space="0"/>
            </w:tcBorders>
            <w:vAlign w:val="center"/>
          </w:tcPr>
          <w:p w14:paraId="6706F53E">
            <w:pPr>
              <w:spacing w:line="360" w:lineRule="auto"/>
              <w:jc w:val="center"/>
              <w:rPr>
                <w:rFonts w:ascii="宋体" w:hAnsi="宋体" w:cs="宋体"/>
                <w:b w:val="0"/>
                <w:bCs/>
                <w:spacing w:val="10"/>
                <w:sz w:val="24"/>
                <w:szCs w:val="24"/>
              </w:rPr>
            </w:pPr>
            <w:r>
              <w:rPr>
                <w:rFonts w:hint="eastAsia" w:ascii="宋体" w:hAnsi="宋体"/>
                <w:sz w:val="24"/>
                <w:szCs w:val="24"/>
              </w:rPr>
              <w:t>5.3.1</w:t>
            </w:r>
          </w:p>
        </w:tc>
        <w:tc>
          <w:tcPr>
            <w:tcW w:w="2026" w:type="dxa"/>
            <w:tcBorders>
              <w:top w:val="single" w:color="000000" w:sz="4" w:space="0"/>
              <w:left w:val="single" w:color="000000" w:sz="4" w:space="0"/>
              <w:bottom w:val="single" w:color="000000" w:sz="4" w:space="0"/>
              <w:right w:val="single" w:color="000000" w:sz="4" w:space="0"/>
            </w:tcBorders>
            <w:vAlign w:val="center"/>
          </w:tcPr>
          <w:p w14:paraId="288A6A48">
            <w:pPr>
              <w:spacing w:line="360" w:lineRule="auto"/>
              <w:jc w:val="center"/>
              <w:rPr>
                <w:rFonts w:ascii="宋体" w:hAnsi="宋体" w:cs="宋体"/>
                <w:b w:val="0"/>
                <w:bCs/>
                <w:spacing w:val="10"/>
                <w:sz w:val="24"/>
                <w:szCs w:val="24"/>
              </w:rPr>
            </w:pPr>
            <w:r>
              <w:rPr>
                <w:rFonts w:hint="eastAsia" w:ascii="宋体" w:hAnsi="宋体"/>
                <w:sz w:val="24"/>
                <w:szCs w:val="24"/>
              </w:rPr>
              <w:t>开标程序</w:t>
            </w:r>
          </w:p>
        </w:tc>
        <w:tc>
          <w:tcPr>
            <w:tcW w:w="7050" w:type="dxa"/>
            <w:gridSpan w:val="2"/>
            <w:tcBorders>
              <w:top w:val="single" w:color="000000" w:sz="4" w:space="0"/>
              <w:left w:val="single" w:color="000000" w:sz="4" w:space="0"/>
              <w:bottom w:val="single" w:color="000000" w:sz="4" w:space="0"/>
              <w:right w:val="single" w:color="000000" w:sz="4" w:space="0"/>
            </w:tcBorders>
            <w:vAlign w:val="center"/>
          </w:tcPr>
          <w:p w14:paraId="4FBD3ED4">
            <w:pPr>
              <w:tabs>
                <w:tab w:val="left" w:pos="540"/>
              </w:tabs>
              <w:spacing w:line="400" w:lineRule="exact"/>
              <w:rPr>
                <w:rFonts w:hint="eastAsia" w:ascii="宋体" w:hAnsi="宋体" w:cs="宋体"/>
                <w:b w:val="0"/>
                <w:bCs/>
                <w:spacing w:val="10"/>
                <w:sz w:val="24"/>
                <w:szCs w:val="24"/>
              </w:rPr>
            </w:pPr>
            <w:r>
              <w:rPr>
                <w:rFonts w:hint="eastAsia" w:ascii="宋体" w:hAnsi="宋体" w:cs="宋体"/>
                <w:b w:val="0"/>
                <w:bCs/>
                <w:spacing w:val="10"/>
                <w:sz w:val="24"/>
                <w:szCs w:val="24"/>
              </w:rPr>
              <w:t>1.在投标截止时间后30分钟内，投标人通过递交投标文件的交易平台对已递交的电子投标文件进行解密。投标人完成解密后，再由招标人或招标代理机构进行解密。解密完成后，公布招标项目名称、投标人名称等相关信息。未在规定时间内解密的投标文件不参与开标、评标。开标期间至评标结束，请各投标人保持联系电话畅通，以便联系，如因联系电话无法接通，造成无法核实相关事宜的，责任自负。</w:t>
            </w:r>
          </w:p>
          <w:p w14:paraId="510A53F9">
            <w:pPr>
              <w:tabs>
                <w:tab w:val="left" w:pos="540"/>
              </w:tabs>
              <w:spacing w:line="400" w:lineRule="exact"/>
              <w:rPr>
                <w:rFonts w:hint="eastAsia" w:ascii="宋体" w:hAnsi="宋体" w:cs="宋体"/>
                <w:b w:val="0"/>
                <w:bCs/>
                <w:spacing w:val="10"/>
                <w:sz w:val="24"/>
                <w:szCs w:val="24"/>
              </w:rPr>
            </w:pPr>
            <w:r>
              <w:rPr>
                <w:rFonts w:hint="eastAsia" w:ascii="宋体" w:hAnsi="宋体" w:cs="宋体"/>
                <w:b w:val="0"/>
                <w:bCs/>
                <w:spacing w:val="10"/>
                <w:sz w:val="24"/>
                <w:szCs w:val="24"/>
              </w:rPr>
              <w:t>2.截标后，开标开始时间因故推迟的，相关评标信息仍以原定的开标开始时间的信息为准。</w:t>
            </w:r>
          </w:p>
          <w:p w14:paraId="4D76BA8E">
            <w:pPr>
              <w:tabs>
                <w:tab w:val="left" w:pos="540"/>
              </w:tabs>
              <w:spacing w:line="400" w:lineRule="exact"/>
              <w:rPr>
                <w:rFonts w:hint="eastAsia" w:ascii="宋体" w:hAnsi="宋体" w:cs="宋体"/>
                <w:b w:val="0"/>
                <w:bCs/>
                <w:spacing w:val="10"/>
                <w:sz w:val="24"/>
                <w:szCs w:val="24"/>
              </w:rPr>
            </w:pPr>
            <w:r>
              <w:rPr>
                <w:rFonts w:hint="eastAsia" w:ascii="宋体" w:hAnsi="宋体" w:cs="宋体"/>
                <w:b w:val="0"/>
                <w:bCs/>
                <w:spacing w:val="10"/>
                <w:sz w:val="24"/>
                <w:szCs w:val="24"/>
              </w:rPr>
              <w:t>3.投标截止时间前未完成投标文件传输的或因投标人之外的原因造成投标文件未解密且未按要求递交备用电子U盘的，视为投标人撤回投标文件。因投标人原因造成投标文件未解密或未在规定的时间内解密的，视为撤销其投标文件。</w:t>
            </w:r>
          </w:p>
          <w:p w14:paraId="5D105CB3">
            <w:pPr>
              <w:tabs>
                <w:tab w:val="left" w:pos="540"/>
              </w:tabs>
              <w:spacing w:line="400" w:lineRule="exact"/>
              <w:rPr>
                <w:rFonts w:hint="eastAsia" w:ascii="宋体" w:hAnsi="宋体" w:cs="宋体"/>
                <w:b w:val="0"/>
                <w:bCs/>
                <w:spacing w:val="10"/>
                <w:sz w:val="24"/>
                <w:szCs w:val="24"/>
              </w:rPr>
            </w:pPr>
            <w:r>
              <w:rPr>
                <w:rFonts w:hint="eastAsia" w:ascii="宋体" w:hAnsi="宋体" w:cs="宋体"/>
                <w:b w:val="0"/>
                <w:bCs/>
                <w:spacing w:val="10"/>
                <w:sz w:val="24"/>
                <w:szCs w:val="24"/>
              </w:rPr>
              <w:t>4.开标方式采用电子开标和现场开标两种模式，投标人可选择在开标室参与开标或准时在线参加开标，也可不参加开标。参加在线开标的投标人登录交易平台实时查看开标、唱标情况。交易平台生成开标记录并向社会公众公布。</w:t>
            </w:r>
          </w:p>
          <w:p w14:paraId="4212B9A5">
            <w:pPr>
              <w:tabs>
                <w:tab w:val="left" w:pos="540"/>
              </w:tabs>
              <w:spacing w:line="400" w:lineRule="exact"/>
              <w:rPr>
                <w:rFonts w:ascii="宋体" w:hAnsi="宋体" w:cs="宋体"/>
                <w:b w:val="0"/>
                <w:bCs/>
                <w:spacing w:val="10"/>
                <w:sz w:val="24"/>
                <w:szCs w:val="24"/>
              </w:rPr>
            </w:pPr>
            <w:r>
              <w:rPr>
                <w:rFonts w:hint="eastAsia" w:ascii="宋体" w:hAnsi="宋体" w:cs="宋体"/>
                <w:b w:val="0"/>
                <w:bCs/>
                <w:spacing w:val="10"/>
                <w:sz w:val="24"/>
                <w:szCs w:val="24"/>
              </w:rPr>
              <w:t>5.开标时，两个（含两个）以上的投标人加密打包投标文件电脑机器特征码一致的，不参与下一程序，并由评标委员会否决其投标。</w:t>
            </w:r>
          </w:p>
        </w:tc>
      </w:tr>
      <w:tr w14:paraId="2728DDD2">
        <w:tblPrEx>
          <w:tblCellMar>
            <w:top w:w="0" w:type="dxa"/>
            <w:left w:w="108" w:type="dxa"/>
            <w:bottom w:w="0" w:type="dxa"/>
            <w:right w:w="108" w:type="dxa"/>
          </w:tblCellMar>
        </w:tblPrEx>
        <w:trPr>
          <w:trHeight w:val="90" w:hRule="atLeast"/>
          <w:jc w:val="center"/>
        </w:trPr>
        <w:tc>
          <w:tcPr>
            <w:tcW w:w="954" w:type="dxa"/>
            <w:tcBorders>
              <w:top w:val="single" w:color="000000" w:sz="4" w:space="0"/>
              <w:left w:val="single" w:color="000000" w:sz="4" w:space="0"/>
              <w:bottom w:val="single" w:color="000000" w:sz="4" w:space="0"/>
              <w:right w:val="single" w:color="000000" w:sz="4" w:space="0"/>
            </w:tcBorders>
            <w:vAlign w:val="center"/>
          </w:tcPr>
          <w:p w14:paraId="37CCE87D">
            <w:pPr>
              <w:widowControl w:val="0"/>
              <w:tabs>
                <w:tab w:val="left" w:pos="540"/>
              </w:tabs>
              <w:spacing w:before="0" w:after="0" w:line="360" w:lineRule="auto"/>
              <w:jc w:val="center"/>
              <w:rPr>
                <w:rFonts w:ascii="宋体" w:hAnsi="宋体" w:cs="宋体"/>
                <w:b w:val="0"/>
                <w:bCs/>
                <w:spacing w:val="10"/>
                <w:sz w:val="24"/>
                <w:szCs w:val="24"/>
              </w:rPr>
            </w:pPr>
            <w:r>
              <w:rPr>
                <w:rFonts w:ascii="宋体" w:hAnsi="宋体" w:cs="宋体"/>
                <w:b w:val="0"/>
                <w:bCs/>
                <w:spacing w:val="10"/>
                <w:sz w:val="24"/>
                <w:szCs w:val="24"/>
              </w:rPr>
              <w:t>6.1.1</w:t>
            </w:r>
          </w:p>
        </w:tc>
        <w:tc>
          <w:tcPr>
            <w:tcW w:w="2026" w:type="dxa"/>
            <w:tcBorders>
              <w:top w:val="single" w:color="000000" w:sz="4" w:space="0"/>
              <w:left w:val="single" w:color="000000" w:sz="4" w:space="0"/>
              <w:bottom w:val="single" w:color="000000" w:sz="4" w:space="0"/>
              <w:right w:val="single" w:color="000000" w:sz="4" w:space="0"/>
            </w:tcBorders>
            <w:vAlign w:val="center"/>
          </w:tcPr>
          <w:p w14:paraId="4DDD565C">
            <w:pPr>
              <w:widowControl w:val="0"/>
              <w:spacing w:before="0" w:after="0" w:line="360" w:lineRule="auto"/>
              <w:jc w:val="center"/>
              <w:rPr>
                <w:rFonts w:ascii="宋体" w:hAnsi="宋体" w:cs="宋体"/>
                <w:b w:val="0"/>
                <w:bCs/>
                <w:spacing w:val="10"/>
                <w:sz w:val="24"/>
                <w:szCs w:val="24"/>
              </w:rPr>
            </w:pPr>
            <w:r>
              <w:rPr>
                <w:rFonts w:ascii="宋体" w:hAnsi="宋体" w:cs="宋体"/>
                <w:b w:val="0"/>
                <w:bCs/>
                <w:kern w:val="0"/>
                <w:sz w:val="24"/>
                <w:szCs w:val="24"/>
              </w:rPr>
              <w:t>评标委员会组建</w:t>
            </w:r>
          </w:p>
        </w:tc>
        <w:tc>
          <w:tcPr>
            <w:tcW w:w="7050" w:type="dxa"/>
            <w:gridSpan w:val="2"/>
            <w:tcBorders>
              <w:top w:val="single" w:color="000000" w:sz="4" w:space="0"/>
              <w:left w:val="single" w:color="000000" w:sz="4" w:space="0"/>
              <w:bottom w:val="single" w:color="000000" w:sz="4" w:space="0"/>
              <w:right w:val="single" w:color="000000" w:sz="4" w:space="0"/>
            </w:tcBorders>
            <w:vAlign w:val="center"/>
          </w:tcPr>
          <w:p w14:paraId="3B523774">
            <w:pPr>
              <w:pStyle w:val="9"/>
              <w:keepNext w:val="0"/>
              <w:keepLines w:val="0"/>
              <w:pageBreakBefore w:val="0"/>
              <w:widowControl w:val="0"/>
              <w:kinsoku/>
              <w:wordWrap/>
              <w:overflowPunct/>
              <w:topLinePunct w:val="0"/>
              <w:autoSpaceDE/>
              <w:autoSpaceDN/>
              <w:bidi w:val="0"/>
              <w:adjustRightInd/>
              <w:snapToGrid/>
              <w:spacing w:before="0" w:after="0" w:line="400" w:lineRule="exact"/>
              <w:textAlignment w:val="auto"/>
              <w:rPr>
                <w:rFonts w:ascii="宋体" w:hAnsi="宋体" w:cs="宋体"/>
                <w:b w:val="0"/>
                <w:bCs/>
                <w:sz w:val="24"/>
                <w:szCs w:val="24"/>
              </w:rPr>
            </w:pPr>
            <w:r>
              <w:rPr>
                <w:rFonts w:ascii="宋体" w:hAnsi="宋体" w:cs="宋体"/>
                <w:b w:val="0"/>
                <w:bCs/>
                <w:spacing w:val="12"/>
                <w:kern w:val="0"/>
                <w:sz w:val="24"/>
                <w:szCs w:val="24"/>
              </w:rPr>
              <w:t>评标委员会构成</w:t>
            </w:r>
            <w:r>
              <w:rPr>
                <w:rFonts w:ascii="宋体" w:hAnsi="宋体" w:cs="宋体"/>
                <w:b w:val="0"/>
                <w:bCs/>
                <w:kern w:val="0"/>
                <w:sz w:val="24"/>
                <w:szCs w:val="24"/>
              </w:rPr>
              <w:t>：</w:t>
            </w:r>
            <w:r>
              <w:rPr>
                <w:rFonts w:hint="eastAsia" w:ascii="宋体" w:hAnsi="宋体" w:cs="宋体"/>
                <w:b w:val="0"/>
                <w:bCs/>
                <w:kern w:val="0"/>
                <w:sz w:val="24"/>
                <w:szCs w:val="24"/>
                <w:u w:val="single"/>
                <w:lang w:val="en-US" w:eastAsia="zh-CN"/>
              </w:rPr>
              <w:t xml:space="preserve"> </w:t>
            </w:r>
            <w:r>
              <w:rPr>
                <w:rFonts w:ascii="宋体" w:hAnsi="宋体" w:cs="宋体"/>
                <w:b w:val="0"/>
                <w:bCs/>
                <w:color w:val="000000"/>
                <w:sz w:val="24"/>
                <w:szCs w:val="24"/>
                <w:u w:val="single"/>
              </w:rPr>
              <w:t>5</w:t>
            </w:r>
            <w:r>
              <w:rPr>
                <w:rFonts w:hint="eastAsia" w:ascii="宋体" w:hAnsi="宋体" w:cs="宋体"/>
                <w:b w:val="0"/>
                <w:bCs/>
                <w:color w:val="000000"/>
                <w:sz w:val="24"/>
                <w:szCs w:val="24"/>
                <w:u w:val="single"/>
                <w:lang w:val="en-US" w:eastAsia="zh-CN"/>
              </w:rPr>
              <w:t xml:space="preserve"> </w:t>
            </w:r>
            <w:r>
              <w:rPr>
                <w:rFonts w:ascii="宋体" w:hAnsi="宋体" w:cs="宋体"/>
                <w:b w:val="0"/>
                <w:bCs/>
                <w:color w:val="000000"/>
                <w:sz w:val="24"/>
                <w:szCs w:val="24"/>
              </w:rPr>
              <w:t>人，</w:t>
            </w:r>
            <w:r>
              <w:rPr>
                <w:rFonts w:hint="eastAsia" w:ascii="宋体" w:hAnsi="宋体" w:cs="宋体"/>
                <w:b w:val="0"/>
                <w:bCs/>
                <w:color w:val="000000"/>
                <w:sz w:val="24"/>
                <w:szCs w:val="24"/>
                <w:u w:val="single"/>
                <w:lang w:val="en-US" w:eastAsia="zh-CN"/>
              </w:rPr>
              <w:t>货物-</w:t>
            </w:r>
            <w:r>
              <w:rPr>
                <w:rFonts w:hint="eastAsia" w:ascii="宋体" w:hAnsi="宋体" w:cs="宋体"/>
                <w:b w:val="0"/>
                <w:bCs/>
                <w:color w:val="000000"/>
                <w:sz w:val="24"/>
                <w:szCs w:val="24"/>
                <w:u w:val="single"/>
              </w:rPr>
              <w:t>水产养殖机械</w:t>
            </w:r>
            <w:r>
              <w:rPr>
                <w:rFonts w:ascii="宋体" w:hAnsi="宋体" w:cs="宋体"/>
                <w:b w:val="0"/>
                <w:bCs/>
                <w:color w:val="000000"/>
                <w:sz w:val="24"/>
                <w:szCs w:val="24"/>
                <w:u w:val="single"/>
              </w:rPr>
              <w:t>（</w:t>
            </w:r>
            <w:r>
              <w:rPr>
                <w:rFonts w:hint="eastAsia" w:ascii="宋体" w:hAnsi="宋体" w:cs="宋体"/>
                <w:b w:val="0"/>
                <w:bCs/>
                <w:color w:val="000000"/>
                <w:sz w:val="24"/>
                <w:szCs w:val="24"/>
                <w:u w:val="single"/>
              </w:rPr>
              <w:t>B011015</w:t>
            </w:r>
            <w:r>
              <w:rPr>
                <w:rFonts w:ascii="宋体" w:hAnsi="宋体" w:cs="宋体"/>
                <w:b w:val="0"/>
                <w:bCs/>
                <w:color w:val="000000"/>
                <w:sz w:val="24"/>
                <w:szCs w:val="24"/>
                <w:u w:val="single"/>
              </w:rPr>
              <w:t>）</w:t>
            </w:r>
            <w:r>
              <w:rPr>
                <w:rFonts w:hint="eastAsia" w:ascii="宋体" w:hAnsi="宋体" w:cs="宋体"/>
                <w:b w:val="0"/>
                <w:bCs/>
                <w:color w:val="000000"/>
                <w:sz w:val="24"/>
                <w:szCs w:val="24"/>
                <w:u w:val="single"/>
                <w:lang w:val="en-US" w:eastAsia="zh-CN"/>
              </w:rPr>
              <w:t>2</w:t>
            </w:r>
            <w:r>
              <w:rPr>
                <w:rFonts w:ascii="宋体" w:hAnsi="宋体" w:cs="宋体"/>
                <w:b w:val="0"/>
                <w:bCs/>
                <w:color w:val="000000"/>
                <w:sz w:val="24"/>
                <w:szCs w:val="24"/>
                <w:u w:val="single"/>
              </w:rPr>
              <w:t>人</w:t>
            </w:r>
            <w:r>
              <w:rPr>
                <w:rFonts w:hint="eastAsia" w:ascii="宋体" w:hAnsi="宋体" w:cs="宋体"/>
                <w:b w:val="0"/>
                <w:bCs/>
                <w:color w:val="000000"/>
                <w:sz w:val="24"/>
                <w:szCs w:val="24"/>
                <w:u w:val="single"/>
                <w:lang w:eastAsia="zh-CN"/>
              </w:rPr>
              <w:t>、</w:t>
            </w:r>
            <w:r>
              <w:rPr>
                <w:rFonts w:hint="eastAsia" w:ascii="宋体" w:hAnsi="宋体" w:cs="宋体"/>
                <w:b w:val="0"/>
                <w:bCs/>
                <w:color w:val="000000"/>
                <w:sz w:val="24"/>
                <w:szCs w:val="24"/>
                <w:u w:val="single"/>
                <w:lang w:val="en-US" w:eastAsia="zh-CN"/>
              </w:rPr>
              <w:t>货物-</w:t>
            </w:r>
            <w:r>
              <w:rPr>
                <w:rFonts w:hint="eastAsia" w:ascii="宋体" w:hAnsi="宋体" w:cs="宋体"/>
                <w:b w:val="0"/>
                <w:bCs/>
                <w:color w:val="000000"/>
                <w:sz w:val="24"/>
                <w:szCs w:val="24"/>
                <w:u w:val="single"/>
              </w:rPr>
              <w:t>海洋渔业专用设备</w:t>
            </w:r>
            <w:r>
              <w:rPr>
                <w:rFonts w:ascii="宋体" w:hAnsi="宋体" w:cs="宋体"/>
                <w:b w:val="0"/>
                <w:bCs/>
                <w:color w:val="000000"/>
                <w:sz w:val="24"/>
                <w:szCs w:val="24"/>
                <w:u w:val="single"/>
              </w:rPr>
              <w:t>（</w:t>
            </w:r>
            <w:r>
              <w:rPr>
                <w:rFonts w:hint="eastAsia" w:ascii="宋体" w:hAnsi="宋体" w:cs="宋体"/>
                <w:b w:val="0"/>
                <w:bCs/>
                <w:color w:val="000000"/>
                <w:sz w:val="24"/>
                <w:szCs w:val="24"/>
                <w:u w:val="single"/>
              </w:rPr>
              <w:t xml:space="preserve">B011509 </w:t>
            </w:r>
            <w:r>
              <w:rPr>
                <w:rFonts w:ascii="宋体" w:hAnsi="宋体" w:cs="宋体"/>
                <w:b w:val="0"/>
                <w:bCs/>
                <w:color w:val="000000"/>
                <w:sz w:val="24"/>
                <w:szCs w:val="24"/>
                <w:u w:val="single"/>
              </w:rPr>
              <w:t>）</w:t>
            </w:r>
            <w:r>
              <w:rPr>
                <w:rFonts w:hint="eastAsia" w:ascii="宋体" w:hAnsi="宋体" w:cs="宋体"/>
                <w:b w:val="0"/>
                <w:bCs/>
                <w:color w:val="000000"/>
                <w:sz w:val="24"/>
                <w:szCs w:val="24"/>
                <w:u w:val="single"/>
                <w:lang w:val="en-US" w:eastAsia="zh-CN"/>
              </w:rPr>
              <w:t>2</w:t>
            </w:r>
            <w:r>
              <w:rPr>
                <w:rFonts w:ascii="宋体" w:hAnsi="宋体" w:cs="宋体"/>
                <w:b w:val="0"/>
                <w:bCs/>
                <w:color w:val="000000"/>
                <w:sz w:val="24"/>
                <w:szCs w:val="24"/>
                <w:u w:val="single"/>
              </w:rPr>
              <w:t>人、</w:t>
            </w:r>
            <w:r>
              <w:rPr>
                <w:rFonts w:hint="eastAsia" w:ascii="宋体" w:hAnsi="宋体" w:cs="宋体"/>
                <w:b w:val="0"/>
                <w:bCs/>
                <w:color w:val="000000"/>
                <w:sz w:val="24"/>
                <w:szCs w:val="24"/>
                <w:u w:val="single"/>
                <w:lang w:eastAsia="zh-CN"/>
              </w:rPr>
              <w:t>工程造价</w:t>
            </w:r>
            <w:r>
              <w:rPr>
                <w:rFonts w:hint="eastAsia" w:ascii="宋体" w:hAnsi="宋体" w:cs="宋体"/>
                <w:b w:val="0"/>
                <w:bCs/>
                <w:color w:val="000000"/>
                <w:sz w:val="24"/>
                <w:szCs w:val="24"/>
                <w:u w:val="single"/>
                <w:lang w:val="en-US" w:eastAsia="zh-CN"/>
              </w:rPr>
              <w:t>-</w:t>
            </w:r>
            <w:r>
              <w:rPr>
                <w:rFonts w:hint="eastAsia" w:ascii="宋体" w:hAnsi="宋体" w:cs="宋体"/>
                <w:b w:val="0"/>
                <w:bCs/>
                <w:color w:val="000000"/>
                <w:sz w:val="24"/>
                <w:szCs w:val="24"/>
                <w:u w:val="single"/>
              </w:rPr>
              <w:t>海洋</w:t>
            </w:r>
            <w:r>
              <w:rPr>
                <w:rFonts w:ascii="宋体" w:hAnsi="宋体" w:cs="宋体"/>
                <w:b w:val="0"/>
                <w:bCs/>
                <w:color w:val="000000"/>
                <w:sz w:val="24"/>
                <w:szCs w:val="24"/>
                <w:u w:val="single"/>
              </w:rPr>
              <w:t>（</w:t>
            </w:r>
            <w:r>
              <w:rPr>
                <w:rFonts w:hint="eastAsia" w:ascii="宋体" w:hAnsi="宋体" w:cs="宋体"/>
                <w:b w:val="0"/>
                <w:bCs/>
                <w:color w:val="000000"/>
                <w:sz w:val="24"/>
                <w:szCs w:val="24"/>
                <w:u w:val="single"/>
              </w:rPr>
              <w:t>A060224</w:t>
            </w:r>
            <w:r>
              <w:rPr>
                <w:rFonts w:ascii="宋体" w:hAnsi="宋体" w:cs="宋体"/>
                <w:b w:val="0"/>
                <w:bCs/>
                <w:color w:val="000000"/>
                <w:sz w:val="24"/>
                <w:szCs w:val="24"/>
                <w:u w:val="single"/>
              </w:rPr>
              <w:t>）</w:t>
            </w:r>
            <w:r>
              <w:rPr>
                <w:rFonts w:hint="eastAsia" w:ascii="宋体" w:hAnsi="宋体" w:cs="宋体"/>
                <w:b w:val="0"/>
                <w:bCs/>
                <w:color w:val="000000"/>
                <w:sz w:val="24"/>
                <w:szCs w:val="24"/>
                <w:u w:val="single"/>
                <w:lang w:val="en-US" w:eastAsia="zh-CN"/>
              </w:rPr>
              <w:t>1</w:t>
            </w:r>
            <w:r>
              <w:rPr>
                <w:rFonts w:ascii="宋体" w:hAnsi="宋体" w:cs="宋体"/>
                <w:b w:val="0"/>
                <w:bCs/>
                <w:color w:val="000000"/>
                <w:sz w:val="24"/>
                <w:szCs w:val="24"/>
                <w:u w:val="single"/>
              </w:rPr>
              <w:t>人</w:t>
            </w:r>
            <w:r>
              <w:rPr>
                <w:rFonts w:ascii="宋体" w:hAnsi="宋体" w:cs="宋体"/>
                <w:b w:val="0"/>
                <w:bCs/>
                <w:color w:val="000000"/>
                <w:sz w:val="24"/>
                <w:szCs w:val="24"/>
                <w:u w:val="single"/>
                <w:lang w:eastAsia="zh-CN"/>
              </w:rPr>
              <w:t>。</w:t>
            </w:r>
          </w:p>
          <w:p w14:paraId="490B0164">
            <w:pPr>
              <w:keepNext w:val="0"/>
              <w:keepLines w:val="0"/>
              <w:pageBreakBefore w:val="0"/>
              <w:widowControl w:val="0"/>
              <w:kinsoku/>
              <w:wordWrap/>
              <w:overflowPunct/>
              <w:topLinePunct w:val="0"/>
              <w:autoSpaceDE/>
              <w:autoSpaceDN/>
              <w:bidi w:val="0"/>
              <w:adjustRightInd/>
              <w:snapToGrid/>
              <w:spacing w:before="0" w:after="0" w:line="400" w:lineRule="exact"/>
              <w:jc w:val="left"/>
              <w:textAlignment w:val="auto"/>
              <w:rPr>
                <w:rFonts w:ascii="宋体" w:hAnsi="宋体" w:cs="宋体"/>
                <w:b w:val="0"/>
                <w:bCs/>
                <w:kern w:val="0"/>
                <w:sz w:val="24"/>
                <w:szCs w:val="24"/>
              </w:rPr>
            </w:pPr>
            <w:r>
              <w:rPr>
                <w:rFonts w:ascii="宋体" w:hAnsi="宋体" w:cs="宋体"/>
                <w:b w:val="0"/>
                <w:bCs/>
                <w:color w:val="000000"/>
                <w:kern w:val="0"/>
                <w:sz w:val="24"/>
                <w:szCs w:val="24"/>
                <w:lang w:bidi="ar-SA"/>
              </w:rPr>
              <w:t>抽取专家组别：</w:t>
            </w:r>
            <w:r>
              <w:rPr>
                <w:rFonts w:hint="eastAsia" w:ascii="宋体" w:hAnsi="宋体" w:cs="宋体"/>
                <w:b w:val="0"/>
                <w:bCs/>
                <w:color w:val="000000"/>
                <w:kern w:val="0"/>
                <w:sz w:val="24"/>
                <w:szCs w:val="24"/>
                <w:u w:val="single"/>
                <w:lang w:val="en-US" w:eastAsia="zh-CN" w:bidi="ar-SA"/>
              </w:rPr>
              <w:t>货物</w:t>
            </w:r>
            <w:r>
              <w:rPr>
                <w:rFonts w:ascii="宋体" w:hAnsi="宋体" w:cs="宋体"/>
                <w:b w:val="0"/>
                <w:bCs/>
                <w:color w:val="000000"/>
                <w:kern w:val="0"/>
                <w:sz w:val="24"/>
                <w:szCs w:val="24"/>
                <w:u w:val="single"/>
                <w:lang w:bidi="ar-SA"/>
              </w:rPr>
              <w:t>类。</w:t>
            </w:r>
          </w:p>
          <w:p w14:paraId="29DD503F">
            <w:pPr>
              <w:keepNext w:val="0"/>
              <w:keepLines w:val="0"/>
              <w:pageBreakBefore w:val="0"/>
              <w:widowControl w:val="0"/>
              <w:kinsoku/>
              <w:wordWrap/>
              <w:overflowPunct/>
              <w:topLinePunct w:val="0"/>
              <w:autoSpaceDE/>
              <w:autoSpaceDN/>
              <w:bidi w:val="0"/>
              <w:adjustRightInd/>
              <w:snapToGrid/>
              <w:spacing w:before="0" w:after="0" w:line="400" w:lineRule="exact"/>
              <w:jc w:val="left"/>
              <w:textAlignment w:val="auto"/>
              <w:rPr>
                <w:rFonts w:ascii="宋体" w:hAnsi="宋体" w:cs="宋体"/>
                <w:b w:val="0"/>
                <w:bCs/>
                <w:spacing w:val="10"/>
                <w:sz w:val="24"/>
                <w:szCs w:val="24"/>
                <w:u w:val="single"/>
              </w:rPr>
            </w:pPr>
            <w:r>
              <w:rPr>
                <w:rFonts w:ascii="宋体" w:hAnsi="宋体" w:cs="宋体"/>
                <w:b w:val="0"/>
                <w:bCs/>
                <w:kern w:val="0"/>
                <w:sz w:val="24"/>
                <w:szCs w:val="24"/>
              </w:rPr>
              <w:t>评标专家确定方式：</w:t>
            </w:r>
            <w:r>
              <w:rPr>
                <w:rFonts w:hint="eastAsia" w:ascii="宋体" w:hAnsi="宋体" w:cs="宋体"/>
                <w:b w:val="0"/>
                <w:bCs/>
                <w:kern w:val="0"/>
                <w:sz w:val="24"/>
                <w:szCs w:val="24"/>
                <w:u w:val="single"/>
              </w:rPr>
              <w:t>在广东省综合评标评审专家库中随机抽取，以能够参加并达到法定人数时为止。</w:t>
            </w:r>
          </w:p>
        </w:tc>
      </w:tr>
      <w:tr w14:paraId="3A1CD78D">
        <w:tblPrEx>
          <w:tblCellMar>
            <w:top w:w="0" w:type="dxa"/>
            <w:left w:w="108" w:type="dxa"/>
            <w:bottom w:w="0" w:type="dxa"/>
            <w:right w:w="108" w:type="dxa"/>
          </w:tblCellMar>
        </w:tblPrEx>
        <w:trPr>
          <w:trHeight w:val="600" w:hRule="atLeast"/>
          <w:jc w:val="center"/>
        </w:trPr>
        <w:tc>
          <w:tcPr>
            <w:tcW w:w="954" w:type="dxa"/>
            <w:tcBorders>
              <w:top w:val="single" w:color="000000" w:sz="4" w:space="0"/>
              <w:left w:val="single" w:color="000000" w:sz="4" w:space="0"/>
              <w:bottom w:val="single" w:color="000000" w:sz="4" w:space="0"/>
              <w:right w:val="single" w:color="000000" w:sz="4" w:space="0"/>
            </w:tcBorders>
            <w:vAlign w:val="center"/>
          </w:tcPr>
          <w:p w14:paraId="1562165B">
            <w:pPr>
              <w:widowControl w:val="0"/>
              <w:tabs>
                <w:tab w:val="left" w:pos="540"/>
              </w:tabs>
              <w:spacing w:before="0" w:after="0" w:line="360" w:lineRule="auto"/>
              <w:jc w:val="center"/>
              <w:rPr>
                <w:rFonts w:ascii="宋体" w:hAnsi="宋体" w:cs="宋体"/>
                <w:b w:val="0"/>
                <w:bCs/>
                <w:spacing w:val="10"/>
                <w:sz w:val="24"/>
                <w:szCs w:val="24"/>
              </w:rPr>
            </w:pPr>
            <w:r>
              <w:rPr>
                <w:rFonts w:ascii="宋体" w:hAnsi="宋体" w:cs="宋体"/>
                <w:b w:val="0"/>
                <w:bCs/>
                <w:spacing w:val="10"/>
                <w:sz w:val="24"/>
                <w:szCs w:val="24"/>
              </w:rPr>
              <w:t>6.3</w:t>
            </w:r>
          </w:p>
        </w:tc>
        <w:tc>
          <w:tcPr>
            <w:tcW w:w="2026" w:type="dxa"/>
            <w:tcBorders>
              <w:top w:val="single" w:color="000000" w:sz="4" w:space="0"/>
              <w:left w:val="single" w:color="000000" w:sz="4" w:space="0"/>
              <w:bottom w:val="single" w:color="000000" w:sz="4" w:space="0"/>
              <w:right w:val="single" w:color="000000" w:sz="4" w:space="0"/>
            </w:tcBorders>
            <w:vAlign w:val="center"/>
          </w:tcPr>
          <w:p w14:paraId="5A885189">
            <w:pPr>
              <w:pStyle w:val="17"/>
              <w:widowControl w:val="0"/>
              <w:spacing w:before="0" w:after="0" w:line="360" w:lineRule="auto"/>
              <w:jc w:val="center"/>
              <w:rPr>
                <w:rFonts w:ascii="宋体" w:hAnsi="宋体" w:cs="宋体"/>
                <w:b w:val="0"/>
                <w:bCs/>
                <w:spacing w:val="6"/>
                <w:szCs w:val="24"/>
              </w:rPr>
            </w:pPr>
            <w:r>
              <w:rPr>
                <w:rFonts w:hint="eastAsia" w:ascii="宋体" w:hAnsi="宋体" w:cs="宋体"/>
                <w:b w:val="0"/>
                <w:bCs/>
                <w:spacing w:val="6"/>
                <w:szCs w:val="24"/>
              </w:rPr>
              <w:t>评标方式及标准</w:t>
            </w:r>
          </w:p>
        </w:tc>
        <w:tc>
          <w:tcPr>
            <w:tcW w:w="7050" w:type="dxa"/>
            <w:gridSpan w:val="2"/>
            <w:tcBorders>
              <w:top w:val="single" w:color="000000" w:sz="4" w:space="0"/>
              <w:left w:val="single" w:color="000000" w:sz="4" w:space="0"/>
              <w:bottom w:val="single" w:color="000000" w:sz="4" w:space="0"/>
              <w:right w:val="single" w:color="000000" w:sz="4" w:space="0"/>
            </w:tcBorders>
            <w:vAlign w:val="center"/>
          </w:tcPr>
          <w:p w14:paraId="1BAF9765">
            <w:pPr>
              <w:widowControl w:val="0"/>
              <w:spacing w:before="0" w:after="0" w:line="400" w:lineRule="exact"/>
              <w:jc w:val="left"/>
              <w:rPr>
                <w:rFonts w:ascii="宋体" w:hAnsi="宋体" w:cs="宋体"/>
                <w:b w:val="0"/>
                <w:bCs/>
                <w:spacing w:val="6"/>
                <w:sz w:val="24"/>
                <w:szCs w:val="24"/>
              </w:rPr>
            </w:pPr>
            <w:r>
              <w:rPr>
                <w:rFonts w:ascii="宋体" w:hAnsi="宋体" w:cs="宋体"/>
                <w:b w:val="0"/>
                <w:bCs/>
                <w:kern w:val="0"/>
                <w:sz w:val="24"/>
                <w:szCs w:val="24"/>
              </w:rPr>
              <w:t>采用综合评标法，具体见招标文件第三章《评标办法》。</w:t>
            </w:r>
          </w:p>
        </w:tc>
      </w:tr>
      <w:tr w14:paraId="7E0E1AA6">
        <w:tblPrEx>
          <w:tblCellMar>
            <w:top w:w="0" w:type="dxa"/>
            <w:left w:w="108" w:type="dxa"/>
            <w:bottom w:w="0" w:type="dxa"/>
            <w:right w:w="108" w:type="dxa"/>
          </w:tblCellMar>
        </w:tblPrEx>
        <w:trPr>
          <w:trHeight w:val="827" w:hRule="atLeast"/>
          <w:jc w:val="center"/>
        </w:trPr>
        <w:tc>
          <w:tcPr>
            <w:tcW w:w="954" w:type="dxa"/>
            <w:tcBorders>
              <w:top w:val="single" w:color="000000" w:sz="4" w:space="0"/>
              <w:left w:val="single" w:color="000000" w:sz="4" w:space="0"/>
              <w:bottom w:val="single" w:color="000000" w:sz="4" w:space="0"/>
              <w:right w:val="single" w:color="000000" w:sz="4" w:space="0"/>
            </w:tcBorders>
            <w:vAlign w:val="center"/>
          </w:tcPr>
          <w:p w14:paraId="24020663">
            <w:pPr>
              <w:tabs>
                <w:tab w:val="left" w:pos="540"/>
              </w:tabs>
              <w:spacing w:line="360" w:lineRule="exact"/>
              <w:jc w:val="center"/>
              <w:rPr>
                <w:rFonts w:ascii="宋体" w:hAnsi="宋体" w:cs="宋体"/>
                <w:b w:val="0"/>
                <w:bCs/>
                <w:spacing w:val="10"/>
                <w:sz w:val="24"/>
                <w:szCs w:val="24"/>
              </w:rPr>
            </w:pPr>
            <w:r>
              <w:rPr>
                <w:rFonts w:hint="eastAsia" w:ascii="宋体" w:hAnsi="宋体" w:cs="宋体"/>
                <w:sz w:val="24"/>
                <w:szCs w:val="24"/>
              </w:rPr>
              <w:t>7.1</w:t>
            </w:r>
          </w:p>
        </w:tc>
        <w:tc>
          <w:tcPr>
            <w:tcW w:w="2026" w:type="dxa"/>
            <w:tcBorders>
              <w:top w:val="single" w:color="000000" w:sz="4" w:space="0"/>
              <w:left w:val="single" w:color="000000" w:sz="4" w:space="0"/>
              <w:bottom w:val="single" w:color="000000" w:sz="4" w:space="0"/>
              <w:right w:val="single" w:color="000000" w:sz="4" w:space="0"/>
            </w:tcBorders>
            <w:vAlign w:val="center"/>
          </w:tcPr>
          <w:p w14:paraId="7B7D5676">
            <w:pPr>
              <w:tabs>
                <w:tab w:val="left" w:pos="540"/>
              </w:tabs>
              <w:spacing w:line="360" w:lineRule="exact"/>
              <w:jc w:val="center"/>
              <w:rPr>
                <w:rFonts w:hint="eastAsia" w:ascii="宋体" w:hAnsi="宋体" w:cs="宋体"/>
                <w:b w:val="0"/>
                <w:bCs/>
                <w:spacing w:val="6"/>
                <w:szCs w:val="24"/>
              </w:rPr>
            </w:pPr>
            <w:r>
              <w:rPr>
                <w:rFonts w:hint="eastAsia" w:ascii="宋体" w:hAnsi="宋体" w:cs="宋体"/>
                <w:spacing w:val="-6"/>
                <w:kern w:val="0"/>
                <w:sz w:val="24"/>
                <w:szCs w:val="24"/>
              </w:rPr>
              <w:t>是否授权评标委员会确定中标人</w:t>
            </w:r>
          </w:p>
        </w:tc>
        <w:tc>
          <w:tcPr>
            <w:tcW w:w="7050" w:type="dxa"/>
            <w:gridSpan w:val="2"/>
            <w:tcBorders>
              <w:top w:val="single" w:color="000000" w:sz="4" w:space="0"/>
              <w:left w:val="single" w:color="000000" w:sz="4" w:space="0"/>
              <w:bottom w:val="single" w:color="000000" w:sz="4" w:space="0"/>
              <w:right w:val="single" w:color="000000" w:sz="4" w:space="0"/>
            </w:tcBorders>
            <w:vAlign w:val="center"/>
          </w:tcPr>
          <w:p w14:paraId="4312F02D">
            <w:pPr>
              <w:autoSpaceDE w:val="0"/>
              <w:autoSpaceDN w:val="0"/>
              <w:adjustRightInd w:val="0"/>
              <w:spacing w:line="360" w:lineRule="exact"/>
              <w:jc w:val="left"/>
              <w:rPr>
                <w:rFonts w:hint="eastAsia" w:ascii="宋体" w:hAnsi="宋体" w:cs="宋体"/>
                <w:bCs/>
                <w:sz w:val="24"/>
                <w:szCs w:val="24"/>
              </w:rPr>
            </w:pPr>
            <w:r>
              <w:rPr>
                <w:rFonts w:hint="eastAsia" w:ascii="宋体" w:hAnsi="宋体" w:cs="宋体"/>
                <w:bCs/>
                <w:sz w:val="24"/>
                <w:szCs w:val="24"/>
              </w:rPr>
              <w:t>□是</w:t>
            </w:r>
          </w:p>
          <w:p w14:paraId="2DE7C26A">
            <w:pPr>
              <w:autoSpaceDE w:val="0"/>
              <w:autoSpaceDN w:val="0"/>
              <w:adjustRightInd w:val="0"/>
              <w:spacing w:line="360" w:lineRule="exact"/>
              <w:jc w:val="left"/>
              <w:rPr>
                <w:rFonts w:hint="eastAsia" w:ascii="宋体" w:hAnsi="宋体" w:eastAsia="宋体" w:cs="宋体"/>
                <w:b w:val="0"/>
                <w:bCs/>
                <w:kern w:val="0"/>
                <w:sz w:val="24"/>
                <w:szCs w:val="24"/>
                <w:lang w:eastAsia="zh-CN"/>
              </w:rPr>
            </w:pPr>
            <w:r>
              <w:rPr>
                <w:rFonts w:hint="eastAsia" w:ascii="宋体" w:hAnsi="宋体" w:cs="宋体"/>
                <w:bCs/>
                <w:sz w:val="24"/>
                <w:szCs w:val="24"/>
              </w:rPr>
              <w:t>☑否，推荐的中标候选人数：</w:t>
            </w:r>
            <w:r>
              <w:rPr>
                <w:rFonts w:hint="eastAsia" w:ascii="宋体" w:hAnsi="宋体" w:cs="宋体"/>
                <w:bCs/>
                <w:sz w:val="24"/>
                <w:szCs w:val="24"/>
                <w:lang w:val="en-US" w:eastAsia="zh-CN"/>
              </w:rPr>
              <w:t>2</w:t>
            </w:r>
          </w:p>
        </w:tc>
      </w:tr>
      <w:tr w14:paraId="4BBFB665">
        <w:tblPrEx>
          <w:tblCellMar>
            <w:top w:w="0" w:type="dxa"/>
            <w:left w:w="108" w:type="dxa"/>
            <w:bottom w:w="0" w:type="dxa"/>
            <w:right w:w="108" w:type="dxa"/>
          </w:tblCellMar>
        </w:tblPrEx>
        <w:trPr>
          <w:trHeight w:val="2264" w:hRule="atLeast"/>
          <w:jc w:val="center"/>
        </w:trPr>
        <w:tc>
          <w:tcPr>
            <w:tcW w:w="954" w:type="dxa"/>
            <w:tcBorders>
              <w:top w:val="single" w:color="000000" w:sz="4" w:space="0"/>
              <w:left w:val="single" w:color="000000" w:sz="4" w:space="0"/>
              <w:bottom w:val="single" w:color="000000" w:sz="4" w:space="0"/>
              <w:right w:val="single" w:color="000000" w:sz="4" w:space="0"/>
            </w:tcBorders>
            <w:vAlign w:val="center"/>
          </w:tcPr>
          <w:p w14:paraId="0E2B6505">
            <w:pPr>
              <w:widowControl w:val="0"/>
              <w:tabs>
                <w:tab w:val="left" w:pos="540"/>
              </w:tabs>
              <w:spacing w:before="0" w:after="0" w:line="360" w:lineRule="auto"/>
              <w:jc w:val="center"/>
              <w:rPr>
                <w:rFonts w:hint="default" w:ascii="宋体" w:hAnsi="宋体" w:eastAsia="宋体" w:cs="宋体"/>
                <w:b w:val="0"/>
                <w:bCs/>
                <w:sz w:val="24"/>
                <w:szCs w:val="24"/>
                <w:lang w:val="en-US" w:eastAsia="zh-CN"/>
              </w:rPr>
            </w:pPr>
            <w:r>
              <w:rPr>
                <w:rFonts w:hint="eastAsia" w:ascii="宋体" w:hAnsi="宋体" w:cs="宋体"/>
                <w:b w:val="0"/>
                <w:bCs/>
                <w:sz w:val="24"/>
                <w:szCs w:val="24"/>
                <w:lang w:val="en-US" w:eastAsia="zh-CN"/>
              </w:rPr>
              <w:t xml:space="preserve">8.2.1 </w:t>
            </w:r>
          </w:p>
        </w:tc>
        <w:tc>
          <w:tcPr>
            <w:tcW w:w="2026" w:type="dxa"/>
            <w:tcBorders>
              <w:top w:val="single" w:color="000000" w:sz="4" w:space="0"/>
              <w:left w:val="single" w:color="000000" w:sz="4" w:space="0"/>
              <w:bottom w:val="single" w:color="000000" w:sz="4" w:space="0"/>
              <w:right w:val="single" w:color="000000" w:sz="4" w:space="0"/>
            </w:tcBorders>
            <w:vAlign w:val="center"/>
          </w:tcPr>
          <w:p w14:paraId="1132439C">
            <w:pPr>
              <w:widowControl w:val="0"/>
              <w:tabs>
                <w:tab w:val="left" w:pos="540"/>
              </w:tabs>
              <w:spacing w:before="0" w:after="0" w:line="360" w:lineRule="auto"/>
              <w:jc w:val="center"/>
              <w:rPr>
                <w:rFonts w:hint="eastAsia" w:ascii="宋体" w:hAnsi="宋体" w:cs="宋体"/>
                <w:b w:val="0"/>
                <w:bCs/>
                <w:kern w:val="0"/>
                <w:sz w:val="24"/>
                <w:szCs w:val="24"/>
              </w:rPr>
            </w:pPr>
            <w:r>
              <w:rPr>
                <w:rFonts w:hint="eastAsia" w:ascii="宋体" w:hAnsi="宋体" w:cs="宋体"/>
                <w:b w:val="0"/>
                <w:bCs/>
                <w:kern w:val="0"/>
                <w:sz w:val="24"/>
                <w:szCs w:val="24"/>
              </w:rPr>
              <w:t>履约担保形式</w:t>
            </w:r>
          </w:p>
          <w:p w14:paraId="77012107">
            <w:pPr>
              <w:widowControl w:val="0"/>
              <w:tabs>
                <w:tab w:val="left" w:pos="540"/>
              </w:tabs>
              <w:spacing w:before="0" w:after="0" w:line="360" w:lineRule="auto"/>
              <w:jc w:val="center"/>
              <w:rPr>
                <w:rFonts w:ascii="宋体" w:hAnsi="宋体" w:cs="宋体"/>
                <w:b w:val="0"/>
                <w:bCs/>
                <w:spacing w:val="10"/>
                <w:sz w:val="24"/>
                <w:szCs w:val="24"/>
              </w:rPr>
            </w:pPr>
            <w:r>
              <w:rPr>
                <w:rFonts w:hint="eastAsia" w:ascii="宋体" w:hAnsi="宋体" w:cs="宋体"/>
                <w:b w:val="0"/>
                <w:bCs/>
                <w:kern w:val="0"/>
                <w:sz w:val="24"/>
                <w:szCs w:val="24"/>
              </w:rPr>
              <w:t>和金额</w:t>
            </w:r>
          </w:p>
        </w:tc>
        <w:tc>
          <w:tcPr>
            <w:tcW w:w="7050" w:type="dxa"/>
            <w:gridSpan w:val="2"/>
            <w:tcBorders>
              <w:top w:val="single" w:color="000000" w:sz="4" w:space="0"/>
              <w:left w:val="single" w:color="000000" w:sz="4" w:space="0"/>
              <w:bottom w:val="single" w:color="000000" w:sz="4" w:space="0"/>
              <w:right w:val="single" w:color="000000" w:sz="4" w:space="0"/>
            </w:tcBorders>
            <w:vAlign w:val="center"/>
          </w:tcPr>
          <w:p w14:paraId="260EDEC9">
            <w:pPr>
              <w:widowControl w:val="0"/>
              <w:tabs>
                <w:tab w:val="left" w:pos="540"/>
              </w:tabs>
              <w:spacing w:before="0" w:after="0" w:line="400" w:lineRule="exact"/>
              <w:rPr>
                <w:rFonts w:hint="eastAsia" w:ascii="宋体" w:hAnsi="宋体" w:cs="宋体"/>
                <w:b w:val="0"/>
                <w:bCs/>
                <w:spacing w:val="-2"/>
                <w:kern w:val="0"/>
                <w:sz w:val="24"/>
                <w:szCs w:val="24"/>
              </w:rPr>
            </w:pPr>
            <w:r>
              <w:rPr>
                <w:rFonts w:hint="eastAsia" w:ascii="宋体" w:hAnsi="宋体" w:cs="宋体"/>
                <w:b w:val="0"/>
                <w:bCs/>
                <w:spacing w:val="-2"/>
                <w:kern w:val="0"/>
                <w:sz w:val="24"/>
                <w:szCs w:val="24"/>
              </w:rPr>
              <w:t>履约担保的形式：现金转账或招标人认可的银行、担保公司出具的履约保函，本条由招标人确定选择其中一项。银行保函或担保公司担保应是无条件保函。</w:t>
            </w:r>
          </w:p>
          <w:p w14:paraId="66A31A5B">
            <w:pPr>
              <w:widowControl w:val="0"/>
              <w:tabs>
                <w:tab w:val="left" w:pos="540"/>
              </w:tabs>
              <w:spacing w:before="0" w:after="0" w:line="400" w:lineRule="exact"/>
              <w:rPr>
                <w:rFonts w:hint="eastAsia" w:ascii="宋体" w:hAnsi="宋体" w:cs="宋体"/>
                <w:b w:val="0"/>
                <w:bCs/>
                <w:spacing w:val="-2"/>
                <w:kern w:val="0"/>
                <w:sz w:val="24"/>
                <w:szCs w:val="24"/>
              </w:rPr>
            </w:pPr>
            <w:r>
              <w:rPr>
                <w:rFonts w:hint="eastAsia" w:ascii="宋体" w:hAnsi="宋体" w:cs="宋体"/>
                <w:b w:val="0"/>
                <w:bCs/>
                <w:spacing w:val="-2"/>
                <w:kern w:val="0"/>
                <w:sz w:val="24"/>
                <w:szCs w:val="24"/>
              </w:rPr>
              <w:t>履约担保的金额：中标合同价格的 10%</w:t>
            </w:r>
            <w:r>
              <w:rPr>
                <w:rFonts w:hint="eastAsia" w:ascii="宋体" w:hAnsi="宋体" w:cs="宋体"/>
                <w:b w:val="0"/>
                <w:bCs/>
                <w:spacing w:val="-2"/>
                <w:kern w:val="0"/>
                <w:sz w:val="24"/>
                <w:szCs w:val="24"/>
                <w:lang w:val="en-US" w:eastAsia="zh-CN"/>
              </w:rPr>
              <w:t xml:space="preserve"> </w:t>
            </w:r>
            <w:r>
              <w:rPr>
                <w:rFonts w:hint="eastAsia" w:ascii="宋体" w:hAnsi="宋体" w:cs="宋体"/>
                <w:b w:val="0"/>
                <w:bCs/>
                <w:spacing w:val="-2"/>
                <w:kern w:val="0"/>
                <w:sz w:val="24"/>
                <w:szCs w:val="24"/>
              </w:rPr>
              <w:t>。</w:t>
            </w:r>
          </w:p>
          <w:p w14:paraId="5E9581BB">
            <w:pPr>
              <w:widowControl w:val="0"/>
              <w:tabs>
                <w:tab w:val="left" w:pos="540"/>
              </w:tabs>
              <w:spacing w:before="0" w:after="0" w:line="400" w:lineRule="exact"/>
              <w:rPr>
                <w:rFonts w:ascii="宋体" w:hAnsi="宋体" w:cs="宋体"/>
                <w:b w:val="0"/>
                <w:bCs/>
                <w:kern w:val="0"/>
                <w:sz w:val="24"/>
                <w:szCs w:val="24"/>
              </w:rPr>
            </w:pPr>
            <w:r>
              <w:rPr>
                <w:rFonts w:hint="eastAsia" w:ascii="宋体" w:hAnsi="宋体" w:cs="宋体"/>
                <w:b w:val="0"/>
                <w:bCs/>
                <w:spacing w:val="-2"/>
                <w:kern w:val="0"/>
                <w:sz w:val="24"/>
                <w:szCs w:val="24"/>
              </w:rPr>
              <w:t>履约担保的提交：履约担保须由中标人</w:t>
            </w:r>
            <w:r>
              <w:rPr>
                <w:rFonts w:hint="eastAsia" w:ascii="宋体" w:hAnsi="宋体" w:cs="宋体"/>
                <w:b w:val="0"/>
                <w:bCs/>
                <w:spacing w:val="-2"/>
                <w:kern w:val="0"/>
                <w:sz w:val="24"/>
                <w:szCs w:val="24"/>
                <w:lang w:val="en-US" w:eastAsia="zh-CN"/>
              </w:rPr>
              <w:t>按</w:t>
            </w:r>
            <w:r>
              <w:rPr>
                <w:rFonts w:hint="eastAsia" w:ascii="宋体" w:hAnsi="宋体" w:cs="宋体"/>
                <w:b w:val="0"/>
                <w:bCs/>
                <w:spacing w:val="-2"/>
                <w:kern w:val="0"/>
                <w:sz w:val="24"/>
                <w:szCs w:val="24"/>
              </w:rPr>
              <w:t>合同</w:t>
            </w:r>
            <w:r>
              <w:rPr>
                <w:rFonts w:hint="eastAsia" w:ascii="宋体" w:hAnsi="宋体" w:cs="宋体"/>
                <w:b w:val="0"/>
                <w:bCs/>
                <w:spacing w:val="-2"/>
                <w:kern w:val="0"/>
                <w:sz w:val="24"/>
                <w:szCs w:val="24"/>
                <w:lang w:val="en-US" w:eastAsia="zh-CN"/>
              </w:rPr>
              <w:t>要求</w:t>
            </w:r>
            <w:r>
              <w:rPr>
                <w:rFonts w:hint="eastAsia" w:ascii="宋体" w:hAnsi="宋体" w:cs="宋体"/>
                <w:b w:val="0"/>
                <w:bCs/>
                <w:spacing w:val="-2"/>
                <w:kern w:val="0"/>
                <w:sz w:val="24"/>
                <w:szCs w:val="24"/>
              </w:rPr>
              <w:t>提交给招标人</w:t>
            </w:r>
            <w:r>
              <w:rPr>
                <w:rFonts w:hint="eastAsia" w:ascii="宋体" w:hAnsi="宋体" w:cs="宋体"/>
                <w:b w:val="0"/>
                <w:bCs/>
                <w:spacing w:val="-2"/>
                <w:kern w:val="0"/>
                <w:sz w:val="24"/>
                <w:szCs w:val="24"/>
                <w:lang w:eastAsia="zh-CN"/>
              </w:rPr>
              <w:t>；</w:t>
            </w:r>
            <w:r>
              <w:rPr>
                <w:rFonts w:hint="eastAsia" w:ascii="宋体" w:hAnsi="宋体" w:cs="宋体"/>
                <w:b w:val="0"/>
                <w:bCs/>
                <w:spacing w:val="-2"/>
                <w:kern w:val="0"/>
                <w:sz w:val="24"/>
                <w:szCs w:val="24"/>
              </w:rPr>
              <w:t>履约担保的有效期，从提供履约担保之日起至合同约定工作全部完成并验收合格之日止。</w:t>
            </w:r>
          </w:p>
        </w:tc>
      </w:tr>
      <w:tr w14:paraId="5719CB92">
        <w:tblPrEx>
          <w:tblCellMar>
            <w:top w:w="0" w:type="dxa"/>
            <w:left w:w="108" w:type="dxa"/>
            <w:bottom w:w="0" w:type="dxa"/>
            <w:right w:w="108" w:type="dxa"/>
          </w:tblCellMar>
        </w:tblPrEx>
        <w:trPr>
          <w:trHeight w:val="926" w:hRule="atLeast"/>
          <w:jc w:val="center"/>
        </w:trPr>
        <w:tc>
          <w:tcPr>
            <w:tcW w:w="954" w:type="dxa"/>
            <w:tcBorders>
              <w:top w:val="single" w:color="000000" w:sz="4" w:space="0"/>
              <w:left w:val="single" w:color="000000" w:sz="4" w:space="0"/>
              <w:bottom w:val="single" w:color="000000" w:sz="4" w:space="0"/>
              <w:right w:val="single" w:color="000000" w:sz="4" w:space="0"/>
            </w:tcBorders>
            <w:vAlign w:val="center"/>
          </w:tcPr>
          <w:p w14:paraId="2FADA64D">
            <w:pPr>
              <w:widowControl w:val="0"/>
              <w:tabs>
                <w:tab w:val="left" w:pos="540"/>
              </w:tabs>
              <w:spacing w:before="0" w:after="0" w:line="360" w:lineRule="auto"/>
              <w:jc w:val="center"/>
              <w:rPr>
                <w:rFonts w:hint="default" w:ascii="宋体" w:hAnsi="宋体" w:cs="宋体"/>
                <w:b w:val="0"/>
                <w:bCs/>
                <w:sz w:val="24"/>
                <w:szCs w:val="24"/>
                <w:lang w:val="en-US"/>
              </w:rPr>
            </w:pPr>
            <w:r>
              <w:rPr>
                <w:rFonts w:hint="eastAsia" w:ascii="宋体" w:hAnsi="宋体" w:cs="宋体"/>
                <w:b w:val="0"/>
                <w:bCs/>
                <w:sz w:val="24"/>
                <w:szCs w:val="24"/>
                <w:lang w:val="en-US" w:eastAsia="zh-CN"/>
              </w:rPr>
              <w:t>9.5</w:t>
            </w:r>
          </w:p>
        </w:tc>
        <w:tc>
          <w:tcPr>
            <w:tcW w:w="2026" w:type="dxa"/>
            <w:tcBorders>
              <w:top w:val="single" w:color="000000" w:sz="4" w:space="0"/>
              <w:left w:val="single" w:color="000000" w:sz="4" w:space="0"/>
              <w:bottom w:val="single" w:color="000000" w:sz="4" w:space="0"/>
              <w:right w:val="single" w:color="000000" w:sz="4" w:space="0"/>
            </w:tcBorders>
            <w:vAlign w:val="center"/>
          </w:tcPr>
          <w:p w14:paraId="373C51D6">
            <w:pPr>
              <w:widowControl w:val="0"/>
              <w:tabs>
                <w:tab w:val="left" w:pos="540"/>
              </w:tabs>
              <w:spacing w:before="0" w:after="0" w:line="360" w:lineRule="auto"/>
              <w:jc w:val="center"/>
              <w:rPr>
                <w:rFonts w:ascii="宋体" w:hAnsi="宋体" w:cs="宋体"/>
                <w:b w:val="0"/>
                <w:bCs/>
                <w:color w:val="auto"/>
                <w:kern w:val="0"/>
                <w:sz w:val="24"/>
                <w:szCs w:val="24"/>
              </w:rPr>
            </w:pPr>
            <w:r>
              <w:rPr>
                <w:rFonts w:ascii="宋体" w:hAnsi="宋体" w:cs="宋体"/>
                <w:b w:val="0"/>
                <w:bCs/>
                <w:color w:val="auto"/>
                <w:kern w:val="0"/>
                <w:sz w:val="24"/>
                <w:szCs w:val="24"/>
              </w:rPr>
              <w:t>监督部门</w:t>
            </w:r>
          </w:p>
        </w:tc>
        <w:tc>
          <w:tcPr>
            <w:tcW w:w="7050" w:type="dxa"/>
            <w:gridSpan w:val="2"/>
            <w:tcBorders>
              <w:top w:val="single" w:color="000000" w:sz="4" w:space="0"/>
              <w:left w:val="single" w:color="000000" w:sz="4" w:space="0"/>
              <w:bottom w:val="single" w:color="000000" w:sz="4" w:space="0"/>
              <w:right w:val="single" w:color="000000" w:sz="4" w:space="0"/>
            </w:tcBorders>
            <w:vAlign w:val="center"/>
          </w:tcPr>
          <w:p w14:paraId="55FC7D0D">
            <w:pPr>
              <w:widowControl w:val="0"/>
              <w:tabs>
                <w:tab w:val="left" w:pos="540"/>
              </w:tabs>
              <w:spacing w:before="0" w:after="0" w:line="400" w:lineRule="exact"/>
              <w:ind w:left="1320" w:hanging="1320"/>
              <w:rPr>
                <w:rFonts w:hint="eastAsia" w:ascii="宋体" w:hAnsi="宋体" w:eastAsia="宋体" w:cs="宋体"/>
                <w:b w:val="0"/>
                <w:bCs/>
                <w:color w:val="auto"/>
                <w:kern w:val="0"/>
                <w:sz w:val="24"/>
                <w:szCs w:val="24"/>
                <w:lang w:eastAsia="zh-CN"/>
              </w:rPr>
            </w:pPr>
            <w:r>
              <w:rPr>
                <w:rFonts w:ascii="宋体" w:hAnsi="宋体" w:cs="宋体"/>
                <w:b w:val="0"/>
                <w:bCs/>
                <w:color w:val="auto"/>
                <w:kern w:val="0"/>
                <w:sz w:val="24"/>
                <w:szCs w:val="24"/>
              </w:rPr>
              <w:t>监督部门：</w:t>
            </w:r>
            <w:r>
              <w:rPr>
                <w:rFonts w:hint="eastAsia" w:ascii="宋体" w:hAnsi="宋体" w:cs="宋体"/>
                <w:b w:val="0"/>
                <w:bCs/>
                <w:color w:val="auto"/>
                <w:kern w:val="0"/>
                <w:sz w:val="24"/>
                <w:szCs w:val="24"/>
                <w:lang w:val="en-US" w:eastAsia="zh-CN"/>
              </w:rPr>
              <w:t>茂名市电白区农业农村局</w:t>
            </w:r>
          </w:p>
          <w:p w14:paraId="00D978F0">
            <w:pPr>
              <w:widowControl w:val="0"/>
              <w:tabs>
                <w:tab w:val="left" w:pos="540"/>
              </w:tabs>
              <w:spacing w:before="0" w:after="0" w:line="400" w:lineRule="exact"/>
              <w:ind w:left="1320" w:hanging="1320"/>
              <w:rPr>
                <w:rFonts w:hint="eastAsia" w:ascii="宋体" w:hAnsi="宋体" w:eastAsia="宋体" w:cs="宋体"/>
                <w:b w:val="0"/>
                <w:bCs/>
                <w:color w:val="auto"/>
                <w:kern w:val="0"/>
                <w:sz w:val="24"/>
                <w:szCs w:val="24"/>
                <w:lang w:eastAsia="zh-CN"/>
              </w:rPr>
            </w:pPr>
            <w:r>
              <w:rPr>
                <w:rFonts w:ascii="宋体" w:hAnsi="宋体" w:cs="宋体"/>
                <w:b w:val="0"/>
                <w:bCs/>
                <w:color w:val="auto"/>
                <w:kern w:val="0"/>
                <w:sz w:val="24"/>
                <w:szCs w:val="24"/>
              </w:rPr>
              <w:t>电话：</w:t>
            </w:r>
            <w:r>
              <w:rPr>
                <w:rFonts w:hint="eastAsia" w:ascii="宋体" w:hAnsi="宋体" w:cs="宋体"/>
                <w:b w:val="0"/>
                <w:bCs/>
                <w:color w:val="auto"/>
                <w:sz w:val="24"/>
                <w:szCs w:val="24"/>
                <w:lang w:val="en-US" w:eastAsia="zh-CN"/>
              </w:rPr>
              <w:t>0668-5532996</w:t>
            </w:r>
          </w:p>
        </w:tc>
      </w:tr>
      <w:tr w14:paraId="5D9F7157">
        <w:tblPrEx>
          <w:tblCellMar>
            <w:top w:w="0" w:type="dxa"/>
            <w:left w:w="108" w:type="dxa"/>
            <w:bottom w:w="0" w:type="dxa"/>
            <w:right w:w="108" w:type="dxa"/>
          </w:tblCellMar>
        </w:tblPrEx>
        <w:trPr>
          <w:trHeight w:val="640" w:hRule="atLeast"/>
          <w:jc w:val="center"/>
        </w:trPr>
        <w:tc>
          <w:tcPr>
            <w:tcW w:w="954" w:type="dxa"/>
            <w:tcBorders>
              <w:top w:val="single" w:color="000000" w:sz="4" w:space="0"/>
              <w:left w:val="single" w:color="000000" w:sz="4" w:space="0"/>
              <w:bottom w:val="single" w:color="000000" w:sz="4" w:space="0"/>
              <w:right w:val="single" w:color="000000" w:sz="4" w:space="0"/>
            </w:tcBorders>
            <w:vAlign w:val="center"/>
          </w:tcPr>
          <w:p w14:paraId="54C96C67">
            <w:pPr>
              <w:widowControl w:val="0"/>
              <w:spacing w:before="0" w:after="0" w:line="400" w:lineRule="exact"/>
              <w:ind w:right="42" w:firstLine="0"/>
              <w:jc w:val="center"/>
              <w:rPr>
                <w:rFonts w:hint="default" w:ascii="宋体" w:hAnsi="宋体" w:eastAsia="宋体" w:cs="宋体"/>
                <w:b w:val="0"/>
                <w:bCs/>
                <w:kern w:val="0"/>
                <w:sz w:val="24"/>
                <w:szCs w:val="24"/>
                <w:lang w:val="en-US" w:eastAsia="zh-CN"/>
              </w:rPr>
            </w:pPr>
            <w:r>
              <w:rPr>
                <w:rFonts w:hint="eastAsia" w:ascii="宋体" w:hAnsi="宋体" w:cs="宋体"/>
                <w:b w:val="0"/>
                <w:bCs/>
                <w:kern w:val="0"/>
                <w:sz w:val="24"/>
                <w:szCs w:val="24"/>
                <w:lang w:val="en-US" w:eastAsia="zh-CN"/>
              </w:rPr>
              <w:t>10</w:t>
            </w:r>
          </w:p>
        </w:tc>
        <w:tc>
          <w:tcPr>
            <w:tcW w:w="9076" w:type="dxa"/>
            <w:gridSpan w:val="3"/>
            <w:tcBorders>
              <w:top w:val="single" w:color="000000" w:sz="4" w:space="0"/>
              <w:left w:val="single" w:color="000000" w:sz="4" w:space="0"/>
              <w:bottom w:val="single" w:color="000000" w:sz="4" w:space="0"/>
              <w:right w:val="single" w:color="000000" w:sz="4" w:space="0"/>
            </w:tcBorders>
            <w:vAlign w:val="center"/>
          </w:tcPr>
          <w:p w14:paraId="3EC8BA36">
            <w:pPr>
              <w:widowControl w:val="0"/>
              <w:spacing w:before="0" w:after="0" w:line="400" w:lineRule="exact"/>
              <w:ind w:right="42" w:firstLine="0"/>
              <w:jc w:val="center"/>
              <w:rPr>
                <w:rFonts w:ascii="宋体" w:hAnsi="宋体" w:cs="宋体"/>
                <w:b w:val="0"/>
                <w:bCs/>
                <w:kern w:val="0"/>
                <w:sz w:val="24"/>
                <w:szCs w:val="24"/>
              </w:rPr>
            </w:pPr>
            <w:r>
              <w:rPr>
                <w:rFonts w:ascii="宋体" w:hAnsi="宋体" w:cs="宋体"/>
                <w:b w:val="0"/>
                <w:bCs/>
                <w:kern w:val="0"/>
                <w:sz w:val="24"/>
                <w:szCs w:val="24"/>
              </w:rPr>
              <w:t>需要补充的其它内容</w:t>
            </w:r>
          </w:p>
        </w:tc>
      </w:tr>
      <w:tr w14:paraId="75A8A25E">
        <w:tblPrEx>
          <w:tblCellMar>
            <w:top w:w="0" w:type="dxa"/>
            <w:left w:w="108" w:type="dxa"/>
            <w:bottom w:w="0" w:type="dxa"/>
            <w:right w:w="108" w:type="dxa"/>
          </w:tblCellMar>
        </w:tblPrEx>
        <w:trPr>
          <w:trHeight w:val="1722" w:hRule="atLeast"/>
          <w:jc w:val="center"/>
        </w:trPr>
        <w:tc>
          <w:tcPr>
            <w:tcW w:w="954" w:type="dxa"/>
            <w:tcBorders>
              <w:top w:val="single" w:color="000000" w:sz="4" w:space="0"/>
              <w:left w:val="single" w:color="000000" w:sz="4" w:space="0"/>
              <w:bottom w:val="single" w:color="000000" w:sz="4" w:space="0"/>
              <w:right w:val="single" w:color="000000" w:sz="4" w:space="0"/>
            </w:tcBorders>
            <w:vAlign w:val="center"/>
          </w:tcPr>
          <w:p w14:paraId="3E8FE492">
            <w:pPr>
              <w:keepNext w:val="0"/>
              <w:keepLines w:val="0"/>
              <w:pageBreakBefore w:val="0"/>
              <w:widowControl w:val="0"/>
              <w:tabs>
                <w:tab w:val="left" w:pos="540"/>
              </w:tabs>
              <w:kinsoku/>
              <w:wordWrap/>
              <w:overflowPunct/>
              <w:topLinePunct w:val="0"/>
              <w:autoSpaceDE/>
              <w:autoSpaceDN/>
              <w:bidi w:val="0"/>
              <w:adjustRightInd/>
              <w:snapToGrid/>
              <w:spacing w:before="0" w:after="0" w:line="400" w:lineRule="atLeast"/>
              <w:jc w:val="center"/>
              <w:textAlignment w:val="auto"/>
              <w:rPr>
                <w:rFonts w:hint="default" w:ascii="宋体" w:hAnsi="宋体" w:eastAsia="宋体" w:cs="宋体"/>
                <w:b w:val="0"/>
                <w:bCs/>
                <w:kern w:val="0"/>
                <w:sz w:val="24"/>
                <w:szCs w:val="24"/>
                <w:lang w:val="en-US" w:eastAsia="zh-CN"/>
              </w:rPr>
            </w:pPr>
            <w:r>
              <w:rPr>
                <w:rFonts w:hint="eastAsia" w:ascii="宋体" w:hAnsi="宋体" w:cs="宋体"/>
                <w:b w:val="0"/>
                <w:bCs/>
                <w:kern w:val="0"/>
                <w:sz w:val="24"/>
                <w:szCs w:val="24"/>
              </w:rPr>
              <w:t>1</w:t>
            </w:r>
            <w:r>
              <w:rPr>
                <w:rFonts w:hint="eastAsia" w:ascii="宋体" w:hAnsi="宋体" w:cs="宋体"/>
                <w:b w:val="0"/>
                <w:bCs/>
                <w:kern w:val="0"/>
                <w:sz w:val="24"/>
                <w:szCs w:val="24"/>
                <w:lang w:val="en-US" w:eastAsia="zh-CN"/>
              </w:rPr>
              <w:t>0</w:t>
            </w:r>
            <w:r>
              <w:rPr>
                <w:rFonts w:hint="eastAsia" w:ascii="宋体" w:hAnsi="宋体" w:cs="宋体"/>
                <w:b w:val="0"/>
                <w:bCs/>
                <w:kern w:val="0"/>
                <w:sz w:val="24"/>
                <w:szCs w:val="24"/>
              </w:rPr>
              <w:t>.1</w:t>
            </w:r>
          </w:p>
        </w:tc>
        <w:tc>
          <w:tcPr>
            <w:tcW w:w="2047" w:type="dxa"/>
            <w:gridSpan w:val="2"/>
            <w:tcBorders>
              <w:top w:val="single" w:color="000000" w:sz="4" w:space="0"/>
              <w:left w:val="single" w:color="000000" w:sz="4" w:space="0"/>
              <w:bottom w:val="single" w:color="000000" w:sz="4" w:space="0"/>
              <w:right w:val="single" w:color="000000" w:sz="4" w:space="0"/>
            </w:tcBorders>
            <w:vAlign w:val="center"/>
          </w:tcPr>
          <w:p w14:paraId="695A5F08">
            <w:pPr>
              <w:keepNext w:val="0"/>
              <w:keepLines w:val="0"/>
              <w:pageBreakBefore w:val="0"/>
              <w:widowControl w:val="0"/>
              <w:tabs>
                <w:tab w:val="left" w:pos="540"/>
              </w:tabs>
              <w:kinsoku/>
              <w:wordWrap/>
              <w:overflowPunct/>
              <w:topLinePunct w:val="0"/>
              <w:autoSpaceDE/>
              <w:autoSpaceDN/>
              <w:bidi w:val="0"/>
              <w:adjustRightInd/>
              <w:snapToGrid/>
              <w:spacing w:before="0" w:after="0" w:line="400" w:lineRule="atLeast"/>
              <w:jc w:val="center"/>
              <w:textAlignment w:val="auto"/>
              <w:rPr>
                <w:rFonts w:hint="eastAsia" w:ascii="宋体" w:hAnsi="宋体" w:cs="宋体"/>
                <w:b w:val="0"/>
                <w:bCs/>
                <w:kern w:val="0"/>
                <w:sz w:val="24"/>
                <w:szCs w:val="24"/>
              </w:rPr>
            </w:pPr>
            <w:r>
              <w:rPr>
                <w:rFonts w:hint="eastAsia" w:ascii="宋体" w:hAnsi="宋体" w:cs="宋体"/>
                <w:b w:val="0"/>
                <w:bCs/>
                <w:kern w:val="0"/>
                <w:sz w:val="24"/>
                <w:szCs w:val="24"/>
              </w:rPr>
              <w:t>否决性条款汇总表</w:t>
            </w:r>
          </w:p>
        </w:tc>
        <w:tc>
          <w:tcPr>
            <w:tcW w:w="7029" w:type="dxa"/>
            <w:tcBorders>
              <w:top w:val="single" w:color="000000" w:sz="4" w:space="0"/>
              <w:left w:val="single" w:color="000000" w:sz="4" w:space="0"/>
              <w:bottom w:val="single" w:color="000000" w:sz="4" w:space="0"/>
              <w:right w:val="single" w:color="000000" w:sz="4" w:space="0"/>
            </w:tcBorders>
            <w:vAlign w:val="center"/>
          </w:tcPr>
          <w:p w14:paraId="4596CA1B">
            <w:pPr>
              <w:keepNext w:val="0"/>
              <w:keepLines w:val="0"/>
              <w:pageBreakBefore w:val="0"/>
              <w:widowControl w:val="0"/>
              <w:tabs>
                <w:tab w:val="left" w:pos="540"/>
              </w:tabs>
              <w:kinsoku/>
              <w:wordWrap/>
              <w:overflowPunct/>
              <w:topLinePunct w:val="0"/>
              <w:autoSpaceDE/>
              <w:autoSpaceDN/>
              <w:bidi w:val="0"/>
              <w:adjustRightInd/>
              <w:snapToGrid/>
              <w:spacing w:before="0" w:after="0" w:line="400" w:lineRule="atLeast"/>
              <w:jc w:val="left"/>
              <w:textAlignment w:val="auto"/>
              <w:rPr>
                <w:rFonts w:hint="eastAsia" w:ascii="宋体" w:hAnsi="宋体" w:cs="宋体"/>
                <w:b w:val="0"/>
                <w:bCs/>
                <w:kern w:val="0"/>
                <w:sz w:val="24"/>
                <w:szCs w:val="24"/>
              </w:rPr>
            </w:pPr>
            <w:r>
              <w:rPr>
                <w:rFonts w:hint="eastAsia" w:ascii="宋体" w:hAnsi="宋体" w:cs="宋体"/>
                <w:b w:val="0"/>
                <w:bCs/>
                <w:kern w:val="0"/>
                <w:sz w:val="24"/>
                <w:szCs w:val="24"/>
              </w:rPr>
              <w:t>投标文件有下列情况之一的，由评标委员会否决其投标文件：</w:t>
            </w:r>
          </w:p>
          <w:p w14:paraId="2C31A8A8">
            <w:pPr>
              <w:keepNext w:val="0"/>
              <w:keepLines w:val="0"/>
              <w:pageBreakBefore w:val="0"/>
              <w:widowControl w:val="0"/>
              <w:tabs>
                <w:tab w:val="left" w:pos="540"/>
              </w:tabs>
              <w:kinsoku/>
              <w:wordWrap/>
              <w:overflowPunct/>
              <w:topLinePunct w:val="0"/>
              <w:autoSpaceDE/>
              <w:autoSpaceDN/>
              <w:bidi w:val="0"/>
              <w:adjustRightInd/>
              <w:snapToGrid/>
              <w:spacing w:before="0" w:after="0" w:line="400" w:lineRule="atLeast"/>
              <w:jc w:val="left"/>
              <w:textAlignment w:val="auto"/>
              <w:rPr>
                <w:rFonts w:hint="eastAsia" w:ascii="宋体" w:hAnsi="宋体" w:cs="宋体"/>
                <w:b w:val="0"/>
                <w:bCs/>
                <w:kern w:val="0"/>
                <w:sz w:val="24"/>
                <w:szCs w:val="24"/>
              </w:rPr>
            </w:pPr>
            <w:r>
              <w:rPr>
                <w:rFonts w:hint="eastAsia" w:ascii="宋体" w:hAnsi="宋体" w:cs="宋体"/>
                <w:b w:val="0"/>
                <w:bCs/>
                <w:kern w:val="0"/>
                <w:sz w:val="24"/>
                <w:szCs w:val="24"/>
              </w:rPr>
              <w:t>①投标文件有一项不符合招标文件第 3 章初步评审标准；</w:t>
            </w:r>
          </w:p>
          <w:p w14:paraId="57E90CE3">
            <w:pPr>
              <w:keepNext w:val="0"/>
              <w:keepLines w:val="0"/>
              <w:pageBreakBefore w:val="0"/>
              <w:widowControl w:val="0"/>
              <w:tabs>
                <w:tab w:val="left" w:pos="540"/>
              </w:tabs>
              <w:kinsoku/>
              <w:wordWrap/>
              <w:overflowPunct/>
              <w:topLinePunct w:val="0"/>
              <w:autoSpaceDE/>
              <w:autoSpaceDN/>
              <w:bidi w:val="0"/>
              <w:adjustRightInd/>
              <w:snapToGrid/>
              <w:spacing w:before="0" w:after="0" w:line="400" w:lineRule="atLeast"/>
              <w:jc w:val="left"/>
              <w:textAlignment w:val="auto"/>
              <w:rPr>
                <w:rFonts w:hint="eastAsia" w:ascii="宋体" w:hAnsi="宋体" w:cs="宋体"/>
                <w:b w:val="0"/>
                <w:bCs/>
                <w:kern w:val="0"/>
                <w:sz w:val="24"/>
                <w:szCs w:val="24"/>
              </w:rPr>
            </w:pPr>
            <w:r>
              <w:rPr>
                <w:rFonts w:hint="eastAsia" w:ascii="宋体" w:hAnsi="宋体" w:cs="宋体"/>
                <w:b w:val="0"/>
                <w:bCs/>
                <w:kern w:val="0"/>
                <w:sz w:val="24"/>
                <w:szCs w:val="24"/>
              </w:rPr>
              <w:t>②第 2 章“投标人须知”第 1.4.3 项规定的任何一种情形的；</w:t>
            </w:r>
          </w:p>
          <w:p w14:paraId="04AAAA6C">
            <w:pPr>
              <w:keepNext w:val="0"/>
              <w:keepLines w:val="0"/>
              <w:pageBreakBefore w:val="0"/>
              <w:widowControl w:val="0"/>
              <w:tabs>
                <w:tab w:val="left" w:pos="540"/>
              </w:tabs>
              <w:kinsoku/>
              <w:wordWrap/>
              <w:overflowPunct/>
              <w:topLinePunct w:val="0"/>
              <w:autoSpaceDE/>
              <w:autoSpaceDN/>
              <w:bidi w:val="0"/>
              <w:adjustRightInd/>
              <w:snapToGrid/>
              <w:spacing w:before="0" w:after="0" w:line="400" w:lineRule="atLeast"/>
              <w:jc w:val="left"/>
              <w:textAlignment w:val="auto"/>
              <w:rPr>
                <w:rFonts w:hint="eastAsia" w:ascii="宋体" w:hAnsi="宋体" w:cs="宋体"/>
                <w:b w:val="0"/>
                <w:bCs/>
                <w:kern w:val="0"/>
                <w:sz w:val="24"/>
                <w:szCs w:val="24"/>
              </w:rPr>
            </w:pPr>
            <w:r>
              <w:rPr>
                <w:rFonts w:hint="eastAsia" w:ascii="宋体" w:hAnsi="宋体" w:cs="宋体"/>
                <w:b w:val="0"/>
                <w:bCs/>
                <w:kern w:val="0"/>
                <w:sz w:val="24"/>
                <w:szCs w:val="24"/>
              </w:rPr>
              <w:t>③串通投标或弄虚作假或有其他违法行为的；</w:t>
            </w:r>
          </w:p>
          <w:p w14:paraId="3ECA3EAA">
            <w:pPr>
              <w:keepNext w:val="0"/>
              <w:keepLines w:val="0"/>
              <w:pageBreakBefore w:val="0"/>
              <w:widowControl w:val="0"/>
              <w:tabs>
                <w:tab w:val="left" w:pos="540"/>
              </w:tabs>
              <w:kinsoku/>
              <w:wordWrap/>
              <w:overflowPunct/>
              <w:topLinePunct w:val="0"/>
              <w:autoSpaceDE/>
              <w:autoSpaceDN/>
              <w:bidi w:val="0"/>
              <w:adjustRightInd/>
              <w:snapToGrid/>
              <w:spacing w:before="0" w:after="0" w:line="400" w:lineRule="atLeast"/>
              <w:jc w:val="left"/>
              <w:textAlignment w:val="auto"/>
              <w:rPr>
                <w:rFonts w:hint="eastAsia" w:ascii="宋体" w:hAnsi="宋体" w:cs="宋体"/>
                <w:b w:val="0"/>
                <w:bCs/>
                <w:kern w:val="0"/>
                <w:sz w:val="24"/>
                <w:szCs w:val="24"/>
              </w:rPr>
            </w:pPr>
            <w:r>
              <w:rPr>
                <w:rFonts w:hint="eastAsia" w:ascii="宋体" w:hAnsi="宋体" w:cs="宋体"/>
                <w:b w:val="0"/>
                <w:bCs/>
                <w:kern w:val="0"/>
                <w:sz w:val="24"/>
                <w:szCs w:val="24"/>
              </w:rPr>
              <w:t>④不按评标委员会要求澄清、说明或补正的；</w:t>
            </w:r>
          </w:p>
          <w:p w14:paraId="012C65A2">
            <w:pPr>
              <w:keepNext w:val="0"/>
              <w:keepLines w:val="0"/>
              <w:pageBreakBefore w:val="0"/>
              <w:widowControl w:val="0"/>
              <w:tabs>
                <w:tab w:val="left" w:pos="540"/>
              </w:tabs>
              <w:kinsoku/>
              <w:wordWrap/>
              <w:overflowPunct/>
              <w:topLinePunct w:val="0"/>
              <w:autoSpaceDE/>
              <w:autoSpaceDN/>
              <w:bidi w:val="0"/>
              <w:adjustRightInd/>
              <w:snapToGrid/>
              <w:spacing w:before="0" w:after="0" w:line="400" w:lineRule="atLeast"/>
              <w:jc w:val="left"/>
              <w:textAlignment w:val="auto"/>
              <w:rPr>
                <w:rFonts w:hint="eastAsia" w:ascii="宋体" w:hAnsi="宋体" w:cs="宋体"/>
                <w:b w:val="0"/>
                <w:bCs/>
                <w:kern w:val="0"/>
                <w:sz w:val="24"/>
                <w:szCs w:val="24"/>
              </w:rPr>
            </w:pPr>
            <w:r>
              <w:rPr>
                <w:rFonts w:hint="eastAsia" w:ascii="宋体" w:hAnsi="宋体" w:cs="宋体"/>
                <w:b w:val="0"/>
                <w:bCs/>
                <w:kern w:val="0"/>
                <w:sz w:val="24"/>
                <w:szCs w:val="24"/>
              </w:rPr>
              <w:t>⑤评标委员会发现投标人的报价明显低于其他投标报价，或者在设有标底时明显低于标底，使得其投标报价可能低于其个别成本的，应当要求该投标人作出书面说明并提供相应的证明材料。投标人不能合理说明或者不能提供相应证明材料的，由评标委员会认定该投标人以低于成本报价竞标，其投标应予否决。</w:t>
            </w:r>
          </w:p>
        </w:tc>
      </w:tr>
      <w:tr w14:paraId="029E1912">
        <w:tblPrEx>
          <w:tblCellMar>
            <w:top w:w="0" w:type="dxa"/>
            <w:left w:w="108" w:type="dxa"/>
            <w:bottom w:w="0" w:type="dxa"/>
            <w:right w:w="108" w:type="dxa"/>
          </w:tblCellMar>
        </w:tblPrEx>
        <w:trPr>
          <w:trHeight w:val="1320" w:hRule="atLeast"/>
          <w:jc w:val="center"/>
        </w:trPr>
        <w:tc>
          <w:tcPr>
            <w:tcW w:w="954" w:type="dxa"/>
            <w:tcBorders>
              <w:top w:val="single" w:color="000000" w:sz="4" w:space="0"/>
              <w:left w:val="single" w:color="000000" w:sz="4" w:space="0"/>
              <w:bottom w:val="single" w:color="000000" w:sz="4" w:space="0"/>
              <w:right w:val="single" w:color="000000" w:sz="4" w:space="0"/>
            </w:tcBorders>
            <w:vAlign w:val="center"/>
          </w:tcPr>
          <w:p w14:paraId="2677D321">
            <w:pPr>
              <w:keepNext w:val="0"/>
              <w:keepLines w:val="0"/>
              <w:pageBreakBefore w:val="0"/>
              <w:widowControl w:val="0"/>
              <w:tabs>
                <w:tab w:val="left" w:pos="540"/>
              </w:tabs>
              <w:kinsoku/>
              <w:wordWrap/>
              <w:overflowPunct/>
              <w:topLinePunct w:val="0"/>
              <w:autoSpaceDE/>
              <w:autoSpaceDN/>
              <w:bidi w:val="0"/>
              <w:adjustRightInd/>
              <w:snapToGrid/>
              <w:spacing w:before="0" w:after="0" w:line="400" w:lineRule="atLeast"/>
              <w:jc w:val="center"/>
              <w:textAlignment w:val="auto"/>
              <w:rPr>
                <w:rFonts w:hint="default" w:ascii="宋体" w:hAnsi="宋体" w:eastAsia="宋体" w:cs="宋体"/>
                <w:b w:val="0"/>
                <w:bCs/>
                <w:kern w:val="0"/>
                <w:sz w:val="24"/>
                <w:szCs w:val="24"/>
                <w:lang w:val="en-US" w:eastAsia="zh-CN"/>
              </w:rPr>
            </w:pPr>
            <w:r>
              <w:rPr>
                <w:rFonts w:hint="eastAsia" w:ascii="宋体" w:hAnsi="宋体" w:cs="宋体"/>
                <w:b w:val="0"/>
                <w:bCs/>
                <w:kern w:val="0"/>
                <w:sz w:val="24"/>
                <w:szCs w:val="24"/>
                <w:lang w:val="en-US" w:eastAsia="zh-CN"/>
              </w:rPr>
              <w:t>10.2</w:t>
            </w:r>
          </w:p>
        </w:tc>
        <w:tc>
          <w:tcPr>
            <w:tcW w:w="2047" w:type="dxa"/>
            <w:gridSpan w:val="2"/>
            <w:tcBorders>
              <w:top w:val="single" w:color="000000" w:sz="4" w:space="0"/>
              <w:left w:val="single" w:color="000000" w:sz="4" w:space="0"/>
              <w:bottom w:val="single" w:color="000000" w:sz="4" w:space="0"/>
              <w:right w:val="single" w:color="000000" w:sz="4" w:space="0"/>
            </w:tcBorders>
            <w:vAlign w:val="center"/>
          </w:tcPr>
          <w:p w14:paraId="2DB90578">
            <w:pPr>
              <w:keepNext w:val="0"/>
              <w:keepLines w:val="0"/>
              <w:pageBreakBefore w:val="0"/>
              <w:widowControl w:val="0"/>
              <w:tabs>
                <w:tab w:val="left" w:pos="540"/>
              </w:tabs>
              <w:kinsoku/>
              <w:wordWrap/>
              <w:overflowPunct/>
              <w:topLinePunct w:val="0"/>
              <w:autoSpaceDE/>
              <w:autoSpaceDN/>
              <w:bidi w:val="0"/>
              <w:adjustRightInd/>
              <w:snapToGrid/>
              <w:spacing w:before="0" w:after="0" w:line="400" w:lineRule="atLeast"/>
              <w:jc w:val="center"/>
              <w:textAlignment w:val="auto"/>
              <w:rPr>
                <w:rFonts w:hint="eastAsia" w:ascii="宋体" w:hAnsi="宋体" w:cs="宋体"/>
                <w:b w:val="0"/>
                <w:bCs/>
                <w:kern w:val="0"/>
                <w:sz w:val="24"/>
                <w:szCs w:val="24"/>
              </w:rPr>
            </w:pPr>
            <w:r>
              <w:rPr>
                <w:rFonts w:hint="eastAsia" w:ascii="宋体" w:hAnsi="宋体" w:cs="宋体"/>
                <w:b w:val="0"/>
                <w:bCs/>
                <w:kern w:val="0"/>
                <w:sz w:val="24"/>
                <w:szCs w:val="24"/>
              </w:rPr>
              <w:t>是否采用电子招标投标</w:t>
            </w:r>
          </w:p>
        </w:tc>
        <w:tc>
          <w:tcPr>
            <w:tcW w:w="7029" w:type="dxa"/>
            <w:tcBorders>
              <w:top w:val="single" w:color="000000" w:sz="4" w:space="0"/>
              <w:left w:val="single" w:color="000000" w:sz="4" w:space="0"/>
              <w:bottom w:val="single" w:color="000000" w:sz="4" w:space="0"/>
              <w:right w:val="single" w:color="000000" w:sz="4" w:space="0"/>
            </w:tcBorders>
            <w:vAlign w:val="center"/>
          </w:tcPr>
          <w:p w14:paraId="7F744BA2">
            <w:pPr>
              <w:keepNext w:val="0"/>
              <w:keepLines w:val="0"/>
              <w:pageBreakBefore w:val="0"/>
              <w:widowControl w:val="0"/>
              <w:tabs>
                <w:tab w:val="left" w:pos="540"/>
              </w:tabs>
              <w:kinsoku/>
              <w:wordWrap/>
              <w:overflowPunct/>
              <w:topLinePunct w:val="0"/>
              <w:autoSpaceDE/>
              <w:autoSpaceDN/>
              <w:bidi w:val="0"/>
              <w:adjustRightInd/>
              <w:snapToGrid/>
              <w:spacing w:before="0" w:after="0" w:line="400" w:lineRule="atLeast"/>
              <w:jc w:val="left"/>
              <w:textAlignment w:val="auto"/>
              <w:rPr>
                <w:rFonts w:hint="eastAsia" w:ascii="宋体" w:hAnsi="宋体" w:cs="宋体"/>
                <w:b w:val="0"/>
                <w:bCs/>
                <w:kern w:val="0"/>
                <w:sz w:val="24"/>
                <w:szCs w:val="24"/>
              </w:rPr>
            </w:pPr>
            <w:r>
              <w:rPr>
                <w:rFonts w:hint="eastAsia" w:ascii="宋体" w:hAnsi="宋体" w:cs="宋体"/>
                <w:b w:val="0"/>
                <w:bCs/>
                <w:kern w:val="0"/>
                <w:sz w:val="24"/>
                <w:szCs w:val="24"/>
                <w:lang w:eastAsia="zh-CN"/>
              </w:rPr>
              <w:t>□</w:t>
            </w:r>
            <w:r>
              <w:rPr>
                <w:rFonts w:hint="eastAsia" w:ascii="宋体" w:hAnsi="宋体" w:cs="宋体"/>
                <w:b w:val="0"/>
                <w:bCs/>
                <w:kern w:val="0"/>
                <w:sz w:val="24"/>
                <w:szCs w:val="24"/>
              </w:rPr>
              <w:t>否</w:t>
            </w:r>
          </w:p>
          <w:p w14:paraId="4114572B">
            <w:pPr>
              <w:keepNext w:val="0"/>
              <w:keepLines w:val="0"/>
              <w:pageBreakBefore w:val="0"/>
              <w:widowControl w:val="0"/>
              <w:tabs>
                <w:tab w:val="left" w:pos="540"/>
              </w:tabs>
              <w:kinsoku/>
              <w:wordWrap/>
              <w:overflowPunct/>
              <w:topLinePunct w:val="0"/>
              <w:autoSpaceDE/>
              <w:autoSpaceDN/>
              <w:bidi w:val="0"/>
              <w:adjustRightInd/>
              <w:snapToGrid/>
              <w:spacing w:before="0" w:after="0" w:line="400" w:lineRule="atLeast"/>
              <w:jc w:val="left"/>
              <w:textAlignment w:val="auto"/>
              <w:rPr>
                <w:rFonts w:hint="eastAsia" w:ascii="宋体" w:hAnsi="宋体" w:cs="宋体"/>
                <w:b w:val="0"/>
                <w:bCs/>
                <w:kern w:val="0"/>
                <w:sz w:val="24"/>
                <w:szCs w:val="24"/>
              </w:rPr>
            </w:pPr>
            <w:r>
              <w:rPr>
                <w:rFonts w:hint="eastAsia" w:ascii="宋体" w:hAnsi="宋体" w:cs="宋体"/>
                <w:b w:val="0"/>
                <w:bCs/>
                <w:kern w:val="0"/>
                <w:sz w:val="24"/>
                <w:szCs w:val="24"/>
                <w:lang w:eastAsia="zh-CN"/>
              </w:rPr>
              <w:t>☑</w:t>
            </w:r>
            <w:r>
              <w:rPr>
                <w:rFonts w:hint="eastAsia" w:ascii="宋体" w:hAnsi="宋体" w:cs="宋体"/>
                <w:b w:val="0"/>
                <w:bCs/>
                <w:kern w:val="0"/>
                <w:sz w:val="24"/>
                <w:szCs w:val="24"/>
              </w:rPr>
              <w:t>是，具体要求：具体操作详见广州公共资源交易平台关于全流程电子化项目的相关指南进行操作。</w:t>
            </w:r>
          </w:p>
        </w:tc>
      </w:tr>
      <w:tr w14:paraId="23666F5E">
        <w:tblPrEx>
          <w:tblCellMar>
            <w:top w:w="0" w:type="dxa"/>
            <w:left w:w="108" w:type="dxa"/>
            <w:bottom w:w="0" w:type="dxa"/>
            <w:right w:w="108" w:type="dxa"/>
          </w:tblCellMar>
        </w:tblPrEx>
        <w:trPr>
          <w:trHeight w:val="1320" w:hRule="atLeast"/>
          <w:jc w:val="center"/>
        </w:trPr>
        <w:tc>
          <w:tcPr>
            <w:tcW w:w="954" w:type="dxa"/>
            <w:tcBorders>
              <w:top w:val="single" w:color="000000" w:sz="4" w:space="0"/>
              <w:left w:val="single" w:color="000000" w:sz="4" w:space="0"/>
              <w:bottom w:val="single" w:color="000000" w:sz="4" w:space="0"/>
              <w:right w:val="single" w:color="000000" w:sz="4" w:space="0"/>
            </w:tcBorders>
            <w:vAlign w:val="center"/>
          </w:tcPr>
          <w:p w14:paraId="3DAFD8F1">
            <w:pPr>
              <w:keepNext w:val="0"/>
              <w:keepLines w:val="0"/>
              <w:pageBreakBefore w:val="0"/>
              <w:widowControl w:val="0"/>
              <w:tabs>
                <w:tab w:val="left" w:pos="540"/>
              </w:tabs>
              <w:kinsoku/>
              <w:wordWrap/>
              <w:overflowPunct/>
              <w:topLinePunct w:val="0"/>
              <w:autoSpaceDE/>
              <w:autoSpaceDN/>
              <w:bidi w:val="0"/>
              <w:adjustRightInd/>
              <w:snapToGrid/>
              <w:spacing w:before="0" w:after="0" w:line="400" w:lineRule="atLeast"/>
              <w:jc w:val="center"/>
              <w:textAlignment w:val="auto"/>
              <w:rPr>
                <w:rFonts w:hint="default" w:ascii="宋体" w:hAnsi="宋体" w:cs="宋体"/>
                <w:b w:val="0"/>
                <w:bCs/>
                <w:kern w:val="0"/>
                <w:sz w:val="24"/>
                <w:szCs w:val="24"/>
                <w:lang w:val="en-US" w:eastAsia="zh-CN"/>
              </w:rPr>
            </w:pPr>
            <w:r>
              <w:rPr>
                <w:rFonts w:hint="eastAsia" w:ascii="宋体" w:hAnsi="宋体" w:cs="宋体"/>
                <w:b w:val="0"/>
                <w:bCs/>
                <w:kern w:val="0"/>
                <w:sz w:val="24"/>
                <w:szCs w:val="24"/>
                <w:lang w:val="en-US" w:eastAsia="zh-CN"/>
              </w:rPr>
              <w:t>10.3</w:t>
            </w:r>
          </w:p>
        </w:tc>
        <w:tc>
          <w:tcPr>
            <w:tcW w:w="2047" w:type="dxa"/>
            <w:gridSpan w:val="2"/>
            <w:tcBorders>
              <w:top w:val="single" w:color="000000" w:sz="4" w:space="0"/>
              <w:left w:val="single" w:color="000000" w:sz="4" w:space="0"/>
              <w:bottom w:val="single" w:color="000000" w:sz="4" w:space="0"/>
              <w:right w:val="single" w:color="000000" w:sz="4" w:space="0"/>
            </w:tcBorders>
            <w:vAlign w:val="center"/>
          </w:tcPr>
          <w:p w14:paraId="2115E5A9">
            <w:pPr>
              <w:keepNext w:val="0"/>
              <w:keepLines w:val="0"/>
              <w:pageBreakBefore w:val="0"/>
              <w:widowControl w:val="0"/>
              <w:tabs>
                <w:tab w:val="left" w:pos="540"/>
              </w:tabs>
              <w:kinsoku/>
              <w:wordWrap/>
              <w:overflowPunct/>
              <w:topLinePunct w:val="0"/>
              <w:autoSpaceDE/>
              <w:autoSpaceDN/>
              <w:bidi w:val="0"/>
              <w:adjustRightInd/>
              <w:snapToGrid/>
              <w:spacing w:before="0" w:after="0" w:line="400" w:lineRule="atLeast"/>
              <w:jc w:val="center"/>
              <w:textAlignment w:val="auto"/>
              <w:rPr>
                <w:rFonts w:hint="eastAsia" w:ascii="宋体" w:hAnsi="宋体" w:cs="宋体"/>
                <w:b w:val="0"/>
                <w:bCs/>
                <w:kern w:val="0"/>
                <w:sz w:val="24"/>
                <w:szCs w:val="24"/>
              </w:rPr>
            </w:pPr>
            <w:r>
              <w:rPr>
                <w:rFonts w:hint="eastAsia" w:ascii="宋体" w:hAnsi="宋体" w:cs="宋体"/>
                <w:b w:val="0"/>
                <w:bCs/>
                <w:kern w:val="0"/>
                <w:sz w:val="24"/>
                <w:szCs w:val="24"/>
              </w:rPr>
              <w:t>电子招标投标解密失败及突发状况的补救</w:t>
            </w:r>
          </w:p>
        </w:tc>
        <w:tc>
          <w:tcPr>
            <w:tcW w:w="7029" w:type="dxa"/>
            <w:tcBorders>
              <w:top w:val="single" w:color="000000" w:sz="4" w:space="0"/>
              <w:left w:val="single" w:color="000000" w:sz="4" w:space="0"/>
              <w:bottom w:val="single" w:color="000000" w:sz="4" w:space="0"/>
              <w:right w:val="single" w:color="000000" w:sz="4" w:space="0"/>
            </w:tcBorders>
            <w:vAlign w:val="center"/>
          </w:tcPr>
          <w:p w14:paraId="4607C843">
            <w:pPr>
              <w:keepNext w:val="0"/>
              <w:keepLines w:val="0"/>
              <w:pageBreakBefore w:val="0"/>
              <w:widowControl w:val="0"/>
              <w:tabs>
                <w:tab w:val="left" w:pos="540"/>
              </w:tabs>
              <w:kinsoku/>
              <w:wordWrap/>
              <w:overflowPunct/>
              <w:topLinePunct w:val="0"/>
              <w:autoSpaceDE/>
              <w:autoSpaceDN/>
              <w:bidi w:val="0"/>
              <w:adjustRightInd/>
              <w:snapToGrid/>
              <w:spacing w:before="0" w:after="0" w:line="400" w:lineRule="atLeast"/>
              <w:jc w:val="left"/>
              <w:textAlignment w:val="auto"/>
              <w:rPr>
                <w:rFonts w:hint="eastAsia" w:ascii="宋体" w:hAnsi="宋体" w:cs="宋体"/>
                <w:b w:val="0"/>
                <w:bCs/>
                <w:kern w:val="0"/>
                <w:sz w:val="24"/>
                <w:szCs w:val="24"/>
              </w:rPr>
            </w:pPr>
            <w:r>
              <w:rPr>
                <w:rFonts w:hint="eastAsia" w:ascii="宋体" w:hAnsi="宋体" w:cs="宋体"/>
                <w:b w:val="0"/>
                <w:bCs/>
                <w:kern w:val="0"/>
                <w:sz w:val="24"/>
                <w:szCs w:val="24"/>
              </w:rPr>
              <w:t>1.提交投标文件备用电子U盘：投标人可制作非加密的投标文件U盘，在招标公告规定的时间、地点提交备用。如果投标人没有按规定通过交易平台网上递交电子投标文件的，不再读取投标文件备用电子U</w:t>
            </w:r>
            <w:r>
              <w:rPr>
                <w:rFonts w:hint="eastAsia" w:ascii="宋体" w:hAnsi="宋体" w:cs="宋体"/>
                <w:b w:val="0"/>
                <w:bCs/>
                <w:kern w:val="0"/>
                <w:sz w:val="24"/>
                <w:szCs w:val="24"/>
                <w:lang w:val="en-US" w:eastAsia="zh-CN"/>
              </w:rPr>
              <w:t xml:space="preserve"> </w:t>
            </w:r>
            <w:r>
              <w:rPr>
                <w:rFonts w:hint="eastAsia" w:ascii="宋体" w:hAnsi="宋体" w:cs="宋体"/>
                <w:b w:val="0"/>
                <w:bCs/>
                <w:kern w:val="0"/>
                <w:sz w:val="24"/>
                <w:szCs w:val="24"/>
              </w:rPr>
              <w:t>盘。投标人也可不递交投标文件备用电子U盘。</w:t>
            </w:r>
          </w:p>
          <w:p w14:paraId="57056958">
            <w:pPr>
              <w:keepNext w:val="0"/>
              <w:keepLines w:val="0"/>
              <w:pageBreakBefore w:val="0"/>
              <w:widowControl w:val="0"/>
              <w:tabs>
                <w:tab w:val="left" w:pos="540"/>
              </w:tabs>
              <w:kinsoku/>
              <w:wordWrap/>
              <w:overflowPunct/>
              <w:topLinePunct w:val="0"/>
              <w:autoSpaceDE/>
              <w:autoSpaceDN/>
              <w:bidi w:val="0"/>
              <w:adjustRightInd/>
              <w:snapToGrid/>
              <w:spacing w:before="0" w:after="0" w:line="400" w:lineRule="atLeast"/>
              <w:jc w:val="left"/>
              <w:textAlignment w:val="auto"/>
              <w:rPr>
                <w:rFonts w:hint="eastAsia" w:ascii="宋体" w:hAnsi="宋体" w:cs="宋体"/>
                <w:b w:val="0"/>
                <w:bCs/>
                <w:kern w:val="0"/>
                <w:sz w:val="24"/>
                <w:szCs w:val="24"/>
              </w:rPr>
            </w:pPr>
            <w:r>
              <w:rPr>
                <w:rFonts w:hint="eastAsia" w:ascii="宋体" w:hAnsi="宋体" w:cs="宋体"/>
                <w:b w:val="0"/>
                <w:bCs/>
                <w:kern w:val="0"/>
                <w:sz w:val="24"/>
                <w:szCs w:val="24"/>
              </w:rPr>
              <w:t>2.补救方案</w:t>
            </w:r>
          </w:p>
          <w:p w14:paraId="35EEAA86">
            <w:pPr>
              <w:keepNext w:val="0"/>
              <w:keepLines w:val="0"/>
              <w:pageBreakBefore w:val="0"/>
              <w:widowControl w:val="0"/>
              <w:tabs>
                <w:tab w:val="left" w:pos="540"/>
              </w:tabs>
              <w:kinsoku/>
              <w:wordWrap/>
              <w:overflowPunct/>
              <w:topLinePunct w:val="0"/>
              <w:autoSpaceDE/>
              <w:autoSpaceDN/>
              <w:bidi w:val="0"/>
              <w:adjustRightInd/>
              <w:snapToGrid/>
              <w:spacing w:before="0" w:after="0" w:line="400" w:lineRule="atLeast"/>
              <w:jc w:val="left"/>
              <w:textAlignment w:val="auto"/>
              <w:rPr>
                <w:rFonts w:hint="eastAsia" w:ascii="宋体" w:hAnsi="宋体" w:cs="宋体"/>
                <w:b w:val="0"/>
                <w:bCs/>
                <w:kern w:val="0"/>
                <w:sz w:val="24"/>
                <w:szCs w:val="24"/>
              </w:rPr>
            </w:pPr>
            <w:r>
              <w:rPr>
                <w:rFonts w:hint="eastAsia" w:ascii="宋体" w:hAnsi="宋体" w:cs="宋体"/>
                <w:b w:val="0"/>
                <w:bCs/>
                <w:kern w:val="0"/>
                <w:sz w:val="24"/>
                <w:szCs w:val="24"/>
              </w:rPr>
              <w:t>（1）投标文件解密失败的补救方案：</w:t>
            </w:r>
          </w:p>
          <w:p w14:paraId="5B4D90EB">
            <w:pPr>
              <w:keepNext w:val="0"/>
              <w:keepLines w:val="0"/>
              <w:pageBreakBefore w:val="0"/>
              <w:widowControl w:val="0"/>
              <w:tabs>
                <w:tab w:val="left" w:pos="540"/>
              </w:tabs>
              <w:kinsoku/>
              <w:wordWrap/>
              <w:overflowPunct/>
              <w:topLinePunct w:val="0"/>
              <w:autoSpaceDE/>
              <w:autoSpaceDN/>
              <w:bidi w:val="0"/>
              <w:adjustRightInd/>
              <w:snapToGrid/>
              <w:spacing w:before="0" w:after="0" w:line="400" w:lineRule="atLeast"/>
              <w:ind w:firstLine="240" w:firstLineChars="100"/>
              <w:jc w:val="left"/>
              <w:textAlignment w:val="auto"/>
              <w:rPr>
                <w:rFonts w:hint="eastAsia" w:ascii="宋体" w:hAnsi="宋体" w:cs="宋体"/>
                <w:b w:val="0"/>
                <w:bCs/>
                <w:kern w:val="0"/>
                <w:sz w:val="24"/>
                <w:szCs w:val="24"/>
              </w:rPr>
            </w:pPr>
            <w:r>
              <w:rPr>
                <w:rFonts w:hint="eastAsia" w:ascii="宋体" w:hAnsi="宋体" w:cs="宋体"/>
                <w:b w:val="0"/>
                <w:bCs/>
                <w:kern w:val="0"/>
                <w:sz w:val="24"/>
                <w:szCs w:val="24"/>
              </w:rPr>
              <w:t>在规定时间内，因投标人之外原因（指网络瘫痪、服务器损坏、交易系统故障短期无法恢复等因素）导致的电子投标文件解密失败，在开标现场读取备用电子U盘内容，继续开标程序。评标委员会对其投标文件的评审以备用电子U盘内容为准。因投标人原因解密失败且未递交备用电子U盘或递交的备用电子U盘不能读取的，视为撤回投标文件。</w:t>
            </w:r>
          </w:p>
          <w:p w14:paraId="3B721796">
            <w:pPr>
              <w:keepNext w:val="0"/>
              <w:keepLines w:val="0"/>
              <w:pageBreakBefore w:val="0"/>
              <w:widowControl w:val="0"/>
              <w:tabs>
                <w:tab w:val="left" w:pos="540"/>
              </w:tabs>
              <w:kinsoku/>
              <w:wordWrap/>
              <w:overflowPunct/>
              <w:topLinePunct w:val="0"/>
              <w:autoSpaceDE/>
              <w:autoSpaceDN/>
              <w:bidi w:val="0"/>
              <w:adjustRightInd/>
              <w:snapToGrid/>
              <w:spacing w:before="0" w:after="0" w:line="400" w:lineRule="atLeast"/>
              <w:jc w:val="left"/>
              <w:textAlignment w:val="auto"/>
              <w:rPr>
                <w:rFonts w:hint="eastAsia" w:ascii="宋体" w:hAnsi="宋体" w:cs="宋体"/>
                <w:b w:val="0"/>
                <w:bCs/>
                <w:kern w:val="0"/>
                <w:sz w:val="24"/>
                <w:szCs w:val="24"/>
              </w:rPr>
            </w:pPr>
            <w:r>
              <w:rPr>
                <w:rFonts w:hint="eastAsia" w:ascii="宋体" w:hAnsi="宋体" w:cs="宋体"/>
                <w:b w:val="0"/>
                <w:bCs/>
                <w:kern w:val="0"/>
                <w:sz w:val="24"/>
                <w:szCs w:val="24"/>
              </w:rPr>
              <w:t>（2）评标时突发情况的补救方案</w:t>
            </w:r>
          </w:p>
          <w:p w14:paraId="47C2A6B6">
            <w:pPr>
              <w:keepNext w:val="0"/>
              <w:keepLines w:val="0"/>
              <w:pageBreakBefore w:val="0"/>
              <w:widowControl w:val="0"/>
              <w:tabs>
                <w:tab w:val="left" w:pos="540"/>
              </w:tabs>
              <w:kinsoku/>
              <w:wordWrap/>
              <w:overflowPunct/>
              <w:topLinePunct w:val="0"/>
              <w:autoSpaceDE/>
              <w:autoSpaceDN/>
              <w:bidi w:val="0"/>
              <w:adjustRightInd/>
              <w:snapToGrid/>
              <w:spacing w:before="0" w:after="0" w:line="400" w:lineRule="atLeast"/>
              <w:ind w:firstLine="240" w:firstLineChars="100"/>
              <w:jc w:val="left"/>
              <w:textAlignment w:val="auto"/>
              <w:rPr>
                <w:rFonts w:hint="eastAsia" w:ascii="宋体" w:hAnsi="宋体" w:cs="宋体"/>
                <w:b w:val="0"/>
                <w:bCs/>
                <w:kern w:val="0"/>
                <w:sz w:val="24"/>
                <w:szCs w:val="24"/>
              </w:rPr>
            </w:pPr>
            <w:r>
              <w:rPr>
                <w:rFonts w:hint="eastAsia" w:ascii="宋体" w:hAnsi="宋体" w:cs="宋体"/>
                <w:b w:val="0"/>
                <w:bCs/>
                <w:kern w:val="0"/>
                <w:sz w:val="24"/>
                <w:szCs w:val="24"/>
              </w:rPr>
              <w:t>若遇不可抗力发生（如：网络瘫痪、服务器损坏、交易系统故障短期无法恢复等因素），由评标委员会开启递交的全部投标文件备用电子U盘，并按备用电子U盘内容进行评审。</w:t>
            </w:r>
          </w:p>
          <w:p w14:paraId="13EC999E">
            <w:pPr>
              <w:keepNext w:val="0"/>
              <w:keepLines w:val="0"/>
              <w:pageBreakBefore w:val="0"/>
              <w:widowControl w:val="0"/>
              <w:tabs>
                <w:tab w:val="left" w:pos="540"/>
              </w:tabs>
              <w:kinsoku/>
              <w:wordWrap/>
              <w:overflowPunct/>
              <w:topLinePunct w:val="0"/>
              <w:autoSpaceDE/>
              <w:autoSpaceDN/>
              <w:bidi w:val="0"/>
              <w:adjustRightInd/>
              <w:snapToGrid/>
              <w:spacing w:before="0" w:after="0" w:line="400" w:lineRule="atLeast"/>
              <w:jc w:val="left"/>
              <w:textAlignment w:val="auto"/>
              <w:rPr>
                <w:rFonts w:hint="eastAsia" w:ascii="宋体" w:hAnsi="宋体" w:cs="宋体"/>
                <w:b w:val="0"/>
                <w:bCs/>
                <w:kern w:val="0"/>
                <w:sz w:val="24"/>
                <w:szCs w:val="24"/>
                <w:lang w:eastAsia="zh-CN"/>
              </w:rPr>
            </w:pPr>
            <w:r>
              <w:rPr>
                <w:rFonts w:hint="eastAsia" w:ascii="宋体" w:hAnsi="宋体" w:cs="宋体"/>
                <w:b w:val="0"/>
                <w:bCs/>
                <w:kern w:val="0"/>
                <w:sz w:val="24"/>
                <w:szCs w:val="24"/>
              </w:rPr>
              <w:t>（3）除发生上述情况外，开标评标均以投标人通过交易平台网上递交的电子投标文件为准。</w:t>
            </w:r>
          </w:p>
        </w:tc>
      </w:tr>
      <w:tr w14:paraId="423F828B">
        <w:tblPrEx>
          <w:tblCellMar>
            <w:top w:w="0" w:type="dxa"/>
            <w:left w:w="108" w:type="dxa"/>
            <w:bottom w:w="0" w:type="dxa"/>
            <w:right w:w="108" w:type="dxa"/>
          </w:tblCellMar>
        </w:tblPrEx>
        <w:trPr>
          <w:trHeight w:val="1351" w:hRule="atLeast"/>
          <w:jc w:val="center"/>
        </w:trPr>
        <w:tc>
          <w:tcPr>
            <w:tcW w:w="954" w:type="dxa"/>
            <w:tcBorders>
              <w:top w:val="single" w:color="000000" w:sz="4" w:space="0"/>
              <w:left w:val="single" w:color="000000" w:sz="4" w:space="0"/>
              <w:bottom w:val="single" w:color="000000" w:sz="4" w:space="0"/>
              <w:right w:val="single" w:color="000000" w:sz="4" w:space="0"/>
            </w:tcBorders>
            <w:vAlign w:val="center"/>
          </w:tcPr>
          <w:p w14:paraId="06DA504E">
            <w:pPr>
              <w:keepNext w:val="0"/>
              <w:keepLines w:val="0"/>
              <w:pageBreakBefore w:val="0"/>
              <w:widowControl w:val="0"/>
              <w:tabs>
                <w:tab w:val="left" w:pos="540"/>
              </w:tabs>
              <w:kinsoku/>
              <w:wordWrap/>
              <w:overflowPunct/>
              <w:topLinePunct w:val="0"/>
              <w:autoSpaceDE/>
              <w:autoSpaceDN/>
              <w:bidi w:val="0"/>
              <w:adjustRightInd/>
              <w:snapToGrid/>
              <w:spacing w:before="0" w:after="0" w:line="400" w:lineRule="atLeast"/>
              <w:jc w:val="center"/>
              <w:textAlignment w:val="auto"/>
              <w:rPr>
                <w:rFonts w:hint="eastAsia" w:ascii="宋体" w:hAnsi="宋体" w:cs="宋体"/>
                <w:b w:val="0"/>
                <w:bCs/>
                <w:kern w:val="0"/>
                <w:sz w:val="24"/>
                <w:szCs w:val="24"/>
                <w:lang w:val="en-US" w:eastAsia="zh-CN"/>
              </w:rPr>
            </w:pPr>
            <w:r>
              <w:rPr>
                <w:rFonts w:hint="eastAsia" w:ascii="宋体" w:hAnsi="宋体" w:cs="宋体"/>
                <w:b w:val="0"/>
                <w:bCs/>
                <w:kern w:val="0"/>
                <w:sz w:val="24"/>
                <w:szCs w:val="24"/>
                <w:lang w:val="en-US" w:eastAsia="zh-CN"/>
              </w:rPr>
              <w:t>10.4</w:t>
            </w:r>
          </w:p>
        </w:tc>
        <w:tc>
          <w:tcPr>
            <w:tcW w:w="2047" w:type="dxa"/>
            <w:gridSpan w:val="2"/>
            <w:tcBorders>
              <w:top w:val="single" w:color="000000" w:sz="4" w:space="0"/>
              <w:left w:val="single" w:color="000000" w:sz="4" w:space="0"/>
              <w:bottom w:val="single" w:color="000000" w:sz="4" w:space="0"/>
              <w:right w:val="single" w:color="000000" w:sz="4" w:space="0"/>
            </w:tcBorders>
            <w:vAlign w:val="center"/>
          </w:tcPr>
          <w:p w14:paraId="6F76934C">
            <w:pPr>
              <w:keepNext w:val="0"/>
              <w:keepLines w:val="0"/>
              <w:pageBreakBefore w:val="0"/>
              <w:widowControl w:val="0"/>
              <w:tabs>
                <w:tab w:val="left" w:pos="540"/>
              </w:tabs>
              <w:kinsoku/>
              <w:wordWrap/>
              <w:overflowPunct/>
              <w:topLinePunct w:val="0"/>
              <w:autoSpaceDE/>
              <w:autoSpaceDN/>
              <w:bidi w:val="0"/>
              <w:adjustRightInd/>
              <w:snapToGrid/>
              <w:spacing w:before="0" w:after="0" w:line="400" w:lineRule="atLeast"/>
              <w:jc w:val="center"/>
              <w:textAlignment w:val="auto"/>
              <w:rPr>
                <w:rFonts w:hint="eastAsia" w:ascii="宋体" w:hAnsi="宋体" w:cs="宋体"/>
                <w:b w:val="0"/>
                <w:bCs/>
                <w:kern w:val="0"/>
                <w:sz w:val="24"/>
                <w:szCs w:val="24"/>
              </w:rPr>
            </w:pPr>
            <w:r>
              <w:rPr>
                <w:rFonts w:hint="eastAsia" w:ascii="宋体" w:hAnsi="宋体" w:cs="宋体"/>
                <w:b w:val="0"/>
                <w:bCs/>
                <w:kern w:val="0"/>
                <w:sz w:val="24"/>
                <w:szCs w:val="24"/>
              </w:rPr>
              <w:t>费用</w:t>
            </w:r>
          </w:p>
        </w:tc>
        <w:tc>
          <w:tcPr>
            <w:tcW w:w="7029" w:type="dxa"/>
            <w:tcBorders>
              <w:top w:val="single" w:color="000000" w:sz="4" w:space="0"/>
              <w:left w:val="single" w:color="000000" w:sz="4" w:space="0"/>
              <w:bottom w:val="single" w:color="000000" w:sz="4" w:space="0"/>
              <w:right w:val="single" w:color="000000" w:sz="4" w:space="0"/>
            </w:tcBorders>
            <w:vAlign w:val="center"/>
          </w:tcPr>
          <w:p w14:paraId="37DE0E8D">
            <w:pPr>
              <w:keepNext w:val="0"/>
              <w:keepLines w:val="0"/>
              <w:pageBreakBefore w:val="0"/>
              <w:widowControl w:val="0"/>
              <w:tabs>
                <w:tab w:val="left" w:pos="540"/>
              </w:tabs>
              <w:kinsoku/>
              <w:wordWrap/>
              <w:overflowPunct/>
              <w:topLinePunct w:val="0"/>
              <w:autoSpaceDE/>
              <w:autoSpaceDN/>
              <w:bidi w:val="0"/>
              <w:adjustRightInd/>
              <w:snapToGrid/>
              <w:spacing w:before="0" w:after="0" w:line="400" w:lineRule="atLeast"/>
              <w:jc w:val="left"/>
              <w:textAlignment w:val="auto"/>
              <w:rPr>
                <w:rFonts w:hint="eastAsia" w:ascii="宋体" w:hAnsi="宋体" w:cs="宋体"/>
                <w:b w:val="0"/>
                <w:bCs/>
                <w:kern w:val="0"/>
                <w:sz w:val="24"/>
                <w:szCs w:val="24"/>
                <w:lang w:eastAsia="zh-CN"/>
              </w:rPr>
            </w:pPr>
            <w:r>
              <w:rPr>
                <w:rFonts w:hint="eastAsia" w:ascii="宋体" w:hAnsi="宋体" w:cs="宋体"/>
                <w:b w:val="0"/>
                <w:bCs/>
                <w:kern w:val="0"/>
                <w:sz w:val="24"/>
                <w:szCs w:val="24"/>
              </w:rPr>
              <w:t>本项目进入广州公共资源交易中心所发生的交易服务费等由中标人在评标结果公示结束后三天内支付，按广州公共资源交易中心有关规定执行</w:t>
            </w:r>
            <w:r>
              <w:rPr>
                <w:rFonts w:hint="eastAsia" w:ascii="宋体" w:hAnsi="宋体" w:cs="宋体"/>
                <w:b w:val="0"/>
                <w:bCs/>
                <w:kern w:val="0"/>
                <w:sz w:val="24"/>
                <w:szCs w:val="24"/>
                <w:lang w:eastAsia="zh-CN"/>
              </w:rPr>
              <w:t>；</w:t>
            </w:r>
          </w:p>
          <w:p w14:paraId="3FFD5ECF">
            <w:pPr>
              <w:keepNext w:val="0"/>
              <w:keepLines w:val="0"/>
              <w:pageBreakBefore w:val="0"/>
              <w:widowControl w:val="0"/>
              <w:tabs>
                <w:tab w:val="left" w:pos="540"/>
              </w:tabs>
              <w:kinsoku/>
              <w:wordWrap/>
              <w:overflowPunct/>
              <w:topLinePunct w:val="0"/>
              <w:autoSpaceDE/>
              <w:autoSpaceDN/>
              <w:bidi w:val="0"/>
              <w:adjustRightInd/>
              <w:snapToGrid/>
              <w:spacing w:before="0" w:after="0" w:line="400" w:lineRule="atLeast"/>
              <w:jc w:val="left"/>
              <w:textAlignment w:val="auto"/>
              <w:rPr>
                <w:rFonts w:hint="eastAsia"/>
                <w:lang w:eastAsia="zh-CN"/>
              </w:rPr>
            </w:pPr>
            <w:r>
              <w:rPr>
                <w:rFonts w:hint="eastAsia" w:ascii="宋体" w:hAnsi="宋体" w:cs="宋体"/>
                <w:b w:val="0"/>
                <w:bCs/>
                <w:kern w:val="0"/>
                <w:sz w:val="24"/>
                <w:szCs w:val="24"/>
              </w:rPr>
              <w:t>本项目招标的招标代理服务费由中标人支付，招标代理服务费按招标人与招标代理机构签订的招标代理</w:t>
            </w:r>
            <w:r>
              <w:rPr>
                <w:rFonts w:hint="eastAsia" w:ascii="宋体" w:hAnsi="宋体" w:cs="宋体"/>
                <w:b w:val="0"/>
                <w:bCs/>
                <w:kern w:val="0"/>
                <w:sz w:val="24"/>
                <w:szCs w:val="24"/>
                <w:lang w:val="en-US" w:eastAsia="zh-CN"/>
              </w:rPr>
              <w:t>合同</w:t>
            </w:r>
            <w:r>
              <w:rPr>
                <w:rFonts w:hint="eastAsia" w:ascii="宋体" w:hAnsi="宋体" w:cs="宋体"/>
                <w:b w:val="0"/>
                <w:bCs/>
                <w:kern w:val="0"/>
                <w:sz w:val="24"/>
                <w:szCs w:val="24"/>
              </w:rPr>
              <w:t>执行。投标单位在投标报价时须综合考虑本项费用。</w:t>
            </w:r>
          </w:p>
        </w:tc>
      </w:tr>
      <w:tr w14:paraId="0D1356CD">
        <w:tblPrEx>
          <w:tblCellMar>
            <w:top w:w="0" w:type="dxa"/>
            <w:left w:w="108" w:type="dxa"/>
            <w:bottom w:w="0" w:type="dxa"/>
            <w:right w:w="108" w:type="dxa"/>
          </w:tblCellMar>
        </w:tblPrEx>
        <w:trPr>
          <w:trHeight w:val="896" w:hRule="atLeast"/>
          <w:jc w:val="center"/>
        </w:trPr>
        <w:tc>
          <w:tcPr>
            <w:tcW w:w="954" w:type="dxa"/>
            <w:tcBorders>
              <w:top w:val="single" w:color="000000" w:sz="4" w:space="0"/>
              <w:left w:val="single" w:color="000000" w:sz="4" w:space="0"/>
              <w:bottom w:val="single" w:color="000000" w:sz="4" w:space="0"/>
              <w:right w:val="single" w:color="000000" w:sz="4" w:space="0"/>
            </w:tcBorders>
            <w:vAlign w:val="center"/>
          </w:tcPr>
          <w:p w14:paraId="6EF544CA">
            <w:pPr>
              <w:keepNext w:val="0"/>
              <w:keepLines w:val="0"/>
              <w:pageBreakBefore w:val="0"/>
              <w:widowControl w:val="0"/>
              <w:tabs>
                <w:tab w:val="left" w:pos="540"/>
              </w:tabs>
              <w:kinsoku/>
              <w:wordWrap/>
              <w:overflowPunct/>
              <w:topLinePunct w:val="0"/>
              <w:autoSpaceDE/>
              <w:autoSpaceDN/>
              <w:bidi w:val="0"/>
              <w:adjustRightInd/>
              <w:snapToGrid/>
              <w:spacing w:before="0" w:after="0" w:line="400" w:lineRule="atLeast"/>
              <w:jc w:val="center"/>
              <w:textAlignment w:val="auto"/>
              <w:rPr>
                <w:rFonts w:hint="default" w:ascii="宋体" w:hAnsi="宋体" w:cs="宋体"/>
                <w:b w:val="0"/>
                <w:bCs/>
                <w:kern w:val="0"/>
                <w:sz w:val="24"/>
                <w:szCs w:val="24"/>
                <w:lang w:val="en-US" w:eastAsia="zh-CN"/>
              </w:rPr>
            </w:pPr>
            <w:r>
              <w:rPr>
                <w:rFonts w:hint="eastAsia" w:ascii="宋体" w:hAnsi="宋体" w:cs="宋体"/>
                <w:b w:val="0"/>
                <w:bCs/>
                <w:kern w:val="0"/>
                <w:sz w:val="24"/>
                <w:szCs w:val="24"/>
                <w:lang w:val="en-US" w:eastAsia="zh-CN"/>
              </w:rPr>
              <w:t>10.5</w:t>
            </w:r>
          </w:p>
        </w:tc>
        <w:tc>
          <w:tcPr>
            <w:tcW w:w="2047" w:type="dxa"/>
            <w:gridSpan w:val="2"/>
            <w:tcBorders>
              <w:top w:val="single" w:color="000000" w:sz="4" w:space="0"/>
              <w:left w:val="single" w:color="000000" w:sz="4" w:space="0"/>
              <w:bottom w:val="single" w:color="000000" w:sz="4" w:space="0"/>
              <w:right w:val="single" w:color="000000" w:sz="4" w:space="0"/>
            </w:tcBorders>
            <w:vAlign w:val="center"/>
          </w:tcPr>
          <w:p w14:paraId="57C98773">
            <w:pPr>
              <w:keepNext w:val="0"/>
              <w:keepLines w:val="0"/>
              <w:pageBreakBefore w:val="0"/>
              <w:widowControl w:val="0"/>
              <w:tabs>
                <w:tab w:val="left" w:pos="540"/>
              </w:tabs>
              <w:kinsoku/>
              <w:wordWrap/>
              <w:overflowPunct/>
              <w:topLinePunct w:val="0"/>
              <w:autoSpaceDE/>
              <w:autoSpaceDN/>
              <w:bidi w:val="0"/>
              <w:adjustRightInd/>
              <w:snapToGrid/>
              <w:spacing w:before="0" w:after="0" w:line="400" w:lineRule="atLeast"/>
              <w:jc w:val="center"/>
              <w:textAlignment w:val="auto"/>
              <w:rPr>
                <w:rFonts w:hint="eastAsia" w:ascii="宋体" w:hAnsi="宋体" w:cs="宋体"/>
                <w:b w:val="0"/>
                <w:bCs/>
                <w:kern w:val="0"/>
                <w:sz w:val="24"/>
                <w:szCs w:val="24"/>
              </w:rPr>
            </w:pPr>
            <w:r>
              <w:rPr>
                <w:rFonts w:hint="eastAsia" w:ascii="宋体" w:hAnsi="宋体" w:cs="宋体"/>
                <w:b w:val="0"/>
                <w:bCs/>
                <w:kern w:val="0"/>
                <w:sz w:val="24"/>
                <w:szCs w:val="24"/>
              </w:rPr>
              <w:t>中标后须提交的投标文件</w:t>
            </w:r>
          </w:p>
        </w:tc>
        <w:tc>
          <w:tcPr>
            <w:tcW w:w="7029" w:type="dxa"/>
            <w:tcBorders>
              <w:top w:val="single" w:color="000000" w:sz="4" w:space="0"/>
              <w:left w:val="single" w:color="000000" w:sz="4" w:space="0"/>
              <w:bottom w:val="single" w:color="000000" w:sz="4" w:space="0"/>
              <w:right w:val="single" w:color="000000" w:sz="4" w:space="0"/>
            </w:tcBorders>
            <w:vAlign w:val="center"/>
          </w:tcPr>
          <w:p w14:paraId="1AD80451">
            <w:pPr>
              <w:keepNext w:val="0"/>
              <w:keepLines w:val="0"/>
              <w:pageBreakBefore w:val="0"/>
              <w:widowControl w:val="0"/>
              <w:tabs>
                <w:tab w:val="left" w:pos="540"/>
              </w:tabs>
              <w:kinsoku/>
              <w:wordWrap/>
              <w:overflowPunct/>
              <w:topLinePunct w:val="0"/>
              <w:autoSpaceDE/>
              <w:autoSpaceDN/>
              <w:bidi w:val="0"/>
              <w:adjustRightInd/>
              <w:snapToGrid/>
              <w:spacing w:before="0" w:after="0" w:line="400" w:lineRule="atLeast"/>
              <w:jc w:val="left"/>
              <w:textAlignment w:val="auto"/>
              <w:rPr>
                <w:rFonts w:hint="eastAsia" w:ascii="宋体" w:hAnsi="宋体" w:cs="宋体"/>
                <w:b w:val="0"/>
                <w:bCs/>
                <w:kern w:val="0"/>
                <w:sz w:val="24"/>
                <w:szCs w:val="24"/>
              </w:rPr>
            </w:pPr>
            <w:r>
              <w:rPr>
                <w:rFonts w:hint="eastAsia" w:ascii="宋体" w:hAnsi="宋体" w:cs="宋体"/>
                <w:b w:val="0"/>
                <w:bCs/>
                <w:kern w:val="0"/>
                <w:sz w:val="24"/>
                <w:szCs w:val="24"/>
              </w:rPr>
              <w:t>中标人在领取中标通知书前，须向招标人提供纸质版投标文件（内容与交易平台网上递交的电子投标文件一致）</w:t>
            </w:r>
            <w:r>
              <w:rPr>
                <w:rFonts w:hint="eastAsia" w:ascii="宋体" w:hAnsi="宋体" w:cs="宋体"/>
                <w:b w:val="0"/>
                <w:bCs/>
                <w:kern w:val="0"/>
                <w:sz w:val="24"/>
                <w:szCs w:val="24"/>
                <w:lang w:val="en-US" w:eastAsia="zh-CN"/>
              </w:rPr>
              <w:t>3</w:t>
            </w:r>
            <w:r>
              <w:rPr>
                <w:rFonts w:hint="eastAsia" w:ascii="宋体" w:hAnsi="宋体" w:cs="宋体"/>
                <w:b w:val="0"/>
                <w:bCs/>
                <w:color w:val="auto"/>
                <w:kern w:val="0"/>
                <w:sz w:val="24"/>
                <w:szCs w:val="24"/>
              </w:rPr>
              <w:t>份</w:t>
            </w:r>
            <w:r>
              <w:rPr>
                <w:rFonts w:hint="eastAsia" w:ascii="宋体" w:hAnsi="宋体" w:cs="宋体"/>
                <w:b w:val="0"/>
                <w:bCs/>
                <w:color w:val="auto"/>
                <w:kern w:val="0"/>
                <w:sz w:val="24"/>
                <w:szCs w:val="24"/>
                <w:lang w:val="en-US" w:eastAsia="zh-CN"/>
              </w:rPr>
              <w:t xml:space="preserve"> </w:t>
            </w:r>
            <w:r>
              <w:rPr>
                <w:rFonts w:hint="eastAsia" w:ascii="宋体" w:hAnsi="宋体" w:cs="宋体"/>
                <w:b w:val="0"/>
                <w:bCs/>
                <w:kern w:val="0"/>
                <w:sz w:val="24"/>
                <w:szCs w:val="24"/>
              </w:rPr>
              <w:t>及电子文件 U 盘 1 份。</w:t>
            </w:r>
          </w:p>
        </w:tc>
      </w:tr>
      <w:tr w14:paraId="01BE18FC">
        <w:tblPrEx>
          <w:tblCellMar>
            <w:top w:w="0" w:type="dxa"/>
            <w:left w:w="108" w:type="dxa"/>
            <w:bottom w:w="0" w:type="dxa"/>
            <w:right w:w="108" w:type="dxa"/>
          </w:tblCellMar>
        </w:tblPrEx>
        <w:trPr>
          <w:trHeight w:val="655" w:hRule="atLeast"/>
          <w:jc w:val="center"/>
        </w:trPr>
        <w:tc>
          <w:tcPr>
            <w:tcW w:w="954" w:type="dxa"/>
            <w:tcBorders>
              <w:top w:val="single" w:color="000000" w:sz="4" w:space="0"/>
              <w:left w:val="single" w:color="000000" w:sz="4" w:space="0"/>
              <w:bottom w:val="single" w:color="000000" w:sz="4" w:space="0"/>
              <w:right w:val="single" w:color="000000" w:sz="4" w:space="0"/>
            </w:tcBorders>
            <w:vAlign w:val="center"/>
          </w:tcPr>
          <w:p w14:paraId="6B207478">
            <w:pPr>
              <w:keepNext w:val="0"/>
              <w:keepLines w:val="0"/>
              <w:pageBreakBefore w:val="0"/>
              <w:widowControl w:val="0"/>
              <w:tabs>
                <w:tab w:val="left" w:pos="540"/>
              </w:tabs>
              <w:kinsoku/>
              <w:wordWrap/>
              <w:overflowPunct/>
              <w:topLinePunct w:val="0"/>
              <w:autoSpaceDE/>
              <w:autoSpaceDN/>
              <w:bidi w:val="0"/>
              <w:adjustRightInd/>
              <w:snapToGrid/>
              <w:spacing w:before="0" w:after="0" w:line="400" w:lineRule="atLeast"/>
              <w:jc w:val="center"/>
              <w:textAlignment w:val="auto"/>
              <w:rPr>
                <w:rFonts w:hint="default" w:ascii="宋体" w:hAnsi="宋体" w:cs="宋体"/>
                <w:b w:val="0"/>
                <w:bCs/>
                <w:kern w:val="0"/>
                <w:sz w:val="24"/>
                <w:szCs w:val="24"/>
                <w:lang w:val="en-US" w:eastAsia="zh-CN"/>
              </w:rPr>
            </w:pPr>
            <w:r>
              <w:rPr>
                <w:rFonts w:hint="eastAsia" w:ascii="宋体" w:hAnsi="宋体" w:cs="宋体"/>
                <w:b w:val="0"/>
                <w:bCs/>
                <w:kern w:val="0"/>
                <w:sz w:val="24"/>
                <w:szCs w:val="24"/>
                <w:lang w:val="en-US" w:eastAsia="zh-CN"/>
              </w:rPr>
              <w:t>10.6</w:t>
            </w:r>
          </w:p>
        </w:tc>
        <w:tc>
          <w:tcPr>
            <w:tcW w:w="2047" w:type="dxa"/>
            <w:gridSpan w:val="2"/>
            <w:tcBorders>
              <w:top w:val="single" w:color="000000" w:sz="4" w:space="0"/>
              <w:left w:val="single" w:color="000000" w:sz="4" w:space="0"/>
              <w:bottom w:val="single" w:color="000000" w:sz="4" w:space="0"/>
              <w:right w:val="single" w:color="000000" w:sz="4" w:space="0"/>
            </w:tcBorders>
            <w:vAlign w:val="center"/>
          </w:tcPr>
          <w:p w14:paraId="6AC5292F">
            <w:pPr>
              <w:keepNext w:val="0"/>
              <w:keepLines w:val="0"/>
              <w:pageBreakBefore w:val="0"/>
              <w:widowControl w:val="0"/>
              <w:tabs>
                <w:tab w:val="left" w:pos="540"/>
              </w:tabs>
              <w:kinsoku/>
              <w:wordWrap/>
              <w:overflowPunct/>
              <w:topLinePunct w:val="0"/>
              <w:autoSpaceDE/>
              <w:autoSpaceDN/>
              <w:bidi w:val="0"/>
              <w:adjustRightInd/>
              <w:snapToGrid/>
              <w:spacing w:before="0" w:after="0" w:line="400" w:lineRule="atLeast"/>
              <w:jc w:val="center"/>
              <w:textAlignment w:val="auto"/>
              <w:rPr>
                <w:rFonts w:hint="eastAsia" w:ascii="宋体" w:hAnsi="宋体" w:eastAsia="宋体" w:cs="宋体"/>
                <w:b w:val="0"/>
                <w:bCs/>
                <w:kern w:val="0"/>
                <w:sz w:val="24"/>
                <w:szCs w:val="24"/>
                <w:lang w:eastAsia="zh-CN"/>
              </w:rPr>
            </w:pPr>
            <w:r>
              <w:rPr>
                <w:rFonts w:hint="eastAsia" w:ascii="宋体" w:hAnsi="宋体" w:cs="宋体"/>
                <w:b w:val="0"/>
                <w:bCs/>
                <w:kern w:val="0"/>
                <w:sz w:val="24"/>
                <w:szCs w:val="24"/>
                <w:lang w:eastAsia="zh-CN"/>
              </w:rPr>
              <w:t>其他</w:t>
            </w:r>
          </w:p>
        </w:tc>
        <w:tc>
          <w:tcPr>
            <w:tcW w:w="7029" w:type="dxa"/>
            <w:tcBorders>
              <w:top w:val="single" w:color="000000" w:sz="4" w:space="0"/>
              <w:left w:val="single" w:color="000000" w:sz="4" w:space="0"/>
              <w:bottom w:val="single" w:color="000000" w:sz="4" w:space="0"/>
              <w:right w:val="single" w:color="000000" w:sz="4" w:space="0"/>
            </w:tcBorders>
            <w:vAlign w:val="center"/>
          </w:tcPr>
          <w:p w14:paraId="3DFA9EB0">
            <w:pPr>
              <w:keepNext w:val="0"/>
              <w:keepLines w:val="0"/>
              <w:pageBreakBefore w:val="0"/>
              <w:widowControl w:val="0"/>
              <w:tabs>
                <w:tab w:val="left" w:pos="540"/>
              </w:tabs>
              <w:kinsoku/>
              <w:wordWrap/>
              <w:overflowPunct/>
              <w:topLinePunct w:val="0"/>
              <w:autoSpaceDE/>
              <w:autoSpaceDN/>
              <w:bidi w:val="0"/>
              <w:adjustRightInd/>
              <w:snapToGrid/>
              <w:spacing w:before="0" w:after="0" w:line="400" w:lineRule="atLeast"/>
              <w:jc w:val="left"/>
              <w:textAlignment w:val="auto"/>
              <w:rPr>
                <w:rFonts w:hint="eastAsia"/>
              </w:rPr>
            </w:pPr>
            <w:r>
              <w:rPr>
                <w:rFonts w:hint="eastAsia" w:ascii="宋体" w:hAnsi="宋体" w:eastAsia="宋体" w:cs="宋体"/>
                <w:b w:val="0"/>
                <w:bCs/>
                <w:kern w:val="0"/>
                <w:sz w:val="24"/>
                <w:szCs w:val="24"/>
              </w:rPr>
              <w:t>本招标文件未尽事宜按《中华人民共和国招标投标法》《中华人民共和国招标投标法实施条例》《广东省实施&lt;中华人民共和国招标投标法&gt;办法》及地方规定执行。</w:t>
            </w:r>
          </w:p>
        </w:tc>
      </w:tr>
    </w:tbl>
    <w:p w14:paraId="27F58493">
      <w:pPr>
        <w:numPr>
          <w:ilvl w:val="0"/>
          <w:numId w:val="0"/>
        </w:numPr>
        <w:tabs>
          <w:tab w:val="left" w:pos="3375"/>
          <w:tab w:val="center" w:pos="4309"/>
        </w:tabs>
        <w:spacing w:line="360" w:lineRule="auto"/>
        <w:jc w:val="center"/>
        <w:outlineLvl w:val="1"/>
        <w:rPr>
          <w:rFonts w:hint="eastAsia" w:ascii="黑体" w:hAnsi="黑体" w:eastAsia="黑体" w:cs="黑体"/>
          <w:b/>
          <w:kern w:val="0"/>
          <w:sz w:val="28"/>
          <w:szCs w:val="28"/>
        </w:rPr>
        <w:sectPr>
          <w:pgSz w:w="11906" w:h="16838"/>
          <w:pgMar w:top="1020" w:right="992" w:bottom="992" w:left="1020" w:header="680" w:footer="737" w:gutter="0"/>
          <w:pgNumType w:fmt="decimal"/>
          <w:cols w:space="720" w:num="1"/>
          <w:docGrid w:type="lines" w:linePitch="312" w:charSpace="0"/>
        </w:sectPr>
      </w:pPr>
      <w:bookmarkStart w:id="70" w:name="_Toc443311069"/>
      <w:bookmarkStart w:id="71" w:name="_Toc435690008"/>
      <w:bookmarkStart w:id="72" w:name="_Toc443308430"/>
    </w:p>
    <w:p w14:paraId="7CDC3388">
      <w:pPr>
        <w:numPr>
          <w:ilvl w:val="0"/>
          <w:numId w:val="0"/>
        </w:numPr>
        <w:tabs>
          <w:tab w:val="left" w:pos="3375"/>
          <w:tab w:val="center" w:pos="4309"/>
        </w:tabs>
        <w:spacing w:line="360" w:lineRule="auto"/>
        <w:jc w:val="center"/>
        <w:outlineLvl w:val="1"/>
        <w:rPr>
          <w:rFonts w:hint="eastAsia"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kern w:val="0"/>
          <w:sz w:val="28"/>
          <w:szCs w:val="28"/>
          <w:lang w:val="en-US" w:eastAsia="zh-CN"/>
        </w:rPr>
        <w:t>二</w:t>
      </w:r>
      <w:r>
        <w:rPr>
          <w:rFonts w:hint="eastAsia" w:ascii="黑体" w:hAnsi="黑体" w:eastAsia="黑体" w:cs="黑体"/>
          <w:b/>
          <w:kern w:val="0"/>
          <w:sz w:val="28"/>
          <w:szCs w:val="28"/>
        </w:rPr>
        <w:t>节 投标人须知</w:t>
      </w:r>
      <w:bookmarkEnd w:id="70"/>
      <w:bookmarkEnd w:id="71"/>
      <w:bookmarkEnd w:id="72"/>
    </w:p>
    <w:p w14:paraId="737B9705">
      <w:pPr>
        <w:suppressAutoHyphens/>
        <w:bidi w:val="0"/>
        <w:spacing w:before="0" w:after="0" w:line="700" w:lineRule="exact"/>
        <w:outlineLvl w:val="2"/>
        <w:rPr>
          <w:rFonts w:ascii="宋体" w:hAnsi="宋体" w:eastAsia="宋体" w:cs="Times New Roman"/>
          <w:b/>
          <w:sz w:val="30"/>
          <w:szCs w:val="30"/>
        </w:rPr>
      </w:pPr>
      <w:r>
        <w:rPr>
          <w:rFonts w:hint="eastAsia" w:ascii="宋体" w:hAnsi="宋体" w:eastAsia="宋体" w:cs="Times New Roman"/>
          <w:b/>
          <w:sz w:val="30"/>
          <w:szCs w:val="30"/>
        </w:rPr>
        <w:t>1.总  则</w:t>
      </w:r>
    </w:p>
    <w:p w14:paraId="429FB21A">
      <w:pPr>
        <w:suppressAutoHyphens/>
        <w:bidi w:val="0"/>
        <w:spacing w:before="0" w:after="0" w:line="460" w:lineRule="exact"/>
        <w:rPr>
          <w:rFonts w:ascii="宋体" w:hAnsi="宋体" w:eastAsia="宋体" w:cs="Times New Roman"/>
          <w:b/>
          <w:sz w:val="24"/>
          <w:szCs w:val="24"/>
        </w:rPr>
      </w:pPr>
      <w:r>
        <w:rPr>
          <w:rFonts w:ascii="宋体" w:hAnsi="宋体" w:eastAsia="宋体" w:cs="Times New Roman"/>
          <w:b/>
          <w:sz w:val="24"/>
          <w:szCs w:val="24"/>
        </w:rPr>
        <w:t>1.1</w:t>
      </w:r>
      <w:r>
        <w:rPr>
          <w:rFonts w:hint="eastAsia" w:ascii="宋体" w:hAnsi="宋体" w:eastAsia="宋体" w:cs="Times New Roman"/>
          <w:b/>
          <w:sz w:val="24"/>
          <w:szCs w:val="24"/>
        </w:rPr>
        <w:t xml:space="preserve"> 项目说明</w:t>
      </w:r>
    </w:p>
    <w:p w14:paraId="02C60D7D">
      <w:pPr>
        <w:suppressAutoHyphens/>
        <w:autoSpaceDE w:val="0"/>
        <w:autoSpaceDN w:val="0"/>
        <w:bidi w:val="0"/>
        <w:adjustRightInd w:val="0"/>
        <w:spacing w:before="0" w:after="0" w:line="460" w:lineRule="exact"/>
        <w:ind w:firstLine="480" w:firstLineChars="200"/>
        <w:rPr>
          <w:rFonts w:ascii="宋体" w:hAnsi="宋体" w:eastAsia="宋体" w:cs="宋体"/>
          <w:kern w:val="0"/>
          <w:sz w:val="24"/>
          <w:szCs w:val="24"/>
        </w:rPr>
      </w:pPr>
      <w:r>
        <w:rPr>
          <w:rFonts w:ascii="宋体" w:hAnsi="宋体" w:eastAsia="宋体" w:cs="TimesNewRomanPSMT"/>
          <w:kern w:val="0"/>
          <w:sz w:val="24"/>
          <w:szCs w:val="24"/>
        </w:rPr>
        <w:t xml:space="preserve">1.1.1 </w:t>
      </w:r>
      <w:r>
        <w:rPr>
          <w:rFonts w:hint="eastAsia" w:ascii="宋体" w:hAnsi="宋体" w:eastAsia="宋体" w:cs="宋体"/>
          <w:kern w:val="0"/>
          <w:sz w:val="24"/>
          <w:szCs w:val="24"/>
        </w:rPr>
        <w:t>根据《中华人民共和国招标投标法》等有关法律、法规和规章的规定，本招标项目已具备招标条件，现对本标段</w:t>
      </w:r>
      <w:r>
        <w:rPr>
          <w:rFonts w:hint="eastAsia" w:ascii="宋体" w:hAnsi="宋体" w:cs="宋体"/>
          <w:kern w:val="0"/>
          <w:sz w:val="24"/>
          <w:szCs w:val="24"/>
          <w:lang w:val="en-US" w:eastAsia="zh-CN"/>
        </w:rPr>
        <w:t>货物</w:t>
      </w:r>
      <w:r>
        <w:rPr>
          <w:rFonts w:hint="eastAsia" w:ascii="宋体" w:hAnsi="宋体" w:eastAsia="宋体" w:cs="宋体"/>
          <w:kern w:val="0"/>
          <w:sz w:val="24"/>
          <w:szCs w:val="24"/>
        </w:rPr>
        <w:t>进行招标。</w:t>
      </w:r>
    </w:p>
    <w:p w14:paraId="4F290486">
      <w:pPr>
        <w:suppressAutoHyphens/>
        <w:autoSpaceDE w:val="0"/>
        <w:autoSpaceDN w:val="0"/>
        <w:bidi w:val="0"/>
        <w:adjustRightInd w:val="0"/>
        <w:spacing w:before="0" w:after="0" w:line="460" w:lineRule="exact"/>
        <w:ind w:firstLine="480" w:firstLineChars="200"/>
        <w:rPr>
          <w:rFonts w:ascii="宋体" w:hAnsi="宋体" w:eastAsia="宋体" w:cs="宋体"/>
          <w:kern w:val="0"/>
          <w:sz w:val="24"/>
          <w:szCs w:val="24"/>
        </w:rPr>
      </w:pPr>
      <w:r>
        <w:rPr>
          <w:rFonts w:ascii="宋体" w:hAnsi="宋体" w:eastAsia="宋体" w:cs="TimesNewRomanPSMT"/>
          <w:kern w:val="0"/>
          <w:sz w:val="24"/>
          <w:szCs w:val="24"/>
        </w:rPr>
        <w:t xml:space="preserve">1.1.2 </w:t>
      </w:r>
      <w:r>
        <w:rPr>
          <w:rFonts w:hint="eastAsia" w:ascii="宋体" w:hAnsi="宋体" w:eastAsia="宋体" w:cs="宋体"/>
          <w:kern w:val="0"/>
          <w:sz w:val="24"/>
          <w:szCs w:val="24"/>
        </w:rPr>
        <w:t>本招标项目招标人：见投标人须知前附表。</w:t>
      </w:r>
    </w:p>
    <w:p w14:paraId="2DAEE00C">
      <w:pPr>
        <w:suppressAutoHyphens/>
        <w:autoSpaceDE w:val="0"/>
        <w:autoSpaceDN w:val="0"/>
        <w:bidi w:val="0"/>
        <w:adjustRightInd w:val="0"/>
        <w:spacing w:before="0" w:after="0" w:line="460" w:lineRule="exact"/>
        <w:ind w:firstLine="480" w:firstLineChars="200"/>
        <w:rPr>
          <w:rFonts w:ascii="宋体" w:hAnsi="宋体" w:eastAsia="宋体" w:cs="宋体"/>
          <w:kern w:val="0"/>
          <w:sz w:val="24"/>
          <w:szCs w:val="24"/>
        </w:rPr>
      </w:pPr>
      <w:r>
        <w:rPr>
          <w:rFonts w:ascii="宋体" w:hAnsi="宋体" w:eastAsia="宋体" w:cs="TimesNewRomanPSMT"/>
          <w:kern w:val="0"/>
          <w:sz w:val="24"/>
          <w:szCs w:val="24"/>
        </w:rPr>
        <w:t xml:space="preserve">1.1.3 </w:t>
      </w:r>
      <w:r>
        <w:rPr>
          <w:rFonts w:hint="eastAsia" w:ascii="宋体" w:hAnsi="宋体" w:eastAsia="宋体" w:cs="宋体"/>
          <w:kern w:val="0"/>
          <w:sz w:val="24"/>
          <w:szCs w:val="24"/>
        </w:rPr>
        <w:t>本招标项目招标代理机构：见投标人须知前附表。</w:t>
      </w:r>
    </w:p>
    <w:p w14:paraId="670A30C4">
      <w:pPr>
        <w:suppressAutoHyphens/>
        <w:autoSpaceDE w:val="0"/>
        <w:autoSpaceDN w:val="0"/>
        <w:bidi w:val="0"/>
        <w:adjustRightInd w:val="0"/>
        <w:spacing w:before="0" w:after="0" w:line="460" w:lineRule="exact"/>
        <w:ind w:firstLine="480" w:firstLineChars="200"/>
        <w:rPr>
          <w:rFonts w:ascii="宋体" w:hAnsi="宋体" w:eastAsia="宋体" w:cs="宋体"/>
          <w:kern w:val="0"/>
          <w:sz w:val="24"/>
          <w:szCs w:val="24"/>
        </w:rPr>
      </w:pPr>
      <w:r>
        <w:rPr>
          <w:rFonts w:ascii="宋体" w:hAnsi="宋体" w:eastAsia="宋体" w:cs="TimesNewRomanPSMT"/>
          <w:kern w:val="0"/>
          <w:sz w:val="24"/>
          <w:szCs w:val="24"/>
        </w:rPr>
        <w:t xml:space="preserve">1.1.4 </w:t>
      </w:r>
      <w:r>
        <w:rPr>
          <w:rFonts w:hint="eastAsia" w:ascii="宋体" w:hAnsi="宋体" w:eastAsia="宋体" w:cs="宋体"/>
          <w:kern w:val="0"/>
          <w:sz w:val="24"/>
          <w:szCs w:val="24"/>
        </w:rPr>
        <w:t>本招标项目名称：见投标人须知前附表。</w:t>
      </w:r>
    </w:p>
    <w:p w14:paraId="2CEA9A3C">
      <w:pPr>
        <w:suppressAutoHyphens/>
        <w:autoSpaceDE w:val="0"/>
        <w:autoSpaceDN w:val="0"/>
        <w:bidi w:val="0"/>
        <w:adjustRightInd w:val="0"/>
        <w:spacing w:before="0" w:after="0" w:line="460" w:lineRule="exact"/>
        <w:ind w:firstLine="480" w:firstLineChars="200"/>
        <w:rPr>
          <w:rFonts w:ascii="宋体" w:hAnsi="宋体" w:eastAsia="宋体" w:cs="宋体"/>
          <w:kern w:val="0"/>
          <w:sz w:val="24"/>
          <w:szCs w:val="24"/>
        </w:rPr>
      </w:pPr>
      <w:r>
        <w:rPr>
          <w:rFonts w:ascii="宋体" w:hAnsi="宋体" w:eastAsia="宋体" w:cs="TimesNewRomanPSMT"/>
          <w:kern w:val="0"/>
          <w:sz w:val="24"/>
          <w:szCs w:val="24"/>
        </w:rPr>
        <w:t xml:space="preserve">1.1.5 </w:t>
      </w:r>
      <w:r>
        <w:rPr>
          <w:rFonts w:hint="eastAsia" w:ascii="宋体" w:hAnsi="宋体" w:eastAsia="宋体" w:cs="宋体"/>
          <w:kern w:val="0"/>
          <w:sz w:val="24"/>
          <w:szCs w:val="24"/>
        </w:rPr>
        <w:t>本标段交货地点：见投标人须知前附表。</w:t>
      </w:r>
    </w:p>
    <w:p w14:paraId="1D30E965">
      <w:pPr>
        <w:suppressAutoHyphens/>
        <w:autoSpaceDE w:val="0"/>
        <w:autoSpaceDN w:val="0"/>
        <w:bidi w:val="0"/>
        <w:adjustRightInd w:val="0"/>
        <w:spacing w:before="0" w:after="0" w:line="460" w:lineRule="exact"/>
        <w:ind w:firstLine="480" w:firstLineChars="200"/>
        <w:rPr>
          <w:rFonts w:ascii="宋体" w:hAnsi="宋体" w:eastAsia="宋体" w:cs="宋体"/>
          <w:kern w:val="0"/>
          <w:sz w:val="24"/>
          <w:szCs w:val="24"/>
        </w:rPr>
      </w:pPr>
      <w:r>
        <w:rPr>
          <w:rFonts w:ascii="宋体" w:hAnsi="宋体" w:eastAsia="宋体" w:cs="TimesNewRomanPSMT"/>
          <w:kern w:val="0"/>
          <w:sz w:val="24"/>
          <w:szCs w:val="24"/>
        </w:rPr>
        <w:t>1.1.</w:t>
      </w:r>
      <w:r>
        <w:rPr>
          <w:rFonts w:hint="eastAsia" w:ascii="宋体" w:hAnsi="宋体" w:eastAsia="宋体" w:cs="TimesNewRomanPSMT"/>
          <w:kern w:val="0"/>
          <w:sz w:val="24"/>
          <w:szCs w:val="24"/>
        </w:rPr>
        <w:t>6</w:t>
      </w:r>
      <w:r>
        <w:rPr>
          <w:rFonts w:hint="eastAsia" w:ascii="宋体" w:hAnsi="宋体" w:eastAsia="宋体" w:cs="TimesNewRomanPSMT"/>
          <w:kern w:val="0"/>
          <w:sz w:val="24"/>
          <w:szCs w:val="24"/>
          <w:lang w:val="en-US" w:eastAsia="zh-CN"/>
        </w:rPr>
        <w:t xml:space="preserve"> </w:t>
      </w:r>
      <w:r>
        <w:rPr>
          <w:rFonts w:hint="eastAsia" w:ascii="宋体" w:hAnsi="宋体" w:eastAsia="宋体" w:cs="TimesNewRomanPSMT"/>
          <w:kern w:val="0"/>
          <w:sz w:val="24"/>
          <w:szCs w:val="24"/>
        </w:rPr>
        <w:t>本招标项目建设规模：</w:t>
      </w:r>
      <w:r>
        <w:rPr>
          <w:rFonts w:hint="eastAsia" w:ascii="宋体" w:hAnsi="宋体" w:eastAsia="宋体" w:cs="宋体"/>
          <w:kern w:val="0"/>
          <w:sz w:val="24"/>
          <w:szCs w:val="24"/>
        </w:rPr>
        <w:t>见投标人须知前附表。</w:t>
      </w:r>
    </w:p>
    <w:p w14:paraId="3694932D">
      <w:pPr>
        <w:spacing w:line="360" w:lineRule="auto"/>
        <w:ind w:firstLine="480"/>
        <w:rPr>
          <w:rFonts w:hint="eastAsia" w:ascii="宋体" w:hAnsi="宋体" w:eastAsia="宋体" w:cs="宋体"/>
          <w:kern w:val="0"/>
          <w:sz w:val="24"/>
          <w:szCs w:val="24"/>
        </w:rPr>
      </w:pPr>
      <w:r>
        <w:rPr>
          <w:rFonts w:hint="eastAsia" w:ascii="宋体" w:hAnsi="宋体" w:eastAsia="宋体" w:cs="TimesNewRomanPSMT"/>
          <w:kern w:val="0"/>
          <w:sz w:val="24"/>
          <w:szCs w:val="24"/>
        </w:rPr>
        <w:t>1.1.7 本招标项目</w:t>
      </w:r>
      <w:r>
        <w:rPr>
          <w:rFonts w:hint="eastAsia" w:ascii="宋体" w:hAnsi="宋体" w:cs="TimesNewRomanPSMT"/>
          <w:kern w:val="0"/>
          <w:sz w:val="24"/>
          <w:szCs w:val="24"/>
          <w:lang w:val="en-US" w:eastAsia="zh-CN"/>
        </w:rPr>
        <w:t>货物</w:t>
      </w:r>
      <w:r>
        <w:rPr>
          <w:rFonts w:hint="eastAsia" w:ascii="宋体" w:hAnsi="宋体" w:eastAsia="宋体" w:cs="Times New Roman"/>
          <w:sz w:val="24"/>
          <w:szCs w:val="24"/>
        </w:rPr>
        <w:t>报价方式及投标最高报价值：</w:t>
      </w:r>
      <w:r>
        <w:rPr>
          <w:rFonts w:hint="eastAsia" w:ascii="宋体" w:hAnsi="宋体" w:eastAsia="宋体" w:cs="宋体"/>
          <w:kern w:val="0"/>
          <w:sz w:val="24"/>
          <w:szCs w:val="24"/>
        </w:rPr>
        <w:t>见投标人须知前附表。</w:t>
      </w:r>
    </w:p>
    <w:p w14:paraId="2EACE328">
      <w:pPr>
        <w:keepNext w:val="0"/>
        <w:keepLines w:val="0"/>
        <w:pageBreakBefore w:val="0"/>
        <w:widowControl w:val="0"/>
        <w:kinsoku/>
        <w:wordWrap/>
        <w:overflowPunct/>
        <w:topLinePunct w:val="0"/>
        <w:autoSpaceDE w:val="0"/>
        <w:autoSpaceDN w:val="0"/>
        <w:bidi w:val="0"/>
        <w:adjustRightInd w:val="0"/>
        <w:snapToGrid/>
        <w:spacing w:before="157" w:beforeLines="50" w:line="460" w:lineRule="exact"/>
        <w:jc w:val="left"/>
        <w:textAlignment w:val="auto"/>
        <w:rPr>
          <w:rFonts w:ascii="宋体" w:hAnsi="宋体" w:cs="黑体"/>
          <w:b/>
          <w:kern w:val="0"/>
          <w:sz w:val="24"/>
        </w:rPr>
      </w:pPr>
      <w:r>
        <w:rPr>
          <w:rFonts w:ascii="宋体" w:hAnsi="宋体" w:cs="TimesNewRomanPSMT"/>
          <w:b/>
          <w:kern w:val="0"/>
          <w:sz w:val="24"/>
        </w:rPr>
        <w:t xml:space="preserve">1.2 </w:t>
      </w:r>
      <w:r>
        <w:rPr>
          <w:rFonts w:hint="eastAsia" w:ascii="宋体" w:hAnsi="宋体" w:cs="黑体"/>
          <w:b/>
          <w:kern w:val="0"/>
          <w:sz w:val="24"/>
        </w:rPr>
        <w:t>资金来源情况</w:t>
      </w:r>
    </w:p>
    <w:p w14:paraId="32FD90C5">
      <w:pPr>
        <w:autoSpaceDE w:val="0"/>
        <w:autoSpaceDN w:val="0"/>
        <w:adjustRightInd w:val="0"/>
        <w:spacing w:line="460" w:lineRule="exact"/>
        <w:ind w:firstLine="480" w:firstLineChars="200"/>
        <w:jc w:val="left"/>
        <w:rPr>
          <w:rFonts w:hint="eastAsia" w:ascii="宋体" w:hAnsi="宋体" w:eastAsia="宋体" w:cs="Times New Roman"/>
          <w:b/>
          <w:sz w:val="24"/>
          <w:szCs w:val="24"/>
        </w:rPr>
      </w:pPr>
      <w:r>
        <w:rPr>
          <w:rFonts w:ascii="宋体" w:hAnsi="宋体" w:cs="TimesNewRomanPSMT"/>
          <w:kern w:val="0"/>
          <w:sz w:val="24"/>
        </w:rPr>
        <w:t xml:space="preserve">1.2.1 </w:t>
      </w:r>
      <w:r>
        <w:rPr>
          <w:rFonts w:hint="eastAsia" w:ascii="宋体" w:hAnsi="宋体" w:cs="宋体"/>
          <w:kern w:val="0"/>
          <w:sz w:val="24"/>
        </w:rPr>
        <w:t>本招标项目的资金来源：见投标人须知前附表。</w:t>
      </w:r>
    </w:p>
    <w:p w14:paraId="210CAC98">
      <w:pPr>
        <w:keepNext w:val="0"/>
        <w:keepLines w:val="0"/>
        <w:pageBreakBefore w:val="0"/>
        <w:widowControl w:val="0"/>
        <w:suppressAutoHyphens/>
        <w:kinsoku/>
        <w:wordWrap/>
        <w:overflowPunct/>
        <w:topLinePunct w:val="0"/>
        <w:autoSpaceDE w:val="0"/>
        <w:autoSpaceDN w:val="0"/>
        <w:bidi w:val="0"/>
        <w:adjustRightInd w:val="0"/>
        <w:snapToGrid/>
        <w:spacing w:before="157" w:beforeLines="50" w:after="0" w:line="460" w:lineRule="exact"/>
        <w:jc w:val="left"/>
        <w:textAlignment w:val="auto"/>
        <w:rPr>
          <w:rFonts w:ascii="宋体" w:hAnsi="宋体" w:eastAsia="宋体" w:cs="Times New Roman"/>
          <w:b/>
          <w:sz w:val="24"/>
          <w:szCs w:val="24"/>
        </w:rPr>
      </w:pPr>
      <w:r>
        <w:rPr>
          <w:rFonts w:hint="eastAsia" w:ascii="宋体" w:hAnsi="宋体" w:eastAsia="宋体" w:cs="Times New Roman"/>
          <w:b/>
          <w:sz w:val="24"/>
          <w:szCs w:val="24"/>
        </w:rPr>
        <w:t>1.</w:t>
      </w:r>
      <w:r>
        <w:rPr>
          <w:rFonts w:hint="eastAsia" w:ascii="宋体" w:hAnsi="宋体" w:cs="Times New Roman"/>
          <w:b/>
          <w:sz w:val="24"/>
          <w:szCs w:val="24"/>
          <w:lang w:val="en-US" w:eastAsia="zh-CN"/>
        </w:rPr>
        <w:t>3</w:t>
      </w:r>
      <w:r>
        <w:rPr>
          <w:rFonts w:hint="eastAsia" w:ascii="宋体" w:hAnsi="宋体" w:eastAsia="宋体" w:cs="Times New Roman"/>
          <w:b/>
          <w:sz w:val="24"/>
          <w:szCs w:val="24"/>
        </w:rPr>
        <w:t xml:space="preserve"> 招标范围、计划工期、质量要求和承包方式</w:t>
      </w:r>
    </w:p>
    <w:p w14:paraId="055F4948">
      <w:pPr>
        <w:keepNext w:val="0"/>
        <w:keepLines w:val="0"/>
        <w:pageBreakBefore w:val="0"/>
        <w:suppressAutoHyphens/>
        <w:kinsoku/>
        <w:wordWrap/>
        <w:overflowPunct/>
        <w:topLinePunct w:val="0"/>
        <w:autoSpaceDE w:val="0"/>
        <w:autoSpaceDN w:val="0"/>
        <w:bidi w:val="0"/>
        <w:adjustRightInd w:val="0"/>
        <w:snapToGrid/>
        <w:spacing w:before="0" w:after="0" w:line="460" w:lineRule="exact"/>
        <w:ind w:firstLine="480" w:firstLineChars="200"/>
        <w:textAlignment w:val="auto"/>
        <w:rPr>
          <w:rFonts w:ascii="宋体" w:hAnsi="宋体" w:eastAsia="宋体" w:cs="Times New Roman"/>
          <w:sz w:val="24"/>
          <w:szCs w:val="24"/>
        </w:rPr>
      </w:pPr>
      <w:r>
        <w:rPr>
          <w:rFonts w:hint="eastAsia" w:ascii="宋体" w:hAnsi="宋体" w:eastAsia="宋体" w:cs="Times New Roman"/>
          <w:sz w:val="24"/>
          <w:szCs w:val="24"/>
        </w:rPr>
        <w:t>1.</w:t>
      </w:r>
      <w:r>
        <w:rPr>
          <w:rFonts w:hint="eastAsia" w:ascii="宋体" w:hAnsi="宋体" w:cs="Times New Roman"/>
          <w:sz w:val="24"/>
          <w:szCs w:val="24"/>
          <w:lang w:val="en-US" w:eastAsia="zh-CN"/>
        </w:rPr>
        <w:t>3</w:t>
      </w:r>
      <w:r>
        <w:rPr>
          <w:rFonts w:hint="eastAsia" w:ascii="宋体" w:hAnsi="宋体" w:eastAsia="宋体" w:cs="Times New Roman"/>
          <w:sz w:val="24"/>
          <w:szCs w:val="24"/>
        </w:rPr>
        <w:t>.1 本次招标范围：见投标人须知前附表。</w:t>
      </w:r>
    </w:p>
    <w:p w14:paraId="484CF41F">
      <w:pPr>
        <w:keepNext w:val="0"/>
        <w:keepLines w:val="0"/>
        <w:pageBreakBefore w:val="0"/>
        <w:suppressAutoHyphens/>
        <w:kinsoku/>
        <w:wordWrap/>
        <w:overflowPunct/>
        <w:topLinePunct w:val="0"/>
        <w:autoSpaceDE w:val="0"/>
        <w:autoSpaceDN w:val="0"/>
        <w:bidi w:val="0"/>
        <w:adjustRightInd w:val="0"/>
        <w:snapToGrid/>
        <w:spacing w:before="0" w:after="0" w:line="460" w:lineRule="exact"/>
        <w:ind w:firstLine="480" w:firstLineChars="200"/>
        <w:textAlignment w:val="auto"/>
        <w:rPr>
          <w:rFonts w:ascii="宋体" w:hAnsi="宋体" w:eastAsia="宋体" w:cs="Times New Roman"/>
          <w:sz w:val="24"/>
          <w:szCs w:val="24"/>
        </w:rPr>
      </w:pPr>
      <w:r>
        <w:rPr>
          <w:rFonts w:hint="eastAsia" w:ascii="宋体" w:hAnsi="宋体" w:eastAsia="宋体" w:cs="Times New Roman"/>
          <w:sz w:val="24"/>
          <w:szCs w:val="24"/>
        </w:rPr>
        <w:t>1.</w:t>
      </w:r>
      <w:r>
        <w:rPr>
          <w:rFonts w:hint="eastAsia" w:ascii="宋体" w:hAnsi="宋体" w:cs="Times New Roman"/>
          <w:sz w:val="24"/>
          <w:szCs w:val="24"/>
          <w:lang w:val="en-US" w:eastAsia="zh-CN"/>
        </w:rPr>
        <w:t>3</w:t>
      </w:r>
      <w:r>
        <w:rPr>
          <w:rFonts w:hint="eastAsia" w:ascii="宋体" w:hAnsi="宋体" w:eastAsia="宋体" w:cs="Times New Roman"/>
          <w:sz w:val="24"/>
          <w:szCs w:val="24"/>
        </w:rPr>
        <w:t>.2 本标段的计划工期：见投标人须知前附表。</w:t>
      </w:r>
    </w:p>
    <w:p w14:paraId="5154108A">
      <w:pPr>
        <w:keepNext w:val="0"/>
        <w:keepLines w:val="0"/>
        <w:pageBreakBefore w:val="0"/>
        <w:suppressAutoHyphens/>
        <w:kinsoku/>
        <w:wordWrap/>
        <w:overflowPunct/>
        <w:topLinePunct w:val="0"/>
        <w:autoSpaceDE w:val="0"/>
        <w:autoSpaceDN w:val="0"/>
        <w:bidi w:val="0"/>
        <w:adjustRightInd w:val="0"/>
        <w:snapToGrid/>
        <w:spacing w:before="0" w:after="0" w:line="460" w:lineRule="exact"/>
        <w:ind w:firstLine="480" w:firstLineChars="200"/>
        <w:textAlignment w:val="auto"/>
        <w:rPr>
          <w:rFonts w:ascii="宋体" w:hAnsi="宋体" w:eastAsia="宋体" w:cs="Times New Roman"/>
          <w:sz w:val="24"/>
          <w:szCs w:val="24"/>
        </w:rPr>
      </w:pPr>
      <w:r>
        <w:rPr>
          <w:rFonts w:hint="eastAsia" w:ascii="宋体" w:hAnsi="宋体" w:eastAsia="宋体" w:cs="Times New Roman"/>
          <w:sz w:val="24"/>
          <w:szCs w:val="24"/>
        </w:rPr>
        <w:t>1.</w:t>
      </w:r>
      <w:r>
        <w:rPr>
          <w:rFonts w:hint="eastAsia" w:ascii="宋体" w:hAnsi="宋体" w:cs="Times New Roman"/>
          <w:sz w:val="24"/>
          <w:szCs w:val="24"/>
          <w:lang w:val="en-US" w:eastAsia="zh-CN"/>
        </w:rPr>
        <w:t>3</w:t>
      </w:r>
      <w:r>
        <w:rPr>
          <w:rFonts w:hint="eastAsia" w:ascii="宋体" w:hAnsi="宋体" w:eastAsia="宋体" w:cs="Times New Roman"/>
          <w:sz w:val="24"/>
          <w:szCs w:val="24"/>
        </w:rPr>
        <w:t>.3 本标段的质量要求：见投标人须知前附表。</w:t>
      </w:r>
    </w:p>
    <w:p w14:paraId="34845D1B">
      <w:pPr>
        <w:pStyle w:val="15"/>
        <w:keepNext w:val="0"/>
        <w:keepLines w:val="0"/>
        <w:pageBreakBefore w:val="0"/>
        <w:kinsoku/>
        <w:wordWrap/>
        <w:overflowPunct/>
        <w:topLinePunct w:val="0"/>
        <w:bidi w:val="0"/>
        <w:snapToGrid/>
        <w:spacing w:line="460" w:lineRule="exact"/>
        <w:ind w:left="0" w:leftChars="0" w:firstLine="480" w:firstLineChars="200"/>
        <w:textAlignment w:val="auto"/>
        <w:rPr>
          <w:rFonts w:hint="eastAsia" w:ascii="宋体" w:hAnsi="宋体" w:eastAsia="宋体" w:cs="Times New Roman"/>
          <w:sz w:val="24"/>
          <w:szCs w:val="24"/>
        </w:rPr>
      </w:pPr>
      <w:r>
        <w:rPr>
          <w:rFonts w:hint="eastAsia" w:ascii="宋体" w:hAnsi="宋体" w:eastAsia="宋体" w:cs="Times New Roman"/>
          <w:sz w:val="24"/>
          <w:szCs w:val="24"/>
        </w:rPr>
        <w:t>1.</w:t>
      </w:r>
      <w:r>
        <w:rPr>
          <w:rFonts w:hint="eastAsia" w:cs="Times New Roman"/>
          <w:sz w:val="24"/>
          <w:szCs w:val="24"/>
          <w:lang w:val="en-US" w:eastAsia="zh-CN"/>
        </w:rPr>
        <w:t>3</w:t>
      </w:r>
      <w:r>
        <w:rPr>
          <w:rFonts w:hint="eastAsia" w:ascii="宋体" w:hAnsi="宋体" w:eastAsia="宋体" w:cs="Times New Roman"/>
          <w:sz w:val="24"/>
          <w:szCs w:val="24"/>
        </w:rPr>
        <w:t>.4 本标段</w:t>
      </w:r>
      <w:r>
        <w:rPr>
          <w:rFonts w:hint="eastAsia" w:cs="Times New Roman"/>
          <w:sz w:val="24"/>
          <w:szCs w:val="24"/>
          <w:lang w:val="en-US" w:eastAsia="zh-CN"/>
        </w:rPr>
        <w:t>货物</w:t>
      </w:r>
      <w:r>
        <w:rPr>
          <w:rFonts w:hint="eastAsia" w:ascii="宋体" w:hAnsi="宋体" w:eastAsia="宋体" w:cs="Times New Roman"/>
          <w:sz w:val="24"/>
          <w:szCs w:val="24"/>
        </w:rPr>
        <w:t>的承包方式</w:t>
      </w:r>
      <w:r>
        <w:rPr>
          <w:rFonts w:ascii="宋体" w:hAnsi="宋体" w:eastAsia="宋体" w:cs="Times New Roman"/>
          <w:sz w:val="24"/>
          <w:szCs w:val="24"/>
        </w:rPr>
        <w:t>：</w:t>
      </w:r>
      <w:r>
        <w:rPr>
          <w:rFonts w:hint="eastAsia" w:ascii="宋体" w:hAnsi="宋体" w:eastAsia="宋体" w:cs="Times New Roman"/>
          <w:sz w:val="24"/>
          <w:szCs w:val="24"/>
        </w:rPr>
        <w:t>见投标人须知前附表。</w:t>
      </w:r>
    </w:p>
    <w:p w14:paraId="67F41C64">
      <w:pPr>
        <w:keepNext w:val="0"/>
        <w:keepLines w:val="0"/>
        <w:pageBreakBefore w:val="0"/>
        <w:widowControl w:val="0"/>
        <w:suppressAutoHyphens/>
        <w:kinsoku/>
        <w:wordWrap/>
        <w:overflowPunct/>
        <w:topLinePunct w:val="0"/>
        <w:autoSpaceDE w:val="0"/>
        <w:autoSpaceDN w:val="0"/>
        <w:bidi w:val="0"/>
        <w:adjustRightInd w:val="0"/>
        <w:snapToGrid/>
        <w:spacing w:before="157" w:beforeLines="50" w:after="0" w:line="460" w:lineRule="exact"/>
        <w:jc w:val="left"/>
        <w:textAlignment w:val="auto"/>
        <w:rPr>
          <w:rFonts w:ascii="宋体" w:hAnsi="宋体" w:eastAsia="宋体" w:cs="Times New Roman"/>
          <w:b/>
          <w:sz w:val="24"/>
          <w:szCs w:val="24"/>
        </w:rPr>
      </w:pPr>
      <w:r>
        <w:rPr>
          <w:rFonts w:hint="eastAsia" w:ascii="宋体" w:hAnsi="宋体" w:eastAsia="宋体" w:cs="Times New Roman"/>
          <w:b/>
          <w:sz w:val="24"/>
          <w:szCs w:val="24"/>
        </w:rPr>
        <w:t>1.</w:t>
      </w:r>
      <w:r>
        <w:rPr>
          <w:rFonts w:hint="eastAsia" w:ascii="宋体" w:hAnsi="宋体" w:cs="Times New Roman"/>
          <w:b/>
          <w:sz w:val="24"/>
          <w:szCs w:val="24"/>
          <w:lang w:val="en-US" w:eastAsia="zh-CN"/>
        </w:rPr>
        <w:t>4</w:t>
      </w:r>
      <w:r>
        <w:rPr>
          <w:rFonts w:hint="eastAsia" w:ascii="宋体" w:hAnsi="宋体" w:eastAsia="宋体" w:cs="Times New Roman"/>
          <w:b/>
          <w:sz w:val="24"/>
          <w:szCs w:val="24"/>
        </w:rPr>
        <w:t xml:space="preserve"> 投标人资格要求</w:t>
      </w:r>
    </w:p>
    <w:p w14:paraId="052CAF17">
      <w:pPr>
        <w:suppressAutoHyphens/>
        <w:autoSpaceDE w:val="0"/>
        <w:autoSpaceDN w:val="0"/>
        <w:bidi w:val="0"/>
        <w:adjustRightInd w:val="0"/>
        <w:spacing w:before="0" w:after="0" w:line="46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1.</w:t>
      </w:r>
      <w:r>
        <w:rPr>
          <w:rFonts w:hint="eastAsia" w:ascii="宋体" w:hAnsi="宋体" w:cs="Times New Roman"/>
          <w:sz w:val="24"/>
          <w:szCs w:val="24"/>
          <w:lang w:val="en-US" w:eastAsia="zh-CN"/>
        </w:rPr>
        <w:t>4</w:t>
      </w:r>
      <w:r>
        <w:rPr>
          <w:rFonts w:hint="eastAsia" w:ascii="宋体" w:hAnsi="宋体" w:eastAsia="宋体" w:cs="Times New Roman"/>
          <w:sz w:val="24"/>
          <w:szCs w:val="24"/>
        </w:rPr>
        <w:t>.1 投标人应具备承担本标段货物的资质条件、能力和信誉。</w:t>
      </w:r>
    </w:p>
    <w:p w14:paraId="0530CD6E">
      <w:pPr>
        <w:suppressAutoHyphens/>
        <w:autoSpaceDE w:val="0"/>
        <w:autoSpaceDN w:val="0"/>
        <w:bidi w:val="0"/>
        <w:adjustRightInd w:val="0"/>
        <w:spacing w:before="0" w:after="0" w:line="46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（1）资质要求：见投标人须知前附表；</w:t>
      </w:r>
    </w:p>
    <w:p w14:paraId="1F9B70C1">
      <w:pPr>
        <w:suppressAutoHyphens/>
        <w:autoSpaceDE w:val="0"/>
        <w:autoSpaceDN w:val="0"/>
        <w:bidi w:val="0"/>
        <w:adjustRightInd w:val="0"/>
        <w:spacing w:before="0" w:after="0" w:line="46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（2）财务要求：见投标人须知前附表；</w:t>
      </w:r>
    </w:p>
    <w:p w14:paraId="0998D498">
      <w:pPr>
        <w:suppressAutoHyphens/>
        <w:autoSpaceDE w:val="0"/>
        <w:autoSpaceDN w:val="0"/>
        <w:bidi w:val="0"/>
        <w:adjustRightInd w:val="0"/>
        <w:spacing w:before="0" w:after="0" w:line="46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（3）业绩要求：见投标人须知前附表；</w:t>
      </w:r>
    </w:p>
    <w:p w14:paraId="085EA03A">
      <w:pPr>
        <w:suppressAutoHyphens/>
        <w:autoSpaceDE w:val="0"/>
        <w:autoSpaceDN w:val="0"/>
        <w:bidi w:val="0"/>
        <w:adjustRightInd w:val="0"/>
        <w:spacing w:before="0" w:after="0" w:line="46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（4）信誉要求：见投标人须知前附表；</w:t>
      </w:r>
    </w:p>
    <w:p w14:paraId="1A18EC49">
      <w:pPr>
        <w:suppressAutoHyphens/>
        <w:autoSpaceDE w:val="0"/>
        <w:autoSpaceDN w:val="0"/>
        <w:bidi w:val="0"/>
        <w:adjustRightInd w:val="0"/>
        <w:spacing w:before="0" w:after="0" w:line="46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（5）项目经理及其他人员资格要求：见投标人须知前附表；</w:t>
      </w:r>
    </w:p>
    <w:p w14:paraId="60B4B9FC">
      <w:pPr>
        <w:suppressAutoHyphens/>
        <w:autoSpaceDE w:val="0"/>
        <w:autoSpaceDN w:val="0"/>
        <w:bidi w:val="0"/>
        <w:adjustRightInd w:val="0"/>
        <w:spacing w:before="0" w:after="0" w:line="460" w:lineRule="exact"/>
        <w:ind w:firstLine="480" w:firstLineChars="200"/>
        <w:rPr>
          <w:rFonts w:hint="eastAsia" w:eastAsia="宋体"/>
          <w:lang w:val="en-US" w:eastAsia="zh-CN"/>
        </w:rPr>
      </w:pPr>
      <w:r>
        <w:rPr>
          <w:rFonts w:hint="eastAsia" w:ascii="宋体" w:hAnsi="宋体" w:eastAsia="宋体" w:cs="Times New Roman"/>
          <w:sz w:val="24"/>
          <w:szCs w:val="24"/>
        </w:rPr>
        <w:t>（</w:t>
      </w:r>
      <w:r>
        <w:rPr>
          <w:rFonts w:hint="eastAsia" w:ascii="宋体" w:hAnsi="宋体" w:cs="Times New Roman"/>
          <w:sz w:val="24"/>
          <w:szCs w:val="24"/>
          <w:lang w:val="en-US" w:eastAsia="zh-CN"/>
        </w:rPr>
        <w:t>6</w:t>
      </w:r>
      <w:r>
        <w:rPr>
          <w:rFonts w:hint="eastAsia" w:ascii="宋体" w:hAnsi="宋体" w:eastAsia="宋体" w:cs="Times New Roman"/>
          <w:sz w:val="24"/>
          <w:szCs w:val="24"/>
        </w:rPr>
        <w:t>）其他要求：见投标人须知前附表</w:t>
      </w:r>
      <w:r>
        <w:rPr>
          <w:rFonts w:hint="eastAsia" w:ascii="宋体" w:hAnsi="宋体" w:cs="Times New Roman"/>
          <w:sz w:val="24"/>
          <w:szCs w:val="24"/>
          <w:lang w:eastAsia="zh-CN"/>
        </w:rPr>
        <w:t>。</w:t>
      </w:r>
    </w:p>
    <w:p w14:paraId="140038DB">
      <w:pPr>
        <w:suppressAutoHyphens/>
        <w:autoSpaceDE w:val="0"/>
        <w:autoSpaceDN w:val="0"/>
        <w:bidi w:val="0"/>
        <w:adjustRightInd w:val="0"/>
        <w:spacing w:before="0" w:after="0" w:line="46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w:t>
      </w:r>
      <w:r>
        <w:rPr>
          <w:rFonts w:hint="eastAsia" w:ascii="宋体" w:hAnsi="宋体" w:eastAsia="宋体" w:cs="Times New Roman"/>
          <w:sz w:val="24"/>
          <w:szCs w:val="24"/>
          <w:lang w:val="en-US" w:eastAsia="zh-CN"/>
        </w:rPr>
        <w:t>4</w:t>
      </w:r>
      <w:r>
        <w:rPr>
          <w:rFonts w:hint="eastAsia" w:ascii="宋体" w:hAnsi="宋体" w:eastAsia="宋体" w:cs="Times New Roman"/>
          <w:sz w:val="24"/>
          <w:szCs w:val="24"/>
        </w:rPr>
        <w:t>.2 本招标项目是否接受联合体投标见投标人须知前附表。如果投标人须知前附表规定接受联合体投标的，除应符合本章第1.4.1 项和投标人须知前附表的要求外，还应遵守以下规定：</w:t>
      </w:r>
    </w:p>
    <w:p w14:paraId="60974784">
      <w:pPr>
        <w:suppressAutoHyphens/>
        <w:autoSpaceDE w:val="0"/>
        <w:autoSpaceDN w:val="0"/>
        <w:bidi w:val="0"/>
        <w:adjustRightInd w:val="0"/>
        <w:spacing w:before="0" w:after="0" w:line="460" w:lineRule="exact"/>
        <w:ind w:firstLine="480" w:firstLineChars="200"/>
        <w:rPr>
          <w:rFonts w:hint="eastAsia" w:ascii="宋体" w:hAnsi="宋体" w:eastAsia="宋体" w:cs="Times New Roman"/>
          <w:sz w:val="24"/>
          <w:szCs w:val="24"/>
        </w:rPr>
      </w:pPr>
      <w:r>
        <w:rPr>
          <w:rFonts w:hint="eastAsia" w:ascii="宋体" w:hAnsi="宋体" w:cs="Times New Roman"/>
          <w:sz w:val="24"/>
          <w:szCs w:val="24"/>
          <w:lang w:eastAsia="zh-CN"/>
        </w:rPr>
        <w:t>（</w:t>
      </w:r>
      <w:r>
        <w:rPr>
          <w:rFonts w:hint="eastAsia" w:ascii="宋体" w:hAnsi="宋体" w:cs="Times New Roman"/>
          <w:sz w:val="24"/>
          <w:szCs w:val="24"/>
          <w:lang w:val="en-US" w:eastAsia="zh-CN"/>
        </w:rPr>
        <w:t>1</w:t>
      </w:r>
      <w:r>
        <w:rPr>
          <w:rFonts w:hint="eastAsia" w:ascii="宋体" w:hAnsi="宋体" w:cs="Times New Roman"/>
          <w:sz w:val="24"/>
          <w:szCs w:val="24"/>
          <w:lang w:eastAsia="zh-CN"/>
        </w:rPr>
        <w:t>）</w:t>
      </w:r>
      <w:r>
        <w:rPr>
          <w:rFonts w:hint="eastAsia" w:ascii="宋体" w:hAnsi="宋体" w:eastAsia="宋体" w:cs="Times New Roman"/>
          <w:sz w:val="24"/>
          <w:szCs w:val="24"/>
        </w:rPr>
        <w:t xml:space="preserve">联合体各方应按招标文件提供的格式签订联合体协议书，明确联合体牵头人和各方权利义务； </w:t>
      </w:r>
    </w:p>
    <w:p w14:paraId="251C2C68">
      <w:pPr>
        <w:suppressAutoHyphens/>
        <w:autoSpaceDE w:val="0"/>
        <w:autoSpaceDN w:val="0"/>
        <w:bidi w:val="0"/>
        <w:adjustRightInd w:val="0"/>
        <w:spacing w:before="0" w:after="0" w:line="460" w:lineRule="exact"/>
        <w:ind w:firstLine="480" w:firstLineChars="200"/>
        <w:rPr>
          <w:rFonts w:hint="eastAsia" w:ascii="宋体" w:hAnsi="宋体" w:eastAsia="宋体" w:cs="Times New Roman"/>
          <w:sz w:val="24"/>
          <w:szCs w:val="24"/>
        </w:rPr>
      </w:pPr>
      <w:r>
        <w:rPr>
          <w:rFonts w:hint="eastAsia" w:ascii="宋体" w:hAnsi="宋体" w:cs="Times New Roman"/>
          <w:sz w:val="24"/>
          <w:szCs w:val="24"/>
          <w:lang w:eastAsia="zh-CN"/>
        </w:rPr>
        <w:t>（</w:t>
      </w:r>
      <w:r>
        <w:rPr>
          <w:rFonts w:hint="eastAsia" w:ascii="宋体" w:hAnsi="宋体" w:cs="Times New Roman"/>
          <w:sz w:val="24"/>
          <w:szCs w:val="24"/>
          <w:lang w:val="en-US" w:eastAsia="zh-CN"/>
        </w:rPr>
        <w:t>2</w:t>
      </w:r>
      <w:r>
        <w:rPr>
          <w:rFonts w:hint="eastAsia" w:ascii="宋体" w:hAnsi="宋体" w:cs="Times New Roman"/>
          <w:sz w:val="24"/>
          <w:szCs w:val="24"/>
          <w:lang w:eastAsia="zh-CN"/>
        </w:rPr>
        <w:t>）</w:t>
      </w:r>
      <w:r>
        <w:rPr>
          <w:rFonts w:hint="eastAsia" w:ascii="宋体" w:hAnsi="宋体" w:eastAsia="宋体" w:cs="Times New Roman"/>
          <w:sz w:val="24"/>
          <w:szCs w:val="24"/>
        </w:rPr>
        <w:t xml:space="preserve">由同一专业的单位组成的联合体，按照资质等级较低的单位确定资质等级； </w:t>
      </w:r>
    </w:p>
    <w:p w14:paraId="16D5E811">
      <w:pPr>
        <w:suppressAutoHyphens/>
        <w:autoSpaceDE w:val="0"/>
        <w:autoSpaceDN w:val="0"/>
        <w:bidi w:val="0"/>
        <w:adjustRightInd w:val="0"/>
        <w:spacing w:before="0" w:after="0" w:line="46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（3）联合体各方不得再以自己名义单独或参加其他联合体在同一标段中投标。</w:t>
      </w:r>
    </w:p>
    <w:p w14:paraId="1F2560C5">
      <w:pPr>
        <w:suppressAutoHyphens/>
        <w:autoSpaceDE w:val="0"/>
        <w:autoSpaceDN w:val="0"/>
        <w:bidi w:val="0"/>
        <w:adjustRightInd w:val="0"/>
        <w:spacing w:before="0" w:after="0" w:line="46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w:t>
      </w:r>
      <w:r>
        <w:rPr>
          <w:rFonts w:hint="eastAsia" w:ascii="宋体" w:hAnsi="宋体" w:cs="Times New Roman"/>
          <w:sz w:val="24"/>
          <w:szCs w:val="24"/>
          <w:lang w:val="en-US" w:eastAsia="zh-CN"/>
        </w:rPr>
        <w:t>4</w:t>
      </w:r>
      <w:r>
        <w:rPr>
          <w:rFonts w:hint="eastAsia" w:ascii="宋体" w:hAnsi="宋体" w:eastAsia="宋体" w:cs="Times New Roman"/>
          <w:sz w:val="24"/>
          <w:szCs w:val="24"/>
        </w:rPr>
        <w:t>.3 投标人不得存在下列情形之一：</w:t>
      </w:r>
    </w:p>
    <w:p w14:paraId="04E5503D">
      <w:pPr>
        <w:suppressAutoHyphens/>
        <w:autoSpaceDE w:val="0"/>
        <w:autoSpaceDN w:val="0"/>
        <w:bidi w:val="0"/>
        <w:adjustRightInd w:val="0"/>
        <w:spacing w:before="0" w:after="0" w:line="46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（1）为招标人不具有独立法人资格的附属机构（单位）；</w:t>
      </w:r>
    </w:p>
    <w:p w14:paraId="7638A133">
      <w:pPr>
        <w:suppressAutoHyphens/>
        <w:autoSpaceDE w:val="0"/>
        <w:autoSpaceDN w:val="0"/>
        <w:bidi w:val="0"/>
        <w:adjustRightInd w:val="0"/>
        <w:spacing w:before="0" w:after="0" w:line="46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（2）为本标段前期准备提供设计或咨询服务的，但设计施工总承包的除外；</w:t>
      </w:r>
    </w:p>
    <w:p w14:paraId="22B3806C">
      <w:pPr>
        <w:suppressAutoHyphens/>
        <w:autoSpaceDE w:val="0"/>
        <w:autoSpaceDN w:val="0"/>
        <w:bidi w:val="0"/>
        <w:adjustRightInd w:val="0"/>
        <w:spacing w:before="0" w:after="0" w:line="46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（3）为本标段的监理人；</w:t>
      </w:r>
    </w:p>
    <w:p w14:paraId="7D677622">
      <w:pPr>
        <w:suppressAutoHyphens/>
        <w:autoSpaceDE w:val="0"/>
        <w:autoSpaceDN w:val="0"/>
        <w:bidi w:val="0"/>
        <w:adjustRightInd w:val="0"/>
        <w:spacing w:before="0" w:after="0" w:line="46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（4）为本标段的代建人；</w:t>
      </w:r>
    </w:p>
    <w:p w14:paraId="550E8A32">
      <w:pPr>
        <w:suppressAutoHyphens/>
        <w:autoSpaceDE w:val="0"/>
        <w:autoSpaceDN w:val="0"/>
        <w:bidi w:val="0"/>
        <w:adjustRightInd w:val="0"/>
        <w:spacing w:before="0" w:after="0" w:line="46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（5）为本标段提供招标代理服务的；</w:t>
      </w:r>
    </w:p>
    <w:p w14:paraId="0CB93F0B">
      <w:pPr>
        <w:suppressAutoHyphens/>
        <w:autoSpaceDE w:val="0"/>
        <w:autoSpaceDN w:val="0"/>
        <w:bidi w:val="0"/>
        <w:adjustRightInd w:val="0"/>
        <w:spacing w:before="0" w:after="0" w:line="46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（6）与本标段的监理人或代建人或招标代理机构同为一个法定代表人的；</w:t>
      </w:r>
    </w:p>
    <w:p w14:paraId="06A352EA">
      <w:pPr>
        <w:suppressAutoHyphens/>
        <w:autoSpaceDE w:val="0"/>
        <w:autoSpaceDN w:val="0"/>
        <w:bidi w:val="0"/>
        <w:adjustRightInd w:val="0"/>
        <w:spacing w:before="0" w:after="0" w:line="46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（7）与本标段的监理人或代建人或招标代理机构相互控股或参股的；</w:t>
      </w:r>
    </w:p>
    <w:p w14:paraId="699EE019">
      <w:pPr>
        <w:suppressAutoHyphens/>
        <w:autoSpaceDE w:val="0"/>
        <w:autoSpaceDN w:val="0"/>
        <w:bidi w:val="0"/>
        <w:adjustRightInd w:val="0"/>
        <w:spacing w:before="0" w:after="0" w:line="46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（8）与本标段的监理人或代建人或招标代理机构相互任职或工作的；</w:t>
      </w:r>
    </w:p>
    <w:p w14:paraId="1BECA421">
      <w:pPr>
        <w:suppressAutoHyphens/>
        <w:autoSpaceDE w:val="0"/>
        <w:autoSpaceDN w:val="0"/>
        <w:bidi w:val="0"/>
        <w:adjustRightInd w:val="0"/>
        <w:spacing w:before="0" w:after="0" w:line="46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（9）被责令停业的；</w:t>
      </w:r>
    </w:p>
    <w:p w14:paraId="47F83577">
      <w:pPr>
        <w:suppressAutoHyphens/>
        <w:autoSpaceDE w:val="0"/>
        <w:autoSpaceDN w:val="0"/>
        <w:bidi w:val="0"/>
        <w:adjustRightInd w:val="0"/>
        <w:spacing w:before="0" w:after="0" w:line="46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（10）被暂停或取消投标资格的；</w:t>
      </w:r>
    </w:p>
    <w:p w14:paraId="3223C811">
      <w:pPr>
        <w:suppressAutoHyphens/>
        <w:autoSpaceDE w:val="0"/>
        <w:autoSpaceDN w:val="0"/>
        <w:bidi w:val="0"/>
        <w:adjustRightInd w:val="0"/>
        <w:spacing w:before="0" w:after="0" w:line="46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（11）财产被接管或冻结的；</w:t>
      </w:r>
    </w:p>
    <w:p w14:paraId="50F6AC71">
      <w:pPr>
        <w:suppressAutoHyphens/>
        <w:autoSpaceDE w:val="0"/>
        <w:autoSpaceDN w:val="0"/>
        <w:bidi w:val="0"/>
        <w:adjustRightInd w:val="0"/>
        <w:spacing w:before="0" w:after="0" w:line="46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（12）在最近三年内有骗取中标或严重违约被解除合同或重大工程质量问题的行为；</w:t>
      </w:r>
    </w:p>
    <w:p w14:paraId="4BC65265">
      <w:pPr>
        <w:suppressAutoHyphens/>
        <w:autoSpaceDE w:val="0"/>
        <w:autoSpaceDN w:val="0"/>
        <w:bidi w:val="0"/>
        <w:adjustRightInd w:val="0"/>
        <w:spacing w:before="0" w:after="0" w:line="46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（13）单位负责人为同一人或者存在控股、管理关系的不同单位，不得同时参加本招标项目投标。</w:t>
      </w:r>
    </w:p>
    <w:p w14:paraId="2751A9D7">
      <w:pPr>
        <w:suppressAutoHyphens/>
        <w:autoSpaceDE w:val="0"/>
        <w:autoSpaceDN w:val="0"/>
        <w:bidi w:val="0"/>
        <w:adjustRightInd w:val="0"/>
        <w:spacing w:before="0" w:after="0" w:line="46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（14）“信用中国” 网站（www.creditchina.gov.cn）查询：投标人被列为严重失信主体或拖欠农民工工资失信联合惩戒对象或被人民法院列为失信被执行人的。</w:t>
      </w:r>
    </w:p>
    <w:p w14:paraId="103AC09E">
      <w:pPr>
        <w:keepNext w:val="0"/>
        <w:keepLines w:val="0"/>
        <w:pageBreakBefore w:val="0"/>
        <w:widowControl w:val="0"/>
        <w:suppressAutoHyphens/>
        <w:kinsoku/>
        <w:wordWrap/>
        <w:overflowPunct/>
        <w:topLinePunct w:val="0"/>
        <w:autoSpaceDE w:val="0"/>
        <w:autoSpaceDN w:val="0"/>
        <w:bidi w:val="0"/>
        <w:adjustRightInd w:val="0"/>
        <w:snapToGrid/>
        <w:spacing w:before="157" w:beforeLines="50" w:after="0" w:line="460" w:lineRule="exact"/>
        <w:jc w:val="left"/>
        <w:textAlignment w:val="auto"/>
        <w:rPr>
          <w:rFonts w:ascii="宋体" w:hAnsi="宋体" w:eastAsia="宋体" w:cs="Times New Roman"/>
          <w:b/>
          <w:sz w:val="24"/>
          <w:szCs w:val="24"/>
        </w:rPr>
      </w:pPr>
      <w:r>
        <w:rPr>
          <w:rFonts w:hint="eastAsia" w:ascii="宋体" w:hAnsi="宋体" w:eastAsia="宋体" w:cs="Times New Roman"/>
          <w:b/>
          <w:sz w:val="24"/>
          <w:szCs w:val="24"/>
        </w:rPr>
        <w:t>1.</w:t>
      </w:r>
      <w:r>
        <w:rPr>
          <w:rFonts w:hint="eastAsia" w:ascii="宋体" w:hAnsi="宋体" w:cs="Times New Roman"/>
          <w:b/>
          <w:sz w:val="24"/>
          <w:szCs w:val="24"/>
          <w:lang w:val="en-US" w:eastAsia="zh-CN"/>
        </w:rPr>
        <w:t>5</w:t>
      </w:r>
      <w:r>
        <w:rPr>
          <w:rFonts w:hint="eastAsia" w:ascii="宋体" w:hAnsi="宋体" w:eastAsia="宋体" w:cs="Times New Roman"/>
          <w:b/>
          <w:sz w:val="24"/>
          <w:szCs w:val="24"/>
        </w:rPr>
        <w:t xml:space="preserve"> 费用承担</w:t>
      </w:r>
    </w:p>
    <w:p w14:paraId="495156D7">
      <w:pPr>
        <w:suppressAutoHyphens/>
        <w:autoSpaceDE w:val="0"/>
        <w:autoSpaceDN w:val="0"/>
        <w:bidi w:val="0"/>
        <w:adjustRightInd w:val="0"/>
        <w:spacing w:before="0" w:after="0" w:line="460" w:lineRule="exact"/>
        <w:ind w:firstLine="480" w:firstLineChars="200"/>
        <w:jc w:val="left"/>
        <w:rPr>
          <w:rFonts w:ascii="宋体" w:hAnsi="宋体" w:eastAsia="宋体" w:cs="Times New Roman"/>
          <w:b/>
          <w:sz w:val="24"/>
          <w:szCs w:val="24"/>
        </w:rPr>
      </w:pPr>
      <w:r>
        <w:rPr>
          <w:rFonts w:hint="eastAsia" w:ascii="宋体" w:hAnsi="宋体" w:eastAsia="宋体" w:cs="Times New Roman"/>
          <w:sz w:val="24"/>
          <w:szCs w:val="24"/>
        </w:rPr>
        <w:t>不论投标结果如何，投标人准备和参加投标活动发生的费用自理。</w:t>
      </w:r>
    </w:p>
    <w:p w14:paraId="76DE33D3">
      <w:pPr>
        <w:keepNext w:val="0"/>
        <w:keepLines w:val="0"/>
        <w:pageBreakBefore w:val="0"/>
        <w:widowControl w:val="0"/>
        <w:suppressAutoHyphens/>
        <w:kinsoku/>
        <w:wordWrap/>
        <w:overflowPunct/>
        <w:topLinePunct w:val="0"/>
        <w:autoSpaceDE w:val="0"/>
        <w:autoSpaceDN w:val="0"/>
        <w:bidi w:val="0"/>
        <w:adjustRightInd w:val="0"/>
        <w:snapToGrid/>
        <w:spacing w:before="157" w:beforeLines="50" w:after="0" w:line="460" w:lineRule="exact"/>
        <w:jc w:val="left"/>
        <w:textAlignment w:val="auto"/>
        <w:rPr>
          <w:rFonts w:ascii="宋体" w:hAnsi="宋体" w:eastAsia="宋体" w:cs="TimesNewRomanPSMT"/>
          <w:b/>
          <w:kern w:val="0"/>
          <w:sz w:val="24"/>
          <w:szCs w:val="20"/>
        </w:rPr>
      </w:pPr>
      <w:r>
        <w:rPr>
          <w:rFonts w:ascii="宋体" w:hAnsi="宋体" w:eastAsia="宋体" w:cs="TimesNewRomanPSMT"/>
          <w:b/>
          <w:kern w:val="0"/>
          <w:sz w:val="24"/>
          <w:szCs w:val="20"/>
        </w:rPr>
        <w:t>1.</w:t>
      </w:r>
      <w:r>
        <w:rPr>
          <w:rFonts w:hint="eastAsia" w:ascii="宋体" w:hAnsi="宋体" w:cs="TimesNewRomanPSMT"/>
          <w:b/>
          <w:kern w:val="0"/>
          <w:sz w:val="24"/>
          <w:szCs w:val="20"/>
          <w:lang w:val="en-US" w:eastAsia="zh-CN"/>
        </w:rPr>
        <w:t>6</w:t>
      </w:r>
      <w:r>
        <w:rPr>
          <w:rFonts w:ascii="宋体" w:hAnsi="宋体" w:eastAsia="宋体" w:cs="TimesNewRomanPSMT"/>
          <w:b/>
          <w:kern w:val="0"/>
          <w:sz w:val="24"/>
          <w:szCs w:val="20"/>
        </w:rPr>
        <w:t xml:space="preserve"> </w:t>
      </w:r>
      <w:r>
        <w:rPr>
          <w:rFonts w:hint="eastAsia" w:ascii="宋体" w:hAnsi="宋体" w:eastAsia="宋体" w:cs="TimesNewRomanPSMT"/>
          <w:b/>
          <w:kern w:val="0"/>
          <w:sz w:val="24"/>
          <w:szCs w:val="20"/>
        </w:rPr>
        <w:t>保密</w:t>
      </w:r>
    </w:p>
    <w:p w14:paraId="06778708">
      <w:pPr>
        <w:suppressAutoHyphens/>
        <w:autoSpaceDE w:val="0"/>
        <w:autoSpaceDN w:val="0"/>
        <w:bidi w:val="0"/>
        <w:adjustRightInd w:val="0"/>
        <w:spacing w:before="0" w:after="0" w:line="460" w:lineRule="exact"/>
        <w:ind w:firstLine="480" w:firstLineChars="200"/>
        <w:jc w:val="left"/>
        <w:rPr>
          <w:rFonts w:ascii="宋体" w:hAnsi="宋体" w:eastAsia="宋体" w:cs="宋体"/>
          <w:kern w:val="0"/>
          <w:sz w:val="24"/>
          <w:szCs w:val="20"/>
        </w:rPr>
      </w:pPr>
      <w:r>
        <w:rPr>
          <w:rFonts w:hint="eastAsia" w:ascii="宋体" w:hAnsi="宋体" w:eastAsia="宋体" w:cs="宋体"/>
          <w:kern w:val="0"/>
          <w:sz w:val="24"/>
          <w:szCs w:val="20"/>
        </w:rPr>
        <w:t>参与招标投标活动的各方应对招标文件和投标文件中的商业和技术等秘密保密，违者应对由此造成的后果承担法律责任。</w:t>
      </w:r>
    </w:p>
    <w:p w14:paraId="1AA75DB5">
      <w:pPr>
        <w:keepNext w:val="0"/>
        <w:keepLines w:val="0"/>
        <w:pageBreakBefore w:val="0"/>
        <w:widowControl w:val="0"/>
        <w:suppressAutoHyphens/>
        <w:kinsoku/>
        <w:wordWrap/>
        <w:overflowPunct/>
        <w:topLinePunct w:val="0"/>
        <w:autoSpaceDE w:val="0"/>
        <w:autoSpaceDN w:val="0"/>
        <w:bidi w:val="0"/>
        <w:adjustRightInd w:val="0"/>
        <w:snapToGrid/>
        <w:spacing w:before="157" w:beforeLines="50" w:after="0" w:line="460" w:lineRule="exact"/>
        <w:jc w:val="left"/>
        <w:textAlignment w:val="auto"/>
        <w:rPr>
          <w:rFonts w:ascii="宋体" w:hAnsi="宋体" w:eastAsia="宋体" w:cs="TimesNewRomanPSMT"/>
          <w:b/>
          <w:kern w:val="0"/>
          <w:sz w:val="24"/>
          <w:szCs w:val="20"/>
        </w:rPr>
      </w:pPr>
      <w:r>
        <w:rPr>
          <w:rFonts w:ascii="宋体" w:hAnsi="宋体" w:eastAsia="宋体" w:cs="TimesNewRomanPSMT"/>
          <w:b/>
          <w:kern w:val="0"/>
          <w:sz w:val="24"/>
          <w:szCs w:val="20"/>
        </w:rPr>
        <w:t>1.</w:t>
      </w:r>
      <w:r>
        <w:rPr>
          <w:rFonts w:hint="eastAsia" w:ascii="宋体" w:hAnsi="宋体" w:cs="TimesNewRomanPSMT"/>
          <w:b/>
          <w:kern w:val="0"/>
          <w:sz w:val="24"/>
          <w:szCs w:val="20"/>
          <w:lang w:val="en-US" w:eastAsia="zh-CN"/>
        </w:rPr>
        <w:t>7</w:t>
      </w:r>
      <w:r>
        <w:rPr>
          <w:rFonts w:ascii="宋体" w:hAnsi="宋体" w:eastAsia="宋体" w:cs="TimesNewRomanPSMT"/>
          <w:b/>
          <w:kern w:val="0"/>
          <w:sz w:val="24"/>
          <w:szCs w:val="20"/>
        </w:rPr>
        <w:t xml:space="preserve"> </w:t>
      </w:r>
      <w:r>
        <w:rPr>
          <w:rFonts w:hint="eastAsia" w:ascii="宋体" w:hAnsi="宋体" w:eastAsia="宋体" w:cs="TimesNewRomanPSMT"/>
          <w:b/>
          <w:kern w:val="0"/>
          <w:sz w:val="24"/>
          <w:szCs w:val="20"/>
        </w:rPr>
        <w:t>语言文字</w:t>
      </w:r>
    </w:p>
    <w:p w14:paraId="59C8508D">
      <w:pPr>
        <w:suppressAutoHyphens/>
        <w:autoSpaceDE w:val="0"/>
        <w:autoSpaceDN w:val="0"/>
        <w:bidi w:val="0"/>
        <w:adjustRightInd w:val="0"/>
        <w:spacing w:before="0" w:after="0" w:line="460" w:lineRule="exact"/>
        <w:ind w:firstLine="464" w:firstLineChars="200"/>
        <w:rPr>
          <w:rFonts w:ascii="宋体" w:hAnsi="宋体" w:eastAsia="宋体" w:cs="宋体"/>
          <w:spacing w:val="-4"/>
          <w:kern w:val="0"/>
          <w:sz w:val="24"/>
          <w:szCs w:val="20"/>
        </w:rPr>
      </w:pPr>
      <w:r>
        <w:rPr>
          <w:rFonts w:hint="eastAsia" w:ascii="宋体" w:hAnsi="宋体" w:eastAsia="宋体" w:cs="宋体"/>
          <w:spacing w:val="-4"/>
          <w:kern w:val="0"/>
          <w:sz w:val="24"/>
          <w:szCs w:val="20"/>
        </w:rPr>
        <w:t>除专用术语外，与招标投标有关的语言均使用中文。必要时专用术语应附有中文注释。</w:t>
      </w:r>
    </w:p>
    <w:p w14:paraId="617FE555">
      <w:pPr>
        <w:keepNext w:val="0"/>
        <w:keepLines w:val="0"/>
        <w:pageBreakBefore w:val="0"/>
        <w:widowControl w:val="0"/>
        <w:suppressAutoHyphens/>
        <w:kinsoku/>
        <w:wordWrap/>
        <w:overflowPunct/>
        <w:topLinePunct w:val="0"/>
        <w:autoSpaceDE w:val="0"/>
        <w:autoSpaceDN w:val="0"/>
        <w:bidi w:val="0"/>
        <w:adjustRightInd w:val="0"/>
        <w:snapToGrid/>
        <w:spacing w:before="157" w:beforeLines="50" w:after="0" w:line="460" w:lineRule="exact"/>
        <w:jc w:val="left"/>
        <w:textAlignment w:val="auto"/>
        <w:rPr>
          <w:rFonts w:hint="eastAsia" w:ascii="宋体" w:hAnsi="宋体" w:eastAsia="宋体" w:cs="Times New Roman"/>
          <w:b/>
          <w:sz w:val="24"/>
          <w:szCs w:val="24"/>
        </w:rPr>
      </w:pPr>
      <w:r>
        <w:rPr>
          <w:rFonts w:ascii="宋体" w:hAnsi="宋体" w:eastAsia="宋体" w:cs="Times New Roman"/>
          <w:b/>
          <w:sz w:val="24"/>
          <w:szCs w:val="24"/>
        </w:rPr>
        <w:t>1.</w:t>
      </w:r>
      <w:r>
        <w:rPr>
          <w:rFonts w:hint="eastAsia" w:ascii="宋体" w:hAnsi="宋体" w:cs="Times New Roman"/>
          <w:b/>
          <w:sz w:val="24"/>
          <w:szCs w:val="24"/>
          <w:lang w:val="en-US" w:eastAsia="zh-CN"/>
        </w:rPr>
        <w:t>8</w:t>
      </w:r>
      <w:r>
        <w:rPr>
          <w:rFonts w:ascii="宋体" w:hAnsi="宋体" w:eastAsia="宋体" w:cs="Times New Roman"/>
          <w:b/>
          <w:sz w:val="24"/>
          <w:szCs w:val="24"/>
        </w:rPr>
        <w:t xml:space="preserve"> </w:t>
      </w:r>
      <w:r>
        <w:rPr>
          <w:rFonts w:hint="eastAsia" w:ascii="宋体" w:hAnsi="宋体" w:eastAsia="宋体" w:cs="Times New Roman"/>
          <w:b/>
          <w:sz w:val="24"/>
          <w:szCs w:val="24"/>
        </w:rPr>
        <w:t xml:space="preserve">计量单位   </w:t>
      </w:r>
    </w:p>
    <w:p w14:paraId="1F1C5365">
      <w:pPr>
        <w:suppressAutoHyphens/>
        <w:autoSpaceDE w:val="0"/>
        <w:autoSpaceDN w:val="0"/>
        <w:bidi w:val="0"/>
        <w:adjustRightInd w:val="0"/>
        <w:spacing w:before="0" w:after="0" w:line="460" w:lineRule="exact"/>
        <w:ind w:firstLine="464" w:firstLineChars="200"/>
        <w:rPr>
          <w:rFonts w:hint="eastAsia" w:ascii="宋体" w:hAnsi="宋体" w:eastAsia="宋体" w:cs="宋体"/>
          <w:spacing w:val="-4"/>
          <w:kern w:val="0"/>
          <w:sz w:val="24"/>
          <w:szCs w:val="20"/>
        </w:rPr>
      </w:pPr>
      <w:r>
        <w:rPr>
          <w:rFonts w:hint="eastAsia" w:ascii="宋体" w:hAnsi="宋体" w:eastAsia="宋体" w:cs="宋体"/>
          <w:spacing w:val="-4"/>
          <w:kern w:val="0"/>
          <w:sz w:val="24"/>
          <w:szCs w:val="20"/>
        </w:rPr>
        <w:t>所有计量均采用中华人民共和国法定计量单位。</w:t>
      </w:r>
    </w:p>
    <w:p w14:paraId="6994C27A">
      <w:pPr>
        <w:keepNext w:val="0"/>
        <w:keepLines w:val="0"/>
        <w:pageBreakBefore w:val="0"/>
        <w:widowControl w:val="0"/>
        <w:suppressAutoHyphens/>
        <w:kinsoku/>
        <w:wordWrap/>
        <w:overflowPunct/>
        <w:topLinePunct w:val="0"/>
        <w:autoSpaceDE w:val="0"/>
        <w:autoSpaceDN w:val="0"/>
        <w:bidi w:val="0"/>
        <w:adjustRightInd w:val="0"/>
        <w:snapToGrid/>
        <w:spacing w:before="157" w:beforeLines="50" w:after="0" w:line="460" w:lineRule="exact"/>
        <w:jc w:val="left"/>
        <w:textAlignment w:val="auto"/>
        <w:rPr>
          <w:rFonts w:ascii="宋体" w:hAnsi="宋体" w:eastAsia="宋体" w:cs="TimesNewRomanPSMT"/>
          <w:b/>
          <w:kern w:val="0"/>
          <w:sz w:val="24"/>
          <w:szCs w:val="20"/>
        </w:rPr>
      </w:pPr>
      <w:r>
        <w:rPr>
          <w:rFonts w:ascii="宋体" w:hAnsi="宋体" w:eastAsia="宋体" w:cs="TimesNewRomanPSMT"/>
          <w:b/>
          <w:kern w:val="0"/>
          <w:sz w:val="24"/>
          <w:szCs w:val="20"/>
        </w:rPr>
        <w:t>1.</w:t>
      </w:r>
      <w:r>
        <w:rPr>
          <w:rFonts w:hint="eastAsia" w:ascii="宋体" w:hAnsi="宋体" w:cs="TimesNewRomanPSMT"/>
          <w:b/>
          <w:kern w:val="0"/>
          <w:sz w:val="24"/>
          <w:szCs w:val="20"/>
          <w:lang w:val="en-US" w:eastAsia="zh-CN"/>
        </w:rPr>
        <w:t>9</w:t>
      </w:r>
      <w:r>
        <w:rPr>
          <w:rFonts w:ascii="宋体" w:hAnsi="宋体" w:eastAsia="宋体" w:cs="TimesNewRomanPSMT"/>
          <w:b/>
          <w:kern w:val="0"/>
          <w:sz w:val="24"/>
          <w:szCs w:val="20"/>
        </w:rPr>
        <w:t xml:space="preserve"> </w:t>
      </w:r>
      <w:r>
        <w:rPr>
          <w:rFonts w:hint="eastAsia" w:ascii="宋体" w:hAnsi="宋体" w:eastAsia="宋体" w:cs="TimesNewRomanPSMT"/>
          <w:b/>
          <w:kern w:val="0"/>
          <w:sz w:val="24"/>
          <w:szCs w:val="20"/>
        </w:rPr>
        <w:t>踏勘现场</w:t>
      </w:r>
    </w:p>
    <w:p w14:paraId="504BF7D6">
      <w:pPr>
        <w:tabs>
          <w:tab w:val="left" w:pos="540"/>
        </w:tabs>
        <w:suppressAutoHyphens/>
        <w:bidi w:val="0"/>
        <w:spacing w:before="0" w:after="0" w:line="460" w:lineRule="exact"/>
        <w:ind w:firstLine="480" w:firstLineChars="200"/>
        <w:rPr>
          <w:rFonts w:ascii="宋体" w:hAnsi="宋体" w:eastAsia="宋体" w:cs="宋体"/>
          <w:kern w:val="0"/>
          <w:sz w:val="24"/>
          <w:szCs w:val="20"/>
        </w:rPr>
      </w:pPr>
      <w:r>
        <w:rPr>
          <w:rFonts w:ascii="宋体" w:hAnsi="宋体" w:eastAsia="宋体" w:cs="宋体"/>
          <w:kern w:val="0"/>
          <w:sz w:val="24"/>
          <w:szCs w:val="20"/>
        </w:rPr>
        <w:t>1.</w:t>
      </w:r>
      <w:r>
        <w:rPr>
          <w:rFonts w:hint="eastAsia" w:ascii="宋体" w:hAnsi="宋体" w:cs="宋体"/>
          <w:kern w:val="0"/>
          <w:sz w:val="24"/>
          <w:szCs w:val="20"/>
          <w:lang w:val="en-US" w:eastAsia="zh-CN"/>
        </w:rPr>
        <w:t>9</w:t>
      </w:r>
      <w:r>
        <w:rPr>
          <w:rFonts w:ascii="宋体" w:hAnsi="宋体" w:eastAsia="宋体" w:cs="宋体"/>
          <w:kern w:val="0"/>
          <w:sz w:val="24"/>
          <w:szCs w:val="20"/>
        </w:rPr>
        <w:t>.1</w:t>
      </w:r>
      <w:r>
        <w:rPr>
          <w:rFonts w:hint="eastAsia" w:ascii="宋体" w:hAnsi="宋体" w:eastAsia="宋体" w:cs="宋体"/>
          <w:kern w:val="0"/>
          <w:sz w:val="24"/>
          <w:szCs w:val="20"/>
        </w:rPr>
        <w:t>投标人可按</w:t>
      </w:r>
      <w:r>
        <w:rPr>
          <w:rFonts w:hint="eastAsia" w:ascii="宋体" w:hAnsi="宋体" w:cs="宋体"/>
          <w:kern w:val="0"/>
          <w:sz w:val="24"/>
          <w:szCs w:val="20"/>
          <w:lang w:val="en-US" w:eastAsia="zh-CN"/>
        </w:rPr>
        <w:t>项目</w:t>
      </w:r>
      <w:r>
        <w:rPr>
          <w:rFonts w:hint="eastAsia" w:ascii="宋体" w:hAnsi="宋体" w:eastAsia="宋体" w:cs="宋体"/>
          <w:kern w:val="0"/>
          <w:sz w:val="24"/>
          <w:szCs w:val="20"/>
        </w:rPr>
        <w:t>的</w:t>
      </w:r>
      <w:r>
        <w:rPr>
          <w:rFonts w:hint="eastAsia" w:ascii="宋体" w:hAnsi="宋体" w:cs="宋体"/>
          <w:kern w:val="0"/>
          <w:sz w:val="24"/>
          <w:szCs w:val="20"/>
          <w:lang w:val="en-US" w:eastAsia="zh-CN"/>
        </w:rPr>
        <w:t>交货</w:t>
      </w:r>
      <w:r>
        <w:rPr>
          <w:rFonts w:hint="eastAsia" w:ascii="宋体" w:hAnsi="宋体" w:eastAsia="宋体" w:cs="宋体"/>
          <w:kern w:val="0"/>
          <w:sz w:val="24"/>
          <w:szCs w:val="20"/>
        </w:rPr>
        <w:t>地点自行踏勘项目现场，所发生的费用由投标人自理。</w:t>
      </w:r>
    </w:p>
    <w:p w14:paraId="215E7830">
      <w:pPr>
        <w:suppressAutoHyphens/>
        <w:autoSpaceDE w:val="0"/>
        <w:autoSpaceDN w:val="0"/>
        <w:bidi w:val="0"/>
        <w:adjustRightInd w:val="0"/>
        <w:spacing w:before="0" w:after="0" w:line="460" w:lineRule="exact"/>
        <w:ind w:firstLine="480" w:firstLineChars="200"/>
        <w:rPr>
          <w:rFonts w:ascii="宋体" w:hAnsi="宋体" w:eastAsia="宋体" w:cs="宋体"/>
          <w:spacing w:val="-2"/>
          <w:kern w:val="0"/>
          <w:sz w:val="24"/>
          <w:szCs w:val="20"/>
        </w:rPr>
      </w:pPr>
      <w:r>
        <w:rPr>
          <w:rFonts w:ascii="宋体" w:hAnsi="宋体" w:eastAsia="宋体" w:cs="宋体"/>
          <w:kern w:val="0"/>
          <w:sz w:val="24"/>
          <w:szCs w:val="20"/>
        </w:rPr>
        <w:t>1.</w:t>
      </w:r>
      <w:r>
        <w:rPr>
          <w:rFonts w:hint="eastAsia" w:ascii="宋体" w:hAnsi="宋体" w:cs="宋体"/>
          <w:kern w:val="0"/>
          <w:sz w:val="24"/>
          <w:szCs w:val="20"/>
          <w:lang w:val="en-US" w:eastAsia="zh-CN"/>
        </w:rPr>
        <w:t>9</w:t>
      </w:r>
      <w:r>
        <w:rPr>
          <w:rFonts w:ascii="宋体" w:hAnsi="宋体" w:eastAsia="宋体" w:cs="宋体"/>
          <w:kern w:val="0"/>
          <w:sz w:val="24"/>
          <w:szCs w:val="20"/>
        </w:rPr>
        <w:t>.</w:t>
      </w:r>
      <w:r>
        <w:rPr>
          <w:rFonts w:hint="eastAsia" w:ascii="宋体" w:hAnsi="宋体" w:eastAsia="宋体" w:cs="宋体"/>
          <w:kern w:val="0"/>
          <w:sz w:val="24"/>
          <w:szCs w:val="20"/>
        </w:rPr>
        <w:t xml:space="preserve">2 </w:t>
      </w:r>
      <w:r>
        <w:rPr>
          <w:rFonts w:hint="eastAsia" w:ascii="宋体" w:hAnsi="宋体" w:eastAsia="宋体" w:cs="宋体"/>
          <w:spacing w:val="-2"/>
          <w:kern w:val="0"/>
          <w:sz w:val="24"/>
          <w:szCs w:val="20"/>
        </w:rPr>
        <w:t>投标人自负在踏勘现场中所发生的人员伤亡和财产损失。</w:t>
      </w:r>
    </w:p>
    <w:p w14:paraId="0BE348B6">
      <w:pPr>
        <w:suppressAutoHyphens/>
        <w:autoSpaceDE w:val="0"/>
        <w:autoSpaceDN w:val="0"/>
        <w:bidi w:val="0"/>
        <w:adjustRightInd w:val="0"/>
        <w:spacing w:before="0" w:after="0" w:line="460" w:lineRule="exact"/>
        <w:ind w:firstLine="480" w:firstLineChars="200"/>
        <w:rPr>
          <w:rFonts w:ascii="宋体" w:hAnsi="宋体" w:eastAsia="宋体" w:cs="宋体"/>
          <w:kern w:val="0"/>
          <w:sz w:val="24"/>
          <w:szCs w:val="20"/>
        </w:rPr>
      </w:pPr>
      <w:r>
        <w:rPr>
          <w:rFonts w:ascii="宋体" w:hAnsi="宋体" w:eastAsia="宋体" w:cs="宋体"/>
          <w:kern w:val="0"/>
          <w:sz w:val="24"/>
          <w:szCs w:val="20"/>
        </w:rPr>
        <w:t>1.</w:t>
      </w:r>
      <w:r>
        <w:rPr>
          <w:rFonts w:hint="eastAsia" w:ascii="宋体" w:hAnsi="宋体" w:cs="宋体"/>
          <w:kern w:val="0"/>
          <w:sz w:val="24"/>
          <w:szCs w:val="20"/>
          <w:lang w:val="en-US" w:eastAsia="zh-CN"/>
        </w:rPr>
        <w:t>9</w:t>
      </w:r>
      <w:r>
        <w:rPr>
          <w:rFonts w:ascii="宋体" w:hAnsi="宋体" w:eastAsia="宋体" w:cs="宋体"/>
          <w:kern w:val="0"/>
          <w:sz w:val="24"/>
          <w:szCs w:val="20"/>
        </w:rPr>
        <w:t>.</w:t>
      </w:r>
      <w:r>
        <w:rPr>
          <w:rFonts w:hint="eastAsia" w:ascii="宋体" w:hAnsi="宋体" w:eastAsia="宋体" w:cs="宋体"/>
          <w:kern w:val="0"/>
          <w:sz w:val="24"/>
          <w:szCs w:val="20"/>
        </w:rPr>
        <w:t>3 投标人自行踏勘现场所了解的项目场地和相关的周边环境情况，只作为投标人在编制投标文件时的主观考虑，招标人不对投标人据此作出的判断和决策负责。</w:t>
      </w:r>
    </w:p>
    <w:p w14:paraId="369F6E87">
      <w:pPr>
        <w:keepNext w:val="0"/>
        <w:keepLines w:val="0"/>
        <w:pageBreakBefore w:val="0"/>
        <w:widowControl w:val="0"/>
        <w:suppressAutoHyphens/>
        <w:kinsoku/>
        <w:wordWrap/>
        <w:overflowPunct/>
        <w:topLinePunct w:val="0"/>
        <w:autoSpaceDE w:val="0"/>
        <w:autoSpaceDN w:val="0"/>
        <w:bidi w:val="0"/>
        <w:adjustRightInd w:val="0"/>
        <w:snapToGrid/>
        <w:spacing w:before="157" w:beforeLines="50" w:after="0" w:line="460" w:lineRule="exact"/>
        <w:jc w:val="left"/>
        <w:textAlignment w:val="auto"/>
        <w:rPr>
          <w:rFonts w:ascii="宋体" w:hAnsi="宋体" w:eastAsia="宋体" w:cs="TimesNewRomanPSMT"/>
          <w:b/>
          <w:kern w:val="0"/>
          <w:sz w:val="24"/>
          <w:szCs w:val="20"/>
        </w:rPr>
      </w:pPr>
      <w:r>
        <w:rPr>
          <w:rFonts w:ascii="宋体" w:hAnsi="宋体" w:eastAsia="宋体" w:cs="TimesNewRomanPSMT"/>
          <w:b/>
          <w:kern w:val="0"/>
          <w:sz w:val="24"/>
          <w:szCs w:val="20"/>
        </w:rPr>
        <w:t>1.</w:t>
      </w:r>
      <w:r>
        <w:rPr>
          <w:rFonts w:hint="eastAsia" w:ascii="宋体" w:hAnsi="宋体" w:cs="TimesNewRomanPSMT"/>
          <w:b/>
          <w:kern w:val="0"/>
          <w:sz w:val="24"/>
          <w:szCs w:val="20"/>
          <w:lang w:val="en-US" w:eastAsia="zh-CN"/>
        </w:rPr>
        <w:t>10</w:t>
      </w:r>
      <w:r>
        <w:rPr>
          <w:rFonts w:ascii="宋体" w:hAnsi="宋体" w:eastAsia="宋体" w:cs="TimesNewRomanPSMT"/>
          <w:b/>
          <w:kern w:val="0"/>
          <w:sz w:val="24"/>
          <w:szCs w:val="20"/>
        </w:rPr>
        <w:t xml:space="preserve"> </w:t>
      </w:r>
      <w:r>
        <w:rPr>
          <w:rFonts w:hint="eastAsia" w:ascii="宋体" w:hAnsi="宋体" w:eastAsia="宋体" w:cs="TimesNewRomanPSMT"/>
          <w:b/>
          <w:kern w:val="0"/>
          <w:sz w:val="24"/>
          <w:szCs w:val="20"/>
        </w:rPr>
        <w:t>投标预备会</w:t>
      </w:r>
    </w:p>
    <w:p w14:paraId="16DAF4A8">
      <w:pPr>
        <w:keepNext w:val="0"/>
        <w:keepLines w:val="0"/>
        <w:pageBreakBefore w:val="0"/>
        <w:widowControl w:val="0"/>
        <w:suppressAutoHyphens/>
        <w:kinsoku/>
        <w:wordWrap/>
        <w:overflowPunct/>
        <w:topLinePunct w:val="0"/>
        <w:autoSpaceDE/>
        <w:autoSpaceDN/>
        <w:bidi w:val="0"/>
        <w:adjustRightInd/>
        <w:snapToGrid/>
        <w:spacing w:before="0" w:after="0" w:line="460" w:lineRule="exact"/>
        <w:ind w:firstLine="480" w:firstLineChars="200"/>
        <w:textAlignment w:val="auto"/>
        <w:rPr>
          <w:rFonts w:ascii="宋体" w:hAnsi="宋体" w:eastAsia="宋体" w:cs="Times New Roman"/>
          <w:sz w:val="24"/>
          <w:szCs w:val="24"/>
        </w:rPr>
      </w:pPr>
      <w:bookmarkStart w:id="73" w:name="_Toc223227485"/>
      <w:r>
        <w:rPr>
          <w:rFonts w:ascii="宋体" w:hAnsi="宋体" w:eastAsia="宋体" w:cs="Times New Roman"/>
          <w:sz w:val="24"/>
          <w:szCs w:val="24"/>
        </w:rPr>
        <w:t>1.</w:t>
      </w:r>
      <w:r>
        <w:rPr>
          <w:rFonts w:hint="eastAsia" w:ascii="宋体" w:hAnsi="宋体" w:cs="Times New Roman"/>
          <w:sz w:val="24"/>
          <w:szCs w:val="24"/>
          <w:lang w:val="en-US" w:eastAsia="zh-CN"/>
        </w:rPr>
        <w:t>10</w:t>
      </w:r>
      <w:r>
        <w:rPr>
          <w:rFonts w:ascii="宋体" w:hAnsi="宋体" w:eastAsia="宋体" w:cs="Times New Roman"/>
          <w:sz w:val="24"/>
          <w:szCs w:val="24"/>
        </w:rPr>
        <w:t>.1</w:t>
      </w:r>
      <w:r>
        <w:rPr>
          <w:rFonts w:hint="eastAsia" w:ascii="宋体" w:hAnsi="宋体" w:eastAsia="宋体" w:cs="Times New Roman"/>
          <w:sz w:val="24"/>
          <w:szCs w:val="24"/>
        </w:rPr>
        <w:t xml:space="preserve"> 招标过程通过网络平台发送招标信息，招标人将不再召开投标预备会。投标人如对本项目招标文件有疑问的，须以不署名的电子文档形式通过广州公共资源交易中心网</w:t>
      </w:r>
      <w:r>
        <w:rPr>
          <w:rFonts w:hint="eastAsia" w:ascii="宋体" w:hAnsi="宋体" w:cs="Times New Roman"/>
          <w:sz w:val="24"/>
          <w:szCs w:val="24"/>
          <w:lang w:eastAsia="zh-CN"/>
        </w:rPr>
        <w:t>（https://ywtb.gzggzy.cn/）</w:t>
      </w:r>
      <w:r>
        <w:rPr>
          <w:rFonts w:hint="eastAsia" w:ascii="宋体" w:hAnsi="宋体" w:eastAsia="宋体" w:cs="Times New Roman"/>
          <w:sz w:val="24"/>
          <w:szCs w:val="24"/>
        </w:rPr>
        <w:t>提出。</w:t>
      </w:r>
    </w:p>
    <w:p w14:paraId="265E92F1">
      <w:pPr>
        <w:keepNext w:val="0"/>
        <w:keepLines w:val="0"/>
        <w:pageBreakBefore w:val="0"/>
        <w:widowControl w:val="0"/>
        <w:suppressAutoHyphens/>
        <w:kinsoku/>
        <w:wordWrap/>
        <w:overflowPunct/>
        <w:topLinePunct w:val="0"/>
        <w:autoSpaceDE/>
        <w:autoSpaceDN/>
        <w:bidi w:val="0"/>
        <w:adjustRightInd/>
        <w:snapToGrid/>
        <w:spacing w:before="0" w:after="0" w:line="460" w:lineRule="exact"/>
        <w:ind w:firstLine="480" w:firstLineChars="200"/>
        <w:textAlignment w:val="auto"/>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cs="Times New Roman"/>
          <w:sz w:val="24"/>
          <w:szCs w:val="24"/>
          <w:lang w:val="en-US" w:eastAsia="zh-CN"/>
        </w:rPr>
        <w:t>10</w:t>
      </w:r>
      <w:r>
        <w:rPr>
          <w:rFonts w:ascii="宋体" w:hAnsi="宋体" w:eastAsia="宋体" w:cs="Times New Roman"/>
          <w:sz w:val="24"/>
          <w:szCs w:val="24"/>
        </w:rPr>
        <w:t xml:space="preserve">.2 </w:t>
      </w:r>
      <w:r>
        <w:rPr>
          <w:rFonts w:hint="eastAsia" w:ascii="宋体" w:hAnsi="宋体" w:eastAsia="宋体" w:cs="Times New Roman"/>
          <w:sz w:val="24"/>
          <w:szCs w:val="24"/>
        </w:rPr>
        <w:t>投标人应在投标人须知前附表规定的时间前，将提出的问题发送到广州公共资源交易中心网，以便招标人作予澄清，并通过网络发出澄清通知。该澄清通知的内容为招标文件的组成部分。</w:t>
      </w:r>
    </w:p>
    <w:p w14:paraId="3A505A36">
      <w:pPr>
        <w:keepNext w:val="0"/>
        <w:keepLines w:val="0"/>
        <w:pageBreakBefore w:val="0"/>
        <w:widowControl w:val="0"/>
        <w:suppressAutoHyphens/>
        <w:kinsoku/>
        <w:wordWrap/>
        <w:overflowPunct/>
        <w:topLinePunct w:val="0"/>
        <w:autoSpaceDE w:val="0"/>
        <w:autoSpaceDN w:val="0"/>
        <w:bidi w:val="0"/>
        <w:adjustRightInd w:val="0"/>
        <w:snapToGrid/>
        <w:spacing w:before="157" w:beforeLines="50" w:after="0" w:line="460" w:lineRule="exact"/>
        <w:jc w:val="left"/>
        <w:textAlignment w:val="auto"/>
        <w:rPr>
          <w:rFonts w:ascii="宋体" w:hAnsi="宋体" w:eastAsia="宋体" w:cs="TimesNewRomanPSMT"/>
          <w:b/>
          <w:kern w:val="0"/>
          <w:sz w:val="24"/>
          <w:szCs w:val="20"/>
        </w:rPr>
      </w:pPr>
      <w:r>
        <w:rPr>
          <w:rFonts w:hint="eastAsia" w:ascii="宋体" w:hAnsi="宋体" w:eastAsia="宋体" w:cs="TimesNewRomanPSMT"/>
          <w:b/>
          <w:kern w:val="0"/>
          <w:sz w:val="24"/>
          <w:szCs w:val="20"/>
        </w:rPr>
        <w:t>1.1</w:t>
      </w:r>
      <w:r>
        <w:rPr>
          <w:rFonts w:hint="eastAsia" w:ascii="宋体" w:hAnsi="宋体" w:cs="TimesNewRomanPSMT"/>
          <w:b/>
          <w:kern w:val="0"/>
          <w:sz w:val="24"/>
          <w:szCs w:val="20"/>
          <w:lang w:val="en-US" w:eastAsia="zh-CN"/>
        </w:rPr>
        <w:t>1</w:t>
      </w:r>
      <w:r>
        <w:rPr>
          <w:rFonts w:hint="eastAsia" w:ascii="宋体" w:hAnsi="宋体" w:eastAsia="宋体" w:cs="TimesNewRomanPSMT"/>
          <w:b/>
          <w:kern w:val="0"/>
          <w:sz w:val="24"/>
          <w:szCs w:val="20"/>
        </w:rPr>
        <w:t xml:space="preserve"> 分包</w:t>
      </w:r>
      <w:bookmarkEnd w:id="73"/>
    </w:p>
    <w:p w14:paraId="568D4EF1">
      <w:pPr>
        <w:suppressAutoHyphens/>
        <w:autoSpaceDE w:val="0"/>
        <w:autoSpaceDN w:val="0"/>
        <w:bidi w:val="0"/>
        <w:adjustRightInd w:val="0"/>
        <w:spacing w:before="0" w:after="0" w:line="460" w:lineRule="exact"/>
        <w:ind w:firstLine="480" w:firstLineChars="200"/>
        <w:rPr>
          <w:rFonts w:hint="eastAsia" w:ascii="宋体" w:hAnsi="宋体" w:eastAsia="宋体" w:cs="宋体"/>
          <w:kern w:val="0"/>
          <w:sz w:val="24"/>
          <w:szCs w:val="20"/>
        </w:rPr>
      </w:pPr>
      <w:r>
        <w:rPr>
          <w:rFonts w:hint="eastAsia" w:ascii="宋体" w:hAnsi="宋体" w:eastAsia="宋体" w:cs="宋体"/>
          <w:kern w:val="0"/>
          <w:sz w:val="24"/>
          <w:szCs w:val="20"/>
        </w:rPr>
        <w:t>1.11.1</w:t>
      </w:r>
      <w:r>
        <w:rPr>
          <w:rFonts w:hint="eastAsia" w:ascii="宋体" w:hAnsi="宋体" w:cs="宋体"/>
          <w:kern w:val="0"/>
          <w:sz w:val="24"/>
          <w:szCs w:val="20"/>
          <w:lang w:val="en-US" w:eastAsia="zh-CN"/>
        </w:rPr>
        <w:t xml:space="preserve"> </w:t>
      </w:r>
      <w:r>
        <w:rPr>
          <w:rFonts w:hint="eastAsia" w:ascii="宋体" w:hAnsi="宋体" w:eastAsia="宋体" w:cs="宋体"/>
          <w:kern w:val="0"/>
          <w:sz w:val="24"/>
          <w:szCs w:val="20"/>
        </w:rPr>
        <w:t>投标人须知前附表规定允许分包的，招标人不得直接指定分包工程承包人，也不得对依法实施的分包活动进行干预，应当允许投标人将中标项目的部分非主体、非关键性工作进行分包。</w:t>
      </w:r>
    </w:p>
    <w:p w14:paraId="14C10BB9">
      <w:pPr>
        <w:suppressAutoHyphens/>
        <w:autoSpaceDE w:val="0"/>
        <w:autoSpaceDN w:val="0"/>
        <w:bidi w:val="0"/>
        <w:adjustRightInd w:val="0"/>
        <w:spacing w:before="0" w:after="0" w:line="460" w:lineRule="exact"/>
        <w:ind w:firstLine="480" w:firstLineChars="200"/>
        <w:rPr>
          <w:rFonts w:ascii="宋体" w:hAnsi="宋体" w:eastAsia="宋体" w:cs="宋体"/>
          <w:kern w:val="0"/>
          <w:sz w:val="24"/>
          <w:szCs w:val="20"/>
        </w:rPr>
      </w:pPr>
      <w:r>
        <w:rPr>
          <w:rFonts w:hint="eastAsia" w:ascii="宋体" w:hAnsi="宋体" w:cs="宋体"/>
          <w:kern w:val="0"/>
          <w:sz w:val="24"/>
          <w:szCs w:val="20"/>
          <w:lang w:val="en-US" w:eastAsia="zh-CN"/>
        </w:rPr>
        <w:t xml:space="preserve">1.11.2 </w:t>
      </w:r>
      <w:r>
        <w:rPr>
          <w:rFonts w:hint="eastAsia" w:ascii="宋体" w:hAnsi="宋体" w:eastAsia="宋体" w:cs="宋体"/>
          <w:kern w:val="0"/>
          <w:sz w:val="24"/>
          <w:szCs w:val="20"/>
        </w:rPr>
        <w:t>投标人须知前附表规定允许分包的，分包的内容、分包金额、接受分包的第三人资质要求见投标人须知前附表。投标人应在投标文件中明确是否在中标后将中标项目的部分非主体、非关键性工作进行分包。投标人拟分包时，分包人应具备与分包工程的标准和规模相适应的资质和业绩，在人力、设备、资金等方面具有承担分包工程施工的能力。投标人应在投标文件中提供分包协议、分包人的资质证书及营业执照扫描件、人员、设备和业绩资料表、分包的工程项目和工程量。</w:t>
      </w:r>
    </w:p>
    <w:p w14:paraId="329435FD">
      <w:pPr>
        <w:keepNext w:val="0"/>
        <w:keepLines w:val="0"/>
        <w:pageBreakBefore w:val="0"/>
        <w:widowControl w:val="0"/>
        <w:suppressAutoHyphens/>
        <w:kinsoku/>
        <w:wordWrap/>
        <w:overflowPunct/>
        <w:topLinePunct w:val="0"/>
        <w:autoSpaceDE w:val="0"/>
        <w:autoSpaceDN w:val="0"/>
        <w:bidi w:val="0"/>
        <w:adjustRightInd w:val="0"/>
        <w:snapToGrid/>
        <w:spacing w:before="157" w:beforeLines="50" w:after="0" w:line="460" w:lineRule="exact"/>
        <w:jc w:val="left"/>
        <w:textAlignment w:val="auto"/>
        <w:rPr>
          <w:rFonts w:ascii="宋体" w:hAnsi="宋体" w:eastAsia="宋体" w:cs="TimesNewRomanPSMT"/>
          <w:b/>
          <w:kern w:val="0"/>
          <w:sz w:val="24"/>
          <w:szCs w:val="20"/>
        </w:rPr>
      </w:pPr>
      <w:bookmarkStart w:id="74" w:name="_Toc223227486"/>
      <w:r>
        <w:rPr>
          <w:rFonts w:hint="eastAsia" w:ascii="宋体" w:hAnsi="宋体" w:eastAsia="宋体" w:cs="TimesNewRomanPSMT"/>
          <w:b/>
          <w:kern w:val="0"/>
          <w:sz w:val="24"/>
          <w:szCs w:val="20"/>
        </w:rPr>
        <w:t>1.1</w:t>
      </w:r>
      <w:r>
        <w:rPr>
          <w:rFonts w:hint="eastAsia" w:ascii="宋体" w:hAnsi="宋体" w:cs="TimesNewRomanPSMT"/>
          <w:b/>
          <w:kern w:val="0"/>
          <w:sz w:val="24"/>
          <w:szCs w:val="20"/>
          <w:lang w:val="en-US" w:eastAsia="zh-CN"/>
        </w:rPr>
        <w:t>2</w:t>
      </w:r>
      <w:r>
        <w:rPr>
          <w:rFonts w:hint="eastAsia" w:ascii="宋体" w:hAnsi="宋体" w:eastAsia="宋体" w:cs="TimesNewRomanPSMT"/>
          <w:b/>
          <w:kern w:val="0"/>
          <w:sz w:val="24"/>
          <w:szCs w:val="20"/>
        </w:rPr>
        <w:t xml:space="preserve"> 偏离</w:t>
      </w:r>
      <w:bookmarkEnd w:id="74"/>
    </w:p>
    <w:p w14:paraId="2AA9F298">
      <w:pPr>
        <w:suppressAutoHyphens/>
        <w:autoSpaceDE w:val="0"/>
        <w:autoSpaceDN w:val="0"/>
        <w:bidi w:val="0"/>
        <w:adjustRightInd w:val="0"/>
        <w:spacing w:before="0" w:after="0" w:line="460" w:lineRule="exact"/>
        <w:ind w:firstLine="480" w:firstLineChars="200"/>
        <w:rPr>
          <w:rFonts w:hint="eastAsia" w:ascii="宋体" w:hAnsi="宋体" w:eastAsia="宋体" w:cs="宋体"/>
          <w:kern w:val="0"/>
          <w:sz w:val="24"/>
          <w:szCs w:val="20"/>
        </w:rPr>
      </w:pPr>
      <w:r>
        <w:rPr>
          <w:rFonts w:hint="eastAsia" w:ascii="宋体" w:hAnsi="宋体" w:eastAsia="宋体" w:cs="宋体"/>
          <w:kern w:val="0"/>
          <w:sz w:val="24"/>
          <w:szCs w:val="20"/>
        </w:rPr>
        <w:t>投标文件不允许偏离招标文件的实质性要求和条件，</w:t>
      </w:r>
      <w:r>
        <w:rPr>
          <w:rFonts w:hint="eastAsia" w:ascii="宋体" w:hAnsi="宋体" w:cs="宋体"/>
          <w:kern w:val="0"/>
          <w:sz w:val="24"/>
          <w:szCs w:val="20"/>
          <w:lang w:eastAsia="zh-CN"/>
        </w:rPr>
        <w:t>如有，</w:t>
      </w:r>
      <w:r>
        <w:rPr>
          <w:rFonts w:hint="eastAsia" w:ascii="宋体" w:hAnsi="宋体" w:eastAsia="宋体" w:cs="宋体"/>
          <w:kern w:val="0"/>
          <w:sz w:val="24"/>
          <w:szCs w:val="20"/>
        </w:rPr>
        <w:t>按无效标处理。投标文件偏离招标文件的非实质性要求和条件的，其处理方式见投标人须知前附表。</w:t>
      </w:r>
    </w:p>
    <w:p w14:paraId="2FFF5A47">
      <w:pPr>
        <w:suppressAutoHyphens/>
        <w:bidi w:val="0"/>
        <w:spacing w:before="0" w:after="0" w:line="1000" w:lineRule="exact"/>
        <w:outlineLvl w:val="2"/>
        <w:rPr>
          <w:rFonts w:ascii="宋体" w:hAnsi="宋体" w:eastAsia="宋体" w:cs="Times New Roman"/>
          <w:b/>
          <w:sz w:val="30"/>
          <w:szCs w:val="30"/>
        </w:rPr>
      </w:pPr>
      <w:r>
        <w:rPr>
          <w:rFonts w:hint="eastAsia" w:ascii="宋体" w:hAnsi="宋体" w:eastAsia="宋体" w:cs="Times New Roman"/>
          <w:b/>
          <w:sz w:val="30"/>
          <w:szCs w:val="30"/>
        </w:rPr>
        <w:t>2.招标文件</w:t>
      </w:r>
    </w:p>
    <w:p w14:paraId="425A6ADC">
      <w:pPr>
        <w:suppressAutoHyphens/>
        <w:bidi w:val="0"/>
        <w:spacing w:before="0" w:after="0" w:line="460" w:lineRule="exact"/>
        <w:rPr>
          <w:rFonts w:ascii="宋体" w:hAnsi="宋体" w:eastAsia="宋体" w:cs="Times New Roman"/>
          <w:b/>
          <w:sz w:val="24"/>
          <w:szCs w:val="24"/>
        </w:rPr>
      </w:pPr>
      <w:r>
        <w:rPr>
          <w:rFonts w:hint="eastAsia" w:ascii="宋体" w:hAnsi="宋体" w:eastAsia="宋体" w:cs="Times New Roman"/>
          <w:b/>
          <w:sz w:val="24"/>
          <w:szCs w:val="24"/>
        </w:rPr>
        <w:t xml:space="preserve">2.1 </w:t>
      </w:r>
      <w:r>
        <w:rPr>
          <w:rFonts w:ascii="宋体" w:hAnsi="宋体" w:eastAsia="宋体" w:cs="Times New Roman"/>
          <w:b/>
          <w:sz w:val="24"/>
          <w:szCs w:val="24"/>
        </w:rPr>
        <w:t>招标文件的</w:t>
      </w:r>
      <w:r>
        <w:rPr>
          <w:rFonts w:hint="eastAsia" w:ascii="宋体" w:hAnsi="宋体" w:eastAsia="宋体" w:cs="Times New Roman"/>
          <w:b/>
          <w:sz w:val="24"/>
          <w:szCs w:val="24"/>
        </w:rPr>
        <w:t>组成</w:t>
      </w:r>
    </w:p>
    <w:p w14:paraId="256E9735">
      <w:pPr>
        <w:suppressAutoHyphens/>
        <w:bidi w:val="0"/>
        <w:spacing w:before="0" w:after="0" w:line="46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2.1.1</w:t>
      </w:r>
      <w:r>
        <w:rPr>
          <w:rFonts w:ascii="宋体" w:hAnsi="宋体" w:eastAsia="宋体" w:cs="Times New Roman"/>
          <w:sz w:val="24"/>
          <w:szCs w:val="24"/>
        </w:rPr>
        <w:t xml:space="preserve"> </w:t>
      </w:r>
      <w:r>
        <w:rPr>
          <w:rFonts w:hint="eastAsia" w:ascii="宋体" w:hAnsi="宋体" w:eastAsia="宋体" w:cs="Times New Roman"/>
          <w:sz w:val="24"/>
          <w:szCs w:val="24"/>
        </w:rPr>
        <w:t>本招标文件包括</w:t>
      </w:r>
      <w:r>
        <w:rPr>
          <w:rFonts w:ascii="宋体" w:hAnsi="宋体" w:eastAsia="宋体" w:cs="Times New Roman"/>
          <w:sz w:val="24"/>
          <w:szCs w:val="24"/>
        </w:rPr>
        <w:t>：</w:t>
      </w:r>
    </w:p>
    <w:p w14:paraId="4D392491">
      <w:pPr>
        <w:suppressAutoHyphens/>
        <w:bidi w:val="0"/>
        <w:spacing w:before="0" w:after="0" w:line="46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（1）招标公告；</w:t>
      </w:r>
    </w:p>
    <w:p w14:paraId="6E0A38C0">
      <w:pPr>
        <w:suppressAutoHyphens/>
        <w:bidi w:val="0"/>
        <w:spacing w:before="0" w:after="0" w:line="46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（2）投标人须知；</w:t>
      </w:r>
    </w:p>
    <w:p w14:paraId="7BB98F97">
      <w:pPr>
        <w:suppressAutoHyphens/>
        <w:bidi w:val="0"/>
        <w:spacing w:before="0" w:after="0" w:line="46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（3）评标办法；</w:t>
      </w:r>
    </w:p>
    <w:p w14:paraId="2C82320A">
      <w:pPr>
        <w:suppressAutoHyphens/>
        <w:bidi w:val="0"/>
        <w:spacing w:before="0" w:after="0" w:line="46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（4）合同条款及格式；</w:t>
      </w:r>
    </w:p>
    <w:p w14:paraId="6E26D298">
      <w:pPr>
        <w:suppressAutoHyphens/>
        <w:bidi w:val="0"/>
        <w:spacing w:before="0" w:after="0" w:line="46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w:t>
      </w:r>
      <w:r>
        <w:rPr>
          <w:rFonts w:hint="eastAsia" w:ascii="宋体" w:hAnsi="宋体" w:cs="Times New Roman"/>
          <w:sz w:val="24"/>
          <w:szCs w:val="24"/>
          <w:lang w:val="en-US" w:eastAsia="zh-CN"/>
        </w:rPr>
        <w:t>5</w:t>
      </w:r>
      <w:r>
        <w:rPr>
          <w:rFonts w:hint="eastAsia" w:ascii="宋体" w:hAnsi="宋体" w:eastAsia="宋体" w:cs="Times New Roman"/>
          <w:sz w:val="24"/>
          <w:szCs w:val="24"/>
        </w:rPr>
        <w:t>）技术标准和要求；</w:t>
      </w:r>
    </w:p>
    <w:p w14:paraId="4B9CD561">
      <w:pPr>
        <w:suppressAutoHyphens/>
        <w:bidi w:val="0"/>
        <w:spacing w:before="0" w:after="0" w:line="46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w:t>
      </w:r>
      <w:r>
        <w:rPr>
          <w:rFonts w:hint="eastAsia" w:ascii="宋体" w:hAnsi="宋体" w:cs="Times New Roman"/>
          <w:sz w:val="24"/>
          <w:szCs w:val="24"/>
          <w:lang w:val="en-US" w:eastAsia="zh-CN"/>
        </w:rPr>
        <w:t>6</w:t>
      </w:r>
      <w:r>
        <w:rPr>
          <w:rFonts w:hint="eastAsia" w:ascii="宋体" w:hAnsi="宋体" w:eastAsia="宋体" w:cs="Times New Roman"/>
          <w:sz w:val="24"/>
          <w:szCs w:val="24"/>
        </w:rPr>
        <w:t>）</w:t>
      </w:r>
      <w:r>
        <w:rPr>
          <w:rFonts w:hint="eastAsia" w:ascii="宋体" w:hAnsi="宋体" w:cs="Times New Roman"/>
          <w:sz w:val="24"/>
          <w:szCs w:val="24"/>
          <w:lang w:val="en-US" w:eastAsia="zh-CN"/>
        </w:rPr>
        <w:t>工程量清单</w:t>
      </w:r>
      <w:r>
        <w:rPr>
          <w:rFonts w:hint="eastAsia" w:ascii="宋体" w:hAnsi="宋体" w:eastAsia="宋体" w:cs="Times New Roman"/>
          <w:sz w:val="24"/>
          <w:szCs w:val="24"/>
        </w:rPr>
        <w:t>；</w:t>
      </w:r>
    </w:p>
    <w:p w14:paraId="2CB4C84E">
      <w:pPr>
        <w:suppressAutoHyphens/>
        <w:bidi w:val="0"/>
        <w:spacing w:before="0" w:after="0" w:line="46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w:t>
      </w:r>
      <w:r>
        <w:rPr>
          <w:rFonts w:hint="eastAsia" w:ascii="宋体" w:hAnsi="宋体" w:cs="Times New Roman"/>
          <w:sz w:val="24"/>
          <w:szCs w:val="24"/>
          <w:lang w:val="en-US" w:eastAsia="zh-CN"/>
        </w:rPr>
        <w:t>7</w:t>
      </w:r>
      <w:r>
        <w:rPr>
          <w:rFonts w:hint="eastAsia" w:ascii="宋体" w:hAnsi="宋体" w:eastAsia="宋体" w:cs="Times New Roman"/>
          <w:sz w:val="24"/>
          <w:szCs w:val="24"/>
        </w:rPr>
        <w:t>）图纸；</w:t>
      </w:r>
    </w:p>
    <w:p w14:paraId="758F64D2">
      <w:pPr>
        <w:suppressAutoHyphens/>
        <w:bidi w:val="0"/>
        <w:spacing w:before="0" w:after="0" w:line="46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w:t>
      </w:r>
      <w:r>
        <w:rPr>
          <w:rFonts w:hint="eastAsia" w:ascii="宋体" w:hAnsi="宋体" w:cs="Times New Roman"/>
          <w:sz w:val="24"/>
          <w:szCs w:val="24"/>
          <w:lang w:val="en-US" w:eastAsia="zh-CN"/>
        </w:rPr>
        <w:t>8</w:t>
      </w:r>
      <w:r>
        <w:rPr>
          <w:rFonts w:hint="eastAsia" w:ascii="宋体" w:hAnsi="宋体" w:eastAsia="宋体" w:cs="Times New Roman"/>
          <w:sz w:val="24"/>
          <w:szCs w:val="24"/>
        </w:rPr>
        <w:t>）投标文件格式。</w:t>
      </w:r>
    </w:p>
    <w:p w14:paraId="21CD157C">
      <w:pPr>
        <w:suppressAutoHyphens/>
        <w:bidi w:val="0"/>
        <w:spacing w:before="0" w:after="0" w:line="460" w:lineRule="exact"/>
        <w:ind w:firstLine="480" w:firstLineChars="200"/>
        <w:rPr>
          <w:rFonts w:ascii="宋体" w:hAnsi="宋体" w:eastAsia="宋体" w:cs="宋体"/>
          <w:kern w:val="0"/>
          <w:sz w:val="24"/>
          <w:szCs w:val="20"/>
        </w:rPr>
      </w:pPr>
      <w:r>
        <w:rPr>
          <w:rFonts w:ascii="宋体" w:hAnsi="宋体" w:eastAsia="宋体" w:cs="宋体"/>
          <w:kern w:val="0"/>
          <w:sz w:val="24"/>
          <w:szCs w:val="20"/>
        </w:rPr>
        <w:t>2.</w:t>
      </w:r>
      <w:r>
        <w:rPr>
          <w:rFonts w:hint="eastAsia" w:ascii="宋体" w:hAnsi="宋体" w:eastAsia="宋体" w:cs="宋体"/>
          <w:kern w:val="0"/>
          <w:sz w:val="24"/>
          <w:szCs w:val="20"/>
        </w:rPr>
        <w:t>1</w:t>
      </w:r>
      <w:r>
        <w:rPr>
          <w:rFonts w:ascii="宋体" w:hAnsi="宋体" w:eastAsia="宋体" w:cs="宋体"/>
          <w:kern w:val="0"/>
          <w:sz w:val="24"/>
          <w:szCs w:val="20"/>
        </w:rPr>
        <w:t>.</w:t>
      </w:r>
      <w:r>
        <w:rPr>
          <w:rFonts w:hint="eastAsia" w:ascii="宋体" w:hAnsi="宋体" w:eastAsia="宋体" w:cs="宋体"/>
          <w:kern w:val="0"/>
          <w:sz w:val="24"/>
          <w:szCs w:val="20"/>
        </w:rPr>
        <w:t>2根据本章第</w:t>
      </w:r>
      <w:r>
        <w:rPr>
          <w:rFonts w:ascii="宋体" w:hAnsi="宋体" w:eastAsia="宋体" w:cs="宋体"/>
          <w:kern w:val="0"/>
          <w:sz w:val="24"/>
          <w:szCs w:val="20"/>
        </w:rPr>
        <w:t>1.</w:t>
      </w:r>
      <w:r>
        <w:rPr>
          <w:rFonts w:hint="eastAsia" w:ascii="宋体" w:hAnsi="宋体" w:cs="宋体"/>
          <w:kern w:val="0"/>
          <w:sz w:val="24"/>
          <w:szCs w:val="20"/>
          <w:lang w:val="en-US" w:eastAsia="zh-CN"/>
        </w:rPr>
        <w:t>10</w:t>
      </w:r>
      <w:r>
        <w:rPr>
          <w:rFonts w:hint="eastAsia" w:ascii="宋体" w:hAnsi="宋体" w:eastAsia="宋体" w:cs="宋体"/>
          <w:kern w:val="0"/>
          <w:sz w:val="24"/>
          <w:szCs w:val="20"/>
        </w:rPr>
        <w:t>款、第</w:t>
      </w:r>
      <w:r>
        <w:rPr>
          <w:rFonts w:ascii="宋体" w:hAnsi="宋体" w:eastAsia="宋体" w:cs="宋体"/>
          <w:kern w:val="0"/>
          <w:sz w:val="24"/>
          <w:szCs w:val="20"/>
        </w:rPr>
        <w:t>2.2</w:t>
      </w:r>
      <w:r>
        <w:rPr>
          <w:rFonts w:hint="eastAsia" w:ascii="宋体" w:hAnsi="宋体" w:eastAsia="宋体" w:cs="宋体"/>
          <w:kern w:val="0"/>
          <w:sz w:val="24"/>
          <w:szCs w:val="20"/>
        </w:rPr>
        <w:t>款和第</w:t>
      </w:r>
      <w:r>
        <w:rPr>
          <w:rFonts w:ascii="宋体" w:hAnsi="宋体" w:eastAsia="宋体" w:cs="宋体"/>
          <w:kern w:val="0"/>
          <w:sz w:val="24"/>
          <w:szCs w:val="20"/>
        </w:rPr>
        <w:t>2.3</w:t>
      </w:r>
      <w:r>
        <w:rPr>
          <w:rFonts w:hint="eastAsia" w:ascii="宋体" w:hAnsi="宋体" w:eastAsia="宋体" w:cs="宋体"/>
          <w:kern w:val="0"/>
          <w:sz w:val="24"/>
          <w:szCs w:val="20"/>
        </w:rPr>
        <w:t>款对招标文件所作的澄清、修改，构成招标文件的组成部分。</w:t>
      </w:r>
    </w:p>
    <w:p w14:paraId="2C567EA5">
      <w:pPr>
        <w:keepNext w:val="0"/>
        <w:keepLines w:val="0"/>
        <w:pageBreakBefore w:val="0"/>
        <w:widowControl w:val="0"/>
        <w:suppressAutoHyphens/>
        <w:kinsoku/>
        <w:wordWrap/>
        <w:overflowPunct/>
        <w:topLinePunct w:val="0"/>
        <w:autoSpaceDE/>
        <w:autoSpaceDN/>
        <w:bidi w:val="0"/>
        <w:adjustRightInd/>
        <w:snapToGrid/>
        <w:spacing w:before="157" w:beforeLines="50" w:after="0" w:line="460" w:lineRule="exact"/>
        <w:textAlignment w:val="auto"/>
        <w:rPr>
          <w:rFonts w:ascii="宋体" w:hAnsi="宋体" w:eastAsia="宋体" w:cs="Times New Roman"/>
          <w:b/>
          <w:sz w:val="24"/>
          <w:szCs w:val="24"/>
        </w:rPr>
      </w:pPr>
      <w:r>
        <w:rPr>
          <w:rFonts w:hint="eastAsia" w:ascii="宋体" w:hAnsi="宋体" w:eastAsia="宋体" w:cs="Times New Roman"/>
          <w:b/>
          <w:sz w:val="24"/>
          <w:szCs w:val="24"/>
        </w:rPr>
        <w:t xml:space="preserve">2.2 </w:t>
      </w:r>
      <w:r>
        <w:rPr>
          <w:rFonts w:ascii="宋体" w:hAnsi="宋体" w:eastAsia="宋体" w:cs="Times New Roman"/>
          <w:b/>
          <w:sz w:val="24"/>
          <w:szCs w:val="24"/>
        </w:rPr>
        <w:t>招标文件的澄清</w:t>
      </w:r>
    </w:p>
    <w:p w14:paraId="437B0DC4">
      <w:pPr>
        <w:tabs>
          <w:tab w:val="left" w:pos="540"/>
        </w:tabs>
        <w:suppressAutoHyphens/>
        <w:bidi w:val="0"/>
        <w:spacing w:before="0" w:after="0" w:line="460" w:lineRule="exact"/>
        <w:ind w:firstLine="480" w:firstLineChars="200"/>
        <w:rPr>
          <w:rFonts w:ascii="宋体" w:hAnsi="宋体" w:eastAsia="宋体" w:cs="宋体"/>
          <w:kern w:val="0"/>
          <w:sz w:val="24"/>
          <w:szCs w:val="20"/>
        </w:rPr>
      </w:pPr>
      <w:r>
        <w:rPr>
          <w:rFonts w:hint="eastAsia" w:ascii="宋体" w:hAnsi="宋体" w:eastAsia="宋体" w:cs="宋体"/>
          <w:kern w:val="0"/>
          <w:sz w:val="24"/>
          <w:szCs w:val="20"/>
        </w:rPr>
        <w:t>2.2.1投标人下载招标文件后，应仔细阅读和检查招标文件的全部内容。如发现缺页或附件不全或存有其他问题，应及时向招标人提出，以便补齐。如有疑问，应在投标人须知前附表规定的时间前以电子文件的形式无记名在网上发送至广州公共资源交易中心网，要求招标人对招标文件予以澄清。</w:t>
      </w:r>
    </w:p>
    <w:p w14:paraId="1AF7E7B7">
      <w:pPr>
        <w:tabs>
          <w:tab w:val="left" w:pos="540"/>
        </w:tabs>
        <w:suppressAutoHyphens/>
        <w:bidi w:val="0"/>
        <w:spacing w:before="0" w:after="0" w:line="460" w:lineRule="exact"/>
        <w:ind w:firstLine="480" w:firstLineChars="200"/>
        <w:rPr>
          <w:rFonts w:ascii="宋体" w:hAnsi="宋体" w:eastAsia="宋体" w:cs="宋体"/>
          <w:kern w:val="0"/>
          <w:sz w:val="24"/>
          <w:szCs w:val="20"/>
        </w:rPr>
      </w:pPr>
      <w:r>
        <w:rPr>
          <w:rFonts w:hint="eastAsia" w:ascii="宋体" w:hAnsi="宋体" w:eastAsia="宋体" w:cs="宋体"/>
          <w:kern w:val="0"/>
          <w:sz w:val="24"/>
          <w:szCs w:val="20"/>
        </w:rPr>
        <w:t>2.2.2无论是招标人根据需要主动对招标文件进行必要的澄清或是根据投标人的要求对招标文件作出澄清，招标人将于投标人须知前附表规定的时间以电子文件的形式在广州公共资源交易中心网发布答疑通知给以澄清，但不指明澄清问题的来源。</w:t>
      </w:r>
    </w:p>
    <w:p w14:paraId="3709E4B5">
      <w:pPr>
        <w:tabs>
          <w:tab w:val="left" w:pos="540"/>
        </w:tabs>
        <w:suppressAutoHyphens/>
        <w:bidi w:val="0"/>
        <w:spacing w:before="0" w:after="0" w:line="460" w:lineRule="exact"/>
        <w:ind w:firstLine="480" w:firstLineChars="200"/>
        <w:rPr>
          <w:rFonts w:ascii="宋体" w:hAnsi="宋体" w:eastAsia="宋体" w:cs="宋体"/>
          <w:kern w:val="0"/>
          <w:sz w:val="24"/>
          <w:szCs w:val="20"/>
        </w:rPr>
      </w:pPr>
      <w:r>
        <w:rPr>
          <w:rFonts w:hint="eastAsia" w:ascii="宋体" w:hAnsi="宋体" w:eastAsia="宋体" w:cs="宋体"/>
          <w:kern w:val="0"/>
          <w:sz w:val="24"/>
          <w:szCs w:val="20"/>
        </w:rPr>
        <w:t>2.2.3投标人应自行登录广州公共资源交易中心网查询并获取网上发布通知内容，对任何问题的忽视和疏漏导致其投标的最终结果应自行负责。</w:t>
      </w:r>
    </w:p>
    <w:p w14:paraId="3916D39C">
      <w:pPr>
        <w:keepNext w:val="0"/>
        <w:keepLines w:val="0"/>
        <w:pageBreakBefore w:val="0"/>
        <w:widowControl w:val="0"/>
        <w:suppressAutoHyphens/>
        <w:kinsoku/>
        <w:wordWrap/>
        <w:overflowPunct/>
        <w:topLinePunct w:val="0"/>
        <w:autoSpaceDE/>
        <w:autoSpaceDN/>
        <w:bidi w:val="0"/>
        <w:adjustRightInd/>
        <w:snapToGrid/>
        <w:spacing w:before="157" w:beforeLines="50" w:after="0" w:line="460" w:lineRule="exact"/>
        <w:textAlignment w:val="auto"/>
        <w:rPr>
          <w:rFonts w:ascii="宋体" w:hAnsi="宋体" w:eastAsia="宋体" w:cs="Times New Roman"/>
          <w:b/>
          <w:sz w:val="24"/>
          <w:szCs w:val="24"/>
        </w:rPr>
      </w:pPr>
      <w:r>
        <w:rPr>
          <w:rFonts w:hint="eastAsia" w:ascii="宋体" w:hAnsi="宋体" w:eastAsia="宋体" w:cs="Times New Roman"/>
          <w:b/>
          <w:sz w:val="24"/>
          <w:szCs w:val="24"/>
        </w:rPr>
        <w:t xml:space="preserve">2.3 </w:t>
      </w:r>
      <w:r>
        <w:rPr>
          <w:rFonts w:ascii="宋体" w:hAnsi="宋体" w:eastAsia="宋体" w:cs="Times New Roman"/>
          <w:b/>
          <w:sz w:val="24"/>
          <w:szCs w:val="24"/>
        </w:rPr>
        <w:t>招标文件的修改</w:t>
      </w:r>
    </w:p>
    <w:p w14:paraId="37806DB1">
      <w:pPr>
        <w:suppressAutoHyphens/>
        <w:autoSpaceDE w:val="0"/>
        <w:autoSpaceDN w:val="0"/>
        <w:bidi w:val="0"/>
        <w:adjustRightInd w:val="0"/>
        <w:spacing w:before="0" w:after="0" w:line="460" w:lineRule="exact"/>
        <w:ind w:firstLine="480" w:firstLineChars="200"/>
        <w:rPr>
          <w:rFonts w:ascii="宋体" w:hAnsi="宋体" w:eastAsia="宋体" w:cs="宋体"/>
          <w:kern w:val="0"/>
          <w:sz w:val="24"/>
          <w:szCs w:val="24"/>
        </w:rPr>
      </w:pPr>
      <w:r>
        <w:rPr>
          <w:rFonts w:ascii="宋体" w:hAnsi="宋体" w:eastAsia="宋体" w:cs="宋体"/>
          <w:kern w:val="0"/>
          <w:sz w:val="24"/>
          <w:szCs w:val="24"/>
        </w:rPr>
        <w:t>2.3.1</w:t>
      </w:r>
      <w:r>
        <w:rPr>
          <w:rFonts w:hint="eastAsia" w:ascii="宋体" w:hAnsi="宋体" w:eastAsia="宋体" w:cs="宋体"/>
          <w:kern w:val="0"/>
          <w:sz w:val="24"/>
          <w:szCs w:val="24"/>
        </w:rPr>
        <w:t xml:space="preserve"> 招标人可以对已发出的招标文件进行必要的澄清、修改或补充。如因澄清、修改或补充的内容对招标文件有较大的改动，或对投标文件的编制增加较大的工作量，可能影响到投标文件的编制的，招标人应当在投标截止时间</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15</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天前，在广州公共资源交易中心网发布补充通知（补遗书）告知潜在投标人。其它不实质性影响投标文件编制的澄清、修改或补充内容的发出，不受此时间限制。</w:t>
      </w:r>
    </w:p>
    <w:p w14:paraId="1BF56F0C">
      <w:pPr>
        <w:suppressAutoHyphens/>
        <w:autoSpaceDE w:val="0"/>
        <w:autoSpaceDN w:val="0"/>
        <w:bidi w:val="0"/>
        <w:adjustRightInd w:val="0"/>
        <w:spacing w:before="0" w:after="0" w:line="460" w:lineRule="exact"/>
        <w:ind w:firstLine="480" w:firstLineChars="200"/>
        <w:rPr>
          <w:rFonts w:ascii="宋体" w:hAnsi="宋体" w:eastAsia="宋体" w:cs="宋体"/>
          <w:kern w:val="0"/>
          <w:sz w:val="24"/>
          <w:szCs w:val="24"/>
        </w:rPr>
      </w:pPr>
      <w:r>
        <w:rPr>
          <w:rFonts w:ascii="宋体" w:hAnsi="宋体" w:eastAsia="宋体" w:cs="宋体"/>
          <w:kern w:val="0"/>
          <w:sz w:val="24"/>
          <w:szCs w:val="24"/>
        </w:rPr>
        <w:t xml:space="preserve">2.3.2 </w:t>
      </w:r>
      <w:r>
        <w:rPr>
          <w:rFonts w:hint="eastAsia" w:ascii="宋体" w:hAnsi="宋体" w:eastAsia="宋体" w:cs="宋体"/>
          <w:kern w:val="0"/>
          <w:sz w:val="24"/>
          <w:szCs w:val="24"/>
        </w:rPr>
        <w:t>招标文件的修改或补充的内容均以网上发出的修改或补充通知（补遗书）为准。当招标文件的修改或补充的同一内容在表述上不一致时，以最后发出的补遗书为准。</w:t>
      </w:r>
    </w:p>
    <w:p w14:paraId="34F6C5B8">
      <w:pPr>
        <w:suppressAutoHyphens/>
        <w:autoSpaceDE w:val="0"/>
        <w:autoSpaceDN w:val="0"/>
        <w:bidi w:val="0"/>
        <w:adjustRightInd w:val="0"/>
        <w:spacing w:before="0" w:after="0" w:line="460" w:lineRule="exact"/>
        <w:ind w:firstLine="480" w:firstLineChars="200"/>
        <w:rPr>
          <w:rFonts w:hint="eastAsia" w:ascii="宋体" w:hAnsi="宋体" w:eastAsia="宋体" w:cs="宋体"/>
          <w:kern w:val="0"/>
          <w:sz w:val="24"/>
          <w:szCs w:val="20"/>
        </w:rPr>
      </w:pPr>
      <w:r>
        <w:rPr>
          <w:rFonts w:hint="eastAsia" w:ascii="宋体" w:hAnsi="宋体" w:eastAsia="宋体" w:cs="宋体"/>
          <w:kern w:val="0"/>
          <w:sz w:val="24"/>
          <w:szCs w:val="24"/>
        </w:rPr>
        <w:t>2.3.3 投标人应自行登录广州公共资源交易中心网进行查询并获取网上发布</w:t>
      </w:r>
      <w:r>
        <w:rPr>
          <w:rFonts w:hint="eastAsia" w:ascii="宋体" w:hAnsi="宋体" w:eastAsia="宋体" w:cs="宋体"/>
          <w:kern w:val="0"/>
          <w:sz w:val="24"/>
          <w:szCs w:val="20"/>
        </w:rPr>
        <w:t>的修改或补充通知（补遗书）</w:t>
      </w:r>
      <w:r>
        <w:rPr>
          <w:rFonts w:hint="eastAsia" w:ascii="宋体" w:hAnsi="宋体" w:cs="宋体"/>
          <w:kern w:val="0"/>
          <w:sz w:val="24"/>
          <w:szCs w:val="20"/>
          <w:lang w:val="en-US" w:eastAsia="zh-CN"/>
        </w:rPr>
        <w:t>的</w:t>
      </w:r>
      <w:r>
        <w:rPr>
          <w:rFonts w:hint="eastAsia" w:ascii="宋体" w:hAnsi="宋体" w:eastAsia="宋体" w:cs="宋体"/>
          <w:kern w:val="0"/>
          <w:sz w:val="24"/>
          <w:szCs w:val="20"/>
        </w:rPr>
        <w:t>内容，对任何问题的忽视和疏漏导致其投标的最终结果应自行负责。</w:t>
      </w:r>
    </w:p>
    <w:p w14:paraId="4A07D9A5">
      <w:pPr>
        <w:keepNext w:val="0"/>
        <w:keepLines w:val="0"/>
        <w:pageBreakBefore w:val="0"/>
        <w:widowControl w:val="0"/>
        <w:suppressAutoHyphens/>
        <w:kinsoku/>
        <w:wordWrap/>
        <w:overflowPunct/>
        <w:topLinePunct w:val="0"/>
        <w:autoSpaceDE/>
        <w:autoSpaceDN/>
        <w:bidi w:val="0"/>
        <w:adjustRightInd/>
        <w:snapToGrid/>
        <w:spacing w:before="157" w:beforeLines="50" w:after="0" w:line="460" w:lineRule="exact"/>
        <w:textAlignment w:val="auto"/>
        <w:rPr>
          <w:rFonts w:hint="eastAsia" w:ascii="宋体" w:hAnsi="宋体" w:eastAsia="宋体" w:cs="Times New Roman"/>
          <w:b/>
          <w:sz w:val="24"/>
          <w:szCs w:val="24"/>
        </w:rPr>
      </w:pPr>
      <w:r>
        <w:rPr>
          <w:rFonts w:hint="eastAsia" w:ascii="宋体" w:hAnsi="宋体" w:eastAsia="宋体" w:cs="Times New Roman"/>
          <w:b/>
          <w:sz w:val="24"/>
          <w:szCs w:val="24"/>
        </w:rPr>
        <w:t>2.4 招标文件的异议</w:t>
      </w:r>
    </w:p>
    <w:p w14:paraId="447EE5B7">
      <w:pPr>
        <w:pStyle w:val="15"/>
        <w:keepNext w:val="0"/>
        <w:keepLines w:val="0"/>
        <w:pageBreakBefore w:val="0"/>
        <w:widowControl/>
        <w:kinsoku/>
        <w:wordWrap/>
        <w:overflowPunct/>
        <w:topLinePunct w:val="0"/>
        <w:autoSpaceDE/>
        <w:autoSpaceDN/>
        <w:bidi w:val="0"/>
        <w:adjustRightInd/>
        <w:snapToGrid/>
        <w:spacing w:line="460" w:lineRule="exact"/>
        <w:ind w:left="0" w:leftChars="0" w:firstLine="480" w:firstLineChars="200"/>
        <w:textAlignment w:val="auto"/>
      </w:pPr>
      <w:r>
        <w:rPr>
          <w:rFonts w:hint="eastAsia"/>
        </w:rPr>
        <w:t>投标人或者其他利害关系人对招标文件有异议的，应当在投标截止时间 10 日前以书面形式提出。招标人将在收到异议之日起 3 日内作出答复；作出答复前，将暂停招标投标活动。</w:t>
      </w:r>
    </w:p>
    <w:p w14:paraId="1AE27CC0">
      <w:pPr>
        <w:keepNext w:val="0"/>
        <w:keepLines w:val="0"/>
        <w:pageBreakBefore w:val="0"/>
        <w:widowControl w:val="0"/>
        <w:suppressAutoHyphens/>
        <w:kinsoku/>
        <w:wordWrap/>
        <w:overflowPunct/>
        <w:topLinePunct w:val="0"/>
        <w:autoSpaceDE w:val="0"/>
        <w:autoSpaceDN w:val="0"/>
        <w:bidi w:val="0"/>
        <w:adjustRightInd w:val="0"/>
        <w:snapToGrid/>
        <w:spacing w:before="313" w:beforeLines="100" w:after="0" w:line="460" w:lineRule="exact"/>
        <w:textAlignment w:val="auto"/>
        <w:outlineLvl w:val="2"/>
        <w:rPr>
          <w:rFonts w:ascii="宋体" w:hAnsi="宋体" w:eastAsia="宋体" w:cs="宋体"/>
          <w:kern w:val="0"/>
          <w:sz w:val="24"/>
          <w:szCs w:val="24"/>
        </w:rPr>
      </w:pPr>
      <w:r>
        <w:rPr>
          <w:rFonts w:hint="eastAsia" w:ascii="宋体" w:hAnsi="宋体" w:eastAsia="宋体" w:cs="Times New Roman"/>
          <w:b/>
          <w:sz w:val="30"/>
          <w:szCs w:val="30"/>
        </w:rPr>
        <w:t>3</w:t>
      </w:r>
      <w:r>
        <w:rPr>
          <w:rFonts w:hint="eastAsia" w:ascii="宋体" w:hAnsi="宋体" w:cs="Times New Roman"/>
          <w:b/>
          <w:sz w:val="30"/>
          <w:szCs w:val="30"/>
          <w:lang w:val="en-US" w:eastAsia="zh-CN"/>
        </w:rPr>
        <w:t>.</w:t>
      </w:r>
      <w:r>
        <w:rPr>
          <w:rFonts w:hint="eastAsia" w:ascii="宋体" w:hAnsi="宋体" w:eastAsia="宋体" w:cs="Times New Roman"/>
          <w:b/>
          <w:sz w:val="30"/>
          <w:szCs w:val="30"/>
        </w:rPr>
        <w:t>投标文件</w:t>
      </w:r>
    </w:p>
    <w:p w14:paraId="6924A865">
      <w:pPr>
        <w:keepNext w:val="0"/>
        <w:keepLines w:val="0"/>
        <w:pageBreakBefore w:val="0"/>
        <w:widowControl w:val="0"/>
        <w:suppressAutoHyphens/>
        <w:kinsoku/>
        <w:wordWrap/>
        <w:overflowPunct/>
        <w:topLinePunct w:val="0"/>
        <w:bidi w:val="0"/>
        <w:spacing w:before="0" w:after="0" w:line="460" w:lineRule="exact"/>
        <w:textAlignment w:val="auto"/>
        <w:rPr>
          <w:rFonts w:ascii="宋体" w:hAnsi="宋体" w:eastAsia="宋体" w:cs="Times New Roman"/>
          <w:b/>
          <w:sz w:val="24"/>
          <w:szCs w:val="24"/>
        </w:rPr>
      </w:pPr>
      <w:r>
        <w:rPr>
          <w:rFonts w:hint="eastAsia" w:ascii="宋体" w:hAnsi="宋体" w:eastAsia="宋体" w:cs="Times New Roman"/>
          <w:b/>
          <w:sz w:val="24"/>
          <w:szCs w:val="24"/>
        </w:rPr>
        <w:t xml:space="preserve">3.1 </w:t>
      </w:r>
      <w:r>
        <w:rPr>
          <w:rFonts w:ascii="宋体" w:hAnsi="宋体" w:eastAsia="宋体" w:cs="Times New Roman"/>
          <w:b/>
          <w:sz w:val="24"/>
          <w:szCs w:val="24"/>
        </w:rPr>
        <w:t>投标文件的</w:t>
      </w:r>
      <w:r>
        <w:rPr>
          <w:rFonts w:hint="eastAsia" w:ascii="宋体" w:hAnsi="宋体" w:eastAsia="宋体" w:cs="Times New Roman"/>
          <w:b/>
          <w:sz w:val="24"/>
          <w:szCs w:val="24"/>
        </w:rPr>
        <w:t>组成</w:t>
      </w:r>
    </w:p>
    <w:p w14:paraId="5C9F3AE1">
      <w:pPr>
        <w:keepNext w:val="0"/>
        <w:keepLines w:val="0"/>
        <w:pageBreakBefore w:val="0"/>
        <w:widowControl w:val="0"/>
        <w:suppressAutoHyphens/>
        <w:kinsoku/>
        <w:wordWrap/>
        <w:overflowPunct/>
        <w:topLinePunct w:val="0"/>
        <w:bidi w:val="0"/>
        <w:spacing w:before="0" w:beforeLines="20" w:after="0" w:line="460" w:lineRule="exact"/>
        <w:ind w:firstLine="480" w:firstLineChars="200"/>
        <w:textAlignment w:val="auto"/>
        <w:rPr>
          <w:rFonts w:ascii="宋体" w:hAnsi="宋体" w:eastAsia="宋体" w:cs="Times New Roman"/>
          <w:sz w:val="24"/>
          <w:szCs w:val="20"/>
        </w:rPr>
      </w:pPr>
      <w:r>
        <w:rPr>
          <w:rFonts w:ascii="宋体" w:hAnsi="宋体" w:eastAsia="宋体" w:cs="Times New Roman"/>
          <w:sz w:val="24"/>
          <w:szCs w:val="20"/>
        </w:rPr>
        <w:t>3.1.1</w:t>
      </w:r>
      <w:r>
        <w:rPr>
          <w:rFonts w:hint="eastAsia" w:ascii="宋体" w:hAnsi="宋体" w:eastAsia="宋体" w:cs="Times New Roman"/>
          <w:sz w:val="24"/>
          <w:szCs w:val="20"/>
        </w:rPr>
        <w:t>投标人所递交的投标文件</w:t>
      </w:r>
      <w:r>
        <w:rPr>
          <w:rFonts w:hint="eastAsia" w:ascii="宋体" w:hAnsi="宋体" w:cs="Times New Roman"/>
          <w:sz w:val="24"/>
          <w:szCs w:val="20"/>
          <w:lang w:eastAsia="zh-CN"/>
        </w:rPr>
        <w:t>应</w:t>
      </w:r>
      <w:r>
        <w:rPr>
          <w:rFonts w:hint="eastAsia" w:ascii="宋体" w:hAnsi="宋体" w:eastAsia="宋体" w:cs="宋体"/>
          <w:kern w:val="0"/>
          <w:sz w:val="24"/>
          <w:szCs w:val="20"/>
        </w:rPr>
        <w:t>包括以下内容：</w:t>
      </w:r>
    </w:p>
    <w:p w14:paraId="14E9D4EF">
      <w:pPr>
        <w:keepNext w:val="0"/>
        <w:keepLines w:val="0"/>
        <w:pageBreakBefore w:val="0"/>
        <w:widowControl w:val="0"/>
        <w:suppressAutoHyphens/>
        <w:kinsoku/>
        <w:wordWrap/>
        <w:overflowPunct/>
        <w:topLinePunct w:val="0"/>
        <w:bidi w:val="0"/>
        <w:spacing w:before="0" w:after="0" w:line="460" w:lineRule="exact"/>
        <w:ind w:firstLine="480" w:firstLineChars="200"/>
        <w:textAlignment w:val="auto"/>
        <w:rPr>
          <w:rFonts w:hint="eastAsia" w:ascii="宋体" w:hAnsi="宋体" w:eastAsia="宋体" w:cs="Times New Roman"/>
          <w:color w:val="auto"/>
          <w:sz w:val="24"/>
          <w:szCs w:val="20"/>
          <w:lang w:eastAsia="zh-CN"/>
        </w:rPr>
      </w:pPr>
      <w:r>
        <w:rPr>
          <w:rFonts w:ascii="宋体" w:hAnsi="宋体" w:eastAsia="宋体" w:cs="Times New Roman"/>
          <w:color w:val="auto"/>
          <w:sz w:val="24"/>
          <w:szCs w:val="20"/>
        </w:rPr>
        <w:t>（</w:t>
      </w:r>
      <w:r>
        <w:rPr>
          <w:rFonts w:hint="eastAsia" w:ascii="宋体" w:hAnsi="宋体" w:eastAsia="宋体" w:cs="Times New Roman"/>
          <w:color w:val="auto"/>
          <w:sz w:val="24"/>
          <w:szCs w:val="20"/>
        </w:rPr>
        <w:t>1</w:t>
      </w:r>
      <w:r>
        <w:rPr>
          <w:rFonts w:ascii="宋体" w:hAnsi="宋体" w:eastAsia="宋体" w:cs="Times New Roman"/>
          <w:color w:val="auto"/>
          <w:sz w:val="24"/>
          <w:szCs w:val="20"/>
        </w:rPr>
        <w:t>）</w:t>
      </w:r>
      <w:r>
        <w:rPr>
          <w:rFonts w:hint="eastAsia" w:ascii="宋体" w:hAnsi="宋体" w:eastAsia="宋体" w:cs="Times New Roman"/>
          <w:color w:val="auto"/>
          <w:sz w:val="24"/>
          <w:szCs w:val="20"/>
        </w:rPr>
        <w:t>投标函及投标函附录</w:t>
      </w:r>
      <w:r>
        <w:rPr>
          <w:rFonts w:hint="eastAsia" w:ascii="宋体" w:hAnsi="宋体" w:cs="Times New Roman"/>
          <w:color w:val="auto"/>
          <w:sz w:val="24"/>
          <w:szCs w:val="20"/>
          <w:lang w:eastAsia="zh-CN"/>
        </w:rPr>
        <w:t>；</w:t>
      </w:r>
    </w:p>
    <w:p w14:paraId="683CF5CD">
      <w:pPr>
        <w:keepNext w:val="0"/>
        <w:keepLines w:val="0"/>
        <w:pageBreakBefore w:val="0"/>
        <w:widowControl w:val="0"/>
        <w:suppressAutoHyphens/>
        <w:kinsoku/>
        <w:wordWrap/>
        <w:overflowPunct/>
        <w:topLinePunct w:val="0"/>
        <w:bidi w:val="0"/>
        <w:spacing w:before="0" w:after="0" w:line="460" w:lineRule="exact"/>
        <w:ind w:firstLine="480" w:firstLineChars="200"/>
        <w:textAlignment w:val="auto"/>
        <w:rPr>
          <w:rFonts w:hint="eastAsia" w:ascii="宋体" w:hAnsi="宋体" w:eastAsia="宋体" w:cs="Times New Roman"/>
          <w:color w:val="auto"/>
          <w:sz w:val="24"/>
          <w:szCs w:val="20"/>
          <w:lang w:eastAsia="zh-CN"/>
        </w:rPr>
      </w:pPr>
      <w:r>
        <w:rPr>
          <w:rFonts w:hint="eastAsia" w:ascii="宋体" w:hAnsi="宋体" w:eastAsia="宋体" w:cs="Times New Roman"/>
          <w:color w:val="auto"/>
          <w:sz w:val="24"/>
          <w:szCs w:val="20"/>
        </w:rPr>
        <w:t>（2）</w:t>
      </w:r>
      <w:r>
        <w:rPr>
          <w:rFonts w:ascii="宋体" w:hAnsi="宋体" w:eastAsia="宋体" w:cs="Times New Roman"/>
          <w:color w:val="auto"/>
          <w:sz w:val="24"/>
          <w:szCs w:val="20"/>
        </w:rPr>
        <w:t>法定代表人身份证明</w:t>
      </w:r>
      <w:r>
        <w:rPr>
          <w:rFonts w:hint="eastAsia" w:ascii="宋体" w:hAnsi="宋体" w:eastAsia="宋体" w:cs="Times New Roman"/>
          <w:color w:val="auto"/>
          <w:sz w:val="24"/>
          <w:szCs w:val="20"/>
        </w:rPr>
        <w:t>书</w:t>
      </w:r>
      <w:r>
        <w:rPr>
          <w:rFonts w:hint="eastAsia" w:ascii="宋体" w:hAnsi="宋体" w:cs="Times New Roman"/>
          <w:color w:val="auto"/>
          <w:sz w:val="24"/>
          <w:szCs w:val="20"/>
          <w:lang w:eastAsia="zh-CN"/>
        </w:rPr>
        <w:t>；</w:t>
      </w:r>
    </w:p>
    <w:p w14:paraId="64EA0462">
      <w:pPr>
        <w:keepNext w:val="0"/>
        <w:keepLines w:val="0"/>
        <w:pageBreakBefore w:val="0"/>
        <w:widowControl w:val="0"/>
        <w:suppressAutoHyphens/>
        <w:kinsoku/>
        <w:wordWrap/>
        <w:overflowPunct/>
        <w:topLinePunct w:val="0"/>
        <w:bidi w:val="0"/>
        <w:spacing w:before="0" w:after="0" w:line="460" w:lineRule="exact"/>
        <w:ind w:firstLine="480" w:firstLineChars="200"/>
        <w:textAlignment w:val="auto"/>
        <w:rPr>
          <w:rFonts w:hint="eastAsia" w:ascii="宋体" w:hAnsi="宋体" w:eastAsia="宋体" w:cs="Times New Roman"/>
          <w:color w:val="auto"/>
          <w:sz w:val="24"/>
          <w:szCs w:val="20"/>
          <w:lang w:eastAsia="zh-CN"/>
        </w:rPr>
      </w:pPr>
      <w:r>
        <w:rPr>
          <w:rFonts w:hint="eastAsia" w:ascii="宋体" w:hAnsi="宋体" w:eastAsia="宋体" w:cs="Times New Roman"/>
          <w:color w:val="auto"/>
          <w:sz w:val="24"/>
          <w:szCs w:val="20"/>
        </w:rPr>
        <w:t>（3）</w:t>
      </w:r>
      <w:r>
        <w:rPr>
          <w:rFonts w:ascii="宋体" w:hAnsi="宋体" w:eastAsia="宋体" w:cs="Times New Roman"/>
          <w:color w:val="auto"/>
          <w:sz w:val="24"/>
          <w:szCs w:val="20"/>
        </w:rPr>
        <w:t>法人授权委托</w:t>
      </w:r>
      <w:r>
        <w:rPr>
          <w:rFonts w:hint="eastAsia" w:ascii="宋体" w:hAnsi="宋体" w:eastAsia="宋体" w:cs="Times New Roman"/>
          <w:color w:val="auto"/>
          <w:sz w:val="24"/>
          <w:szCs w:val="20"/>
        </w:rPr>
        <w:t>证明书（法定代表人参加无需提供委托书）</w:t>
      </w:r>
      <w:r>
        <w:rPr>
          <w:rFonts w:hint="eastAsia" w:ascii="宋体" w:hAnsi="宋体" w:cs="Times New Roman"/>
          <w:color w:val="auto"/>
          <w:sz w:val="24"/>
          <w:szCs w:val="20"/>
          <w:lang w:eastAsia="zh-CN"/>
        </w:rPr>
        <w:t>；</w:t>
      </w:r>
    </w:p>
    <w:p w14:paraId="4CA58AB3">
      <w:pPr>
        <w:keepNext w:val="0"/>
        <w:keepLines w:val="0"/>
        <w:pageBreakBefore w:val="0"/>
        <w:widowControl w:val="0"/>
        <w:suppressAutoHyphens/>
        <w:kinsoku/>
        <w:wordWrap/>
        <w:overflowPunct/>
        <w:topLinePunct w:val="0"/>
        <w:bidi w:val="0"/>
        <w:spacing w:before="0" w:after="0" w:line="460" w:lineRule="exact"/>
        <w:ind w:firstLine="480" w:firstLineChars="200"/>
        <w:textAlignment w:val="auto"/>
        <w:rPr>
          <w:rFonts w:hint="eastAsia" w:ascii="宋体" w:hAnsi="宋体" w:eastAsia="宋体" w:cs="Times New Roman"/>
          <w:color w:val="auto"/>
          <w:sz w:val="24"/>
          <w:szCs w:val="20"/>
          <w:lang w:eastAsia="zh-CN"/>
        </w:rPr>
      </w:pPr>
      <w:r>
        <w:rPr>
          <w:rFonts w:ascii="宋体" w:hAnsi="宋体" w:eastAsia="宋体" w:cs="Times New Roman"/>
          <w:color w:val="auto"/>
          <w:sz w:val="24"/>
          <w:szCs w:val="20"/>
        </w:rPr>
        <w:t>（</w:t>
      </w:r>
      <w:r>
        <w:rPr>
          <w:rFonts w:hint="eastAsia" w:ascii="宋体" w:hAnsi="宋体" w:eastAsia="宋体" w:cs="Times New Roman"/>
          <w:color w:val="auto"/>
          <w:sz w:val="24"/>
          <w:szCs w:val="20"/>
        </w:rPr>
        <w:t>4</w:t>
      </w:r>
      <w:r>
        <w:rPr>
          <w:rFonts w:ascii="宋体" w:hAnsi="宋体" w:eastAsia="宋体" w:cs="Times New Roman"/>
          <w:color w:val="auto"/>
          <w:sz w:val="24"/>
          <w:szCs w:val="20"/>
        </w:rPr>
        <w:t>）投标</w:t>
      </w:r>
      <w:r>
        <w:rPr>
          <w:rFonts w:hint="eastAsia" w:ascii="宋体" w:hAnsi="宋体" w:eastAsia="宋体" w:cs="Times New Roman"/>
          <w:color w:val="auto"/>
          <w:sz w:val="24"/>
          <w:szCs w:val="20"/>
        </w:rPr>
        <w:t>保</w:t>
      </w:r>
      <w:r>
        <w:rPr>
          <w:rFonts w:ascii="宋体" w:hAnsi="宋体" w:eastAsia="宋体" w:cs="Times New Roman"/>
          <w:color w:val="auto"/>
          <w:sz w:val="24"/>
          <w:szCs w:val="20"/>
        </w:rPr>
        <w:t>证</w:t>
      </w:r>
      <w:r>
        <w:rPr>
          <w:rFonts w:hint="eastAsia" w:ascii="宋体" w:hAnsi="宋体" w:eastAsia="宋体" w:cs="Times New Roman"/>
          <w:color w:val="auto"/>
          <w:sz w:val="24"/>
          <w:szCs w:val="20"/>
        </w:rPr>
        <w:t>金</w:t>
      </w:r>
      <w:r>
        <w:rPr>
          <w:rFonts w:hint="eastAsia" w:ascii="宋体" w:hAnsi="宋体" w:cs="Times New Roman"/>
          <w:color w:val="auto"/>
          <w:sz w:val="24"/>
          <w:szCs w:val="20"/>
          <w:lang w:eastAsia="zh-CN"/>
        </w:rPr>
        <w:t>；</w:t>
      </w:r>
    </w:p>
    <w:p w14:paraId="4848321C">
      <w:pPr>
        <w:keepNext w:val="0"/>
        <w:keepLines w:val="0"/>
        <w:pageBreakBefore w:val="0"/>
        <w:widowControl w:val="0"/>
        <w:suppressAutoHyphens/>
        <w:kinsoku/>
        <w:wordWrap/>
        <w:overflowPunct/>
        <w:topLinePunct w:val="0"/>
        <w:bidi w:val="0"/>
        <w:spacing w:before="0" w:after="0" w:line="460" w:lineRule="exact"/>
        <w:ind w:firstLine="480" w:firstLineChars="200"/>
        <w:textAlignment w:val="auto"/>
        <w:rPr>
          <w:rFonts w:hint="eastAsia" w:ascii="宋体" w:hAnsi="宋体" w:eastAsia="宋体" w:cs="Times New Roman"/>
          <w:color w:val="auto"/>
          <w:sz w:val="24"/>
          <w:szCs w:val="20"/>
          <w:lang w:eastAsia="zh-CN"/>
        </w:rPr>
      </w:pPr>
      <w:r>
        <w:rPr>
          <w:rFonts w:hint="eastAsia" w:ascii="宋体" w:hAnsi="宋体" w:eastAsia="宋体" w:cs="Times New Roman"/>
          <w:color w:val="auto"/>
          <w:sz w:val="24"/>
          <w:szCs w:val="20"/>
        </w:rPr>
        <w:t>（5）投标人声明</w:t>
      </w:r>
      <w:r>
        <w:rPr>
          <w:rFonts w:hint="eastAsia" w:ascii="宋体" w:hAnsi="宋体" w:cs="Times New Roman"/>
          <w:color w:val="auto"/>
          <w:sz w:val="24"/>
          <w:szCs w:val="20"/>
          <w:lang w:eastAsia="zh-CN"/>
        </w:rPr>
        <w:t>；</w:t>
      </w:r>
    </w:p>
    <w:p w14:paraId="63E895B0">
      <w:pPr>
        <w:keepNext w:val="0"/>
        <w:keepLines w:val="0"/>
        <w:pageBreakBefore w:val="0"/>
        <w:widowControl w:val="0"/>
        <w:suppressAutoHyphens/>
        <w:kinsoku/>
        <w:wordWrap/>
        <w:overflowPunct/>
        <w:topLinePunct w:val="0"/>
        <w:bidi w:val="0"/>
        <w:spacing w:before="0" w:after="0" w:line="460" w:lineRule="exact"/>
        <w:ind w:firstLine="480" w:firstLineChars="200"/>
        <w:textAlignment w:val="auto"/>
        <w:rPr>
          <w:rFonts w:hint="eastAsia" w:ascii="宋体" w:hAnsi="宋体" w:eastAsia="宋体" w:cs="Times New Roman"/>
          <w:color w:val="auto"/>
          <w:sz w:val="24"/>
          <w:szCs w:val="20"/>
          <w:lang w:eastAsia="zh-CN"/>
        </w:rPr>
      </w:pPr>
      <w:r>
        <w:rPr>
          <w:rFonts w:hint="eastAsia" w:ascii="宋体" w:hAnsi="宋体" w:eastAsia="宋体" w:cs="Times New Roman"/>
          <w:color w:val="auto"/>
          <w:sz w:val="24"/>
          <w:szCs w:val="20"/>
        </w:rPr>
        <w:t>（6）已标价</w:t>
      </w:r>
      <w:r>
        <w:rPr>
          <w:rFonts w:hint="eastAsia" w:ascii="宋体" w:hAnsi="宋体" w:cs="Times New Roman"/>
          <w:color w:val="auto"/>
          <w:sz w:val="24"/>
          <w:szCs w:val="20"/>
          <w:lang w:val="en-US" w:eastAsia="zh-CN"/>
        </w:rPr>
        <w:t>工程量</w:t>
      </w:r>
      <w:r>
        <w:rPr>
          <w:rFonts w:hint="eastAsia" w:ascii="宋体" w:hAnsi="宋体" w:eastAsia="宋体" w:cs="Times New Roman"/>
          <w:color w:val="auto"/>
          <w:sz w:val="24"/>
          <w:szCs w:val="20"/>
        </w:rPr>
        <w:t>清单</w:t>
      </w:r>
      <w:r>
        <w:rPr>
          <w:rFonts w:hint="eastAsia" w:ascii="宋体" w:hAnsi="宋体" w:cs="Times New Roman"/>
          <w:color w:val="auto"/>
          <w:sz w:val="24"/>
          <w:szCs w:val="20"/>
          <w:lang w:eastAsia="zh-CN"/>
        </w:rPr>
        <w:t>；</w:t>
      </w:r>
    </w:p>
    <w:p w14:paraId="15DC226E">
      <w:pPr>
        <w:keepNext w:val="0"/>
        <w:keepLines w:val="0"/>
        <w:pageBreakBefore w:val="0"/>
        <w:widowControl w:val="0"/>
        <w:suppressAutoHyphens/>
        <w:kinsoku/>
        <w:wordWrap/>
        <w:overflowPunct/>
        <w:topLinePunct w:val="0"/>
        <w:bidi w:val="0"/>
        <w:spacing w:before="0" w:after="0" w:line="460" w:lineRule="exact"/>
        <w:ind w:firstLine="480" w:firstLineChars="200"/>
        <w:textAlignment w:val="auto"/>
        <w:rPr>
          <w:rFonts w:hint="eastAsia" w:ascii="宋体" w:hAnsi="宋体" w:eastAsia="宋体" w:cs="Times New Roman"/>
          <w:color w:val="auto"/>
          <w:sz w:val="24"/>
          <w:szCs w:val="20"/>
          <w:lang w:eastAsia="zh-CN"/>
        </w:rPr>
      </w:pPr>
      <w:r>
        <w:rPr>
          <w:rFonts w:hint="eastAsia" w:ascii="宋体" w:hAnsi="宋体" w:eastAsia="宋体" w:cs="Times New Roman"/>
          <w:color w:val="auto"/>
          <w:sz w:val="24"/>
          <w:szCs w:val="20"/>
        </w:rPr>
        <w:t>（7）资格审查资料</w:t>
      </w:r>
      <w:r>
        <w:rPr>
          <w:rFonts w:hint="eastAsia" w:ascii="宋体" w:hAnsi="宋体" w:cs="Times New Roman"/>
          <w:color w:val="auto"/>
          <w:sz w:val="24"/>
          <w:szCs w:val="20"/>
          <w:lang w:eastAsia="zh-CN"/>
        </w:rPr>
        <w:t>；</w:t>
      </w:r>
    </w:p>
    <w:p w14:paraId="59FD0CFF">
      <w:pPr>
        <w:keepNext w:val="0"/>
        <w:keepLines w:val="0"/>
        <w:pageBreakBefore w:val="0"/>
        <w:widowControl w:val="0"/>
        <w:suppressAutoHyphens/>
        <w:kinsoku/>
        <w:wordWrap/>
        <w:overflowPunct/>
        <w:topLinePunct w:val="0"/>
        <w:bidi w:val="0"/>
        <w:spacing w:before="0" w:after="0" w:line="460" w:lineRule="exact"/>
        <w:ind w:firstLine="480" w:firstLineChars="200"/>
        <w:textAlignment w:val="auto"/>
        <w:rPr>
          <w:rFonts w:hint="eastAsia" w:ascii="宋体" w:hAnsi="宋体" w:eastAsia="宋体" w:cs="Times New Roman"/>
          <w:color w:val="auto"/>
          <w:sz w:val="24"/>
          <w:szCs w:val="20"/>
          <w:lang w:eastAsia="zh-CN"/>
        </w:rPr>
      </w:pPr>
      <w:r>
        <w:rPr>
          <w:rFonts w:hint="eastAsia" w:ascii="宋体" w:hAnsi="宋体" w:eastAsia="宋体" w:cs="Times New Roman"/>
          <w:color w:val="auto"/>
          <w:sz w:val="24"/>
          <w:szCs w:val="20"/>
        </w:rPr>
        <w:t>（</w:t>
      </w:r>
      <w:r>
        <w:rPr>
          <w:rFonts w:hint="eastAsia" w:ascii="宋体" w:hAnsi="宋体" w:cs="Times New Roman"/>
          <w:color w:val="auto"/>
          <w:sz w:val="24"/>
          <w:szCs w:val="20"/>
          <w:lang w:val="en-US" w:eastAsia="zh-CN"/>
        </w:rPr>
        <w:t>8</w:t>
      </w:r>
      <w:r>
        <w:rPr>
          <w:rFonts w:hint="eastAsia" w:ascii="宋体" w:hAnsi="宋体" w:eastAsia="宋体" w:cs="Times New Roman"/>
          <w:color w:val="auto"/>
          <w:sz w:val="24"/>
          <w:szCs w:val="20"/>
        </w:rPr>
        <w:t>）投标人须知前附表规定的其他材料</w:t>
      </w:r>
      <w:r>
        <w:rPr>
          <w:rFonts w:hint="eastAsia" w:ascii="宋体" w:hAnsi="宋体" w:cs="Times New Roman"/>
          <w:color w:val="auto"/>
          <w:sz w:val="24"/>
          <w:szCs w:val="20"/>
          <w:lang w:eastAsia="zh-CN"/>
        </w:rPr>
        <w:t>。</w:t>
      </w:r>
    </w:p>
    <w:p w14:paraId="5D2C57F1">
      <w:pPr>
        <w:keepNext w:val="0"/>
        <w:keepLines w:val="0"/>
        <w:pageBreakBefore w:val="0"/>
        <w:widowControl w:val="0"/>
        <w:suppressAutoHyphens/>
        <w:kinsoku/>
        <w:wordWrap/>
        <w:overflowPunct/>
        <w:topLinePunct w:val="0"/>
        <w:autoSpaceDE/>
        <w:autoSpaceDN/>
        <w:bidi w:val="0"/>
        <w:adjustRightInd/>
        <w:snapToGrid/>
        <w:spacing w:before="0" w:after="0" w:line="460" w:lineRule="exact"/>
        <w:ind w:firstLine="480" w:firstLineChars="200"/>
        <w:textAlignment w:val="auto"/>
        <w:rPr>
          <w:rFonts w:hint="eastAsia" w:ascii="宋体" w:hAnsi="宋体" w:eastAsia="宋体" w:cs="宋体"/>
          <w:b w:val="0"/>
          <w:bCs/>
          <w:kern w:val="0"/>
          <w:sz w:val="24"/>
          <w:szCs w:val="20"/>
        </w:rPr>
      </w:pPr>
      <w:r>
        <w:rPr>
          <w:rFonts w:ascii="宋体" w:hAnsi="宋体" w:eastAsia="宋体" w:cs="Times New Roman"/>
          <w:sz w:val="24"/>
          <w:szCs w:val="20"/>
        </w:rPr>
        <w:t>3.1.</w:t>
      </w:r>
      <w:r>
        <w:rPr>
          <w:rFonts w:hint="eastAsia" w:ascii="宋体" w:hAnsi="宋体" w:eastAsia="宋体" w:cs="Times New Roman"/>
          <w:sz w:val="24"/>
          <w:szCs w:val="20"/>
        </w:rPr>
        <w:t>2</w:t>
      </w:r>
      <w:r>
        <w:rPr>
          <w:rFonts w:hint="eastAsia" w:ascii="宋体" w:hAnsi="宋体" w:eastAsia="宋体" w:cs="宋体"/>
          <w:b w:val="0"/>
          <w:bCs/>
          <w:kern w:val="0"/>
          <w:sz w:val="24"/>
          <w:szCs w:val="20"/>
        </w:rPr>
        <w:t>投标人递交</w:t>
      </w:r>
      <w:r>
        <w:rPr>
          <w:rFonts w:hint="eastAsia" w:ascii="宋体" w:hAnsi="宋体" w:eastAsia="宋体" w:cs="宋体"/>
          <w:b w:val="0"/>
          <w:bCs/>
          <w:kern w:val="0"/>
          <w:sz w:val="24"/>
          <w:szCs w:val="20"/>
          <w:lang w:eastAsia="zh-CN"/>
        </w:rPr>
        <w:t>的</w:t>
      </w:r>
      <w:r>
        <w:rPr>
          <w:rFonts w:hint="eastAsia" w:ascii="宋体" w:hAnsi="宋体" w:eastAsia="宋体" w:cs="宋体"/>
          <w:b w:val="0"/>
          <w:bCs/>
          <w:kern w:val="0"/>
          <w:sz w:val="24"/>
          <w:szCs w:val="20"/>
        </w:rPr>
        <w:t>投标文件电子版（</w:t>
      </w:r>
      <w:r>
        <w:rPr>
          <w:rFonts w:hint="eastAsia" w:ascii="宋体" w:hAnsi="宋体" w:eastAsia="宋体" w:cs="宋体"/>
          <w:b w:val="0"/>
          <w:bCs/>
          <w:kern w:val="0"/>
          <w:sz w:val="24"/>
          <w:szCs w:val="20"/>
          <w:lang w:eastAsia="zh-CN"/>
        </w:rPr>
        <w:t>如有，</w:t>
      </w:r>
      <w:r>
        <w:rPr>
          <w:rFonts w:hint="eastAsia" w:ascii="宋体" w:hAnsi="宋体" w:eastAsia="宋体" w:cs="宋体"/>
          <w:b w:val="0"/>
          <w:bCs/>
          <w:kern w:val="0"/>
          <w:sz w:val="24"/>
          <w:szCs w:val="20"/>
        </w:rPr>
        <w:t>制作正本U盘1个），内容包括：</w:t>
      </w:r>
    </w:p>
    <w:p w14:paraId="2EBFFBD5">
      <w:pPr>
        <w:keepNext w:val="0"/>
        <w:keepLines w:val="0"/>
        <w:pageBreakBefore w:val="0"/>
        <w:widowControl w:val="0"/>
        <w:suppressAutoHyphens/>
        <w:kinsoku/>
        <w:wordWrap/>
        <w:overflowPunct/>
        <w:topLinePunct w:val="0"/>
        <w:autoSpaceDE/>
        <w:autoSpaceDN/>
        <w:bidi w:val="0"/>
        <w:adjustRightInd/>
        <w:snapToGrid/>
        <w:spacing w:before="0" w:after="0" w:line="460" w:lineRule="exact"/>
        <w:ind w:firstLine="480" w:firstLineChars="200"/>
        <w:textAlignment w:val="auto"/>
        <w:rPr>
          <w:rFonts w:hint="eastAsia" w:ascii="宋体" w:hAnsi="宋体" w:eastAsia="宋体" w:cs="宋体"/>
          <w:b w:val="0"/>
          <w:bCs/>
          <w:kern w:val="0"/>
          <w:sz w:val="24"/>
          <w:szCs w:val="20"/>
        </w:rPr>
      </w:pPr>
      <w:r>
        <w:rPr>
          <w:rFonts w:hint="eastAsia" w:ascii="宋体" w:hAnsi="宋体" w:eastAsia="宋体" w:cs="宋体"/>
          <w:b w:val="0"/>
          <w:bCs/>
          <w:kern w:val="0"/>
          <w:sz w:val="24"/>
          <w:szCs w:val="20"/>
        </w:rPr>
        <w:t>（1）</w:t>
      </w:r>
      <w:r>
        <w:rPr>
          <w:rFonts w:hint="eastAsia" w:ascii="宋体" w:hAnsi="宋体" w:eastAsia="宋体" w:cs="宋体"/>
          <w:sz w:val="24"/>
          <w:szCs w:val="20"/>
        </w:rPr>
        <w:t>投标文件</w:t>
      </w:r>
      <w:r>
        <w:rPr>
          <w:rFonts w:hint="eastAsia" w:ascii="宋体" w:hAnsi="宋体" w:eastAsia="宋体" w:cs="宋体"/>
          <w:b w:val="0"/>
          <w:bCs/>
          <w:kern w:val="0"/>
          <w:sz w:val="24"/>
          <w:szCs w:val="20"/>
        </w:rPr>
        <w:t>的Word版；</w:t>
      </w:r>
    </w:p>
    <w:p w14:paraId="7781CDEF">
      <w:pPr>
        <w:keepNext w:val="0"/>
        <w:keepLines w:val="0"/>
        <w:pageBreakBefore w:val="0"/>
        <w:widowControl w:val="0"/>
        <w:suppressAutoHyphens/>
        <w:kinsoku/>
        <w:wordWrap/>
        <w:overflowPunct/>
        <w:topLinePunct w:val="0"/>
        <w:autoSpaceDE/>
        <w:autoSpaceDN/>
        <w:bidi w:val="0"/>
        <w:adjustRightInd/>
        <w:snapToGrid/>
        <w:spacing w:before="0" w:after="0" w:line="460" w:lineRule="exact"/>
        <w:ind w:firstLine="480" w:firstLineChars="200"/>
        <w:textAlignment w:val="auto"/>
        <w:rPr>
          <w:rFonts w:hint="eastAsia" w:ascii="宋体" w:hAnsi="宋体" w:eastAsia="宋体" w:cs="宋体"/>
          <w:b w:val="0"/>
          <w:bCs/>
          <w:kern w:val="0"/>
          <w:sz w:val="24"/>
          <w:szCs w:val="20"/>
        </w:rPr>
      </w:pPr>
      <w:r>
        <w:rPr>
          <w:rFonts w:hint="eastAsia" w:ascii="宋体" w:hAnsi="宋体" w:eastAsia="宋体" w:cs="宋体"/>
          <w:b w:val="0"/>
          <w:bCs/>
          <w:kern w:val="0"/>
          <w:sz w:val="24"/>
          <w:szCs w:val="20"/>
        </w:rPr>
        <w:t>（2）</w:t>
      </w:r>
      <w:r>
        <w:rPr>
          <w:rFonts w:hint="eastAsia" w:ascii="宋体" w:hAnsi="宋体" w:eastAsia="宋体" w:cs="宋体"/>
          <w:sz w:val="24"/>
          <w:szCs w:val="20"/>
        </w:rPr>
        <w:t>投标文件</w:t>
      </w:r>
      <w:r>
        <w:rPr>
          <w:rFonts w:hint="eastAsia" w:ascii="宋体" w:hAnsi="宋体" w:eastAsia="宋体" w:cs="宋体"/>
          <w:b w:val="0"/>
          <w:bCs/>
          <w:kern w:val="0"/>
          <w:sz w:val="24"/>
          <w:szCs w:val="20"/>
        </w:rPr>
        <w:t>的PDF格式的电子版，该内容应按投标文件（含随附</w:t>
      </w:r>
      <w:r>
        <w:rPr>
          <w:rFonts w:hint="eastAsia" w:ascii="宋体" w:hAnsi="宋体" w:cs="宋体"/>
          <w:b w:val="0"/>
          <w:bCs/>
          <w:kern w:val="0"/>
          <w:sz w:val="24"/>
          <w:szCs w:val="20"/>
          <w:lang w:eastAsia="zh-CN"/>
        </w:rPr>
        <w:t>扫描</w:t>
      </w:r>
      <w:r>
        <w:rPr>
          <w:rFonts w:hint="eastAsia" w:ascii="宋体" w:hAnsi="宋体" w:cs="宋体"/>
          <w:b w:val="0"/>
          <w:bCs/>
          <w:kern w:val="0"/>
          <w:sz w:val="24"/>
          <w:szCs w:val="20"/>
          <w:lang w:val="en-US" w:eastAsia="zh-CN"/>
        </w:rPr>
        <w:t>/</w:t>
      </w:r>
      <w:r>
        <w:rPr>
          <w:rFonts w:hint="eastAsia" w:ascii="宋体" w:hAnsi="宋体" w:eastAsia="宋体" w:cs="宋体"/>
          <w:b w:val="0"/>
          <w:bCs/>
          <w:kern w:val="0"/>
          <w:sz w:val="24"/>
          <w:szCs w:val="20"/>
        </w:rPr>
        <w:t>复印件）的顺序排列。</w:t>
      </w:r>
    </w:p>
    <w:p w14:paraId="57C77A68">
      <w:pPr>
        <w:keepNext w:val="0"/>
        <w:keepLines w:val="0"/>
        <w:pageBreakBefore w:val="0"/>
        <w:widowControl w:val="0"/>
        <w:suppressAutoHyphens/>
        <w:kinsoku/>
        <w:wordWrap/>
        <w:overflowPunct/>
        <w:topLinePunct w:val="0"/>
        <w:autoSpaceDE/>
        <w:autoSpaceDN/>
        <w:bidi w:val="0"/>
        <w:adjustRightInd/>
        <w:snapToGrid/>
        <w:spacing w:before="157" w:beforeLines="50" w:after="0" w:line="460" w:lineRule="exact"/>
        <w:textAlignment w:val="auto"/>
        <w:rPr>
          <w:rFonts w:hint="eastAsia" w:ascii="宋体" w:hAnsi="宋体" w:eastAsia="宋体" w:cs="Times New Roman"/>
          <w:b/>
          <w:sz w:val="24"/>
          <w:szCs w:val="24"/>
        </w:rPr>
      </w:pPr>
      <w:r>
        <w:rPr>
          <w:rFonts w:hint="eastAsia" w:ascii="宋体" w:hAnsi="宋体" w:eastAsia="宋体" w:cs="Times New Roman"/>
          <w:b/>
          <w:sz w:val="24"/>
          <w:szCs w:val="24"/>
        </w:rPr>
        <w:t>3.2 投标报价</w:t>
      </w:r>
    </w:p>
    <w:p w14:paraId="4B15072D">
      <w:pPr>
        <w:keepNext w:val="0"/>
        <w:keepLines w:val="0"/>
        <w:pageBreakBefore w:val="0"/>
        <w:widowControl w:val="0"/>
        <w:suppressAutoHyphens/>
        <w:kinsoku/>
        <w:wordWrap/>
        <w:overflowPunct/>
        <w:topLinePunct w:val="0"/>
        <w:bidi w:val="0"/>
        <w:spacing w:before="0" w:after="0" w:line="460" w:lineRule="exact"/>
        <w:ind w:firstLine="480" w:firstLineChars="200"/>
        <w:textAlignment w:val="auto"/>
        <w:rPr>
          <w:rFonts w:hint="eastAsia" w:ascii="宋体" w:hAnsi="宋体" w:eastAsia="宋体" w:cs="Times New Roman"/>
          <w:sz w:val="24"/>
          <w:szCs w:val="24"/>
        </w:rPr>
      </w:pPr>
      <w:r>
        <w:rPr>
          <w:rFonts w:hint="eastAsia" w:ascii="宋体" w:hAnsi="宋体" w:eastAsia="宋体" w:cs="Times New Roman"/>
          <w:sz w:val="24"/>
          <w:szCs w:val="24"/>
        </w:rPr>
        <w:t>3.2.1投标人应按第</w:t>
      </w:r>
      <w:r>
        <w:rPr>
          <w:rFonts w:hint="eastAsia" w:ascii="宋体" w:hAnsi="宋体" w:cs="Times New Roman"/>
          <w:sz w:val="24"/>
          <w:szCs w:val="24"/>
          <w:lang w:val="en-US" w:eastAsia="zh-CN"/>
        </w:rPr>
        <w:t>六</w:t>
      </w:r>
      <w:r>
        <w:rPr>
          <w:rFonts w:hint="eastAsia" w:ascii="宋体" w:hAnsi="宋体" w:eastAsia="宋体" w:cs="Times New Roman"/>
          <w:sz w:val="24"/>
          <w:szCs w:val="24"/>
        </w:rPr>
        <w:t>章“工程量清单”提供的工程量清单和要求进行报价，工程量清单中如有按分部分项项目费计入的暂列金额或有部分注明按暂估价计入招标控制价的材料设备费，绿色施工安全防护措施费，该项费用不列入投标竞争的范围。投标报价时必须按工程量清单公布的绿色施工安全防护措施费、暂列金额和暂估价进行报价，不得调整，属软件误差的除外，否则其投标作为无效投标处理。</w:t>
      </w:r>
    </w:p>
    <w:p w14:paraId="46ABDE06">
      <w:pPr>
        <w:keepNext w:val="0"/>
        <w:keepLines w:val="0"/>
        <w:pageBreakBefore w:val="0"/>
        <w:widowControl w:val="0"/>
        <w:suppressAutoHyphens/>
        <w:kinsoku/>
        <w:wordWrap/>
        <w:overflowPunct/>
        <w:topLinePunct w:val="0"/>
        <w:bidi w:val="0"/>
        <w:spacing w:before="0" w:after="0" w:line="460" w:lineRule="exact"/>
        <w:ind w:firstLine="480" w:firstLineChars="200"/>
        <w:textAlignment w:val="auto"/>
        <w:rPr>
          <w:rFonts w:hint="eastAsia" w:ascii="宋体" w:hAnsi="宋体" w:eastAsia="宋体" w:cs="Times New Roman"/>
          <w:sz w:val="24"/>
          <w:szCs w:val="24"/>
        </w:rPr>
      </w:pPr>
      <w:r>
        <w:rPr>
          <w:rFonts w:hint="eastAsia" w:ascii="宋体" w:hAnsi="宋体" w:eastAsia="宋体" w:cs="Times New Roman"/>
          <w:sz w:val="24"/>
          <w:szCs w:val="24"/>
        </w:rPr>
        <w:t>3.2.2 投标人可先到工地踏勘以充分了解工地位置、情况、道路、储存空间、装卸限制及任何其他足以影响承包价的情况，任何因忽视或误解工地情况而导致的索赔或工期延长申请将不被批准。</w:t>
      </w:r>
    </w:p>
    <w:p w14:paraId="2566BC47">
      <w:pPr>
        <w:keepNext w:val="0"/>
        <w:keepLines w:val="0"/>
        <w:pageBreakBefore w:val="0"/>
        <w:widowControl w:val="0"/>
        <w:suppressAutoHyphens/>
        <w:kinsoku/>
        <w:wordWrap/>
        <w:overflowPunct/>
        <w:topLinePunct w:val="0"/>
        <w:bidi w:val="0"/>
        <w:spacing w:before="0" w:after="0" w:line="460" w:lineRule="exact"/>
        <w:ind w:firstLine="480" w:firstLineChars="200"/>
        <w:textAlignment w:val="auto"/>
        <w:rPr>
          <w:rFonts w:ascii="宋体" w:hAnsi="宋体" w:eastAsia="宋体" w:cs="Times New Roman"/>
          <w:sz w:val="24"/>
          <w:szCs w:val="24"/>
        </w:rPr>
      </w:pPr>
      <w:r>
        <w:rPr>
          <w:rFonts w:hint="eastAsia" w:ascii="宋体" w:hAnsi="宋体" w:eastAsia="宋体" w:cs="Times New Roman"/>
          <w:sz w:val="24"/>
          <w:szCs w:val="24"/>
        </w:rPr>
        <w:t>3.2.3 投标人在投标截止时间前修改投标承诺书中的投标总报价，应同时修改第</w:t>
      </w:r>
      <w:r>
        <w:rPr>
          <w:rFonts w:hint="eastAsia" w:ascii="宋体" w:hAnsi="宋体" w:cs="Times New Roman"/>
          <w:sz w:val="24"/>
          <w:szCs w:val="24"/>
          <w:lang w:val="en-US" w:eastAsia="zh-CN"/>
        </w:rPr>
        <w:t>六</w:t>
      </w:r>
      <w:r>
        <w:rPr>
          <w:rFonts w:hint="eastAsia" w:ascii="宋体" w:hAnsi="宋体" w:eastAsia="宋体" w:cs="Times New Roman"/>
          <w:sz w:val="24"/>
          <w:szCs w:val="24"/>
        </w:rPr>
        <w:t xml:space="preserve">章“工程量清单”中的相应报价。此修改须符合本章第4.2 款的有关要求。  </w:t>
      </w:r>
    </w:p>
    <w:p w14:paraId="4934A5EC">
      <w:pPr>
        <w:keepNext w:val="0"/>
        <w:keepLines w:val="0"/>
        <w:pageBreakBefore w:val="0"/>
        <w:widowControl w:val="0"/>
        <w:suppressAutoHyphens/>
        <w:kinsoku/>
        <w:wordWrap/>
        <w:overflowPunct/>
        <w:topLinePunct w:val="0"/>
        <w:autoSpaceDE w:val="0"/>
        <w:autoSpaceDN w:val="0"/>
        <w:bidi w:val="0"/>
        <w:adjustRightInd w:val="0"/>
        <w:snapToGrid/>
        <w:spacing w:before="157" w:beforeLines="50" w:after="0" w:line="460" w:lineRule="exact"/>
        <w:jc w:val="left"/>
        <w:textAlignment w:val="auto"/>
        <w:rPr>
          <w:rFonts w:ascii="宋体" w:hAnsi="宋体" w:eastAsia="宋体" w:cs="黑体"/>
          <w:b/>
          <w:color w:val="auto"/>
          <w:kern w:val="0"/>
          <w:sz w:val="24"/>
          <w:szCs w:val="20"/>
        </w:rPr>
      </w:pPr>
      <w:r>
        <w:rPr>
          <w:rFonts w:ascii="宋体" w:hAnsi="宋体" w:eastAsia="宋体" w:cs="宋体"/>
          <w:b/>
          <w:color w:val="auto"/>
          <w:kern w:val="0"/>
          <w:sz w:val="24"/>
          <w:szCs w:val="20"/>
        </w:rPr>
        <w:t xml:space="preserve">3.3 </w:t>
      </w:r>
      <w:r>
        <w:rPr>
          <w:rFonts w:hint="eastAsia" w:ascii="宋体" w:hAnsi="宋体" w:eastAsia="宋体" w:cs="黑体"/>
          <w:b/>
          <w:color w:val="auto"/>
          <w:kern w:val="0"/>
          <w:sz w:val="24"/>
          <w:szCs w:val="20"/>
        </w:rPr>
        <w:t>投标有效期</w:t>
      </w:r>
    </w:p>
    <w:p w14:paraId="486BFBC3">
      <w:pPr>
        <w:keepNext w:val="0"/>
        <w:keepLines w:val="0"/>
        <w:pageBreakBefore w:val="0"/>
        <w:widowControl w:val="0"/>
        <w:suppressAutoHyphens/>
        <w:kinsoku/>
        <w:wordWrap/>
        <w:overflowPunct/>
        <w:topLinePunct w:val="0"/>
        <w:autoSpaceDE w:val="0"/>
        <w:autoSpaceDN w:val="0"/>
        <w:bidi w:val="0"/>
        <w:adjustRightInd w:val="0"/>
        <w:spacing w:before="0" w:after="0" w:line="460" w:lineRule="exact"/>
        <w:ind w:firstLine="480" w:firstLineChars="200"/>
        <w:textAlignment w:val="auto"/>
        <w:rPr>
          <w:rFonts w:ascii="宋体" w:hAnsi="宋体" w:eastAsia="宋体" w:cs="宋体"/>
          <w:spacing w:val="-8"/>
          <w:kern w:val="0"/>
          <w:sz w:val="24"/>
          <w:szCs w:val="20"/>
        </w:rPr>
      </w:pPr>
      <w:r>
        <w:rPr>
          <w:rFonts w:ascii="宋体" w:hAnsi="宋体" w:eastAsia="宋体" w:cs="宋体"/>
          <w:kern w:val="0"/>
          <w:sz w:val="24"/>
          <w:szCs w:val="20"/>
        </w:rPr>
        <w:t>3.3.1</w:t>
      </w:r>
      <w:r>
        <w:rPr>
          <w:rFonts w:hint="eastAsia" w:ascii="宋体" w:hAnsi="宋体" w:eastAsia="宋体" w:cs="宋体"/>
          <w:kern w:val="0"/>
          <w:sz w:val="24"/>
          <w:szCs w:val="20"/>
        </w:rPr>
        <w:t>在投标人须知前附表规定的投标有效期内，投标人不得要求撤销或修改其投标文件</w:t>
      </w:r>
      <w:r>
        <w:rPr>
          <w:rFonts w:hint="eastAsia" w:ascii="宋体" w:hAnsi="宋体" w:eastAsia="宋体" w:cs="宋体"/>
          <w:spacing w:val="-8"/>
          <w:kern w:val="0"/>
          <w:sz w:val="24"/>
          <w:szCs w:val="20"/>
        </w:rPr>
        <w:t>。</w:t>
      </w:r>
    </w:p>
    <w:p w14:paraId="5D44EDCD">
      <w:pPr>
        <w:keepNext w:val="0"/>
        <w:keepLines w:val="0"/>
        <w:pageBreakBefore w:val="0"/>
        <w:widowControl w:val="0"/>
        <w:suppressAutoHyphens/>
        <w:kinsoku/>
        <w:wordWrap/>
        <w:overflowPunct/>
        <w:topLinePunct w:val="0"/>
        <w:bidi w:val="0"/>
        <w:spacing w:before="0" w:after="0" w:line="460" w:lineRule="exact"/>
        <w:ind w:firstLine="480" w:firstLineChars="200"/>
        <w:textAlignment w:val="auto"/>
        <w:rPr>
          <w:rFonts w:ascii="宋体" w:hAnsi="宋体" w:eastAsia="宋体" w:cs="宋体"/>
          <w:kern w:val="0"/>
          <w:sz w:val="24"/>
          <w:szCs w:val="20"/>
        </w:rPr>
      </w:pPr>
      <w:r>
        <w:rPr>
          <w:rFonts w:ascii="宋体" w:hAnsi="宋体" w:eastAsia="宋体" w:cs="宋体"/>
          <w:kern w:val="0"/>
          <w:sz w:val="24"/>
          <w:szCs w:val="20"/>
        </w:rPr>
        <w:t>3.3.2</w:t>
      </w:r>
      <w:r>
        <w:rPr>
          <w:rFonts w:hint="eastAsia" w:ascii="Times New Roman" w:hAnsi="Times New Roman" w:eastAsia="宋体" w:cs="Times New Roman"/>
          <w:sz w:val="24"/>
          <w:szCs w:val="24"/>
        </w:rPr>
        <w:t>出现特殊情况需要延长投标有效期的，</w:t>
      </w:r>
      <w:r>
        <w:rPr>
          <w:rFonts w:hint="eastAsia" w:ascii="宋体" w:hAnsi="宋体" w:eastAsia="宋体" w:cs="宋体"/>
          <w:kern w:val="0"/>
          <w:sz w:val="24"/>
          <w:szCs w:val="20"/>
        </w:rPr>
        <w:t>招标</w:t>
      </w:r>
      <w:r>
        <w:rPr>
          <w:rFonts w:hint="eastAsia" w:ascii="Times New Roman" w:hAnsi="Times New Roman" w:eastAsia="宋体" w:cs="Times New Roman"/>
          <w:sz w:val="24"/>
          <w:szCs w:val="24"/>
        </w:rPr>
        <w:t>人可通过广州公共资源交易中心网和广东省招标投标监管网发布通知所有投标人延长投标有效期。投标人同意延长的，应相应延长其投标保证金的有效期，但不得要求或被允许修改或撤销其投标文件；投标人拒绝延长的，其投标失效，但投标人有权收回其投标保证金。</w:t>
      </w:r>
    </w:p>
    <w:p w14:paraId="4F2022EC">
      <w:pPr>
        <w:keepNext w:val="0"/>
        <w:keepLines w:val="0"/>
        <w:pageBreakBefore w:val="0"/>
        <w:widowControl w:val="0"/>
        <w:suppressAutoHyphens/>
        <w:kinsoku/>
        <w:wordWrap/>
        <w:overflowPunct/>
        <w:topLinePunct w:val="0"/>
        <w:autoSpaceDE w:val="0"/>
        <w:autoSpaceDN w:val="0"/>
        <w:bidi w:val="0"/>
        <w:adjustRightInd w:val="0"/>
        <w:snapToGrid/>
        <w:spacing w:before="157" w:beforeLines="50" w:after="0" w:line="460" w:lineRule="exact"/>
        <w:jc w:val="left"/>
        <w:textAlignment w:val="auto"/>
        <w:rPr>
          <w:rFonts w:ascii="宋体" w:hAnsi="宋体" w:eastAsia="宋体" w:cs="黑体"/>
          <w:b/>
          <w:kern w:val="0"/>
          <w:sz w:val="24"/>
          <w:szCs w:val="20"/>
        </w:rPr>
      </w:pPr>
      <w:r>
        <w:rPr>
          <w:rFonts w:ascii="宋体" w:hAnsi="宋体" w:eastAsia="宋体" w:cs="黑体"/>
          <w:b/>
          <w:kern w:val="0"/>
          <w:sz w:val="24"/>
          <w:szCs w:val="20"/>
        </w:rPr>
        <w:t xml:space="preserve">3.4 </w:t>
      </w:r>
      <w:r>
        <w:rPr>
          <w:rFonts w:hint="eastAsia" w:ascii="宋体" w:hAnsi="宋体" w:eastAsia="宋体" w:cs="黑体"/>
          <w:b/>
          <w:kern w:val="0"/>
          <w:sz w:val="24"/>
          <w:szCs w:val="20"/>
        </w:rPr>
        <w:t>投标保证金</w:t>
      </w:r>
    </w:p>
    <w:p w14:paraId="45C37253">
      <w:pPr>
        <w:keepNext w:val="0"/>
        <w:keepLines w:val="0"/>
        <w:pageBreakBefore w:val="0"/>
        <w:widowControl w:val="0"/>
        <w:suppressAutoHyphens/>
        <w:kinsoku/>
        <w:wordWrap/>
        <w:overflowPunct/>
        <w:topLinePunct w:val="0"/>
        <w:autoSpaceDE w:val="0"/>
        <w:autoSpaceDN w:val="0"/>
        <w:bidi w:val="0"/>
        <w:adjustRightInd w:val="0"/>
        <w:spacing w:before="0" w:after="0" w:line="460" w:lineRule="exact"/>
        <w:ind w:firstLine="480" w:firstLineChars="200"/>
        <w:textAlignment w:val="auto"/>
        <w:rPr>
          <w:rFonts w:ascii="宋体" w:hAnsi="宋体" w:eastAsia="宋体" w:cs="Times New Roman"/>
          <w:sz w:val="24"/>
          <w:szCs w:val="24"/>
        </w:rPr>
      </w:pPr>
      <w:r>
        <w:rPr>
          <w:rFonts w:ascii="宋体" w:hAnsi="宋体" w:eastAsia="宋体" w:cs="Times New Roman"/>
          <w:sz w:val="24"/>
          <w:szCs w:val="24"/>
        </w:rPr>
        <w:t>3.4.1</w:t>
      </w:r>
      <w:r>
        <w:rPr>
          <w:rFonts w:hint="eastAsia" w:ascii="宋体" w:hAnsi="宋体" w:cs="Times New Roman"/>
          <w:sz w:val="24"/>
          <w:szCs w:val="24"/>
          <w:lang w:val="en-US" w:eastAsia="zh-CN"/>
        </w:rPr>
        <w:t xml:space="preserve"> </w:t>
      </w:r>
      <w:r>
        <w:rPr>
          <w:rFonts w:hint="eastAsia" w:ascii="宋体" w:hAnsi="宋体" w:eastAsia="宋体" w:cs="Times New Roman"/>
          <w:sz w:val="24"/>
          <w:szCs w:val="24"/>
        </w:rPr>
        <w:t>投标人在递交投标文件的同时，应按投标人须知前附表规定的金额、形式递交投标保证金，并作为其投标文件的组成部分。联合体投标的，其投标保证金由牵头人递交，并应符合投标人须知前附表的规定。</w:t>
      </w:r>
    </w:p>
    <w:p w14:paraId="548ECC54">
      <w:pPr>
        <w:keepNext w:val="0"/>
        <w:keepLines w:val="0"/>
        <w:pageBreakBefore w:val="0"/>
        <w:widowControl w:val="0"/>
        <w:suppressAutoHyphens/>
        <w:kinsoku/>
        <w:wordWrap/>
        <w:overflowPunct/>
        <w:topLinePunct w:val="0"/>
        <w:autoSpaceDE w:val="0"/>
        <w:autoSpaceDN w:val="0"/>
        <w:bidi w:val="0"/>
        <w:adjustRightInd w:val="0"/>
        <w:spacing w:before="0" w:after="0" w:line="460" w:lineRule="exact"/>
        <w:ind w:firstLine="480" w:firstLineChars="200"/>
        <w:textAlignment w:val="auto"/>
        <w:rPr>
          <w:rFonts w:ascii="宋体" w:hAnsi="宋体" w:eastAsia="宋体" w:cs="Times New Roman"/>
          <w:sz w:val="24"/>
          <w:szCs w:val="24"/>
        </w:rPr>
      </w:pPr>
      <w:r>
        <w:rPr>
          <w:rFonts w:hint="eastAsia" w:ascii="宋体" w:hAnsi="宋体" w:eastAsia="宋体" w:cs="Times New Roman"/>
          <w:sz w:val="24"/>
          <w:szCs w:val="24"/>
        </w:rPr>
        <w:t>3.4.2 对于不按本章第 3.4.1 项要求提交投标保证金的投标，招标人将视为不响应招标文件，其投标文件作无效投标处理。</w:t>
      </w:r>
    </w:p>
    <w:p w14:paraId="5F9B7204">
      <w:pPr>
        <w:keepNext w:val="0"/>
        <w:keepLines w:val="0"/>
        <w:pageBreakBefore w:val="0"/>
        <w:widowControl w:val="0"/>
        <w:suppressAutoHyphens/>
        <w:kinsoku/>
        <w:wordWrap/>
        <w:overflowPunct/>
        <w:topLinePunct w:val="0"/>
        <w:autoSpaceDE w:val="0"/>
        <w:autoSpaceDN w:val="0"/>
        <w:bidi w:val="0"/>
        <w:adjustRightInd w:val="0"/>
        <w:spacing w:before="0" w:after="0" w:line="460" w:lineRule="exact"/>
        <w:ind w:firstLine="480" w:firstLineChars="200"/>
        <w:textAlignment w:val="auto"/>
        <w:rPr>
          <w:rFonts w:ascii="宋体" w:hAnsi="宋体" w:eastAsia="宋体" w:cs="宋体"/>
          <w:kern w:val="0"/>
          <w:sz w:val="24"/>
          <w:szCs w:val="20"/>
        </w:rPr>
      </w:pPr>
      <w:r>
        <w:rPr>
          <w:rFonts w:ascii="宋体" w:hAnsi="宋体" w:eastAsia="宋体" w:cs="Times New Roman"/>
          <w:sz w:val="24"/>
          <w:szCs w:val="24"/>
        </w:rPr>
        <w:t>3.4.</w:t>
      </w:r>
      <w:r>
        <w:rPr>
          <w:rFonts w:hint="eastAsia" w:ascii="宋体" w:hAnsi="宋体" w:eastAsia="宋体" w:cs="Times New Roman"/>
          <w:sz w:val="24"/>
          <w:szCs w:val="24"/>
        </w:rPr>
        <w:t>3 中标人及中标候选人的投标保证金在招标人与中标人签订合同后5日内退还，其余投标人在中标公示结束后5日内退还投标保证金。投标保证金只能退回投标单位的基本账户。</w:t>
      </w:r>
    </w:p>
    <w:p w14:paraId="2056388B">
      <w:pPr>
        <w:keepNext w:val="0"/>
        <w:keepLines w:val="0"/>
        <w:pageBreakBefore w:val="0"/>
        <w:widowControl w:val="0"/>
        <w:suppressAutoHyphens/>
        <w:kinsoku/>
        <w:wordWrap/>
        <w:overflowPunct/>
        <w:topLinePunct w:val="0"/>
        <w:autoSpaceDE w:val="0"/>
        <w:autoSpaceDN w:val="0"/>
        <w:bidi w:val="0"/>
        <w:adjustRightInd w:val="0"/>
        <w:spacing w:before="0" w:after="0" w:line="460" w:lineRule="exact"/>
        <w:ind w:firstLine="480" w:firstLineChars="200"/>
        <w:textAlignment w:val="auto"/>
        <w:rPr>
          <w:rFonts w:ascii="宋体" w:hAnsi="宋体" w:eastAsia="宋体" w:cs="宋体"/>
          <w:kern w:val="0"/>
          <w:sz w:val="24"/>
          <w:szCs w:val="20"/>
        </w:rPr>
      </w:pPr>
      <w:r>
        <w:rPr>
          <w:rFonts w:hint="eastAsia" w:ascii="宋体" w:hAnsi="宋体" w:eastAsia="宋体" w:cs="宋体"/>
          <w:kern w:val="0"/>
          <w:sz w:val="24"/>
          <w:szCs w:val="20"/>
        </w:rPr>
        <w:t>3.4.4 有下列情形之一的，其投标保证金将不予退还，招标人将按投标人须知前附表公布的本项目投标保证金的金额没收其投标保证金。</w:t>
      </w:r>
    </w:p>
    <w:p w14:paraId="69273D11">
      <w:pPr>
        <w:keepNext w:val="0"/>
        <w:keepLines w:val="0"/>
        <w:pageBreakBefore w:val="0"/>
        <w:widowControl w:val="0"/>
        <w:suppressAutoHyphens/>
        <w:kinsoku/>
        <w:wordWrap/>
        <w:overflowPunct/>
        <w:topLinePunct w:val="0"/>
        <w:autoSpaceDE w:val="0"/>
        <w:autoSpaceDN w:val="0"/>
        <w:bidi w:val="0"/>
        <w:adjustRightInd w:val="0"/>
        <w:spacing w:before="0" w:after="0" w:line="460" w:lineRule="exact"/>
        <w:ind w:firstLine="480" w:firstLineChars="200"/>
        <w:textAlignment w:val="auto"/>
        <w:rPr>
          <w:rFonts w:ascii="宋体" w:hAnsi="宋体" w:eastAsia="宋体" w:cs="宋体"/>
          <w:kern w:val="0"/>
          <w:sz w:val="24"/>
          <w:szCs w:val="20"/>
        </w:rPr>
      </w:pPr>
      <w:r>
        <w:rPr>
          <w:rFonts w:hint="eastAsia" w:ascii="宋体" w:hAnsi="宋体" w:eastAsia="宋体" w:cs="宋体"/>
          <w:kern w:val="0"/>
          <w:sz w:val="24"/>
          <w:szCs w:val="20"/>
        </w:rPr>
        <w:t>（</w:t>
      </w:r>
      <w:r>
        <w:rPr>
          <w:rFonts w:ascii="宋体" w:hAnsi="宋体" w:eastAsia="宋体" w:cs="宋体"/>
          <w:kern w:val="0"/>
          <w:sz w:val="24"/>
          <w:szCs w:val="20"/>
        </w:rPr>
        <w:t>1</w:t>
      </w:r>
      <w:r>
        <w:rPr>
          <w:rFonts w:hint="eastAsia" w:ascii="宋体" w:hAnsi="宋体" w:eastAsia="宋体" w:cs="宋体"/>
          <w:kern w:val="0"/>
          <w:sz w:val="24"/>
          <w:szCs w:val="20"/>
        </w:rPr>
        <w:t>）投标人在规定的投标有效期内撤销或修改其投标文件；</w:t>
      </w:r>
    </w:p>
    <w:p w14:paraId="7D12B36A">
      <w:pPr>
        <w:keepNext w:val="0"/>
        <w:keepLines w:val="0"/>
        <w:pageBreakBefore w:val="0"/>
        <w:widowControl w:val="0"/>
        <w:suppressAutoHyphens/>
        <w:kinsoku/>
        <w:wordWrap/>
        <w:overflowPunct/>
        <w:topLinePunct w:val="0"/>
        <w:autoSpaceDE w:val="0"/>
        <w:autoSpaceDN w:val="0"/>
        <w:bidi w:val="0"/>
        <w:adjustRightInd w:val="0"/>
        <w:spacing w:before="0" w:after="0" w:line="460" w:lineRule="exact"/>
        <w:ind w:firstLine="480" w:firstLineChars="200"/>
        <w:textAlignment w:val="auto"/>
        <w:rPr>
          <w:rFonts w:ascii="宋体" w:hAnsi="宋体" w:eastAsia="宋体" w:cs="宋体"/>
          <w:kern w:val="0"/>
          <w:sz w:val="24"/>
          <w:szCs w:val="20"/>
        </w:rPr>
      </w:pPr>
      <w:r>
        <w:rPr>
          <w:rFonts w:hint="eastAsia" w:ascii="宋体" w:hAnsi="宋体" w:eastAsia="宋体" w:cs="宋体"/>
          <w:kern w:val="0"/>
          <w:sz w:val="24"/>
          <w:szCs w:val="20"/>
        </w:rPr>
        <w:t>（2）投标人在投标过程中提供虚假材料或有其它违规行为的；</w:t>
      </w:r>
    </w:p>
    <w:p w14:paraId="7B40161A">
      <w:pPr>
        <w:keepNext w:val="0"/>
        <w:keepLines w:val="0"/>
        <w:pageBreakBefore w:val="0"/>
        <w:widowControl w:val="0"/>
        <w:suppressAutoHyphens/>
        <w:kinsoku/>
        <w:wordWrap/>
        <w:overflowPunct/>
        <w:topLinePunct w:val="0"/>
        <w:autoSpaceDE w:val="0"/>
        <w:autoSpaceDN w:val="0"/>
        <w:bidi w:val="0"/>
        <w:adjustRightInd w:val="0"/>
        <w:spacing w:before="0" w:after="0" w:line="460" w:lineRule="exact"/>
        <w:ind w:firstLine="480" w:firstLineChars="200"/>
        <w:textAlignment w:val="auto"/>
        <w:rPr>
          <w:rFonts w:hint="eastAsia" w:ascii="宋体" w:hAnsi="宋体" w:eastAsia="宋体" w:cs="宋体"/>
          <w:kern w:val="0"/>
          <w:sz w:val="24"/>
          <w:szCs w:val="20"/>
        </w:rPr>
      </w:pPr>
      <w:r>
        <w:rPr>
          <w:rFonts w:hint="eastAsia" w:ascii="宋体" w:hAnsi="宋体" w:eastAsia="宋体" w:cs="宋体"/>
          <w:kern w:val="0"/>
          <w:sz w:val="24"/>
          <w:szCs w:val="20"/>
        </w:rPr>
        <w:t>（3）</w:t>
      </w:r>
      <w:r>
        <w:rPr>
          <w:rFonts w:hint="eastAsia" w:ascii="宋体" w:hAnsi="宋体" w:eastAsia="宋体" w:cs="宋体"/>
          <w:b w:val="0"/>
          <w:bCs w:val="0"/>
          <w:kern w:val="0"/>
          <w:sz w:val="24"/>
          <w:szCs w:val="20"/>
        </w:rPr>
        <w:t>中标人（包</w:t>
      </w:r>
      <w:r>
        <w:rPr>
          <w:rFonts w:hint="eastAsia" w:ascii="宋体" w:hAnsi="宋体" w:eastAsia="宋体" w:cs="宋体"/>
          <w:kern w:val="0"/>
          <w:sz w:val="24"/>
          <w:szCs w:val="20"/>
        </w:rPr>
        <w:t>括因前中标人放弃中标资格而递补的第二或第三中标人）放弃中标资格；</w:t>
      </w:r>
    </w:p>
    <w:p w14:paraId="5731F9A1">
      <w:pPr>
        <w:keepNext w:val="0"/>
        <w:keepLines w:val="0"/>
        <w:pageBreakBefore w:val="0"/>
        <w:widowControl w:val="0"/>
        <w:suppressAutoHyphens/>
        <w:kinsoku/>
        <w:wordWrap/>
        <w:overflowPunct/>
        <w:topLinePunct w:val="0"/>
        <w:autoSpaceDE w:val="0"/>
        <w:autoSpaceDN w:val="0"/>
        <w:bidi w:val="0"/>
        <w:adjustRightInd w:val="0"/>
        <w:spacing w:before="0" w:after="0" w:line="460" w:lineRule="exact"/>
        <w:ind w:firstLine="480" w:firstLineChars="200"/>
        <w:textAlignment w:val="auto"/>
        <w:rPr>
          <w:rFonts w:hint="eastAsia" w:ascii="宋体" w:hAnsi="宋体" w:eastAsia="宋体" w:cs="宋体"/>
          <w:kern w:val="0"/>
          <w:sz w:val="24"/>
          <w:szCs w:val="20"/>
          <w:lang w:eastAsia="zh-CN"/>
        </w:rPr>
      </w:pPr>
      <w:r>
        <w:rPr>
          <w:rFonts w:hint="eastAsia" w:ascii="宋体" w:hAnsi="宋体" w:eastAsia="宋体" w:cs="宋体"/>
          <w:kern w:val="0"/>
          <w:sz w:val="24"/>
          <w:szCs w:val="20"/>
        </w:rPr>
        <w:t>（</w:t>
      </w:r>
      <w:r>
        <w:rPr>
          <w:rFonts w:hint="eastAsia" w:ascii="宋体" w:hAnsi="宋体" w:eastAsia="宋体" w:cs="宋体"/>
          <w:kern w:val="0"/>
          <w:sz w:val="24"/>
          <w:szCs w:val="20"/>
          <w:lang w:val="en-US" w:eastAsia="zh-CN"/>
        </w:rPr>
        <w:t>4</w:t>
      </w:r>
      <w:r>
        <w:rPr>
          <w:rFonts w:hint="eastAsia" w:ascii="宋体" w:hAnsi="宋体" w:eastAsia="宋体" w:cs="宋体"/>
          <w:kern w:val="0"/>
          <w:sz w:val="24"/>
          <w:szCs w:val="20"/>
        </w:rPr>
        <w:t>）中标人（包括因前中标人放弃中标资格而递补的第二或第三中标人）</w:t>
      </w:r>
      <w:r>
        <w:rPr>
          <w:rFonts w:ascii="宋体" w:hAnsi="宋体" w:eastAsia="宋体" w:cs="宋体"/>
          <w:kern w:val="0"/>
          <w:sz w:val="24"/>
          <w:szCs w:val="20"/>
        </w:rPr>
        <w:t>在收到中标通知书后，无正当理由拒签</w:t>
      </w:r>
      <w:r>
        <w:rPr>
          <w:rFonts w:hint="eastAsia" w:ascii="宋体" w:hAnsi="宋体" w:eastAsia="宋体" w:cs="宋体"/>
          <w:kern w:val="0"/>
          <w:sz w:val="24"/>
          <w:szCs w:val="20"/>
        </w:rPr>
        <w:t>合同</w:t>
      </w:r>
      <w:r>
        <w:rPr>
          <w:rFonts w:hint="eastAsia" w:ascii="宋体" w:hAnsi="宋体" w:cs="宋体"/>
          <w:kern w:val="0"/>
          <w:sz w:val="24"/>
          <w:szCs w:val="20"/>
          <w:lang w:eastAsia="zh-CN"/>
        </w:rPr>
        <w:t>协议书</w:t>
      </w:r>
      <w:r>
        <w:rPr>
          <w:rFonts w:ascii="宋体" w:hAnsi="宋体" w:eastAsia="宋体" w:cs="宋体"/>
          <w:kern w:val="0"/>
          <w:sz w:val="24"/>
          <w:szCs w:val="20"/>
        </w:rPr>
        <w:t>或未按招标文件规定提交履约担保</w:t>
      </w:r>
      <w:r>
        <w:rPr>
          <w:rFonts w:hint="eastAsia" w:ascii="宋体" w:hAnsi="宋体" w:cs="宋体"/>
          <w:kern w:val="0"/>
          <w:sz w:val="24"/>
          <w:szCs w:val="20"/>
          <w:lang w:eastAsia="zh-CN"/>
        </w:rPr>
        <w:t>；</w:t>
      </w:r>
    </w:p>
    <w:p w14:paraId="13F200C1">
      <w:pPr>
        <w:autoSpaceDE w:val="0"/>
        <w:autoSpaceDN w:val="0"/>
        <w:adjustRightInd w:val="0"/>
        <w:spacing w:line="460" w:lineRule="exact"/>
        <w:ind w:firstLine="480" w:firstLineChars="200"/>
      </w:pPr>
      <w:r>
        <w:rPr>
          <w:rFonts w:hint="eastAsia" w:ascii="宋体" w:hAnsi="宋体" w:cs="宋体"/>
          <w:kern w:val="0"/>
          <w:sz w:val="24"/>
        </w:rPr>
        <w:t>（</w:t>
      </w:r>
      <w:r>
        <w:rPr>
          <w:rFonts w:ascii="宋体" w:hAnsi="宋体" w:cs="宋体"/>
          <w:kern w:val="0"/>
          <w:sz w:val="24"/>
        </w:rPr>
        <w:t>5</w:t>
      </w:r>
      <w:r>
        <w:rPr>
          <w:rFonts w:hint="eastAsia" w:ascii="宋体" w:hAnsi="宋体" w:cs="宋体"/>
          <w:kern w:val="0"/>
          <w:sz w:val="24"/>
        </w:rPr>
        <w:t>）有其他违规行为或违反规定、妨碍公平竞争准则的舞弊行为。</w:t>
      </w:r>
    </w:p>
    <w:p w14:paraId="5E313234">
      <w:pPr>
        <w:keepNext w:val="0"/>
        <w:keepLines w:val="0"/>
        <w:pageBreakBefore w:val="0"/>
        <w:widowControl w:val="0"/>
        <w:suppressAutoHyphens/>
        <w:kinsoku/>
        <w:wordWrap/>
        <w:overflowPunct/>
        <w:topLinePunct w:val="0"/>
        <w:autoSpaceDE w:val="0"/>
        <w:autoSpaceDN w:val="0"/>
        <w:bidi w:val="0"/>
        <w:adjustRightInd w:val="0"/>
        <w:snapToGrid/>
        <w:spacing w:before="157" w:beforeLines="50" w:after="0" w:line="460" w:lineRule="exact"/>
        <w:jc w:val="left"/>
        <w:textAlignment w:val="auto"/>
        <w:rPr>
          <w:rFonts w:ascii="宋体" w:hAnsi="宋体" w:eastAsia="宋体" w:cs="TimesNewRomanPSMT"/>
          <w:b/>
          <w:kern w:val="0"/>
          <w:sz w:val="24"/>
          <w:szCs w:val="20"/>
        </w:rPr>
      </w:pPr>
      <w:r>
        <w:rPr>
          <w:rFonts w:ascii="宋体" w:hAnsi="宋体" w:eastAsia="宋体" w:cs="TimesNewRomanPSMT"/>
          <w:b/>
          <w:kern w:val="0"/>
          <w:sz w:val="24"/>
          <w:szCs w:val="20"/>
        </w:rPr>
        <w:t xml:space="preserve">3.5 </w:t>
      </w:r>
      <w:r>
        <w:rPr>
          <w:rFonts w:hint="eastAsia" w:ascii="宋体" w:hAnsi="宋体" w:eastAsia="宋体" w:cs="TimesNewRomanPSMT"/>
          <w:b/>
          <w:kern w:val="0"/>
          <w:sz w:val="24"/>
          <w:szCs w:val="20"/>
        </w:rPr>
        <w:t>资格审查资料</w:t>
      </w:r>
    </w:p>
    <w:p w14:paraId="3CF9827F">
      <w:pPr>
        <w:keepNext w:val="0"/>
        <w:keepLines w:val="0"/>
        <w:pageBreakBefore w:val="0"/>
        <w:widowControl w:val="0"/>
        <w:suppressAutoHyphens/>
        <w:kinsoku/>
        <w:wordWrap/>
        <w:overflowPunct/>
        <w:topLinePunct w:val="0"/>
        <w:autoSpaceDE w:val="0"/>
        <w:autoSpaceDN w:val="0"/>
        <w:bidi w:val="0"/>
        <w:adjustRightInd w:val="0"/>
        <w:spacing w:before="0" w:after="0" w:line="460" w:lineRule="exact"/>
        <w:ind w:firstLine="480" w:firstLineChars="200"/>
        <w:textAlignment w:val="auto"/>
        <w:rPr>
          <w:rFonts w:ascii="宋体" w:hAnsi="宋体" w:eastAsia="宋体" w:cs="宋体"/>
          <w:spacing w:val="-2"/>
          <w:kern w:val="0"/>
          <w:sz w:val="24"/>
          <w:szCs w:val="20"/>
        </w:rPr>
      </w:pPr>
      <w:r>
        <w:rPr>
          <w:rFonts w:ascii="宋体" w:hAnsi="宋体" w:eastAsia="宋体" w:cs="宋体"/>
          <w:kern w:val="0"/>
          <w:sz w:val="24"/>
          <w:szCs w:val="20"/>
        </w:rPr>
        <w:t>3.5.</w:t>
      </w:r>
      <w:r>
        <w:rPr>
          <w:rFonts w:hint="eastAsia" w:ascii="宋体" w:hAnsi="宋体" w:eastAsia="宋体" w:cs="宋体"/>
          <w:kern w:val="0"/>
          <w:sz w:val="24"/>
          <w:szCs w:val="20"/>
        </w:rPr>
        <w:t>1</w:t>
      </w:r>
      <w:r>
        <w:rPr>
          <w:rFonts w:hint="eastAsia" w:ascii="宋体" w:hAnsi="宋体" w:cs="宋体"/>
          <w:kern w:val="0"/>
          <w:sz w:val="24"/>
          <w:szCs w:val="20"/>
          <w:lang w:val="en-US" w:eastAsia="zh-CN"/>
        </w:rPr>
        <w:t xml:space="preserve"> </w:t>
      </w:r>
      <w:r>
        <w:rPr>
          <w:rFonts w:hint="eastAsia" w:ascii="宋体" w:hAnsi="TimesNewRomanPSMT" w:eastAsia="宋体" w:cs="宋体"/>
          <w:spacing w:val="-2"/>
          <w:kern w:val="0"/>
          <w:sz w:val="24"/>
          <w:szCs w:val="24"/>
        </w:rPr>
        <w:t>投标人在编制投标文件时，应按投标人须知前附表要求的资格审查条件提供全部的资料，以证明具备承担本标段</w:t>
      </w:r>
      <w:r>
        <w:rPr>
          <w:rFonts w:hint="eastAsia" w:ascii="宋体" w:hAnsi="TimesNewRomanPSMT" w:cs="宋体"/>
          <w:spacing w:val="-2"/>
          <w:kern w:val="0"/>
          <w:sz w:val="24"/>
          <w:szCs w:val="24"/>
          <w:lang w:val="en-US" w:eastAsia="zh-CN"/>
        </w:rPr>
        <w:t>货物</w:t>
      </w:r>
      <w:r>
        <w:rPr>
          <w:rFonts w:hint="eastAsia" w:ascii="宋体" w:hAnsi="TimesNewRomanPSMT" w:eastAsia="宋体" w:cs="宋体"/>
          <w:spacing w:val="-2"/>
          <w:kern w:val="0"/>
          <w:sz w:val="24"/>
          <w:szCs w:val="24"/>
        </w:rPr>
        <w:t>的资质条件、能力和信誉。</w:t>
      </w:r>
    </w:p>
    <w:p w14:paraId="3EFFA506">
      <w:pPr>
        <w:keepNext w:val="0"/>
        <w:keepLines w:val="0"/>
        <w:pageBreakBefore w:val="0"/>
        <w:widowControl w:val="0"/>
        <w:suppressAutoHyphens/>
        <w:kinsoku/>
        <w:wordWrap/>
        <w:overflowPunct/>
        <w:topLinePunct w:val="0"/>
        <w:autoSpaceDE w:val="0"/>
        <w:autoSpaceDN w:val="0"/>
        <w:bidi w:val="0"/>
        <w:adjustRightInd w:val="0"/>
        <w:spacing w:before="0" w:after="0" w:line="460" w:lineRule="exact"/>
        <w:ind w:firstLine="480" w:firstLineChars="200"/>
        <w:textAlignment w:val="auto"/>
        <w:rPr>
          <w:rFonts w:ascii="宋体" w:hAnsi="宋体" w:eastAsia="宋体" w:cs="Times New Roman"/>
          <w:sz w:val="24"/>
          <w:szCs w:val="24"/>
        </w:rPr>
      </w:pPr>
      <w:r>
        <w:rPr>
          <w:rFonts w:hint="eastAsia" w:ascii="宋体" w:hAnsi="宋体" w:eastAsia="宋体" w:cs="Times New Roman"/>
          <w:sz w:val="24"/>
          <w:szCs w:val="20"/>
        </w:rPr>
        <w:t xml:space="preserve">3.5.2 </w:t>
      </w:r>
      <w:r>
        <w:rPr>
          <w:rFonts w:hint="eastAsia" w:ascii="宋体" w:hAnsi="宋体" w:eastAsia="宋体" w:cs="宋体"/>
          <w:sz w:val="24"/>
          <w:szCs w:val="24"/>
        </w:rPr>
        <w:t>招标人有权保留对投标人所提交的</w:t>
      </w:r>
      <w:r>
        <w:rPr>
          <w:rFonts w:hint="eastAsia" w:ascii="宋体" w:hAnsi="宋体" w:eastAsia="宋体" w:cs="Times New Roman"/>
          <w:sz w:val="24"/>
          <w:szCs w:val="20"/>
        </w:rPr>
        <w:t>资格审查证明</w:t>
      </w:r>
      <w:r>
        <w:rPr>
          <w:rFonts w:hint="eastAsia" w:ascii="宋体" w:hAnsi="宋体" w:eastAsia="宋体" w:cs="宋体"/>
          <w:sz w:val="24"/>
          <w:szCs w:val="24"/>
        </w:rPr>
        <w:t>资料进</w:t>
      </w:r>
      <w:r>
        <w:rPr>
          <w:rFonts w:hint="eastAsia" w:ascii="宋体" w:hAnsi="宋体" w:eastAsia="宋体" w:cs="Times New Roman"/>
          <w:sz w:val="24"/>
          <w:szCs w:val="20"/>
        </w:rPr>
        <w:t>一步</w:t>
      </w:r>
      <w:r>
        <w:rPr>
          <w:rFonts w:hint="eastAsia" w:ascii="宋体" w:hAnsi="宋体" w:eastAsia="宋体" w:cs="宋体"/>
          <w:sz w:val="24"/>
          <w:szCs w:val="24"/>
        </w:rPr>
        <w:t>核实和要求澄清的权力，投标人应对报送证明材料的真实性负责。</w:t>
      </w:r>
      <w:r>
        <w:rPr>
          <w:rFonts w:hint="eastAsia" w:ascii="宋体" w:hAnsi="宋体" w:eastAsia="宋体" w:cs="Times New Roman"/>
          <w:sz w:val="24"/>
          <w:szCs w:val="20"/>
        </w:rPr>
        <w:t>若发现投标人有提供虚假资料的行为，招标人有权取消其中标资格并没收其投标保证金</w:t>
      </w:r>
      <w:r>
        <w:rPr>
          <w:rFonts w:hint="eastAsia" w:ascii="宋体" w:hAnsi="宋体" w:eastAsia="宋体" w:cs="Times New Roman"/>
          <w:sz w:val="24"/>
          <w:szCs w:val="24"/>
        </w:rPr>
        <w:t>，同时招标人将投标人以上弄虚作假行为上报</w:t>
      </w:r>
      <w:r>
        <w:rPr>
          <w:rFonts w:hint="eastAsia" w:ascii="宋体" w:hAnsi="宋体" w:cs="Times New Roman"/>
          <w:sz w:val="24"/>
          <w:szCs w:val="24"/>
          <w:lang w:val="en-US" w:eastAsia="zh-CN"/>
        </w:rPr>
        <w:t>有关</w:t>
      </w:r>
      <w:r>
        <w:rPr>
          <w:rFonts w:hint="eastAsia" w:ascii="宋体" w:hAnsi="宋体" w:eastAsia="宋体" w:cs="Times New Roman"/>
          <w:sz w:val="24"/>
          <w:szCs w:val="24"/>
        </w:rPr>
        <w:t>行政主管部门。</w:t>
      </w:r>
    </w:p>
    <w:p w14:paraId="38FA559F">
      <w:pPr>
        <w:keepNext w:val="0"/>
        <w:keepLines w:val="0"/>
        <w:pageBreakBefore w:val="0"/>
        <w:widowControl w:val="0"/>
        <w:suppressAutoHyphens/>
        <w:kinsoku/>
        <w:wordWrap/>
        <w:overflowPunct/>
        <w:topLinePunct w:val="0"/>
        <w:autoSpaceDE w:val="0"/>
        <w:autoSpaceDN w:val="0"/>
        <w:bidi w:val="0"/>
        <w:adjustRightInd w:val="0"/>
        <w:snapToGrid/>
        <w:spacing w:before="157" w:beforeLines="50" w:after="0" w:line="460" w:lineRule="exact"/>
        <w:jc w:val="left"/>
        <w:textAlignment w:val="auto"/>
        <w:rPr>
          <w:rFonts w:ascii="宋体" w:hAnsi="宋体" w:eastAsia="宋体" w:cs="黑体"/>
          <w:b/>
          <w:kern w:val="0"/>
          <w:sz w:val="24"/>
          <w:szCs w:val="20"/>
        </w:rPr>
      </w:pPr>
      <w:r>
        <w:rPr>
          <w:rFonts w:ascii="宋体" w:hAnsi="宋体" w:eastAsia="宋体" w:cs="宋体"/>
          <w:b/>
          <w:kern w:val="0"/>
          <w:sz w:val="24"/>
          <w:szCs w:val="20"/>
        </w:rPr>
        <w:t xml:space="preserve">3.6 </w:t>
      </w:r>
      <w:r>
        <w:rPr>
          <w:rFonts w:hint="eastAsia" w:ascii="宋体" w:hAnsi="宋体" w:eastAsia="宋体" w:cs="黑体"/>
          <w:b/>
          <w:kern w:val="0"/>
          <w:sz w:val="24"/>
          <w:szCs w:val="20"/>
        </w:rPr>
        <w:t>备选投标方案</w:t>
      </w:r>
    </w:p>
    <w:p w14:paraId="3C0074C1">
      <w:pPr>
        <w:keepNext w:val="0"/>
        <w:keepLines w:val="0"/>
        <w:pageBreakBefore w:val="0"/>
        <w:widowControl w:val="0"/>
        <w:suppressAutoHyphens/>
        <w:kinsoku/>
        <w:wordWrap/>
        <w:overflowPunct/>
        <w:topLinePunct w:val="0"/>
        <w:bidi w:val="0"/>
        <w:spacing w:before="0" w:after="0" w:line="460" w:lineRule="exact"/>
        <w:ind w:firstLine="480" w:firstLineChars="200"/>
        <w:textAlignment w:val="auto"/>
        <w:rPr>
          <w:rFonts w:ascii="宋体" w:hAnsi="宋体" w:eastAsia="宋体" w:cs="宋体"/>
          <w:kern w:val="0"/>
          <w:sz w:val="24"/>
          <w:szCs w:val="20"/>
        </w:rPr>
      </w:pPr>
      <w:r>
        <w:rPr>
          <w:rFonts w:hint="eastAsia" w:ascii="宋体" w:hAnsi="宋体" w:eastAsia="宋体" w:cs="宋体"/>
          <w:kern w:val="0"/>
          <w:sz w:val="24"/>
          <w:szCs w:val="20"/>
        </w:rPr>
        <w:t>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14:paraId="226D4A0E">
      <w:pPr>
        <w:keepNext w:val="0"/>
        <w:keepLines w:val="0"/>
        <w:pageBreakBefore w:val="0"/>
        <w:widowControl w:val="0"/>
        <w:suppressAutoHyphens/>
        <w:kinsoku/>
        <w:wordWrap/>
        <w:overflowPunct/>
        <w:topLinePunct w:val="0"/>
        <w:autoSpaceDE w:val="0"/>
        <w:autoSpaceDN w:val="0"/>
        <w:bidi w:val="0"/>
        <w:adjustRightInd w:val="0"/>
        <w:snapToGrid/>
        <w:spacing w:before="157" w:beforeLines="50" w:after="0" w:line="460" w:lineRule="exact"/>
        <w:jc w:val="left"/>
        <w:textAlignment w:val="auto"/>
        <w:rPr>
          <w:rFonts w:ascii="宋体" w:hAnsi="宋体" w:eastAsia="宋体" w:cs="黑体"/>
          <w:b/>
          <w:color w:val="auto"/>
          <w:kern w:val="0"/>
          <w:sz w:val="24"/>
          <w:szCs w:val="20"/>
        </w:rPr>
      </w:pPr>
      <w:r>
        <w:rPr>
          <w:rFonts w:ascii="宋体" w:hAnsi="宋体" w:eastAsia="宋体" w:cs="宋体"/>
          <w:b/>
          <w:color w:val="auto"/>
          <w:kern w:val="0"/>
          <w:sz w:val="24"/>
          <w:szCs w:val="20"/>
        </w:rPr>
        <w:t xml:space="preserve">3.7 </w:t>
      </w:r>
      <w:r>
        <w:rPr>
          <w:rFonts w:hint="eastAsia" w:ascii="宋体" w:hAnsi="宋体" w:eastAsia="宋体" w:cs="黑体"/>
          <w:b/>
          <w:color w:val="auto"/>
          <w:kern w:val="0"/>
          <w:sz w:val="24"/>
          <w:szCs w:val="20"/>
        </w:rPr>
        <w:t>投标文件的编制</w:t>
      </w:r>
    </w:p>
    <w:p w14:paraId="71A8E8C5">
      <w:pPr>
        <w:keepNext w:val="0"/>
        <w:keepLines w:val="0"/>
        <w:pageBreakBefore w:val="0"/>
        <w:widowControl w:val="0"/>
        <w:suppressAutoHyphens/>
        <w:kinsoku/>
        <w:wordWrap/>
        <w:overflowPunct/>
        <w:topLinePunct w:val="0"/>
        <w:autoSpaceDE w:val="0"/>
        <w:autoSpaceDN w:val="0"/>
        <w:bidi w:val="0"/>
        <w:adjustRightInd w:val="0"/>
        <w:spacing w:before="0" w:after="0" w:line="460" w:lineRule="exact"/>
        <w:ind w:firstLine="480" w:firstLineChars="200"/>
        <w:textAlignment w:val="auto"/>
        <w:rPr>
          <w:rFonts w:ascii="宋体" w:hAnsi="宋体" w:eastAsia="宋体" w:cs="宋体"/>
          <w:spacing w:val="-2"/>
          <w:kern w:val="0"/>
          <w:sz w:val="24"/>
          <w:szCs w:val="20"/>
        </w:rPr>
      </w:pPr>
      <w:r>
        <w:rPr>
          <w:rFonts w:ascii="宋体" w:hAnsi="宋体" w:eastAsia="宋体" w:cs="宋体"/>
          <w:kern w:val="0"/>
          <w:sz w:val="24"/>
          <w:szCs w:val="20"/>
        </w:rPr>
        <w:t xml:space="preserve">3.7.1 </w:t>
      </w:r>
      <w:r>
        <w:rPr>
          <w:rFonts w:hint="eastAsia" w:ascii="宋体" w:hAnsi="宋体" w:eastAsia="宋体" w:cs="宋体"/>
          <w:spacing w:val="-2"/>
          <w:kern w:val="0"/>
          <w:sz w:val="24"/>
          <w:szCs w:val="20"/>
        </w:rPr>
        <w:t>投标文件应按第</w:t>
      </w:r>
      <w:r>
        <w:rPr>
          <w:rFonts w:hint="eastAsia" w:ascii="宋体" w:hAnsi="宋体" w:cs="宋体"/>
          <w:spacing w:val="-2"/>
          <w:kern w:val="0"/>
          <w:sz w:val="24"/>
          <w:szCs w:val="20"/>
          <w:lang w:val="en-US" w:eastAsia="zh-CN"/>
        </w:rPr>
        <w:t>八</w:t>
      </w:r>
      <w:r>
        <w:rPr>
          <w:rFonts w:hint="eastAsia" w:ascii="宋体" w:hAnsi="宋体" w:eastAsia="宋体" w:cs="宋体"/>
          <w:spacing w:val="-2"/>
          <w:kern w:val="0"/>
          <w:sz w:val="24"/>
          <w:szCs w:val="20"/>
        </w:rPr>
        <w:t>章“投标文件格式”进行编写和正确签署、盖章，如有必要可增加附页，作为投标文件的组成部分。其中，投标函附录在满足招标文件实质性要求的基础上，可以提出比招标文件要求更有利于招标人的承诺。</w:t>
      </w:r>
    </w:p>
    <w:p w14:paraId="504AE54B">
      <w:pPr>
        <w:keepNext w:val="0"/>
        <w:keepLines w:val="0"/>
        <w:pageBreakBefore w:val="0"/>
        <w:widowControl w:val="0"/>
        <w:suppressAutoHyphens/>
        <w:kinsoku/>
        <w:wordWrap/>
        <w:overflowPunct/>
        <w:topLinePunct w:val="0"/>
        <w:autoSpaceDE w:val="0"/>
        <w:autoSpaceDN w:val="0"/>
        <w:bidi w:val="0"/>
        <w:adjustRightInd w:val="0"/>
        <w:spacing w:before="0" w:after="0" w:line="460" w:lineRule="exact"/>
        <w:ind w:firstLine="480" w:firstLineChars="200"/>
        <w:textAlignment w:val="auto"/>
        <w:rPr>
          <w:rFonts w:ascii="宋体" w:hAnsi="宋体" w:eastAsia="宋体" w:cs="宋体"/>
          <w:kern w:val="0"/>
          <w:sz w:val="24"/>
          <w:szCs w:val="20"/>
        </w:rPr>
      </w:pPr>
      <w:r>
        <w:rPr>
          <w:rFonts w:ascii="宋体" w:hAnsi="宋体" w:eastAsia="宋体" w:cs="宋体"/>
          <w:kern w:val="0"/>
          <w:sz w:val="24"/>
          <w:szCs w:val="20"/>
        </w:rPr>
        <w:t xml:space="preserve">3.7.2 </w:t>
      </w:r>
      <w:r>
        <w:rPr>
          <w:rFonts w:hint="eastAsia" w:ascii="宋体" w:hAnsi="宋体" w:eastAsia="宋体" w:cs="宋体"/>
          <w:kern w:val="0"/>
          <w:sz w:val="24"/>
          <w:szCs w:val="20"/>
        </w:rPr>
        <w:t>投标文件应当对招标文件有关</w:t>
      </w:r>
      <w:r>
        <w:rPr>
          <w:rFonts w:hint="eastAsia" w:ascii="宋体" w:hAnsi="宋体" w:cs="宋体"/>
          <w:kern w:val="0"/>
          <w:sz w:val="24"/>
          <w:szCs w:val="20"/>
          <w:lang w:eastAsia="zh-CN"/>
        </w:rPr>
        <w:t>工期</w:t>
      </w:r>
      <w:r>
        <w:rPr>
          <w:rFonts w:hint="eastAsia" w:ascii="宋体" w:hAnsi="宋体" w:eastAsia="宋体" w:cs="宋体"/>
          <w:kern w:val="0"/>
          <w:sz w:val="24"/>
          <w:szCs w:val="20"/>
        </w:rPr>
        <w:t>、投标有效期、质量要求、技术标准和要求、招标范围等实质性内容作出响应。</w:t>
      </w:r>
    </w:p>
    <w:p w14:paraId="62AC58B2">
      <w:pPr>
        <w:keepNext w:val="0"/>
        <w:keepLines w:val="0"/>
        <w:pageBreakBefore w:val="0"/>
        <w:widowControl w:val="0"/>
        <w:suppressAutoHyphens/>
        <w:kinsoku/>
        <w:wordWrap/>
        <w:overflowPunct/>
        <w:topLinePunct w:val="0"/>
        <w:autoSpaceDE w:val="0"/>
        <w:autoSpaceDN w:val="0"/>
        <w:bidi w:val="0"/>
        <w:adjustRightInd w:val="0"/>
        <w:spacing w:before="0" w:after="0" w:line="460" w:lineRule="exact"/>
        <w:ind w:firstLine="480" w:firstLineChars="200"/>
        <w:textAlignment w:val="auto"/>
        <w:rPr>
          <w:rFonts w:ascii="宋体" w:hAnsi="宋体" w:eastAsia="宋体" w:cs="Times New Roman"/>
          <w:sz w:val="24"/>
          <w:szCs w:val="20"/>
        </w:rPr>
      </w:pPr>
      <w:r>
        <w:rPr>
          <w:rFonts w:hint="eastAsia" w:ascii="宋体" w:hAnsi="宋体" w:eastAsia="宋体" w:cs="宋体"/>
          <w:kern w:val="0"/>
          <w:sz w:val="24"/>
          <w:szCs w:val="20"/>
        </w:rPr>
        <w:t>3.7.3 投标人应使用广州公共资源交易中心的投标文件管理软件进行投标文件的合成、电子签章及加密打包工作，所有电子投标文件不能进行压缩处理。电子投标文件统一采用网络上传的形式，投标人需登录广州公共资源交易中心网站投标人服务区在递交投标文件截止时间前完整上传至广州公共资源交易中心的信息系统。</w:t>
      </w:r>
    </w:p>
    <w:p w14:paraId="18328505">
      <w:pPr>
        <w:keepNext w:val="0"/>
        <w:keepLines w:val="0"/>
        <w:pageBreakBefore w:val="0"/>
        <w:widowControl w:val="0"/>
        <w:suppressAutoHyphens/>
        <w:kinsoku/>
        <w:wordWrap/>
        <w:overflowPunct/>
        <w:topLinePunct w:val="0"/>
        <w:bidi w:val="0"/>
        <w:spacing w:before="0" w:after="0" w:line="460" w:lineRule="exact"/>
        <w:ind w:firstLine="480" w:firstLineChars="200"/>
        <w:textAlignment w:val="auto"/>
        <w:rPr>
          <w:rFonts w:ascii="宋体" w:hAnsi="宋体" w:eastAsia="宋体" w:cs="宋体"/>
          <w:kern w:val="0"/>
          <w:sz w:val="24"/>
          <w:szCs w:val="20"/>
        </w:rPr>
      </w:pPr>
      <w:r>
        <w:rPr>
          <w:rFonts w:hint="eastAsia" w:ascii="宋体" w:hAnsi="宋体" w:eastAsia="宋体" w:cs="宋体"/>
          <w:kern w:val="0"/>
          <w:sz w:val="24"/>
          <w:szCs w:val="20"/>
        </w:rPr>
        <w:t>3.7.4</w:t>
      </w:r>
      <w:r>
        <w:rPr>
          <w:rFonts w:hint="eastAsia" w:ascii="宋体" w:hAnsi="宋体" w:eastAsia="宋体" w:cs="Times New Roman"/>
          <w:sz w:val="24"/>
          <w:szCs w:val="20"/>
        </w:rPr>
        <w:t>投标人应使用依法设立的电子认证服务机构签发的电子签名认证证书对电子投标文件进行电子签章。该电子签章与盖单位公章具有同等的法律效力。</w:t>
      </w:r>
    </w:p>
    <w:p w14:paraId="2DE33D06">
      <w:pPr>
        <w:keepNext w:val="0"/>
        <w:keepLines w:val="0"/>
        <w:pageBreakBefore w:val="0"/>
        <w:widowControl w:val="0"/>
        <w:suppressAutoHyphens/>
        <w:kinsoku/>
        <w:wordWrap/>
        <w:overflowPunct/>
        <w:topLinePunct w:val="0"/>
        <w:bidi w:val="0"/>
        <w:spacing w:before="0" w:after="0" w:line="460" w:lineRule="exact"/>
        <w:ind w:firstLine="480" w:firstLineChars="200"/>
        <w:textAlignment w:val="auto"/>
        <w:rPr>
          <w:rFonts w:ascii="宋体" w:hAnsi="宋体" w:eastAsia="宋体" w:cs="Times New Roman"/>
          <w:sz w:val="24"/>
          <w:szCs w:val="20"/>
        </w:rPr>
      </w:pPr>
      <w:r>
        <w:rPr>
          <w:rFonts w:hint="eastAsia" w:ascii="宋体" w:hAnsi="宋体" w:eastAsia="宋体" w:cs="Times New Roman"/>
          <w:sz w:val="24"/>
          <w:szCs w:val="20"/>
        </w:rPr>
        <w:t xml:space="preserve">3.7.5 </w:t>
      </w:r>
      <w:r>
        <w:rPr>
          <w:rFonts w:hint="eastAsia" w:ascii="宋体" w:hAnsi="宋体" w:eastAsia="宋体" w:cs="Times New Roman"/>
          <w:spacing w:val="-3"/>
          <w:sz w:val="24"/>
          <w:szCs w:val="24"/>
        </w:rPr>
        <w:t>投标文件全部采用电子文档，投标文件所附证书证件均为纸质原件的清晰扫描件并加盖单位公章（或用单位数字证书加盖电子公章）。签字或盖章的具体要求见投标人须知前附表。</w:t>
      </w:r>
    </w:p>
    <w:p w14:paraId="601E86B8">
      <w:pPr>
        <w:keepNext w:val="0"/>
        <w:keepLines w:val="0"/>
        <w:pageBreakBefore w:val="0"/>
        <w:widowControl w:val="0"/>
        <w:suppressAutoHyphens/>
        <w:kinsoku/>
        <w:wordWrap/>
        <w:overflowPunct/>
        <w:topLinePunct w:val="0"/>
        <w:bidi w:val="0"/>
        <w:spacing w:before="0" w:after="0" w:line="460" w:lineRule="exact"/>
        <w:ind w:firstLine="480" w:firstLineChars="200"/>
        <w:textAlignment w:val="auto"/>
        <w:rPr>
          <w:rFonts w:hint="eastAsia" w:ascii="宋体" w:hAnsi="宋体" w:eastAsia="宋体" w:cs="宋体"/>
          <w:b/>
          <w:spacing w:val="-3"/>
          <w:kern w:val="0"/>
          <w:sz w:val="24"/>
          <w:szCs w:val="20"/>
        </w:rPr>
      </w:pPr>
      <w:r>
        <w:rPr>
          <w:rFonts w:hint="eastAsia" w:ascii="宋体" w:hAnsi="宋体" w:eastAsia="宋体" w:cs="Times New Roman"/>
          <w:sz w:val="24"/>
          <w:szCs w:val="20"/>
        </w:rPr>
        <w:t>3</w:t>
      </w:r>
      <w:r>
        <w:rPr>
          <w:rFonts w:ascii="宋体" w:hAnsi="宋体" w:eastAsia="宋体" w:cs="Times New Roman"/>
          <w:sz w:val="24"/>
          <w:szCs w:val="20"/>
        </w:rPr>
        <w:t>.</w:t>
      </w:r>
      <w:r>
        <w:rPr>
          <w:rFonts w:hint="eastAsia" w:ascii="宋体" w:hAnsi="宋体" w:eastAsia="宋体" w:cs="Times New Roman"/>
          <w:sz w:val="24"/>
          <w:szCs w:val="20"/>
        </w:rPr>
        <w:t>7.</w:t>
      </w:r>
      <w:r>
        <w:rPr>
          <w:rFonts w:hint="eastAsia" w:ascii="宋体" w:hAnsi="宋体" w:eastAsia="宋体" w:cs="Times New Roman"/>
          <w:b w:val="0"/>
          <w:bCs w:val="0"/>
          <w:sz w:val="24"/>
          <w:szCs w:val="20"/>
        </w:rPr>
        <w:t>6</w:t>
      </w:r>
      <w:r>
        <w:rPr>
          <w:rFonts w:hint="eastAsia" w:ascii="宋体" w:hAnsi="宋体" w:eastAsia="宋体" w:cs="宋体"/>
          <w:b w:val="0"/>
          <w:bCs w:val="0"/>
          <w:kern w:val="0"/>
          <w:sz w:val="24"/>
          <w:szCs w:val="20"/>
        </w:rPr>
        <w:t>投标文件应按照广州公共资源交易平台关于全流程电子化项目的相关指南进行编制。如因不按上述编排要求编制而所引起系统无法检索、读取相关信息时，其后果将由投标人自行承担。</w:t>
      </w:r>
    </w:p>
    <w:p w14:paraId="58E9F862">
      <w:pPr>
        <w:keepNext w:val="0"/>
        <w:keepLines w:val="0"/>
        <w:pageBreakBefore w:val="0"/>
        <w:widowControl w:val="0"/>
        <w:suppressAutoHyphens/>
        <w:kinsoku/>
        <w:wordWrap/>
        <w:overflowPunct/>
        <w:topLinePunct w:val="0"/>
        <w:autoSpaceDE/>
        <w:autoSpaceDN/>
        <w:bidi w:val="0"/>
        <w:adjustRightInd/>
        <w:snapToGrid/>
        <w:spacing w:before="313" w:beforeLines="100" w:after="0" w:line="460" w:lineRule="exact"/>
        <w:textAlignment w:val="auto"/>
        <w:outlineLvl w:val="2"/>
        <w:rPr>
          <w:rFonts w:ascii="宋体" w:hAnsi="宋体" w:eastAsia="宋体" w:cs="Times New Roman"/>
          <w:b/>
          <w:sz w:val="30"/>
          <w:szCs w:val="30"/>
        </w:rPr>
      </w:pPr>
      <w:r>
        <w:rPr>
          <w:rFonts w:hint="eastAsia" w:ascii="宋体" w:hAnsi="宋体" w:eastAsia="宋体" w:cs="Times New Roman"/>
          <w:b/>
          <w:sz w:val="30"/>
          <w:szCs w:val="30"/>
        </w:rPr>
        <w:t>4.投 标</w:t>
      </w:r>
    </w:p>
    <w:p w14:paraId="062BA3EF">
      <w:pPr>
        <w:keepNext w:val="0"/>
        <w:keepLines w:val="0"/>
        <w:pageBreakBefore w:val="0"/>
        <w:widowControl w:val="0"/>
        <w:suppressAutoHyphens/>
        <w:kinsoku/>
        <w:wordWrap/>
        <w:overflowPunct/>
        <w:topLinePunct w:val="0"/>
        <w:bidi w:val="0"/>
        <w:spacing w:before="0" w:after="0" w:line="460" w:lineRule="exact"/>
        <w:textAlignment w:val="auto"/>
        <w:rPr>
          <w:rFonts w:ascii="宋体" w:hAnsi="宋体" w:eastAsia="宋体" w:cs="Times New Roman"/>
          <w:b/>
          <w:sz w:val="24"/>
          <w:szCs w:val="20"/>
        </w:rPr>
      </w:pPr>
      <w:r>
        <w:rPr>
          <w:rFonts w:hint="eastAsia" w:ascii="宋体" w:hAnsi="宋体" w:eastAsia="宋体" w:cs="Times New Roman"/>
          <w:b/>
          <w:sz w:val="24"/>
          <w:szCs w:val="20"/>
        </w:rPr>
        <w:t xml:space="preserve">4.1 </w:t>
      </w:r>
      <w:r>
        <w:rPr>
          <w:rFonts w:ascii="宋体" w:hAnsi="宋体" w:eastAsia="宋体" w:cs="Times New Roman"/>
          <w:b/>
          <w:sz w:val="24"/>
          <w:szCs w:val="20"/>
        </w:rPr>
        <w:t>投标文件的密封和标记</w:t>
      </w:r>
    </w:p>
    <w:p w14:paraId="3BC0DA5F">
      <w:pPr>
        <w:keepNext w:val="0"/>
        <w:keepLines w:val="0"/>
        <w:pageBreakBefore w:val="0"/>
        <w:widowControl w:val="0"/>
        <w:tabs>
          <w:tab w:val="left" w:pos="525"/>
        </w:tabs>
        <w:suppressAutoHyphens/>
        <w:kinsoku/>
        <w:wordWrap/>
        <w:overflowPunct/>
        <w:topLinePunct w:val="0"/>
        <w:bidi w:val="0"/>
        <w:adjustRightInd w:val="0"/>
        <w:snapToGrid w:val="0"/>
        <w:spacing w:before="0" w:after="0" w:line="460" w:lineRule="exact"/>
        <w:ind w:firstLine="480" w:firstLineChars="200"/>
        <w:textAlignment w:val="auto"/>
        <w:rPr>
          <w:rFonts w:ascii="宋体" w:hAnsi="宋体" w:eastAsia="宋体" w:cs="Times New Roman"/>
          <w:sz w:val="24"/>
          <w:szCs w:val="20"/>
        </w:rPr>
      </w:pPr>
      <w:r>
        <w:rPr>
          <w:rFonts w:hint="eastAsia" w:ascii="宋体" w:hAnsi="宋体" w:eastAsia="宋体" w:cs="Times New Roman"/>
          <w:sz w:val="24"/>
          <w:szCs w:val="20"/>
        </w:rPr>
        <w:t>4.1.1</w:t>
      </w:r>
      <w:r>
        <w:rPr>
          <w:rFonts w:hint="eastAsia" w:ascii="宋体" w:hAnsi="宋体" w:eastAsia="宋体" w:cs="Times New Roman"/>
          <w:sz w:val="24"/>
          <w:szCs w:val="24"/>
        </w:rPr>
        <w:t>投标人应当按照招标文件和电子招标投标交易平台的要求加密网上递交的电子投标文件，具体要求见投标人须知前附表。</w:t>
      </w:r>
    </w:p>
    <w:p w14:paraId="1D5EE62C">
      <w:pPr>
        <w:keepNext w:val="0"/>
        <w:keepLines w:val="0"/>
        <w:pageBreakBefore w:val="0"/>
        <w:widowControl w:val="0"/>
        <w:suppressAutoHyphens/>
        <w:kinsoku/>
        <w:wordWrap/>
        <w:overflowPunct/>
        <w:topLinePunct w:val="0"/>
        <w:bidi w:val="0"/>
        <w:spacing w:before="0" w:after="0" w:line="460" w:lineRule="exact"/>
        <w:ind w:firstLine="480" w:firstLineChars="200"/>
        <w:textAlignment w:val="auto"/>
        <w:rPr>
          <w:rFonts w:hint="eastAsia" w:ascii="Times New Roman" w:hAnsi="Times New Roman" w:eastAsia="宋体" w:cs="Times New Roman"/>
          <w:sz w:val="24"/>
          <w:szCs w:val="20"/>
        </w:rPr>
      </w:pPr>
      <w:r>
        <w:rPr>
          <w:rFonts w:hint="eastAsia" w:ascii="宋体" w:hAnsi="宋体" w:eastAsia="宋体" w:cs="Times New Roman"/>
          <w:sz w:val="24"/>
          <w:szCs w:val="20"/>
        </w:rPr>
        <w:t>4</w:t>
      </w:r>
      <w:r>
        <w:rPr>
          <w:rFonts w:ascii="宋体" w:hAnsi="宋体" w:eastAsia="宋体" w:cs="Times New Roman"/>
          <w:sz w:val="24"/>
          <w:szCs w:val="20"/>
        </w:rPr>
        <w:t>.</w:t>
      </w:r>
      <w:r>
        <w:rPr>
          <w:rFonts w:hint="eastAsia" w:ascii="宋体" w:hAnsi="宋体" w:eastAsia="宋体" w:cs="Times New Roman"/>
          <w:sz w:val="24"/>
          <w:szCs w:val="20"/>
        </w:rPr>
        <w:t xml:space="preserve">1.2 </w:t>
      </w:r>
      <w:r>
        <w:rPr>
          <w:rFonts w:hint="eastAsia" w:ascii="Times New Roman" w:hAnsi="Times New Roman" w:eastAsia="宋体" w:cs="Times New Roman"/>
          <w:sz w:val="24"/>
          <w:szCs w:val="20"/>
        </w:rPr>
        <w:t>投标文件备用电子 U 盘包装于一袋（包），加贴封条，并在密封袋两端封口处皆应有由投标单位法定代表人或委托代理人签名并加盖投标人单位公章。</w:t>
      </w:r>
    </w:p>
    <w:p w14:paraId="7EB8EDA1">
      <w:pPr>
        <w:pStyle w:val="15"/>
        <w:keepNext w:val="0"/>
        <w:keepLines w:val="0"/>
        <w:pageBreakBefore w:val="0"/>
        <w:widowControl/>
        <w:kinsoku/>
        <w:wordWrap/>
        <w:overflowPunct/>
        <w:topLinePunct w:val="0"/>
        <w:autoSpaceDE/>
        <w:autoSpaceDN/>
        <w:bidi w:val="0"/>
        <w:adjustRightInd/>
        <w:snapToGrid/>
        <w:spacing w:line="460" w:lineRule="exact"/>
        <w:ind w:left="0" w:leftChars="0" w:firstLine="480" w:firstLineChars="200"/>
        <w:textAlignment w:val="auto"/>
        <w:rPr>
          <w:rFonts w:hint="eastAsia" w:ascii="Times New Roman" w:hAnsi="Times New Roman" w:eastAsia="宋体" w:cs="Times New Roman"/>
          <w:color w:val="auto"/>
          <w:kern w:val="2"/>
          <w:sz w:val="24"/>
          <w:szCs w:val="20"/>
          <w:lang w:val="en-US" w:eastAsia="zh-CN" w:bidi="ar-SA"/>
        </w:rPr>
      </w:pPr>
      <w:r>
        <w:rPr>
          <w:rFonts w:hint="eastAsia" w:ascii="Times New Roman" w:hAnsi="Times New Roman" w:eastAsia="宋体" w:cs="Times New Roman"/>
          <w:color w:val="auto"/>
          <w:kern w:val="2"/>
          <w:sz w:val="24"/>
          <w:szCs w:val="20"/>
          <w:lang w:val="en-US" w:eastAsia="zh-CN" w:bidi="ar-SA"/>
        </w:rPr>
        <w:t>在密封袋面上应写明：</w:t>
      </w:r>
    </w:p>
    <w:p w14:paraId="79A76768">
      <w:pPr>
        <w:pStyle w:val="15"/>
        <w:keepNext w:val="0"/>
        <w:keepLines w:val="0"/>
        <w:pageBreakBefore w:val="0"/>
        <w:widowControl/>
        <w:kinsoku/>
        <w:wordWrap/>
        <w:overflowPunct/>
        <w:topLinePunct w:val="0"/>
        <w:autoSpaceDE/>
        <w:autoSpaceDN/>
        <w:bidi w:val="0"/>
        <w:adjustRightInd/>
        <w:snapToGrid/>
        <w:spacing w:line="460" w:lineRule="exact"/>
        <w:ind w:left="0" w:leftChars="0" w:firstLine="480" w:firstLineChars="200"/>
        <w:textAlignment w:val="auto"/>
        <w:rPr>
          <w:rFonts w:hint="eastAsia" w:ascii="宋体" w:hAnsi="宋体" w:eastAsia="宋体" w:cs="宋体"/>
          <w:color w:val="auto"/>
          <w:kern w:val="2"/>
          <w:sz w:val="24"/>
          <w:szCs w:val="20"/>
          <w:u w:val="single"/>
          <w:lang w:val="en-US" w:eastAsia="zh-CN" w:bidi="ar-SA"/>
        </w:rPr>
      </w:pPr>
      <w:r>
        <w:rPr>
          <w:rFonts w:hint="eastAsia" w:ascii="宋体" w:hAnsi="宋体" w:eastAsia="宋体" w:cs="宋体"/>
          <w:color w:val="auto"/>
          <w:kern w:val="2"/>
          <w:sz w:val="24"/>
          <w:szCs w:val="20"/>
          <w:lang w:val="en-US" w:eastAsia="zh-CN" w:bidi="ar-SA"/>
        </w:rPr>
        <w:t>（1）招标项目名称及其编号</w:t>
      </w:r>
      <w:r>
        <w:rPr>
          <w:rFonts w:hint="eastAsia" w:ascii="宋体" w:hAnsi="宋体" w:eastAsia="宋体" w:cs="宋体"/>
          <w:color w:val="auto"/>
          <w:kern w:val="2"/>
          <w:sz w:val="24"/>
          <w:szCs w:val="20"/>
          <w:u w:val="none"/>
          <w:lang w:val="en-US" w:eastAsia="zh-CN" w:bidi="ar-SA"/>
        </w:rPr>
        <w:t xml:space="preserve">                                          </w:t>
      </w:r>
      <w:r>
        <w:rPr>
          <w:rFonts w:hint="eastAsia" w:ascii="宋体" w:hAnsi="宋体" w:eastAsia="宋体" w:cs="宋体"/>
          <w:color w:val="auto"/>
          <w:kern w:val="2"/>
          <w:sz w:val="24"/>
          <w:szCs w:val="20"/>
          <w:u w:val="single"/>
          <w:lang w:val="en-US" w:eastAsia="zh-CN" w:bidi="ar-SA"/>
        </w:rPr>
        <w:t xml:space="preserve">  </w:t>
      </w:r>
    </w:p>
    <w:p w14:paraId="68A4A90C">
      <w:pPr>
        <w:pStyle w:val="15"/>
        <w:keepNext w:val="0"/>
        <w:keepLines w:val="0"/>
        <w:pageBreakBefore w:val="0"/>
        <w:widowControl/>
        <w:kinsoku/>
        <w:wordWrap/>
        <w:overflowPunct/>
        <w:topLinePunct w:val="0"/>
        <w:autoSpaceDE/>
        <w:autoSpaceDN/>
        <w:bidi w:val="0"/>
        <w:adjustRightInd/>
        <w:snapToGrid/>
        <w:spacing w:line="460" w:lineRule="exact"/>
        <w:ind w:left="0" w:leftChars="0" w:firstLine="480" w:firstLineChars="200"/>
        <w:textAlignment w:val="auto"/>
        <w:rPr>
          <w:rFonts w:hint="default" w:ascii="宋体" w:hAnsi="宋体" w:eastAsia="宋体" w:cs="宋体"/>
          <w:color w:val="auto"/>
          <w:kern w:val="2"/>
          <w:sz w:val="24"/>
          <w:szCs w:val="20"/>
          <w:lang w:val="en-US" w:eastAsia="zh-CN" w:bidi="ar-SA"/>
        </w:rPr>
      </w:pPr>
      <w:r>
        <w:rPr>
          <w:rFonts w:hint="eastAsia" w:ascii="宋体" w:hAnsi="宋体" w:eastAsia="宋体" w:cs="宋体"/>
          <w:color w:val="auto"/>
          <w:kern w:val="2"/>
          <w:sz w:val="24"/>
          <w:szCs w:val="20"/>
          <w:lang w:val="en-US" w:eastAsia="zh-CN" w:bidi="ar-SA"/>
        </w:rPr>
        <w:t>（2）投标人的名称和地址</w:t>
      </w:r>
      <w:r>
        <w:rPr>
          <w:rFonts w:hint="eastAsia" w:ascii="宋体" w:hAnsi="宋体" w:eastAsia="宋体" w:cs="宋体"/>
          <w:color w:val="auto"/>
          <w:kern w:val="2"/>
          <w:sz w:val="24"/>
          <w:szCs w:val="20"/>
          <w:u w:val="single"/>
          <w:lang w:val="en-US" w:eastAsia="zh-CN" w:bidi="ar-SA"/>
        </w:rPr>
        <w:t xml:space="preserve">               </w:t>
      </w:r>
    </w:p>
    <w:p w14:paraId="088DED2F">
      <w:pPr>
        <w:pStyle w:val="15"/>
        <w:keepNext w:val="0"/>
        <w:keepLines w:val="0"/>
        <w:pageBreakBefore w:val="0"/>
        <w:widowControl/>
        <w:kinsoku/>
        <w:wordWrap/>
        <w:overflowPunct/>
        <w:topLinePunct w:val="0"/>
        <w:autoSpaceDE/>
        <w:autoSpaceDN/>
        <w:bidi w:val="0"/>
        <w:adjustRightInd/>
        <w:snapToGrid/>
        <w:spacing w:line="460" w:lineRule="exact"/>
        <w:ind w:left="0" w:leftChars="0" w:firstLine="480" w:firstLineChars="200"/>
        <w:textAlignment w:val="auto"/>
        <w:rPr>
          <w:rFonts w:hint="eastAsia" w:ascii="宋体" w:hAnsi="宋体" w:eastAsia="宋体" w:cs="宋体"/>
          <w:color w:val="auto"/>
          <w:kern w:val="2"/>
          <w:sz w:val="24"/>
          <w:szCs w:val="20"/>
          <w:lang w:val="en-US" w:eastAsia="zh-CN" w:bidi="ar-SA"/>
        </w:rPr>
      </w:pPr>
      <w:r>
        <w:rPr>
          <w:rFonts w:hint="eastAsia" w:ascii="宋体" w:hAnsi="宋体" w:eastAsia="宋体" w:cs="宋体"/>
          <w:color w:val="auto"/>
          <w:kern w:val="2"/>
          <w:sz w:val="24"/>
          <w:szCs w:val="20"/>
          <w:lang w:val="en-US" w:eastAsia="zh-CN" w:bidi="ar-SA"/>
        </w:rPr>
        <w:t>（3）在</w:t>
      </w:r>
      <w:r>
        <w:rPr>
          <w:rFonts w:hint="eastAsia" w:ascii="宋体" w:hAnsi="宋体" w:eastAsia="宋体" w:cs="宋体"/>
          <w:color w:val="auto"/>
          <w:kern w:val="2"/>
          <w:sz w:val="24"/>
          <w:szCs w:val="20"/>
          <w:u w:val="single"/>
          <w:lang w:val="en-US" w:eastAsia="zh-CN" w:bidi="ar-SA"/>
        </w:rPr>
        <w:t xml:space="preserve"> 202</w:t>
      </w:r>
      <w:r>
        <w:rPr>
          <w:rFonts w:hint="eastAsia" w:cs="宋体"/>
          <w:color w:val="auto"/>
          <w:kern w:val="2"/>
          <w:sz w:val="24"/>
          <w:szCs w:val="20"/>
          <w:u w:val="single"/>
          <w:lang w:val="en-US" w:eastAsia="zh-CN" w:bidi="ar-SA"/>
        </w:rPr>
        <w:t>5</w:t>
      </w:r>
      <w:r>
        <w:rPr>
          <w:rFonts w:hint="eastAsia" w:ascii="宋体" w:hAnsi="宋体" w:eastAsia="宋体" w:cs="宋体"/>
          <w:color w:val="auto"/>
          <w:kern w:val="2"/>
          <w:sz w:val="24"/>
          <w:szCs w:val="20"/>
          <w:u w:val="single"/>
          <w:lang w:val="en-US" w:eastAsia="zh-CN" w:bidi="ar-SA"/>
        </w:rPr>
        <w:t xml:space="preserve"> 年  月  日  时  分 </w:t>
      </w:r>
      <w:r>
        <w:rPr>
          <w:rFonts w:hint="eastAsia" w:ascii="宋体" w:hAnsi="宋体" w:eastAsia="宋体" w:cs="宋体"/>
          <w:color w:val="auto"/>
          <w:kern w:val="2"/>
          <w:sz w:val="24"/>
          <w:szCs w:val="20"/>
          <w:lang w:val="en-US" w:eastAsia="zh-CN" w:bidi="ar-SA"/>
        </w:rPr>
        <w:t>前不得开启</w:t>
      </w:r>
    </w:p>
    <w:p w14:paraId="7F354C90">
      <w:pPr>
        <w:keepNext w:val="0"/>
        <w:keepLines w:val="0"/>
        <w:pageBreakBefore w:val="0"/>
        <w:widowControl w:val="0"/>
        <w:suppressAutoHyphens/>
        <w:kinsoku/>
        <w:wordWrap/>
        <w:overflowPunct/>
        <w:topLinePunct w:val="0"/>
        <w:bidi w:val="0"/>
        <w:spacing w:before="0" w:after="0" w:line="460" w:lineRule="exact"/>
        <w:ind w:firstLine="480" w:firstLineChars="200"/>
        <w:textAlignment w:val="auto"/>
        <w:rPr>
          <w:rFonts w:hint="eastAsia" w:ascii="宋体" w:hAnsi="宋体" w:eastAsia="宋体" w:cs="Times New Roman"/>
          <w:sz w:val="24"/>
          <w:szCs w:val="20"/>
        </w:rPr>
      </w:pPr>
      <w:r>
        <w:rPr>
          <w:rFonts w:hint="eastAsia" w:ascii="宋体" w:hAnsi="宋体" w:eastAsia="宋体" w:cs="Times New Roman"/>
          <w:sz w:val="24"/>
          <w:szCs w:val="20"/>
        </w:rPr>
        <w:t>4.1.3 未按本项要求密封和加写标记的投标文件备用电子 U 盘，招标人不予受理。</w:t>
      </w:r>
    </w:p>
    <w:p w14:paraId="4FA04075">
      <w:pPr>
        <w:keepNext w:val="0"/>
        <w:keepLines w:val="0"/>
        <w:pageBreakBefore w:val="0"/>
        <w:widowControl w:val="0"/>
        <w:suppressAutoHyphens/>
        <w:kinsoku/>
        <w:wordWrap/>
        <w:overflowPunct/>
        <w:topLinePunct w:val="0"/>
        <w:bidi w:val="0"/>
        <w:spacing w:before="0" w:after="0" w:line="460" w:lineRule="exact"/>
        <w:ind w:firstLine="480" w:firstLineChars="200"/>
        <w:textAlignment w:val="auto"/>
        <w:rPr>
          <w:rFonts w:hint="eastAsia" w:ascii="Times New Roman" w:hAnsi="Times New Roman" w:eastAsia="宋体" w:cs="Times New Roman"/>
          <w:sz w:val="24"/>
          <w:szCs w:val="20"/>
          <w:lang w:val="en-US" w:eastAsia="zh-CN"/>
        </w:rPr>
      </w:pPr>
      <w:r>
        <w:rPr>
          <w:rFonts w:hint="eastAsia" w:ascii="宋体" w:hAnsi="宋体" w:eastAsia="宋体" w:cs="Times New Roman"/>
          <w:sz w:val="24"/>
          <w:szCs w:val="20"/>
        </w:rPr>
        <w:t>4.1.</w:t>
      </w:r>
      <w:r>
        <w:rPr>
          <w:rFonts w:hint="eastAsia" w:ascii="宋体" w:hAnsi="宋体" w:eastAsia="宋体" w:cs="Times New Roman"/>
          <w:sz w:val="24"/>
          <w:szCs w:val="20"/>
          <w:lang w:val="en-US" w:eastAsia="zh-CN"/>
        </w:rPr>
        <w:t>4</w:t>
      </w:r>
      <w:r>
        <w:rPr>
          <w:rFonts w:hint="eastAsia" w:ascii="宋体" w:hAnsi="宋体" w:eastAsia="宋体" w:cs="Times New Roman"/>
          <w:sz w:val="24"/>
          <w:szCs w:val="20"/>
        </w:rPr>
        <w:t xml:space="preserve"> </w:t>
      </w:r>
      <w:r>
        <w:rPr>
          <w:rFonts w:hint="eastAsia" w:ascii="Times New Roman" w:hAnsi="Times New Roman" w:eastAsia="宋体" w:cs="Times New Roman"/>
          <w:sz w:val="24"/>
          <w:szCs w:val="20"/>
        </w:rPr>
        <w:t>投标人也可不递交投标文件备用电子U盘，但当因投标人原因解密失败且未递交备</w:t>
      </w:r>
      <w:r>
        <w:rPr>
          <w:rFonts w:hint="eastAsia" w:ascii="Times New Roman" w:hAnsi="Times New Roman" w:eastAsia="宋体" w:cs="Times New Roman"/>
          <w:sz w:val="24"/>
          <w:szCs w:val="20"/>
          <w:lang w:val="en-US" w:eastAsia="zh-CN"/>
        </w:rPr>
        <w:t>用电子 U 盘或递交的备用电子 U 盘不能读取或导入的，视为未递交投标文件或撤回投标文件。</w:t>
      </w:r>
    </w:p>
    <w:p w14:paraId="42A7B3D8">
      <w:pPr>
        <w:keepNext w:val="0"/>
        <w:keepLines w:val="0"/>
        <w:pageBreakBefore w:val="0"/>
        <w:widowControl w:val="0"/>
        <w:suppressAutoHyphens/>
        <w:kinsoku/>
        <w:wordWrap/>
        <w:overflowPunct/>
        <w:topLinePunct w:val="0"/>
        <w:autoSpaceDE/>
        <w:autoSpaceDN/>
        <w:bidi w:val="0"/>
        <w:adjustRightInd/>
        <w:snapToGrid/>
        <w:spacing w:before="157" w:beforeLines="50" w:after="0" w:line="460" w:lineRule="exact"/>
        <w:textAlignment w:val="auto"/>
        <w:rPr>
          <w:rFonts w:ascii="宋体" w:hAnsi="宋体" w:eastAsia="宋体" w:cs="Times New Roman"/>
          <w:b/>
          <w:sz w:val="24"/>
          <w:szCs w:val="24"/>
        </w:rPr>
      </w:pPr>
      <w:r>
        <w:rPr>
          <w:rFonts w:hint="eastAsia" w:ascii="宋体" w:hAnsi="宋体" w:eastAsia="宋体" w:cs="Times New Roman"/>
          <w:b/>
          <w:sz w:val="24"/>
          <w:szCs w:val="24"/>
        </w:rPr>
        <w:t>4.2 投标文件的递交</w:t>
      </w:r>
    </w:p>
    <w:p w14:paraId="49283042">
      <w:pPr>
        <w:keepNext w:val="0"/>
        <w:keepLines w:val="0"/>
        <w:pageBreakBefore w:val="0"/>
        <w:widowControl w:val="0"/>
        <w:suppressAutoHyphens/>
        <w:kinsoku/>
        <w:wordWrap/>
        <w:overflowPunct/>
        <w:topLinePunct w:val="0"/>
        <w:autoSpaceDE w:val="0"/>
        <w:autoSpaceDN w:val="0"/>
        <w:bidi w:val="0"/>
        <w:adjustRightInd w:val="0"/>
        <w:spacing w:before="0" w:after="0" w:line="460" w:lineRule="exact"/>
        <w:ind w:firstLine="480" w:firstLineChars="200"/>
        <w:textAlignment w:val="auto"/>
        <w:rPr>
          <w:rFonts w:ascii="宋体" w:hAnsi="宋体" w:eastAsia="宋体" w:cs="宋体"/>
          <w:kern w:val="0"/>
          <w:sz w:val="24"/>
          <w:szCs w:val="20"/>
        </w:rPr>
      </w:pPr>
      <w:r>
        <w:rPr>
          <w:rFonts w:ascii="宋体" w:hAnsi="宋体" w:eastAsia="宋体" w:cs="宋体"/>
          <w:kern w:val="0"/>
          <w:sz w:val="24"/>
          <w:szCs w:val="20"/>
        </w:rPr>
        <w:t xml:space="preserve">4.2.1 </w:t>
      </w:r>
      <w:r>
        <w:rPr>
          <w:rFonts w:hint="eastAsia" w:ascii="宋体" w:hAnsi="宋体" w:eastAsia="宋体" w:cs="宋体"/>
          <w:kern w:val="0"/>
          <w:sz w:val="24"/>
          <w:szCs w:val="20"/>
        </w:rPr>
        <w:t>投标人应在投标人须知前附表规定的投标截止时间前递交投标文件。</w:t>
      </w:r>
    </w:p>
    <w:p w14:paraId="71FDA8A8">
      <w:pPr>
        <w:keepNext w:val="0"/>
        <w:keepLines w:val="0"/>
        <w:pageBreakBefore w:val="0"/>
        <w:widowControl w:val="0"/>
        <w:suppressAutoHyphens/>
        <w:kinsoku/>
        <w:wordWrap/>
        <w:overflowPunct/>
        <w:topLinePunct w:val="0"/>
        <w:autoSpaceDE w:val="0"/>
        <w:autoSpaceDN w:val="0"/>
        <w:bidi w:val="0"/>
        <w:adjustRightInd w:val="0"/>
        <w:spacing w:before="0" w:after="0" w:line="460" w:lineRule="exact"/>
        <w:ind w:firstLine="480" w:firstLineChars="200"/>
        <w:textAlignment w:val="auto"/>
        <w:rPr>
          <w:rFonts w:ascii="宋体" w:hAnsi="宋体" w:eastAsia="宋体" w:cs="宋体"/>
          <w:kern w:val="0"/>
          <w:sz w:val="24"/>
          <w:szCs w:val="20"/>
        </w:rPr>
      </w:pPr>
      <w:r>
        <w:rPr>
          <w:rFonts w:ascii="宋体" w:hAnsi="宋体" w:eastAsia="宋体" w:cs="宋体"/>
          <w:kern w:val="0"/>
          <w:sz w:val="24"/>
          <w:szCs w:val="20"/>
        </w:rPr>
        <w:t xml:space="preserve">4.2.2 </w:t>
      </w:r>
      <w:r>
        <w:rPr>
          <w:rFonts w:hint="eastAsia" w:ascii="宋体" w:hAnsi="宋体" w:eastAsia="宋体" w:cs="宋体"/>
          <w:kern w:val="0"/>
          <w:sz w:val="24"/>
          <w:szCs w:val="20"/>
        </w:rPr>
        <w:t>投标人递交投标文件的地点：见投标人须知前附表。</w:t>
      </w:r>
    </w:p>
    <w:p w14:paraId="21E84CBA">
      <w:pPr>
        <w:keepNext w:val="0"/>
        <w:keepLines w:val="0"/>
        <w:pageBreakBefore w:val="0"/>
        <w:widowControl w:val="0"/>
        <w:suppressAutoHyphens/>
        <w:kinsoku/>
        <w:wordWrap/>
        <w:overflowPunct/>
        <w:topLinePunct w:val="0"/>
        <w:autoSpaceDE w:val="0"/>
        <w:autoSpaceDN w:val="0"/>
        <w:bidi w:val="0"/>
        <w:adjustRightInd w:val="0"/>
        <w:spacing w:before="0" w:after="0" w:line="460" w:lineRule="exact"/>
        <w:ind w:firstLine="480" w:firstLineChars="200"/>
        <w:textAlignment w:val="auto"/>
        <w:rPr>
          <w:rFonts w:ascii="宋体" w:hAnsi="宋体" w:eastAsia="宋体" w:cs="宋体"/>
          <w:kern w:val="0"/>
          <w:sz w:val="24"/>
          <w:szCs w:val="20"/>
        </w:rPr>
      </w:pPr>
      <w:r>
        <w:rPr>
          <w:rFonts w:ascii="宋体" w:hAnsi="宋体" w:eastAsia="宋体" w:cs="宋体"/>
          <w:kern w:val="0"/>
          <w:sz w:val="24"/>
          <w:szCs w:val="20"/>
        </w:rPr>
        <w:t xml:space="preserve">4.2.3 </w:t>
      </w:r>
      <w:r>
        <w:rPr>
          <w:rFonts w:hint="eastAsia" w:ascii="宋体" w:hAnsi="宋体" w:eastAsia="宋体" w:cs="宋体"/>
          <w:kern w:val="0"/>
          <w:sz w:val="24"/>
          <w:szCs w:val="20"/>
        </w:rPr>
        <w:t>除投标人须知前附表另有规定外，投标人所递交的投标文件不予退还。</w:t>
      </w:r>
    </w:p>
    <w:p w14:paraId="1B52976F">
      <w:pPr>
        <w:keepNext w:val="0"/>
        <w:keepLines w:val="0"/>
        <w:pageBreakBefore w:val="0"/>
        <w:widowControl w:val="0"/>
        <w:suppressAutoHyphens/>
        <w:kinsoku/>
        <w:wordWrap/>
        <w:overflowPunct/>
        <w:topLinePunct w:val="0"/>
        <w:autoSpaceDE w:val="0"/>
        <w:autoSpaceDN w:val="0"/>
        <w:bidi w:val="0"/>
        <w:adjustRightInd w:val="0"/>
        <w:spacing w:before="0" w:after="0" w:line="460" w:lineRule="exact"/>
        <w:ind w:firstLine="480" w:firstLineChars="200"/>
        <w:textAlignment w:val="auto"/>
        <w:rPr>
          <w:rFonts w:ascii="宋体" w:hAnsi="宋体" w:eastAsia="宋体" w:cs="宋体"/>
          <w:kern w:val="0"/>
          <w:sz w:val="24"/>
          <w:szCs w:val="20"/>
        </w:rPr>
      </w:pPr>
      <w:r>
        <w:rPr>
          <w:rFonts w:ascii="宋体" w:hAnsi="宋体" w:eastAsia="宋体" w:cs="宋体"/>
          <w:kern w:val="0"/>
          <w:sz w:val="24"/>
          <w:szCs w:val="20"/>
        </w:rPr>
        <w:t>4.2.</w:t>
      </w:r>
      <w:r>
        <w:rPr>
          <w:rFonts w:hint="eastAsia" w:ascii="宋体" w:hAnsi="宋体" w:eastAsia="宋体" w:cs="宋体"/>
          <w:kern w:val="0"/>
          <w:sz w:val="24"/>
          <w:szCs w:val="20"/>
        </w:rPr>
        <w:t xml:space="preserve">4 </w:t>
      </w:r>
      <w:r>
        <w:rPr>
          <w:rFonts w:hint="eastAsia" w:ascii="宋体" w:hAnsi="宋体" w:eastAsia="宋体" w:cs="Times New Roman"/>
          <w:sz w:val="24"/>
          <w:szCs w:val="20"/>
        </w:rPr>
        <w:t>投标人完成电子投标文件上传后，电子招标投标交易平台即时向投标人发出递交回执通知。递交时间以递交回执通知载明的传输完成时间为准。逾期送达的投标文件，电子招标投标交易平台将予以拒收。逾期导致不能上传到系统的投标文件，招标人不予受理。</w:t>
      </w:r>
    </w:p>
    <w:p w14:paraId="431BAD34">
      <w:pPr>
        <w:keepNext w:val="0"/>
        <w:keepLines w:val="0"/>
        <w:pageBreakBefore w:val="0"/>
        <w:widowControl w:val="0"/>
        <w:suppressAutoHyphens/>
        <w:kinsoku/>
        <w:wordWrap/>
        <w:overflowPunct/>
        <w:topLinePunct w:val="0"/>
        <w:bidi w:val="0"/>
        <w:spacing w:before="0" w:after="0" w:line="460" w:lineRule="exact"/>
        <w:ind w:firstLine="480" w:firstLineChars="200"/>
        <w:textAlignment w:val="auto"/>
        <w:rPr>
          <w:rFonts w:ascii="宋体" w:hAnsi="宋体" w:eastAsia="宋体" w:cs="Times New Roman"/>
          <w:b/>
          <w:sz w:val="24"/>
          <w:szCs w:val="24"/>
        </w:rPr>
      </w:pPr>
      <w:r>
        <w:rPr>
          <w:rFonts w:ascii="宋体" w:hAnsi="宋体" w:eastAsia="宋体" w:cs="宋体"/>
          <w:kern w:val="0"/>
          <w:sz w:val="24"/>
          <w:szCs w:val="20"/>
        </w:rPr>
        <w:t>4.2.</w:t>
      </w:r>
      <w:r>
        <w:rPr>
          <w:rFonts w:hint="eastAsia" w:ascii="宋体" w:hAnsi="宋体" w:eastAsia="宋体" w:cs="宋体"/>
          <w:kern w:val="0"/>
          <w:sz w:val="24"/>
          <w:szCs w:val="20"/>
        </w:rPr>
        <w:t>5</w:t>
      </w:r>
      <w:r>
        <w:rPr>
          <w:rFonts w:hint="eastAsia" w:ascii="宋体" w:hAnsi="宋体" w:eastAsia="宋体" w:cs="Times New Roman"/>
          <w:sz w:val="24"/>
          <w:szCs w:val="20"/>
        </w:rPr>
        <w:t>在特殊情况下，招标人如果决定延后递交投标截止时间，应于投标人须知前附表规定的时间前，</w:t>
      </w:r>
      <w:r>
        <w:rPr>
          <w:rFonts w:hint="eastAsia" w:ascii="宋体" w:hAnsi="宋体" w:eastAsia="宋体" w:cs="宋体"/>
          <w:kern w:val="0"/>
          <w:sz w:val="24"/>
          <w:szCs w:val="24"/>
        </w:rPr>
        <w:t>在广州公共资源交易中心网发出修改通知。</w:t>
      </w:r>
      <w:r>
        <w:rPr>
          <w:rFonts w:hint="eastAsia" w:ascii="宋体" w:hAnsi="宋体" w:eastAsia="宋体" w:cs="Times New Roman"/>
          <w:sz w:val="24"/>
          <w:szCs w:val="20"/>
        </w:rPr>
        <w:t>在此情况下，招标人和投标人的权利和义务相应延后至新的投标截止时间。</w:t>
      </w:r>
    </w:p>
    <w:p w14:paraId="5796758D">
      <w:pPr>
        <w:keepNext w:val="0"/>
        <w:keepLines w:val="0"/>
        <w:pageBreakBefore w:val="0"/>
        <w:widowControl w:val="0"/>
        <w:suppressAutoHyphens/>
        <w:kinsoku/>
        <w:wordWrap/>
        <w:overflowPunct/>
        <w:topLinePunct w:val="0"/>
        <w:autoSpaceDE/>
        <w:autoSpaceDN/>
        <w:bidi w:val="0"/>
        <w:adjustRightInd/>
        <w:snapToGrid/>
        <w:spacing w:before="157" w:beforeLines="50" w:after="0" w:line="460" w:lineRule="exact"/>
        <w:textAlignment w:val="auto"/>
        <w:rPr>
          <w:rFonts w:ascii="宋体" w:hAnsi="宋体" w:eastAsia="宋体" w:cs="Times New Roman"/>
          <w:b/>
          <w:sz w:val="24"/>
          <w:szCs w:val="24"/>
        </w:rPr>
      </w:pPr>
      <w:r>
        <w:rPr>
          <w:rFonts w:hint="eastAsia" w:ascii="宋体" w:hAnsi="宋体" w:eastAsia="宋体" w:cs="Times New Roman"/>
          <w:b/>
          <w:sz w:val="24"/>
          <w:szCs w:val="24"/>
        </w:rPr>
        <w:t xml:space="preserve">4.3 </w:t>
      </w:r>
      <w:r>
        <w:rPr>
          <w:rFonts w:ascii="宋体" w:hAnsi="宋体" w:eastAsia="宋体" w:cs="Times New Roman"/>
          <w:b/>
          <w:sz w:val="24"/>
          <w:szCs w:val="24"/>
        </w:rPr>
        <w:t>投标文件的修改和撤回</w:t>
      </w:r>
    </w:p>
    <w:p w14:paraId="3E30A6AF">
      <w:pPr>
        <w:keepNext w:val="0"/>
        <w:keepLines w:val="0"/>
        <w:pageBreakBefore w:val="0"/>
        <w:widowControl w:val="0"/>
        <w:suppressAutoHyphens/>
        <w:kinsoku/>
        <w:wordWrap/>
        <w:overflowPunct/>
        <w:topLinePunct w:val="0"/>
        <w:autoSpaceDE w:val="0"/>
        <w:autoSpaceDN w:val="0"/>
        <w:bidi w:val="0"/>
        <w:adjustRightInd w:val="0"/>
        <w:spacing w:before="0" w:after="0" w:line="460" w:lineRule="exact"/>
        <w:ind w:firstLine="480" w:firstLineChars="200"/>
        <w:textAlignment w:val="auto"/>
        <w:rPr>
          <w:rFonts w:ascii="宋体" w:hAnsi="宋体" w:eastAsia="宋体" w:cs="宋体"/>
          <w:kern w:val="0"/>
          <w:sz w:val="24"/>
          <w:szCs w:val="20"/>
        </w:rPr>
      </w:pPr>
      <w:r>
        <w:rPr>
          <w:rFonts w:ascii="宋体" w:hAnsi="宋体" w:eastAsia="宋体" w:cs="宋体"/>
          <w:kern w:val="0"/>
          <w:sz w:val="24"/>
          <w:szCs w:val="20"/>
        </w:rPr>
        <w:t xml:space="preserve">4.3.1 </w:t>
      </w:r>
      <w:r>
        <w:rPr>
          <w:rFonts w:hint="eastAsia" w:ascii="宋体" w:hAnsi="宋体" w:eastAsia="宋体" w:cs="宋体"/>
          <w:kern w:val="0"/>
          <w:sz w:val="24"/>
          <w:szCs w:val="20"/>
        </w:rPr>
        <w:t>投标人在递交投标文件以后，在规定的投标截止时间之前，可以修改或撤回已递交的投标文件。投标截止时间前未完成投标文件传输的，视为投标人撤回投标文件。</w:t>
      </w:r>
    </w:p>
    <w:p w14:paraId="494A49B2">
      <w:pPr>
        <w:keepNext w:val="0"/>
        <w:keepLines w:val="0"/>
        <w:pageBreakBefore w:val="0"/>
        <w:widowControl w:val="0"/>
        <w:suppressAutoHyphens/>
        <w:kinsoku/>
        <w:wordWrap/>
        <w:overflowPunct/>
        <w:topLinePunct w:val="0"/>
        <w:autoSpaceDE w:val="0"/>
        <w:autoSpaceDN w:val="0"/>
        <w:bidi w:val="0"/>
        <w:adjustRightInd w:val="0"/>
        <w:spacing w:before="0" w:after="0" w:line="460" w:lineRule="exact"/>
        <w:ind w:firstLine="480" w:firstLineChars="200"/>
        <w:textAlignment w:val="auto"/>
        <w:rPr>
          <w:rFonts w:ascii="宋体" w:hAnsi="宋体" w:eastAsia="宋体" w:cs="宋体"/>
          <w:kern w:val="0"/>
          <w:sz w:val="24"/>
          <w:szCs w:val="20"/>
        </w:rPr>
      </w:pPr>
      <w:r>
        <w:rPr>
          <w:rFonts w:ascii="宋体" w:hAnsi="宋体" w:eastAsia="宋体" w:cs="宋体"/>
          <w:kern w:val="0"/>
          <w:sz w:val="24"/>
          <w:szCs w:val="20"/>
        </w:rPr>
        <w:t xml:space="preserve">4.3.2 </w:t>
      </w:r>
      <w:r>
        <w:rPr>
          <w:rFonts w:hint="eastAsia" w:ascii="宋体" w:hAnsi="宋体" w:eastAsia="宋体" w:cs="宋体"/>
          <w:kern w:val="0"/>
          <w:sz w:val="24"/>
          <w:szCs w:val="20"/>
        </w:rPr>
        <w:t>在投标截止时间之后，投标人不得补充、修改和更换投标文件。</w:t>
      </w:r>
    </w:p>
    <w:p w14:paraId="318BE45C">
      <w:pPr>
        <w:keepNext w:val="0"/>
        <w:keepLines w:val="0"/>
        <w:pageBreakBefore w:val="0"/>
        <w:widowControl w:val="0"/>
        <w:suppressAutoHyphens/>
        <w:kinsoku/>
        <w:wordWrap/>
        <w:overflowPunct/>
        <w:topLinePunct w:val="0"/>
        <w:bidi w:val="0"/>
        <w:spacing w:before="0" w:after="0" w:line="460" w:lineRule="exact"/>
        <w:ind w:firstLine="480" w:firstLineChars="200"/>
        <w:textAlignment w:val="auto"/>
        <w:rPr>
          <w:rFonts w:ascii="宋体" w:hAnsi="宋体" w:eastAsia="宋体" w:cs="宋体"/>
          <w:kern w:val="0"/>
          <w:sz w:val="24"/>
          <w:szCs w:val="20"/>
        </w:rPr>
      </w:pPr>
      <w:r>
        <w:rPr>
          <w:rFonts w:ascii="宋体" w:hAnsi="宋体" w:eastAsia="宋体" w:cs="宋体"/>
          <w:kern w:val="0"/>
          <w:sz w:val="24"/>
          <w:szCs w:val="20"/>
        </w:rPr>
        <w:t xml:space="preserve">4.3.3 </w:t>
      </w:r>
      <w:r>
        <w:rPr>
          <w:rFonts w:hint="eastAsia" w:ascii="宋体" w:hAnsi="宋体" w:eastAsia="宋体" w:cs="宋体"/>
          <w:kern w:val="0"/>
          <w:sz w:val="24"/>
          <w:szCs w:val="20"/>
        </w:rPr>
        <w:t>在投标文件递交截止时间后，至投标文件格式中规定的有效期终止日前，投标人不能撤回投标文件，否则其投标担保将被没收，且招标人有权就其撤回行为报告行政主管部门载入不良信用记录。</w:t>
      </w:r>
    </w:p>
    <w:p w14:paraId="42C9FEF0">
      <w:pPr>
        <w:keepNext w:val="0"/>
        <w:keepLines w:val="0"/>
        <w:pageBreakBefore w:val="0"/>
        <w:widowControl w:val="0"/>
        <w:suppressAutoHyphens/>
        <w:kinsoku/>
        <w:wordWrap/>
        <w:overflowPunct/>
        <w:topLinePunct w:val="0"/>
        <w:bidi w:val="0"/>
        <w:spacing w:before="0" w:beforeLines="120" w:after="0" w:line="460" w:lineRule="exact"/>
        <w:textAlignment w:val="auto"/>
        <w:outlineLvl w:val="2"/>
        <w:rPr>
          <w:rFonts w:ascii="宋体" w:hAnsi="宋体" w:eastAsia="宋体" w:cs="Times New Roman"/>
          <w:b/>
          <w:sz w:val="30"/>
          <w:szCs w:val="30"/>
        </w:rPr>
      </w:pPr>
      <w:r>
        <w:rPr>
          <w:rFonts w:hint="eastAsia" w:ascii="宋体" w:hAnsi="宋体" w:eastAsia="宋体" w:cs="Times New Roman"/>
          <w:b/>
          <w:sz w:val="30"/>
          <w:szCs w:val="30"/>
        </w:rPr>
        <w:t>5. 开 标</w:t>
      </w:r>
    </w:p>
    <w:p w14:paraId="729EA4C7">
      <w:pPr>
        <w:keepNext w:val="0"/>
        <w:keepLines w:val="0"/>
        <w:pageBreakBefore w:val="0"/>
        <w:widowControl w:val="0"/>
        <w:suppressAutoHyphens/>
        <w:kinsoku/>
        <w:wordWrap/>
        <w:overflowPunct/>
        <w:topLinePunct w:val="0"/>
        <w:bidi w:val="0"/>
        <w:spacing w:before="0" w:after="0" w:line="460" w:lineRule="exact"/>
        <w:textAlignment w:val="auto"/>
        <w:rPr>
          <w:rFonts w:ascii="宋体" w:hAnsi="宋体" w:eastAsia="宋体" w:cs="Times New Roman"/>
          <w:b/>
          <w:sz w:val="24"/>
          <w:szCs w:val="24"/>
        </w:rPr>
      </w:pPr>
      <w:r>
        <w:rPr>
          <w:rFonts w:ascii="宋体" w:hAnsi="宋体" w:eastAsia="宋体" w:cs="Times New Roman"/>
          <w:b/>
          <w:sz w:val="24"/>
          <w:szCs w:val="24"/>
        </w:rPr>
        <w:t>5.1</w:t>
      </w:r>
      <w:r>
        <w:rPr>
          <w:rFonts w:hint="eastAsia" w:ascii="宋体" w:hAnsi="宋体" w:eastAsia="宋体" w:cs="Times New Roman"/>
          <w:b/>
          <w:sz w:val="24"/>
          <w:szCs w:val="24"/>
        </w:rPr>
        <w:t xml:space="preserve"> 开标时间和地点</w:t>
      </w:r>
    </w:p>
    <w:p w14:paraId="6882CD20">
      <w:pPr>
        <w:keepNext w:val="0"/>
        <w:keepLines w:val="0"/>
        <w:pageBreakBefore w:val="0"/>
        <w:widowControl w:val="0"/>
        <w:suppressAutoHyphens/>
        <w:kinsoku/>
        <w:wordWrap/>
        <w:overflowPunct/>
        <w:topLinePunct w:val="0"/>
        <w:autoSpaceDE w:val="0"/>
        <w:autoSpaceDN w:val="0"/>
        <w:bidi w:val="0"/>
        <w:adjustRightInd w:val="0"/>
        <w:spacing w:before="0" w:after="0" w:line="460" w:lineRule="exact"/>
        <w:ind w:firstLine="480" w:firstLineChars="200"/>
        <w:textAlignment w:val="auto"/>
        <w:rPr>
          <w:rFonts w:ascii="仿宋" w:hAnsi="仿宋" w:eastAsia="仿宋" w:cs="Times New Roman"/>
          <w:b/>
          <w:sz w:val="24"/>
          <w:szCs w:val="24"/>
        </w:rPr>
      </w:pPr>
      <w:r>
        <w:rPr>
          <w:rFonts w:hint="eastAsia" w:ascii="宋体" w:hAnsi="宋体" w:eastAsia="宋体" w:cs="宋体"/>
          <w:kern w:val="0"/>
          <w:sz w:val="24"/>
          <w:szCs w:val="20"/>
        </w:rPr>
        <w:t>招标人在投标人须知前附表规定的开标时间和投标人须知前附表规定的地点，通过电子招标投标交易平台公开开</w:t>
      </w:r>
      <w:r>
        <w:rPr>
          <w:rFonts w:hint="eastAsia" w:ascii="宋体" w:hAnsi="宋体" w:eastAsia="宋体" w:cs="宋体"/>
          <w:b w:val="0"/>
          <w:bCs w:val="0"/>
          <w:kern w:val="0"/>
          <w:sz w:val="24"/>
          <w:szCs w:val="20"/>
          <w:u w:val="none"/>
        </w:rPr>
        <w:t>标</w:t>
      </w:r>
      <w:r>
        <w:rPr>
          <w:rFonts w:hint="eastAsia" w:ascii="宋体" w:hAnsi="宋体" w:eastAsia="宋体" w:cs="宋体"/>
          <w:kern w:val="0"/>
          <w:sz w:val="24"/>
          <w:szCs w:val="20"/>
        </w:rPr>
        <w:t>，并要求所有投标人的法定代表人或其委托代理人准时参加。投标人不派代表出席开标会，则视其为放弃参与开标的权利，认可开标结果。</w:t>
      </w:r>
    </w:p>
    <w:p w14:paraId="6A82C0F8">
      <w:pPr>
        <w:keepNext w:val="0"/>
        <w:keepLines w:val="0"/>
        <w:pageBreakBefore w:val="0"/>
        <w:widowControl w:val="0"/>
        <w:suppressAutoHyphens/>
        <w:kinsoku/>
        <w:wordWrap/>
        <w:overflowPunct/>
        <w:topLinePunct w:val="0"/>
        <w:autoSpaceDE w:val="0"/>
        <w:autoSpaceDN w:val="0"/>
        <w:bidi w:val="0"/>
        <w:adjustRightInd w:val="0"/>
        <w:snapToGrid/>
        <w:spacing w:before="157" w:beforeLines="50" w:after="0" w:line="460" w:lineRule="exact"/>
        <w:jc w:val="left"/>
        <w:textAlignment w:val="auto"/>
        <w:rPr>
          <w:rFonts w:ascii="宋体" w:hAnsi="宋体" w:eastAsia="宋体" w:cs="TimesNewRomanPSMT"/>
          <w:b/>
          <w:kern w:val="0"/>
          <w:sz w:val="24"/>
          <w:szCs w:val="20"/>
        </w:rPr>
      </w:pPr>
      <w:r>
        <w:rPr>
          <w:rFonts w:hint="eastAsia" w:ascii="宋体" w:hAnsi="宋体" w:eastAsia="宋体" w:cs="TimesNewRomanPSMT"/>
          <w:b/>
          <w:kern w:val="0"/>
          <w:sz w:val="24"/>
          <w:szCs w:val="20"/>
        </w:rPr>
        <w:t>5.</w:t>
      </w:r>
      <w:r>
        <w:rPr>
          <w:rFonts w:hint="eastAsia" w:ascii="宋体" w:hAnsi="宋体" w:cs="TimesNewRomanPSMT"/>
          <w:b/>
          <w:kern w:val="0"/>
          <w:sz w:val="24"/>
          <w:szCs w:val="20"/>
          <w:lang w:val="en-US" w:eastAsia="zh-CN"/>
        </w:rPr>
        <w:t>2</w:t>
      </w:r>
      <w:r>
        <w:rPr>
          <w:rFonts w:hint="eastAsia" w:ascii="宋体" w:hAnsi="宋体" w:eastAsia="宋体" w:cs="TimesNewRomanPSMT"/>
          <w:b/>
          <w:kern w:val="0"/>
          <w:sz w:val="24"/>
          <w:szCs w:val="20"/>
        </w:rPr>
        <w:t xml:space="preserve"> 开标程序</w:t>
      </w:r>
    </w:p>
    <w:p w14:paraId="66CB586A">
      <w:pPr>
        <w:keepNext w:val="0"/>
        <w:keepLines w:val="0"/>
        <w:pageBreakBefore w:val="0"/>
        <w:widowControl w:val="0"/>
        <w:suppressAutoHyphens/>
        <w:kinsoku/>
        <w:wordWrap/>
        <w:overflowPunct/>
        <w:topLinePunct w:val="0"/>
        <w:autoSpaceDE w:val="0"/>
        <w:autoSpaceDN w:val="0"/>
        <w:bidi w:val="0"/>
        <w:adjustRightInd w:val="0"/>
        <w:spacing w:before="0" w:after="0" w:line="460" w:lineRule="exact"/>
        <w:ind w:firstLine="480" w:firstLineChars="200"/>
        <w:textAlignment w:val="auto"/>
        <w:rPr>
          <w:rFonts w:hint="eastAsia" w:ascii="宋体" w:hAnsi="宋体" w:eastAsia="宋体" w:cs="Times New Roman"/>
          <w:sz w:val="24"/>
          <w:szCs w:val="20"/>
        </w:rPr>
      </w:pPr>
      <w:r>
        <w:rPr>
          <w:rFonts w:hint="eastAsia" w:ascii="宋体" w:hAnsi="宋体" w:eastAsia="宋体" w:cs="Times New Roman"/>
          <w:sz w:val="24"/>
          <w:szCs w:val="20"/>
        </w:rPr>
        <w:t>5.2.1 在投标截止时间后30分钟内，投标人通过递交投标文件的交易平台对已递交的电子投标文件进行解密。投标人完成解密后，再由招标人或招标代理机构进行解密。解密完成后，公布招标项目名称、投标人名称等相关信息。未在规定时间内解密的投标文件不参与开标、评标。开标期间至评标结束，请各投标人保持联系电话畅通，以便联系，如因联系电话无法接通，造成无法核实相关事宜的，责任自负。</w:t>
      </w:r>
    </w:p>
    <w:p w14:paraId="2D7405FF">
      <w:pPr>
        <w:keepNext w:val="0"/>
        <w:keepLines w:val="0"/>
        <w:pageBreakBefore w:val="0"/>
        <w:widowControl w:val="0"/>
        <w:suppressAutoHyphens/>
        <w:kinsoku/>
        <w:wordWrap/>
        <w:overflowPunct/>
        <w:topLinePunct w:val="0"/>
        <w:autoSpaceDE w:val="0"/>
        <w:autoSpaceDN w:val="0"/>
        <w:bidi w:val="0"/>
        <w:adjustRightInd w:val="0"/>
        <w:spacing w:before="0" w:after="0" w:line="460" w:lineRule="exact"/>
        <w:ind w:firstLine="480" w:firstLineChars="200"/>
        <w:textAlignment w:val="auto"/>
        <w:rPr>
          <w:rFonts w:hint="eastAsia" w:ascii="宋体" w:hAnsi="宋体" w:eastAsia="宋体" w:cs="Times New Roman"/>
          <w:sz w:val="24"/>
          <w:szCs w:val="20"/>
        </w:rPr>
      </w:pPr>
      <w:r>
        <w:rPr>
          <w:rFonts w:hint="eastAsia" w:ascii="宋体" w:hAnsi="宋体" w:eastAsia="宋体" w:cs="Times New Roman"/>
          <w:sz w:val="24"/>
          <w:szCs w:val="20"/>
        </w:rPr>
        <w:t>5.2.2 截标后，开标开始时间因故推迟的，相关评标信息仍以原定的开标开始时间的信息为准。</w:t>
      </w:r>
    </w:p>
    <w:p w14:paraId="186735F3">
      <w:pPr>
        <w:keepNext w:val="0"/>
        <w:keepLines w:val="0"/>
        <w:pageBreakBefore w:val="0"/>
        <w:widowControl w:val="0"/>
        <w:suppressAutoHyphens/>
        <w:kinsoku/>
        <w:wordWrap/>
        <w:overflowPunct/>
        <w:topLinePunct w:val="0"/>
        <w:autoSpaceDE w:val="0"/>
        <w:autoSpaceDN w:val="0"/>
        <w:bidi w:val="0"/>
        <w:adjustRightInd w:val="0"/>
        <w:spacing w:before="0" w:after="0" w:line="460" w:lineRule="exact"/>
        <w:ind w:firstLine="480" w:firstLineChars="200"/>
        <w:textAlignment w:val="auto"/>
        <w:rPr>
          <w:rFonts w:hint="eastAsia" w:ascii="宋体" w:hAnsi="宋体" w:cs="Times New Roman"/>
          <w:sz w:val="24"/>
          <w:szCs w:val="20"/>
          <w:lang w:eastAsia="zh-CN"/>
        </w:rPr>
      </w:pPr>
      <w:r>
        <w:rPr>
          <w:rFonts w:hint="eastAsia" w:ascii="宋体" w:hAnsi="宋体" w:eastAsia="宋体" w:cs="Times New Roman"/>
          <w:sz w:val="24"/>
          <w:szCs w:val="20"/>
        </w:rPr>
        <w:t>5.2.3 投标截止时间前未完成投标文件传输的或因投标人之外的原因造成投标文件未解密且未按要求递交备用电子</w:t>
      </w:r>
      <w:r>
        <w:rPr>
          <w:rFonts w:hint="eastAsia" w:ascii="宋体" w:hAnsi="宋体" w:cs="Times New Roman"/>
          <w:sz w:val="24"/>
          <w:szCs w:val="20"/>
          <w:lang w:val="en-US" w:eastAsia="zh-CN"/>
        </w:rPr>
        <w:t xml:space="preserve"> </w:t>
      </w:r>
      <w:r>
        <w:rPr>
          <w:rFonts w:hint="eastAsia" w:ascii="宋体" w:hAnsi="宋体" w:eastAsia="宋体" w:cs="Times New Roman"/>
          <w:sz w:val="24"/>
          <w:szCs w:val="20"/>
        </w:rPr>
        <w:t>U</w:t>
      </w:r>
      <w:r>
        <w:rPr>
          <w:rFonts w:hint="eastAsia" w:ascii="宋体" w:hAnsi="宋体" w:cs="Times New Roman"/>
          <w:sz w:val="24"/>
          <w:szCs w:val="20"/>
          <w:lang w:val="en-US" w:eastAsia="zh-CN"/>
        </w:rPr>
        <w:t xml:space="preserve"> </w:t>
      </w:r>
      <w:r>
        <w:rPr>
          <w:rFonts w:hint="eastAsia" w:ascii="宋体" w:hAnsi="宋体" w:eastAsia="宋体" w:cs="Times New Roman"/>
          <w:sz w:val="24"/>
          <w:szCs w:val="20"/>
        </w:rPr>
        <w:t>盘的，视为投标人撤回投标文件。因投标人原因造成投标文件未解密或未在规定的时间内解密的，视为撤销其投标文件</w:t>
      </w:r>
      <w:r>
        <w:rPr>
          <w:rFonts w:hint="eastAsia" w:ascii="宋体" w:hAnsi="宋体" w:cs="Times New Roman"/>
          <w:sz w:val="24"/>
          <w:szCs w:val="20"/>
          <w:lang w:eastAsia="zh-CN"/>
        </w:rPr>
        <w:t>。</w:t>
      </w:r>
    </w:p>
    <w:p w14:paraId="377AFC09">
      <w:pPr>
        <w:pStyle w:val="15"/>
        <w:keepNext w:val="0"/>
        <w:keepLines w:val="0"/>
        <w:pageBreakBefore w:val="0"/>
        <w:widowControl/>
        <w:kinsoku/>
        <w:wordWrap/>
        <w:overflowPunct/>
        <w:topLinePunct w:val="0"/>
        <w:autoSpaceDE/>
        <w:autoSpaceDN/>
        <w:bidi w:val="0"/>
        <w:adjustRightInd/>
        <w:snapToGrid/>
        <w:spacing w:line="460" w:lineRule="atLeast"/>
        <w:ind w:left="0" w:leftChars="0" w:firstLine="480" w:firstLineChars="200"/>
        <w:textAlignment w:val="auto"/>
        <w:rPr>
          <w:rFonts w:hint="eastAsia"/>
          <w:lang w:eastAsia="zh-CN"/>
        </w:rPr>
      </w:pPr>
      <w:r>
        <w:rPr>
          <w:rFonts w:hint="eastAsia"/>
          <w:lang w:eastAsia="zh-CN"/>
        </w:rPr>
        <w:t>5.2.4 开标方式采用电子开标和现场开标两种模式，投标人可选择在开标室参与开标或准时在线参加开标，也可不参加开标。参加在线开标的投标人登录交易平台实时查看开标、唱标情况。交易平台生成开标记录并向社会公众公布。</w:t>
      </w:r>
    </w:p>
    <w:p w14:paraId="5C46B591">
      <w:pPr>
        <w:pStyle w:val="15"/>
        <w:keepNext w:val="0"/>
        <w:keepLines w:val="0"/>
        <w:pageBreakBefore w:val="0"/>
        <w:widowControl/>
        <w:kinsoku/>
        <w:wordWrap/>
        <w:overflowPunct/>
        <w:topLinePunct w:val="0"/>
        <w:autoSpaceDE/>
        <w:autoSpaceDN/>
        <w:bidi w:val="0"/>
        <w:adjustRightInd/>
        <w:snapToGrid/>
        <w:spacing w:line="460" w:lineRule="atLeast"/>
        <w:ind w:left="0" w:leftChars="0" w:firstLine="480" w:firstLineChars="200"/>
        <w:textAlignment w:val="auto"/>
        <w:rPr>
          <w:rFonts w:hint="eastAsia"/>
          <w:lang w:eastAsia="zh-CN"/>
        </w:rPr>
      </w:pPr>
      <w:r>
        <w:rPr>
          <w:rFonts w:hint="eastAsia"/>
          <w:lang w:eastAsia="zh-CN"/>
        </w:rPr>
        <w:t>5.2.5 开标时，两个（含两个）以上的投标人加密打包投标文件电脑机器特征码一致的，不参与下一程序，并由评标委员会否决其投标。</w:t>
      </w:r>
    </w:p>
    <w:p w14:paraId="356319A4">
      <w:pPr>
        <w:keepNext w:val="0"/>
        <w:keepLines w:val="0"/>
        <w:pageBreakBefore w:val="0"/>
        <w:widowControl w:val="0"/>
        <w:suppressAutoHyphens/>
        <w:kinsoku/>
        <w:wordWrap/>
        <w:overflowPunct/>
        <w:topLinePunct w:val="0"/>
        <w:autoSpaceDE w:val="0"/>
        <w:autoSpaceDN w:val="0"/>
        <w:bidi w:val="0"/>
        <w:adjustRightInd w:val="0"/>
        <w:snapToGrid/>
        <w:spacing w:before="157" w:beforeLines="50" w:after="0" w:line="460" w:lineRule="exact"/>
        <w:jc w:val="left"/>
        <w:textAlignment w:val="auto"/>
        <w:rPr>
          <w:rFonts w:hint="eastAsia" w:ascii="宋体" w:hAnsi="宋体" w:eastAsia="宋体" w:cs="TimesNewRomanPSMT"/>
          <w:b/>
          <w:kern w:val="0"/>
          <w:sz w:val="24"/>
          <w:szCs w:val="20"/>
          <w:lang w:eastAsia="zh-CN"/>
        </w:rPr>
      </w:pPr>
      <w:r>
        <w:rPr>
          <w:rFonts w:hint="eastAsia" w:ascii="宋体" w:hAnsi="宋体" w:eastAsia="宋体" w:cs="TimesNewRomanPSMT"/>
          <w:b/>
          <w:kern w:val="0"/>
          <w:sz w:val="24"/>
          <w:szCs w:val="20"/>
          <w:lang w:eastAsia="zh-CN"/>
        </w:rPr>
        <w:t>5.3 开标异议</w:t>
      </w:r>
    </w:p>
    <w:p w14:paraId="78FFB6DC">
      <w:pPr>
        <w:pStyle w:val="15"/>
        <w:keepNext w:val="0"/>
        <w:keepLines w:val="0"/>
        <w:pageBreakBefore w:val="0"/>
        <w:widowControl/>
        <w:kinsoku/>
        <w:wordWrap/>
        <w:overflowPunct/>
        <w:topLinePunct w:val="0"/>
        <w:autoSpaceDE/>
        <w:autoSpaceDN/>
        <w:bidi w:val="0"/>
        <w:adjustRightInd/>
        <w:snapToGrid/>
        <w:spacing w:line="460" w:lineRule="atLeast"/>
        <w:ind w:left="0" w:leftChars="0" w:firstLine="480" w:firstLineChars="200"/>
        <w:textAlignment w:val="auto"/>
        <w:rPr>
          <w:rFonts w:hint="eastAsia"/>
          <w:lang w:eastAsia="zh-CN"/>
        </w:rPr>
      </w:pPr>
      <w:r>
        <w:rPr>
          <w:rFonts w:hint="eastAsia"/>
          <w:lang w:eastAsia="zh-CN"/>
        </w:rPr>
        <w:t>5.3.1 参加现场开标的投标人对开标结果有异议的，应当在开标现场提出，招标人当场作出答复，并制作记录。该投标人代表须同时出示投标人身份证明文件。</w:t>
      </w:r>
    </w:p>
    <w:p w14:paraId="24338EEF">
      <w:pPr>
        <w:pStyle w:val="15"/>
        <w:keepNext w:val="0"/>
        <w:keepLines w:val="0"/>
        <w:pageBreakBefore w:val="0"/>
        <w:widowControl/>
        <w:kinsoku/>
        <w:wordWrap/>
        <w:overflowPunct/>
        <w:topLinePunct w:val="0"/>
        <w:autoSpaceDE/>
        <w:autoSpaceDN/>
        <w:bidi w:val="0"/>
        <w:adjustRightInd/>
        <w:snapToGrid/>
        <w:spacing w:line="460" w:lineRule="atLeast"/>
        <w:ind w:left="0" w:leftChars="0" w:firstLine="480" w:firstLineChars="200"/>
        <w:textAlignment w:val="auto"/>
        <w:rPr>
          <w:rFonts w:hint="eastAsia"/>
          <w:lang w:eastAsia="zh-CN"/>
        </w:rPr>
      </w:pPr>
      <w:r>
        <w:rPr>
          <w:rFonts w:hint="eastAsia"/>
          <w:lang w:eastAsia="zh-CN"/>
        </w:rPr>
        <w:t>5.3.2 参加在线开标的投标人对开标结果有异议的，应当在唱标结束后的规定时间内、使用单位数字证书登录交易平台后通过交易平台提出。招标人授权招标代理机构工作人员使用招标代理机构数字证书登录交易平台答复异议，异议答复是招标人真实意思表示。</w:t>
      </w:r>
    </w:p>
    <w:p w14:paraId="3A3A71BD">
      <w:pPr>
        <w:pStyle w:val="15"/>
        <w:keepNext w:val="0"/>
        <w:keepLines w:val="0"/>
        <w:pageBreakBefore w:val="0"/>
        <w:widowControl/>
        <w:kinsoku/>
        <w:wordWrap/>
        <w:overflowPunct/>
        <w:topLinePunct w:val="0"/>
        <w:autoSpaceDE/>
        <w:autoSpaceDN/>
        <w:bidi w:val="0"/>
        <w:adjustRightInd/>
        <w:snapToGrid/>
        <w:spacing w:line="460" w:lineRule="atLeast"/>
        <w:ind w:left="0" w:leftChars="0" w:firstLine="480" w:firstLineChars="200"/>
        <w:textAlignment w:val="auto"/>
        <w:rPr>
          <w:rFonts w:hint="eastAsia"/>
          <w:lang w:eastAsia="zh-CN"/>
        </w:rPr>
      </w:pPr>
      <w:r>
        <w:rPr>
          <w:rFonts w:hint="eastAsia"/>
          <w:lang w:eastAsia="zh-CN"/>
        </w:rPr>
        <w:t>5.3.3 对开标的异议，招标人应当当场作出答复并予以书面记录，异议成立的，招标人应当及时采取纠正措施，或者提交评标委员会评审确认；异议不成立的，招标人应当当场给予解释说明。</w:t>
      </w:r>
    </w:p>
    <w:p w14:paraId="72F509D7">
      <w:pPr>
        <w:pStyle w:val="15"/>
        <w:keepNext w:val="0"/>
        <w:keepLines w:val="0"/>
        <w:pageBreakBefore w:val="0"/>
        <w:widowControl/>
        <w:kinsoku/>
        <w:wordWrap/>
        <w:overflowPunct/>
        <w:topLinePunct w:val="0"/>
        <w:autoSpaceDE/>
        <w:autoSpaceDN/>
        <w:bidi w:val="0"/>
        <w:adjustRightInd/>
        <w:snapToGrid/>
        <w:spacing w:line="460" w:lineRule="atLeast"/>
        <w:ind w:left="0" w:leftChars="0" w:firstLine="480" w:firstLineChars="200"/>
        <w:textAlignment w:val="auto"/>
        <w:rPr>
          <w:rFonts w:hint="eastAsia" w:ascii="宋体" w:hAnsi="宋体" w:eastAsia="宋体"/>
          <w:lang w:eastAsia="zh-CN"/>
        </w:rPr>
      </w:pPr>
      <w:r>
        <w:rPr>
          <w:rFonts w:hint="eastAsia"/>
          <w:lang w:eastAsia="zh-CN"/>
        </w:rPr>
        <w:t>5.3.</w:t>
      </w:r>
      <w:r>
        <w:rPr>
          <w:rFonts w:hint="eastAsia"/>
          <w:lang w:val="en-US" w:eastAsia="zh-CN"/>
        </w:rPr>
        <w:t>4</w:t>
      </w:r>
      <w:r>
        <w:rPr>
          <w:rFonts w:hint="eastAsia"/>
          <w:lang w:eastAsia="zh-CN"/>
        </w:rPr>
        <w:t xml:space="preserve"> 招标人应当按照同一异议提起人一份记录的方式，对异议事项的处理应逐条进行书面记录，其中异议事项由异议提起人签名确认，作出的答复由招标人签名确认。书面记录含义</w:t>
      </w:r>
      <w:r>
        <w:rPr>
          <w:rFonts w:hint="eastAsia" w:ascii="宋体" w:hAnsi="宋体" w:eastAsia="宋体"/>
          <w:lang w:eastAsia="zh-CN"/>
        </w:rPr>
        <w:t>应清晰而明确，包括但不限于纠正的措施、解释说明的内容、相关依据等。</w:t>
      </w:r>
    </w:p>
    <w:p w14:paraId="08552219">
      <w:pPr>
        <w:pStyle w:val="15"/>
        <w:keepNext w:val="0"/>
        <w:keepLines w:val="0"/>
        <w:pageBreakBefore w:val="0"/>
        <w:widowControl/>
        <w:kinsoku/>
        <w:wordWrap/>
        <w:overflowPunct/>
        <w:topLinePunct w:val="0"/>
        <w:autoSpaceDE/>
        <w:autoSpaceDN/>
        <w:bidi w:val="0"/>
        <w:adjustRightInd/>
        <w:snapToGrid/>
        <w:spacing w:line="460" w:lineRule="atLeast"/>
        <w:ind w:left="0" w:leftChars="0" w:firstLine="480" w:firstLineChars="200"/>
        <w:textAlignment w:val="auto"/>
        <w:rPr>
          <w:rFonts w:hint="default" w:ascii="宋体" w:hAnsi="宋体" w:eastAsia="宋体"/>
          <w:lang w:val="en-US" w:eastAsia="zh-CN"/>
        </w:rPr>
      </w:pPr>
      <w:r>
        <w:rPr>
          <w:rFonts w:hint="eastAsia" w:ascii="宋体" w:hAnsi="宋体" w:eastAsia="宋体"/>
          <w:lang w:val="en-US" w:eastAsia="zh-CN"/>
        </w:rPr>
        <w:t>5.3.5 投标人未参加开标或在规定的时间内未提出异议的，视为对开标无异议。</w:t>
      </w:r>
    </w:p>
    <w:p w14:paraId="5011EF72">
      <w:pPr>
        <w:keepNext w:val="0"/>
        <w:keepLines w:val="0"/>
        <w:pageBreakBefore w:val="0"/>
        <w:widowControl w:val="0"/>
        <w:suppressAutoHyphens/>
        <w:kinsoku/>
        <w:wordWrap/>
        <w:overflowPunct/>
        <w:topLinePunct w:val="0"/>
        <w:autoSpaceDE w:val="0"/>
        <w:autoSpaceDN w:val="0"/>
        <w:bidi w:val="0"/>
        <w:adjustRightInd w:val="0"/>
        <w:snapToGrid/>
        <w:spacing w:before="157" w:beforeLines="50" w:after="0" w:line="460" w:lineRule="exact"/>
        <w:jc w:val="left"/>
        <w:textAlignment w:val="auto"/>
        <w:rPr>
          <w:rFonts w:hint="eastAsia" w:ascii="宋体" w:hAnsi="宋体" w:eastAsia="宋体" w:cs="TimesNewRomanPSMT"/>
          <w:b/>
          <w:kern w:val="0"/>
          <w:sz w:val="24"/>
          <w:szCs w:val="20"/>
          <w:lang w:eastAsia="zh-CN"/>
        </w:rPr>
      </w:pPr>
      <w:r>
        <w:rPr>
          <w:rFonts w:hint="eastAsia" w:ascii="宋体" w:hAnsi="宋体" w:eastAsia="宋体" w:cs="TimesNewRomanPSMT"/>
          <w:b/>
          <w:kern w:val="0"/>
          <w:sz w:val="24"/>
          <w:szCs w:val="20"/>
          <w:lang w:eastAsia="zh-CN"/>
        </w:rPr>
        <w:t>5</w:t>
      </w:r>
      <w:r>
        <w:rPr>
          <w:rFonts w:hint="eastAsia" w:ascii="宋体" w:hAnsi="宋体" w:eastAsia="宋体" w:cs="TimesNewRomanPSMT"/>
          <w:b/>
          <w:kern w:val="0"/>
          <w:sz w:val="24"/>
          <w:szCs w:val="20"/>
          <w:lang w:val="en-US" w:eastAsia="zh-CN"/>
        </w:rPr>
        <w:t>.</w:t>
      </w:r>
      <w:r>
        <w:rPr>
          <w:rFonts w:hint="eastAsia" w:ascii="宋体" w:hAnsi="宋体" w:eastAsia="宋体" w:cs="TimesNewRomanPSMT"/>
          <w:b/>
          <w:kern w:val="0"/>
          <w:sz w:val="24"/>
          <w:szCs w:val="20"/>
          <w:lang w:eastAsia="zh-CN"/>
        </w:rPr>
        <w:t>4 开标过程中，若招标人发现投标文件出现以下任一情况，经监督人员确认后，当场宣布，其投标文件视为不响应招标文件而予以拒绝，作无效投标处理：</w:t>
      </w:r>
    </w:p>
    <w:p w14:paraId="6036F20C">
      <w:pPr>
        <w:pStyle w:val="15"/>
        <w:keepNext w:val="0"/>
        <w:keepLines w:val="0"/>
        <w:pageBreakBefore w:val="0"/>
        <w:widowControl/>
        <w:kinsoku/>
        <w:wordWrap/>
        <w:overflowPunct/>
        <w:topLinePunct w:val="0"/>
        <w:autoSpaceDE/>
        <w:autoSpaceDN/>
        <w:bidi w:val="0"/>
        <w:adjustRightInd/>
        <w:snapToGrid/>
        <w:spacing w:line="460" w:lineRule="atLeast"/>
        <w:ind w:left="0" w:leftChars="0" w:firstLine="480" w:firstLineChars="200"/>
        <w:textAlignment w:val="auto"/>
        <w:rPr>
          <w:rFonts w:hint="eastAsia"/>
          <w:lang w:eastAsia="zh-CN"/>
        </w:rPr>
      </w:pPr>
      <w:r>
        <w:rPr>
          <w:rFonts w:hint="eastAsia"/>
          <w:lang w:eastAsia="zh-CN"/>
        </w:rPr>
        <w:t>（</w:t>
      </w:r>
      <w:r>
        <w:rPr>
          <w:rFonts w:hint="eastAsia"/>
          <w:lang w:val="en-US" w:eastAsia="zh-CN"/>
        </w:rPr>
        <w:t>1）</w:t>
      </w:r>
      <w:r>
        <w:rPr>
          <w:rFonts w:hint="eastAsia"/>
          <w:lang w:eastAsia="zh-CN"/>
        </w:rPr>
        <w:t>未成功递交投标文件的；</w:t>
      </w:r>
    </w:p>
    <w:p w14:paraId="1B6E801C">
      <w:pPr>
        <w:pStyle w:val="15"/>
        <w:keepNext w:val="0"/>
        <w:keepLines w:val="0"/>
        <w:pageBreakBefore w:val="0"/>
        <w:widowControl/>
        <w:kinsoku/>
        <w:wordWrap/>
        <w:overflowPunct/>
        <w:topLinePunct w:val="0"/>
        <w:autoSpaceDE/>
        <w:autoSpaceDN/>
        <w:bidi w:val="0"/>
        <w:adjustRightInd/>
        <w:snapToGrid/>
        <w:spacing w:line="460" w:lineRule="atLeast"/>
        <w:ind w:left="0" w:leftChars="0" w:firstLine="480" w:firstLineChars="200"/>
        <w:textAlignment w:val="auto"/>
        <w:rPr>
          <w:rFonts w:hint="eastAsia"/>
          <w:lang w:eastAsia="zh-CN"/>
        </w:rPr>
      </w:pPr>
      <w:r>
        <w:rPr>
          <w:rFonts w:hint="eastAsia"/>
          <w:lang w:eastAsia="zh-CN"/>
        </w:rPr>
        <w:t>（</w:t>
      </w:r>
      <w:r>
        <w:rPr>
          <w:rFonts w:hint="eastAsia"/>
          <w:lang w:val="en-US" w:eastAsia="zh-CN"/>
        </w:rPr>
        <w:t>2</w:t>
      </w:r>
      <w:r>
        <w:rPr>
          <w:rFonts w:hint="eastAsia"/>
          <w:lang w:eastAsia="zh-CN"/>
        </w:rPr>
        <w:t>）因投标人原因造成电子投标文件未在规定时间内完成解密的；</w:t>
      </w:r>
    </w:p>
    <w:p w14:paraId="7BA8B888">
      <w:pPr>
        <w:pStyle w:val="15"/>
        <w:keepNext w:val="0"/>
        <w:keepLines w:val="0"/>
        <w:pageBreakBefore w:val="0"/>
        <w:widowControl/>
        <w:kinsoku/>
        <w:wordWrap/>
        <w:overflowPunct/>
        <w:topLinePunct w:val="0"/>
        <w:autoSpaceDE/>
        <w:autoSpaceDN/>
        <w:bidi w:val="0"/>
        <w:adjustRightInd/>
        <w:snapToGrid/>
        <w:spacing w:line="460" w:lineRule="atLeast"/>
        <w:ind w:left="0" w:leftChars="0" w:firstLine="480" w:firstLineChars="200"/>
        <w:textAlignment w:val="auto"/>
        <w:rPr>
          <w:rFonts w:hint="eastAsia"/>
          <w:lang w:eastAsia="zh-CN"/>
        </w:rPr>
      </w:pPr>
      <w:r>
        <w:rPr>
          <w:rFonts w:hint="eastAsia"/>
          <w:lang w:eastAsia="zh-CN"/>
        </w:rPr>
        <w:t>（</w:t>
      </w:r>
      <w:r>
        <w:rPr>
          <w:rFonts w:hint="eastAsia"/>
          <w:lang w:val="en-US" w:eastAsia="zh-CN"/>
        </w:rPr>
        <w:t>3</w:t>
      </w:r>
      <w:r>
        <w:rPr>
          <w:rFonts w:hint="eastAsia"/>
          <w:lang w:eastAsia="zh-CN"/>
        </w:rPr>
        <w:t>）</w:t>
      </w:r>
      <w:r>
        <w:rPr>
          <w:rFonts w:hint="eastAsia" w:ascii="宋体" w:hAnsi="宋体"/>
          <w:color w:val="auto"/>
          <w:sz w:val="24"/>
          <w:szCs w:val="24"/>
          <w:highlight w:val="none"/>
          <w:lang w:val="en-US" w:eastAsia="zh-CN"/>
        </w:rPr>
        <w:t>投标报价超出招标文件规定的报价范围的</w:t>
      </w:r>
      <w:r>
        <w:rPr>
          <w:rFonts w:hint="eastAsia"/>
          <w:lang w:eastAsia="zh-CN"/>
        </w:rPr>
        <w:t>；</w:t>
      </w:r>
    </w:p>
    <w:p w14:paraId="181B61CC">
      <w:pPr>
        <w:pStyle w:val="15"/>
        <w:keepNext w:val="0"/>
        <w:keepLines w:val="0"/>
        <w:pageBreakBefore w:val="0"/>
        <w:widowControl/>
        <w:kinsoku/>
        <w:wordWrap/>
        <w:overflowPunct/>
        <w:topLinePunct w:val="0"/>
        <w:autoSpaceDE/>
        <w:autoSpaceDN/>
        <w:bidi w:val="0"/>
        <w:adjustRightInd/>
        <w:snapToGrid/>
        <w:spacing w:line="460" w:lineRule="atLeast"/>
        <w:ind w:left="0" w:leftChars="0" w:firstLine="480" w:firstLineChars="200"/>
        <w:textAlignment w:val="auto"/>
        <w:rPr>
          <w:rFonts w:hint="eastAsia"/>
          <w:lang w:eastAsia="zh-CN"/>
        </w:rPr>
      </w:pPr>
      <w:r>
        <w:rPr>
          <w:rFonts w:hint="eastAsia"/>
          <w:lang w:eastAsia="zh-CN"/>
        </w:rPr>
        <w:t>（</w:t>
      </w:r>
      <w:r>
        <w:rPr>
          <w:rFonts w:hint="eastAsia"/>
          <w:lang w:val="en-US" w:eastAsia="zh-CN"/>
        </w:rPr>
        <w:t>4</w:t>
      </w:r>
      <w:r>
        <w:rPr>
          <w:rFonts w:hint="eastAsia"/>
          <w:lang w:eastAsia="zh-CN"/>
        </w:rPr>
        <w:t>）未按招标文件要求提供投标保证金的。</w:t>
      </w:r>
    </w:p>
    <w:p w14:paraId="18963A2D">
      <w:pPr>
        <w:keepNext w:val="0"/>
        <w:keepLines w:val="0"/>
        <w:pageBreakBefore w:val="0"/>
        <w:widowControl w:val="0"/>
        <w:suppressAutoHyphens/>
        <w:kinsoku/>
        <w:wordWrap/>
        <w:overflowPunct/>
        <w:topLinePunct w:val="0"/>
        <w:bidi w:val="0"/>
        <w:spacing w:before="0" w:beforeLines="150" w:after="0" w:line="460" w:lineRule="exact"/>
        <w:textAlignment w:val="auto"/>
        <w:outlineLvl w:val="2"/>
        <w:rPr>
          <w:rFonts w:ascii="宋体" w:hAnsi="宋体" w:eastAsia="宋体" w:cs="Times New Roman"/>
          <w:b/>
          <w:sz w:val="30"/>
          <w:szCs w:val="30"/>
        </w:rPr>
      </w:pPr>
      <w:r>
        <w:rPr>
          <w:rFonts w:hint="eastAsia" w:ascii="宋体" w:hAnsi="宋体" w:eastAsia="宋体" w:cs="Times New Roman"/>
          <w:b/>
          <w:sz w:val="30"/>
          <w:szCs w:val="30"/>
        </w:rPr>
        <w:t>6. 评 标</w:t>
      </w:r>
    </w:p>
    <w:p w14:paraId="32A615CB">
      <w:pPr>
        <w:keepNext w:val="0"/>
        <w:keepLines w:val="0"/>
        <w:pageBreakBefore w:val="0"/>
        <w:widowControl w:val="0"/>
        <w:suppressAutoHyphens/>
        <w:kinsoku/>
        <w:wordWrap/>
        <w:overflowPunct/>
        <w:topLinePunct w:val="0"/>
        <w:bidi w:val="0"/>
        <w:spacing w:before="0" w:after="0" w:line="460" w:lineRule="exact"/>
        <w:textAlignment w:val="auto"/>
        <w:rPr>
          <w:rFonts w:ascii="宋体" w:hAnsi="宋体" w:eastAsia="宋体" w:cs="Times New Roman"/>
          <w:b/>
          <w:sz w:val="24"/>
          <w:szCs w:val="24"/>
        </w:rPr>
      </w:pPr>
      <w:r>
        <w:rPr>
          <w:rFonts w:hint="eastAsia" w:ascii="宋体" w:hAnsi="宋体" w:eastAsia="宋体" w:cs="Times New Roman"/>
          <w:b/>
          <w:sz w:val="24"/>
          <w:szCs w:val="24"/>
        </w:rPr>
        <w:t>6.1 评标委员会</w:t>
      </w:r>
    </w:p>
    <w:p w14:paraId="492C4FD1">
      <w:pPr>
        <w:keepNext w:val="0"/>
        <w:keepLines w:val="0"/>
        <w:pageBreakBefore w:val="0"/>
        <w:widowControl w:val="0"/>
        <w:suppressAutoHyphens/>
        <w:kinsoku/>
        <w:wordWrap/>
        <w:overflowPunct/>
        <w:topLinePunct w:val="0"/>
        <w:autoSpaceDE w:val="0"/>
        <w:autoSpaceDN w:val="0"/>
        <w:bidi w:val="0"/>
        <w:adjustRightInd w:val="0"/>
        <w:spacing w:before="0" w:after="0" w:line="460" w:lineRule="exact"/>
        <w:ind w:firstLine="480" w:firstLineChars="200"/>
        <w:textAlignment w:val="auto"/>
        <w:rPr>
          <w:rFonts w:ascii="宋体" w:hAnsi="宋体" w:eastAsia="宋体" w:cs="宋体"/>
          <w:kern w:val="0"/>
          <w:sz w:val="24"/>
          <w:szCs w:val="20"/>
        </w:rPr>
      </w:pPr>
      <w:r>
        <w:rPr>
          <w:rFonts w:ascii="宋体" w:hAnsi="宋体" w:eastAsia="宋体" w:cs="Times New Roman"/>
          <w:sz w:val="24"/>
          <w:szCs w:val="20"/>
        </w:rPr>
        <w:t>6.1.1</w:t>
      </w:r>
      <w:r>
        <w:rPr>
          <w:rFonts w:hint="eastAsia" w:ascii="宋体" w:hAnsi="宋体" w:eastAsia="宋体" w:cs="Times New Roman"/>
          <w:sz w:val="24"/>
          <w:szCs w:val="20"/>
        </w:rPr>
        <w:t xml:space="preserve"> 评标由招标人依法组建的评标委员会负责。评标委员会成员的职称、资质和从事专业等应有利于本项目的评标工作，其组成人数见投标人须知前附表。</w:t>
      </w:r>
    </w:p>
    <w:p w14:paraId="63C66E05">
      <w:pPr>
        <w:keepNext w:val="0"/>
        <w:keepLines w:val="0"/>
        <w:pageBreakBefore w:val="0"/>
        <w:widowControl w:val="0"/>
        <w:suppressAutoHyphens/>
        <w:kinsoku/>
        <w:wordWrap/>
        <w:overflowPunct/>
        <w:topLinePunct w:val="0"/>
        <w:autoSpaceDE w:val="0"/>
        <w:autoSpaceDN w:val="0"/>
        <w:bidi w:val="0"/>
        <w:adjustRightInd w:val="0"/>
        <w:spacing w:before="0" w:after="0" w:line="460" w:lineRule="exact"/>
        <w:ind w:firstLine="480" w:firstLineChars="200"/>
        <w:textAlignment w:val="auto"/>
        <w:rPr>
          <w:rFonts w:ascii="宋体" w:hAnsi="宋体" w:eastAsia="宋体" w:cs="宋体"/>
          <w:kern w:val="0"/>
          <w:sz w:val="24"/>
          <w:szCs w:val="24"/>
        </w:rPr>
      </w:pPr>
      <w:r>
        <w:rPr>
          <w:rFonts w:hint="eastAsia" w:ascii="宋体" w:hAnsi="宋体" w:eastAsia="宋体" w:cs="宋体"/>
          <w:kern w:val="0"/>
          <w:sz w:val="24"/>
          <w:szCs w:val="24"/>
        </w:rPr>
        <w:t>6.1.2</w:t>
      </w:r>
      <w:r>
        <w:rPr>
          <w:rFonts w:hint="eastAsia" w:ascii="宋体" w:hAnsi="宋体" w:cs="宋体"/>
          <w:kern w:val="0"/>
          <w:sz w:val="24"/>
          <w:szCs w:val="24"/>
          <w:lang w:val="en-US" w:eastAsia="zh-CN"/>
        </w:rPr>
        <w:t xml:space="preserve"> </w:t>
      </w:r>
      <w:r>
        <w:rPr>
          <w:rFonts w:hint="eastAsia" w:ascii="宋体" w:hAnsi="宋体" w:eastAsia="宋体" w:cs="宋体"/>
          <w:kern w:val="0"/>
          <w:sz w:val="24"/>
          <w:szCs w:val="24"/>
        </w:rPr>
        <w:t>评标委员会成员有下列情形之一的，应当回避：</w:t>
      </w:r>
    </w:p>
    <w:p w14:paraId="03BAA9A0">
      <w:pPr>
        <w:keepNext w:val="0"/>
        <w:keepLines w:val="0"/>
        <w:pageBreakBefore w:val="0"/>
        <w:widowControl w:val="0"/>
        <w:suppressAutoHyphens/>
        <w:kinsoku/>
        <w:wordWrap/>
        <w:overflowPunct/>
        <w:topLinePunct w:val="0"/>
        <w:autoSpaceDE w:val="0"/>
        <w:autoSpaceDN w:val="0"/>
        <w:bidi w:val="0"/>
        <w:adjustRightInd w:val="0"/>
        <w:spacing w:before="0" w:after="0" w:line="460" w:lineRule="exact"/>
        <w:ind w:firstLine="480" w:firstLineChars="200"/>
        <w:textAlignment w:val="auto"/>
        <w:rPr>
          <w:rFonts w:ascii="宋体" w:hAnsi="宋体" w:eastAsia="宋体" w:cs="宋体"/>
          <w:kern w:val="0"/>
          <w:sz w:val="24"/>
          <w:szCs w:val="24"/>
        </w:rPr>
      </w:pPr>
      <w:r>
        <w:rPr>
          <w:rFonts w:hint="eastAsia" w:ascii="宋体" w:hAnsi="宋体" w:eastAsia="宋体" w:cs="宋体"/>
          <w:kern w:val="0"/>
          <w:sz w:val="24"/>
          <w:szCs w:val="24"/>
        </w:rPr>
        <w:t>（</w:t>
      </w:r>
      <w:r>
        <w:rPr>
          <w:rFonts w:ascii="宋体" w:hAnsi="宋体" w:eastAsia="宋体" w:cs="宋体"/>
          <w:kern w:val="0"/>
          <w:sz w:val="24"/>
          <w:szCs w:val="24"/>
        </w:rPr>
        <w:t>1</w:t>
      </w:r>
      <w:r>
        <w:rPr>
          <w:rFonts w:hint="eastAsia" w:ascii="宋体" w:hAnsi="宋体" w:eastAsia="宋体" w:cs="宋体"/>
          <w:kern w:val="0"/>
          <w:sz w:val="24"/>
          <w:szCs w:val="24"/>
        </w:rPr>
        <w:t>）招标人或投标人的主要负责人的近亲属；</w:t>
      </w:r>
    </w:p>
    <w:p w14:paraId="7C06EF56">
      <w:pPr>
        <w:keepNext w:val="0"/>
        <w:keepLines w:val="0"/>
        <w:pageBreakBefore w:val="0"/>
        <w:widowControl w:val="0"/>
        <w:suppressAutoHyphens/>
        <w:kinsoku/>
        <w:wordWrap/>
        <w:overflowPunct/>
        <w:topLinePunct w:val="0"/>
        <w:autoSpaceDE w:val="0"/>
        <w:autoSpaceDN w:val="0"/>
        <w:bidi w:val="0"/>
        <w:adjustRightInd w:val="0"/>
        <w:spacing w:before="0" w:after="0" w:line="460" w:lineRule="exact"/>
        <w:ind w:firstLine="480" w:firstLineChars="200"/>
        <w:textAlignment w:val="auto"/>
        <w:rPr>
          <w:rFonts w:ascii="宋体" w:hAnsi="宋体" w:eastAsia="宋体" w:cs="宋体"/>
          <w:kern w:val="0"/>
          <w:sz w:val="24"/>
          <w:szCs w:val="24"/>
        </w:rPr>
      </w:pPr>
      <w:r>
        <w:rPr>
          <w:rFonts w:hint="eastAsia" w:ascii="宋体" w:hAnsi="宋体" w:eastAsia="宋体" w:cs="宋体"/>
          <w:kern w:val="0"/>
          <w:sz w:val="24"/>
          <w:szCs w:val="24"/>
        </w:rPr>
        <w:t>（</w:t>
      </w:r>
      <w:r>
        <w:rPr>
          <w:rFonts w:ascii="宋体" w:hAnsi="宋体" w:eastAsia="宋体" w:cs="宋体"/>
          <w:kern w:val="0"/>
          <w:sz w:val="24"/>
          <w:szCs w:val="24"/>
        </w:rPr>
        <w:t>2</w:t>
      </w:r>
      <w:r>
        <w:rPr>
          <w:rFonts w:hint="eastAsia" w:ascii="宋体" w:hAnsi="宋体" w:eastAsia="宋体" w:cs="宋体"/>
          <w:kern w:val="0"/>
          <w:sz w:val="24"/>
          <w:szCs w:val="24"/>
        </w:rPr>
        <w:t>）项目主管部门或者行政监督部门的人员；</w:t>
      </w:r>
    </w:p>
    <w:p w14:paraId="12A4002A">
      <w:pPr>
        <w:keepNext w:val="0"/>
        <w:keepLines w:val="0"/>
        <w:pageBreakBefore w:val="0"/>
        <w:widowControl w:val="0"/>
        <w:suppressAutoHyphens/>
        <w:kinsoku/>
        <w:wordWrap/>
        <w:overflowPunct/>
        <w:topLinePunct w:val="0"/>
        <w:autoSpaceDE w:val="0"/>
        <w:autoSpaceDN w:val="0"/>
        <w:bidi w:val="0"/>
        <w:adjustRightInd w:val="0"/>
        <w:spacing w:before="0" w:after="0" w:line="460" w:lineRule="exact"/>
        <w:ind w:firstLine="480" w:firstLineChars="200"/>
        <w:textAlignment w:val="auto"/>
        <w:rPr>
          <w:rFonts w:ascii="宋体" w:hAnsi="宋体" w:eastAsia="宋体" w:cs="宋体"/>
          <w:kern w:val="0"/>
          <w:sz w:val="24"/>
          <w:szCs w:val="24"/>
        </w:rPr>
      </w:pPr>
      <w:r>
        <w:rPr>
          <w:rFonts w:hint="eastAsia" w:ascii="宋体" w:hAnsi="宋体" w:eastAsia="宋体" w:cs="宋体"/>
          <w:kern w:val="0"/>
          <w:sz w:val="24"/>
          <w:szCs w:val="24"/>
        </w:rPr>
        <w:t>（</w:t>
      </w:r>
      <w:r>
        <w:rPr>
          <w:rFonts w:ascii="宋体" w:hAnsi="宋体" w:eastAsia="宋体" w:cs="宋体"/>
          <w:kern w:val="0"/>
          <w:sz w:val="24"/>
          <w:szCs w:val="24"/>
        </w:rPr>
        <w:t>3</w:t>
      </w:r>
      <w:r>
        <w:rPr>
          <w:rFonts w:hint="eastAsia" w:ascii="宋体" w:hAnsi="宋体" w:eastAsia="宋体" w:cs="宋体"/>
          <w:kern w:val="0"/>
          <w:sz w:val="24"/>
          <w:szCs w:val="24"/>
        </w:rPr>
        <w:t>）与投标人有经济利益关系，可能影响对投标公正评审的；</w:t>
      </w:r>
    </w:p>
    <w:p w14:paraId="3809AD0B">
      <w:pPr>
        <w:keepNext w:val="0"/>
        <w:keepLines w:val="0"/>
        <w:pageBreakBefore w:val="0"/>
        <w:widowControl w:val="0"/>
        <w:suppressAutoHyphens/>
        <w:kinsoku/>
        <w:wordWrap/>
        <w:overflowPunct/>
        <w:topLinePunct w:val="0"/>
        <w:autoSpaceDE w:val="0"/>
        <w:autoSpaceDN w:val="0"/>
        <w:bidi w:val="0"/>
        <w:adjustRightInd w:val="0"/>
        <w:spacing w:before="0" w:after="0" w:line="460" w:lineRule="exact"/>
        <w:ind w:firstLine="480" w:firstLineChars="200"/>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rPr>
        <w:t>（4）曾因在招标、评标以及其他与招标投标有关活动中从事违法行为而受过行政处罚或刑事处罚的</w:t>
      </w:r>
      <w:r>
        <w:rPr>
          <w:rFonts w:hint="eastAsia" w:ascii="宋体" w:hAnsi="宋体" w:eastAsia="宋体" w:cs="宋体"/>
          <w:kern w:val="0"/>
          <w:sz w:val="24"/>
          <w:szCs w:val="24"/>
          <w:lang w:eastAsia="zh-CN"/>
        </w:rPr>
        <w:t>；</w:t>
      </w:r>
    </w:p>
    <w:p w14:paraId="4AC4D70F">
      <w:pPr>
        <w:keepNext w:val="0"/>
        <w:keepLines w:val="0"/>
        <w:pageBreakBefore w:val="0"/>
        <w:widowControl w:val="0"/>
        <w:suppressAutoHyphens/>
        <w:kinsoku/>
        <w:wordWrap/>
        <w:overflowPunct/>
        <w:topLinePunct w:val="0"/>
        <w:autoSpaceDE w:val="0"/>
        <w:autoSpaceDN w:val="0"/>
        <w:bidi w:val="0"/>
        <w:adjustRightInd w:val="0"/>
        <w:spacing w:before="0" w:after="0" w:line="460" w:lineRule="exact"/>
        <w:ind w:firstLine="480" w:firstLineChars="200"/>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（5）与投标人有其他利害关系。</w:t>
      </w:r>
    </w:p>
    <w:p w14:paraId="7ECBCD56">
      <w:pPr>
        <w:pStyle w:val="15"/>
        <w:keepNext w:val="0"/>
        <w:keepLines w:val="0"/>
        <w:pageBreakBefore w:val="0"/>
        <w:widowControl/>
        <w:kinsoku/>
        <w:wordWrap/>
        <w:overflowPunct/>
        <w:topLinePunct w:val="0"/>
        <w:autoSpaceDE/>
        <w:autoSpaceDN/>
        <w:bidi w:val="0"/>
        <w:adjustRightInd/>
        <w:snapToGrid/>
        <w:spacing w:line="460" w:lineRule="atLeast"/>
        <w:ind w:left="0" w:leftChars="0" w:firstLine="480" w:firstLineChars="200"/>
        <w:textAlignment w:val="auto"/>
      </w:pPr>
      <w:r>
        <w:rPr>
          <w:rFonts w:hint="eastAsia"/>
        </w:rPr>
        <w:t>6.1.3 评标过程中，评标委员会成员有回避事由、擅离职守或者因健康等原因不能继续评标的，招标人有权更换。被更换的评标委员会成员作出的评审结论无效，由更换后的评标委员会成员重新进行评审。</w:t>
      </w:r>
    </w:p>
    <w:p w14:paraId="7ECB2C43">
      <w:pPr>
        <w:keepNext w:val="0"/>
        <w:keepLines w:val="0"/>
        <w:pageBreakBefore w:val="0"/>
        <w:widowControl w:val="0"/>
        <w:suppressAutoHyphens/>
        <w:kinsoku/>
        <w:wordWrap/>
        <w:overflowPunct/>
        <w:topLinePunct w:val="0"/>
        <w:autoSpaceDE/>
        <w:autoSpaceDN/>
        <w:bidi w:val="0"/>
        <w:adjustRightInd/>
        <w:snapToGrid/>
        <w:spacing w:before="157" w:beforeLines="50" w:after="0" w:line="460" w:lineRule="exact"/>
        <w:textAlignment w:val="auto"/>
        <w:rPr>
          <w:rFonts w:ascii="宋体" w:hAnsi="宋体" w:eastAsia="宋体" w:cs="Times New Roman"/>
          <w:b/>
          <w:sz w:val="24"/>
          <w:szCs w:val="24"/>
        </w:rPr>
      </w:pPr>
      <w:r>
        <w:rPr>
          <w:rFonts w:hint="eastAsia" w:ascii="宋体" w:hAnsi="宋体" w:eastAsia="宋体" w:cs="Times New Roman"/>
          <w:b/>
          <w:sz w:val="24"/>
          <w:szCs w:val="24"/>
        </w:rPr>
        <w:t>6.2 评标原则</w:t>
      </w:r>
    </w:p>
    <w:p w14:paraId="28324107">
      <w:pPr>
        <w:keepNext w:val="0"/>
        <w:keepLines w:val="0"/>
        <w:pageBreakBefore w:val="0"/>
        <w:widowControl w:val="0"/>
        <w:suppressAutoHyphens/>
        <w:kinsoku/>
        <w:wordWrap/>
        <w:overflowPunct/>
        <w:topLinePunct w:val="0"/>
        <w:bidi w:val="0"/>
        <w:spacing w:before="0" w:after="0" w:line="460" w:lineRule="exact"/>
        <w:ind w:firstLine="480" w:firstLineChars="200"/>
        <w:textAlignment w:val="auto"/>
        <w:rPr>
          <w:rFonts w:ascii="宋体" w:hAnsi="宋体" w:eastAsia="宋体" w:cs="Times New Roman"/>
          <w:b/>
          <w:sz w:val="24"/>
          <w:szCs w:val="24"/>
        </w:rPr>
      </w:pPr>
      <w:r>
        <w:rPr>
          <w:rFonts w:hint="eastAsia" w:ascii="宋体" w:hAnsi="宋体" w:eastAsia="宋体" w:cs="宋体"/>
          <w:kern w:val="0"/>
          <w:sz w:val="24"/>
          <w:szCs w:val="24"/>
        </w:rPr>
        <w:t>评标活动遵循公平、公正、科学和择优的原则。</w:t>
      </w:r>
    </w:p>
    <w:p w14:paraId="7C05C6EE">
      <w:pPr>
        <w:keepNext w:val="0"/>
        <w:keepLines w:val="0"/>
        <w:pageBreakBefore w:val="0"/>
        <w:widowControl w:val="0"/>
        <w:suppressAutoHyphens/>
        <w:kinsoku/>
        <w:wordWrap/>
        <w:overflowPunct/>
        <w:topLinePunct w:val="0"/>
        <w:autoSpaceDE/>
        <w:autoSpaceDN/>
        <w:bidi w:val="0"/>
        <w:adjustRightInd/>
        <w:snapToGrid/>
        <w:spacing w:before="157" w:beforeLines="50" w:after="0" w:line="460" w:lineRule="exact"/>
        <w:textAlignment w:val="auto"/>
        <w:rPr>
          <w:rFonts w:ascii="宋体" w:hAnsi="宋体" w:eastAsia="宋体" w:cs="Times New Roman"/>
          <w:b/>
          <w:sz w:val="24"/>
          <w:szCs w:val="24"/>
        </w:rPr>
      </w:pPr>
      <w:r>
        <w:rPr>
          <w:rFonts w:hint="eastAsia" w:ascii="宋体" w:hAnsi="宋体" w:eastAsia="宋体" w:cs="Times New Roman"/>
          <w:b/>
          <w:sz w:val="24"/>
          <w:szCs w:val="24"/>
        </w:rPr>
        <w:t>6.3 评标办法</w:t>
      </w:r>
    </w:p>
    <w:p w14:paraId="52D1DE42">
      <w:pPr>
        <w:keepNext w:val="0"/>
        <w:keepLines w:val="0"/>
        <w:pageBreakBefore w:val="0"/>
        <w:widowControl w:val="0"/>
        <w:suppressAutoHyphens/>
        <w:kinsoku/>
        <w:wordWrap/>
        <w:overflowPunct/>
        <w:topLinePunct w:val="0"/>
        <w:bidi w:val="0"/>
        <w:spacing w:before="0" w:after="0" w:line="46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评标委员会按照投标人须知前附表规定的评标办法进行评标，具体的评审方法见第三章“评标办法”规定的方法、评审因素、标准和程序对投标文件进行评审。第三章“评标办法”没有规定的方法、评审因素和标准，不作为评标依据。</w:t>
      </w:r>
    </w:p>
    <w:p w14:paraId="643DAED6">
      <w:pPr>
        <w:keepNext w:val="0"/>
        <w:keepLines w:val="0"/>
        <w:pageBreakBefore w:val="0"/>
        <w:widowControl w:val="0"/>
        <w:suppressAutoHyphens/>
        <w:kinsoku/>
        <w:wordWrap/>
        <w:overflowPunct/>
        <w:topLinePunct w:val="0"/>
        <w:bidi w:val="0"/>
        <w:spacing w:before="0" w:beforeLines="150" w:after="0" w:line="460" w:lineRule="exact"/>
        <w:textAlignment w:val="auto"/>
        <w:outlineLvl w:val="2"/>
        <w:rPr>
          <w:rFonts w:ascii="宋体" w:hAnsi="宋体" w:eastAsia="宋体" w:cs="Times New Roman"/>
          <w:b/>
          <w:sz w:val="30"/>
          <w:szCs w:val="30"/>
        </w:rPr>
      </w:pPr>
      <w:r>
        <w:rPr>
          <w:rFonts w:hint="eastAsia" w:ascii="宋体" w:hAnsi="宋体" w:eastAsia="宋体" w:cs="Times New Roman"/>
          <w:b/>
          <w:sz w:val="30"/>
          <w:szCs w:val="30"/>
        </w:rPr>
        <w:t>7</w:t>
      </w:r>
      <w:r>
        <w:rPr>
          <w:rFonts w:hint="eastAsia" w:ascii="宋体" w:hAnsi="宋体" w:cs="Times New Roman"/>
          <w:b/>
          <w:sz w:val="30"/>
          <w:szCs w:val="30"/>
          <w:lang w:val="en-US" w:eastAsia="zh-CN"/>
        </w:rPr>
        <w:t>.</w:t>
      </w:r>
      <w:r>
        <w:rPr>
          <w:rFonts w:hint="eastAsia" w:ascii="宋体" w:hAnsi="宋体" w:eastAsia="宋体" w:cs="Times New Roman"/>
          <w:b/>
          <w:sz w:val="30"/>
          <w:szCs w:val="30"/>
        </w:rPr>
        <w:t>合同授予</w:t>
      </w:r>
    </w:p>
    <w:p w14:paraId="05DA76FE">
      <w:pPr>
        <w:keepNext w:val="0"/>
        <w:keepLines w:val="0"/>
        <w:pageBreakBefore w:val="0"/>
        <w:widowControl w:val="0"/>
        <w:suppressAutoHyphens/>
        <w:kinsoku/>
        <w:wordWrap/>
        <w:overflowPunct/>
        <w:topLinePunct w:val="0"/>
        <w:autoSpaceDE w:val="0"/>
        <w:autoSpaceDN w:val="0"/>
        <w:bidi w:val="0"/>
        <w:adjustRightInd w:val="0"/>
        <w:spacing w:before="0" w:after="0" w:line="460" w:lineRule="exact"/>
        <w:textAlignment w:val="auto"/>
        <w:rPr>
          <w:rFonts w:hint="eastAsia" w:ascii="宋体" w:hAnsi="宋体" w:cs="Times New Roman"/>
          <w:b/>
          <w:sz w:val="24"/>
          <w:szCs w:val="24"/>
          <w:lang w:val="en-US" w:eastAsia="zh-CN"/>
        </w:rPr>
      </w:pPr>
      <w:r>
        <w:rPr>
          <w:rFonts w:hint="eastAsia" w:ascii="宋体" w:hAnsi="宋体" w:cs="Times New Roman"/>
          <w:b/>
          <w:sz w:val="24"/>
          <w:szCs w:val="24"/>
          <w:lang w:val="en-US" w:eastAsia="zh-CN"/>
        </w:rPr>
        <w:t>7.1 定标方式</w:t>
      </w:r>
    </w:p>
    <w:p w14:paraId="31BC1DBA">
      <w:pPr>
        <w:keepNext w:val="0"/>
        <w:keepLines w:val="0"/>
        <w:pageBreakBefore w:val="0"/>
        <w:widowControl w:val="0"/>
        <w:suppressAutoHyphens/>
        <w:kinsoku/>
        <w:wordWrap/>
        <w:overflowPunct/>
        <w:topLinePunct w:val="0"/>
        <w:autoSpaceDE w:val="0"/>
        <w:autoSpaceDN w:val="0"/>
        <w:bidi w:val="0"/>
        <w:adjustRightInd w:val="0"/>
        <w:spacing w:before="0" w:after="0" w:line="460" w:lineRule="exact"/>
        <w:ind w:firstLine="472" w:firstLineChars="200"/>
        <w:textAlignment w:val="auto"/>
        <w:rPr>
          <w:rFonts w:hint="eastAsia" w:ascii="宋体" w:hAnsi="宋体" w:eastAsia="宋体" w:cs="宋体"/>
          <w:color w:val="auto"/>
          <w:spacing w:val="-2"/>
          <w:kern w:val="0"/>
          <w:sz w:val="24"/>
          <w:szCs w:val="20"/>
          <w:lang w:val="en-US" w:eastAsia="zh-CN"/>
        </w:rPr>
      </w:pPr>
      <w:r>
        <w:rPr>
          <w:rFonts w:hint="eastAsia" w:ascii="宋体" w:hAnsi="宋体" w:eastAsia="宋体" w:cs="宋体"/>
          <w:color w:val="auto"/>
          <w:spacing w:val="-2"/>
          <w:kern w:val="0"/>
          <w:sz w:val="24"/>
          <w:szCs w:val="20"/>
          <w:lang w:val="en-US" w:eastAsia="zh-CN"/>
        </w:rPr>
        <w:t>除投标人须知前附表规定评标委员会直接确定中标人外，招标人依据评标委员会推荐的中标候选人确定中标人，评标委员会推荐中标候选人的人数见投标人须知前附表。</w:t>
      </w:r>
    </w:p>
    <w:p w14:paraId="114CC1C0">
      <w:pPr>
        <w:keepNext w:val="0"/>
        <w:keepLines w:val="0"/>
        <w:pageBreakBefore w:val="0"/>
        <w:widowControl w:val="0"/>
        <w:suppressAutoHyphens/>
        <w:kinsoku/>
        <w:wordWrap/>
        <w:overflowPunct/>
        <w:topLinePunct w:val="0"/>
        <w:autoSpaceDE w:val="0"/>
        <w:autoSpaceDN w:val="0"/>
        <w:bidi w:val="0"/>
        <w:adjustRightInd w:val="0"/>
        <w:spacing w:before="0" w:after="0" w:line="460" w:lineRule="exact"/>
        <w:textAlignment w:val="auto"/>
        <w:rPr>
          <w:rFonts w:ascii="宋体" w:hAnsi="宋体" w:eastAsia="宋体" w:cs="宋体"/>
          <w:b/>
          <w:kern w:val="0"/>
          <w:sz w:val="24"/>
          <w:szCs w:val="20"/>
        </w:rPr>
      </w:pPr>
      <w:r>
        <w:rPr>
          <w:rFonts w:hint="eastAsia" w:ascii="宋体" w:hAnsi="宋体" w:cs="Times New Roman"/>
          <w:b/>
          <w:sz w:val="24"/>
          <w:szCs w:val="24"/>
          <w:lang w:val="en-US" w:eastAsia="zh-CN"/>
        </w:rPr>
        <w:t>7.2</w:t>
      </w:r>
      <w:r>
        <w:rPr>
          <w:rFonts w:hint="eastAsia" w:ascii="宋体" w:hAnsi="宋体" w:eastAsia="宋体" w:cs="Times New Roman"/>
          <w:b/>
          <w:sz w:val="24"/>
          <w:szCs w:val="24"/>
        </w:rPr>
        <w:t xml:space="preserve"> </w:t>
      </w:r>
      <w:r>
        <w:rPr>
          <w:rFonts w:hint="eastAsia" w:ascii="宋体" w:hAnsi="宋体" w:eastAsia="宋体" w:cs="宋体"/>
          <w:b/>
          <w:kern w:val="0"/>
          <w:sz w:val="24"/>
          <w:szCs w:val="20"/>
        </w:rPr>
        <w:t>中标通知</w:t>
      </w:r>
    </w:p>
    <w:p w14:paraId="207781A5">
      <w:pPr>
        <w:keepNext w:val="0"/>
        <w:keepLines w:val="0"/>
        <w:pageBreakBefore w:val="0"/>
        <w:widowControl w:val="0"/>
        <w:suppressAutoHyphens/>
        <w:kinsoku/>
        <w:wordWrap/>
        <w:overflowPunct/>
        <w:topLinePunct w:val="0"/>
        <w:autoSpaceDE w:val="0"/>
        <w:autoSpaceDN w:val="0"/>
        <w:bidi w:val="0"/>
        <w:adjustRightInd w:val="0"/>
        <w:spacing w:before="0" w:after="0" w:line="460" w:lineRule="exact"/>
        <w:ind w:firstLine="480" w:firstLineChars="200"/>
        <w:textAlignment w:val="auto"/>
        <w:rPr>
          <w:rFonts w:ascii="宋体" w:hAnsi="宋体" w:eastAsia="宋体" w:cs="宋体"/>
          <w:color w:val="auto"/>
          <w:spacing w:val="-2"/>
          <w:kern w:val="0"/>
          <w:sz w:val="24"/>
          <w:szCs w:val="20"/>
        </w:rPr>
      </w:pPr>
      <w:r>
        <w:rPr>
          <w:rFonts w:hint="eastAsia" w:ascii="宋体" w:hAnsi="宋体" w:eastAsia="宋体" w:cs="宋体"/>
          <w:color w:val="auto"/>
          <w:kern w:val="0"/>
          <w:sz w:val="24"/>
          <w:szCs w:val="20"/>
        </w:rPr>
        <w:t>1、</w:t>
      </w:r>
      <w:r>
        <w:rPr>
          <w:rFonts w:hint="eastAsia" w:ascii="宋体" w:hAnsi="宋体" w:eastAsia="宋体" w:cs="宋体"/>
          <w:color w:val="auto"/>
          <w:spacing w:val="-2"/>
          <w:kern w:val="0"/>
          <w:sz w:val="24"/>
          <w:szCs w:val="20"/>
        </w:rPr>
        <w:t>中标确定。中标候选人公示期满无异议的，招标人确认排名第一的中标候选人为中标人，中标人的投标报价即为中标价。</w:t>
      </w:r>
    </w:p>
    <w:p w14:paraId="086470D8">
      <w:pPr>
        <w:keepNext w:val="0"/>
        <w:keepLines w:val="0"/>
        <w:pageBreakBefore w:val="0"/>
        <w:widowControl w:val="0"/>
        <w:suppressAutoHyphens/>
        <w:kinsoku/>
        <w:wordWrap/>
        <w:overflowPunct/>
        <w:topLinePunct w:val="0"/>
        <w:autoSpaceDE w:val="0"/>
        <w:autoSpaceDN w:val="0"/>
        <w:bidi w:val="0"/>
        <w:adjustRightInd w:val="0"/>
        <w:spacing w:before="0" w:after="0" w:line="460" w:lineRule="exact"/>
        <w:ind w:firstLine="472" w:firstLineChars="200"/>
        <w:textAlignment w:val="auto"/>
        <w:rPr>
          <w:rFonts w:hint="eastAsia" w:ascii="宋体" w:hAnsi="宋体" w:eastAsia="宋体" w:cs="宋体"/>
          <w:spacing w:val="-2"/>
          <w:kern w:val="0"/>
          <w:sz w:val="24"/>
          <w:szCs w:val="20"/>
          <w:lang w:eastAsia="zh-CN"/>
        </w:rPr>
      </w:pPr>
      <w:r>
        <w:rPr>
          <w:rFonts w:hint="eastAsia" w:ascii="宋体" w:hAnsi="宋体" w:cs="宋体"/>
          <w:spacing w:val="-2"/>
          <w:kern w:val="0"/>
          <w:sz w:val="24"/>
          <w:szCs w:val="20"/>
          <w:lang w:val="en-US" w:eastAsia="zh-CN"/>
        </w:rPr>
        <w:t>2</w:t>
      </w:r>
      <w:r>
        <w:rPr>
          <w:rFonts w:hint="eastAsia" w:ascii="宋体" w:hAnsi="宋体" w:cs="宋体"/>
          <w:spacing w:val="-2"/>
          <w:kern w:val="0"/>
          <w:sz w:val="24"/>
          <w:szCs w:val="20"/>
          <w:lang w:eastAsia="zh-CN"/>
        </w:rPr>
        <w:t>、</w:t>
      </w:r>
      <w:r>
        <w:rPr>
          <w:rFonts w:hint="eastAsia" w:ascii="宋体" w:hAnsi="宋体" w:eastAsia="宋体" w:cs="宋体"/>
          <w:spacing w:val="-2"/>
          <w:kern w:val="0"/>
          <w:sz w:val="24"/>
          <w:szCs w:val="20"/>
        </w:rPr>
        <w:t>中标人确定后，在本章第 3.3 款规定的投标有效期内，招标人以书面形式向中标人发出中标通知书，</w:t>
      </w:r>
      <w:r>
        <w:rPr>
          <w:rFonts w:hint="eastAsia" w:ascii="宋体" w:hAnsi="宋体" w:cs="宋体"/>
          <w:spacing w:val="-2"/>
          <w:kern w:val="0"/>
          <w:sz w:val="24"/>
          <w:szCs w:val="20"/>
          <w:lang w:eastAsia="zh-CN"/>
        </w:rPr>
        <w:t>同时将中标结果在广东省招标投标监管网、广东省公共资源交易平台、广州公共资源交易中心网发布。</w:t>
      </w:r>
    </w:p>
    <w:p w14:paraId="4FBCFCC7">
      <w:pPr>
        <w:keepNext w:val="0"/>
        <w:keepLines w:val="0"/>
        <w:pageBreakBefore w:val="0"/>
        <w:widowControl w:val="0"/>
        <w:tabs>
          <w:tab w:val="left" w:pos="3953"/>
        </w:tabs>
        <w:suppressAutoHyphens/>
        <w:kinsoku/>
        <w:wordWrap/>
        <w:overflowPunct/>
        <w:topLinePunct w:val="0"/>
        <w:autoSpaceDE/>
        <w:autoSpaceDN/>
        <w:bidi w:val="0"/>
        <w:adjustRightInd/>
        <w:snapToGrid/>
        <w:spacing w:before="157" w:beforeLines="50" w:after="0" w:line="460" w:lineRule="exact"/>
        <w:textAlignment w:val="auto"/>
        <w:rPr>
          <w:rFonts w:ascii="宋体" w:hAnsi="宋体" w:eastAsia="宋体" w:cs="Times New Roman"/>
          <w:b/>
          <w:sz w:val="24"/>
          <w:szCs w:val="24"/>
        </w:rPr>
      </w:pPr>
      <w:r>
        <w:rPr>
          <w:rFonts w:hint="eastAsia" w:ascii="宋体" w:hAnsi="宋体" w:cs="Times New Roman"/>
          <w:b/>
          <w:sz w:val="24"/>
          <w:szCs w:val="24"/>
          <w:lang w:val="en-US" w:eastAsia="zh-CN"/>
        </w:rPr>
        <w:t>7.3</w:t>
      </w:r>
      <w:r>
        <w:rPr>
          <w:rFonts w:hint="eastAsia" w:ascii="宋体" w:hAnsi="宋体" w:eastAsia="宋体" w:cs="Times New Roman"/>
          <w:b/>
          <w:sz w:val="24"/>
          <w:szCs w:val="24"/>
        </w:rPr>
        <w:t xml:space="preserve"> </w:t>
      </w:r>
      <w:r>
        <w:rPr>
          <w:rFonts w:ascii="宋体" w:hAnsi="宋体" w:eastAsia="宋体" w:cs="Times New Roman"/>
          <w:b/>
          <w:sz w:val="24"/>
          <w:szCs w:val="24"/>
        </w:rPr>
        <w:t>履约担保</w:t>
      </w:r>
      <w:r>
        <w:rPr>
          <w:rFonts w:ascii="宋体" w:hAnsi="宋体" w:eastAsia="宋体" w:cs="Times New Roman"/>
          <w:b/>
          <w:sz w:val="24"/>
          <w:szCs w:val="24"/>
        </w:rPr>
        <w:tab/>
      </w:r>
    </w:p>
    <w:p w14:paraId="7009A0F7">
      <w:pPr>
        <w:keepNext w:val="0"/>
        <w:keepLines w:val="0"/>
        <w:pageBreakBefore w:val="0"/>
        <w:widowControl w:val="0"/>
        <w:suppressAutoHyphens/>
        <w:kinsoku/>
        <w:wordWrap/>
        <w:overflowPunct/>
        <w:topLinePunct w:val="0"/>
        <w:bidi w:val="0"/>
        <w:spacing w:before="0" w:after="0" w:line="460" w:lineRule="exact"/>
        <w:ind w:firstLine="480" w:firstLineChars="200"/>
        <w:textAlignment w:val="auto"/>
        <w:rPr>
          <w:rFonts w:ascii="宋体" w:hAnsi="宋体" w:eastAsia="宋体" w:cs="宋体"/>
          <w:kern w:val="0"/>
          <w:sz w:val="24"/>
          <w:szCs w:val="24"/>
        </w:rPr>
      </w:pPr>
      <w:r>
        <w:rPr>
          <w:rFonts w:hint="eastAsia" w:ascii="宋体" w:hAnsi="宋体" w:cs="宋体"/>
          <w:kern w:val="0"/>
          <w:sz w:val="24"/>
          <w:szCs w:val="24"/>
          <w:lang w:val="en-US" w:eastAsia="zh-CN"/>
        </w:rPr>
        <w:t>7.3</w:t>
      </w:r>
      <w:r>
        <w:rPr>
          <w:rFonts w:hint="eastAsia" w:ascii="宋体" w:hAnsi="宋体" w:eastAsia="宋体" w:cs="宋体"/>
          <w:kern w:val="0"/>
          <w:sz w:val="24"/>
          <w:szCs w:val="24"/>
        </w:rPr>
        <w:t>.1</w:t>
      </w:r>
      <w:r>
        <w:rPr>
          <w:rFonts w:ascii="宋体" w:hAnsi="宋体" w:eastAsia="宋体" w:cs="宋体"/>
          <w:kern w:val="0"/>
          <w:sz w:val="24"/>
          <w:szCs w:val="24"/>
        </w:rPr>
        <w:t xml:space="preserve"> 中标人</w:t>
      </w:r>
      <w:r>
        <w:rPr>
          <w:rFonts w:hint="eastAsia" w:ascii="宋体" w:hAnsi="宋体" w:eastAsia="宋体" w:cs="宋体"/>
          <w:kern w:val="0"/>
          <w:sz w:val="24"/>
          <w:szCs w:val="24"/>
        </w:rPr>
        <w:t>须按投标人须知前附表规定的金额、担保形式和招标文件第四章“合同条款及格式”规定的履约担保格式向招标人提交履约担保。联合体中标的，其履约担保由牵头人递交，并应符合投标人须知前附表规定的金额、担保形式和招标文件第四章“合同条款及格式”规定的履约担保格式要求。</w:t>
      </w:r>
    </w:p>
    <w:p w14:paraId="430B6008">
      <w:pPr>
        <w:keepNext w:val="0"/>
        <w:keepLines w:val="0"/>
        <w:pageBreakBefore w:val="0"/>
        <w:widowControl w:val="0"/>
        <w:suppressAutoHyphens/>
        <w:kinsoku/>
        <w:wordWrap/>
        <w:overflowPunct/>
        <w:topLinePunct w:val="0"/>
        <w:autoSpaceDE w:val="0"/>
        <w:autoSpaceDN w:val="0"/>
        <w:bidi w:val="0"/>
        <w:adjustRightInd w:val="0"/>
        <w:spacing w:before="0" w:after="0" w:line="460" w:lineRule="exact"/>
        <w:ind w:firstLine="480" w:firstLineChars="200"/>
        <w:textAlignment w:val="auto"/>
        <w:rPr>
          <w:rFonts w:ascii="宋体" w:hAnsi="宋体" w:eastAsia="宋体" w:cs="宋体"/>
          <w:kern w:val="0"/>
          <w:sz w:val="24"/>
          <w:szCs w:val="20"/>
        </w:rPr>
      </w:pPr>
      <w:r>
        <w:rPr>
          <w:rFonts w:hint="eastAsia" w:ascii="宋体" w:hAnsi="宋体" w:cs="宋体"/>
          <w:kern w:val="0"/>
          <w:sz w:val="24"/>
          <w:szCs w:val="20"/>
          <w:lang w:val="en-US" w:eastAsia="zh-CN"/>
        </w:rPr>
        <w:t>7.3</w:t>
      </w:r>
      <w:r>
        <w:rPr>
          <w:rFonts w:ascii="宋体" w:hAnsi="宋体" w:eastAsia="宋体" w:cs="宋体"/>
          <w:kern w:val="0"/>
          <w:sz w:val="24"/>
          <w:szCs w:val="20"/>
        </w:rPr>
        <w:t xml:space="preserve">.2 </w:t>
      </w:r>
      <w:r>
        <w:rPr>
          <w:rFonts w:hint="eastAsia" w:ascii="宋体" w:hAnsi="宋体" w:eastAsia="宋体" w:cs="宋体"/>
          <w:kern w:val="0"/>
          <w:sz w:val="24"/>
          <w:szCs w:val="20"/>
        </w:rPr>
        <w:t>中标人不能按本章第</w:t>
      </w:r>
      <w:r>
        <w:rPr>
          <w:rFonts w:hint="eastAsia" w:ascii="宋体" w:hAnsi="宋体" w:cs="宋体"/>
          <w:kern w:val="0"/>
          <w:sz w:val="24"/>
          <w:szCs w:val="20"/>
          <w:lang w:val="en-US" w:eastAsia="zh-CN"/>
        </w:rPr>
        <w:t>7.3</w:t>
      </w:r>
      <w:r>
        <w:rPr>
          <w:rFonts w:ascii="宋体" w:hAnsi="宋体" w:eastAsia="宋体" w:cs="宋体"/>
          <w:kern w:val="0"/>
          <w:sz w:val="24"/>
          <w:szCs w:val="20"/>
        </w:rPr>
        <w:t>.1</w:t>
      </w:r>
      <w:r>
        <w:rPr>
          <w:rFonts w:hint="eastAsia" w:ascii="宋体" w:hAnsi="宋体" w:eastAsia="宋体" w:cs="宋体"/>
          <w:kern w:val="0"/>
          <w:sz w:val="24"/>
          <w:szCs w:val="20"/>
        </w:rPr>
        <w:t>项要求提交履约担保的，视为放弃中标，其投标保证金不予退还，给招标人造成的损失超过投标保证金数额的，中标人还应当对超过部分予以赔偿。</w:t>
      </w:r>
    </w:p>
    <w:p w14:paraId="24D78E16">
      <w:pPr>
        <w:keepNext w:val="0"/>
        <w:keepLines w:val="0"/>
        <w:pageBreakBefore w:val="0"/>
        <w:widowControl w:val="0"/>
        <w:suppressAutoHyphens/>
        <w:kinsoku/>
        <w:wordWrap/>
        <w:overflowPunct/>
        <w:topLinePunct w:val="0"/>
        <w:autoSpaceDE/>
        <w:autoSpaceDN/>
        <w:bidi w:val="0"/>
        <w:adjustRightInd/>
        <w:snapToGrid/>
        <w:spacing w:before="157" w:beforeLines="50" w:after="0" w:line="460" w:lineRule="exact"/>
        <w:textAlignment w:val="auto"/>
        <w:rPr>
          <w:rFonts w:ascii="宋体" w:hAnsi="宋体" w:eastAsia="宋体" w:cs="Times New Roman"/>
          <w:b/>
          <w:color w:val="auto"/>
          <w:sz w:val="24"/>
          <w:szCs w:val="24"/>
        </w:rPr>
      </w:pPr>
      <w:r>
        <w:rPr>
          <w:rFonts w:hint="eastAsia" w:ascii="宋体" w:hAnsi="宋体" w:cs="Times New Roman"/>
          <w:b/>
          <w:color w:val="auto"/>
          <w:sz w:val="24"/>
          <w:szCs w:val="24"/>
          <w:lang w:val="en-US" w:eastAsia="zh-CN"/>
        </w:rPr>
        <w:t xml:space="preserve">7.4 </w:t>
      </w:r>
      <w:r>
        <w:rPr>
          <w:rFonts w:hint="eastAsia" w:ascii="宋体" w:hAnsi="宋体" w:eastAsia="宋体" w:cs="Times New Roman"/>
          <w:b/>
          <w:color w:val="auto"/>
          <w:sz w:val="24"/>
          <w:szCs w:val="24"/>
        </w:rPr>
        <w:t>签订合同</w:t>
      </w:r>
    </w:p>
    <w:p w14:paraId="51F86D49">
      <w:pPr>
        <w:keepNext w:val="0"/>
        <w:keepLines w:val="0"/>
        <w:pageBreakBefore w:val="0"/>
        <w:widowControl w:val="0"/>
        <w:suppressAutoHyphens/>
        <w:kinsoku/>
        <w:wordWrap/>
        <w:overflowPunct/>
        <w:topLinePunct w:val="0"/>
        <w:bidi w:val="0"/>
        <w:spacing w:before="0" w:after="0" w:line="460" w:lineRule="exact"/>
        <w:ind w:firstLine="480" w:firstLineChars="200"/>
        <w:textAlignment w:val="auto"/>
        <w:rPr>
          <w:rFonts w:ascii="宋体" w:hAnsi="宋体" w:eastAsia="宋体" w:cs="宋体"/>
          <w:spacing w:val="-4"/>
          <w:kern w:val="0"/>
          <w:sz w:val="24"/>
          <w:szCs w:val="24"/>
        </w:rPr>
      </w:pPr>
      <w:r>
        <w:rPr>
          <w:rFonts w:hint="eastAsia" w:ascii="宋体" w:hAnsi="宋体" w:cs="宋体"/>
          <w:kern w:val="0"/>
          <w:sz w:val="24"/>
          <w:szCs w:val="24"/>
          <w:lang w:val="en-US" w:eastAsia="zh-CN"/>
        </w:rPr>
        <w:t>7.4</w:t>
      </w:r>
      <w:r>
        <w:rPr>
          <w:rFonts w:hint="eastAsia" w:ascii="宋体" w:hAnsi="宋体" w:eastAsia="宋体" w:cs="宋体"/>
          <w:kern w:val="0"/>
          <w:sz w:val="24"/>
          <w:szCs w:val="24"/>
        </w:rPr>
        <w:t>.1</w:t>
      </w:r>
      <w:r>
        <w:rPr>
          <w:rFonts w:hint="eastAsia" w:ascii="宋体" w:hAnsi="宋体" w:cs="宋体"/>
          <w:kern w:val="0"/>
          <w:sz w:val="24"/>
          <w:szCs w:val="24"/>
          <w:lang w:val="en-US" w:eastAsia="zh-CN"/>
        </w:rPr>
        <w:t xml:space="preserve"> </w:t>
      </w:r>
      <w:r>
        <w:rPr>
          <w:rFonts w:hint="eastAsia" w:ascii="宋体" w:hAnsi="宋体" w:eastAsia="宋体" w:cs="宋体"/>
          <w:spacing w:val="-4"/>
          <w:kern w:val="0"/>
          <w:sz w:val="24"/>
          <w:szCs w:val="24"/>
        </w:rPr>
        <w:t>招标人和中</w:t>
      </w:r>
      <w:r>
        <w:rPr>
          <w:rFonts w:ascii="宋体" w:hAnsi="宋体" w:eastAsia="宋体" w:cs="宋体"/>
          <w:spacing w:val="-4"/>
          <w:kern w:val="0"/>
          <w:sz w:val="24"/>
          <w:szCs w:val="24"/>
        </w:rPr>
        <w:t>标人应在</w:t>
      </w:r>
      <w:r>
        <w:rPr>
          <w:rFonts w:hint="eastAsia" w:ascii="宋体" w:hAnsi="宋体" w:eastAsia="宋体" w:cs="宋体"/>
          <w:spacing w:val="-4"/>
          <w:kern w:val="0"/>
          <w:sz w:val="24"/>
          <w:szCs w:val="24"/>
        </w:rPr>
        <w:t>自</w:t>
      </w:r>
      <w:r>
        <w:rPr>
          <w:rFonts w:ascii="宋体" w:hAnsi="宋体" w:eastAsia="宋体" w:cs="宋体"/>
          <w:spacing w:val="-4"/>
          <w:kern w:val="0"/>
          <w:sz w:val="24"/>
          <w:szCs w:val="24"/>
        </w:rPr>
        <w:t>发出中标通知书之日起</w:t>
      </w:r>
      <w:r>
        <w:rPr>
          <w:rFonts w:hint="eastAsia" w:ascii="宋体" w:hAnsi="宋体" w:cs="宋体"/>
          <w:spacing w:val="-4"/>
          <w:kern w:val="0"/>
          <w:sz w:val="24"/>
          <w:szCs w:val="24"/>
          <w:lang w:val="en-US" w:eastAsia="zh-CN"/>
        </w:rPr>
        <w:t>30</w:t>
      </w:r>
      <w:r>
        <w:rPr>
          <w:rFonts w:hint="eastAsia" w:ascii="宋体" w:hAnsi="宋体" w:eastAsia="宋体" w:cs="宋体"/>
          <w:spacing w:val="-4"/>
          <w:kern w:val="0"/>
          <w:sz w:val="24"/>
          <w:szCs w:val="24"/>
        </w:rPr>
        <w:t>日</w:t>
      </w:r>
      <w:r>
        <w:rPr>
          <w:rFonts w:ascii="宋体" w:hAnsi="宋体" w:eastAsia="宋体" w:cs="宋体"/>
          <w:spacing w:val="-4"/>
          <w:kern w:val="0"/>
          <w:sz w:val="24"/>
          <w:szCs w:val="24"/>
        </w:rPr>
        <w:t>内，</w:t>
      </w:r>
      <w:r>
        <w:rPr>
          <w:rFonts w:hint="eastAsia" w:ascii="宋体" w:hAnsi="宋体" w:eastAsia="宋体" w:cs="宋体"/>
          <w:spacing w:val="-4"/>
          <w:kern w:val="0"/>
          <w:sz w:val="24"/>
          <w:szCs w:val="24"/>
        </w:rPr>
        <w:t>根据招标文件和中标人的投标文件订立书面合同。中标人无正当理由拒签合同的，招标人将取消其中标资格，其投标保证金不予退还；给招标人造成的损失超过投标保证金数额的，中标人还应当对超过部分予以赔偿。</w:t>
      </w:r>
    </w:p>
    <w:p w14:paraId="4A2A32DA">
      <w:pPr>
        <w:keepNext w:val="0"/>
        <w:keepLines w:val="0"/>
        <w:pageBreakBefore w:val="0"/>
        <w:widowControl w:val="0"/>
        <w:suppressAutoHyphens/>
        <w:kinsoku/>
        <w:wordWrap/>
        <w:overflowPunct/>
        <w:topLinePunct w:val="0"/>
        <w:bidi w:val="0"/>
        <w:spacing w:before="0" w:after="0" w:line="460" w:lineRule="exact"/>
        <w:ind w:firstLine="480" w:firstLineChars="200"/>
        <w:textAlignment w:val="auto"/>
        <w:rPr>
          <w:rFonts w:hint="eastAsia" w:ascii="宋体" w:hAnsi="宋体" w:eastAsia="宋体" w:cs="宋体"/>
          <w:kern w:val="0"/>
          <w:sz w:val="24"/>
          <w:szCs w:val="24"/>
        </w:rPr>
      </w:pPr>
      <w:r>
        <w:rPr>
          <w:rFonts w:hint="eastAsia" w:ascii="宋体" w:hAnsi="宋体" w:cs="宋体"/>
          <w:kern w:val="0"/>
          <w:sz w:val="24"/>
          <w:szCs w:val="24"/>
          <w:lang w:val="en-US" w:eastAsia="zh-CN"/>
        </w:rPr>
        <w:t xml:space="preserve">7.4.2 </w:t>
      </w:r>
      <w:r>
        <w:rPr>
          <w:rFonts w:hint="eastAsia" w:ascii="宋体" w:hAnsi="宋体" w:eastAsia="宋体" w:cs="宋体"/>
          <w:kern w:val="0"/>
          <w:sz w:val="24"/>
          <w:szCs w:val="24"/>
        </w:rPr>
        <w:t>发出中标通知书后，招标人无正当理由拒签合同的，招标人向中标人退还投标保证金；给中标人造成损失的，还应当赔偿损失。</w:t>
      </w:r>
    </w:p>
    <w:p w14:paraId="65FCB9E8">
      <w:pPr>
        <w:keepNext w:val="0"/>
        <w:keepLines w:val="0"/>
        <w:pageBreakBefore w:val="0"/>
        <w:widowControl w:val="0"/>
        <w:suppressAutoHyphens/>
        <w:kinsoku/>
        <w:wordWrap/>
        <w:overflowPunct/>
        <w:topLinePunct w:val="0"/>
        <w:bidi w:val="0"/>
        <w:spacing w:before="0" w:after="0" w:line="460" w:lineRule="exact"/>
        <w:ind w:firstLine="480" w:firstLineChars="200"/>
        <w:textAlignment w:val="auto"/>
        <w:rPr>
          <w:rFonts w:ascii="宋体" w:hAnsi="宋体" w:eastAsia="宋体" w:cs="宋体"/>
          <w:kern w:val="0"/>
          <w:sz w:val="24"/>
          <w:szCs w:val="24"/>
        </w:rPr>
      </w:pPr>
      <w:r>
        <w:rPr>
          <w:rFonts w:hint="eastAsia" w:ascii="宋体" w:hAnsi="宋体" w:eastAsia="宋体" w:cs="宋体"/>
          <w:kern w:val="0"/>
          <w:sz w:val="24"/>
          <w:szCs w:val="24"/>
        </w:rPr>
        <w:t>7.4.</w:t>
      </w:r>
      <w:r>
        <w:rPr>
          <w:rFonts w:hint="eastAsia" w:ascii="宋体" w:hAnsi="宋体" w:cs="宋体"/>
          <w:kern w:val="0"/>
          <w:sz w:val="24"/>
          <w:szCs w:val="24"/>
          <w:lang w:val="en-US" w:eastAsia="zh-CN"/>
        </w:rPr>
        <w:t>3</w:t>
      </w:r>
      <w:r>
        <w:rPr>
          <w:rFonts w:hint="eastAsia" w:ascii="宋体" w:hAnsi="宋体" w:eastAsia="宋体" w:cs="宋体"/>
          <w:kern w:val="0"/>
          <w:sz w:val="24"/>
          <w:szCs w:val="24"/>
        </w:rPr>
        <w:t xml:space="preserve"> 如果根据本章第3.5.2项、第7.3.2项或第7.4.1项规定，招标人取消了中标人的中标资格，在此情况下，招标人可将合同授予下一个中标候选人，或者按规定重新组织招标。</w:t>
      </w:r>
    </w:p>
    <w:p w14:paraId="72523435">
      <w:pPr>
        <w:keepNext w:val="0"/>
        <w:keepLines w:val="0"/>
        <w:pageBreakBefore w:val="0"/>
        <w:widowControl w:val="0"/>
        <w:suppressAutoHyphens/>
        <w:kinsoku/>
        <w:wordWrap/>
        <w:overflowPunct/>
        <w:topLinePunct w:val="0"/>
        <w:bidi w:val="0"/>
        <w:spacing w:before="0" w:beforeLines="150" w:after="0" w:line="460" w:lineRule="exact"/>
        <w:textAlignment w:val="auto"/>
        <w:outlineLvl w:val="2"/>
        <w:rPr>
          <w:rFonts w:ascii="宋体" w:hAnsi="宋体" w:eastAsia="宋体" w:cs="Times New Roman"/>
          <w:b/>
          <w:sz w:val="30"/>
          <w:szCs w:val="30"/>
        </w:rPr>
      </w:pPr>
      <w:r>
        <w:rPr>
          <w:rFonts w:hint="eastAsia" w:ascii="宋体" w:hAnsi="宋体" w:cs="Times New Roman"/>
          <w:b/>
          <w:sz w:val="30"/>
          <w:szCs w:val="30"/>
          <w:lang w:val="en-US" w:eastAsia="zh-CN"/>
        </w:rPr>
        <w:t>8</w:t>
      </w:r>
      <w:r>
        <w:rPr>
          <w:rFonts w:hint="eastAsia" w:ascii="宋体" w:hAnsi="宋体" w:eastAsia="宋体" w:cs="Times New Roman"/>
          <w:b/>
          <w:sz w:val="30"/>
          <w:szCs w:val="30"/>
        </w:rPr>
        <w:t>. 重新招标和不再招标</w:t>
      </w:r>
    </w:p>
    <w:p w14:paraId="368B8206">
      <w:pPr>
        <w:keepNext w:val="0"/>
        <w:keepLines w:val="0"/>
        <w:pageBreakBefore w:val="0"/>
        <w:widowControl w:val="0"/>
        <w:suppressAutoHyphens/>
        <w:kinsoku/>
        <w:wordWrap/>
        <w:overflowPunct/>
        <w:topLinePunct w:val="0"/>
        <w:bidi w:val="0"/>
        <w:spacing w:before="0" w:after="0" w:line="460" w:lineRule="exact"/>
        <w:textAlignment w:val="auto"/>
        <w:rPr>
          <w:rFonts w:ascii="宋体" w:hAnsi="宋体" w:eastAsia="宋体" w:cs="Times New Roman"/>
          <w:b/>
          <w:sz w:val="24"/>
          <w:szCs w:val="24"/>
        </w:rPr>
      </w:pPr>
      <w:r>
        <w:rPr>
          <w:rFonts w:hint="eastAsia" w:ascii="宋体" w:hAnsi="宋体" w:cs="Times New Roman"/>
          <w:b/>
          <w:sz w:val="24"/>
          <w:szCs w:val="24"/>
          <w:lang w:val="en-US" w:eastAsia="zh-CN"/>
        </w:rPr>
        <w:t>8</w:t>
      </w:r>
      <w:r>
        <w:rPr>
          <w:rFonts w:hint="eastAsia" w:ascii="宋体" w:hAnsi="宋体" w:eastAsia="宋体" w:cs="Times New Roman"/>
          <w:b/>
          <w:sz w:val="24"/>
          <w:szCs w:val="24"/>
        </w:rPr>
        <w:t>.1 重新招标</w:t>
      </w:r>
    </w:p>
    <w:p w14:paraId="5E549235">
      <w:pPr>
        <w:keepNext w:val="0"/>
        <w:keepLines w:val="0"/>
        <w:pageBreakBefore w:val="0"/>
        <w:widowControl w:val="0"/>
        <w:suppressAutoHyphens/>
        <w:kinsoku/>
        <w:wordWrap/>
        <w:overflowPunct/>
        <w:topLinePunct w:val="0"/>
        <w:autoSpaceDE w:val="0"/>
        <w:autoSpaceDN w:val="0"/>
        <w:bidi w:val="0"/>
        <w:adjustRightInd w:val="0"/>
        <w:spacing w:before="0" w:after="0" w:line="460" w:lineRule="exact"/>
        <w:ind w:firstLine="480" w:firstLineChars="200"/>
        <w:jc w:val="left"/>
        <w:textAlignment w:val="auto"/>
        <w:rPr>
          <w:rFonts w:ascii="宋体" w:hAnsi="宋体" w:eastAsia="宋体" w:cs="Times New Roman"/>
          <w:sz w:val="24"/>
          <w:szCs w:val="24"/>
        </w:rPr>
      </w:pPr>
      <w:r>
        <w:rPr>
          <w:rFonts w:hint="eastAsia" w:ascii="宋体" w:hAnsi="宋体" w:eastAsia="宋体" w:cs="Times New Roman"/>
          <w:sz w:val="24"/>
          <w:szCs w:val="24"/>
        </w:rPr>
        <w:t>有下列情形之一的，招标人将重新招标：</w:t>
      </w:r>
    </w:p>
    <w:p w14:paraId="5B18D20F">
      <w:pPr>
        <w:keepNext w:val="0"/>
        <w:keepLines w:val="0"/>
        <w:pageBreakBefore w:val="0"/>
        <w:widowControl w:val="0"/>
        <w:suppressAutoHyphens/>
        <w:kinsoku/>
        <w:wordWrap/>
        <w:overflowPunct/>
        <w:topLinePunct w:val="0"/>
        <w:autoSpaceDE w:val="0"/>
        <w:autoSpaceDN w:val="0"/>
        <w:bidi w:val="0"/>
        <w:adjustRightInd w:val="0"/>
        <w:spacing w:before="0" w:after="0" w:line="460" w:lineRule="exact"/>
        <w:ind w:firstLine="480" w:firstLineChars="200"/>
        <w:jc w:val="left"/>
        <w:textAlignment w:val="auto"/>
        <w:rPr>
          <w:rFonts w:ascii="宋体" w:hAnsi="宋体" w:eastAsia="宋体" w:cs="Times New Roman"/>
          <w:sz w:val="24"/>
          <w:szCs w:val="24"/>
        </w:rPr>
      </w:pPr>
      <w:r>
        <w:rPr>
          <w:rFonts w:hint="eastAsia" w:ascii="宋体" w:hAnsi="宋体" w:eastAsia="宋体" w:cs="Times New Roman"/>
          <w:sz w:val="24"/>
          <w:szCs w:val="24"/>
        </w:rPr>
        <w:t>（1）投标截止时间止，投标人少于3家的；</w:t>
      </w:r>
    </w:p>
    <w:p w14:paraId="76851088">
      <w:pPr>
        <w:keepNext w:val="0"/>
        <w:keepLines w:val="0"/>
        <w:pageBreakBefore w:val="0"/>
        <w:widowControl w:val="0"/>
        <w:suppressAutoHyphens/>
        <w:kinsoku/>
        <w:wordWrap/>
        <w:overflowPunct/>
        <w:topLinePunct w:val="0"/>
        <w:autoSpaceDE w:val="0"/>
        <w:autoSpaceDN w:val="0"/>
        <w:bidi w:val="0"/>
        <w:adjustRightInd w:val="0"/>
        <w:spacing w:before="0" w:after="0" w:line="460" w:lineRule="exact"/>
        <w:ind w:firstLine="480" w:firstLineChars="200"/>
        <w:jc w:val="left"/>
        <w:textAlignment w:val="auto"/>
        <w:rPr>
          <w:rFonts w:ascii="宋体" w:hAnsi="宋体" w:eastAsia="宋体" w:cs="Times New Roman"/>
          <w:sz w:val="24"/>
          <w:szCs w:val="24"/>
        </w:rPr>
      </w:pPr>
      <w:r>
        <w:rPr>
          <w:rFonts w:hint="eastAsia" w:ascii="宋体" w:hAnsi="宋体" w:eastAsia="宋体" w:cs="Times New Roman"/>
          <w:sz w:val="24"/>
          <w:szCs w:val="24"/>
        </w:rPr>
        <w:t>（2）经评标委员会评审后否决所有投标的；</w:t>
      </w:r>
    </w:p>
    <w:p w14:paraId="11B62204">
      <w:pPr>
        <w:keepNext w:val="0"/>
        <w:keepLines w:val="0"/>
        <w:pageBreakBefore w:val="0"/>
        <w:widowControl w:val="0"/>
        <w:suppressAutoHyphens/>
        <w:kinsoku/>
        <w:wordWrap/>
        <w:overflowPunct/>
        <w:topLinePunct w:val="0"/>
        <w:bidi w:val="0"/>
        <w:spacing w:before="0" w:after="0" w:line="460" w:lineRule="exact"/>
        <w:ind w:firstLine="480" w:firstLineChars="200"/>
        <w:textAlignment w:val="auto"/>
        <w:rPr>
          <w:rFonts w:hint="eastAsia" w:ascii="宋体" w:hAnsi="宋体" w:eastAsia="宋体" w:cs="Times New Roman"/>
          <w:sz w:val="24"/>
          <w:szCs w:val="24"/>
          <w:lang w:eastAsia="zh-CN"/>
        </w:rPr>
      </w:pPr>
      <w:r>
        <w:rPr>
          <w:rFonts w:hint="eastAsia" w:ascii="宋体" w:hAnsi="宋体" w:eastAsia="宋体" w:cs="Times New Roman"/>
          <w:sz w:val="24"/>
          <w:szCs w:val="24"/>
        </w:rPr>
        <w:t>（3）评标委员会否决不合格投标或者界定为废标后因有效投标不足3个使得投标明显缺乏竞争，评标委员会决定否决全部投标的；</w:t>
      </w:r>
    </w:p>
    <w:p w14:paraId="44F1F375">
      <w:pPr>
        <w:keepNext w:val="0"/>
        <w:keepLines w:val="0"/>
        <w:pageBreakBefore w:val="0"/>
        <w:widowControl w:val="0"/>
        <w:suppressAutoHyphens/>
        <w:kinsoku/>
        <w:wordWrap/>
        <w:overflowPunct/>
        <w:topLinePunct w:val="0"/>
        <w:bidi w:val="0"/>
        <w:spacing w:before="0" w:after="0" w:line="460" w:lineRule="exact"/>
        <w:ind w:firstLine="480" w:firstLineChars="200"/>
        <w:textAlignment w:val="auto"/>
        <w:rPr>
          <w:rFonts w:hint="eastAsia" w:ascii="宋体" w:hAnsi="宋体" w:eastAsia="宋体" w:cs="Times New Roman"/>
          <w:sz w:val="24"/>
          <w:szCs w:val="24"/>
        </w:rPr>
      </w:pPr>
      <w:r>
        <w:rPr>
          <w:rFonts w:hint="eastAsia" w:ascii="宋体" w:hAnsi="宋体" w:eastAsia="宋体" w:cs="Times New Roman"/>
          <w:sz w:val="24"/>
          <w:szCs w:val="24"/>
        </w:rPr>
        <w:t xml:space="preserve"> (4) 同意延长投标有效期的投标人少于3个的；</w:t>
      </w:r>
    </w:p>
    <w:p w14:paraId="0A144282">
      <w:pPr>
        <w:keepNext w:val="0"/>
        <w:keepLines w:val="0"/>
        <w:pageBreakBefore w:val="0"/>
        <w:widowControl w:val="0"/>
        <w:suppressAutoHyphens/>
        <w:kinsoku/>
        <w:wordWrap/>
        <w:overflowPunct/>
        <w:topLinePunct w:val="0"/>
        <w:bidi w:val="0"/>
        <w:spacing w:before="0" w:after="0" w:line="460" w:lineRule="exact"/>
        <w:ind w:firstLine="480" w:firstLineChars="200"/>
        <w:textAlignment w:val="auto"/>
        <w:rPr>
          <w:rFonts w:ascii="宋体" w:hAnsi="宋体" w:eastAsia="宋体" w:cs="Times New Roman"/>
          <w:sz w:val="24"/>
          <w:szCs w:val="24"/>
        </w:rPr>
      </w:pPr>
      <w:r>
        <w:rPr>
          <w:rFonts w:hint="eastAsia" w:ascii="宋体" w:hAnsi="宋体" w:cs="Times New Roman"/>
          <w:sz w:val="24"/>
          <w:szCs w:val="24"/>
          <w:lang w:eastAsia="zh-CN"/>
        </w:rPr>
        <w:t>（</w:t>
      </w:r>
      <w:r>
        <w:rPr>
          <w:rFonts w:hint="eastAsia" w:ascii="宋体" w:hAnsi="宋体" w:cs="Times New Roman"/>
          <w:sz w:val="24"/>
          <w:szCs w:val="24"/>
          <w:lang w:val="en-US" w:eastAsia="zh-CN"/>
        </w:rPr>
        <w:t>5</w:t>
      </w:r>
      <w:r>
        <w:rPr>
          <w:rFonts w:hint="eastAsia" w:ascii="宋体" w:hAnsi="宋体" w:cs="Times New Roman"/>
          <w:sz w:val="24"/>
          <w:szCs w:val="24"/>
          <w:lang w:eastAsia="zh-CN"/>
        </w:rPr>
        <w:t>）</w:t>
      </w:r>
      <w:r>
        <w:rPr>
          <w:rFonts w:hint="eastAsia" w:ascii="宋体" w:hAnsi="宋体" w:eastAsia="宋体" w:cs="Times New Roman"/>
          <w:sz w:val="24"/>
          <w:szCs w:val="24"/>
        </w:rPr>
        <w:t>中标候选人均未与招标人签订合同的。</w:t>
      </w:r>
    </w:p>
    <w:p w14:paraId="122C3231">
      <w:pPr>
        <w:keepNext w:val="0"/>
        <w:keepLines w:val="0"/>
        <w:pageBreakBefore w:val="0"/>
        <w:widowControl w:val="0"/>
        <w:suppressAutoHyphens/>
        <w:kinsoku/>
        <w:wordWrap/>
        <w:overflowPunct/>
        <w:topLinePunct w:val="0"/>
        <w:autoSpaceDE/>
        <w:autoSpaceDN/>
        <w:bidi w:val="0"/>
        <w:adjustRightInd/>
        <w:snapToGrid/>
        <w:spacing w:before="157" w:beforeLines="50" w:after="0" w:line="460" w:lineRule="exact"/>
        <w:textAlignment w:val="auto"/>
        <w:rPr>
          <w:rFonts w:ascii="宋体" w:hAnsi="宋体" w:eastAsia="宋体" w:cs="Times New Roman"/>
          <w:b/>
          <w:sz w:val="24"/>
          <w:szCs w:val="24"/>
        </w:rPr>
      </w:pPr>
      <w:r>
        <w:rPr>
          <w:rFonts w:hint="eastAsia" w:ascii="宋体" w:hAnsi="宋体" w:cs="Times New Roman"/>
          <w:b/>
          <w:sz w:val="24"/>
          <w:szCs w:val="24"/>
          <w:lang w:val="en-US" w:eastAsia="zh-CN"/>
        </w:rPr>
        <w:t>8</w:t>
      </w:r>
      <w:r>
        <w:rPr>
          <w:rFonts w:hint="eastAsia" w:ascii="宋体" w:hAnsi="宋体" w:eastAsia="宋体" w:cs="Times New Roman"/>
          <w:b/>
          <w:sz w:val="24"/>
          <w:szCs w:val="24"/>
        </w:rPr>
        <w:t>.2 不再招标</w:t>
      </w:r>
    </w:p>
    <w:p w14:paraId="3799403E">
      <w:pPr>
        <w:keepNext w:val="0"/>
        <w:keepLines w:val="0"/>
        <w:pageBreakBefore w:val="0"/>
        <w:widowControl w:val="0"/>
        <w:suppressAutoHyphens/>
        <w:kinsoku/>
        <w:wordWrap/>
        <w:overflowPunct/>
        <w:topLinePunct w:val="0"/>
        <w:bidi w:val="0"/>
        <w:spacing w:before="0" w:after="0" w:line="460" w:lineRule="exact"/>
        <w:ind w:firstLine="480" w:firstLineChars="200"/>
        <w:textAlignment w:val="auto"/>
        <w:rPr>
          <w:rFonts w:ascii="宋体" w:hAnsi="宋体" w:eastAsia="宋体" w:cs="Times New Roman"/>
          <w:sz w:val="24"/>
          <w:szCs w:val="24"/>
        </w:rPr>
      </w:pPr>
      <w:r>
        <w:rPr>
          <w:rFonts w:hint="eastAsia" w:ascii="宋体" w:hAnsi="宋体" w:eastAsia="宋体" w:cs="Times New Roman"/>
          <w:sz w:val="24"/>
          <w:szCs w:val="24"/>
        </w:rPr>
        <w:t>重新招标后出现8.1情形之一的，经原审批或核准部门批准后调整招标方式或不再进行招标。</w:t>
      </w:r>
    </w:p>
    <w:p w14:paraId="6035B9AF">
      <w:pPr>
        <w:keepNext w:val="0"/>
        <w:keepLines w:val="0"/>
        <w:pageBreakBefore w:val="0"/>
        <w:widowControl w:val="0"/>
        <w:suppressAutoHyphens/>
        <w:kinsoku/>
        <w:wordWrap/>
        <w:overflowPunct/>
        <w:topLinePunct w:val="0"/>
        <w:bidi w:val="0"/>
        <w:spacing w:before="0" w:beforeLines="150" w:after="0" w:line="460" w:lineRule="exact"/>
        <w:textAlignment w:val="auto"/>
        <w:outlineLvl w:val="2"/>
        <w:rPr>
          <w:rFonts w:ascii="宋体" w:hAnsi="宋体" w:eastAsia="宋体" w:cs="Times New Roman"/>
          <w:b/>
          <w:sz w:val="30"/>
          <w:szCs w:val="30"/>
        </w:rPr>
      </w:pPr>
      <w:r>
        <w:rPr>
          <w:rFonts w:hint="eastAsia" w:ascii="宋体" w:hAnsi="宋体" w:cs="Times New Roman"/>
          <w:b/>
          <w:sz w:val="30"/>
          <w:szCs w:val="30"/>
          <w:lang w:val="en-US" w:eastAsia="zh-CN"/>
        </w:rPr>
        <w:t>9</w:t>
      </w:r>
      <w:r>
        <w:rPr>
          <w:rFonts w:hint="eastAsia" w:ascii="宋体" w:hAnsi="宋体" w:eastAsia="宋体" w:cs="Times New Roman"/>
          <w:b/>
          <w:sz w:val="30"/>
          <w:szCs w:val="30"/>
        </w:rPr>
        <w:t xml:space="preserve"> 纪律和监督</w:t>
      </w:r>
    </w:p>
    <w:p w14:paraId="7DB2B201">
      <w:pPr>
        <w:keepNext w:val="0"/>
        <w:keepLines w:val="0"/>
        <w:pageBreakBefore w:val="0"/>
        <w:widowControl w:val="0"/>
        <w:suppressAutoHyphens/>
        <w:kinsoku/>
        <w:wordWrap/>
        <w:overflowPunct/>
        <w:topLinePunct w:val="0"/>
        <w:bidi w:val="0"/>
        <w:spacing w:before="0" w:after="0" w:line="460" w:lineRule="exact"/>
        <w:textAlignment w:val="auto"/>
        <w:rPr>
          <w:rFonts w:ascii="宋体" w:hAnsi="宋体" w:eastAsia="宋体" w:cs="Times New Roman"/>
          <w:b/>
          <w:sz w:val="24"/>
          <w:szCs w:val="24"/>
        </w:rPr>
      </w:pPr>
      <w:r>
        <w:rPr>
          <w:rFonts w:hint="eastAsia" w:ascii="宋体" w:hAnsi="宋体" w:cs="Times New Roman"/>
          <w:b/>
          <w:sz w:val="24"/>
          <w:szCs w:val="24"/>
          <w:lang w:val="en-US" w:eastAsia="zh-CN"/>
        </w:rPr>
        <w:t>9</w:t>
      </w:r>
      <w:r>
        <w:rPr>
          <w:rFonts w:hint="eastAsia" w:ascii="宋体" w:hAnsi="宋体" w:eastAsia="宋体" w:cs="Times New Roman"/>
          <w:b/>
          <w:sz w:val="24"/>
          <w:szCs w:val="24"/>
        </w:rPr>
        <w:t>.1 对招标人的纪律要求</w:t>
      </w:r>
    </w:p>
    <w:p w14:paraId="151794FD">
      <w:pPr>
        <w:keepNext w:val="0"/>
        <w:keepLines w:val="0"/>
        <w:pageBreakBefore w:val="0"/>
        <w:widowControl w:val="0"/>
        <w:suppressAutoHyphens/>
        <w:kinsoku/>
        <w:wordWrap/>
        <w:overflowPunct/>
        <w:topLinePunct w:val="0"/>
        <w:bidi w:val="0"/>
        <w:spacing w:before="0" w:after="0" w:line="460" w:lineRule="exact"/>
        <w:ind w:firstLine="464" w:firstLineChars="200"/>
        <w:textAlignment w:val="auto"/>
        <w:rPr>
          <w:rFonts w:hint="eastAsia" w:ascii="宋体" w:hAnsi="宋体" w:eastAsia="宋体" w:cs="宋体"/>
          <w:spacing w:val="-4"/>
          <w:kern w:val="0"/>
          <w:sz w:val="24"/>
          <w:szCs w:val="24"/>
        </w:rPr>
      </w:pPr>
      <w:r>
        <w:rPr>
          <w:rFonts w:hint="eastAsia" w:ascii="宋体" w:hAnsi="宋体" w:cs="宋体"/>
          <w:spacing w:val="-4"/>
          <w:kern w:val="0"/>
          <w:sz w:val="24"/>
          <w:szCs w:val="24"/>
          <w:lang w:val="en-US" w:eastAsia="zh-CN"/>
        </w:rPr>
        <w:t>招标人不得泄露招标投标活动中应当保密的情况和资料，不得与投标人串通损害国家利益、社会公共利益或者他人合法权益。</w:t>
      </w:r>
    </w:p>
    <w:p w14:paraId="29CF8AAB">
      <w:pPr>
        <w:keepNext w:val="0"/>
        <w:keepLines w:val="0"/>
        <w:pageBreakBefore w:val="0"/>
        <w:widowControl w:val="0"/>
        <w:suppressAutoHyphens/>
        <w:kinsoku/>
        <w:wordWrap/>
        <w:overflowPunct/>
        <w:topLinePunct w:val="0"/>
        <w:autoSpaceDE/>
        <w:autoSpaceDN/>
        <w:bidi w:val="0"/>
        <w:adjustRightInd/>
        <w:snapToGrid/>
        <w:spacing w:before="157" w:beforeLines="50" w:after="0" w:line="460" w:lineRule="exact"/>
        <w:textAlignment w:val="auto"/>
        <w:rPr>
          <w:rFonts w:ascii="宋体" w:hAnsi="宋体" w:eastAsia="宋体" w:cs="Times New Roman"/>
          <w:b/>
          <w:sz w:val="24"/>
          <w:szCs w:val="24"/>
        </w:rPr>
      </w:pPr>
      <w:r>
        <w:rPr>
          <w:rFonts w:hint="eastAsia" w:ascii="宋体" w:hAnsi="宋体" w:cs="Times New Roman"/>
          <w:b/>
          <w:sz w:val="24"/>
          <w:szCs w:val="24"/>
          <w:lang w:val="en-US" w:eastAsia="zh-CN"/>
        </w:rPr>
        <w:t>9</w:t>
      </w:r>
      <w:r>
        <w:rPr>
          <w:rFonts w:hint="eastAsia" w:ascii="宋体" w:hAnsi="宋体" w:eastAsia="宋体" w:cs="Times New Roman"/>
          <w:b/>
          <w:sz w:val="24"/>
          <w:szCs w:val="24"/>
        </w:rPr>
        <w:t xml:space="preserve">.2 </w:t>
      </w:r>
      <w:r>
        <w:rPr>
          <w:rFonts w:ascii="宋体" w:hAnsi="宋体" w:eastAsia="宋体" w:cs="Times New Roman"/>
          <w:b/>
          <w:sz w:val="24"/>
          <w:szCs w:val="24"/>
        </w:rPr>
        <w:t>对投标人的纪律要求</w:t>
      </w:r>
    </w:p>
    <w:p w14:paraId="5CC69EE3">
      <w:pPr>
        <w:keepNext w:val="0"/>
        <w:keepLines w:val="0"/>
        <w:pageBreakBefore w:val="0"/>
        <w:widowControl w:val="0"/>
        <w:suppressAutoHyphens/>
        <w:kinsoku/>
        <w:wordWrap/>
        <w:overflowPunct/>
        <w:topLinePunct w:val="0"/>
        <w:bidi w:val="0"/>
        <w:spacing w:before="0" w:after="0" w:line="460" w:lineRule="exact"/>
        <w:ind w:firstLine="480" w:firstLineChars="200"/>
        <w:textAlignment w:val="auto"/>
        <w:rPr>
          <w:rFonts w:ascii="宋体" w:hAnsi="宋体" w:eastAsia="宋体" w:cs="Times New Roman"/>
          <w:sz w:val="24"/>
          <w:szCs w:val="24"/>
        </w:rPr>
      </w:pPr>
      <w:r>
        <w:rPr>
          <w:rFonts w:hint="eastAsia" w:ascii="宋体" w:hAnsi="宋体" w:eastAsia="宋体" w:cs="Times New Roman"/>
          <w:sz w:val="24"/>
          <w:szCs w:val="24"/>
        </w:rPr>
        <w:t>投标人不得相互串通投标或者与招标人串通投标，不得向招标人或者评标委员会成员行贿谋取中标，不得以他人名义投标或者以其它方式弄虚作假骗取中标；投标人不得以任何方式干扰、影响评标工作。</w:t>
      </w:r>
    </w:p>
    <w:p w14:paraId="3D0B79CA">
      <w:pPr>
        <w:keepNext w:val="0"/>
        <w:keepLines w:val="0"/>
        <w:pageBreakBefore w:val="0"/>
        <w:widowControl w:val="0"/>
        <w:suppressAutoHyphens/>
        <w:kinsoku/>
        <w:wordWrap/>
        <w:overflowPunct/>
        <w:topLinePunct w:val="0"/>
        <w:autoSpaceDE/>
        <w:autoSpaceDN/>
        <w:bidi w:val="0"/>
        <w:adjustRightInd/>
        <w:snapToGrid/>
        <w:spacing w:before="157" w:beforeLines="50" w:after="0" w:line="460" w:lineRule="exact"/>
        <w:textAlignment w:val="auto"/>
        <w:rPr>
          <w:rFonts w:ascii="宋体" w:hAnsi="宋体" w:eastAsia="宋体" w:cs="Times New Roman"/>
          <w:b/>
          <w:sz w:val="24"/>
          <w:szCs w:val="24"/>
        </w:rPr>
      </w:pPr>
      <w:r>
        <w:rPr>
          <w:rFonts w:hint="eastAsia" w:ascii="宋体" w:hAnsi="宋体" w:cs="Times New Roman"/>
          <w:b/>
          <w:sz w:val="24"/>
          <w:szCs w:val="24"/>
          <w:lang w:val="en-US" w:eastAsia="zh-CN"/>
        </w:rPr>
        <w:t>9</w:t>
      </w:r>
      <w:r>
        <w:rPr>
          <w:rFonts w:hint="eastAsia" w:ascii="宋体" w:hAnsi="宋体" w:eastAsia="宋体" w:cs="Times New Roman"/>
          <w:b/>
          <w:sz w:val="24"/>
          <w:szCs w:val="24"/>
        </w:rPr>
        <w:t xml:space="preserve">.3 </w:t>
      </w:r>
      <w:r>
        <w:rPr>
          <w:rFonts w:ascii="宋体" w:hAnsi="宋体" w:eastAsia="宋体" w:cs="Times New Roman"/>
          <w:b/>
          <w:sz w:val="24"/>
          <w:szCs w:val="24"/>
        </w:rPr>
        <w:t>对评标委员会成员的纪律要求</w:t>
      </w:r>
    </w:p>
    <w:p w14:paraId="61475847">
      <w:pPr>
        <w:keepNext w:val="0"/>
        <w:keepLines w:val="0"/>
        <w:pageBreakBefore w:val="0"/>
        <w:widowControl w:val="0"/>
        <w:suppressAutoHyphens/>
        <w:kinsoku/>
        <w:wordWrap/>
        <w:overflowPunct/>
        <w:topLinePunct w:val="0"/>
        <w:bidi w:val="0"/>
        <w:spacing w:before="0" w:after="0" w:line="460" w:lineRule="exact"/>
        <w:ind w:firstLine="480" w:firstLineChars="200"/>
        <w:textAlignment w:val="auto"/>
        <w:rPr>
          <w:rFonts w:ascii="宋体" w:hAnsi="宋体" w:eastAsia="宋体" w:cs="Times New Roman"/>
          <w:sz w:val="24"/>
          <w:szCs w:val="24"/>
        </w:rPr>
      </w:pPr>
      <w:r>
        <w:rPr>
          <w:rFonts w:ascii="宋体" w:hAnsi="宋体" w:eastAsia="宋体" w:cs="Times New Roman"/>
          <w:sz w:val="24"/>
          <w:szCs w:val="24"/>
        </w:rPr>
        <w:t>评标委员会成员不得收受</w:t>
      </w:r>
      <w:r>
        <w:rPr>
          <w:rFonts w:hint="eastAsia" w:ascii="宋体" w:hAnsi="宋体" w:eastAsia="宋体" w:cs="Times New Roman"/>
          <w:sz w:val="24"/>
          <w:szCs w:val="24"/>
        </w:rPr>
        <w:t>他人</w:t>
      </w:r>
      <w:r>
        <w:rPr>
          <w:rFonts w:ascii="宋体" w:hAnsi="宋体" w:eastAsia="宋体" w:cs="Times New Roman"/>
          <w:sz w:val="24"/>
          <w:szCs w:val="24"/>
        </w:rPr>
        <w:t>的财物或者其他好处，不得向他人透漏对投标文件的评审和比较、</w:t>
      </w:r>
      <w:r>
        <w:rPr>
          <w:rFonts w:hint="eastAsia" w:ascii="宋体" w:hAnsi="宋体" w:eastAsia="宋体" w:cs="Times New Roman"/>
          <w:color w:val="auto"/>
          <w:kern w:val="2"/>
          <w:sz w:val="24"/>
          <w:szCs w:val="24"/>
          <w:lang w:val="en-US" w:eastAsia="zh-CN" w:bidi="ar-SA"/>
        </w:rPr>
        <w:t>中标</w:t>
      </w:r>
      <w:r>
        <w:rPr>
          <w:rFonts w:ascii="宋体" w:hAnsi="宋体" w:eastAsia="宋体" w:cs="Times New Roman"/>
          <w:sz w:val="24"/>
          <w:szCs w:val="24"/>
        </w:rPr>
        <w:t>候选人的推荐情况以及评标有关的其他情况。在评标活动中，评标委员会成员不得擅离职守，影响评标程序正常进行，不得使用</w:t>
      </w:r>
      <w:r>
        <w:rPr>
          <w:rFonts w:hint="eastAsia" w:ascii="宋体" w:hAnsi="宋体" w:eastAsia="宋体" w:cs="Times New Roman"/>
          <w:sz w:val="24"/>
          <w:szCs w:val="24"/>
        </w:rPr>
        <w:t>第</w:t>
      </w:r>
      <w:r>
        <w:rPr>
          <w:rFonts w:hint="eastAsia" w:ascii="宋体" w:hAnsi="宋体" w:cs="Times New Roman"/>
          <w:sz w:val="24"/>
          <w:szCs w:val="24"/>
          <w:lang w:eastAsia="zh-CN"/>
        </w:rPr>
        <w:t>三</w:t>
      </w:r>
      <w:r>
        <w:rPr>
          <w:rFonts w:hint="eastAsia" w:ascii="宋体" w:hAnsi="宋体" w:eastAsia="宋体" w:cs="Times New Roman"/>
          <w:sz w:val="24"/>
          <w:szCs w:val="24"/>
        </w:rPr>
        <w:t>章</w:t>
      </w:r>
      <w:r>
        <w:rPr>
          <w:rFonts w:ascii="宋体" w:hAnsi="宋体" w:eastAsia="宋体" w:cs="Times New Roman"/>
          <w:sz w:val="24"/>
          <w:szCs w:val="24"/>
        </w:rPr>
        <w:t>“评标办法”没有规定的评审因素和标准进行评标。</w:t>
      </w:r>
    </w:p>
    <w:p w14:paraId="66BFC62A">
      <w:pPr>
        <w:keepNext w:val="0"/>
        <w:keepLines w:val="0"/>
        <w:pageBreakBefore w:val="0"/>
        <w:widowControl w:val="0"/>
        <w:suppressAutoHyphens/>
        <w:kinsoku/>
        <w:wordWrap/>
        <w:overflowPunct/>
        <w:topLinePunct w:val="0"/>
        <w:autoSpaceDE/>
        <w:autoSpaceDN/>
        <w:bidi w:val="0"/>
        <w:adjustRightInd/>
        <w:snapToGrid/>
        <w:spacing w:before="157" w:beforeLines="50" w:after="0" w:line="460" w:lineRule="exact"/>
        <w:textAlignment w:val="auto"/>
        <w:rPr>
          <w:rFonts w:ascii="宋体" w:hAnsi="宋体" w:eastAsia="宋体" w:cs="Times New Roman"/>
          <w:b/>
          <w:sz w:val="24"/>
          <w:szCs w:val="24"/>
        </w:rPr>
      </w:pPr>
      <w:r>
        <w:rPr>
          <w:rFonts w:hint="eastAsia" w:ascii="宋体" w:hAnsi="宋体" w:cs="Times New Roman"/>
          <w:b/>
          <w:sz w:val="24"/>
          <w:szCs w:val="24"/>
          <w:lang w:val="en-US" w:eastAsia="zh-CN"/>
        </w:rPr>
        <w:t>9</w:t>
      </w:r>
      <w:r>
        <w:rPr>
          <w:rFonts w:hint="eastAsia" w:ascii="宋体" w:hAnsi="宋体" w:eastAsia="宋体" w:cs="Times New Roman"/>
          <w:b/>
          <w:sz w:val="24"/>
          <w:szCs w:val="24"/>
        </w:rPr>
        <w:t>.4</w:t>
      </w:r>
      <w:r>
        <w:rPr>
          <w:rFonts w:hint="eastAsia" w:ascii="宋体" w:hAnsi="宋体" w:cs="Times New Roman"/>
          <w:b/>
          <w:sz w:val="24"/>
          <w:szCs w:val="24"/>
          <w:lang w:val="en-US" w:eastAsia="zh-CN"/>
        </w:rPr>
        <w:t xml:space="preserve"> </w:t>
      </w:r>
      <w:r>
        <w:rPr>
          <w:rFonts w:ascii="宋体" w:hAnsi="宋体" w:eastAsia="宋体" w:cs="Times New Roman"/>
          <w:b/>
          <w:sz w:val="24"/>
          <w:szCs w:val="24"/>
        </w:rPr>
        <w:t>对与评标活动有关的工作人员的纪律要求</w:t>
      </w:r>
    </w:p>
    <w:p w14:paraId="3DE2C213">
      <w:pPr>
        <w:keepNext w:val="0"/>
        <w:keepLines w:val="0"/>
        <w:pageBreakBefore w:val="0"/>
        <w:widowControl w:val="0"/>
        <w:suppressAutoHyphens/>
        <w:kinsoku/>
        <w:wordWrap/>
        <w:overflowPunct/>
        <w:topLinePunct w:val="0"/>
        <w:bidi w:val="0"/>
        <w:spacing w:before="0" w:after="0" w:line="460" w:lineRule="exact"/>
        <w:ind w:firstLine="480" w:firstLineChars="200"/>
        <w:textAlignment w:val="auto"/>
        <w:rPr>
          <w:rFonts w:ascii="宋体" w:hAnsi="宋体" w:eastAsia="宋体" w:cs="Times New Roman"/>
          <w:sz w:val="24"/>
          <w:szCs w:val="24"/>
        </w:rPr>
      </w:pPr>
      <w:r>
        <w:rPr>
          <w:rFonts w:ascii="宋体" w:hAnsi="宋体" w:eastAsia="宋体" w:cs="Times New Roman"/>
          <w:sz w:val="24"/>
          <w:szCs w:val="24"/>
        </w:rPr>
        <w:t>与评标活动有关的工作人员不得收受</w:t>
      </w:r>
      <w:r>
        <w:rPr>
          <w:rFonts w:hint="eastAsia" w:ascii="宋体" w:hAnsi="宋体" w:eastAsia="宋体" w:cs="Times New Roman"/>
          <w:sz w:val="24"/>
          <w:szCs w:val="24"/>
        </w:rPr>
        <w:t>他人</w:t>
      </w:r>
      <w:r>
        <w:rPr>
          <w:rFonts w:ascii="宋体" w:hAnsi="宋体" w:eastAsia="宋体" w:cs="Times New Roman"/>
          <w:sz w:val="24"/>
          <w:szCs w:val="24"/>
        </w:rPr>
        <w:t>的财物或者其他好处，不得向他人透漏对投标文件的评审和比较、中标候选人的推荐情况以及评标有关的其他情况。在评标活动中，与评标活动有关的工作人员不得擅离职守，影响评标程序正常进行。</w:t>
      </w:r>
    </w:p>
    <w:p w14:paraId="5C4BD591">
      <w:pPr>
        <w:keepNext w:val="0"/>
        <w:keepLines w:val="0"/>
        <w:pageBreakBefore w:val="0"/>
        <w:widowControl w:val="0"/>
        <w:suppressAutoHyphens/>
        <w:kinsoku/>
        <w:wordWrap/>
        <w:overflowPunct/>
        <w:topLinePunct w:val="0"/>
        <w:autoSpaceDE/>
        <w:autoSpaceDN/>
        <w:bidi w:val="0"/>
        <w:adjustRightInd/>
        <w:snapToGrid/>
        <w:spacing w:before="157" w:beforeLines="50" w:after="0" w:line="460" w:lineRule="exact"/>
        <w:textAlignment w:val="auto"/>
        <w:rPr>
          <w:rFonts w:ascii="宋体" w:hAnsi="宋体" w:eastAsia="宋体" w:cs="Times New Roman"/>
          <w:b/>
          <w:sz w:val="24"/>
          <w:szCs w:val="24"/>
        </w:rPr>
      </w:pPr>
      <w:r>
        <w:rPr>
          <w:rFonts w:hint="eastAsia" w:ascii="宋体" w:hAnsi="宋体" w:cs="Times New Roman"/>
          <w:b/>
          <w:sz w:val="24"/>
          <w:szCs w:val="24"/>
          <w:lang w:val="en-US" w:eastAsia="zh-CN"/>
        </w:rPr>
        <w:t xml:space="preserve">9.5 </w:t>
      </w:r>
      <w:r>
        <w:rPr>
          <w:rFonts w:ascii="宋体" w:hAnsi="宋体" w:eastAsia="宋体" w:cs="Times New Roman"/>
          <w:b/>
          <w:sz w:val="24"/>
          <w:szCs w:val="24"/>
        </w:rPr>
        <w:t>投诉</w:t>
      </w:r>
    </w:p>
    <w:p w14:paraId="0221B534">
      <w:pPr>
        <w:keepNext w:val="0"/>
        <w:keepLines w:val="0"/>
        <w:pageBreakBefore w:val="0"/>
        <w:widowControl w:val="0"/>
        <w:suppressAutoHyphens/>
        <w:kinsoku/>
        <w:wordWrap/>
        <w:overflowPunct/>
        <w:topLinePunct w:val="0"/>
        <w:bidi w:val="0"/>
        <w:spacing w:before="0" w:after="0" w:line="460" w:lineRule="exact"/>
        <w:ind w:firstLine="480" w:firstLineChars="200"/>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投标人和其他利害关系人认为本次招标活动违反法律、法规和规章规定的，有权向招标代理机构（或招标人）提出质疑，投标人认为招标代理机构（或招标人）的澄清不符合法规规定的，有权向本项目的监督部门投诉。</w:t>
      </w:r>
    </w:p>
    <w:p w14:paraId="7093DD06">
      <w:pPr>
        <w:keepNext w:val="0"/>
        <w:keepLines w:val="0"/>
        <w:pageBreakBefore w:val="0"/>
        <w:widowControl w:val="0"/>
        <w:suppressAutoHyphens/>
        <w:kinsoku/>
        <w:wordWrap/>
        <w:overflowPunct/>
        <w:topLinePunct w:val="0"/>
        <w:bidi w:val="0"/>
        <w:spacing w:before="0" w:after="0" w:line="460" w:lineRule="exact"/>
        <w:ind w:firstLine="480" w:firstLineChars="200"/>
        <w:textAlignment w:val="auto"/>
        <w:rPr>
          <w:rFonts w:hint="eastAsia" w:ascii="宋体" w:hAnsi="宋体" w:cs="Times New Roman"/>
          <w:sz w:val="24"/>
          <w:szCs w:val="24"/>
          <w:lang w:val="en-US" w:eastAsia="zh-CN"/>
        </w:rPr>
        <w:sectPr>
          <w:headerReference r:id="rId11" w:type="default"/>
          <w:footerReference r:id="rId12" w:type="default"/>
          <w:pgSz w:w="11906" w:h="16838"/>
          <w:pgMar w:top="1270" w:right="1134" w:bottom="1157" w:left="1247" w:header="851" w:footer="850" w:gutter="0"/>
          <w:pgNumType w:fmt="decimal"/>
          <w:cols w:space="720" w:num="1"/>
          <w:formProt w:val="0"/>
          <w:docGrid w:linePitch="286" w:charSpace="0"/>
        </w:sectPr>
      </w:pPr>
      <w:bookmarkStart w:id="75" w:name="_Toc28091"/>
      <w:bookmarkStart w:id="76" w:name="_Toc297014938"/>
      <w:bookmarkStart w:id="77" w:name="_Toc173482703"/>
      <w:r>
        <w:rPr>
          <w:rFonts w:hint="eastAsia" w:ascii="宋体" w:hAnsi="宋体" w:cs="Times New Roman"/>
          <w:sz w:val="24"/>
          <w:szCs w:val="24"/>
          <w:lang w:val="en-US" w:eastAsia="zh-CN"/>
        </w:rPr>
        <w:t>监督部门的联系方式见投标人须知前附表。</w:t>
      </w:r>
    </w:p>
    <w:p w14:paraId="184662BB">
      <w:pPr>
        <w:outlineLvl w:val="9"/>
        <w:rPr>
          <w:rFonts w:ascii="宋体" w:hAnsi="宋体"/>
          <w:b/>
          <w:i/>
          <w:color w:val="auto"/>
          <w:spacing w:val="40"/>
          <w:sz w:val="84"/>
          <w:szCs w:val="84"/>
          <w:highlight w:val="none"/>
        </w:rPr>
      </w:pPr>
    </w:p>
    <w:p w14:paraId="7260D9B8">
      <w:pPr>
        <w:outlineLvl w:val="9"/>
        <w:rPr>
          <w:rFonts w:ascii="宋体" w:hAnsi="宋体"/>
          <w:b/>
          <w:i/>
          <w:color w:val="auto"/>
          <w:spacing w:val="40"/>
          <w:sz w:val="84"/>
          <w:szCs w:val="84"/>
          <w:highlight w:val="none"/>
        </w:rPr>
      </w:pPr>
    </w:p>
    <w:p w14:paraId="171B4E9D">
      <w:pPr>
        <w:jc w:val="center"/>
        <w:outlineLvl w:val="9"/>
        <w:rPr>
          <w:rFonts w:hint="eastAsia" w:ascii="宋体" w:hAnsi="宋体"/>
          <w:b/>
          <w:color w:val="auto"/>
          <w:spacing w:val="40"/>
          <w:sz w:val="84"/>
          <w:szCs w:val="84"/>
          <w:highlight w:val="none"/>
        </w:rPr>
      </w:pPr>
      <w:bookmarkStart w:id="78" w:name="_Toc487715612"/>
      <w:bookmarkStart w:id="79" w:name="_Toc527038776"/>
      <w:bookmarkStart w:id="80" w:name="_Toc114"/>
      <w:bookmarkStart w:id="81" w:name="_Toc15469"/>
      <w:bookmarkStart w:id="82" w:name="_Toc13860"/>
      <w:bookmarkStart w:id="83" w:name="_Toc5859"/>
      <w:bookmarkStart w:id="84" w:name="_Toc32015"/>
      <w:bookmarkStart w:id="85" w:name="_Toc18176"/>
      <w:bookmarkStart w:id="86" w:name="_Toc22485"/>
      <w:bookmarkStart w:id="87" w:name="_Toc14337"/>
      <w:bookmarkStart w:id="88" w:name="_Toc1349"/>
      <w:bookmarkStart w:id="89" w:name="_Toc16989"/>
      <w:bookmarkStart w:id="90" w:name="_Toc29638"/>
    </w:p>
    <w:p w14:paraId="15EC554B">
      <w:pPr>
        <w:jc w:val="center"/>
        <w:outlineLvl w:val="9"/>
        <w:rPr>
          <w:rFonts w:hint="eastAsia" w:ascii="宋体" w:hAnsi="宋体"/>
          <w:b/>
          <w:color w:val="auto"/>
          <w:spacing w:val="40"/>
          <w:sz w:val="84"/>
          <w:szCs w:val="84"/>
          <w:highlight w:val="none"/>
        </w:rPr>
      </w:pPr>
    </w:p>
    <w:p w14:paraId="5FC1400C">
      <w:pPr>
        <w:pStyle w:val="28"/>
        <w:outlineLvl w:val="0"/>
        <w:rPr>
          <w:rFonts w:hint="eastAsia" w:eastAsia="楷体" w:cs="Calibri"/>
          <w:sz w:val="84"/>
          <w:highlight w:val="none"/>
        </w:rPr>
      </w:pPr>
      <w:bookmarkStart w:id="91" w:name="_Toc17595"/>
      <w:r>
        <w:rPr>
          <w:rFonts w:hint="eastAsia" w:eastAsia="楷体" w:cs="Calibri"/>
          <w:sz w:val="84"/>
          <w:highlight w:val="none"/>
        </w:rPr>
        <w:t>第三章</w:t>
      </w:r>
      <w:bookmarkEnd w:id="78"/>
      <w:bookmarkEnd w:id="79"/>
      <w:bookmarkEnd w:id="80"/>
      <w:bookmarkEnd w:id="81"/>
      <w:bookmarkEnd w:id="82"/>
      <w:bookmarkEnd w:id="83"/>
      <w:bookmarkEnd w:id="84"/>
      <w:bookmarkEnd w:id="85"/>
      <w:bookmarkEnd w:id="86"/>
      <w:bookmarkEnd w:id="87"/>
      <w:bookmarkEnd w:id="88"/>
      <w:bookmarkEnd w:id="89"/>
      <w:bookmarkEnd w:id="90"/>
      <w:bookmarkStart w:id="92" w:name="_Toc12111"/>
      <w:bookmarkStart w:id="93" w:name="_Toc8214"/>
      <w:bookmarkStart w:id="94" w:name="_Toc25194"/>
      <w:bookmarkStart w:id="95" w:name="_Toc527038777"/>
      <w:bookmarkStart w:id="96" w:name="_Toc20398"/>
      <w:bookmarkStart w:id="97" w:name="_Toc22928"/>
      <w:bookmarkStart w:id="98" w:name="_Toc487715613"/>
      <w:bookmarkStart w:id="99" w:name="_Toc21775"/>
      <w:bookmarkStart w:id="100" w:name="_Toc27144"/>
      <w:bookmarkStart w:id="101" w:name="_Toc26726"/>
      <w:bookmarkStart w:id="102" w:name="_Toc5593"/>
      <w:bookmarkStart w:id="103" w:name="_Toc22303"/>
      <w:r>
        <w:rPr>
          <w:rFonts w:hint="eastAsia" w:eastAsia="楷体" w:cs="Calibri"/>
          <w:sz w:val="84"/>
          <w:highlight w:val="none"/>
          <w:lang w:val="en-US" w:eastAsia="zh-CN"/>
        </w:rPr>
        <w:t xml:space="preserve"> </w:t>
      </w:r>
      <w:r>
        <w:rPr>
          <w:rFonts w:hint="eastAsia" w:eastAsia="楷体" w:cs="Calibri"/>
          <w:sz w:val="84"/>
          <w:highlight w:val="none"/>
        </w:rPr>
        <w:t>评标办法</w:t>
      </w:r>
      <w:bookmarkEnd w:id="91"/>
      <w:bookmarkEnd w:id="92"/>
      <w:bookmarkEnd w:id="93"/>
      <w:bookmarkEnd w:id="94"/>
      <w:bookmarkEnd w:id="95"/>
      <w:bookmarkEnd w:id="96"/>
      <w:bookmarkEnd w:id="97"/>
      <w:bookmarkEnd w:id="98"/>
      <w:bookmarkEnd w:id="99"/>
      <w:bookmarkEnd w:id="100"/>
      <w:bookmarkEnd w:id="101"/>
      <w:bookmarkEnd w:id="102"/>
      <w:bookmarkEnd w:id="103"/>
    </w:p>
    <w:p w14:paraId="5C70336F">
      <w:pPr>
        <w:jc w:val="center"/>
        <w:rPr>
          <w:rFonts w:ascii="宋体" w:hAnsi="宋体"/>
          <w:b/>
          <w:color w:val="auto"/>
          <w:spacing w:val="6"/>
          <w:sz w:val="44"/>
          <w:highlight w:val="none"/>
        </w:rPr>
      </w:pPr>
      <w:r>
        <w:rPr>
          <w:rFonts w:hint="eastAsia" w:ascii="宋体" w:hAnsi="宋体"/>
          <w:b/>
          <w:color w:val="auto"/>
          <w:spacing w:val="6"/>
          <w:sz w:val="44"/>
          <w:highlight w:val="none"/>
        </w:rPr>
        <w:t>（综合评标法）</w:t>
      </w:r>
    </w:p>
    <w:p w14:paraId="051895FD">
      <w:pPr>
        <w:rPr>
          <w:rFonts w:ascii="宋体" w:hAnsi="宋体"/>
          <w:b/>
          <w:color w:val="auto"/>
          <w:spacing w:val="6"/>
          <w:sz w:val="44"/>
          <w:highlight w:val="none"/>
        </w:rPr>
      </w:pPr>
    </w:p>
    <w:p w14:paraId="3E6BA10F">
      <w:pPr>
        <w:rPr>
          <w:rFonts w:ascii="宋体" w:hAnsi="宋体"/>
          <w:b/>
          <w:color w:val="auto"/>
          <w:spacing w:val="6"/>
          <w:sz w:val="44"/>
          <w:highlight w:val="none"/>
        </w:rPr>
      </w:pPr>
    </w:p>
    <w:p w14:paraId="73DBBEFF">
      <w:pPr>
        <w:rPr>
          <w:rFonts w:ascii="宋体" w:hAnsi="宋体"/>
          <w:b/>
          <w:color w:val="auto"/>
          <w:spacing w:val="6"/>
          <w:sz w:val="44"/>
          <w:highlight w:val="none"/>
        </w:rPr>
      </w:pPr>
    </w:p>
    <w:p w14:paraId="7B275260">
      <w:pPr>
        <w:rPr>
          <w:rFonts w:ascii="宋体" w:hAnsi="宋体"/>
          <w:b/>
          <w:color w:val="auto"/>
          <w:spacing w:val="6"/>
          <w:sz w:val="44"/>
          <w:highlight w:val="none"/>
        </w:rPr>
      </w:pPr>
    </w:p>
    <w:p w14:paraId="42B4299B">
      <w:pPr>
        <w:numPr>
          <w:ilvl w:val="0"/>
          <w:numId w:val="0"/>
        </w:numPr>
        <w:spacing w:line="360" w:lineRule="auto"/>
        <w:jc w:val="center"/>
        <w:outlineLvl w:val="0"/>
        <w:rPr>
          <w:rFonts w:ascii="黑体" w:hAnsi="黑体" w:eastAsia="黑体" w:cs="黑体"/>
          <w:b/>
          <w:kern w:val="0"/>
          <w:sz w:val="32"/>
          <w:szCs w:val="32"/>
        </w:rPr>
        <w:sectPr>
          <w:pgSz w:w="11906" w:h="16838"/>
          <w:pgMar w:top="1270" w:right="1134" w:bottom="1157" w:left="1247" w:header="851" w:footer="850" w:gutter="0"/>
          <w:pgNumType w:fmt="decimal"/>
          <w:cols w:space="720" w:num="1"/>
          <w:formProt w:val="0"/>
          <w:docGrid w:linePitch="286" w:charSpace="0"/>
        </w:sectPr>
      </w:pPr>
    </w:p>
    <w:bookmarkEnd w:id="75"/>
    <w:p w14:paraId="30704D7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0" w:line="360" w:lineRule="auto"/>
        <w:ind w:firstLine="281" w:firstLineChars="100"/>
        <w:jc w:val="left"/>
        <w:textAlignment w:val="auto"/>
        <w:outlineLvl w:val="1"/>
        <w:rPr>
          <w:rFonts w:ascii="宋体" w:hAnsi="宋体" w:cs="黑体"/>
          <w:b/>
          <w:kern w:val="0"/>
          <w:sz w:val="28"/>
          <w:szCs w:val="28"/>
        </w:rPr>
      </w:pPr>
      <w:bookmarkStart w:id="104" w:name="_Toc7915"/>
      <w:r>
        <w:rPr>
          <w:rFonts w:hint="eastAsia" w:ascii="宋体" w:hAnsi="宋体" w:cs="黑体"/>
          <w:b/>
          <w:kern w:val="0"/>
          <w:sz w:val="28"/>
          <w:szCs w:val="28"/>
          <w:lang w:val="en-US" w:eastAsia="zh-CN"/>
        </w:rPr>
        <w:t>1.</w:t>
      </w:r>
      <w:r>
        <w:rPr>
          <w:rFonts w:ascii="宋体" w:hAnsi="宋体" w:cs="黑体"/>
          <w:b/>
          <w:kern w:val="0"/>
          <w:sz w:val="28"/>
          <w:szCs w:val="28"/>
        </w:rPr>
        <w:t>评标办法前附表</w:t>
      </w:r>
      <w:bookmarkEnd w:id="104"/>
    </w:p>
    <w:p w14:paraId="17CAF3C0">
      <w:pPr>
        <w:pStyle w:val="15"/>
        <w:ind w:left="0" w:leftChars="0" w:firstLine="281" w:firstLineChars="100"/>
        <w:rPr>
          <w:rFonts w:hint="default" w:eastAsia="宋体"/>
          <w:lang w:val="en-US" w:eastAsia="zh-CN"/>
        </w:rPr>
      </w:pPr>
      <w:r>
        <w:rPr>
          <w:rFonts w:hint="eastAsia" w:cs="黑体"/>
          <w:b/>
          <w:kern w:val="0"/>
          <w:sz w:val="28"/>
          <w:szCs w:val="28"/>
          <w:lang w:val="en-US" w:eastAsia="zh-CN"/>
        </w:rPr>
        <w:t>1.1初步评审内容</w:t>
      </w:r>
    </w:p>
    <w:tbl>
      <w:tblPr>
        <w:tblStyle w:val="29"/>
        <w:tblW w:w="95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1007"/>
        <w:gridCol w:w="2167"/>
        <w:gridCol w:w="5579"/>
      </w:tblGrid>
      <w:tr w14:paraId="6010D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845" w:type="dxa"/>
            <w:gridSpan w:val="2"/>
            <w:shd w:val="clear" w:color="auto" w:fill="EEECE1" w:themeFill="background2"/>
            <w:vAlign w:val="center"/>
          </w:tcPr>
          <w:p w14:paraId="4FD814A1">
            <w:pPr>
              <w:keepNext w:val="0"/>
              <w:keepLines w:val="0"/>
              <w:pageBreakBefore w:val="0"/>
              <w:widowControl w:val="0"/>
              <w:kinsoku/>
              <w:wordWrap/>
              <w:overflowPunct/>
              <w:topLinePunct w:val="0"/>
              <w:autoSpaceDE/>
              <w:autoSpaceDN/>
              <w:bidi w:val="0"/>
              <w:adjustRightInd/>
              <w:snapToGrid/>
              <w:spacing w:before="0" w:after="0" w:line="460" w:lineRule="exact"/>
              <w:jc w:val="center"/>
              <w:textAlignment w:val="auto"/>
              <w:rPr>
                <w:rFonts w:ascii="宋体" w:hAnsi="宋体" w:cs="宋体"/>
                <w:b/>
                <w:bCs/>
                <w:sz w:val="24"/>
                <w:szCs w:val="24"/>
              </w:rPr>
            </w:pPr>
            <w:r>
              <w:rPr>
                <w:rFonts w:ascii="宋体" w:hAnsi="宋体" w:cs="宋体"/>
                <w:b/>
                <w:bCs/>
                <w:sz w:val="24"/>
                <w:szCs w:val="24"/>
              </w:rPr>
              <w:t>条款号</w:t>
            </w:r>
          </w:p>
        </w:tc>
        <w:tc>
          <w:tcPr>
            <w:tcW w:w="2167" w:type="dxa"/>
            <w:shd w:val="clear" w:color="auto" w:fill="EEECE1" w:themeFill="background2"/>
            <w:vAlign w:val="center"/>
          </w:tcPr>
          <w:p w14:paraId="04C38F30">
            <w:pPr>
              <w:keepNext w:val="0"/>
              <w:keepLines w:val="0"/>
              <w:pageBreakBefore w:val="0"/>
              <w:widowControl w:val="0"/>
              <w:kinsoku/>
              <w:wordWrap/>
              <w:overflowPunct/>
              <w:topLinePunct w:val="0"/>
              <w:autoSpaceDE/>
              <w:autoSpaceDN/>
              <w:bidi w:val="0"/>
              <w:adjustRightInd/>
              <w:snapToGrid/>
              <w:spacing w:before="0" w:after="0" w:line="460" w:lineRule="exact"/>
              <w:jc w:val="center"/>
              <w:textAlignment w:val="auto"/>
              <w:rPr>
                <w:rFonts w:ascii="宋体" w:hAnsi="宋体" w:cs="宋体"/>
                <w:b/>
                <w:bCs/>
                <w:sz w:val="24"/>
                <w:szCs w:val="24"/>
              </w:rPr>
            </w:pPr>
            <w:r>
              <w:rPr>
                <w:rFonts w:ascii="宋体" w:hAnsi="宋体" w:cs="宋体"/>
                <w:b/>
                <w:bCs/>
                <w:sz w:val="24"/>
                <w:szCs w:val="24"/>
              </w:rPr>
              <w:t>评审因素</w:t>
            </w:r>
          </w:p>
        </w:tc>
        <w:tc>
          <w:tcPr>
            <w:tcW w:w="5579" w:type="dxa"/>
            <w:shd w:val="clear" w:color="auto" w:fill="EEECE1" w:themeFill="background2"/>
            <w:vAlign w:val="center"/>
          </w:tcPr>
          <w:p w14:paraId="749F58F0">
            <w:pPr>
              <w:keepNext w:val="0"/>
              <w:keepLines w:val="0"/>
              <w:pageBreakBefore w:val="0"/>
              <w:widowControl w:val="0"/>
              <w:kinsoku/>
              <w:wordWrap/>
              <w:overflowPunct/>
              <w:topLinePunct w:val="0"/>
              <w:autoSpaceDE/>
              <w:autoSpaceDN/>
              <w:bidi w:val="0"/>
              <w:adjustRightInd/>
              <w:snapToGrid/>
              <w:spacing w:before="0" w:after="0" w:line="460" w:lineRule="exact"/>
              <w:ind w:firstLine="480"/>
              <w:jc w:val="center"/>
              <w:textAlignment w:val="auto"/>
              <w:rPr>
                <w:rFonts w:ascii="宋体" w:hAnsi="宋体" w:cs="宋体"/>
                <w:b/>
                <w:bCs/>
                <w:sz w:val="24"/>
                <w:szCs w:val="24"/>
              </w:rPr>
            </w:pPr>
            <w:r>
              <w:rPr>
                <w:rFonts w:ascii="宋体" w:hAnsi="宋体" w:cs="宋体"/>
                <w:b/>
                <w:bCs/>
                <w:sz w:val="24"/>
                <w:szCs w:val="24"/>
              </w:rPr>
              <w:t>评审标准</w:t>
            </w:r>
          </w:p>
        </w:tc>
      </w:tr>
      <w:tr w14:paraId="0DBE3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jc w:val="center"/>
        </w:trPr>
        <w:tc>
          <w:tcPr>
            <w:tcW w:w="838" w:type="dxa"/>
            <w:vMerge w:val="restart"/>
            <w:shd w:val="clear" w:color="auto" w:fill="auto"/>
            <w:vAlign w:val="center"/>
          </w:tcPr>
          <w:p w14:paraId="672ABDDE">
            <w:pPr>
              <w:keepNext w:val="0"/>
              <w:keepLines w:val="0"/>
              <w:pageBreakBefore w:val="0"/>
              <w:widowControl w:val="0"/>
              <w:kinsoku/>
              <w:wordWrap/>
              <w:overflowPunct/>
              <w:topLinePunct w:val="0"/>
              <w:autoSpaceDE/>
              <w:autoSpaceDN/>
              <w:bidi w:val="0"/>
              <w:adjustRightInd/>
              <w:snapToGrid/>
              <w:spacing w:before="0" w:after="0" w:line="460" w:lineRule="exact"/>
              <w:jc w:val="center"/>
              <w:textAlignment w:val="auto"/>
              <w:rPr>
                <w:rFonts w:ascii="宋体" w:hAnsi="宋体" w:cs="宋体"/>
                <w:sz w:val="24"/>
                <w:szCs w:val="24"/>
              </w:rPr>
            </w:pPr>
            <w:r>
              <w:rPr>
                <w:rFonts w:hint="eastAsia" w:ascii="宋体" w:hAnsi="宋体" w:cs="宋体"/>
                <w:sz w:val="24"/>
                <w:szCs w:val="24"/>
                <w:lang w:val="en-US" w:eastAsia="zh-CN"/>
              </w:rPr>
              <w:t>1</w:t>
            </w:r>
            <w:r>
              <w:rPr>
                <w:rFonts w:ascii="宋体" w:hAnsi="宋体" w:cs="宋体"/>
                <w:sz w:val="24"/>
                <w:szCs w:val="24"/>
              </w:rPr>
              <w:t>.1.1</w:t>
            </w:r>
          </w:p>
        </w:tc>
        <w:tc>
          <w:tcPr>
            <w:tcW w:w="1007" w:type="dxa"/>
            <w:vMerge w:val="restart"/>
            <w:shd w:val="clear" w:color="auto" w:fill="auto"/>
            <w:vAlign w:val="center"/>
          </w:tcPr>
          <w:p w14:paraId="192DF495">
            <w:pPr>
              <w:keepNext w:val="0"/>
              <w:keepLines w:val="0"/>
              <w:pageBreakBefore w:val="0"/>
              <w:widowControl w:val="0"/>
              <w:kinsoku/>
              <w:wordWrap/>
              <w:overflowPunct/>
              <w:topLinePunct w:val="0"/>
              <w:autoSpaceDE/>
              <w:autoSpaceDN/>
              <w:bidi w:val="0"/>
              <w:adjustRightInd/>
              <w:snapToGrid/>
              <w:spacing w:before="0" w:after="0" w:line="460" w:lineRule="exact"/>
              <w:jc w:val="center"/>
              <w:textAlignment w:val="auto"/>
              <w:rPr>
                <w:rFonts w:ascii="宋体" w:hAnsi="宋体" w:cs="宋体"/>
                <w:sz w:val="24"/>
                <w:szCs w:val="24"/>
              </w:rPr>
            </w:pPr>
            <w:r>
              <w:rPr>
                <w:rFonts w:ascii="宋体" w:hAnsi="宋体" w:cs="宋体"/>
                <w:sz w:val="24"/>
                <w:szCs w:val="24"/>
              </w:rPr>
              <w:t>形式评审标准</w:t>
            </w:r>
          </w:p>
        </w:tc>
        <w:tc>
          <w:tcPr>
            <w:tcW w:w="2167" w:type="dxa"/>
            <w:shd w:val="clear" w:color="auto" w:fill="auto"/>
            <w:vAlign w:val="center"/>
          </w:tcPr>
          <w:p w14:paraId="079E52CC">
            <w:pPr>
              <w:keepNext w:val="0"/>
              <w:keepLines w:val="0"/>
              <w:pageBreakBefore w:val="0"/>
              <w:widowControl w:val="0"/>
              <w:kinsoku/>
              <w:wordWrap/>
              <w:overflowPunct/>
              <w:topLinePunct w:val="0"/>
              <w:autoSpaceDE/>
              <w:autoSpaceDN/>
              <w:bidi w:val="0"/>
              <w:adjustRightInd/>
              <w:snapToGrid/>
              <w:spacing w:before="0" w:after="0" w:line="420" w:lineRule="exact"/>
              <w:jc w:val="center"/>
              <w:textAlignment w:val="auto"/>
              <w:rPr>
                <w:rFonts w:ascii="宋体" w:hAnsi="宋体" w:cs="宋体"/>
                <w:sz w:val="24"/>
                <w:szCs w:val="24"/>
              </w:rPr>
            </w:pPr>
            <w:r>
              <w:rPr>
                <w:rFonts w:ascii="宋体" w:hAnsi="宋体" w:cs="宋体"/>
                <w:sz w:val="24"/>
                <w:szCs w:val="24"/>
              </w:rPr>
              <w:t>投标人名称</w:t>
            </w:r>
          </w:p>
        </w:tc>
        <w:tc>
          <w:tcPr>
            <w:tcW w:w="5579" w:type="dxa"/>
            <w:shd w:val="clear" w:color="auto" w:fill="auto"/>
            <w:vAlign w:val="center"/>
          </w:tcPr>
          <w:p w14:paraId="681D65AE">
            <w:pPr>
              <w:keepNext w:val="0"/>
              <w:keepLines w:val="0"/>
              <w:pageBreakBefore w:val="0"/>
              <w:widowControl w:val="0"/>
              <w:kinsoku/>
              <w:wordWrap/>
              <w:overflowPunct/>
              <w:topLinePunct w:val="0"/>
              <w:autoSpaceDE/>
              <w:autoSpaceDN/>
              <w:bidi w:val="0"/>
              <w:adjustRightInd/>
              <w:snapToGrid/>
              <w:spacing w:before="0" w:after="0" w:line="420" w:lineRule="exact"/>
              <w:textAlignment w:val="auto"/>
              <w:rPr>
                <w:rFonts w:ascii="宋体" w:hAnsi="宋体" w:cs="宋体"/>
                <w:sz w:val="24"/>
                <w:szCs w:val="24"/>
              </w:rPr>
            </w:pPr>
            <w:r>
              <w:rPr>
                <w:rFonts w:ascii="宋体" w:hAnsi="宋体" w:cs="宋体"/>
                <w:sz w:val="24"/>
                <w:szCs w:val="24"/>
              </w:rPr>
              <w:t>与营业执照一致</w:t>
            </w:r>
          </w:p>
        </w:tc>
      </w:tr>
      <w:tr w14:paraId="2B6D5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838" w:type="dxa"/>
            <w:vMerge w:val="continue"/>
            <w:shd w:val="clear" w:color="auto" w:fill="auto"/>
            <w:vAlign w:val="center"/>
          </w:tcPr>
          <w:p w14:paraId="7EA5BF28">
            <w:pPr>
              <w:keepNext w:val="0"/>
              <w:keepLines w:val="0"/>
              <w:pageBreakBefore w:val="0"/>
              <w:widowControl w:val="0"/>
              <w:kinsoku/>
              <w:wordWrap/>
              <w:overflowPunct/>
              <w:topLinePunct w:val="0"/>
              <w:autoSpaceDE/>
              <w:autoSpaceDN/>
              <w:bidi w:val="0"/>
              <w:adjustRightInd/>
              <w:snapToGrid/>
              <w:spacing w:before="0" w:after="0" w:line="460" w:lineRule="exact"/>
              <w:textAlignment w:val="auto"/>
              <w:rPr>
                <w:sz w:val="24"/>
                <w:szCs w:val="24"/>
              </w:rPr>
            </w:pPr>
          </w:p>
        </w:tc>
        <w:tc>
          <w:tcPr>
            <w:tcW w:w="1007" w:type="dxa"/>
            <w:vMerge w:val="continue"/>
            <w:shd w:val="clear" w:color="auto" w:fill="auto"/>
            <w:vAlign w:val="center"/>
          </w:tcPr>
          <w:p w14:paraId="59E547A1">
            <w:pPr>
              <w:keepNext w:val="0"/>
              <w:keepLines w:val="0"/>
              <w:pageBreakBefore w:val="0"/>
              <w:widowControl w:val="0"/>
              <w:kinsoku/>
              <w:wordWrap/>
              <w:overflowPunct/>
              <w:topLinePunct w:val="0"/>
              <w:autoSpaceDE/>
              <w:autoSpaceDN/>
              <w:bidi w:val="0"/>
              <w:adjustRightInd/>
              <w:snapToGrid/>
              <w:spacing w:before="0" w:after="0" w:line="460" w:lineRule="exact"/>
              <w:textAlignment w:val="auto"/>
              <w:rPr>
                <w:sz w:val="24"/>
                <w:szCs w:val="24"/>
              </w:rPr>
            </w:pPr>
          </w:p>
        </w:tc>
        <w:tc>
          <w:tcPr>
            <w:tcW w:w="2167" w:type="dxa"/>
            <w:shd w:val="clear" w:color="auto" w:fill="auto"/>
            <w:vAlign w:val="center"/>
          </w:tcPr>
          <w:p w14:paraId="1B1D6FC8">
            <w:pPr>
              <w:keepNext w:val="0"/>
              <w:keepLines w:val="0"/>
              <w:pageBreakBefore w:val="0"/>
              <w:widowControl w:val="0"/>
              <w:kinsoku/>
              <w:wordWrap/>
              <w:overflowPunct/>
              <w:topLinePunct w:val="0"/>
              <w:autoSpaceDE/>
              <w:autoSpaceDN/>
              <w:bidi w:val="0"/>
              <w:adjustRightInd/>
              <w:snapToGrid/>
              <w:spacing w:before="0" w:after="0" w:line="420" w:lineRule="exact"/>
              <w:jc w:val="center"/>
              <w:textAlignment w:val="auto"/>
              <w:rPr>
                <w:rFonts w:ascii="宋体" w:hAnsi="宋体" w:cs="宋体"/>
                <w:sz w:val="24"/>
                <w:szCs w:val="24"/>
              </w:rPr>
            </w:pPr>
            <w:r>
              <w:rPr>
                <w:rFonts w:hint="eastAsia" w:ascii="宋体" w:hAnsi="宋体" w:cs="宋体"/>
                <w:sz w:val="24"/>
                <w:szCs w:val="24"/>
              </w:rPr>
              <w:t>签字盖章</w:t>
            </w:r>
          </w:p>
        </w:tc>
        <w:tc>
          <w:tcPr>
            <w:tcW w:w="5579" w:type="dxa"/>
            <w:shd w:val="clear" w:color="auto" w:fill="auto"/>
            <w:vAlign w:val="center"/>
          </w:tcPr>
          <w:p w14:paraId="7863A003">
            <w:pPr>
              <w:keepNext w:val="0"/>
              <w:keepLines w:val="0"/>
              <w:pageBreakBefore w:val="0"/>
              <w:widowControl w:val="0"/>
              <w:kinsoku/>
              <w:wordWrap/>
              <w:overflowPunct/>
              <w:topLinePunct w:val="0"/>
              <w:autoSpaceDE/>
              <w:autoSpaceDN/>
              <w:bidi w:val="0"/>
              <w:adjustRightInd/>
              <w:snapToGrid/>
              <w:spacing w:before="0" w:after="0" w:line="420" w:lineRule="exact"/>
              <w:textAlignment w:val="auto"/>
              <w:rPr>
                <w:rFonts w:hint="eastAsia" w:ascii="宋体" w:hAnsi="宋体" w:eastAsia="宋体" w:cs="宋体"/>
                <w:sz w:val="24"/>
                <w:szCs w:val="24"/>
                <w:lang w:eastAsia="zh-CN"/>
              </w:rPr>
            </w:pPr>
            <w:r>
              <w:rPr>
                <w:rFonts w:ascii="宋体" w:hAnsi="宋体" w:cs="宋体"/>
                <w:sz w:val="24"/>
                <w:szCs w:val="24"/>
              </w:rPr>
              <w:t>符合第二章“投标人须知”</w:t>
            </w:r>
            <w:r>
              <w:rPr>
                <w:rFonts w:hint="eastAsia" w:ascii="宋体" w:hAnsi="宋体" w:cs="宋体"/>
                <w:sz w:val="24"/>
                <w:szCs w:val="24"/>
              </w:rPr>
              <w:t>第3.7.4 款、第3.7.5 款规定</w:t>
            </w:r>
          </w:p>
        </w:tc>
      </w:tr>
      <w:tr w14:paraId="7C75C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jc w:val="center"/>
        </w:trPr>
        <w:tc>
          <w:tcPr>
            <w:tcW w:w="838" w:type="dxa"/>
            <w:vMerge w:val="continue"/>
            <w:shd w:val="clear" w:color="auto" w:fill="auto"/>
            <w:vAlign w:val="center"/>
          </w:tcPr>
          <w:p w14:paraId="4198BE8B">
            <w:pPr>
              <w:keepNext w:val="0"/>
              <w:keepLines w:val="0"/>
              <w:pageBreakBefore w:val="0"/>
              <w:widowControl w:val="0"/>
              <w:kinsoku/>
              <w:wordWrap/>
              <w:overflowPunct/>
              <w:topLinePunct w:val="0"/>
              <w:autoSpaceDE/>
              <w:autoSpaceDN/>
              <w:bidi w:val="0"/>
              <w:adjustRightInd/>
              <w:snapToGrid/>
              <w:spacing w:before="0" w:after="0" w:line="460" w:lineRule="exact"/>
              <w:textAlignment w:val="auto"/>
              <w:rPr>
                <w:sz w:val="24"/>
                <w:szCs w:val="24"/>
              </w:rPr>
            </w:pPr>
          </w:p>
        </w:tc>
        <w:tc>
          <w:tcPr>
            <w:tcW w:w="1007" w:type="dxa"/>
            <w:vMerge w:val="continue"/>
            <w:shd w:val="clear" w:color="auto" w:fill="auto"/>
            <w:vAlign w:val="center"/>
          </w:tcPr>
          <w:p w14:paraId="681B9FBA">
            <w:pPr>
              <w:keepNext w:val="0"/>
              <w:keepLines w:val="0"/>
              <w:pageBreakBefore w:val="0"/>
              <w:widowControl w:val="0"/>
              <w:kinsoku/>
              <w:wordWrap/>
              <w:overflowPunct/>
              <w:topLinePunct w:val="0"/>
              <w:autoSpaceDE/>
              <w:autoSpaceDN/>
              <w:bidi w:val="0"/>
              <w:adjustRightInd/>
              <w:snapToGrid/>
              <w:spacing w:before="0" w:after="0" w:line="460" w:lineRule="exact"/>
              <w:textAlignment w:val="auto"/>
              <w:rPr>
                <w:sz w:val="24"/>
                <w:szCs w:val="24"/>
              </w:rPr>
            </w:pPr>
          </w:p>
        </w:tc>
        <w:tc>
          <w:tcPr>
            <w:tcW w:w="2167" w:type="dxa"/>
            <w:shd w:val="clear" w:color="auto" w:fill="auto"/>
            <w:vAlign w:val="center"/>
          </w:tcPr>
          <w:p w14:paraId="517641D9">
            <w:pPr>
              <w:keepNext w:val="0"/>
              <w:keepLines w:val="0"/>
              <w:pageBreakBefore w:val="0"/>
              <w:widowControl w:val="0"/>
              <w:kinsoku/>
              <w:wordWrap/>
              <w:overflowPunct/>
              <w:topLinePunct w:val="0"/>
              <w:autoSpaceDE/>
              <w:autoSpaceDN/>
              <w:bidi w:val="0"/>
              <w:adjustRightInd/>
              <w:snapToGrid/>
              <w:spacing w:before="0" w:after="0" w:line="420" w:lineRule="exact"/>
              <w:jc w:val="center"/>
              <w:textAlignment w:val="auto"/>
              <w:rPr>
                <w:rFonts w:ascii="宋体" w:hAnsi="宋体" w:cs="宋体"/>
                <w:sz w:val="24"/>
                <w:szCs w:val="24"/>
              </w:rPr>
            </w:pPr>
            <w:r>
              <w:rPr>
                <w:rFonts w:hint="eastAsia" w:ascii="宋体" w:hAnsi="宋体" w:eastAsia="宋体" w:cs="宋体"/>
                <w:sz w:val="24"/>
                <w:szCs w:val="24"/>
              </w:rPr>
              <w:t>法定代表人身份证明书、法人授权委托证明书有效</w:t>
            </w:r>
          </w:p>
        </w:tc>
        <w:tc>
          <w:tcPr>
            <w:tcW w:w="5579" w:type="dxa"/>
            <w:shd w:val="clear" w:color="auto" w:fill="auto"/>
            <w:vAlign w:val="center"/>
          </w:tcPr>
          <w:p w14:paraId="1106CED2">
            <w:pPr>
              <w:keepNext w:val="0"/>
              <w:keepLines w:val="0"/>
              <w:pageBreakBefore w:val="0"/>
              <w:widowControl w:val="0"/>
              <w:kinsoku/>
              <w:wordWrap/>
              <w:overflowPunct/>
              <w:topLinePunct w:val="0"/>
              <w:autoSpaceDE/>
              <w:autoSpaceDN/>
              <w:bidi w:val="0"/>
              <w:adjustRightInd/>
              <w:snapToGrid/>
              <w:spacing w:before="0" w:after="0" w:line="420" w:lineRule="exact"/>
              <w:jc w:val="left"/>
              <w:textAlignment w:val="auto"/>
              <w:rPr>
                <w:rFonts w:ascii="宋体" w:hAnsi="宋体" w:cs="宋体"/>
                <w:sz w:val="24"/>
                <w:szCs w:val="24"/>
              </w:rPr>
            </w:pPr>
            <w:r>
              <w:rPr>
                <w:rFonts w:hint="eastAsia" w:ascii="宋体" w:hAnsi="宋体" w:eastAsia="宋体" w:cs="宋体"/>
                <w:sz w:val="24"/>
                <w:szCs w:val="24"/>
              </w:rPr>
              <w:t>符合第二章“投标人须知”第3.7项规定。</w:t>
            </w:r>
          </w:p>
        </w:tc>
      </w:tr>
      <w:tr w14:paraId="57BC2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838" w:type="dxa"/>
            <w:vMerge w:val="continue"/>
            <w:shd w:val="clear" w:color="auto" w:fill="auto"/>
            <w:vAlign w:val="center"/>
          </w:tcPr>
          <w:p w14:paraId="27C32A1B">
            <w:pPr>
              <w:keepNext w:val="0"/>
              <w:keepLines w:val="0"/>
              <w:pageBreakBefore w:val="0"/>
              <w:widowControl w:val="0"/>
              <w:kinsoku/>
              <w:wordWrap/>
              <w:overflowPunct/>
              <w:topLinePunct w:val="0"/>
              <w:autoSpaceDE/>
              <w:autoSpaceDN/>
              <w:bidi w:val="0"/>
              <w:adjustRightInd/>
              <w:snapToGrid/>
              <w:spacing w:before="0" w:after="0" w:line="460" w:lineRule="exact"/>
              <w:textAlignment w:val="auto"/>
              <w:rPr>
                <w:sz w:val="24"/>
                <w:szCs w:val="24"/>
              </w:rPr>
            </w:pPr>
          </w:p>
        </w:tc>
        <w:tc>
          <w:tcPr>
            <w:tcW w:w="1007" w:type="dxa"/>
            <w:vMerge w:val="continue"/>
            <w:shd w:val="clear" w:color="auto" w:fill="auto"/>
            <w:vAlign w:val="center"/>
          </w:tcPr>
          <w:p w14:paraId="20315AD7">
            <w:pPr>
              <w:keepNext w:val="0"/>
              <w:keepLines w:val="0"/>
              <w:pageBreakBefore w:val="0"/>
              <w:widowControl w:val="0"/>
              <w:kinsoku/>
              <w:wordWrap/>
              <w:overflowPunct/>
              <w:topLinePunct w:val="0"/>
              <w:autoSpaceDE/>
              <w:autoSpaceDN/>
              <w:bidi w:val="0"/>
              <w:adjustRightInd/>
              <w:snapToGrid/>
              <w:spacing w:before="0" w:after="0" w:line="460" w:lineRule="exact"/>
              <w:textAlignment w:val="auto"/>
              <w:rPr>
                <w:sz w:val="24"/>
                <w:szCs w:val="24"/>
              </w:rPr>
            </w:pPr>
          </w:p>
        </w:tc>
        <w:tc>
          <w:tcPr>
            <w:tcW w:w="2167" w:type="dxa"/>
            <w:shd w:val="clear" w:color="auto" w:fill="auto"/>
            <w:vAlign w:val="center"/>
          </w:tcPr>
          <w:p w14:paraId="7BB80D3F">
            <w:pPr>
              <w:keepNext w:val="0"/>
              <w:keepLines w:val="0"/>
              <w:pageBreakBefore w:val="0"/>
              <w:widowControl w:val="0"/>
              <w:kinsoku/>
              <w:wordWrap/>
              <w:overflowPunct/>
              <w:topLinePunct w:val="0"/>
              <w:autoSpaceDE/>
              <w:autoSpaceDN/>
              <w:bidi w:val="0"/>
              <w:adjustRightInd/>
              <w:snapToGrid/>
              <w:spacing w:before="0" w:after="0" w:line="420" w:lineRule="exact"/>
              <w:jc w:val="center"/>
              <w:textAlignment w:val="auto"/>
              <w:rPr>
                <w:rFonts w:hint="eastAsia" w:ascii="宋体" w:hAnsi="宋体" w:eastAsia="宋体" w:cs="宋体"/>
                <w:sz w:val="24"/>
                <w:szCs w:val="24"/>
                <w:lang w:val="en-US" w:eastAsia="zh-CN"/>
              </w:rPr>
            </w:pPr>
            <w:r>
              <w:rPr>
                <w:rFonts w:hint="eastAsia" w:ascii="宋体" w:hAnsi="宋体" w:cs="宋体"/>
                <w:sz w:val="24"/>
                <w:szCs w:val="24"/>
              </w:rPr>
              <w:t>投标文件格式</w:t>
            </w:r>
          </w:p>
        </w:tc>
        <w:tc>
          <w:tcPr>
            <w:tcW w:w="5579" w:type="dxa"/>
            <w:shd w:val="clear" w:color="auto" w:fill="auto"/>
            <w:vAlign w:val="center"/>
          </w:tcPr>
          <w:p w14:paraId="3D9B191A">
            <w:pPr>
              <w:keepNext w:val="0"/>
              <w:keepLines w:val="0"/>
              <w:pageBreakBefore w:val="0"/>
              <w:widowControl w:val="0"/>
              <w:kinsoku/>
              <w:wordWrap/>
              <w:overflowPunct/>
              <w:topLinePunct w:val="0"/>
              <w:autoSpaceDE/>
              <w:autoSpaceDN/>
              <w:bidi w:val="0"/>
              <w:adjustRightInd/>
              <w:snapToGrid/>
              <w:spacing w:before="0" w:after="0" w:line="420" w:lineRule="exact"/>
              <w:textAlignment w:val="auto"/>
              <w:rPr>
                <w:rFonts w:hint="eastAsia" w:ascii="宋体" w:hAnsi="宋体" w:eastAsia="宋体" w:cs="宋体"/>
                <w:sz w:val="24"/>
                <w:szCs w:val="24"/>
                <w:lang w:val="en-US" w:eastAsia="zh-CN"/>
              </w:rPr>
            </w:pPr>
            <w:r>
              <w:rPr>
                <w:rFonts w:ascii="宋体" w:hAnsi="宋体" w:cs="宋体"/>
                <w:sz w:val="24"/>
                <w:szCs w:val="24"/>
              </w:rPr>
              <w:t>符合第</w:t>
            </w:r>
            <w:r>
              <w:rPr>
                <w:rFonts w:hint="eastAsia" w:ascii="宋体" w:hAnsi="宋体" w:cs="宋体"/>
                <w:sz w:val="24"/>
                <w:szCs w:val="24"/>
                <w:lang w:val="en-US" w:eastAsia="zh-CN"/>
              </w:rPr>
              <w:t>八</w:t>
            </w:r>
            <w:r>
              <w:rPr>
                <w:rFonts w:ascii="宋体" w:hAnsi="宋体" w:cs="宋体"/>
                <w:sz w:val="24"/>
                <w:szCs w:val="24"/>
              </w:rPr>
              <w:t>章“投标文件格式”的要求</w:t>
            </w:r>
            <w:r>
              <w:rPr>
                <w:rFonts w:hint="eastAsia" w:ascii="宋体" w:hAnsi="宋体" w:cs="宋体"/>
                <w:sz w:val="24"/>
                <w:szCs w:val="24"/>
              </w:rPr>
              <w:t>，投标文件不存在内容不全或关键字迹模糊、无法辨认的情形。</w:t>
            </w:r>
          </w:p>
        </w:tc>
      </w:tr>
      <w:tr w14:paraId="18BD1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838" w:type="dxa"/>
            <w:vMerge w:val="continue"/>
            <w:shd w:val="clear" w:color="auto" w:fill="auto"/>
            <w:vAlign w:val="center"/>
          </w:tcPr>
          <w:p w14:paraId="3011946D">
            <w:pPr>
              <w:keepNext w:val="0"/>
              <w:keepLines w:val="0"/>
              <w:pageBreakBefore w:val="0"/>
              <w:widowControl w:val="0"/>
              <w:kinsoku/>
              <w:wordWrap/>
              <w:overflowPunct/>
              <w:topLinePunct w:val="0"/>
              <w:autoSpaceDE/>
              <w:autoSpaceDN/>
              <w:bidi w:val="0"/>
              <w:adjustRightInd/>
              <w:snapToGrid/>
              <w:spacing w:before="0" w:after="0" w:line="460" w:lineRule="exact"/>
              <w:textAlignment w:val="auto"/>
              <w:rPr>
                <w:sz w:val="24"/>
                <w:szCs w:val="24"/>
              </w:rPr>
            </w:pPr>
          </w:p>
        </w:tc>
        <w:tc>
          <w:tcPr>
            <w:tcW w:w="1007" w:type="dxa"/>
            <w:vMerge w:val="continue"/>
            <w:shd w:val="clear" w:color="auto" w:fill="auto"/>
            <w:vAlign w:val="center"/>
          </w:tcPr>
          <w:p w14:paraId="7EA6B603">
            <w:pPr>
              <w:keepNext w:val="0"/>
              <w:keepLines w:val="0"/>
              <w:pageBreakBefore w:val="0"/>
              <w:widowControl w:val="0"/>
              <w:kinsoku/>
              <w:wordWrap/>
              <w:overflowPunct/>
              <w:topLinePunct w:val="0"/>
              <w:autoSpaceDE/>
              <w:autoSpaceDN/>
              <w:bidi w:val="0"/>
              <w:adjustRightInd/>
              <w:snapToGrid/>
              <w:spacing w:before="0" w:after="0" w:line="460" w:lineRule="exact"/>
              <w:textAlignment w:val="auto"/>
              <w:rPr>
                <w:sz w:val="24"/>
                <w:szCs w:val="24"/>
              </w:rPr>
            </w:pPr>
          </w:p>
        </w:tc>
        <w:tc>
          <w:tcPr>
            <w:tcW w:w="2167" w:type="dxa"/>
            <w:shd w:val="clear" w:color="auto" w:fill="auto"/>
            <w:vAlign w:val="center"/>
          </w:tcPr>
          <w:p w14:paraId="1A5AA1AC">
            <w:pPr>
              <w:keepNext w:val="0"/>
              <w:keepLines w:val="0"/>
              <w:pageBreakBefore w:val="0"/>
              <w:widowControl w:val="0"/>
              <w:kinsoku/>
              <w:wordWrap/>
              <w:overflowPunct/>
              <w:topLinePunct w:val="0"/>
              <w:autoSpaceDE/>
              <w:autoSpaceDN/>
              <w:bidi w:val="0"/>
              <w:adjustRightInd/>
              <w:snapToGrid/>
              <w:spacing w:before="0" w:after="0" w:line="4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报价唯一</w:t>
            </w:r>
          </w:p>
        </w:tc>
        <w:tc>
          <w:tcPr>
            <w:tcW w:w="5579" w:type="dxa"/>
            <w:shd w:val="clear" w:color="auto" w:fill="auto"/>
            <w:vAlign w:val="center"/>
          </w:tcPr>
          <w:p w14:paraId="2016D91F">
            <w:pPr>
              <w:keepNext w:val="0"/>
              <w:keepLines w:val="0"/>
              <w:pageBreakBefore w:val="0"/>
              <w:widowControl w:val="0"/>
              <w:kinsoku/>
              <w:wordWrap/>
              <w:overflowPunct/>
              <w:topLinePunct w:val="0"/>
              <w:autoSpaceDE/>
              <w:autoSpaceDN/>
              <w:bidi w:val="0"/>
              <w:adjustRightInd/>
              <w:snapToGrid/>
              <w:spacing w:before="0" w:after="0" w:line="42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只能有一个有效报价</w:t>
            </w:r>
            <w:r>
              <w:rPr>
                <w:rFonts w:hint="eastAsia" w:ascii="宋体" w:hAnsi="宋体" w:eastAsia="宋体" w:cs="宋体"/>
                <w:sz w:val="24"/>
                <w:szCs w:val="24"/>
                <w:lang w:eastAsia="zh-CN"/>
              </w:rPr>
              <w:t>，</w:t>
            </w:r>
            <w:r>
              <w:rPr>
                <w:rFonts w:hint="eastAsia" w:ascii="宋体" w:hAnsi="宋体" w:cs="宋体"/>
                <w:sz w:val="24"/>
                <w:szCs w:val="24"/>
              </w:rPr>
              <w:t>符合第二章“投标人须知前附表”第</w:t>
            </w:r>
            <w:r>
              <w:rPr>
                <w:rFonts w:hint="eastAsia" w:ascii="宋体" w:hAnsi="宋体" w:cs="宋体"/>
                <w:sz w:val="24"/>
                <w:szCs w:val="24"/>
                <w:lang w:val="en-US" w:eastAsia="zh-CN"/>
              </w:rPr>
              <w:t>1.1.7</w:t>
            </w:r>
            <w:r>
              <w:rPr>
                <w:rFonts w:hint="eastAsia" w:ascii="宋体" w:hAnsi="宋体" w:cs="宋体"/>
                <w:sz w:val="24"/>
                <w:szCs w:val="24"/>
              </w:rPr>
              <w:t>款规定</w:t>
            </w:r>
            <w:r>
              <w:rPr>
                <w:rFonts w:hint="eastAsia" w:ascii="宋体" w:hAnsi="宋体" w:cs="宋体"/>
                <w:sz w:val="24"/>
                <w:szCs w:val="24"/>
                <w:lang w:eastAsia="zh-CN"/>
              </w:rPr>
              <w:t>。</w:t>
            </w:r>
          </w:p>
        </w:tc>
      </w:tr>
      <w:tr w14:paraId="15CFC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0" w:hRule="atLeast"/>
          <w:jc w:val="center"/>
        </w:trPr>
        <w:tc>
          <w:tcPr>
            <w:tcW w:w="838" w:type="dxa"/>
            <w:vMerge w:val="continue"/>
            <w:shd w:val="clear" w:color="auto" w:fill="auto"/>
            <w:vAlign w:val="center"/>
          </w:tcPr>
          <w:p w14:paraId="34040568">
            <w:pPr>
              <w:keepNext w:val="0"/>
              <w:keepLines w:val="0"/>
              <w:pageBreakBefore w:val="0"/>
              <w:widowControl w:val="0"/>
              <w:kinsoku/>
              <w:wordWrap/>
              <w:overflowPunct/>
              <w:topLinePunct w:val="0"/>
              <w:autoSpaceDE/>
              <w:autoSpaceDN/>
              <w:bidi w:val="0"/>
              <w:adjustRightInd/>
              <w:snapToGrid/>
              <w:spacing w:before="0" w:after="0" w:line="460" w:lineRule="exact"/>
              <w:textAlignment w:val="auto"/>
              <w:rPr>
                <w:sz w:val="24"/>
                <w:szCs w:val="24"/>
              </w:rPr>
            </w:pPr>
          </w:p>
        </w:tc>
        <w:tc>
          <w:tcPr>
            <w:tcW w:w="1007" w:type="dxa"/>
            <w:vMerge w:val="continue"/>
            <w:shd w:val="clear" w:color="auto" w:fill="auto"/>
            <w:vAlign w:val="center"/>
          </w:tcPr>
          <w:p w14:paraId="1FEF9021">
            <w:pPr>
              <w:keepNext w:val="0"/>
              <w:keepLines w:val="0"/>
              <w:pageBreakBefore w:val="0"/>
              <w:widowControl w:val="0"/>
              <w:kinsoku/>
              <w:wordWrap/>
              <w:overflowPunct/>
              <w:topLinePunct w:val="0"/>
              <w:autoSpaceDE/>
              <w:autoSpaceDN/>
              <w:bidi w:val="0"/>
              <w:adjustRightInd/>
              <w:snapToGrid/>
              <w:spacing w:before="0" w:after="0" w:line="460" w:lineRule="exact"/>
              <w:textAlignment w:val="auto"/>
              <w:rPr>
                <w:sz w:val="24"/>
                <w:szCs w:val="24"/>
              </w:rPr>
            </w:pPr>
          </w:p>
        </w:tc>
        <w:tc>
          <w:tcPr>
            <w:tcW w:w="2167" w:type="dxa"/>
            <w:shd w:val="clear" w:color="auto" w:fill="auto"/>
            <w:vAlign w:val="center"/>
          </w:tcPr>
          <w:p w14:paraId="6AF3D443">
            <w:pPr>
              <w:keepNext w:val="0"/>
              <w:keepLines w:val="0"/>
              <w:pageBreakBefore w:val="0"/>
              <w:widowControl w:val="0"/>
              <w:kinsoku/>
              <w:wordWrap/>
              <w:overflowPunct/>
              <w:topLinePunct w:val="0"/>
              <w:autoSpaceDE/>
              <w:autoSpaceDN/>
              <w:bidi w:val="0"/>
              <w:adjustRightInd/>
              <w:snapToGrid/>
              <w:spacing w:before="0" w:after="0" w:line="420" w:lineRule="exact"/>
              <w:jc w:val="center"/>
              <w:textAlignment w:val="auto"/>
              <w:rPr>
                <w:rFonts w:hint="eastAsia" w:ascii="宋体" w:hAnsi="宋体" w:cs="宋体"/>
                <w:sz w:val="24"/>
                <w:szCs w:val="24"/>
              </w:rPr>
            </w:pPr>
            <w:r>
              <w:rPr>
                <w:rFonts w:hint="eastAsia" w:ascii="宋体" w:hAnsi="宋体" w:cs="宋体"/>
                <w:sz w:val="24"/>
                <w:szCs w:val="24"/>
                <w:lang w:val="en-US" w:eastAsia="zh-CN"/>
              </w:rPr>
              <w:t>投标文件电脑机</w:t>
            </w:r>
          </w:p>
          <w:p w14:paraId="772D3DB4">
            <w:pPr>
              <w:keepNext w:val="0"/>
              <w:keepLines w:val="0"/>
              <w:pageBreakBefore w:val="0"/>
              <w:widowControl w:val="0"/>
              <w:kinsoku/>
              <w:wordWrap/>
              <w:overflowPunct/>
              <w:topLinePunct w:val="0"/>
              <w:autoSpaceDE/>
              <w:autoSpaceDN/>
              <w:bidi w:val="0"/>
              <w:adjustRightInd/>
              <w:snapToGrid/>
              <w:spacing w:before="0" w:after="0" w:line="420" w:lineRule="exact"/>
              <w:jc w:val="center"/>
              <w:textAlignment w:val="auto"/>
              <w:rPr>
                <w:rFonts w:hint="eastAsia" w:ascii="宋体" w:hAnsi="宋体" w:cs="宋体"/>
                <w:sz w:val="24"/>
                <w:szCs w:val="24"/>
              </w:rPr>
            </w:pPr>
            <w:r>
              <w:rPr>
                <w:rFonts w:hint="eastAsia" w:ascii="宋体" w:hAnsi="宋体" w:cs="宋体"/>
                <w:sz w:val="24"/>
                <w:szCs w:val="24"/>
                <w:lang w:val="en-US" w:eastAsia="zh-CN"/>
              </w:rPr>
              <w:t>器特征码</w:t>
            </w:r>
          </w:p>
        </w:tc>
        <w:tc>
          <w:tcPr>
            <w:tcW w:w="5579" w:type="dxa"/>
            <w:shd w:val="clear" w:color="auto" w:fill="auto"/>
            <w:vAlign w:val="center"/>
          </w:tcPr>
          <w:p w14:paraId="109F679B">
            <w:pPr>
              <w:keepNext w:val="0"/>
              <w:keepLines w:val="0"/>
              <w:pageBreakBefore w:val="0"/>
              <w:widowControl w:val="0"/>
              <w:kinsoku/>
              <w:wordWrap/>
              <w:overflowPunct/>
              <w:topLinePunct w:val="0"/>
              <w:autoSpaceDE/>
              <w:autoSpaceDN/>
              <w:bidi w:val="0"/>
              <w:adjustRightInd/>
              <w:snapToGrid/>
              <w:spacing w:before="0" w:after="0" w:line="420" w:lineRule="exact"/>
              <w:textAlignment w:val="auto"/>
              <w:rPr>
                <w:rFonts w:hint="eastAsia" w:ascii="宋体" w:hAnsi="宋体" w:cs="宋体"/>
                <w:sz w:val="24"/>
                <w:szCs w:val="24"/>
              </w:rPr>
            </w:pPr>
            <w:r>
              <w:rPr>
                <w:rFonts w:hint="eastAsia" w:ascii="宋体" w:hAnsi="宋体" w:cs="宋体"/>
                <w:sz w:val="24"/>
                <w:szCs w:val="24"/>
                <w:lang w:val="en-US" w:eastAsia="zh-CN"/>
              </w:rPr>
              <w:t xml:space="preserve">投标人与其他投标人加密打包投标文件电脑机器特征码一致的（以广州公共资源交易中心电子交易平台评标系统的检索信息为准），投标文件被否决。 </w:t>
            </w:r>
          </w:p>
        </w:tc>
      </w:tr>
      <w:tr w14:paraId="28982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838" w:type="dxa"/>
            <w:vMerge w:val="restart"/>
            <w:shd w:val="clear" w:color="auto" w:fill="auto"/>
            <w:vAlign w:val="center"/>
          </w:tcPr>
          <w:p w14:paraId="6EE095E5">
            <w:pPr>
              <w:keepNext w:val="0"/>
              <w:keepLines w:val="0"/>
              <w:pageBreakBefore w:val="0"/>
              <w:widowControl w:val="0"/>
              <w:kinsoku/>
              <w:wordWrap/>
              <w:overflowPunct/>
              <w:topLinePunct w:val="0"/>
              <w:autoSpaceDE/>
              <w:autoSpaceDN/>
              <w:bidi w:val="0"/>
              <w:adjustRightInd/>
              <w:snapToGrid/>
              <w:spacing w:before="0" w:after="0" w:line="460" w:lineRule="exact"/>
              <w:jc w:val="center"/>
              <w:textAlignment w:val="auto"/>
              <w:rPr>
                <w:rFonts w:ascii="宋体" w:hAnsi="宋体" w:cs="宋体"/>
                <w:sz w:val="24"/>
                <w:szCs w:val="24"/>
              </w:rPr>
            </w:pPr>
            <w:r>
              <w:rPr>
                <w:rFonts w:hint="eastAsia" w:ascii="宋体" w:hAnsi="宋体" w:cs="宋体"/>
                <w:sz w:val="24"/>
                <w:szCs w:val="24"/>
                <w:lang w:val="en-US" w:eastAsia="zh-CN"/>
              </w:rPr>
              <w:t>1</w:t>
            </w:r>
            <w:r>
              <w:rPr>
                <w:rFonts w:ascii="宋体" w:hAnsi="宋体" w:cs="宋体"/>
                <w:sz w:val="24"/>
                <w:szCs w:val="24"/>
              </w:rPr>
              <w:t>.1.2</w:t>
            </w:r>
          </w:p>
          <w:p w14:paraId="672A8969">
            <w:pPr>
              <w:keepNext w:val="0"/>
              <w:keepLines w:val="0"/>
              <w:pageBreakBefore w:val="0"/>
              <w:widowControl w:val="0"/>
              <w:kinsoku/>
              <w:wordWrap/>
              <w:overflowPunct/>
              <w:topLinePunct w:val="0"/>
              <w:autoSpaceDE/>
              <w:autoSpaceDN/>
              <w:bidi w:val="0"/>
              <w:adjustRightInd/>
              <w:snapToGrid/>
              <w:spacing w:before="0" w:after="0" w:line="460" w:lineRule="exact"/>
              <w:jc w:val="center"/>
              <w:textAlignment w:val="auto"/>
              <w:rPr>
                <w:rFonts w:ascii="宋体" w:hAnsi="宋体" w:cs="宋体"/>
                <w:sz w:val="24"/>
                <w:szCs w:val="24"/>
              </w:rPr>
            </w:pPr>
          </w:p>
        </w:tc>
        <w:tc>
          <w:tcPr>
            <w:tcW w:w="1007" w:type="dxa"/>
            <w:vMerge w:val="restart"/>
            <w:shd w:val="clear" w:color="auto" w:fill="auto"/>
            <w:vAlign w:val="center"/>
          </w:tcPr>
          <w:p w14:paraId="637130C6">
            <w:pPr>
              <w:keepNext w:val="0"/>
              <w:keepLines w:val="0"/>
              <w:pageBreakBefore w:val="0"/>
              <w:widowControl w:val="0"/>
              <w:kinsoku/>
              <w:wordWrap/>
              <w:overflowPunct/>
              <w:topLinePunct w:val="0"/>
              <w:autoSpaceDE/>
              <w:autoSpaceDN/>
              <w:bidi w:val="0"/>
              <w:adjustRightInd/>
              <w:snapToGrid/>
              <w:spacing w:before="0" w:after="0" w:line="460" w:lineRule="exact"/>
              <w:jc w:val="center"/>
              <w:textAlignment w:val="auto"/>
              <w:rPr>
                <w:rFonts w:ascii="宋体" w:hAnsi="宋体" w:cs="宋体"/>
                <w:sz w:val="24"/>
                <w:szCs w:val="24"/>
              </w:rPr>
            </w:pPr>
          </w:p>
          <w:p w14:paraId="1494C98F">
            <w:pPr>
              <w:keepNext w:val="0"/>
              <w:keepLines w:val="0"/>
              <w:pageBreakBefore w:val="0"/>
              <w:widowControl w:val="0"/>
              <w:kinsoku/>
              <w:wordWrap/>
              <w:overflowPunct/>
              <w:topLinePunct w:val="0"/>
              <w:autoSpaceDE/>
              <w:autoSpaceDN/>
              <w:bidi w:val="0"/>
              <w:adjustRightInd/>
              <w:snapToGrid/>
              <w:spacing w:before="0" w:after="0" w:line="460" w:lineRule="exact"/>
              <w:jc w:val="center"/>
              <w:textAlignment w:val="auto"/>
              <w:rPr>
                <w:rFonts w:ascii="宋体" w:hAnsi="宋体" w:cs="宋体"/>
                <w:sz w:val="24"/>
                <w:szCs w:val="24"/>
              </w:rPr>
            </w:pPr>
            <w:r>
              <w:rPr>
                <w:rFonts w:ascii="宋体" w:hAnsi="宋体" w:cs="宋体"/>
                <w:sz w:val="24"/>
                <w:szCs w:val="24"/>
              </w:rPr>
              <w:t>资格评审标准</w:t>
            </w:r>
            <w:r>
              <w:rPr>
                <w:rFonts w:hint="eastAsia" w:ascii="宋体" w:hAnsi="宋体" w:cs="宋体"/>
                <w:b/>
                <w:color w:val="auto"/>
                <w:sz w:val="22"/>
                <w:szCs w:val="22"/>
                <w:highlight w:val="none"/>
              </w:rPr>
              <w:t>（资格后审内容</w:t>
            </w:r>
            <w:r>
              <w:rPr>
                <w:rFonts w:hint="eastAsia" w:ascii="宋体" w:hAnsi="宋体" w:cs="宋体"/>
                <w:b/>
                <w:color w:val="auto"/>
                <w:sz w:val="22"/>
                <w:szCs w:val="22"/>
                <w:highlight w:val="none"/>
                <w:lang w:eastAsia="zh-CN"/>
              </w:rPr>
              <w:t>）</w:t>
            </w:r>
          </w:p>
          <w:p w14:paraId="76950BCB">
            <w:pPr>
              <w:keepNext w:val="0"/>
              <w:keepLines w:val="0"/>
              <w:pageBreakBefore w:val="0"/>
              <w:widowControl w:val="0"/>
              <w:kinsoku/>
              <w:wordWrap/>
              <w:overflowPunct/>
              <w:topLinePunct w:val="0"/>
              <w:autoSpaceDE/>
              <w:autoSpaceDN/>
              <w:bidi w:val="0"/>
              <w:adjustRightInd/>
              <w:snapToGrid/>
              <w:spacing w:before="0" w:after="0" w:line="460" w:lineRule="exact"/>
              <w:jc w:val="center"/>
              <w:textAlignment w:val="auto"/>
              <w:rPr>
                <w:rFonts w:ascii="宋体" w:hAnsi="宋体" w:cs="宋体"/>
                <w:sz w:val="24"/>
                <w:szCs w:val="24"/>
              </w:rPr>
            </w:pPr>
          </w:p>
        </w:tc>
        <w:tc>
          <w:tcPr>
            <w:tcW w:w="2167" w:type="dxa"/>
            <w:shd w:val="clear" w:color="auto" w:fill="auto"/>
            <w:vAlign w:val="center"/>
          </w:tcPr>
          <w:p w14:paraId="4BE201D5">
            <w:pPr>
              <w:keepNext w:val="0"/>
              <w:keepLines w:val="0"/>
              <w:pageBreakBefore w:val="0"/>
              <w:widowControl w:val="0"/>
              <w:kinsoku/>
              <w:wordWrap/>
              <w:overflowPunct/>
              <w:topLinePunct w:val="0"/>
              <w:autoSpaceDE/>
              <w:autoSpaceDN/>
              <w:bidi w:val="0"/>
              <w:adjustRightInd/>
              <w:snapToGrid/>
              <w:spacing w:before="0" w:after="0" w:line="420" w:lineRule="exact"/>
              <w:jc w:val="center"/>
              <w:textAlignment w:val="auto"/>
              <w:rPr>
                <w:rFonts w:hint="eastAsia" w:ascii="宋体" w:hAnsi="宋体" w:cs="宋体"/>
                <w:sz w:val="24"/>
                <w:szCs w:val="24"/>
                <w:lang w:val="en-US" w:eastAsia="zh-CN"/>
              </w:rPr>
            </w:pPr>
            <w:r>
              <w:rPr>
                <w:rFonts w:hint="eastAsia" w:ascii="宋体" w:hAnsi="宋体" w:cs="宋体"/>
                <w:sz w:val="24"/>
                <w:szCs w:val="24"/>
                <w:lang w:val="en-US" w:eastAsia="zh-CN"/>
              </w:rPr>
              <w:t>独立法人资格</w:t>
            </w:r>
          </w:p>
        </w:tc>
        <w:tc>
          <w:tcPr>
            <w:tcW w:w="5579" w:type="dxa"/>
            <w:shd w:val="clear" w:color="auto" w:fill="auto"/>
            <w:vAlign w:val="center"/>
          </w:tcPr>
          <w:p w14:paraId="324F5480">
            <w:pPr>
              <w:keepNext w:val="0"/>
              <w:keepLines w:val="0"/>
              <w:pageBreakBefore w:val="0"/>
              <w:widowControl w:val="0"/>
              <w:kinsoku/>
              <w:wordWrap/>
              <w:overflowPunct/>
              <w:topLinePunct w:val="0"/>
              <w:autoSpaceDE/>
              <w:autoSpaceDN/>
              <w:bidi w:val="0"/>
              <w:adjustRightInd/>
              <w:snapToGrid/>
              <w:spacing w:before="0" w:after="0" w:line="420" w:lineRule="exact"/>
              <w:jc w:val="both"/>
              <w:textAlignment w:val="auto"/>
              <w:rPr>
                <w:rFonts w:hint="eastAsia" w:ascii="宋体" w:hAnsi="宋体" w:cs="宋体"/>
                <w:sz w:val="24"/>
                <w:szCs w:val="24"/>
                <w:lang w:val="en-US" w:eastAsia="zh-CN"/>
              </w:rPr>
            </w:pPr>
            <w:r>
              <w:rPr>
                <w:rFonts w:hint="eastAsia" w:ascii="宋体" w:hAnsi="宋体" w:cs="宋体"/>
                <w:sz w:val="24"/>
                <w:szCs w:val="24"/>
                <w:lang w:val="en-US" w:eastAsia="zh-CN"/>
              </w:rPr>
              <w:t>符合第一章“招标公告”投标资格能力要求第1项规定</w:t>
            </w:r>
          </w:p>
        </w:tc>
      </w:tr>
      <w:tr w14:paraId="69A33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838" w:type="dxa"/>
            <w:vMerge w:val="continue"/>
            <w:shd w:val="clear" w:color="auto" w:fill="auto"/>
            <w:vAlign w:val="center"/>
          </w:tcPr>
          <w:p w14:paraId="63807637">
            <w:pPr>
              <w:keepNext w:val="0"/>
              <w:keepLines w:val="0"/>
              <w:pageBreakBefore w:val="0"/>
              <w:widowControl w:val="0"/>
              <w:kinsoku/>
              <w:wordWrap/>
              <w:overflowPunct/>
              <w:topLinePunct w:val="0"/>
              <w:autoSpaceDE/>
              <w:autoSpaceDN/>
              <w:bidi w:val="0"/>
              <w:adjustRightInd/>
              <w:snapToGrid/>
              <w:spacing w:before="0" w:after="0" w:line="460" w:lineRule="exact"/>
              <w:jc w:val="center"/>
              <w:textAlignment w:val="auto"/>
              <w:rPr>
                <w:rFonts w:ascii="宋体" w:hAnsi="宋体" w:cs="宋体"/>
                <w:sz w:val="24"/>
                <w:szCs w:val="24"/>
              </w:rPr>
            </w:pPr>
          </w:p>
        </w:tc>
        <w:tc>
          <w:tcPr>
            <w:tcW w:w="1007" w:type="dxa"/>
            <w:vMerge w:val="continue"/>
            <w:shd w:val="clear" w:color="auto" w:fill="auto"/>
            <w:vAlign w:val="center"/>
          </w:tcPr>
          <w:p w14:paraId="6DC09C42">
            <w:pPr>
              <w:keepNext w:val="0"/>
              <w:keepLines w:val="0"/>
              <w:pageBreakBefore w:val="0"/>
              <w:widowControl w:val="0"/>
              <w:kinsoku/>
              <w:wordWrap/>
              <w:overflowPunct/>
              <w:topLinePunct w:val="0"/>
              <w:autoSpaceDE/>
              <w:autoSpaceDN/>
              <w:bidi w:val="0"/>
              <w:adjustRightInd/>
              <w:snapToGrid/>
              <w:spacing w:before="0" w:after="0" w:line="460" w:lineRule="exact"/>
              <w:jc w:val="center"/>
              <w:textAlignment w:val="auto"/>
              <w:rPr>
                <w:rFonts w:ascii="宋体" w:hAnsi="宋体" w:cs="宋体"/>
                <w:sz w:val="24"/>
                <w:szCs w:val="24"/>
              </w:rPr>
            </w:pPr>
          </w:p>
        </w:tc>
        <w:tc>
          <w:tcPr>
            <w:tcW w:w="2167" w:type="dxa"/>
            <w:shd w:val="clear" w:color="auto" w:fill="auto"/>
            <w:vAlign w:val="center"/>
          </w:tcPr>
          <w:p w14:paraId="0563C073">
            <w:pPr>
              <w:keepNext w:val="0"/>
              <w:keepLines w:val="0"/>
              <w:pageBreakBefore w:val="0"/>
              <w:widowControl w:val="0"/>
              <w:kinsoku/>
              <w:wordWrap/>
              <w:overflowPunct/>
              <w:topLinePunct w:val="0"/>
              <w:autoSpaceDE/>
              <w:autoSpaceDN/>
              <w:bidi w:val="0"/>
              <w:adjustRightInd/>
              <w:snapToGrid/>
              <w:spacing w:before="0" w:after="0" w:line="420" w:lineRule="exact"/>
              <w:jc w:val="center"/>
              <w:textAlignment w:val="auto"/>
              <w:rPr>
                <w:rFonts w:hint="eastAsia" w:ascii="宋体" w:hAnsi="宋体" w:cs="宋体"/>
                <w:sz w:val="24"/>
                <w:szCs w:val="24"/>
                <w:lang w:val="en-US" w:eastAsia="zh-CN"/>
              </w:rPr>
            </w:pPr>
            <w:r>
              <w:rPr>
                <w:rFonts w:hint="eastAsia" w:ascii="宋体" w:hAnsi="宋体" w:cs="宋体"/>
                <w:sz w:val="24"/>
                <w:szCs w:val="24"/>
                <w:lang w:val="en-US" w:eastAsia="zh-CN"/>
              </w:rPr>
              <w:t>资质条件</w:t>
            </w:r>
          </w:p>
        </w:tc>
        <w:tc>
          <w:tcPr>
            <w:tcW w:w="5579" w:type="dxa"/>
            <w:shd w:val="clear" w:color="auto" w:fill="auto"/>
            <w:vAlign w:val="center"/>
          </w:tcPr>
          <w:p w14:paraId="0881DF17">
            <w:pPr>
              <w:keepNext w:val="0"/>
              <w:keepLines w:val="0"/>
              <w:pageBreakBefore w:val="0"/>
              <w:widowControl w:val="0"/>
              <w:kinsoku/>
              <w:wordWrap/>
              <w:overflowPunct/>
              <w:topLinePunct w:val="0"/>
              <w:autoSpaceDE/>
              <w:autoSpaceDN/>
              <w:bidi w:val="0"/>
              <w:adjustRightInd/>
              <w:snapToGrid/>
              <w:spacing w:before="0" w:after="0" w:line="420" w:lineRule="exact"/>
              <w:textAlignment w:val="auto"/>
              <w:rPr>
                <w:rFonts w:hint="eastAsia" w:ascii="宋体" w:hAnsi="宋体" w:cs="宋体"/>
                <w:sz w:val="24"/>
                <w:szCs w:val="24"/>
                <w:lang w:val="en-US" w:eastAsia="zh-CN"/>
              </w:rPr>
            </w:pPr>
            <w:r>
              <w:rPr>
                <w:rFonts w:hint="eastAsia" w:ascii="宋体" w:hAnsi="宋体" w:cs="宋体"/>
                <w:sz w:val="24"/>
                <w:szCs w:val="24"/>
                <w:lang w:val="en-US" w:eastAsia="zh-CN"/>
              </w:rPr>
              <w:t>符合第一章“招标公告”投标资格能力要求第2项规定</w:t>
            </w:r>
          </w:p>
        </w:tc>
      </w:tr>
      <w:tr w14:paraId="6452D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838" w:type="dxa"/>
            <w:vMerge w:val="continue"/>
            <w:shd w:val="clear" w:color="auto" w:fill="auto"/>
            <w:vAlign w:val="center"/>
          </w:tcPr>
          <w:p w14:paraId="29AB8D01">
            <w:pPr>
              <w:keepNext w:val="0"/>
              <w:keepLines w:val="0"/>
              <w:pageBreakBefore w:val="0"/>
              <w:widowControl w:val="0"/>
              <w:kinsoku/>
              <w:wordWrap/>
              <w:overflowPunct/>
              <w:topLinePunct w:val="0"/>
              <w:autoSpaceDE/>
              <w:autoSpaceDN/>
              <w:bidi w:val="0"/>
              <w:adjustRightInd/>
              <w:snapToGrid/>
              <w:spacing w:before="0" w:after="0" w:line="460" w:lineRule="exact"/>
              <w:textAlignment w:val="auto"/>
              <w:rPr>
                <w:sz w:val="24"/>
                <w:szCs w:val="24"/>
              </w:rPr>
            </w:pPr>
          </w:p>
        </w:tc>
        <w:tc>
          <w:tcPr>
            <w:tcW w:w="1007" w:type="dxa"/>
            <w:vMerge w:val="continue"/>
            <w:shd w:val="clear" w:color="auto" w:fill="auto"/>
            <w:vAlign w:val="center"/>
          </w:tcPr>
          <w:p w14:paraId="5E69CB53">
            <w:pPr>
              <w:keepNext w:val="0"/>
              <w:keepLines w:val="0"/>
              <w:pageBreakBefore w:val="0"/>
              <w:widowControl w:val="0"/>
              <w:kinsoku/>
              <w:wordWrap/>
              <w:overflowPunct/>
              <w:topLinePunct w:val="0"/>
              <w:autoSpaceDE/>
              <w:autoSpaceDN/>
              <w:bidi w:val="0"/>
              <w:adjustRightInd/>
              <w:snapToGrid/>
              <w:spacing w:before="0" w:after="0" w:line="460" w:lineRule="exact"/>
              <w:textAlignment w:val="auto"/>
              <w:rPr>
                <w:sz w:val="24"/>
                <w:szCs w:val="24"/>
              </w:rPr>
            </w:pPr>
          </w:p>
        </w:tc>
        <w:tc>
          <w:tcPr>
            <w:tcW w:w="2167" w:type="dxa"/>
            <w:shd w:val="clear" w:color="auto" w:fill="auto"/>
            <w:vAlign w:val="center"/>
          </w:tcPr>
          <w:p w14:paraId="044280E9">
            <w:pPr>
              <w:keepNext w:val="0"/>
              <w:keepLines w:val="0"/>
              <w:pageBreakBefore w:val="0"/>
              <w:widowControl w:val="0"/>
              <w:kinsoku/>
              <w:wordWrap/>
              <w:overflowPunct/>
              <w:topLinePunct w:val="0"/>
              <w:autoSpaceDE/>
              <w:autoSpaceDN/>
              <w:bidi w:val="0"/>
              <w:adjustRightInd/>
              <w:snapToGrid/>
              <w:spacing w:before="0" w:after="0" w:line="420" w:lineRule="exact"/>
              <w:jc w:val="center"/>
              <w:textAlignment w:val="auto"/>
              <w:rPr>
                <w:rFonts w:hint="eastAsia" w:ascii="宋体" w:hAnsi="宋体" w:cs="宋体"/>
                <w:sz w:val="24"/>
                <w:szCs w:val="24"/>
                <w:lang w:val="en-US" w:eastAsia="zh-CN"/>
              </w:rPr>
            </w:pPr>
            <w:r>
              <w:rPr>
                <w:rFonts w:hint="eastAsia" w:ascii="宋体" w:hAnsi="宋体" w:cs="宋体"/>
                <w:sz w:val="24"/>
                <w:szCs w:val="24"/>
                <w:lang w:val="en-US" w:eastAsia="zh-CN"/>
              </w:rPr>
              <w:t>业绩经验</w:t>
            </w:r>
          </w:p>
        </w:tc>
        <w:tc>
          <w:tcPr>
            <w:tcW w:w="5579" w:type="dxa"/>
            <w:shd w:val="clear" w:color="auto" w:fill="auto"/>
            <w:vAlign w:val="center"/>
          </w:tcPr>
          <w:p w14:paraId="3B23A98A">
            <w:pPr>
              <w:keepNext w:val="0"/>
              <w:keepLines w:val="0"/>
              <w:pageBreakBefore w:val="0"/>
              <w:widowControl w:val="0"/>
              <w:kinsoku/>
              <w:wordWrap/>
              <w:overflowPunct/>
              <w:topLinePunct w:val="0"/>
              <w:autoSpaceDE/>
              <w:autoSpaceDN/>
              <w:bidi w:val="0"/>
              <w:adjustRightInd/>
              <w:snapToGrid/>
              <w:spacing w:before="0" w:after="0" w:line="420" w:lineRule="exact"/>
              <w:textAlignment w:val="auto"/>
              <w:rPr>
                <w:rFonts w:hint="eastAsia" w:ascii="宋体" w:hAnsi="宋体" w:cs="宋体"/>
                <w:sz w:val="24"/>
                <w:szCs w:val="24"/>
                <w:lang w:val="en-US" w:eastAsia="zh-CN"/>
              </w:rPr>
            </w:pPr>
            <w:r>
              <w:rPr>
                <w:rFonts w:hint="eastAsia" w:ascii="宋体" w:hAnsi="宋体" w:cs="宋体"/>
                <w:sz w:val="24"/>
                <w:szCs w:val="24"/>
                <w:lang w:val="en-US" w:eastAsia="zh-CN"/>
              </w:rPr>
              <w:t>符合第一章“招标公告”投标资格能力要求第5项规定</w:t>
            </w:r>
          </w:p>
        </w:tc>
      </w:tr>
      <w:tr w14:paraId="7D289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838" w:type="dxa"/>
            <w:vMerge w:val="continue"/>
            <w:shd w:val="clear" w:color="auto" w:fill="auto"/>
            <w:vAlign w:val="center"/>
          </w:tcPr>
          <w:p w14:paraId="13A471DC">
            <w:pPr>
              <w:keepNext w:val="0"/>
              <w:keepLines w:val="0"/>
              <w:pageBreakBefore w:val="0"/>
              <w:widowControl w:val="0"/>
              <w:kinsoku/>
              <w:wordWrap/>
              <w:overflowPunct/>
              <w:topLinePunct w:val="0"/>
              <w:autoSpaceDE/>
              <w:autoSpaceDN/>
              <w:bidi w:val="0"/>
              <w:adjustRightInd/>
              <w:snapToGrid/>
              <w:spacing w:before="0" w:after="0" w:line="460" w:lineRule="exact"/>
              <w:textAlignment w:val="auto"/>
              <w:rPr>
                <w:sz w:val="24"/>
                <w:szCs w:val="24"/>
              </w:rPr>
            </w:pPr>
          </w:p>
        </w:tc>
        <w:tc>
          <w:tcPr>
            <w:tcW w:w="1007" w:type="dxa"/>
            <w:vMerge w:val="continue"/>
            <w:shd w:val="clear" w:color="auto" w:fill="auto"/>
            <w:vAlign w:val="center"/>
          </w:tcPr>
          <w:p w14:paraId="73441CEA">
            <w:pPr>
              <w:keepNext w:val="0"/>
              <w:keepLines w:val="0"/>
              <w:pageBreakBefore w:val="0"/>
              <w:widowControl w:val="0"/>
              <w:kinsoku/>
              <w:wordWrap/>
              <w:overflowPunct/>
              <w:topLinePunct w:val="0"/>
              <w:autoSpaceDE/>
              <w:autoSpaceDN/>
              <w:bidi w:val="0"/>
              <w:adjustRightInd/>
              <w:snapToGrid/>
              <w:spacing w:before="0" w:after="0" w:line="460" w:lineRule="exact"/>
              <w:textAlignment w:val="auto"/>
              <w:rPr>
                <w:sz w:val="24"/>
                <w:szCs w:val="24"/>
              </w:rPr>
            </w:pPr>
          </w:p>
        </w:tc>
        <w:tc>
          <w:tcPr>
            <w:tcW w:w="2167" w:type="dxa"/>
            <w:shd w:val="clear" w:color="auto" w:fill="auto"/>
            <w:vAlign w:val="center"/>
          </w:tcPr>
          <w:p w14:paraId="3C1377A3">
            <w:pPr>
              <w:keepNext w:val="0"/>
              <w:keepLines w:val="0"/>
              <w:pageBreakBefore w:val="0"/>
              <w:widowControl w:val="0"/>
              <w:kinsoku/>
              <w:wordWrap/>
              <w:overflowPunct/>
              <w:topLinePunct w:val="0"/>
              <w:autoSpaceDE/>
              <w:autoSpaceDN/>
              <w:bidi w:val="0"/>
              <w:adjustRightInd/>
              <w:snapToGrid/>
              <w:spacing w:before="0" w:after="0" w:line="420" w:lineRule="exact"/>
              <w:jc w:val="center"/>
              <w:textAlignment w:val="auto"/>
              <w:rPr>
                <w:rFonts w:hint="eastAsia" w:ascii="宋体" w:hAnsi="宋体" w:cs="宋体"/>
                <w:sz w:val="24"/>
                <w:szCs w:val="24"/>
                <w:lang w:val="en-US" w:eastAsia="zh-CN"/>
              </w:rPr>
            </w:pPr>
            <w:r>
              <w:rPr>
                <w:rFonts w:hint="eastAsia" w:ascii="宋体" w:hAnsi="宋体" w:cs="宋体"/>
                <w:sz w:val="24"/>
                <w:szCs w:val="24"/>
                <w:lang w:val="en-US" w:eastAsia="zh-CN"/>
              </w:rPr>
              <w:t>企业信誉</w:t>
            </w:r>
          </w:p>
        </w:tc>
        <w:tc>
          <w:tcPr>
            <w:tcW w:w="5579" w:type="dxa"/>
            <w:shd w:val="clear" w:color="auto" w:fill="auto"/>
            <w:vAlign w:val="center"/>
          </w:tcPr>
          <w:p w14:paraId="0403565D">
            <w:pPr>
              <w:keepNext w:val="0"/>
              <w:keepLines w:val="0"/>
              <w:pageBreakBefore w:val="0"/>
              <w:widowControl w:val="0"/>
              <w:kinsoku/>
              <w:wordWrap/>
              <w:overflowPunct/>
              <w:topLinePunct w:val="0"/>
              <w:autoSpaceDE/>
              <w:autoSpaceDN/>
              <w:bidi w:val="0"/>
              <w:adjustRightInd/>
              <w:snapToGrid/>
              <w:spacing w:before="0" w:after="0" w:line="420" w:lineRule="exact"/>
              <w:textAlignment w:val="auto"/>
              <w:rPr>
                <w:rFonts w:hint="eastAsia" w:ascii="宋体" w:hAnsi="宋体" w:cs="宋体"/>
                <w:sz w:val="24"/>
                <w:szCs w:val="24"/>
                <w:lang w:val="en-US" w:eastAsia="zh-CN"/>
              </w:rPr>
            </w:pPr>
            <w:r>
              <w:rPr>
                <w:rFonts w:hint="eastAsia" w:ascii="宋体" w:hAnsi="宋体" w:cs="宋体"/>
                <w:sz w:val="24"/>
                <w:szCs w:val="24"/>
                <w:lang w:val="en-US" w:eastAsia="zh-CN"/>
              </w:rPr>
              <w:t>符合第二章“投标人须知前附表”第1.4.1项中的信誉要求规定</w:t>
            </w:r>
          </w:p>
        </w:tc>
      </w:tr>
      <w:tr w14:paraId="73526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838" w:type="dxa"/>
            <w:vMerge w:val="continue"/>
            <w:shd w:val="clear" w:color="auto" w:fill="auto"/>
            <w:vAlign w:val="center"/>
          </w:tcPr>
          <w:p w14:paraId="13A6B140">
            <w:pPr>
              <w:keepNext w:val="0"/>
              <w:keepLines w:val="0"/>
              <w:pageBreakBefore w:val="0"/>
              <w:widowControl w:val="0"/>
              <w:kinsoku/>
              <w:wordWrap/>
              <w:overflowPunct/>
              <w:topLinePunct w:val="0"/>
              <w:autoSpaceDE/>
              <w:autoSpaceDN/>
              <w:bidi w:val="0"/>
              <w:adjustRightInd/>
              <w:snapToGrid/>
              <w:spacing w:before="0" w:after="0" w:line="460" w:lineRule="exact"/>
              <w:textAlignment w:val="auto"/>
              <w:rPr>
                <w:sz w:val="24"/>
                <w:szCs w:val="24"/>
              </w:rPr>
            </w:pPr>
          </w:p>
        </w:tc>
        <w:tc>
          <w:tcPr>
            <w:tcW w:w="1007" w:type="dxa"/>
            <w:vMerge w:val="continue"/>
            <w:shd w:val="clear" w:color="auto" w:fill="auto"/>
            <w:vAlign w:val="center"/>
          </w:tcPr>
          <w:p w14:paraId="1DE5AA8D">
            <w:pPr>
              <w:keepNext w:val="0"/>
              <w:keepLines w:val="0"/>
              <w:pageBreakBefore w:val="0"/>
              <w:widowControl w:val="0"/>
              <w:kinsoku/>
              <w:wordWrap/>
              <w:overflowPunct/>
              <w:topLinePunct w:val="0"/>
              <w:autoSpaceDE/>
              <w:autoSpaceDN/>
              <w:bidi w:val="0"/>
              <w:adjustRightInd/>
              <w:snapToGrid/>
              <w:spacing w:before="0" w:after="0" w:line="460" w:lineRule="exact"/>
              <w:textAlignment w:val="auto"/>
              <w:rPr>
                <w:sz w:val="24"/>
                <w:szCs w:val="24"/>
              </w:rPr>
            </w:pPr>
          </w:p>
        </w:tc>
        <w:tc>
          <w:tcPr>
            <w:tcW w:w="2167" w:type="dxa"/>
            <w:shd w:val="clear" w:color="auto" w:fill="auto"/>
            <w:vAlign w:val="center"/>
          </w:tcPr>
          <w:p w14:paraId="34CAE396">
            <w:pPr>
              <w:keepNext w:val="0"/>
              <w:keepLines w:val="0"/>
              <w:pageBreakBefore w:val="0"/>
              <w:widowControl w:val="0"/>
              <w:kinsoku/>
              <w:wordWrap/>
              <w:overflowPunct/>
              <w:topLinePunct w:val="0"/>
              <w:autoSpaceDE/>
              <w:autoSpaceDN/>
              <w:bidi w:val="0"/>
              <w:adjustRightInd/>
              <w:snapToGrid/>
              <w:spacing w:before="0" w:after="0" w:line="4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其他要求</w:t>
            </w:r>
          </w:p>
        </w:tc>
        <w:tc>
          <w:tcPr>
            <w:tcW w:w="5579" w:type="dxa"/>
            <w:shd w:val="clear" w:color="auto" w:fill="auto"/>
            <w:vAlign w:val="center"/>
          </w:tcPr>
          <w:p w14:paraId="4BF0710E">
            <w:pPr>
              <w:keepNext w:val="0"/>
              <w:keepLines w:val="0"/>
              <w:pageBreakBefore w:val="0"/>
              <w:widowControl w:val="0"/>
              <w:kinsoku/>
              <w:wordWrap/>
              <w:overflowPunct/>
              <w:topLinePunct w:val="0"/>
              <w:autoSpaceDE/>
              <w:autoSpaceDN/>
              <w:bidi w:val="0"/>
              <w:adjustRightInd/>
              <w:snapToGrid/>
              <w:spacing w:before="0" w:after="0" w:line="42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符合本招标文件规定的其他要求。</w:t>
            </w:r>
          </w:p>
        </w:tc>
      </w:tr>
      <w:tr w14:paraId="5E2DC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jc w:val="center"/>
        </w:trPr>
        <w:tc>
          <w:tcPr>
            <w:tcW w:w="838" w:type="dxa"/>
            <w:vMerge w:val="restart"/>
            <w:shd w:val="clear" w:color="auto" w:fill="auto"/>
            <w:vAlign w:val="center"/>
          </w:tcPr>
          <w:p w14:paraId="664AD482">
            <w:pPr>
              <w:keepNext w:val="0"/>
              <w:keepLines w:val="0"/>
              <w:pageBreakBefore w:val="0"/>
              <w:widowControl w:val="0"/>
              <w:kinsoku/>
              <w:wordWrap/>
              <w:overflowPunct/>
              <w:topLinePunct w:val="0"/>
              <w:autoSpaceDE/>
              <w:autoSpaceDN/>
              <w:bidi w:val="0"/>
              <w:adjustRightInd/>
              <w:snapToGrid/>
              <w:spacing w:before="0" w:after="0" w:line="460" w:lineRule="exact"/>
              <w:jc w:val="center"/>
              <w:textAlignment w:val="auto"/>
              <w:rPr>
                <w:rFonts w:ascii="宋体" w:hAnsi="宋体" w:cs="宋体"/>
                <w:sz w:val="24"/>
                <w:szCs w:val="24"/>
              </w:rPr>
            </w:pPr>
            <w:r>
              <w:rPr>
                <w:rFonts w:hint="eastAsia" w:ascii="宋体" w:hAnsi="宋体" w:cs="宋体"/>
                <w:sz w:val="24"/>
                <w:szCs w:val="24"/>
                <w:lang w:val="en-US" w:eastAsia="zh-CN"/>
              </w:rPr>
              <w:t>1</w:t>
            </w:r>
            <w:r>
              <w:rPr>
                <w:rFonts w:ascii="宋体" w:hAnsi="宋体" w:cs="宋体"/>
                <w:sz w:val="24"/>
                <w:szCs w:val="24"/>
              </w:rPr>
              <w:t>.1.3</w:t>
            </w:r>
          </w:p>
        </w:tc>
        <w:tc>
          <w:tcPr>
            <w:tcW w:w="1007" w:type="dxa"/>
            <w:vMerge w:val="restart"/>
            <w:shd w:val="clear" w:color="auto" w:fill="auto"/>
            <w:vAlign w:val="center"/>
          </w:tcPr>
          <w:p w14:paraId="59401C5E">
            <w:pPr>
              <w:keepNext w:val="0"/>
              <w:keepLines w:val="0"/>
              <w:pageBreakBefore w:val="0"/>
              <w:widowControl w:val="0"/>
              <w:kinsoku/>
              <w:wordWrap/>
              <w:overflowPunct/>
              <w:topLinePunct w:val="0"/>
              <w:autoSpaceDE/>
              <w:autoSpaceDN/>
              <w:bidi w:val="0"/>
              <w:adjustRightInd/>
              <w:snapToGrid/>
              <w:spacing w:before="0" w:after="0" w:line="460" w:lineRule="exact"/>
              <w:jc w:val="center"/>
              <w:textAlignment w:val="auto"/>
              <w:rPr>
                <w:rFonts w:ascii="宋体" w:hAnsi="宋体" w:cs="宋体"/>
                <w:sz w:val="24"/>
                <w:szCs w:val="24"/>
              </w:rPr>
            </w:pPr>
            <w:r>
              <w:rPr>
                <w:rFonts w:ascii="宋体" w:hAnsi="宋体" w:cs="宋体"/>
                <w:sz w:val="24"/>
                <w:szCs w:val="24"/>
              </w:rPr>
              <w:t>响应性评审标准</w:t>
            </w:r>
          </w:p>
        </w:tc>
        <w:tc>
          <w:tcPr>
            <w:tcW w:w="2167" w:type="dxa"/>
            <w:shd w:val="clear" w:color="auto" w:fill="auto"/>
            <w:vAlign w:val="center"/>
          </w:tcPr>
          <w:p w14:paraId="435CBD90">
            <w:pPr>
              <w:keepNext w:val="0"/>
              <w:keepLines w:val="0"/>
              <w:pageBreakBefore w:val="0"/>
              <w:widowControl w:val="0"/>
              <w:kinsoku/>
              <w:wordWrap/>
              <w:overflowPunct/>
              <w:topLinePunct w:val="0"/>
              <w:autoSpaceDE/>
              <w:autoSpaceDN/>
              <w:bidi w:val="0"/>
              <w:adjustRightInd/>
              <w:snapToGrid/>
              <w:spacing w:before="0" w:after="0" w:line="420" w:lineRule="exact"/>
              <w:jc w:val="center"/>
              <w:textAlignment w:val="auto"/>
              <w:rPr>
                <w:rFonts w:hint="eastAsia" w:ascii="宋体" w:hAnsi="宋体" w:cs="宋体"/>
                <w:sz w:val="24"/>
                <w:szCs w:val="24"/>
              </w:rPr>
            </w:pPr>
            <w:r>
              <w:rPr>
                <w:rFonts w:hint="eastAsia" w:ascii="宋体" w:hAnsi="宋体" w:cs="宋体"/>
                <w:sz w:val="24"/>
                <w:szCs w:val="24"/>
              </w:rPr>
              <w:t>工期（交货期）</w:t>
            </w:r>
          </w:p>
        </w:tc>
        <w:tc>
          <w:tcPr>
            <w:tcW w:w="5579" w:type="dxa"/>
            <w:shd w:val="clear" w:color="auto" w:fill="auto"/>
            <w:vAlign w:val="center"/>
          </w:tcPr>
          <w:p w14:paraId="07378273">
            <w:pPr>
              <w:keepNext w:val="0"/>
              <w:keepLines w:val="0"/>
              <w:pageBreakBefore w:val="0"/>
              <w:widowControl w:val="0"/>
              <w:kinsoku/>
              <w:wordWrap/>
              <w:overflowPunct/>
              <w:topLinePunct w:val="0"/>
              <w:autoSpaceDE/>
              <w:autoSpaceDN/>
              <w:bidi w:val="0"/>
              <w:adjustRightInd/>
              <w:snapToGrid/>
              <w:spacing w:before="0" w:after="0" w:line="420" w:lineRule="exact"/>
              <w:textAlignment w:val="auto"/>
              <w:rPr>
                <w:rFonts w:hint="eastAsia" w:ascii="宋体" w:hAnsi="宋体" w:eastAsia="宋体" w:cs="宋体"/>
                <w:sz w:val="24"/>
                <w:szCs w:val="24"/>
                <w:lang w:eastAsia="zh-CN"/>
              </w:rPr>
            </w:pPr>
            <w:r>
              <w:rPr>
                <w:rFonts w:hint="eastAsia" w:ascii="宋体" w:hAnsi="宋体" w:cs="宋体"/>
                <w:sz w:val="24"/>
                <w:szCs w:val="24"/>
                <w:lang w:val="en-US" w:eastAsia="zh-CN"/>
              </w:rPr>
              <w:t>45</w:t>
            </w:r>
            <w:r>
              <w:rPr>
                <w:rFonts w:hint="eastAsia" w:ascii="宋体" w:hAnsi="宋体" w:cs="宋体"/>
                <w:sz w:val="24"/>
                <w:szCs w:val="24"/>
              </w:rPr>
              <w:t>日历天</w:t>
            </w:r>
            <w:r>
              <w:rPr>
                <w:rFonts w:hint="eastAsia" w:ascii="宋体" w:hAnsi="宋体" w:cs="宋体"/>
                <w:sz w:val="24"/>
                <w:szCs w:val="24"/>
                <w:lang w:eastAsia="zh-CN"/>
              </w:rPr>
              <w:t>，</w:t>
            </w:r>
            <w:r>
              <w:rPr>
                <w:rFonts w:hint="eastAsia" w:ascii="宋体" w:hAnsi="宋体" w:cs="宋体"/>
                <w:sz w:val="24"/>
                <w:szCs w:val="24"/>
              </w:rPr>
              <w:t>符合第二章“投标人须知前附表”第1.3.2项规定</w:t>
            </w:r>
            <w:r>
              <w:rPr>
                <w:rFonts w:hint="eastAsia" w:ascii="宋体" w:hAnsi="宋体" w:cs="宋体"/>
                <w:sz w:val="24"/>
                <w:szCs w:val="24"/>
                <w:lang w:eastAsia="zh-CN"/>
              </w:rPr>
              <w:t>。</w:t>
            </w:r>
          </w:p>
        </w:tc>
      </w:tr>
      <w:tr w14:paraId="27A71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jc w:val="center"/>
        </w:trPr>
        <w:tc>
          <w:tcPr>
            <w:tcW w:w="838" w:type="dxa"/>
            <w:vMerge w:val="continue"/>
            <w:shd w:val="clear" w:color="auto" w:fill="auto"/>
            <w:vAlign w:val="center"/>
          </w:tcPr>
          <w:p w14:paraId="36E7A8FB">
            <w:pPr>
              <w:keepNext w:val="0"/>
              <w:keepLines w:val="0"/>
              <w:pageBreakBefore w:val="0"/>
              <w:widowControl w:val="0"/>
              <w:kinsoku/>
              <w:wordWrap/>
              <w:overflowPunct/>
              <w:topLinePunct w:val="0"/>
              <w:autoSpaceDE/>
              <w:autoSpaceDN/>
              <w:bidi w:val="0"/>
              <w:adjustRightInd/>
              <w:snapToGrid/>
              <w:spacing w:before="0" w:after="0" w:line="460" w:lineRule="exact"/>
              <w:jc w:val="center"/>
              <w:textAlignment w:val="auto"/>
              <w:rPr>
                <w:rFonts w:ascii="宋体" w:hAnsi="宋体" w:cs="宋体"/>
                <w:sz w:val="24"/>
                <w:szCs w:val="24"/>
              </w:rPr>
            </w:pPr>
          </w:p>
        </w:tc>
        <w:tc>
          <w:tcPr>
            <w:tcW w:w="1007" w:type="dxa"/>
            <w:vMerge w:val="continue"/>
            <w:shd w:val="clear" w:color="auto" w:fill="auto"/>
            <w:vAlign w:val="center"/>
          </w:tcPr>
          <w:p w14:paraId="43D983AB">
            <w:pPr>
              <w:keepNext w:val="0"/>
              <w:keepLines w:val="0"/>
              <w:pageBreakBefore w:val="0"/>
              <w:widowControl w:val="0"/>
              <w:kinsoku/>
              <w:wordWrap/>
              <w:overflowPunct/>
              <w:topLinePunct w:val="0"/>
              <w:autoSpaceDE/>
              <w:autoSpaceDN/>
              <w:bidi w:val="0"/>
              <w:adjustRightInd/>
              <w:snapToGrid/>
              <w:spacing w:before="0" w:after="0" w:line="460" w:lineRule="exact"/>
              <w:jc w:val="center"/>
              <w:textAlignment w:val="auto"/>
              <w:rPr>
                <w:rFonts w:ascii="宋体" w:hAnsi="宋体" w:cs="宋体"/>
                <w:sz w:val="24"/>
                <w:szCs w:val="24"/>
              </w:rPr>
            </w:pPr>
          </w:p>
        </w:tc>
        <w:tc>
          <w:tcPr>
            <w:tcW w:w="2167" w:type="dxa"/>
            <w:shd w:val="clear" w:color="auto" w:fill="auto"/>
            <w:vAlign w:val="center"/>
          </w:tcPr>
          <w:p w14:paraId="08C66B38">
            <w:pPr>
              <w:keepNext w:val="0"/>
              <w:keepLines w:val="0"/>
              <w:pageBreakBefore w:val="0"/>
              <w:widowControl w:val="0"/>
              <w:kinsoku/>
              <w:wordWrap/>
              <w:overflowPunct/>
              <w:topLinePunct w:val="0"/>
              <w:autoSpaceDE/>
              <w:autoSpaceDN/>
              <w:bidi w:val="0"/>
              <w:adjustRightInd/>
              <w:snapToGrid/>
              <w:spacing w:before="0" w:after="0" w:line="420" w:lineRule="exact"/>
              <w:jc w:val="center"/>
              <w:textAlignment w:val="auto"/>
              <w:rPr>
                <w:rFonts w:hint="eastAsia" w:ascii="宋体" w:hAnsi="宋体" w:cs="宋体"/>
                <w:sz w:val="24"/>
                <w:szCs w:val="24"/>
              </w:rPr>
            </w:pPr>
            <w:r>
              <w:rPr>
                <w:rFonts w:hint="eastAsia" w:ascii="宋体" w:hAnsi="宋体" w:cs="宋体"/>
                <w:sz w:val="24"/>
                <w:szCs w:val="24"/>
              </w:rPr>
              <w:t>工程</w:t>
            </w:r>
            <w:r>
              <w:rPr>
                <w:rFonts w:hint="eastAsia" w:ascii="宋体" w:hAnsi="宋体" w:cs="宋体"/>
                <w:sz w:val="24"/>
                <w:szCs w:val="24"/>
                <w:lang w:eastAsia="zh-CN"/>
              </w:rPr>
              <w:t>（</w:t>
            </w:r>
            <w:r>
              <w:rPr>
                <w:rFonts w:hint="eastAsia" w:ascii="宋体" w:hAnsi="宋体" w:cs="宋体"/>
                <w:sz w:val="24"/>
                <w:szCs w:val="24"/>
                <w:lang w:val="en-US" w:eastAsia="zh-CN"/>
              </w:rPr>
              <w:t>货物）</w:t>
            </w:r>
            <w:r>
              <w:rPr>
                <w:rFonts w:hint="eastAsia" w:ascii="宋体" w:hAnsi="宋体" w:cs="宋体"/>
                <w:sz w:val="24"/>
                <w:szCs w:val="24"/>
              </w:rPr>
              <w:t>质量</w:t>
            </w:r>
          </w:p>
        </w:tc>
        <w:tc>
          <w:tcPr>
            <w:tcW w:w="5579" w:type="dxa"/>
            <w:shd w:val="clear" w:color="auto" w:fill="auto"/>
            <w:vAlign w:val="center"/>
          </w:tcPr>
          <w:p w14:paraId="5F461BD2">
            <w:pPr>
              <w:keepNext w:val="0"/>
              <w:keepLines w:val="0"/>
              <w:pageBreakBefore w:val="0"/>
              <w:widowControl w:val="0"/>
              <w:kinsoku/>
              <w:wordWrap/>
              <w:overflowPunct/>
              <w:topLinePunct w:val="0"/>
              <w:autoSpaceDE/>
              <w:autoSpaceDN/>
              <w:bidi w:val="0"/>
              <w:adjustRightInd/>
              <w:snapToGrid/>
              <w:spacing w:before="0" w:after="0" w:line="420" w:lineRule="exact"/>
              <w:textAlignment w:val="auto"/>
              <w:rPr>
                <w:rFonts w:hint="eastAsia" w:ascii="宋体" w:hAnsi="宋体" w:eastAsia="宋体" w:cs="宋体"/>
                <w:sz w:val="24"/>
                <w:szCs w:val="24"/>
                <w:lang w:eastAsia="zh-CN"/>
              </w:rPr>
            </w:pPr>
            <w:r>
              <w:rPr>
                <w:rFonts w:hint="eastAsia" w:ascii="宋体" w:hAnsi="宋体" w:cs="宋体"/>
                <w:sz w:val="24"/>
                <w:szCs w:val="24"/>
              </w:rPr>
              <w:t>合格或以上</w:t>
            </w:r>
            <w:r>
              <w:rPr>
                <w:rFonts w:hint="eastAsia" w:ascii="宋体" w:hAnsi="宋体" w:cs="宋体"/>
                <w:sz w:val="24"/>
                <w:szCs w:val="24"/>
                <w:lang w:eastAsia="zh-CN"/>
              </w:rPr>
              <w:t>，</w:t>
            </w:r>
            <w:r>
              <w:rPr>
                <w:rFonts w:hint="eastAsia" w:ascii="宋体" w:hAnsi="宋体" w:cs="宋体"/>
                <w:sz w:val="24"/>
                <w:szCs w:val="24"/>
              </w:rPr>
              <w:t>符合第二章“投标人须知前附表”第1.3.</w:t>
            </w:r>
            <w:r>
              <w:rPr>
                <w:rFonts w:hint="eastAsia" w:ascii="宋体" w:hAnsi="宋体" w:cs="宋体"/>
                <w:sz w:val="24"/>
                <w:szCs w:val="24"/>
                <w:lang w:val="en-US" w:eastAsia="zh-CN"/>
              </w:rPr>
              <w:t>3</w:t>
            </w:r>
            <w:r>
              <w:rPr>
                <w:rFonts w:hint="eastAsia" w:ascii="宋体" w:hAnsi="宋体" w:cs="宋体"/>
                <w:sz w:val="24"/>
                <w:szCs w:val="24"/>
              </w:rPr>
              <w:t>项规定</w:t>
            </w:r>
            <w:r>
              <w:rPr>
                <w:rFonts w:hint="eastAsia" w:ascii="宋体" w:hAnsi="宋体" w:cs="宋体"/>
                <w:sz w:val="24"/>
                <w:szCs w:val="24"/>
                <w:lang w:eastAsia="zh-CN"/>
              </w:rPr>
              <w:t>。</w:t>
            </w:r>
          </w:p>
        </w:tc>
      </w:tr>
      <w:tr w14:paraId="57E44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vMerge w:val="continue"/>
            <w:shd w:val="clear" w:color="auto" w:fill="auto"/>
            <w:vAlign w:val="center"/>
          </w:tcPr>
          <w:p w14:paraId="77A168B1">
            <w:pPr>
              <w:keepNext w:val="0"/>
              <w:keepLines w:val="0"/>
              <w:pageBreakBefore w:val="0"/>
              <w:widowControl w:val="0"/>
              <w:kinsoku/>
              <w:wordWrap/>
              <w:overflowPunct/>
              <w:topLinePunct w:val="0"/>
              <w:autoSpaceDE/>
              <w:autoSpaceDN/>
              <w:bidi w:val="0"/>
              <w:adjustRightInd/>
              <w:snapToGrid/>
              <w:spacing w:before="0" w:after="0" w:line="460" w:lineRule="exact"/>
              <w:textAlignment w:val="auto"/>
              <w:rPr>
                <w:sz w:val="24"/>
                <w:szCs w:val="24"/>
              </w:rPr>
            </w:pPr>
          </w:p>
        </w:tc>
        <w:tc>
          <w:tcPr>
            <w:tcW w:w="1007" w:type="dxa"/>
            <w:vMerge w:val="continue"/>
            <w:shd w:val="clear" w:color="auto" w:fill="auto"/>
            <w:vAlign w:val="center"/>
          </w:tcPr>
          <w:p w14:paraId="5FEDDDF1">
            <w:pPr>
              <w:keepNext w:val="0"/>
              <w:keepLines w:val="0"/>
              <w:pageBreakBefore w:val="0"/>
              <w:widowControl w:val="0"/>
              <w:kinsoku/>
              <w:wordWrap/>
              <w:overflowPunct/>
              <w:topLinePunct w:val="0"/>
              <w:autoSpaceDE/>
              <w:autoSpaceDN/>
              <w:bidi w:val="0"/>
              <w:adjustRightInd/>
              <w:snapToGrid/>
              <w:spacing w:before="0" w:after="0" w:line="460" w:lineRule="exact"/>
              <w:textAlignment w:val="auto"/>
              <w:rPr>
                <w:sz w:val="24"/>
                <w:szCs w:val="24"/>
              </w:rPr>
            </w:pPr>
          </w:p>
        </w:tc>
        <w:tc>
          <w:tcPr>
            <w:tcW w:w="2167" w:type="dxa"/>
            <w:shd w:val="clear" w:color="auto" w:fill="auto"/>
            <w:vAlign w:val="center"/>
          </w:tcPr>
          <w:p w14:paraId="08C27B69">
            <w:pPr>
              <w:keepNext w:val="0"/>
              <w:keepLines w:val="0"/>
              <w:pageBreakBefore w:val="0"/>
              <w:widowControl w:val="0"/>
              <w:kinsoku/>
              <w:wordWrap/>
              <w:overflowPunct/>
              <w:topLinePunct w:val="0"/>
              <w:autoSpaceDE/>
              <w:autoSpaceDN/>
              <w:bidi w:val="0"/>
              <w:adjustRightInd/>
              <w:snapToGrid/>
              <w:spacing w:before="0" w:after="0" w:line="420" w:lineRule="exact"/>
              <w:jc w:val="center"/>
              <w:textAlignment w:val="auto"/>
              <w:rPr>
                <w:rFonts w:ascii="宋体" w:hAnsi="宋体" w:cs="宋体"/>
                <w:sz w:val="24"/>
                <w:szCs w:val="24"/>
              </w:rPr>
            </w:pPr>
            <w:r>
              <w:rPr>
                <w:rFonts w:ascii="宋体" w:hAnsi="宋体" w:cs="宋体"/>
                <w:sz w:val="24"/>
                <w:szCs w:val="24"/>
              </w:rPr>
              <w:t>投标有效期</w:t>
            </w:r>
          </w:p>
        </w:tc>
        <w:tc>
          <w:tcPr>
            <w:tcW w:w="5579" w:type="dxa"/>
            <w:shd w:val="clear" w:color="auto" w:fill="auto"/>
            <w:vAlign w:val="center"/>
          </w:tcPr>
          <w:p w14:paraId="070B856A">
            <w:pPr>
              <w:keepNext w:val="0"/>
              <w:keepLines w:val="0"/>
              <w:pageBreakBefore w:val="0"/>
              <w:widowControl w:val="0"/>
              <w:kinsoku/>
              <w:wordWrap/>
              <w:overflowPunct/>
              <w:topLinePunct w:val="0"/>
              <w:autoSpaceDE/>
              <w:autoSpaceDN/>
              <w:bidi w:val="0"/>
              <w:adjustRightInd/>
              <w:snapToGrid/>
              <w:spacing w:before="0" w:after="0" w:line="420" w:lineRule="exact"/>
              <w:textAlignment w:val="auto"/>
              <w:rPr>
                <w:rFonts w:hint="eastAsia" w:ascii="宋体" w:hAnsi="宋体" w:eastAsia="宋体" w:cs="宋体"/>
                <w:sz w:val="24"/>
                <w:szCs w:val="24"/>
                <w:lang w:eastAsia="zh-CN"/>
              </w:rPr>
            </w:pPr>
            <w:r>
              <w:rPr>
                <w:rFonts w:hint="eastAsia" w:ascii="宋体" w:hAnsi="宋体" w:cs="宋体"/>
                <w:sz w:val="24"/>
                <w:szCs w:val="24"/>
              </w:rPr>
              <w:t>90日历天</w:t>
            </w:r>
            <w:r>
              <w:rPr>
                <w:rFonts w:hint="eastAsia" w:ascii="宋体" w:hAnsi="宋体" w:cs="宋体"/>
                <w:sz w:val="24"/>
                <w:szCs w:val="24"/>
                <w:lang w:eastAsia="zh-CN"/>
              </w:rPr>
              <w:t>，</w:t>
            </w:r>
            <w:r>
              <w:rPr>
                <w:rFonts w:hint="eastAsia" w:ascii="宋体" w:hAnsi="宋体" w:cs="宋体"/>
                <w:sz w:val="24"/>
                <w:szCs w:val="24"/>
              </w:rPr>
              <w:t>符合第二章“投标人须知前附表”第</w:t>
            </w:r>
            <w:r>
              <w:rPr>
                <w:rFonts w:hint="eastAsia" w:ascii="宋体" w:hAnsi="宋体" w:cs="宋体"/>
                <w:sz w:val="24"/>
                <w:szCs w:val="24"/>
                <w:lang w:val="en-US" w:eastAsia="zh-CN"/>
              </w:rPr>
              <w:t>3.3.1</w:t>
            </w:r>
            <w:r>
              <w:rPr>
                <w:rFonts w:hint="eastAsia" w:ascii="宋体" w:hAnsi="宋体" w:cs="宋体"/>
                <w:sz w:val="24"/>
                <w:szCs w:val="24"/>
              </w:rPr>
              <w:t>项规定</w:t>
            </w:r>
            <w:r>
              <w:rPr>
                <w:rFonts w:hint="eastAsia" w:ascii="宋体" w:hAnsi="宋体" w:cs="宋体"/>
                <w:sz w:val="24"/>
                <w:szCs w:val="24"/>
                <w:lang w:eastAsia="zh-CN"/>
              </w:rPr>
              <w:t>。</w:t>
            </w:r>
          </w:p>
        </w:tc>
      </w:tr>
      <w:tr w14:paraId="2C1A1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jc w:val="center"/>
        </w:trPr>
        <w:tc>
          <w:tcPr>
            <w:tcW w:w="838" w:type="dxa"/>
            <w:vMerge w:val="continue"/>
            <w:shd w:val="clear" w:color="auto" w:fill="auto"/>
            <w:vAlign w:val="center"/>
          </w:tcPr>
          <w:p w14:paraId="52A4DE55">
            <w:pPr>
              <w:keepNext w:val="0"/>
              <w:keepLines w:val="0"/>
              <w:pageBreakBefore w:val="0"/>
              <w:widowControl w:val="0"/>
              <w:kinsoku/>
              <w:wordWrap/>
              <w:overflowPunct/>
              <w:topLinePunct w:val="0"/>
              <w:autoSpaceDE/>
              <w:autoSpaceDN/>
              <w:bidi w:val="0"/>
              <w:adjustRightInd/>
              <w:snapToGrid/>
              <w:spacing w:before="0" w:after="0" w:line="460" w:lineRule="exact"/>
              <w:textAlignment w:val="auto"/>
              <w:rPr>
                <w:sz w:val="24"/>
                <w:szCs w:val="24"/>
              </w:rPr>
            </w:pPr>
          </w:p>
        </w:tc>
        <w:tc>
          <w:tcPr>
            <w:tcW w:w="1007" w:type="dxa"/>
            <w:vMerge w:val="continue"/>
            <w:shd w:val="clear" w:color="auto" w:fill="auto"/>
            <w:vAlign w:val="center"/>
          </w:tcPr>
          <w:p w14:paraId="352A802A">
            <w:pPr>
              <w:keepNext w:val="0"/>
              <w:keepLines w:val="0"/>
              <w:pageBreakBefore w:val="0"/>
              <w:widowControl w:val="0"/>
              <w:kinsoku/>
              <w:wordWrap/>
              <w:overflowPunct/>
              <w:topLinePunct w:val="0"/>
              <w:autoSpaceDE/>
              <w:autoSpaceDN/>
              <w:bidi w:val="0"/>
              <w:adjustRightInd/>
              <w:snapToGrid/>
              <w:spacing w:before="0" w:after="0" w:line="460" w:lineRule="exact"/>
              <w:textAlignment w:val="auto"/>
              <w:rPr>
                <w:sz w:val="24"/>
                <w:szCs w:val="24"/>
              </w:rPr>
            </w:pPr>
          </w:p>
        </w:tc>
        <w:tc>
          <w:tcPr>
            <w:tcW w:w="2167" w:type="dxa"/>
            <w:shd w:val="clear" w:color="auto" w:fill="auto"/>
            <w:vAlign w:val="center"/>
          </w:tcPr>
          <w:p w14:paraId="3DBC8C78">
            <w:pPr>
              <w:keepNext w:val="0"/>
              <w:keepLines w:val="0"/>
              <w:pageBreakBefore w:val="0"/>
              <w:widowControl w:val="0"/>
              <w:kinsoku/>
              <w:wordWrap/>
              <w:overflowPunct/>
              <w:topLinePunct w:val="0"/>
              <w:autoSpaceDE/>
              <w:autoSpaceDN/>
              <w:bidi w:val="0"/>
              <w:adjustRightInd/>
              <w:snapToGrid/>
              <w:spacing w:before="0" w:after="0" w:line="420" w:lineRule="exact"/>
              <w:jc w:val="center"/>
              <w:textAlignment w:val="auto"/>
              <w:rPr>
                <w:rFonts w:ascii="宋体" w:hAnsi="宋体" w:cs="宋体"/>
                <w:sz w:val="24"/>
                <w:szCs w:val="24"/>
              </w:rPr>
            </w:pPr>
            <w:r>
              <w:rPr>
                <w:rFonts w:hint="eastAsia" w:ascii="宋体" w:hAnsi="宋体" w:cs="宋体"/>
                <w:sz w:val="24"/>
                <w:szCs w:val="24"/>
              </w:rPr>
              <w:t>投标保证金</w:t>
            </w:r>
          </w:p>
        </w:tc>
        <w:tc>
          <w:tcPr>
            <w:tcW w:w="5579" w:type="dxa"/>
            <w:shd w:val="clear" w:color="auto" w:fill="auto"/>
            <w:vAlign w:val="center"/>
          </w:tcPr>
          <w:p w14:paraId="03F6DC6A">
            <w:pPr>
              <w:keepNext w:val="0"/>
              <w:keepLines w:val="0"/>
              <w:pageBreakBefore w:val="0"/>
              <w:widowControl w:val="0"/>
              <w:kinsoku/>
              <w:wordWrap/>
              <w:overflowPunct/>
              <w:topLinePunct w:val="0"/>
              <w:autoSpaceDE/>
              <w:autoSpaceDN/>
              <w:bidi w:val="0"/>
              <w:adjustRightInd/>
              <w:snapToGrid/>
              <w:spacing w:before="0" w:after="0" w:line="420" w:lineRule="exact"/>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10.00</w:t>
            </w:r>
            <w:r>
              <w:rPr>
                <w:rFonts w:hint="eastAsia" w:ascii="宋体" w:hAnsi="宋体" w:cs="宋体"/>
                <w:sz w:val="24"/>
                <w:szCs w:val="24"/>
              </w:rPr>
              <w:t>万元</w:t>
            </w:r>
            <w:r>
              <w:rPr>
                <w:rFonts w:hint="eastAsia" w:ascii="宋体" w:hAnsi="宋体" w:cs="宋体"/>
                <w:sz w:val="24"/>
                <w:szCs w:val="24"/>
                <w:lang w:eastAsia="zh-CN"/>
              </w:rPr>
              <w:t>，</w:t>
            </w:r>
            <w:r>
              <w:rPr>
                <w:rFonts w:ascii="宋体" w:hAnsi="宋体" w:cs="宋体"/>
                <w:sz w:val="24"/>
                <w:szCs w:val="24"/>
              </w:rPr>
              <w:t>符合第二章“</w:t>
            </w:r>
            <w:r>
              <w:rPr>
                <w:rFonts w:hint="eastAsia" w:ascii="宋体" w:hAnsi="宋体" w:cs="宋体"/>
                <w:sz w:val="24"/>
                <w:szCs w:val="24"/>
              </w:rPr>
              <w:t>投标人须知前附表</w:t>
            </w:r>
            <w:r>
              <w:rPr>
                <w:rFonts w:ascii="宋体" w:hAnsi="宋体" w:cs="宋体"/>
                <w:sz w:val="24"/>
                <w:szCs w:val="24"/>
              </w:rPr>
              <w:t>”第3.</w:t>
            </w:r>
            <w:r>
              <w:rPr>
                <w:rFonts w:hint="eastAsia" w:ascii="宋体" w:hAnsi="宋体" w:cs="宋体"/>
                <w:sz w:val="24"/>
                <w:szCs w:val="24"/>
                <w:lang w:val="en-US" w:eastAsia="zh-CN"/>
              </w:rPr>
              <w:t>4.1</w:t>
            </w:r>
            <w:r>
              <w:rPr>
                <w:rFonts w:ascii="宋体" w:hAnsi="宋体" w:cs="宋体"/>
                <w:sz w:val="24"/>
                <w:szCs w:val="24"/>
              </w:rPr>
              <w:t>项规定</w:t>
            </w:r>
            <w:r>
              <w:rPr>
                <w:rFonts w:hint="eastAsia" w:ascii="宋体" w:hAnsi="宋体" w:cs="宋体"/>
                <w:sz w:val="24"/>
                <w:szCs w:val="24"/>
                <w:lang w:eastAsia="zh-CN"/>
              </w:rPr>
              <w:t>。</w:t>
            </w:r>
          </w:p>
        </w:tc>
      </w:tr>
      <w:tr w14:paraId="4D1DB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jc w:val="center"/>
        </w:trPr>
        <w:tc>
          <w:tcPr>
            <w:tcW w:w="838" w:type="dxa"/>
            <w:vMerge w:val="continue"/>
            <w:shd w:val="clear" w:color="auto" w:fill="auto"/>
            <w:vAlign w:val="center"/>
          </w:tcPr>
          <w:p w14:paraId="656542AB">
            <w:pPr>
              <w:keepNext w:val="0"/>
              <w:keepLines w:val="0"/>
              <w:pageBreakBefore w:val="0"/>
              <w:widowControl w:val="0"/>
              <w:kinsoku/>
              <w:wordWrap/>
              <w:overflowPunct/>
              <w:topLinePunct w:val="0"/>
              <w:autoSpaceDE/>
              <w:autoSpaceDN/>
              <w:bidi w:val="0"/>
              <w:adjustRightInd/>
              <w:snapToGrid/>
              <w:spacing w:before="0" w:after="0" w:line="460" w:lineRule="exact"/>
              <w:textAlignment w:val="auto"/>
              <w:rPr>
                <w:sz w:val="24"/>
                <w:szCs w:val="24"/>
              </w:rPr>
            </w:pPr>
          </w:p>
        </w:tc>
        <w:tc>
          <w:tcPr>
            <w:tcW w:w="1007" w:type="dxa"/>
            <w:vMerge w:val="continue"/>
            <w:shd w:val="clear" w:color="auto" w:fill="auto"/>
            <w:vAlign w:val="center"/>
          </w:tcPr>
          <w:p w14:paraId="2691BA5D">
            <w:pPr>
              <w:keepNext w:val="0"/>
              <w:keepLines w:val="0"/>
              <w:pageBreakBefore w:val="0"/>
              <w:widowControl w:val="0"/>
              <w:kinsoku/>
              <w:wordWrap/>
              <w:overflowPunct/>
              <w:topLinePunct w:val="0"/>
              <w:autoSpaceDE/>
              <w:autoSpaceDN/>
              <w:bidi w:val="0"/>
              <w:adjustRightInd/>
              <w:snapToGrid/>
              <w:spacing w:before="0" w:after="0" w:line="460" w:lineRule="exact"/>
              <w:textAlignment w:val="auto"/>
              <w:rPr>
                <w:sz w:val="24"/>
                <w:szCs w:val="24"/>
              </w:rPr>
            </w:pPr>
          </w:p>
        </w:tc>
        <w:tc>
          <w:tcPr>
            <w:tcW w:w="2167" w:type="dxa"/>
            <w:shd w:val="clear" w:color="auto" w:fill="auto"/>
            <w:vAlign w:val="center"/>
          </w:tcPr>
          <w:p w14:paraId="4540DE5D">
            <w:pPr>
              <w:keepNext w:val="0"/>
              <w:keepLines w:val="0"/>
              <w:pageBreakBefore w:val="0"/>
              <w:widowControl w:val="0"/>
              <w:kinsoku/>
              <w:wordWrap/>
              <w:overflowPunct/>
              <w:topLinePunct w:val="0"/>
              <w:autoSpaceDE/>
              <w:autoSpaceDN/>
              <w:bidi w:val="0"/>
              <w:adjustRightInd/>
              <w:snapToGrid/>
              <w:spacing w:before="0" w:after="0" w:line="4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已标价工程量清单</w:t>
            </w:r>
          </w:p>
        </w:tc>
        <w:tc>
          <w:tcPr>
            <w:tcW w:w="5579" w:type="dxa"/>
            <w:shd w:val="clear" w:color="auto" w:fill="auto"/>
            <w:vAlign w:val="center"/>
          </w:tcPr>
          <w:p w14:paraId="444C9F51">
            <w:pPr>
              <w:keepNext w:val="0"/>
              <w:keepLines w:val="0"/>
              <w:pageBreakBefore w:val="0"/>
              <w:widowControl w:val="0"/>
              <w:kinsoku/>
              <w:wordWrap/>
              <w:overflowPunct/>
              <w:topLinePunct w:val="0"/>
              <w:autoSpaceDE/>
              <w:autoSpaceDN/>
              <w:bidi w:val="0"/>
              <w:adjustRightInd/>
              <w:snapToGrid/>
              <w:spacing w:before="0" w:after="0" w:line="420" w:lineRule="exact"/>
              <w:textAlignment w:val="auto"/>
              <w:rPr>
                <w:rFonts w:hint="eastAsia" w:ascii="宋体" w:hAnsi="宋体" w:eastAsia="宋体" w:cs="宋体"/>
                <w:sz w:val="24"/>
                <w:szCs w:val="24"/>
              </w:rPr>
            </w:pPr>
            <w:r>
              <w:rPr>
                <w:rFonts w:hint="eastAsia" w:ascii="宋体" w:hAnsi="宋体" w:eastAsia="宋体" w:cs="宋体"/>
                <w:sz w:val="24"/>
                <w:szCs w:val="24"/>
              </w:rPr>
              <w:t>符合第</w:t>
            </w:r>
            <w:r>
              <w:rPr>
                <w:rFonts w:hint="eastAsia" w:ascii="宋体" w:hAnsi="宋体" w:cs="宋体"/>
                <w:sz w:val="24"/>
                <w:szCs w:val="24"/>
                <w:lang w:val="en-US" w:eastAsia="zh-CN"/>
              </w:rPr>
              <w:t>六</w:t>
            </w:r>
            <w:r>
              <w:rPr>
                <w:rFonts w:hint="eastAsia" w:ascii="宋体" w:hAnsi="宋体" w:eastAsia="宋体" w:cs="宋体"/>
                <w:sz w:val="24"/>
                <w:szCs w:val="24"/>
              </w:rPr>
              <w:t>章“工程量清单”给出的范围及数量。</w:t>
            </w:r>
          </w:p>
        </w:tc>
      </w:tr>
      <w:tr w14:paraId="06ACA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838" w:type="dxa"/>
            <w:vMerge w:val="continue"/>
            <w:shd w:val="clear" w:color="auto" w:fill="auto"/>
            <w:vAlign w:val="center"/>
          </w:tcPr>
          <w:p w14:paraId="08000457">
            <w:pPr>
              <w:keepNext w:val="0"/>
              <w:keepLines w:val="0"/>
              <w:pageBreakBefore w:val="0"/>
              <w:widowControl w:val="0"/>
              <w:kinsoku/>
              <w:wordWrap/>
              <w:overflowPunct/>
              <w:topLinePunct w:val="0"/>
              <w:autoSpaceDE/>
              <w:autoSpaceDN/>
              <w:bidi w:val="0"/>
              <w:adjustRightInd/>
              <w:snapToGrid/>
              <w:spacing w:before="0" w:after="0" w:line="460" w:lineRule="exact"/>
              <w:textAlignment w:val="auto"/>
              <w:rPr>
                <w:sz w:val="24"/>
                <w:szCs w:val="24"/>
              </w:rPr>
            </w:pPr>
          </w:p>
        </w:tc>
        <w:tc>
          <w:tcPr>
            <w:tcW w:w="1007" w:type="dxa"/>
            <w:vMerge w:val="continue"/>
            <w:shd w:val="clear" w:color="auto" w:fill="auto"/>
            <w:vAlign w:val="center"/>
          </w:tcPr>
          <w:p w14:paraId="03CFAD32">
            <w:pPr>
              <w:keepNext w:val="0"/>
              <w:keepLines w:val="0"/>
              <w:pageBreakBefore w:val="0"/>
              <w:widowControl w:val="0"/>
              <w:kinsoku/>
              <w:wordWrap/>
              <w:overflowPunct/>
              <w:topLinePunct w:val="0"/>
              <w:autoSpaceDE/>
              <w:autoSpaceDN/>
              <w:bidi w:val="0"/>
              <w:adjustRightInd/>
              <w:snapToGrid/>
              <w:spacing w:before="0" w:after="0" w:line="460" w:lineRule="exact"/>
              <w:textAlignment w:val="auto"/>
              <w:rPr>
                <w:sz w:val="24"/>
                <w:szCs w:val="24"/>
              </w:rPr>
            </w:pPr>
          </w:p>
        </w:tc>
        <w:tc>
          <w:tcPr>
            <w:tcW w:w="2167" w:type="dxa"/>
            <w:shd w:val="clear" w:color="auto" w:fill="auto"/>
            <w:vAlign w:val="center"/>
          </w:tcPr>
          <w:p w14:paraId="00AF2370">
            <w:pPr>
              <w:keepNext w:val="0"/>
              <w:keepLines w:val="0"/>
              <w:pageBreakBefore w:val="0"/>
              <w:widowControl w:val="0"/>
              <w:kinsoku/>
              <w:wordWrap/>
              <w:overflowPunct/>
              <w:topLinePunct w:val="0"/>
              <w:autoSpaceDE/>
              <w:autoSpaceDN/>
              <w:bidi w:val="0"/>
              <w:adjustRightInd/>
              <w:snapToGrid/>
              <w:spacing w:before="0" w:after="0" w:line="420" w:lineRule="exact"/>
              <w:jc w:val="center"/>
              <w:textAlignment w:val="auto"/>
              <w:rPr>
                <w:rFonts w:hint="eastAsia" w:ascii="宋体" w:hAnsi="宋体" w:cs="宋体"/>
                <w:sz w:val="24"/>
                <w:szCs w:val="24"/>
              </w:rPr>
            </w:pPr>
            <w:r>
              <w:rPr>
                <w:rFonts w:hint="eastAsia" w:ascii="宋体" w:hAnsi="宋体" w:cs="宋体"/>
                <w:sz w:val="24"/>
                <w:szCs w:val="24"/>
              </w:rPr>
              <w:t>其他</w:t>
            </w:r>
          </w:p>
        </w:tc>
        <w:tc>
          <w:tcPr>
            <w:tcW w:w="5579" w:type="dxa"/>
            <w:shd w:val="clear" w:color="auto" w:fill="auto"/>
            <w:vAlign w:val="center"/>
          </w:tcPr>
          <w:p w14:paraId="1C3693FA">
            <w:pPr>
              <w:keepNext w:val="0"/>
              <w:keepLines w:val="0"/>
              <w:pageBreakBefore w:val="0"/>
              <w:widowControl w:val="0"/>
              <w:kinsoku/>
              <w:wordWrap/>
              <w:overflowPunct/>
              <w:topLinePunct w:val="0"/>
              <w:autoSpaceDE/>
              <w:autoSpaceDN/>
              <w:bidi w:val="0"/>
              <w:adjustRightInd/>
              <w:snapToGrid/>
              <w:spacing w:before="0" w:after="0" w:line="420" w:lineRule="exact"/>
              <w:textAlignment w:val="auto"/>
              <w:rPr>
                <w:rFonts w:hint="eastAsia" w:ascii="宋体" w:hAnsi="宋体" w:eastAsia="宋体" w:cs="宋体"/>
                <w:sz w:val="24"/>
                <w:szCs w:val="24"/>
                <w:lang w:eastAsia="zh-CN"/>
              </w:rPr>
            </w:pPr>
            <w:r>
              <w:rPr>
                <w:rFonts w:hint="eastAsia" w:ascii="宋体" w:hAnsi="宋体" w:cs="宋体"/>
                <w:sz w:val="24"/>
                <w:szCs w:val="24"/>
              </w:rPr>
              <w:t>符合招标文件规定的其他实质性内容</w:t>
            </w:r>
            <w:r>
              <w:rPr>
                <w:rFonts w:hint="eastAsia" w:ascii="宋体" w:hAnsi="宋体" w:cs="宋体"/>
                <w:sz w:val="24"/>
                <w:szCs w:val="24"/>
                <w:lang w:eastAsia="zh-CN"/>
              </w:rPr>
              <w:t>。</w:t>
            </w:r>
          </w:p>
        </w:tc>
      </w:tr>
      <w:tr w14:paraId="1296B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845" w:type="dxa"/>
            <w:gridSpan w:val="2"/>
            <w:shd w:val="clear" w:color="auto" w:fill="auto"/>
            <w:vAlign w:val="center"/>
          </w:tcPr>
          <w:p w14:paraId="063D6E0D">
            <w:pPr>
              <w:keepNext w:val="0"/>
              <w:keepLines w:val="0"/>
              <w:pageBreakBefore w:val="0"/>
              <w:widowControl w:val="0"/>
              <w:kinsoku/>
              <w:wordWrap/>
              <w:overflowPunct/>
              <w:topLinePunct w:val="0"/>
              <w:autoSpaceDE/>
              <w:autoSpaceDN/>
              <w:bidi w:val="0"/>
              <w:adjustRightInd/>
              <w:snapToGrid/>
              <w:spacing w:before="0" w:after="0" w:line="460" w:lineRule="exact"/>
              <w:jc w:val="center"/>
              <w:textAlignment w:val="auto"/>
              <w:rPr>
                <w:sz w:val="24"/>
                <w:szCs w:val="24"/>
              </w:rPr>
            </w:pPr>
            <w:r>
              <w:rPr>
                <w:rFonts w:hint="eastAsia" w:ascii="宋体" w:hAnsi="宋体" w:eastAsia="宋体" w:cs="宋体"/>
                <w:sz w:val="24"/>
                <w:szCs w:val="24"/>
              </w:rPr>
              <w:t>审查结论</w:t>
            </w:r>
          </w:p>
        </w:tc>
        <w:tc>
          <w:tcPr>
            <w:tcW w:w="7746" w:type="dxa"/>
            <w:gridSpan w:val="2"/>
            <w:shd w:val="clear" w:color="auto" w:fill="auto"/>
            <w:vAlign w:val="center"/>
          </w:tcPr>
          <w:p w14:paraId="1D367716">
            <w:pPr>
              <w:keepNext w:val="0"/>
              <w:keepLines w:val="0"/>
              <w:pageBreakBefore w:val="0"/>
              <w:widowControl w:val="0"/>
              <w:kinsoku/>
              <w:wordWrap/>
              <w:overflowPunct/>
              <w:topLinePunct w:val="0"/>
              <w:autoSpaceDE/>
              <w:autoSpaceDN/>
              <w:bidi w:val="0"/>
              <w:adjustRightInd/>
              <w:snapToGrid/>
              <w:spacing w:before="0" w:after="0" w:line="420" w:lineRule="exact"/>
              <w:textAlignment w:val="auto"/>
              <w:rPr>
                <w:rFonts w:hint="eastAsia" w:ascii="宋体" w:hAnsi="宋体" w:cs="宋体"/>
                <w:sz w:val="24"/>
                <w:szCs w:val="24"/>
              </w:rPr>
            </w:pPr>
            <w:r>
              <w:rPr>
                <w:rFonts w:hint="eastAsia" w:ascii="宋体" w:hAnsi="宋体" w:cs="宋体"/>
                <w:sz w:val="24"/>
                <w:szCs w:val="24"/>
              </w:rPr>
              <w:t>是否通过初步评审并进入下一阶段评审（本栏填写“通过”“不通过”）</w:t>
            </w:r>
          </w:p>
        </w:tc>
      </w:tr>
    </w:tbl>
    <w:p w14:paraId="10B3DF74">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firstLine="420" w:firstLineChars="200"/>
        <w:jc w:val="left"/>
        <w:textAlignment w:val="auto"/>
        <w:outlineLvl w:val="9"/>
        <w:rPr>
          <w:rFonts w:hint="eastAsia" w:ascii="宋体" w:hAnsi="宋体" w:cs="黑体"/>
          <w:b w:val="0"/>
          <w:bCs/>
          <w:kern w:val="0"/>
          <w:sz w:val="21"/>
          <w:szCs w:val="21"/>
        </w:rPr>
      </w:pPr>
      <w:r>
        <w:rPr>
          <w:rFonts w:hint="eastAsia" w:ascii="宋体" w:hAnsi="宋体" w:cs="黑体"/>
          <w:b w:val="0"/>
          <w:bCs/>
          <w:kern w:val="0"/>
          <w:sz w:val="21"/>
          <w:szCs w:val="21"/>
        </w:rPr>
        <w:t>备注：1、经评标委员会审核后，有一项不能满足初步评审要求的，其投标文件初步评审不获得过，作无效投标处理，不予以进入下一轮的评审。</w:t>
      </w:r>
    </w:p>
    <w:p w14:paraId="2B1D7463">
      <w:pPr>
        <w:keepNext w:val="0"/>
        <w:keepLines w:val="0"/>
        <w:pageBreakBefore w:val="0"/>
        <w:widowControl/>
        <w:numPr>
          <w:ilvl w:val="0"/>
          <w:numId w:val="2"/>
        </w:numPr>
        <w:kinsoku/>
        <w:wordWrap/>
        <w:overflowPunct/>
        <w:topLinePunct w:val="0"/>
        <w:autoSpaceDE/>
        <w:autoSpaceDN/>
        <w:bidi w:val="0"/>
        <w:adjustRightInd/>
        <w:snapToGrid/>
        <w:spacing w:beforeAutospacing="0" w:afterAutospacing="0" w:line="360" w:lineRule="auto"/>
        <w:ind w:firstLine="420" w:firstLineChars="200"/>
        <w:jc w:val="left"/>
        <w:textAlignment w:val="auto"/>
        <w:outlineLvl w:val="9"/>
        <w:rPr>
          <w:rFonts w:hint="eastAsia" w:ascii="宋体" w:hAnsi="宋体" w:cs="黑体"/>
          <w:b w:val="0"/>
          <w:bCs/>
          <w:kern w:val="0"/>
          <w:sz w:val="21"/>
          <w:szCs w:val="21"/>
        </w:rPr>
      </w:pPr>
      <w:r>
        <w:rPr>
          <w:rFonts w:hint="eastAsia" w:ascii="宋体" w:hAnsi="宋体" w:cs="黑体"/>
          <w:b w:val="0"/>
          <w:bCs/>
          <w:kern w:val="0"/>
          <w:sz w:val="21"/>
          <w:szCs w:val="21"/>
        </w:rPr>
        <w:t>若评委意见不一致时，则按少数服从多数的原则，决定该投标人是否通过初步评审。</w:t>
      </w:r>
    </w:p>
    <w:p w14:paraId="27487774">
      <w:pPr>
        <w:keepNext w:val="0"/>
        <w:keepLines w:val="0"/>
        <w:pageBreakBefore w:val="0"/>
        <w:widowControl/>
        <w:numPr>
          <w:ilvl w:val="0"/>
          <w:numId w:val="2"/>
        </w:numPr>
        <w:kinsoku/>
        <w:wordWrap/>
        <w:overflowPunct/>
        <w:topLinePunct w:val="0"/>
        <w:autoSpaceDE/>
        <w:autoSpaceDN/>
        <w:bidi w:val="0"/>
        <w:adjustRightInd/>
        <w:snapToGrid/>
        <w:spacing w:beforeAutospacing="0" w:afterAutospacing="0" w:line="360" w:lineRule="auto"/>
        <w:ind w:firstLine="420" w:firstLineChars="200"/>
        <w:jc w:val="left"/>
        <w:textAlignment w:val="auto"/>
        <w:outlineLvl w:val="9"/>
        <w:rPr>
          <w:rFonts w:hint="eastAsia" w:ascii="宋体" w:hAnsi="宋体" w:cs="黑体"/>
          <w:b w:val="0"/>
          <w:bCs/>
          <w:kern w:val="0"/>
          <w:sz w:val="21"/>
          <w:szCs w:val="21"/>
        </w:rPr>
      </w:pPr>
      <w:r>
        <w:rPr>
          <w:rFonts w:hint="eastAsia" w:ascii="宋体" w:hAnsi="宋体" w:cs="黑体"/>
          <w:b w:val="0"/>
          <w:bCs/>
          <w:kern w:val="0"/>
          <w:sz w:val="21"/>
          <w:szCs w:val="21"/>
        </w:rPr>
        <w:t>投标人必须按招标公告和本招标文件提供真实、有效的证件和资料，一经查实弄虚作假，将没收投标保证金。</w:t>
      </w:r>
    </w:p>
    <w:p w14:paraId="1031EB34">
      <w:pPr>
        <w:pStyle w:val="16"/>
        <w:ind w:firstLine="720" w:firstLineChars="300"/>
        <w:rPr>
          <w:rFonts w:hint="eastAsia"/>
        </w:rPr>
      </w:pPr>
    </w:p>
    <w:p w14:paraId="5C6CACBF">
      <w:pPr>
        <w:pStyle w:val="16"/>
        <w:ind w:firstLine="720" w:firstLineChars="300"/>
        <w:rPr>
          <w:rFonts w:hint="eastAsia"/>
        </w:rPr>
      </w:pPr>
    </w:p>
    <w:p w14:paraId="690481C3">
      <w:pPr>
        <w:pStyle w:val="15"/>
        <w:ind w:left="0" w:leftChars="0" w:firstLine="281" w:firstLineChars="100"/>
        <w:rPr>
          <w:rFonts w:hint="eastAsia" w:cs="黑体"/>
          <w:b/>
          <w:kern w:val="0"/>
          <w:sz w:val="28"/>
          <w:szCs w:val="28"/>
          <w:lang w:val="en-US" w:eastAsia="zh-CN"/>
        </w:rPr>
      </w:pPr>
      <w:r>
        <w:rPr>
          <w:rFonts w:hint="eastAsia" w:cs="黑体"/>
          <w:b/>
          <w:kern w:val="0"/>
          <w:sz w:val="28"/>
          <w:szCs w:val="28"/>
          <w:lang w:val="en-US" w:eastAsia="zh-CN"/>
        </w:rPr>
        <w:t>1.2 综合评分表</w:t>
      </w:r>
    </w:p>
    <w:tbl>
      <w:tblPr>
        <w:tblStyle w:val="29"/>
        <w:tblW w:w="9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5"/>
        <w:gridCol w:w="1863"/>
        <w:gridCol w:w="5760"/>
      </w:tblGrid>
      <w:tr w14:paraId="4B4BA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jc w:val="center"/>
        </w:trPr>
        <w:tc>
          <w:tcPr>
            <w:tcW w:w="1845" w:type="dxa"/>
            <w:shd w:val="clear" w:color="auto" w:fill="EEECE1" w:themeFill="background2"/>
            <w:vAlign w:val="center"/>
          </w:tcPr>
          <w:p w14:paraId="36EE9B69">
            <w:pPr>
              <w:keepNext w:val="0"/>
              <w:keepLines w:val="0"/>
              <w:pageBreakBefore w:val="0"/>
              <w:widowControl w:val="0"/>
              <w:kinsoku/>
              <w:wordWrap/>
              <w:overflowPunct/>
              <w:topLinePunct w:val="0"/>
              <w:autoSpaceDE/>
              <w:autoSpaceDN/>
              <w:bidi w:val="0"/>
              <w:adjustRightInd/>
              <w:snapToGrid/>
              <w:spacing w:before="0" w:after="0" w:line="460" w:lineRule="exact"/>
              <w:jc w:val="center"/>
              <w:textAlignment w:val="auto"/>
              <w:rPr>
                <w:b/>
                <w:bCs/>
                <w:sz w:val="24"/>
                <w:szCs w:val="24"/>
              </w:rPr>
            </w:pPr>
            <w:r>
              <w:rPr>
                <w:rFonts w:hint="eastAsia" w:ascii="宋体" w:hAnsi="宋体" w:cs="宋体"/>
                <w:b/>
                <w:bCs/>
                <w:sz w:val="24"/>
                <w:szCs w:val="24"/>
              </w:rPr>
              <w:t>评审内容</w:t>
            </w:r>
          </w:p>
        </w:tc>
        <w:tc>
          <w:tcPr>
            <w:tcW w:w="1863" w:type="dxa"/>
            <w:shd w:val="clear" w:color="auto" w:fill="EEECE1" w:themeFill="background2"/>
            <w:vAlign w:val="center"/>
          </w:tcPr>
          <w:p w14:paraId="47817953">
            <w:pPr>
              <w:keepNext w:val="0"/>
              <w:keepLines w:val="0"/>
              <w:pageBreakBefore w:val="0"/>
              <w:widowControl w:val="0"/>
              <w:kinsoku/>
              <w:wordWrap/>
              <w:overflowPunct/>
              <w:topLinePunct w:val="0"/>
              <w:autoSpaceDE/>
              <w:autoSpaceDN/>
              <w:bidi w:val="0"/>
              <w:adjustRightInd/>
              <w:snapToGrid/>
              <w:spacing w:before="0" w:after="0" w:line="460" w:lineRule="exact"/>
              <w:jc w:val="center"/>
              <w:textAlignment w:val="auto"/>
              <w:rPr>
                <w:rFonts w:hint="eastAsia" w:ascii="宋体" w:hAnsi="宋体" w:cs="宋体"/>
                <w:b/>
                <w:bCs/>
                <w:sz w:val="24"/>
                <w:szCs w:val="24"/>
              </w:rPr>
            </w:pPr>
            <w:r>
              <w:rPr>
                <w:rFonts w:hint="eastAsia" w:ascii="宋体" w:hAnsi="宋体" w:cs="宋体"/>
                <w:b/>
                <w:bCs/>
                <w:sz w:val="24"/>
                <w:szCs w:val="24"/>
              </w:rPr>
              <w:t>评审因素</w:t>
            </w:r>
          </w:p>
        </w:tc>
        <w:tc>
          <w:tcPr>
            <w:tcW w:w="5760" w:type="dxa"/>
            <w:shd w:val="clear" w:color="auto" w:fill="EEECE1" w:themeFill="background2"/>
            <w:vAlign w:val="center"/>
          </w:tcPr>
          <w:p w14:paraId="2A83CD10">
            <w:pPr>
              <w:keepNext w:val="0"/>
              <w:keepLines w:val="0"/>
              <w:pageBreakBefore w:val="0"/>
              <w:widowControl w:val="0"/>
              <w:kinsoku/>
              <w:wordWrap/>
              <w:overflowPunct/>
              <w:topLinePunct w:val="0"/>
              <w:autoSpaceDE/>
              <w:autoSpaceDN/>
              <w:bidi w:val="0"/>
              <w:adjustRightInd/>
              <w:snapToGrid/>
              <w:spacing w:before="0" w:after="0" w:line="460" w:lineRule="exact"/>
              <w:ind w:firstLine="480" w:firstLineChars="0"/>
              <w:jc w:val="center"/>
              <w:textAlignment w:val="auto"/>
              <w:rPr>
                <w:rFonts w:ascii="宋体" w:hAnsi="宋体" w:cs="宋体"/>
                <w:b/>
                <w:bCs/>
                <w:sz w:val="24"/>
                <w:szCs w:val="24"/>
              </w:rPr>
            </w:pPr>
            <w:r>
              <w:rPr>
                <w:rFonts w:hint="eastAsia" w:ascii="宋体" w:hAnsi="宋体" w:cs="宋体"/>
                <w:b/>
                <w:bCs/>
                <w:sz w:val="24"/>
                <w:szCs w:val="24"/>
              </w:rPr>
              <w:t>评审标准</w:t>
            </w:r>
          </w:p>
        </w:tc>
      </w:tr>
      <w:tr w14:paraId="30635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jc w:val="center"/>
        </w:trPr>
        <w:tc>
          <w:tcPr>
            <w:tcW w:w="1845" w:type="dxa"/>
            <w:shd w:val="clear" w:color="auto" w:fill="auto"/>
            <w:vAlign w:val="center"/>
          </w:tcPr>
          <w:p w14:paraId="070E946F">
            <w:pPr>
              <w:keepNext w:val="0"/>
              <w:keepLines w:val="0"/>
              <w:pageBreakBefore w:val="0"/>
              <w:widowControl w:val="0"/>
              <w:kinsoku/>
              <w:wordWrap/>
              <w:overflowPunct/>
              <w:topLinePunct w:val="0"/>
              <w:autoSpaceDE/>
              <w:autoSpaceDN/>
              <w:bidi w:val="0"/>
              <w:adjustRightInd/>
              <w:snapToGrid/>
              <w:spacing w:before="0" w:after="0" w:line="460" w:lineRule="exact"/>
              <w:jc w:val="center"/>
              <w:textAlignment w:val="auto"/>
              <w:rPr>
                <w:rFonts w:ascii="宋体" w:hAnsi="宋体" w:cs="宋体"/>
                <w:sz w:val="24"/>
                <w:szCs w:val="24"/>
              </w:rPr>
            </w:pPr>
            <w:r>
              <w:rPr>
                <w:rFonts w:hint="eastAsia" w:ascii="宋体" w:hAnsi="宋体" w:cs="宋体"/>
                <w:sz w:val="24"/>
                <w:szCs w:val="24"/>
              </w:rPr>
              <w:t>分值构成</w:t>
            </w:r>
          </w:p>
        </w:tc>
        <w:tc>
          <w:tcPr>
            <w:tcW w:w="1863" w:type="dxa"/>
            <w:shd w:val="clear" w:color="auto" w:fill="auto"/>
            <w:vAlign w:val="center"/>
          </w:tcPr>
          <w:p w14:paraId="1F200C0C">
            <w:pPr>
              <w:keepNext w:val="0"/>
              <w:keepLines w:val="0"/>
              <w:pageBreakBefore w:val="0"/>
              <w:widowControl w:val="0"/>
              <w:kinsoku/>
              <w:wordWrap/>
              <w:overflowPunct/>
              <w:topLinePunct w:val="0"/>
              <w:autoSpaceDE/>
              <w:autoSpaceDN/>
              <w:bidi w:val="0"/>
              <w:adjustRightInd/>
              <w:snapToGrid/>
              <w:spacing w:before="0" w:after="0" w:line="460" w:lineRule="exact"/>
              <w:jc w:val="center"/>
              <w:textAlignment w:val="auto"/>
              <w:rPr>
                <w:rFonts w:hint="eastAsia" w:ascii="宋体" w:hAnsi="宋体" w:cs="宋体"/>
                <w:sz w:val="24"/>
                <w:szCs w:val="24"/>
              </w:rPr>
            </w:pPr>
            <w:r>
              <w:rPr>
                <w:rFonts w:hint="eastAsia" w:ascii="宋体" w:hAnsi="宋体" w:cs="宋体"/>
                <w:sz w:val="24"/>
                <w:szCs w:val="24"/>
              </w:rPr>
              <w:t>分值构成</w:t>
            </w:r>
          </w:p>
          <w:p w14:paraId="7B5B41A7">
            <w:pPr>
              <w:keepNext w:val="0"/>
              <w:keepLines w:val="0"/>
              <w:pageBreakBefore w:val="0"/>
              <w:widowControl w:val="0"/>
              <w:kinsoku/>
              <w:wordWrap/>
              <w:overflowPunct/>
              <w:topLinePunct w:val="0"/>
              <w:autoSpaceDE/>
              <w:autoSpaceDN/>
              <w:bidi w:val="0"/>
              <w:adjustRightInd/>
              <w:snapToGrid/>
              <w:spacing w:before="0" w:after="0" w:line="460" w:lineRule="exact"/>
              <w:jc w:val="center"/>
              <w:textAlignment w:val="auto"/>
              <w:rPr>
                <w:rFonts w:hint="eastAsia" w:ascii="宋体" w:hAnsi="宋体" w:cs="宋体"/>
                <w:sz w:val="24"/>
                <w:szCs w:val="24"/>
              </w:rPr>
            </w:pPr>
            <w:r>
              <w:rPr>
                <w:rFonts w:hint="eastAsia" w:ascii="宋体" w:hAnsi="宋体" w:cs="宋体"/>
                <w:sz w:val="24"/>
                <w:szCs w:val="24"/>
              </w:rPr>
              <w:t>(总分1</w:t>
            </w:r>
            <w:r>
              <w:rPr>
                <w:rFonts w:hint="eastAsia" w:ascii="宋体" w:hAnsi="宋体" w:cs="宋体"/>
                <w:sz w:val="24"/>
                <w:szCs w:val="24"/>
                <w:lang w:val="en-US" w:eastAsia="zh-CN"/>
              </w:rPr>
              <w:t>00</w:t>
            </w:r>
            <w:r>
              <w:rPr>
                <w:rFonts w:hint="eastAsia" w:ascii="宋体" w:hAnsi="宋体" w:cs="宋体"/>
                <w:sz w:val="24"/>
                <w:szCs w:val="24"/>
              </w:rPr>
              <w:t>分)</w:t>
            </w:r>
          </w:p>
        </w:tc>
        <w:tc>
          <w:tcPr>
            <w:tcW w:w="5760" w:type="dxa"/>
            <w:shd w:val="clear" w:color="auto" w:fill="auto"/>
            <w:vAlign w:val="center"/>
          </w:tcPr>
          <w:p w14:paraId="28BC9737">
            <w:pPr>
              <w:keepNext w:val="0"/>
              <w:keepLines w:val="0"/>
              <w:pageBreakBefore w:val="0"/>
              <w:widowControl w:val="0"/>
              <w:kinsoku/>
              <w:wordWrap/>
              <w:overflowPunct/>
              <w:topLinePunct w:val="0"/>
              <w:autoSpaceDE/>
              <w:autoSpaceDN/>
              <w:bidi w:val="0"/>
              <w:adjustRightInd/>
              <w:snapToGrid/>
              <w:spacing w:before="0" w:after="0" w:line="460" w:lineRule="exact"/>
              <w:jc w:val="center"/>
              <w:textAlignment w:val="auto"/>
              <w:rPr>
                <w:rFonts w:hint="eastAsia" w:ascii="宋体" w:hAnsi="宋体" w:cs="宋体"/>
                <w:sz w:val="24"/>
                <w:szCs w:val="24"/>
                <w:lang w:val="en-US" w:eastAsia="zh-CN"/>
              </w:rPr>
            </w:pPr>
            <w:r>
              <w:rPr>
                <w:rFonts w:hint="eastAsia" w:ascii="宋体" w:hAnsi="宋体" w:cs="宋体"/>
                <w:sz w:val="24"/>
                <w:szCs w:val="24"/>
                <w:lang w:val="en-US" w:eastAsia="zh-CN"/>
              </w:rPr>
              <w:t xml:space="preserve">    商务部分：</w:t>
            </w:r>
            <w:r>
              <w:rPr>
                <w:rFonts w:hint="eastAsia" w:ascii="宋体" w:hAnsi="宋体" w:cs="宋体"/>
                <w:sz w:val="24"/>
                <w:szCs w:val="24"/>
                <w:u w:val="single"/>
                <w:lang w:val="en-US" w:eastAsia="zh-CN"/>
              </w:rPr>
              <w:t xml:space="preserve">30 </w:t>
            </w:r>
            <w:r>
              <w:rPr>
                <w:rFonts w:hint="eastAsia" w:ascii="宋体" w:hAnsi="宋体" w:cs="宋体"/>
                <w:sz w:val="24"/>
                <w:szCs w:val="24"/>
                <w:lang w:val="en-US" w:eastAsia="zh-CN"/>
              </w:rPr>
              <w:t>分    技术部分：</w:t>
            </w:r>
            <w:r>
              <w:rPr>
                <w:rFonts w:hint="eastAsia" w:ascii="宋体" w:hAnsi="宋体" w:cs="宋体"/>
                <w:sz w:val="24"/>
                <w:szCs w:val="24"/>
                <w:u w:val="single"/>
                <w:lang w:val="en-US" w:eastAsia="zh-CN"/>
              </w:rPr>
              <w:t xml:space="preserve">40 </w:t>
            </w:r>
            <w:r>
              <w:rPr>
                <w:rFonts w:hint="eastAsia" w:ascii="宋体" w:hAnsi="宋体" w:cs="宋体"/>
                <w:sz w:val="24"/>
                <w:szCs w:val="24"/>
                <w:lang w:val="en-US" w:eastAsia="zh-CN"/>
              </w:rPr>
              <w:t xml:space="preserve">分  </w:t>
            </w:r>
          </w:p>
          <w:p w14:paraId="00F5662B">
            <w:pPr>
              <w:keepNext w:val="0"/>
              <w:keepLines w:val="0"/>
              <w:pageBreakBefore w:val="0"/>
              <w:widowControl w:val="0"/>
              <w:kinsoku/>
              <w:wordWrap/>
              <w:overflowPunct/>
              <w:topLinePunct w:val="0"/>
              <w:autoSpaceDE/>
              <w:autoSpaceDN/>
              <w:bidi w:val="0"/>
              <w:adjustRightInd/>
              <w:snapToGrid/>
              <w:spacing w:before="0" w:after="0" w:line="460" w:lineRule="exact"/>
              <w:ind w:firstLine="960" w:firstLineChars="400"/>
              <w:jc w:val="both"/>
              <w:textAlignment w:val="auto"/>
              <w:rPr>
                <w:rFonts w:hint="eastAsia" w:ascii="宋体" w:hAnsi="宋体" w:cs="宋体"/>
                <w:sz w:val="24"/>
                <w:szCs w:val="24"/>
              </w:rPr>
            </w:pPr>
            <w:r>
              <w:rPr>
                <w:rFonts w:hint="eastAsia" w:ascii="宋体" w:hAnsi="宋体" w:cs="宋体"/>
                <w:sz w:val="24"/>
                <w:szCs w:val="24"/>
                <w:lang w:val="en-US" w:eastAsia="zh-CN"/>
              </w:rPr>
              <w:t>投标报价：</w:t>
            </w:r>
            <w:r>
              <w:rPr>
                <w:rFonts w:hint="eastAsia" w:ascii="宋体" w:hAnsi="宋体" w:cs="宋体"/>
                <w:sz w:val="24"/>
                <w:szCs w:val="24"/>
                <w:u w:val="single"/>
                <w:lang w:val="en-US" w:eastAsia="zh-CN"/>
              </w:rPr>
              <w:t xml:space="preserve">30 </w:t>
            </w:r>
            <w:r>
              <w:rPr>
                <w:rFonts w:hint="eastAsia" w:ascii="宋体" w:hAnsi="宋体" w:cs="宋体"/>
                <w:sz w:val="24"/>
                <w:szCs w:val="24"/>
                <w:lang w:val="en-US" w:eastAsia="zh-CN"/>
              </w:rPr>
              <w:t xml:space="preserve">分 </w:t>
            </w:r>
          </w:p>
        </w:tc>
      </w:tr>
      <w:tr w14:paraId="22325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0" w:hRule="atLeast"/>
          <w:jc w:val="center"/>
        </w:trPr>
        <w:tc>
          <w:tcPr>
            <w:tcW w:w="1845" w:type="dxa"/>
            <w:vMerge w:val="restart"/>
            <w:shd w:val="clear" w:color="auto" w:fill="auto"/>
            <w:vAlign w:val="center"/>
          </w:tcPr>
          <w:p w14:paraId="6F5C4268">
            <w:pPr>
              <w:keepNext w:val="0"/>
              <w:keepLines w:val="0"/>
              <w:pageBreakBefore w:val="0"/>
              <w:widowControl w:val="0"/>
              <w:kinsoku/>
              <w:wordWrap/>
              <w:overflowPunct/>
              <w:topLinePunct w:val="0"/>
              <w:autoSpaceDE/>
              <w:autoSpaceDN/>
              <w:bidi w:val="0"/>
              <w:adjustRightInd/>
              <w:snapToGrid/>
              <w:spacing w:before="0" w:after="0" w:line="460" w:lineRule="exact"/>
              <w:jc w:val="center"/>
              <w:textAlignment w:val="auto"/>
              <w:rPr>
                <w:rFonts w:hint="eastAsia" w:ascii="宋体" w:hAnsi="宋体" w:cs="宋体"/>
                <w:sz w:val="24"/>
                <w:szCs w:val="24"/>
                <w:lang w:val="en-US" w:eastAsia="zh-CN"/>
              </w:rPr>
            </w:pPr>
            <w:r>
              <w:rPr>
                <w:rFonts w:hint="eastAsia" w:ascii="宋体" w:hAnsi="宋体" w:cs="宋体"/>
                <w:sz w:val="24"/>
                <w:szCs w:val="24"/>
                <w:lang w:val="en-US" w:eastAsia="zh-CN"/>
              </w:rPr>
              <w:t>F1、商务部分</w:t>
            </w:r>
          </w:p>
          <w:p w14:paraId="72E7B4EA">
            <w:pPr>
              <w:keepNext w:val="0"/>
              <w:keepLines w:val="0"/>
              <w:pageBreakBefore w:val="0"/>
              <w:widowControl w:val="0"/>
              <w:kinsoku/>
              <w:wordWrap/>
              <w:overflowPunct/>
              <w:topLinePunct w:val="0"/>
              <w:autoSpaceDE/>
              <w:autoSpaceDN/>
              <w:bidi w:val="0"/>
              <w:adjustRightInd/>
              <w:snapToGrid/>
              <w:spacing w:before="0" w:after="0" w:line="460" w:lineRule="exact"/>
              <w:jc w:val="center"/>
              <w:textAlignment w:val="auto"/>
              <w:rPr>
                <w:rFonts w:hint="eastAsia" w:ascii="宋体" w:hAnsi="宋体" w:cs="宋体"/>
                <w:sz w:val="24"/>
                <w:szCs w:val="24"/>
                <w:lang w:val="en-US" w:eastAsia="zh-CN"/>
              </w:rPr>
            </w:pPr>
            <w:r>
              <w:rPr>
                <w:rFonts w:hint="eastAsia" w:ascii="宋体" w:hAnsi="宋体" w:cs="宋体"/>
                <w:sz w:val="24"/>
                <w:szCs w:val="24"/>
                <w:lang w:val="en-US" w:eastAsia="zh-CN"/>
              </w:rPr>
              <w:t>评审</w:t>
            </w:r>
          </w:p>
          <w:p w14:paraId="6901CC0B">
            <w:pPr>
              <w:keepNext w:val="0"/>
              <w:keepLines w:val="0"/>
              <w:pageBreakBefore w:val="0"/>
              <w:widowControl w:val="0"/>
              <w:kinsoku/>
              <w:wordWrap/>
              <w:overflowPunct/>
              <w:topLinePunct w:val="0"/>
              <w:autoSpaceDE/>
              <w:autoSpaceDN/>
              <w:bidi w:val="0"/>
              <w:adjustRightInd/>
              <w:snapToGrid/>
              <w:spacing w:before="0" w:after="0" w:line="460" w:lineRule="exact"/>
              <w:jc w:val="center"/>
              <w:textAlignment w:val="auto"/>
              <w:rPr>
                <w:rFonts w:hint="eastAsia" w:ascii="宋体" w:hAnsi="宋体" w:cs="宋体"/>
                <w:sz w:val="24"/>
                <w:szCs w:val="24"/>
                <w:lang w:val="en-US" w:eastAsia="zh-CN"/>
              </w:rPr>
            </w:pPr>
            <w:r>
              <w:rPr>
                <w:rFonts w:hint="eastAsia" w:ascii="宋体" w:hAnsi="宋体" w:cs="宋体"/>
                <w:sz w:val="24"/>
                <w:szCs w:val="24"/>
                <w:lang w:val="en-US" w:eastAsia="zh-CN"/>
              </w:rPr>
              <w:t>（30 分）</w:t>
            </w:r>
          </w:p>
        </w:tc>
        <w:tc>
          <w:tcPr>
            <w:tcW w:w="1863" w:type="dxa"/>
            <w:shd w:val="clear" w:color="auto" w:fill="auto"/>
            <w:vAlign w:val="center"/>
          </w:tcPr>
          <w:p w14:paraId="430F02E4">
            <w:pPr>
              <w:keepNext w:val="0"/>
              <w:keepLines w:val="0"/>
              <w:pageBreakBefore w:val="0"/>
              <w:widowControl w:val="0"/>
              <w:kinsoku/>
              <w:wordWrap/>
              <w:overflowPunct/>
              <w:topLinePunct w:val="0"/>
              <w:autoSpaceDE/>
              <w:autoSpaceDN/>
              <w:bidi w:val="0"/>
              <w:adjustRightInd/>
              <w:snapToGrid/>
              <w:spacing w:before="0" w:after="0" w:line="460" w:lineRule="exact"/>
              <w:jc w:val="center"/>
              <w:textAlignment w:val="auto"/>
              <w:rPr>
                <w:rFonts w:hint="eastAsia" w:ascii="宋体" w:hAnsi="宋体" w:cs="宋体"/>
                <w:sz w:val="24"/>
                <w:szCs w:val="24"/>
              </w:rPr>
            </w:pPr>
            <w:r>
              <w:rPr>
                <w:rFonts w:hint="eastAsia" w:ascii="宋体" w:hAnsi="宋体" w:cs="宋体"/>
                <w:sz w:val="24"/>
                <w:szCs w:val="24"/>
              </w:rPr>
              <w:t>企业类似业绩</w:t>
            </w:r>
          </w:p>
          <w:p w14:paraId="236010A7">
            <w:pPr>
              <w:keepNext w:val="0"/>
              <w:keepLines w:val="0"/>
              <w:pageBreakBefore w:val="0"/>
              <w:widowControl w:val="0"/>
              <w:kinsoku/>
              <w:wordWrap/>
              <w:overflowPunct/>
              <w:topLinePunct w:val="0"/>
              <w:autoSpaceDE/>
              <w:autoSpaceDN/>
              <w:bidi w:val="0"/>
              <w:adjustRightInd/>
              <w:snapToGrid/>
              <w:spacing w:before="0" w:after="0" w:line="460" w:lineRule="exact"/>
              <w:jc w:val="center"/>
              <w:textAlignment w:val="auto"/>
              <w:rPr>
                <w:rFonts w:hint="eastAsia" w:ascii="宋体" w:hAnsi="宋体" w:cs="宋体"/>
                <w:sz w:val="24"/>
                <w:szCs w:val="24"/>
              </w:rPr>
            </w:pPr>
            <w:r>
              <w:rPr>
                <w:rFonts w:hint="eastAsia" w:ascii="宋体" w:hAnsi="宋体" w:cs="宋体"/>
                <w:sz w:val="24"/>
                <w:szCs w:val="24"/>
              </w:rPr>
              <w:t xml:space="preserve">(满分 </w:t>
            </w:r>
            <w:r>
              <w:rPr>
                <w:rFonts w:hint="eastAsia" w:ascii="宋体" w:hAnsi="宋体" w:cs="宋体"/>
                <w:sz w:val="24"/>
                <w:szCs w:val="24"/>
                <w:lang w:val="en-US" w:eastAsia="zh-CN"/>
              </w:rPr>
              <w:t>10</w:t>
            </w:r>
            <w:r>
              <w:rPr>
                <w:rFonts w:hint="eastAsia" w:ascii="宋体" w:hAnsi="宋体" w:cs="宋体"/>
                <w:sz w:val="24"/>
                <w:szCs w:val="24"/>
              </w:rPr>
              <w:t xml:space="preserve"> 分)</w:t>
            </w:r>
          </w:p>
        </w:tc>
        <w:tc>
          <w:tcPr>
            <w:tcW w:w="5760" w:type="dxa"/>
            <w:shd w:val="clear" w:color="auto" w:fill="auto"/>
            <w:vAlign w:val="center"/>
          </w:tcPr>
          <w:p w14:paraId="54F28B48">
            <w:pPr>
              <w:keepNext w:val="0"/>
              <w:keepLines w:val="0"/>
              <w:pageBreakBefore w:val="0"/>
              <w:widowControl w:val="0"/>
              <w:kinsoku/>
              <w:wordWrap/>
              <w:overflowPunct/>
              <w:topLinePunct w:val="0"/>
              <w:autoSpaceDE/>
              <w:autoSpaceDN/>
              <w:bidi w:val="0"/>
              <w:adjustRightInd/>
              <w:snapToGrid/>
              <w:spacing w:before="0" w:after="0" w:line="420" w:lineRule="exact"/>
              <w:ind w:firstLine="240" w:firstLineChars="100"/>
              <w:jc w:val="both"/>
              <w:textAlignment w:val="auto"/>
              <w:rPr>
                <w:rFonts w:hint="eastAsia" w:ascii="宋体" w:hAnsi="宋体" w:cs="宋体"/>
                <w:color w:val="auto"/>
                <w:sz w:val="24"/>
                <w:szCs w:val="24"/>
              </w:rPr>
            </w:pPr>
            <w:r>
              <w:rPr>
                <w:rFonts w:hint="eastAsia" w:ascii="宋体" w:hAnsi="宋体" w:cs="宋体"/>
                <w:color w:val="auto"/>
                <w:sz w:val="24"/>
                <w:szCs w:val="24"/>
              </w:rPr>
              <w:t>投标人自 20</w:t>
            </w:r>
            <w:r>
              <w:rPr>
                <w:rFonts w:hint="eastAsia" w:ascii="宋体" w:hAnsi="宋体" w:cs="宋体"/>
                <w:color w:val="auto"/>
                <w:sz w:val="24"/>
                <w:szCs w:val="24"/>
                <w:lang w:val="en-US" w:eastAsia="zh-CN"/>
              </w:rPr>
              <w:t>20</w:t>
            </w:r>
            <w:r>
              <w:rPr>
                <w:rFonts w:hint="eastAsia" w:ascii="宋体" w:hAnsi="宋体" w:cs="宋体"/>
                <w:color w:val="auto"/>
                <w:sz w:val="24"/>
                <w:szCs w:val="24"/>
              </w:rPr>
              <w:t xml:space="preserve"> 年 1 月 1 日</w:t>
            </w:r>
            <w:r>
              <w:rPr>
                <w:rFonts w:hint="eastAsia" w:ascii="宋体" w:hAnsi="宋体" w:cs="宋体"/>
                <w:color w:val="auto"/>
                <w:sz w:val="24"/>
                <w:szCs w:val="24"/>
                <w:lang w:val="en-US" w:eastAsia="zh-CN"/>
              </w:rPr>
              <w:t>起</w:t>
            </w:r>
            <w:r>
              <w:rPr>
                <w:rFonts w:hint="eastAsia" w:ascii="宋体" w:hAnsi="宋体" w:cs="宋体"/>
                <w:color w:val="auto"/>
                <w:sz w:val="24"/>
                <w:szCs w:val="24"/>
              </w:rPr>
              <w:t>至今承接过</w:t>
            </w:r>
            <w:r>
              <w:rPr>
                <w:rFonts w:hint="eastAsia" w:ascii="宋体" w:hAnsi="宋体" w:cs="宋体"/>
                <w:color w:val="auto"/>
                <w:sz w:val="24"/>
                <w:szCs w:val="24"/>
                <w:lang w:val="en-US" w:eastAsia="zh-CN"/>
              </w:rPr>
              <w:t>类似项目</w:t>
            </w:r>
            <w:r>
              <w:rPr>
                <w:rFonts w:hint="eastAsia" w:ascii="宋体" w:hAnsi="宋体" w:cs="宋体"/>
                <w:color w:val="auto"/>
                <w:sz w:val="24"/>
                <w:szCs w:val="24"/>
              </w:rPr>
              <w:t>业绩：</w:t>
            </w:r>
          </w:p>
          <w:p w14:paraId="1F7E9C80">
            <w:pPr>
              <w:keepNext w:val="0"/>
              <w:keepLines w:val="0"/>
              <w:pageBreakBefore w:val="0"/>
              <w:widowControl w:val="0"/>
              <w:kinsoku/>
              <w:wordWrap/>
              <w:overflowPunct/>
              <w:topLinePunct w:val="0"/>
              <w:autoSpaceDE/>
              <w:autoSpaceDN/>
              <w:bidi w:val="0"/>
              <w:adjustRightInd/>
              <w:snapToGrid/>
              <w:spacing w:before="0" w:after="0" w:line="420" w:lineRule="exact"/>
              <w:ind w:firstLine="240" w:firstLineChars="100"/>
              <w:jc w:val="both"/>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rPr>
              <w:t>网箱每个周长为60米或以上长度的，每项业绩得2</w:t>
            </w:r>
            <w:r>
              <w:rPr>
                <w:rFonts w:hint="eastAsia" w:ascii="宋体" w:hAnsi="宋体" w:cs="宋体"/>
                <w:color w:val="auto"/>
                <w:sz w:val="24"/>
                <w:szCs w:val="24"/>
                <w:lang w:val="en-US" w:eastAsia="zh-CN"/>
              </w:rPr>
              <w:t>.5</w:t>
            </w:r>
            <w:r>
              <w:rPr>
                <w:rFonts w:hint="eastAsia" w:ascii="宋体" w:hAnsi="宋体" w:cs="宋体"/>
                <w:color w:val="auto"/>
                <w:sz w:val="24"/>
                <w:szCs w:val="24"/>
              </w:rPr>
              <w:t>分</w:t>
            </w:r>
            <w:r>
              <w:rPr>
                <w:rFonts w:hint="eastAsia" w:ascii="宋体" w:hAnsi="宋体" w:cs="宋体"/>
                <w:color w:val="auto"/>
                <w:sz w:val="24"/>
                <w:szCs w:val="24"/>
                <w:lang w:eastAsia="zh-CN"/>
              </w:rPr>
              <w:t>。</w:t>
            </w:r>
          </w:p>
          <w:p w14:paraId="5C6BA196">
            <w:pPr>
              <w:pStyle w:val="15"/>
              <w:keepNext w:val="0"/>
              <w:keepLines w:val="0"/>
              <w:pageBreakBefore w:val="0"/>
              <w:kinsoku/>
              <w:wordWrap/>
              <w:overflowPunct/>
              <w:topLinePunct w:val="0"/>
              <w:autoSpaceDE/>
              <w:autoSpaceDN/>
              <w:bidi w:val="0"/>
              <w:adjustRightInd/>
              <w:snapToGrid/>
              <w:spacing w:line="420" w:lineRule="exact"/>
              <w:ind w:left="0" w:leftChars="0" w:firstLine="0" w:firstLineChars="0"/>
              <w:textAlignment w:val="auto"/>
              <w:rPr>
                <w:rFonts w:hint="eastAsia"/>
              </w:rPr>
            </w:pPr>
            <w:r>
              <w:rPr>
                <w:rFonts w:hint="eastAsia" w:ascii="宋体" w:hAnsi="宋体" w:eastAsia="宋体" w:cs="宋体"/>
                <w:b/>
                <w:bCs/>
                <w:color w:val="auto"/>
                <w:kern w:val="2"/>
                <w:sz w:val="24"/>
                <w:szCs w:val="24"/>
                <w:lang w:val="en-US" w:eastAsia="zh-CN" w:bidi="ar-SA"/>
              </w:rPr>
              <w:t xml:space="preserve">注：本项最多计 </w:t>
            </w:r>
            <w:r>
              <w:rPr>
                <w:rFonts w:hint="eastAsia" w:cs="宋体"/>
                <w:b/>
                <w:bCs/>
                <w:color w:val="auto"/>
                <w:kern w:val="2"/>
                <w:sz w:val="24"/>
                <w:szCs w:val="24"/>
                <w:lang w:val="en-US" w:eastAsia="zh-CN" w:bidi="ar-SA"/>
              </w:rPr>
              <w:t>4</w:t>
            </w:r>
            <w:r>
              <w:rPr>
                <w:rFonts w:hint="eastAsia" w:ascii="宋体" w:hAnsi="宋体" w:eastAsia="宋体" w:cs="宋体"/>
                <w:b/>
                <w:bCs/>
                <w:color w:val="auto"/>
                <w:kern w:val="2"/>
                <w:sz w:val="24"/>
                <w:szCs w:val="24"/>
                <w:lang w:val="en-US" w:eastAsia="zh-CN" w:bidi="ar-SA"/>
              </w:rPr>
              <w:t xml:space="preserve"> 项，最高得 </w:t>
            </w:r>
            <w:r>
              <w:rPr>
                <w:rFonts w:hint="eastAsia" w:cs="宋体"/>
                <w:b/>
                <w:bCs/>
                <w:color w:val="auto"/>
                <w:kern w:val="2"/>
                <w:sz w:val="24"/>
                <w:szCs w:val="24"/>
                <w:lang w:val="en-US" w:eastAsia="zh-CN" w:bidi="ar-SA"/>
              </w:rPr>
              <w:t>10</w:t>
            </w:r>
            <w:r>
              <w:rPr>
                <w:rFonts w:hint="eastAsia" w:ascii="宋体" w:hAnsi="宋体" w:eastAsia="宋体" w:cs="宋体"/>
                <w:b/>
                <w:bCs/>
                <w:color w:val="auto"/>
                <w:kern w:val="2"/>
                <w:sz w:val="24"/>
                <w:szCs w:val="24"/>
                <w:lang w:val="en-US" w:eastAsia="zh-CN" w:bidi="ar-SA"/>
              </w:rPr>
              <w:t xml:space="preserve"> 分。①投标文件中须提供合同关键页（关键页须包括项目名称、项目内容（含网箱规格）、甲乙方名称、合同签署页、合同签订日期等信息）扫描件。②时间以合同签订日期为准。③业绩未按要求提供或信息不全或未能体现计分内容的不得分。</w:t>
            </w:r>
          </w:p>
        </w:tc>
      </w:tr>
      <w:tr w14:paraId="26DDD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jc w:val="center"/>
        </w:trPr>
        <w:tc>
          <w:tcPr>
            <w:tcW w:w="1845" w:type="dxa"/>
            <w:vMerge w:val="continue"/>
            <w:shd w:val="clear" w:color="auto" w:fill="auto"/>
            <w:vAlign w:val="center"/>
          </w:tcPr>
          <w:p w14:paraId="3F4FCDA8">
            <w:pPr>
              <w:keepNext w:val="0"/>
              <w:keepLines w:val="0"/>
              <w:pageBreakBefore w:val="0"/>
              <w:widowControl w:val="0"/>
              <w:kinsoku/>
              <w:wordWrap/>
              <w:overflowPunct/>
              <w:topLinePunct w:val="0"/>
              <w:autoSpaceDE/>
              <w:autoSpaceDN/>
              <w:bidi w:val="0"/>
              <w:adjustRightInd/>
              <w:snapToGrid/>
              <w:spacing w:before="0" w:after="0" w:line="460" w:lineRule="exact"/>
              <w:jc w:val="center"/>
              <w:textAlignment w:val="auto"/>
              <w:rPr>
                <w:rFonts w:hint="eastAsia" w:ascii="宋体" w:hAnsi="宋体" w:cs="宋体"/>
                <w:sz w:val="24"/>
                <w:szCs w:val="24"/>
                <w:lang w:val="en-US" w:eastAsia="zh-CN"/>
              </w:rPr>
            </w:pPr>
          </w:p>
        </w:tc>
        <w:tc>
          <w:tcPr>
            <w:tcW w:w="1863" w:type="dxa"/>
            <w:shd w:val="clear" w:color="auto" w:fill="auto"/>
            <w:vAlign w:val="center"/>
          </w:tcPr>
          <w:p w14:paraId="5858B8FC">
            <w:pPr>
              <w:keepNext w:val="0"/>
              <w:keepLines w:val="0"/>
              <w:pageBreakBefore w:val="0"/>
              <w:widowControl w:val="0"/>
              <w:kinsoku/>
              <w:wordWrap/>
              <w:overflowPunct/>
              <w:topLinePunct w:val="0"/>
              <w:autoSpaceDE/>
              <w:autoSpaceDN/>
              <w:bidi w:val="0"/>
              <w:adjustRightInd/>
              <w:snapToGrid/>
              <w:spacing w:before="0" w:after="0" w:line="460" w:lineRule="exact"/>
              <w:jc w:val="center"/>
              <w:textAlignment w:val="auto"/>
              <w:rPr>
                <w:rFonts w:hint="eastAsia" w:ascii="宋体" w:hAnsi="宋体" w:cs="宋体"/>
                <w:sz w:val="24"/>
                <w:szCs w:val="24"/>
              </w:rPr>
            </w:pPr>
            <w:r>
              <w:rPr>
                <w:rFonts w:hint="eastAsia" w:ascii="宋体" w:hAnsi="宋体" w:cs="宋体"/>
                <w:sz w:val="24"/>
                <w:szCs w:val="24"/>
              </w:rPr>
              <w:t xml:space="preserve">企业荣誉情况 </w:t>
            </w:r>
          </w:p>
          <w:p w14:paraId="7B3B0F7B">
            <w:pPr>
              <w:keepNext w:val="0"/>
              <w:keepLines w:val="0"/>
              <w:pageBreakBefore w:val="0"/>
              <w:widowControl w:val="0"/>
              <w:kinsoku/>
              <w:wordWrap/>
              <w:overflowPunct/>
              <w:topLinePunct w:val="0"/>
              <w:autoSpaceDE/>
              <w:autoSpaceDN/>
              <w:bidi w:val="0"/>
              <w:adjustRightInd/>
              <w:snapToGrid/>
              <w:spacing w:before="0" w:after="0" w:line="460" w:lineRule="exact"/>
              <w:jc w:val="center"/>
              <w:textAlignment w:val="auto"/>
              <w:rPr>
                <w:rFonts w:hint="eastAsia" w:ascii="宋体" w:hAnsi="宋体" w:cs="宋体"/>
                <w:sz w:val="24"/>
                <w:szCs w:val="24"/>
              </w:rPr>
            </w:pPr>
            <w:r>
              <w:rPr>
                <w:rFonts w:hint="eastAsia" w:ascii="宋体" w:hAnsi="宋体" w:cs="宋体"/>
                <w:sz w:val="24"/>
                <w:szCs w:val="24"/>
              </w:rPr>
              <w:t xml:space="preserve">(满分 </w:t>
            </w:r>
            <w:r>
              <w:rPr>
                <w:rFonts w:hint="eastAsia" w:ascii="宋体" w:hAnsi="宋体" w:cs="宋体"/>
                <w:sz w:val="24"/>
                <w:szCs w:val="24"/>
                <w:lang w:val="en-US" w:eastAsia="zh-CN"/>
              </w:rPr>
              <w:t>7</w:t>
            </w:r>
            <w:r>
              <w:rPr>
                <w:rFonts w:hint="eastAsia" w:ascii="宋体" w:hAnsi="宋体" w:cs="宋体"/>
                <w:sz w:val="24"/>
                <w:szCs w:val="24"/>
              </w:rPr>
              <w:t xml:space="preserve"> 分)</w:t>
            </w:r>
          </w:p>
        </w:tc>
        <w:tc>
          <w:tcPr>
            <w:tcW w:w="5760" w:type="dxa"/>
            <w:shd w:val="clear" w:color="auto" w:fill="auto"/>
            <w:vAlign w:val="center"/>
          </w:tcPr>
          <w:p w14:paraId="794A928A">
            <w:pPr>
              <w:keepNext w:val="0"/>
              <w:keepLines w:val="0"/>
              <w:pageBreakBefore w:val="0"/>
              <w:widowControl w:val="0"/>
              <w:numPr>
                <w:ilvl w:val="0"/>
                <w:numId w:val="3"/>
              </w:numPr>
              <w:kinsoku/>
              <w:wordWrap/>
              <w:overflowPunct/>
              <w:topLinePunct w:val="0"/>
              <w:autoSpaceDE/>
              <w:autoSpaceDN/>
              <w:bidi w:val="0"/>
              <w:adjustRightInd/>
              <w:snapToGrid/>
              <w:spacing w:before="0" w:after="0" w:line="420" w:lineRule="exact"/>
              <w:ind w:firstLine="240" w:firstLineChars="100"/>
              <w:jc w:val="both"/>
              <w:textAlignment w:val="auto"/>
              <w:rPr>
                <w:rFonts w:hint="eastAsia" w:ascii="宋体" w:hAnsi="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投标人或所投产品生产厂家获得过国家级行业协会（或学会）颁发的“渔网具生产特级企业类”称号的，得</w:t>
            </w:r>
            <w:r>
              <w:rPr>
                <w:rFonts w:hint="eastAsia" w:ascii="宋体" w:hAnsi="宋体" w:cs="宋体"/>
                <w:b w:val="0"/>
                <w:bCs w:val="0"/>
                <w:color w:val="auto"/>
                <w:kern w:val="2"/>
                <w:sz w:val="24"/>
                <w:szCs w:val="24"/>
                <w:lang w:val="en-US" w:eastAsia="zh-CN" w:bidi="ar-SA"/>
              </w:rPr>
              <w:t>4</w:t>
            </w:r>
            <w:r>
              <w:rPr>
                <w:rFonts w:hint="eastAsia" w:ascii="宋体" w:hAnsi="宋体" w:eastAsia="宋体" w:cs="宋体"/>
                <w:b w:val="0"/>
                <w:bCs w:val="0"/>
                <w:color w:val="auto"/>
                <w:kern w:val="2"/>
                <w:sz w:val="24"/>
                <w:szCs w:val="24"/>
                <w:lang w:val="en-US" w:eastAsia="zh-CN" w:bidi="ar-SA"/>
              </w:rPr>
              <w:t>分；获得过省级行业协会（或学会）颁发的“渔网具生产特级企业类”称号的</w:t>
            </w:r>
            <w:r>
              <w:rPr>
                <w:rFonts w:hint="eastAsia" w:ascii="宋体" w:hAnsi="宋体" w:cs="宋体"/>
                <w:b w:val="0"/>
                <w:bCs w:val="0"/>
                <w:color w:val="auto"/>
                <w:kern w:val="2"/>
                <w:sz w:val="24"/>
                <w:szCs w:val="24"/>
                <w:lang w:val="en-US" w:eastAsia="zh-CN" w:bidi="ar-SA"/>
              </w:rPr>
              <w:t>，</w:t>
            </w:r>
            <w:r>
              <w:rPr>
                <w:rFonts w:hint="eastAsia" w:ascii="宋体" w:hAnsi="宋体" w:eastAsia="宋体" w:cs="宋体"/>
                <w:b w:val="0"/>
                <w:bCs w:val="0"/>
                <w:color w:val="auto"/>
                <w:kern w:val="2"/>
                <w:sz w:val="24"/>
                <w:szCs w:val="24"/>
                <w:lang w:val="en-US" w:eastAsia="zh-CN" w:bidi="ar-SA"/>
              </w:rPr>
              <w:t>得</w:t>
            </w:r>
            <w:r>
              <w:rPr>
                <w:rFonts w:hint="eastAsia" w:ascii="宋体" w:hAnsi="宋体" w:cs="宋体"/>
                <w:b w:val="0"/>
                <w:bCs w:val="0"/>
                <w:color w:val="auto"/>
                <w:kern w:val="2"/>
                <w:sz w:val="24"/>
                <w:szCs w:val="24"/>
                <w:lang w:val="en-US" w:eastAsia="zh-CN" w:bidi="ar-SA"/>
              </w:rPr>
              <w:t>2</w:t>
            </w:r>
            <w:r>
              <w:rPr>
                <w:rFonts w:hint="eastAsia" w:ascii="宋体" w:hAnsi="宋体" w:eastAsia="宋体" w:cs="宋体"/>
                <w:b w:val="0"/>
                <w:bCs w:val="0"/>
                <w:color w:val="auto"/>
                <w:kern w:val="2"/>
                <w:sz w:val="24"/>
                <w:szCs w:val="24"/>
                <w:lang w:val="en-US" w:eastAsia="zh-CN" w:bidi="ar-SA"/>
              </w:rPr>
              <w:t>分；获得过</w:t>
            </w:r>
            <w:r>
              <w:rPr>
                <w:rFonts w:hint="eastAsia" w:ascii="宋体" w:hAnsi="宋体" w:cs="宋体"/>
                <w:b w:val="0"/>
                <w:bCs w:val="0"/>
                <w:color w:val="auto"/>
                <w:kern w:val="2"/>
                <w:sz w:val="24"/>
                <w:szCs w:val="24"/>
                <w:lang w:val="en-US" w:eastAsia="zh-CN" w:bidi="ar-SA"/>
              </w:rPr>
              <w:t>市</w:t>
            </w:r>
            <w:r>
              <w:rPr>
                <w:rFonts w:hint="eastAsia" w:ascii="宋体" w:hAnsi="宋体" w:eastAsia="宋体" w:cs="宋体"/>
                <w:b w:val="0"/>
                <w:bCs w:val="0"/>
                <w:color w:val="auto"/>
                <w:kern w:val="2"/>
                <w:sz w:val="24"/>
                <w:szCs w:val="24"/>
                <w:lang w:val="en-US" w:eastAsia="zh-CN" w:bidi="ar-SA"/>
              </w:rPr>
              <w:t>级行业协会（或学会）颁发的“渔网具生产特级企业类”称号的</w:t>
            </w:r>
            <w:r>
              <w:rPr>
                <w:rFonts w:hint="eastAsia" w:ascii="宋体" w:hAnsi="宋体" w:cs="宋体"/>
                <w:b w:val="0"/>
                <w:bCs w:val="0"/>
                <w:color w:val="auto"/>
                <w:kern w:val="2"/>
                <w:sz w:val="24"/>
                <w:szCs w:val="24"/>
                <w:lang w:val="en-US" w:eastAsia="zh-CN" w:bidi="ar-SA"/>
              </w:rPr>
              <w:t>，</w:t>
            </w:r>
            <w:r>
              <w:rPr>
                <w:rFonts w:hint="eastAsia" w:ascii="宋体" w:hAnsi="宋体" w:eastAsia="宋体" w:cs="宋体"/>
                <w:b w:val="0"/>
                <w:bCs w:val="0"/>
                <w:color w:val="auto"/>
                <w:kern w:val="2"/>
                <w:sz w:val="24"/>
                <w:szCs w:val="24"/>
                <w:lang w:val="en-US" w:eastAsia="zh-CN" w:bidi="ar-SA"/>
              </w:rPr>
              <w:t>得</w:t>
            </w:r>
            <w:r>
              <w:rPr>
                <w:rFonts w:hint="eastAsia" w:ascii="宋体" w:hAnsi="宋体" w:cs="宋体"/>
                <w:b w:val="0"/>
                <w:bCs w:val="0"/>
                <w:color w:val="auto"/>
                <w:kern w:val="2"/>
                <w:sz w:val="24"/>
                <w:szCs w:val="24"/>
                <w:lang w:val="en-US" w:eastAsia="zh-CN" w:bidi="ar-SA"/>
              </w:rPr>
              <w:t>1</w:t>
            </w:r>
            <w:r>
              <w:rPr>
                <w:rFonts w:hint="eastAsia" w:ascii="宋体" w:hAnsi="宋体" w:eastAsia="宋体" w:cs="宋体"/>
                <w:b w:val="0"/>
                <w:bCs w:val="0"/>
                <w:color w:val="auto"/>
                <w:kern w:val="2"/>
                <w:sz w:val="24"/>
                <w:szCs w:val="24"/>
                <w:lang w:val="en-US" w:eastAsia="zh-CN" w:bidi="ar-SA"/>
              </w:rPr>
              <w:t>分；本</w:t>
            </w:r>
            <w:r>
              <w:rPr>
                <w:rFonts w:hint="eastAsia" w:ascii="宋体" w:hAnsi="宋体" w:cs="宋体"/>
                <w:b w:val="0"/>
                <w:bCs w:val="0"/>
                <w:color w:val="auto"/>
                <w:kern w:val="2"/>
                <w:sz w:val="24"/>
                <w:szCs w:val="24"/>
                <w:lang w:val="en-US" w:eastAsia="zh-CN" w:bidi="ar-SA"/>
              </w:rPr>
              <w:t>小</w:t>
            </w:r>
            <w:r>
              <w:rPr>
                <w:rFonts w:hint="eastAsia" w:ascii="宋体" w:hAnsi="宋体" w:eastAsia="宋体" w:cs="宋体"/>
                <w:b w:val="0"/>
                <w:bCs w:val="0"/>
                <w:color w:val="auto"/>
                <w:kern w:val="2"/>
                <w:sz w:val="24"/>
                <w:szCs w:val="24"/>
                <w:lang w:val="en-US" w:eastAsia="zh-CN" w:bidi="ar-SA"/>
              </w:rPr>
              <w:t>项最高得</w:t>
            </w:r>
            <w:r>
              <w:rPr>
                <w:rFonts w:hint="eastAsia" w:ascii="宋体" w:hAnsi="宋体" w:cs="宋体"/>
                <w:b w:val="0"/>
                <w:bCs w:val="0"/>
                <w:color w:val="auto"/>
                <w:kern w:val="2"/>
                <w:sz w:val="24"/>
                <w:szCs w:val="24"/>
                <w:lang w:val="en-US" w:eastAsia="zh-CN" w:bidi="ar-SA"/>
              </w:rPr>
              <w:t>4</w:t>
            </w:r>
            <w:r>
              <w:rPr>
                <w:rFonts w:hint="eastAsia" w:ascii="宋体" w:hAnsi="宋体" w:eastAsia="宋体" w:cs="宋体"/>
                <w:b w:val="0"/>
                <w:bCs w:val="0"/>
                <w:color w:val="auto"/>
                <w:kern w:val="2"/>
                <w:sz w:val="24"/>
                <w:szCs w:val="24"/>
                <w:lang w:val="en-US" w:eastAsia="zh-CN" w:bidi="ar-SA"/>
              </w:rPr>
              <w:t>分。</w:t>
            </w:r>
          </w:p>
          <w:p w14:paraId="09F8771C">
            <w:pPr>
              <w:keepNext w:val="0"/>
              <w:keepLines w:val="0"/>
              <w:pageBreakBefore w:val="0"/>
              <w:widowControl w:val="0"/>
              <w:numPr>
                <w:ilvl w:val="0"/>
                <w:numId w:val="3"/>
              </w:numPr>
              <w:kinsoku/>
              <w:wordWrap/>
              <w:overflowPunct/>
              <w:topLinePunct w:val="0"/>
              <w:autoSpaceDE/>
              <w:autoSpaceDN/>
              <w:bidi w:val="0"/>
              <w:adjustRightInd/>
              <w:snapToGrid/>
              <w:spacing w:before="0" w:after="0" w:line="420" w:lineRule="exact"/>
              <w:ind w:left="0" w:leftChars="0" w:firstLine="240" w:firstLineChars="100"/>
              <w:jc w:val="both"/>
              <w:textAlignment w:val="auto"/>
              <w:rPr>
                <w:rFonts w:hint="eastAsia" w:ascii="宋体" w:hAnsi="宋体" w:cs="宋体"/>
                <w:color w:val="auto"/>
                <w:sz w:val="24"/>
                <w:szCs w:val="24"/>
              </w:rPr>
            </w:pPr>
            <w:r>
              <w:rPr>
                <w:rFonts w:hint="eastAsia" w:ascii="宋体" w:hAnsi="宋体" w:cs="宋体"/>
                <w:color w:val="auto"/>
                <w:sz w:val="24"/>
                <w:szCs w:val="24"/>
              </w:rPr>
              <w:t>投标人或所投产品生产厂家获得过省级</w:t>
            </w:r>
            <w:r>
              <w:rPr>
                <w:rFonts w:hint="eastAsia" w:ascii="宋体" w:hAnsi="宋体" w:cs="宋体"/>
                <w:color w:val="auto"/>
                <w:sz w:val="24"/>
                <w:szCs w:val="24"/>
                <w:lang w:val="en-US" w:eastAsia="zh-CN"/>
              </w:rPr>
              <w:t>或</w:t>
            </w:r>
            <w:r>
              <w:rPr>
                <w:rFonts w:hint="eastAsia" w:ascii="宋体" w:hAnsi="宋体" w:cs="宋体"/>
                <w:color w:val="auto"/>
                <w:sz w:val="24"/>
                <w:szCs w:val="24"/>
              </w:rPr>
              <w:t>以上</w:t>
            </w:r>
            <w:r>
              <w:rPr>
                <w:rFonts w:hint="eastAsia" w:ascii="宋体" w:hAnsi="宋体" w:cs="宋体"/>
                <w:color w:val="auto"/>
                <w:sz w:val="24"/>
                <w:szCs w:val="24"/>
                <w:lang w:val="en-US" w:eastAsia="zh-CN"/>
              </w:rPr>
              <w:t>等级的</w:t>
            </w:r>
            <w:r>
              <w:rPr>
                <w:rFonts w:hint="eastAsia" w:ascii="宋体" w:hAnsi="宋体" w:eastAsia="宋体" w:cs="宋体"/>
                <w:b w:val="0"/>
                <w:bCs w:val="0"/>
                <w:color w:val="auto"/>
                <w:kern w:val="2"/>
                <w:sz w:val="24"/>
                <w:szCs w:val="24"/>
                <w:lang w:val="en-US" w:eastAsia="zh-CN" w:bidi="ar-SA"/>
              </w:rPr>
              <w:t>行业协会</w:t>
            </w:r>
            <w:r>
              <w:rPr>
                <w:rFonts w:hint="eastAsia" w:ascii="宋体" w:hAnsi="宋体" w:cs="宋体"/>
                <w:b w:val="0"/>
                <w:bCs w:val="0"/>
                <w:color w:val="auto"/>
                <w:kern w:val="2"/>
                <w:sz w:val="24"/>
                <w:szCs w:val="24"/>
                <w:lang w:val="en-US" w:eastAsia="zh-CN" w:bidi="ar-SA"/>
              </w:rPr>
              <w:t>（或学会）</w:t>
            </w:r>
            <w:r>
              <w:rPr>
                <w:rFonts w:hint="eastAsia" w:ascii="宋体" w:hAnsi="宋体" w:cs="宋体"/>
                <w:color w:val="auto"/>
                <w:sz w:val="24"/>
                <w:szCs w:val="24"/>
                <w:lang w:val="en-US" w:eastAsia="zh-CN"/>
              </w:rPr>
              <w:t>或行政部门颁发的</w:t>
            </w:r>
            <w:r>
              <w:rPr>
                <w:rFonts w:hint="eastAsia" w:ascii="宋体" w:hAnsi="宋体" w:cs="宋体"/>
                <w:color w:val="auto"/>
                <w:sz w:val="24"/>
                <w:szCs w:val="24"/>
              </w:rPr>
              <w:t>水产养殖类主推</w:t>
            </w:r>
            <w:r>
              <w:rPr>
                <w:rFonts w:hint="eastAsia" w:ascii="宋体" w:hAnsi="宋体" w:cs="宋体"/>
                <w:color w:val="auto"/>
                <w:sz w:val="24"/>
                <w:szCs w:val="24"/>
                <w:lang w:val="en-US" w:eastAsia="zh-CN"/>
              </w:rPr>
              <w:t>或示范性</w:t>
            </w:r>
            <w:r>
              <w:rPr>
                <w:rFonts w:hint="eastAsia" w:ascii="宋体" w:hAnsi="宋体" w:cs="宋体"/>
                <w:color w:val="auto"/>
                <w:sz w:val="24"/>
                <w:szCs w:val="24"/>
              </w:rPr>
              <w:t>证书</w:t>
            </w:r>
            <w:r>
              <w:rPr>
                <w:rFonts w:hint="eastAsia" w:ascii="宋体" w:hAnsi="宋体" w:cs="宋体"/>
                <w:color w:val="auto"/>
                <w:sz w:val="24"/>
                <w:szCs w:val="24"/>
                <w:lang w:val="en-US" w:eastAsia="zh-CN"/>
              </w:rPr>
              <w:t>的</w:t>
            </w:r>
            <w:r>
              <w:rPr>
                <w:rFonts w:hint="eastAsia" w:ascii="宋体" w:hAnsi="宋体" w:cs="宋体"/>
                <w:color w:val="auto"/>
                <w:sz w:val="24"/>
                <w:szCs w:val="24"/>
                <w:lang w:eastAsia="zh-CN"/>
              </w:rPr>
              <w:t>，</w:t>
            </w:r>
            <w:r>
              <w:rPr>
                <w:rFonts w:hint="eastAsia" w:ascii="宋体" w:hAnsi="宋体" w:cs="宋体"/>
                <w:color w:val="auto"/>
                <w:sz w:val="24"/>
                <w:szCs w:val="24"/>
              </w:rPr>
              <w:t>得</w:t>
            </w:r>
            <w:r>
              <w:rPr>
                <w:rFonts w:hint="eastAsia" w:ascii="宋体" w:hAnsi="宋体" w:cs="宋体"/>
                <w:color w:val="auto"/>
                <w:sz w:val="24"/>
                <w:szCs w:val="24"/>
                <w:lang w:val="en-US" w:eastAsia="zh-CN"/>
              </w:rPr>
              <w:t>3</w:t>
            </w:r>
            <w:r>
              <w:rPr>
                <w:rFonts w:hint="eastAsia" w:ascii="宋体" w:hAnsi="宋体" w:cs="宋体"/>
                <w:color w:val="auto"/>
                <w:sz w:val="24"/>
                <w:szCs w:val="24"/>
              </w:rPr>
              <w:t>分；获得过</w:t>
            </w:r>
            <w:r>
              <w:rPr>
                <w:rFonts w:hint="eastAsia" w:ascii="宋体" w:hAnsi="宋体" w:cs="宋体"/>
                <w:color w:val="auto"/>
                <w:sz w:val="24"/>
                <w:szCs w:val="24"/>
                <w:lang w:val="en-US" w:eastAsia="zh-CN"/>
              </w:rPr>
              <w:t>市级</w:t>
            </w:r>
            <w:r>
              <w:rPr>
                <w:rFonts w:hint="eastAsia" w:ascii="宋体" w:hAnsi="宋体" w:cs="宋体"/>
                <w:color w:val="auto"/>
                <w:sz w:val="24"/>
                <w:szCs w:val="24"/>
              </w:rPr>
              <w:t>的行业协会（或学会）或行政部门颁发的水产养殖类主推或示范性证书的，得</w:t>
            </w:r>
            <w:r>
              <w:rPr>
                <w:rFonts w:hint="eastAsia" w:ascii="宋体" w:hAnsi="宋体" w:cs="宋体"/>
                <w:color w:val="auto"/>
                <w:sz w:val="24"/>
                <w:szCs w:val="24"/>
                <w:lang w:val="en-US" w:eastAsia="zh-CN"/>
              </w:rPr>
              <w:t>1</w:t>
            </w:r>
            <w:r>
              <w:rPr>
                <w:rFonts w:hint="eastAsia" w:ascii="宋体" w:hAnsi="宋体" w:cs="宋体"/>
                <w:color w:val="auto"/>
                <w:sz w:val="24"/>
                <w:szCs w:val="24"/>
              </w:rPr>
              <w:t>分；本小项最高得</w:t>
            </w:r>
            <w:r>
              <w:rPr>
                <w:rFonts w:hint="eastAsia" w:ascii="宋体" w:hAnsi="宋体" w:cs="宋体"/>
                <w:color w:val="auto"/>
                <w:sz w:val="24"/>
                <w:szCs w:val="24"/>
                <w:lang w:val="en-US" w:eastAsia="zh-CN"/>
              </w:rPr>
              <w:t>3</w:t>
            </w:r>
            <w:r>
              <w:rPr>
                <w:rFonts w:hint="eastAsia" w:ascii="宋体" w:hAnsi="宋体" w:cs="宋体"/>
                <w:color w:val="auto"/>
                <w:sz w:val="24"/>
                <w:szCs w:val="24"/>
              </w:rPr>
              <w:t>分。</w:t>
            </w:r>
          </w:p>
          <w:p w14:paraId="1AE3C74C">
            <w:pPr>
              <w:keepNext w:val="0"/>
              <w:keepLines w:val="0"/>
              <w:pageBreakBefore w:val="0"/>
              <w:widowControl w:val="0"/>
              <w:numPr>
                <w:ilvl w:val="0"/>
                <w:numId w:val="0"/>
              </w:numPr>
              <w:kinsoku/>
              <w:wordWrap/>
              <w:overflowPunct/>
              <w:topLinePunct w:val="0"/>
              <w:autoSpaceDE/>
              <w:autoSpaceDN/>
              <w:bidi w:val="0"/>
              <w:adjustRightInd/>
              <w:snapToGrid/>
              <w:spacing w:before="0" w:after="0" w:line="420" w:lineRule="exact"/>
              <w:ind w:firstLine="482" w:firstLineChars="200"/>
              <w:jc w:val="both"/>
              <w:textAlignment w:val="auto"/>
              <w:rPr>
                <w:rFonts w:hint="eastAsia" w:ascii="宋体" w:hAnsi="宋体" w:cs="宋体"/>
                <w:sz w:val="24"/>
                <w:szCs w:val="24"/>
              </w:rPr>
            </w:pPr>
            <w:r>
              <w:rPr>
                <w:rFonts w:hint="eastAsia" w:ascii="宋体" w:hAnsi="宋体" w:eastAsia="宋体" w:cs="宋体"/>
                <w:b/>
                <w:bCs/>
                <w:color w:val="auto"/>
                <w:kern w:val="2"/>
                <w:sz w:val="24"/>
                <w:szCs w:val="24"/>
                <w:lang w:val="en-US" w:eastAsia="zh-CN" w:bidi="ar-SA"/>
              </w:rPr>
              <w:t>注：本项最高得</w:t>
            </w:r>
            <w:r>
              <w:rPr>
                <w:rFonts w:hint="eastAsia" w:ascii="宋体" w:hAnsi="宋体" w:cs="宋体"/>
                <w:b/>
                <w:bCs/>
                <w:color w:val="auto"/>
                <w:kern w:val="2"/>
                <w:sz w:val="24"/>
                <w:szCs w:val="24"/>
                <w:lang w:val="en-US" w:eastAsia="zh-CN" w:bidi="ar-SA"/>
              </w:rPr>
              <w:t>7</w:t>
            </w:r>
            <w:r>
              <w:rPr>
                <w:rFonts w:hint="eastAsia" w:ascii="宋体" w:hAnsi="宋体" w:eastAsia="宋体" w:cs="宋体"/>
                <w:b/>
                <w:bCs/>
                <w:color w:val="auto"/>
                <w:kern w:val="2"/>
                <w:sz w:val="24"/>
                <w:szCs w:val="24"/>
                <w:lang w:val="en-US" w:eastAsia="zh-CN" w:bidi="ar-SA"/>
              </w:rPr>
              <w:t>分。</w:t>
            </w:r>
            <w:r>
              <w:rPr>
                <w:rFonts w:hint="eastAsia" w:ascii="宋体" w:hAnsi="宋体" w:cs="宋体"/>
                <w:b/>
                <w:bCs/>
                <w:color w:val="auto"/>
                <w:kern w:val="2"/>
                <w:sz w:val="24"/>
                <w:szCs w:val="24"/>
                <w:lang w:val="en-US" w:eastAsia="zh-CN" w:bidi="ar-SA"/>
              </w:rPr>
              <w:t>须</w:t>
            </w:r>
            <w:r>
              <w:rPr>
                <w:rFonts w:hint="eastAsia" w:ascii="宋体" w:hAnsi="宋体" w:eastAsia="宋体" w:cs="宋体"/>
                <w:b/>
                <w:bCs/>
                <w:color w:val="auto"/>
                <w:kern w:val="2"/>
                <w:sz w:val="24"/>
                <w:szCs w:val="24"/>
                <w:lang w:val="en-US" w:eastAsia="zh-CN" w:bidi="ar-SA"/>
              </w:rPr>
              <w:t>提供证书扫描件并加盖公章。如发证单位为协会（或学会）等社会组织的，还需提供该组织在“全国社会组织信用信息公示平台（试运行）”登记备案的网页查询截图，否则不得分。</w:t>
            </w:r>
          </w:p>
        </w:tc>
      </w:tr>
      <w:tr w14:paraId="0F139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jc w:val="center"/>
        </w:trPr>
        <w:tc>
          <w:tcPr>
            <w:tcW w:w="1845" w:type="dxa"/>
            <w:vMerge w:val="continue"/>
            <w:shd w:val="clear" w:color="auto" w:fill="auto"/>
            <w:vAlign w:val="center"/>
          </w:tcPr>
          <w:p w14:paraId="082251E3">
            <w:pPr>
              <w:keepNext w:val="0"/>
              <w:keepLines w:val="0"/>
              <w:pageBreakBefore w:val="0"/>
              <w:widowControl w:val="0"/>
              <w:kinsoku/>
              <w:wordWrap/>
              <w:overflowPunct/>
              <w:topLinePunct w:val="0"/>
              <w:autoSpaceDE/>
              <w:autoSpaceDN/>
              <w:bidi w:val="0"/>
              <w:adjustRightInd/>
              <w:snapToGrid/>
              <w:spacing w:before="0" w:after="0" w:line="460" w:lineRule="exact"/>
              <w:jc w:val="center"/>
              <w:textAlignment w:val="auto"/>
              <w:rPr>
                <w:rFonts w:hint="eastAsia" w:ascii="宋体" w:hAnsi="宋体" w:cs="宋体"/>
                <w:sz w:val="24"/>
                <w:szCs w:val="24"/>
                <w:lang w:val="en-US" w:eastAsia="zh-CN"/>
              </w:rPr>
            </w:pPr>
          </w:p>
        </w:tc>
        <w:tc>
          <w:tcPr>
            <w:tcW w:w="1863" w:type="dxa"/>
            <w:shd w:val="clear" w:color="auto" w:fill="auto"/>
            <w:vAlign w:val="center"/>
          </w:tcPr>
          <w:p w14:paraId="1C1D105E">
            <w:pPr>
              <w:keepNext w:val="0"/>
              <w:keepLines w:val="0"/>
              <w:pageBreakBefore w:val="0"/>
              <w:widowControl w:val="0"/>
              <w:kinsoku/>
              <w:wordWrap/>
              <w:overflowPunct/>
              <w:topLinePunct w:val="0"/>
              <w:autoSpaceDE/>
              <w:autoSpaceDN/>
              <w:bidi w:val="0"/>
              <w:adjustRightInd/>
              <w:snapToGrid/>
              <w:spacing w:before="0" w:after="0" w:line="460" w:lineRule="exact"/>
              <w:jc w:val="center"/>
              <w:textAlignment w:val="auto"/>
              <w:rPr>
                <w:rFonts w:hint="eastAsia" w:ascii="宋体" w:hAnsi="宋体" w:cs="宋体"/>
                <w:sz w:val="24"/>
                <w:szCs w:val="24"/>
                <w:lang w:val="en-US" w:eastAsia="zh-CN"/>
              </w:rPr>
            </w:pPr>
            <w:r>
              <w:rPr>
                <w:rFonts w:hint="eastAsia" w:ascii="宋体" w:hAnsi="宋体" w:cs="宋体"/>
                <w:sz w:val="24"/>
                <w:szCs w:val="24"/>
                <w:lang w:val="en-US" w:eastAsia="zh-CN"/>
              </w:rPr>
              <w:t>企业实力情况</w:t>
            </w:r>
          </w:p>
          <w:p w14:paraId="77D74FD5">
            <w:pPr>
              <w:keepNext w:val="0"/>
              <w:keepLines w:val="0"/>
              <w:pageBreakBefore w:val="0"/>
              <w:widowControl w:val="0"/>
              <w:kinsoku/>
              <w:wordWrap/>
              <w:overflowPunct/>
              <w:topLinePunct w:val="0"/>
              <w:autoSpaceDE/>
              <w:autoSpaceDN/>
              <w:bidi w:val="0"/>
              <w:adjustRightInd/>
              <w:snapToGrid/>
              <w:spacing w:before="0" w:after="0" w:line="460" w:lineRule="exact"/>
              <w:jc w:val="center"/>
              <w:textAlignment w:val="auto"/>
              <w:rPr>
                <w:rFonts w:hint="default" w:ascii="宋体" w:hAnsi="宋体" w:cs="宋体"/>
                <w:sz w:val="24"/>
                <w:szCs w:val="24"/>
                <w:lang w:val="en-US" w:eastAsia="zh-CN"/>
              </w:rPr>
            </w:pPr>
            <w:r>
              <w:rPr>
                <w:rFonts w:hint="eastAsia" w:ascii="宋体" w:hAnsi="宋体" w:cs="宋体"/>
                <w:sz w:val="24"/>
                <w:szCs w:val="24"/>
              </w:rPr>
              <w:t xml:space="preserve">(满分 </w:t>
            </w:r>
            <w:r>
              <w:rPr>
                <w:rFonts w:hint="eastAsia" w:ascii="宋体" w:hAnsi="宋体" w:cs="宋体"/>
                <w:sz w:val="24"/>
                <w:szCs w:val="24"/>
                <w:lang w:val="en-US" w:eastAsia="zh-CN"/>
              </w:rPr>
              <w:t>9</w:t>
            </w:r>
            <w:r>
              <w:rPr>
                <w:rFonts w:hint="eastAsia" w:ascii="宋体" w:hAnsi="宋体" w:cs="宋体"/>
                <w:sz w:val="24"/>
                <w:szCs w:val="24"/>
              </w:rPr>
              <w:t xml:space="preserve"> 分)</w:t>
            </w:r>
          </w:p>
        </w:tc>
        <w:tc>
          <w:tcPr>
            <w:tcW w:w="5760" w:type="dxa"/>
            <w:shd w:val="clear" w:color="auto" w:fill="auto"/>
            <w:vAlign w:val="center"/>
          </w:tcPr>
          <w:p w14:paraId="04026AA4">
            <w:pPr>
              <w:keepNext w:val="0"/>
              <w:keepLines w:val="0"/>
              <w:pageBreakBefore w:val="0"/>
              <w:widowControl w:val="0"/>
              <w:numPr>
                <w:ilvl w:val="0"/>
                <w:numId w:val="0"/>
              </w:numPr>
              <w:kinsoku/>
              <w:wordWrap/>
              <w:overflowPunct/>
              <w:topLinePunct w:val="0"/>
              <w:autoSpaceDE/>
              <w:autoSpaceDN/>
              <w:bidi w:val="0"/>
              <w:adjustRightInd/>
              <w:snapToGrid/>
              <w:spacing w:before="0" w:after="0" w:line="420" w:lineRule="exact"/>
              <w:ind w:firstLine="240" w:firstLineChars="100"/>
              <w:jc w:val="both"/>
              <w:textAlignment w:val="auto"/>
              <w:rPr>
                <w:rFonts w:hint="eastAsia" w:ascii="宋体" w:hAnsi="宋体" w:cs="宋体"/>
                <w:sz w:val="24"/>
                <w:szCs w:val="24"/>
              </w:rPr>
            </w:pPr>
            <w:r>
              <w:rPr>
                <w:rFonts w:hint="eastAsia" w:ascii="宋体" w:hAnsi="宋体" w:eastAsia="宋体" w:cs="宋体"/>
                <w:b w:val="0"/>
                <w:bCs w:val="0"/>
                <w:color w:val="auto"/>
                <w:kern w:val="2"/>
                <w:sz w:val="24"/>
                <w:szCs w:val="24"/>
                <w:lang w:val="en-US" w:eastAsia="zh-CN" w:bidi="ar-SA"/>
              </w:rPr>
              <w:t>投标人或所投产品生产厂家具有国家知识产权局颁发的与深水养殖网箱（或海洋重力式养殖网箱）有关的实用新型专利证书或发明专利证书，每项</w:t>
            </w:r>
            <w:r>
              <w:rPr>
                <w:rFonts w:hint="eastAsia" w:ascii="宋体" w:hAnsi="宋体" w:cs="宋体"/>
                <w:b w:val="0"/>
                <w:bCs w:val="0"/>
                <w:color w:val="auto"/>
                <w:kern w:val="2"/>
                <w:sz w:val="24"/>
                <w:szCs w:val="24"/>
                <w:lang w:val="en-US" w:eastAsia="zh-CN" w:bidi="ar-SA"/>
              </w:rPr>
              <w:t>专利</w:t>
            </w:r>
            <w:r>
              <w:rPr>
                <w:rFonts w:hint="eastAsia" w:ascii="宋体" w:hAnsi="宋体" w:eastAsia="宋体" w:cs="宋体"/>
                <w:b w:val="0"/>
                <w:bCs w:val="0"/>
                <w:color w:val="auto"/>
                <w:kern w:val="2"/>
                <w:sz w:val="24"/>
                <w:szCs w:val="24"/>
                <w:lang w:val="en-US" w:eastAsia="zh-CN" w:bidi="ar-SA"/>
              </w:rPr>
              <w:t>得</w:t>
            </w:r>
            <w:r>
              <w:rPr>
                <w:rFonts w:hint="eastAsia" w:ascii="宋体" w:hAnsi="宋体" w:cs="宋体"/>
                <w:b w:val="0"/>
                <w:bCs w:val="0"/>
                <w:color w:val="auto"/>
                <w:kern w:val="2"/>
                <w:sz w:val="24"/>
                <w:szCs w:val="24"/>
                <w:lang w:val="en-US" w:eastAsia="zh-CN" w:bidi="ar-SA"/>
              </w:rPr>
              <w:t>3</w:t>
            </w:r>
            <w:r>
              <w:rPr>
                <w:rFonts w:hint="eastAsia" w:ascii="宋体" w:hAnsi="宋体" w:eastAsia="宋体" w:cs="宋体"/>
                <w:b w:val="0"/>
                <w:bCs w:val="0"/>
                <w:color w:val="auto"/>
                <w:kern w:val="2"/>
                <w:sz w:val="24"/>
                <w:szCs w:val="24"/>
                <w:lang w:val="en-US" w:eastAsia="zh-CN" w:bidi="ar-SA"/>
              </w:rPr>
              <w:t>分</w:t>
            </w:r>
            <w:r>
              <w:rPr>
                <w:rFonts w:hint="eastAsia" w:ascii="宋体" w:hAnsi="宋体" w:cs="宋体"/>
                <w:b w:val="0"/>
                <w:bCs w:val="0"/>
                <w:color w:val="auto"/>
                <w:kern w:val="2"/>
                <w:sz w:val="24"/>
                <w:szCs w:val="24"/>
                <w:lang w:val="en-US" w:eastAsia="zh-CN" w:bidi="ar-SA"/>
              </w:rPr>
              <w:t>，本项最高得9分</w:t>
            </w:r>
            <w:r>
              <w:rPr>
                <w:rFonts w:hint="eastAsia" w:ascii="宋体" w:hAnsi="宋体" w:eastAsia="宋体" w:cs="宋体"/>
                <w:b w:val="0"/>
                <w:bCs w:val="0"/>
                <w:color w:val="auto"/>
                <w:kern w:val="2"/>
                <w:sz w:val="24"/>
                <w:szCs w:val="24"/>
                <w:lang w:val="en-US" w:eastAsia="zh-CN" w:bidi="ar-SA"/>
              </w:rPr>
              <w:t xml:space="preserve">。  </w:t>
            </w:r>
          </w:p>
          <w:p w14:paraId="4E5305DD">
            <w:pPr>
              <w:keepNext w:val="0"/>
              <w:keepLines w:val="0"/>
              <w:pageBreakBefore w:val="0"/>
              <w:widowControl/>
              <w:suppressLineNumbers w:val="0"/>
              <w:kinsoku/>
              <w:wordWrap/>
              <w:overflowPunct/>
              <w:topLinePunct w:val="0"/>
              <w:autoSpaceDE/>
              <w:autoSpaceDN/>
              <w:bidi w:val="0"/>
              <w:adjustRightInd/>
              <w:snapToGrid/>
              <w:spacing w:line="420" w:lineRule="exact"/>
              <w:ind w:firstLine="241" w:firstLineChars="100"/>
              <w:jc w:val="left"/>
              <w:textAlignment w:val="auto"/>
              <w:rPr>
                <w:rFonts w:hint="eastAsia" w:ascii="宋体" w:hAnsi="宋体" w:cs="宋体"/>
                <w:sz w:val="24"/>
                <w:szCs w:val="24"/>
                <w:lang w:val="en-US" w:eastAsia="zh-CN"/>
              </w:rPr>
            </w:pPr>
            <w:r>
              <w:rPr>
                <w:rFonts w:hint="eastAsia" w:ascii="宋体" w:hAnsi="宋体" w:eastAsia="宋体" w:cs="宋体"/>
                <w:b/>
                <w:bCs/>
                <w:color w:val="auto"/>
                <w:kern w:val="2"/>
                <w:sz w:val="24"/>
                <w:szCs w:val="24"/>
                <w:lang w:val="en-US" w:eastAsia="zh-CN" w:bidi="ar-SA"/>
              </w:rPr>
              <w:t>注：</w:t>
            </w:r>
            <w:r>
              <w:rPr>
                <w:rFonts w:hint="eastAsia" w:ascii="宋体" w:hAnsi="宋体" w:cs="宋体"/>
                <w:b/>
                <w:bCs/>
                <w:color w:val="auto"/>
                <w:kern w:val="2"/>
                <w:sz w:val="24"/>
                <w:szCs w:val="24"/>
                <w:lang w:val="en-US" w:eastAsia="zh-CN" w:bidi="ar-SA"/>
              </w:rPr>
              <w:t>须</w:t>
            </w:r>
            <w:r>
              <w:rPr>
                <w:rFonts w:hint="eastAsia" w:ascii="宋体" w:hAnsi="宋体" w:eastAsia="宋体" w:cs="宋体"/>
                <w:b/>
                <w:bCs/>
                <w:color w:val="auto"/>
                <w:kern w:val="2"/>
                <w:sz w:val="24"/>
                <w:szCs w:val="24"/>
                <w:lang w:val="en-US" w:eastAsia="zh-CN" w:bidi="ar-SA"/>
              </w:rPr>
              <w:t>提供证书扫描件并加盖公章。</w:t>
            </w:r>
          </w:p>
        </w:tc>
      </w:tr>
      <w:tr w14:paraId="03A8C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jc w:val="center"/>
        </w:trPr>
        <w:tc>
          <w:tcPr>
            <w:tcW w:w="1845" w:type="dxa"/>
            <w:vMerge w:val="continue"/>
            <w:shd w:val="clear" w:color="auto" w:fill="auto"/>
            <w:vAlign w:val="center"/>
          </w:tcPr>
          <w:p w14:paraId="1FBED3C0">
            <w:pPr>
              <w:keepNext w:val="0"/>
              <w:keepLines w:val="0"/>
              <w:pageBreakBefore w:val="0"/>
              <w:widowControl w:val="0"/>
              <w:kinsoku/>
              <w:wordWrap/>
              <w:overflowPunct/>
              <w:topLinePunct w:val="0"/>
              <w:autoSpaceDE/>
              <w:autoSpaceDN/>
              <w:bidi w:val="0"/>
              <w:adjustRightInd/>
              <w:snapToGrid/>
              <w:spacing w:before="0" w:after="0" w:line="460" w:lineRule="exact"/>
              <w:jc w:val="center"/>
              <w:textAlignment w:val="auto"/>
              <w:rPr>
                <w:rFonts w:hint="eastAsia" w:ascii="宋体" w:hAnsi="宋体" w:cs="宋体"/>
                <w:sz w:val="24"/>
                <w:szCs w:val="24"/>
                <w:lang w:val="en-US" w:eastAsia="zh-CN"/>
              </w:rPr>
            </w:pPr>
          </w:p>
        </w:tc>
        <w:tc>
          <w:tcPr>
            <w:tcW w:w="1863" w:type="dxa"/>
            <w:shd w:val="clear" w:color="auto" w:fill="auto"/>
            <w:vAlign w:val="center"/>
          </w:tcPr>
          <w:p w14:paraId="7051C4F3">
            <w:pPr>
              <w:keepNext w:val="0"/>
              <w:keepLines w:val="0"/>
              <w:pageBreakBefore w:val="0"/>
              <w:widowControl w:val="0"/>
              <w:kinsoku/>
              <w:wordWrap/>
              <w:overflowPunct/>
              <w:topLinePunct w:val="0"/>
              <w:autoSpaceDE/>
              <w:autoSpaceDN/>
              <w:bidi w:val="0"/>
              <w:adjustRightInd/>
              <w:snapToGrid/>
              <w:spacing w:before="0" w:after="0" w:line="460" w:lineRule="exact"/>
              <w:jc w:val="center"/>
              <w:textAlignment w:val="auto"/>
              <w:rPr>
                <w:rFonts w:hint="eastAsia" w:ascii="宋体" w:hAnsi="宋体" w:cs="宋体"/>
                <w:sz w:val="24"/>
                <w:szCs w:val="24"/>
              </w:rPr>
            </w:pPr>
            <w:r>
              <w:rPr>
                <w:rFonts w:hint="eastAsia" w:ascii="宋体" w:hAnsi="宋体" w:cs="宋体"/>
                <w:sz w:val="24"/>
                <w:szCs w:val="24"/>
              </w:rPr>
              <w:t xml:space="preserve">体系认证 </w:t>
            </w:r>
          </w:p>
          <w:p w14:paraId="41A4F47D">
            <w:pPr>
              <w:keepNext w:val="0"/>
              <w:keepLines w:val="0"/>
              <w:pageBreakBefore w:val="0"/>
              <w:widowControl w:val="0"/>
              <w:kinsoku/>
              <w:wordWrap/>
              <w:overflowPunct/>
              <w:topLinePunct w:val="0"/>
              <w:autoSpaceDE/>
              <w:autoSpaceDN/>
              <w:bidi w:val="0"/>
              <w:adjustRightInd/>
              <w:snapToGrid/>
              <w:spacing w:before="0" w:after="0" w:line="460" w:lineRule="exact"/>
              <w:jc w:val="center"/>
              <w:textAlignment w:val="auto"/>
              <w:rPr>
                <w:rFonts w:hint="eastAsia" w:ascii="宋体" w:hAnsi="宋体" w:cs="宋体"/>
                <w:sz w:val="24"/>
                <w:szCs w:val="24"/>
              </w:rPr>
            </w:pPr>
            <w:r>
              <w:rPr>
                <w:rFonts w:hint="eastAsia" w:ascii="宋体" w:hAnsi="宋体" w:cs="宋体"/>
                <w:sz w:val="24"/>
                <w:szCs w:val="24"/>
              </w:rPr>
              <w:t xml:space="preserve">（满分 </w:t>
            </w:r>
            <w:r>
              <w:rPr>
                <w:rFonts w:hint="eastAsia" w:ascii="宋体" w:hAnsi="宋体" w:cs="宋体"/>
                <w:sz w:val="24"/>
                <w:szCs w:val="24"/>
                <w:lang w:val="en-US" w:eastAsia="zh-CN"/>
              </w:rPr>
              <w:t>4</w:t>
            </w:r>
            <w:r>
              <w:rPr>
                <w:rFonts w:hint="eastAsia" w:ascii="宋体" w:hAnsi="宋体" w:cs="宋体"/>
                <w:sz w:val="24"/>
                <w:szCs w:val="24"/>
              </w:rPr>
              <w:t xml:space="preserve"> 分）</w:t>
            </w:r>
          </w:p>
        </w:tc>
        <w:tc>
          <w:tcPr>
            <w:tcW w:w="5760" w:type="dxa"/>
            <w:shd w:val="clear" w:color="auto" w:fill="auto"/>
            <w:vAlign w:val="center"/>
          </w:tcPr>
          <w:p w14:paraId="58F0CA47">
            <w:pPr>
              <w:keepNext w:val="0"/>
              <w:keepLines w:val="0"/>
              <w:pageBreakBefore w:val="0"/>
              <w:widowControl/>
              <w:suppressLineNumbers w:val="0"/>
              <w:kinsoku/>
              <w:wordWrap/>
              <w:overflowPunct/>
              <w:topLinePunct w:val="0"/>
              <w:autoSpaceDE/>
              <w:autoSpaceDN/>
              <w:bidi w:val="0"/>
              <w:adjustRightInd/>
              <w:snapToGrid/>
              <w:spacing w:line="420" w:lineRule="exact"/>
              <w:ind w:firstLine="240" w:firstLineChars="100"/>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投标人同时具有①质量管理体系认证证书、②职业健康安全管理体系认证证书、③环境管理体系认证证书的，得4分；缺少上述任意一项的，得2分；缺少上述任意两项的，得1分；不满足上述要求的不得分；本项最高得4分。</w:t>
            </w:r>
          </w:p>
          <w:p w14:paraId="61A5BFFC">
            <w:pPr>
              <w:keepNext w:val="0"/>
              <w:keepLines w:val="0"/>
              <w:pageBreakBefore w:val="0"/>
              <w:widowControl/>
              <w:suppressLineNumbers w:val="0"/>
              <w:kinsoku/>
              <w:wordWrap/>
              <w:overflowPunct/>
              <w:topLinePunct w:val="0"/>
              <w:autoSpaceDE/>
              <w:autoSpaceDN/>
              <w:bidi w:val="0"/>
              <w:adjustRightInd/>
              <w:snapToGrid/>
              <w:spacing w:line="420" w:lineRule="exact"/>
              <w:ind w:firstLine="241" w:firstLineChars="100"/>
              <w:jc w:val="left"/>
              <w:textAlignment w:val="auto"/>
              <w:rPr>
                <w:rFonts w:hint="eastAsia" w:ascii="宋体" w:hAnsi="宋体" w:cs="宋体"/>
                <w:sz w:val="24"/>
                <w:szCs w:val="24"/>
                <w:lang w:val="en-US" w:eastAsia="zh-CN"/>
              </w:rPr>
            </w:pPr>
            <w:r>
              <w:rPr>
                <w:rFonts w:hint="eastAsia" w:ascii="宋体" w:hAnsi="宋体" w:cs="宋体"/>
                <w:b/>
                <w:bCs/>
                <w:sz w:val="24"/>
                <w:szCs w:val="24"/>
                <w:lang w:val="en-US" w:eastAsia="zh-CN"/>
              </w:rPr>
              <w:t>注：证书须在有效期内。须提供证书扫描件，未提供不得分。</w:t>
            </w:r>
          </w:p>
        </w:tc>
      </w:tr>
      <w:tr w14:paraId="780A4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jc w:val="center"/>
        </w:trPr>
        <w:tc>
          <w:tcPr>
            <w:tcW w:w="1845" w:type="dxa"/>
            <w:vMerge w:val="restart"/>
            <w:shd w:val="clear" w:color="auto" w:fill="auto"/>
            <w:vAlign w:val="center"/>
          </w:tcPr>
          <w:p w14:paraId="61DB3FCC">
            <w:pPr>
              <w:keepNext w:val="0"/>
              <w:keepLines w:val="0"/>
              <w:pageBreakBefore w:val="0"/>
              <w:widowControl w:val="0"/>
              <w:kinsoku/>
              <w:wordWrap/>
              <w:overflowPunct/>
              <w:topLinePunct w:val="0"/>
              <w:autoSpaceDE/>
              <w:autoSpaceDN/>
              <w:bidi w:val="0"/>
              <w:adjustRightInd/>
              <w:snapToGrid/>
              <w:spacing w:before="0" w:after="0" w:line="460" w:lineRule="exact"/>
              <w:jc w:val="center"/>
              <w:textAlignment w:val="auto"/>
              <w:rPr>
                <w:rFonts w:hint="eastAsia" w:ascii="宋体" w:hAnsi="宋体" w:cs="宋体"/>
                <w:sz w:val="24"/>
                <w:szCs w:val="24"/>
                <w:lang w:val="en-US" w:eastAsia="zh-CN"/>
              </w:rPr>
            </w:pPr>
            <w:r>
              <w:rPr>
                <w:rFonts w:hint="eastAsia" w:ascii="宋体" w:hAnsi="宋体" w:cs="宋体"/>
                <w:sz w:val="24"/>
                <w:szCs w:val="24"/>
                <w:lang w:val="en-US" w:eastAsia="zh-CN"/>
              </w:rPr>
              <w:t>F2、技术部分</w:t>
            </w:r>
          </w:p>
          <w:p w14:paraId="00753872">
            <w:pPr>
              <w:keepNext w:val="0"/>
              <w:keepLines w:val="0"/>
              <w:pageBreakBefore w:val="0"/>
              <w:widowControl w:val="0"/>
              <w:kinsoku/>
              <w:wordWrap/>
              <w:overflowPunct/>
              <w:topLinePunct w:val="0"/>
              <w:autoSpaceDE/>
              <w:autoSpaceDN/>
              <w:bidi w:val="0"/>
              <w:adjustRightInd/>
              <w:snapToGrid/>
              <w:spacing w:before="0" w:after="0" w:line="460" w:lineRule="exact"/>
              <w:jc w:val="center"/>
              <w:textAlignment w:val="auto"/>
              <w:rPr>
                <w:rFonts w:hint="eastAsia" w:ascii="宋体" w:hAnsi="宋体" w:cs="宋体"/>
                <w:sz w:val="24"/>
                <w:szCs w:val="24"/>
                <w:lang w:val="en-US" w:eastAsia="zh-CN"/>
              </w:rPr>
            </w:pPr>
            <w:r>
              <w:rPr>
                <w:rFonts w:hint="eastAsia" w:ascii="宋体" w:hAnsi="宋体" w:cs="宋体"/>
                <w:sz w:val="24"/>
                <w:szCs w:val="24"/>
                <w:lang w:val="en-US" w:eastAsia="zh-CN"/>
              </w:rPr>
              <w:t>评审</w:t>
            </w:r>
          </w:p>
          <w:p w14:paraId="3FF08426">
            <w:pPr>
              <w:keepNext w:val="0"/>
              <w:keepLines w:val="0"/>
              <w:pageBreakBefore w:val="0"/>
              <w:widowControl w:val="0"/>
              <w:kinsoku/>
              <w:wordWrap/>
              <w:overflowPunct/>
              <w:topLinePunct w:val="0"/>
              <w:autoSpaceDE/>
              <w:autoSpaceDN/>
              <w:bidi w:val="0"/>
              <w:adjustRightInd/>
              <w:snapToGrid/>
              <w:spacing w:before="0" w:after="0" w:line="460" w:lineRule="exact"/>
              <w:jc w:val="center"/>
              <w:textAlignment w:val="auto"/>
              <w:rPr>
                <w:rFonts w:hint="eastAsia" w:ascii="宋体" w:hAnsi="宋体" w:cs="宋体"/>
                <w:sz w:val="24"/>
                <w:szCs w:val="24"/>
                <w:lang w:val="en-US" w:eastAsia="zh-CN"/>
              </w:rPr>
            </w:pPr>
            <w:r>
              <w:rPr>
                <w:rFonts w:hint="eastAsia" w:ascii="宋体" w:hAnsi="宋体" w:cs="宋体"/>
                <w:sz w:val="24"/>
                <w:szCs w:val="24"/>
                <w:lang w:val="en-US" w:eastAsia="zh-CN"/>
              </w:rPr>
              <w:t>（40 分）</w:t>
            </w:r>
          </w:p>
        </w:tc>
        <w:tc>
          <w:tcPr>
            <w:tcW w:w="1863" w:type="dxa"/>
            <w:shd w:val="clear" w:color="auto" w:fill="auto"/>
            <w:vAlign w:val="center"/>
          </w:tcPr>
          <w:p w14:paraId="312133A3">
            <w:pPr>
              <w:keepNext w:val="0"/>
              <w:keepLines w:val="0"/>
              <w:pageBreakBefore w:val="0"/>
              <w:widowControl w:val="0"/>
              <w:kinsoku/>
              <w:wordWrap/>
              <w:overflowPunct/>
              <w:topLinePunct w:val="0"/>
              <w:autoSpaceDE/>
              <w:autoSpaceDN/>
              <w:bidi w:val="0"/>
              <w:adjustRightInd/>
              <w:snapToGrid/>
              <w:spacing w:before="0" w:after="0" w:line="460" w:lineRule="exact"/>
              <w:jc w:val="center"/>
              <w:textAlignment w:val="auto"/>
              <w:rPr>
                <w:rFonts w:hint="eastAsia" w:ascii="宋体" w:hAnsi="宋体" w:cs="宋体"/>
                <w:sz w:val="24"/>
                <w:szCs w:val="24"/>
              </w:rPr>
            </w:pPr>
            <w:r>
              <w:rPr>
                <w:rFonts w:hint="eastAsia" w:ascii="宋体" w:hAnsi="宋体" w:cs="宋体"/>
                <w:sz w:val="24"/>
                <w:szCs w:val="24"/>
              </w:rPr>
              <w:t>项目技术设计方案</w:t>
            </w:r>
          </w:p>
          <w:p w14:paraId="7BE5E6BA">
            <w:pPr>
              <w:keepNext w:val="0"/>
              <w:keepLines w:val="0"/>
              <w:pageBreakBefore w:val="0"/>
              <w:widowControl w:val="0"/>
              <w:kinsoku/>
              <w:wordWrap/>
              <w:overflowPunct/>
              <w:topLinePunct w:val="0"/>
              <w:autoSpaceDE/>
              <w:autoSpaceDN/>
              <w:bidi w:val="0"/>
              <w:adjustRightInd/>
              <w:snapToGrid/>
              <w:spacing w:before="0" w:after="0" w:line="460" w:lineRule="exact"/>
              <w:jc w:val="center"/>
              <w:textAlignment w:val="auto"/>
              <w:rPr>
                <w:rFonts w:hint="eastAsia" w:ascii="宋体" w:hAnsi="宋体" w:cs="宋体"/>
                <w:sz w:val="24"/>
                <w:szCs w:val="24"/>
              </w:rPr>
            </w:pPr>
            <w:r>
              <w:rPr>
                <w:rFonts w:hint="eastAsia" w:ascii="宋体" w:hAnsi="宋体" w:cs="宋体"/>
                <w:sz w:val="24"/>
                <w:szCs w:val="24"/>
              </w:rPr>
              <w:t>（满分</w:t>
            </w:r>
            <w:r>
              <w:rPr>
                <w:rFonts w:hint="eastAsia" w:ascii="宋体" w:hAnsi="宋体" w:cs="宋体"/>
                <w:sz w:val="24"/>
                <w:szCs w:val="24"/>
                <w:lang w:val="en-US" w:eastAsia="zh-CN"/>
              </w:rPr>
              <w:t>15</w:t>
            </w:r>
            <w:r>
              <w:rPr>
                <w:rFonts w:hint="eastAsia" w:ascii="宋体" w:hAnsi="宋体" w:cs="宋体"/>
                <w:sz w:val="24"/>
                <w:szCs w:val="24"/>
              </w:rPr>
              <w:t>分）</w:t>
            </w:r>
          </w:p>
        </w:tc>
        <w:tc>
          <w:tcPr>
            <w:tcW w:w="5760" w:type="dxa"/>
            <w:shd w:val="clear" w:color="auto" w:fill="auto"/>
            <w:vAlign w:val="center"/>
          </w:tcPr>
          <w:p w14:paraId="72080D05">
            <w:pPr>
              <w:keepNext w:val="0"/>
              <w:keepLines w:val="0"/>
              <w:pageBreakBefore w:val="0"/>
              <w:widowControl w:val="0"/>
              <w:kinsoku/>
              <w:wordWrap/>
              <w:overflowPunct/>
              <w:topLinePunct w:val="0"/>
              <w:autoSpaceDE/>
              <w:autoSpaceDN/>
              <w:bidi w:val="0"/>
              <w:adjustRightInd/>
              <w:snapToGrid/>
              <w:spacing w:before="0" w:after="0" w:line="400" w:lineRule="exact"/>
              <w:ind w:firstLine="240" w:firstLineChars="100"/>
              <w:jc w:val="both"/>
              <w:textAlignment w:val="auto"/>
              <w:rPr>
                <w:rFonts w:hint="eastAsia" w:ascii="宋体" w:hAnsi="宋体" w:eastAsia="宋体" w:cs="宋体"/>
                <w:sz w:val="24"/>
                <w:szCs w:val="24"/>
                <w:lang w:eastAsia="zh-CN"/>
              </w:rPr>
            </w:pPr>
            <w:r>
              <w:rPr>
                <w:rFonts w:hint="eastAsia" w:ascii="宋体" w:hAnsi="宋体" w:cs="宋体"/>
                <w:sz w:val="24"/>
                <w:szCs w:val="24"/>
                <w:lang w:val="en-US" w:eastAsia="zh-CN"/>
              </w:rPr>
              <w:t>投标人</w:t>
            </w:r>
            <w:r>
              <w:rPr>
                <w:rFonts w:hint="eastAsia" w:ascii="宋体" w:hAnsi="宋体" w:cs="宋体"/>
                <w:sz w:val="24"/>
                <w:szCs w:val="24"/>
              </w:rPr>
              <w:t>针对本项目的技术设计方案（包括但不限于：对网箱的整体设计、框架生产、网衣生产、锚固系统等的方案）进行评价</w:t>
            </w:r>
            <w:r>
              <w:rPr>
                <w:rFonts w:hint="eastAsia" w:ascii="宋体" w:hAnsi="宋体" w:cs="宋体"/>
                <w:sz w:val="24"/>
                <w:szCs w:val="24"/>
                <w:lang w:eastAsia="zh-CN"/>
              </w:rPr>
              <w:t>：</w:t>
            </w:r>
          </w:p>
          <w:p w14:paraId="1EC132B5">
            <w:pPr>
              <w:keepNext w:val="0"/>
              <w:keepLines w:val="0"/>
              <w:pageBreakBefore w:val="0"/>
              <w:widowControl w:val="0"/>
              <w:kinsoku/>
              <w:wordWrap/>
              <w:overflowPunct/>
              <w:topLinePunct w:val="0"/>
              <w:autoSpaceDE/>
              <w:autoSpaceDN/>
              <w:bidi w:val="0"/>
              <w:adjustRightInd/>
              <w:snapToGrid/>
              <w:spacing w:before="0" w:after="0" w:line="400" w:lineRule="exact"/>
              <w:ind w:firstLine="240" w:firstLineChars="100"/>
              <w:jc w:val="both"/>
              <w:textAlignment w:val="auto"/>
              <w:rPr>
                <w:rFonts w:hint="eastAsia" w:ascii="宋体" w:hAnsi="宋体" w:cs="宋体"/>
                <w:sz w:val="24"/>
                <w:szCs w:val="24"/>
              </w:rPr>
            </w:pPr>
            <w:r>
              <w:rPr>
                <w:rFonts w:hint="eastAsia" w:ascii="宋体" w:hAnsi="宋体" w:cs="宋体"/>
                <w:sz w:val="24"/>
                <w:szCs w:val="24"/>
              </w:rPr>
              <w:t xml:space="preserve">优良：项目技术设计方案详细、具体，内容齐全，技术设计方法合理可行的，得11-15分；  </w:t>
            </w:r>
          </w:p>
          <w:p w14:paraId="2731C0FB">
            <w:pPr>
              <w:keepNext w:val="0"/>
              <w:keepLines w:val="0"/>
              <w:pageBreakBefore w:val="0"/>
              <w:widowControl w:val="0"/>
              <w:kinsoku/>
              <w:wordWrap/>
              <w:overflowPunct/>
              <w:topLinePunct w:val="0"/>
              <w:autoSpaceDE/>
              <w:autoSpaceDN/>
              <w:bidi w:val="0"/>
              <w:adjustRightInd/>
              <w:snapToGrid/>
              <w:spacing w:before="0" w:after="0" w:line="400" w:lineRule="exact"/>
              <w:ind w:firstLine="240" w:firstLineChars="100"/>
              <w:jc w:val="both"/>
              <w:textAlignment w:val="auto"/>
              <w:rPr>
                <w:rFonts w:hint="eastAsia" w:ascii="宋体" w:hAnsi="宋体" w:cs="宋体"/>
                <w:sz w:val="24"/>
                <w:szCs w:val="24"/>
              </w:rPr>
            </w:pPr>
            <w:r>
              <w:rPr>
                <w:rFonts w:hint="eastAsia" w:ascii="宋体" w:hAnsi="宋体" w:cs="宋体"/>
                <w:sz w:val="24"/>
                <w:szCs w:val="24"/>
              </w:rPr>
              <w:t xml:space="preserve">合格：项目技术设计方案基本满足要求，内容较齐全，技术设计方法基本合理可行的，得6-10分；  </w:t>
            </w:r>
          </w:p>
          <w:p w14:paraId="1B68F5AC">
            <w:pPr>
              <w:keepNext w:val="0"/>
              <w:keepLines w:val="0"/>
              <w:pageBreakBefore w:val="0"/>
              <w:widowControl w:val="0"/>
              <w:kinsoku/>
              <w:wordWrap/>
              <w:overflowPunct/>
              <w:topLinePunct w:val="0"/>
              <w:autoSpaceDE/>
              <w:autoSpaceDN/>
              <w:bidi w:val="0"/>
              <w:adjustRightInd/>
              <w:snapToGrid/>
              <w:spacing w:before="0" w:after="0" w:line="400" w:lineRule="exact"/>
              <w:ind w:firstLine="240" w:firstLineChars="100"/>
              <w:jc w:val="both"/>
              <w:textAlignment w:val="auto"/>
              <w:rPr>
                <w:rFonts w:hint="eastAsia" w:ascii="宋体" w:hAnsi="宋体" w:cs="宋体"/>
                <w:sz w:val="24"/>
                <w:szCs w:val="24"/>
              </w:rPr>
            </w:pPr>
            <w:r>
              <w:rPr>
                <w:rFonts w:hint="eastAsia" w:ascii="宋体" w:hAnsi="宋体" w:cs="宋体"/>
                <w:sz w:val="24"/>
                <w:szCs w:val="24"/>
              </w:rPr>
              <w:t>不合格：项目技术设计方案基本内容阐述缺项，</w:t>
            </w:r>
            <w:r>
              <w:rPr>
                <w:rFonts w:hint="eastAsia" w:ascii="宋体" w:hAnsi="宋体" w:cs="宋体"/>
                <w:sz w:val="24"/>
                <w:szCs w:val="24"/>
                <w:lang w:val="en-US" w:eastAsia="zh-CN"/>
              </w:rPr>
              <w:t>技术</w:t>
            </w:r>
            <w:r>
              <w:rPr>
                <w:rFonts w:hint="eastAsia" w:ascii="宋体" w:hAnsi="宋体" w:cs="宋体"/>
                <w:sz w:val="24"/>
                <w:szCs w:val="24"/>
              </w:rPr>
              <w:t>设计方法不能满足要求的，得0-5分。</w:t>
            </w:r>
          </w:p>
        </w:tc>
      </w:tr>
      <w:tr w14:paraId="4196F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jc w:val="center"/>
        </w:trPr>
        <w:tc>
          <w:tcPr>
            <w:tcW w:w="1845" w:type="dxa"/>
            <w:vMerge w:val="continue"/>
            <w:shd w:val="clear" w:color="auto" w:fill="auto"/>
            <w:vAlign w:val="center"/>
          </w:tcPr>
          <w:p w14:paraId="3B104ABA">
            <w:pPr>
              <w:keepNext w:val="0"/>
              <w:keepLines w:val="0"/>
              <w:pageBreakBefore w:val="0"/>
              <w:widowControl w:val="0"/>
              <w:kinsoku/>
              <w:wordWrap/>
              <w:overflowPunct/>
              <w:topLinePunct w:val="0"/>
              <w:autoSpaceDE/>
              <w:autoSpaceDN/>
              <w:bidi w:val="0"/>
              <w:adjustRightInd/>
              <w:snapToGrid/>
              <w:spacing w:before="0" w:after="0" w:line="460" w:lineRule="exact"/>
              <w:jc w:val="center"/>
              <w:textAlignment w:val="auto"/>
              <w:rPr>
                <w:rFonts w:hint="eastAsia" w:ascii="宋体" w:hAnsi="宋体" w:cs="宋体"/>
                <w:sz w:val="24"/>
                <w:szCs w:val="24"/>
                <w:lang w:val="en-US" w:eastAsia="zh-CN"/>
              </w:rPr>
            </w:pPr>
          </w:p>
        </w:tc>
        <w:tc>
          <w:tcPr>
            <w:tcW w:w="1863" w:type="dxa"/>
            <w:shd w:val="clear" w:color="auto" w:fill="auto"/>
            <w:vAlign w:val="center"/>
          </w:tcPr>
          <w:p w14:paraId="4987F7CB">
            <w:pPr>
              <w:keepNext w:val="0"/>
              <w:keepLines w:val="0"/>
              <w:pageBreakBefore w:val="0"/>
              <w:widowControl w:val="0"/>
              <w:kinsoku/>
              <w:wordWrap/>
              <w:overflowPunct/>
              <w:topLinePunct w:val="0"/>
              <w:autoSpaceDE/>
              <w:autoSpaceDN/>
              <w:bidi w:val="0"/>
              <w:adjustRightInd/>
              <w:snapToGrid/>
              <w:spacing w:before="0" w:after="0" w:line="460" w:lineRule="exact"/>
              <w:jc w:val="center"/>
              <w:textAlignment w:val="auto"/>
              <w:rPr>
                <w:rFonts w:hint="eastAsia" w:ascii="宋体" w:hAnsi="宋体" w:cs="宋体"/>
                <w:sz w:val="24"/>
                <w:szCs w:val="24"/>
              </w:rPr>
            </w:pPr>
            <w:r>
              <w:rPr>
                <w:rFonts w:hint="eastAsia" w:ascii="宋体" w:hAnsi="宋体" w:cs="宋体"/>
                <w:sz w:val="24"/>
                <w:szCs w:val="24"/>
              </w:rPr>
              <w:t>项目实施方案</w:t>
            </w:r>
          </w:p>
          <w:p w14:paraId="6916C507">
            <w:pPr>
              <w:keepNext w:val="0"/>
              <w:keepLines w:val="0"/>
              <w:pageBreakBefore w:val="0"/>
              <w:widowControl w:val="0"/>
              <w:kinsoku/>
              <w:wordWrap/>
              <w:overflowPunct/>
              <w:topLinePunct w:val="0"/>
              <w:autoSpaceDE/>
              <w:autoSpaceDN/>
              <w:bidi w:val="0"/>
              <w:adjustRightInd/>
              <w:snapToGrid/>
              <w:spacing w:before="0" w:after="0" w:line="460" w:lineRule="exact"/>
              <w:jc w:val="center"/>
              <w:textAlignment w:val="auto"/>
              <w:rPr>
                <w:rFonts w:hint="eastAsia" w:ascii="宋体" w:hAnsi="宋体" w:cs="宋体"/>
                <w:sz w:val="24"/>
                <w:szCs w:val="24"/>
              </w:rPr>
            </w:pPr>
            <w:r>
              <w:rPr>
                <w:rFonts w:hint="eastAsia" w:ascii="宋体" w:hAnsi="宋体" w:cs="宋体"/>
                <w:sz w:val="24"/>
                <w:szCs w:val="24"/>
              </w:rPr>
              <w:t>（满分</w:t>
            </w:r>
            <w:r>
              <w:rPr>
                <w:rFonts w:hint="eastAsia" w:ascii="宋体" w:hAnsi="宋体" w:cs="宋体"/>
                <w:sz w:val="24"/>
                <w:szCs w:val="24"/>
                <w:lang w:val="en-US" w:eastAsia="zh-CN"/>
              </w:rPr>
              <w:t>15</w:t>
            </w:r>
            <w:r>
              <w:rPr>
                <w:rFonts w:hint="eastAsia" w:ascii="宋体" w:hAnsi="宋体" w:cs="宋体"/>
                <w:sz w:val="24"/>
                <w:szCs w:val="24"/>
              </w:rPr>
              <w:t>分）</w:t>
            </w:r>
          </w:p>
        </w:tc>
        <w:tc>
          <w:tcPr>
            <w:tcW w:w="5760" w:type="dxa"/>
            <w:shd w:val="clear" w:color="auto" w:fill="auto"/>
            <w:vAlign w:val="center"/>
          </w:tcPr>
          <w:p w14:paraId="0DADFC95">
            <w:pPr>
              <w:keepNext w:val="0"/>
              <w:keepLines w:val="0"/>
              <w:pageBreakBefore w:val="0"/>
              <w:widowControl w:val="0"/>
              <w:kinsoku/>
              <w:wordWrap/>
              <w:overflowPunct/>
              <w:topLinePunct w:val="0"/>
              <w:autoSpaceDE/>
              <w:autoSpaceDN/>
              <w:bidi w:val="0"/>
              <w:adjustRightInd/>
              <w:snapToGrid/>
              <w:spacing w:before="0" w:after="0" w:line="400" w:lineRule="exact"/>
              <w:ind w:firstLine="240" w:firstLineChars="100"/>
              <w:jc w:val="both"/>
              <w:textAlignment w:val="auto"/>
              <w:rPr>
                <w:rFonts w:hint="eastAsia" w:ascii="宋体" w:hAnsi="宋体" w:cs="宋体"/>
                <w:sz w:val="24"/>
                <w:szCs w:val="24"/>
              </w:rPr>
            </w:pPr>
            <w:r>
              <w:rPr>
                <w:rFonts w:hint="eastAsia" w:ascii="宋体" w:hAnsi="宋体" w:cs="宋体"/>
                <w:sz w:val="24"/>
                <w:szCs w:val="24"/>
                <w:lang w:val="en-US" w:eastAsia="zh-CN"/>
              </w:rPr>
              <w:t>投标人</w:t>
            </w:r>
            <w:r>
              <w:rPr>
                <w:rFonts w:hint="eastAsia" w:ascii="宋体" w:hAnsi="宋体" w:cs="宋体"/>
                <w:sz w:val="24"/>
                <w:szCs w:val="24"/>
              </w:rPr>
              <w:t>针对本项目的实施方案（包括但不限于：对网箱框架生产施工、网衣生产施工、项目进度计划、资源配置、网箱验收等的方案）进行评价：</w:t>
            </w:r>
          </w:p>
          <w:p w14:paraId="37E3E313">
            <w:pPr>
              <w:keepNext w:val="0"/>
              <w:keepLines w:val="0"/>
              <w:pageBreakBefore w:val="0"/>
              <w:widowControl w:val="0"/>
              <w:kinsoku/>
              <w:wordWrap/>
              <w:overflowPunct/>
              <w:topLinePunct w:val="0"/>
              <w:autoSpaceDE/>
              <w:autoSpaceDN/>
              <w:bidi w:val="0"/>
              <w:adjustRightInd/>
              <w:snapToGrid/>
              <w:spacing w:before="0" w:after="0" w:line="400" w:lineRule="exact"/>
              <w:ind w:firstLine="240" w:firstLineChars="100"/>
              <w:jc w:val="both"/>
              <w:textAlignment w:val="auto"/>
              <w:rPr>
                <w:rFonts w:hint="eastAsia" w:ascii="宋体" w:hAnsi="宋体" w:cs="宋体"/>
                <w:sz w:val="24"/>
                <w:szCs w:val="24"/>
              </w:rPr>
            </w:pPr>
            <w:r>
              <w:rPr>
                <w:rFonts w:hint="eastAsia" w:ascii="宋体" w:hAnsi="宋体" w:cs="宋体"/>
                <w:sz w:val="24"/>
                <w:szCs w:val="24"/>
              </w:rPr>
              <w:t xml:space="preserve">优良：项目实施方案完整、全面，实施措施合理性、可行性强，生产人员、设备齐全，能满足本项目安装生产实施的，得11-15分；  </w:t>
            </w:r>
          </w:p>
          <w:p w14:paraId="36ED5AB7">
            <w:pPr>
              <w:keepNext w:val="0"/>
              <w:keepLines w:val="0"/>
              <w:pageBreakBefore w:val="0"/>
              <w:widowControl w:val="0"/>
              <w:kinsoku/>
              <w:wordWrap/>
              <w:overflowPunct/>
              <w:topLinePunct w:val="0"/>
              <w:autoSpaceDE/>
              <w:autoSpaceDN/>
              <w:bidi w:val="0"/>
              <w:adjustRightInd/>
              <w:snapToGrid/>
              <w:spacing w:before="0" w:after="0" w:line="400" w:lineRule="exact"/>
              <w:ind w:firstLine="240" w:firstLineChars="100"/>
              <w:jc w:val="both"/>
              <w:textAlignment w:val="auto"/>
              <w:rPr>
                <w:rFonts w:hint="eastAsia" w:ascii="宋体" w:hAnsi="宋体" w:cs="宋体"/>
                <w:sz w:val="24"/>
                <w:szCs w:val="24"/>
              </w:rPr>
            </w:pPr>
            <w:r>
              <w:rPr>
                <w:rFonts w:hint="eastAsia" w:ascii="宋体" w:hAnsi="宋体" w:cs="宋体"/>
                <w:sz w:val="24"/>
                <w:szCs w:val="24"/>
              </w:rPr>
              <w:t xml:space="preserve">合格：项目实施方案较完整，实施措施合理性、可行性一般，生产人员、设备较齐全，基本满足本项目安装生产实施的，得6-10分；   </w:t>
            </w:r>
          </w:p>
          <w:p w14:paraId="35D7C141">
            <w:pPr>
              <w:keepNext w:val="0"/>
              <w:keepLines w:val="0"/>
              <w:pageBreakBefore w:val="0"/>
              <w:widowControl w:val="0"/>
              <w:kinsoku/>
              <w:wordWrap/>
              <w:overflowPunct/>
              <w:topLinePunct w:val="0"/>
              <w:autoSpaceDE/>
              <w:autoSpaceDN/>
              <w:bidi w:val="0"/>
              <w:adjustRightInd/>
              <w:snapToGrid/>
              <w:spacing w:before="0" w:after="0" w:line="400" w:lineRule="exact"/>
              <w:ind w:firstLine="240" w:firstLineChars="100"/>
              <w:jc w:val="both"/>
              <w:textAlignment w:val="auto"/>
              <w:rPr>
                <w:rFonts w:hint="eastAsia" w:ascii="宋体" w:hAnsi="宋体" w:cs="宋体"/>
                <w:sz w:val="24"/>
                <w:szCs w:val="24"/>
              </w:rPr>
            </w:pPr>
            <w:r>
              <w:rPr>
                <w:rFonts w:hint="eastAsia" w:ascii="宋体" w:hAnsi="宋体" w:cs="宋体"/>
                <w:sz w:val="24"/>
                <w:szCs w:val="24"/>
              </w:rPr>
              <w:t>不合格：项目实施方案基本内容阐述缺项，生产人员、设备欠缺，实施措施不能满足本项目安装生产实施的，得0-5分。</w:t>
            </w:r>
          </w:p>
        </w:tc>
      </w:tr>
      <w:tr w14:paraId="5AE02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jc w:val="center"/>
        </w:trPr>
        <w:tc>
          <w:tcPr>
            <w:tcW w:w="1845" w:type="dxa"/>
            <w:vMerge w:val="continue"/>
            <w:shd w:val="clear" w:color="auto" w:fill="auto"/>
            <w:vAlign w:val="center"/>
          </w:tcPr>
          <w:p w14:paraId="2CB51FD8">
            <w:pPr>
              <w:keepNext w:val="0"/>
              <w:keepLines w:val="0"/>
              <w:pageBreakBefore w:val="0"/>
              <w:widowControl w:val="0"/>
              <w:kinsoku/>
              <w:wordWrap/>
              <w:overflowPunct/>
              <w:topLinePunct w:val="0"/>
              <w:autoSpaceDE/>
              <w:autoSpaceDN/>
              <w:bidi w:val="0"/>
              <w:adjustRightInd/>
              <w:snapToGrid/>
              <w:spacing w:before="0" w:after="0" w:line="460" w:lineRule="exact"/>
              <w:jc w:val="center"/>
              <w:textAlignment w:val="auto"/>
              <w:rPr>
                <w:rFonts w:hint="eastAsia" w:ascii="宋体" w:hAnsi="宋体" w:cs="宋体"/>
                <w:sz w:val="24"/>
                <w:szCs w:val="24"/>
                <w:lang w:val="en-US" w:eastAsia="zh-CN"/>
              </w:rPr>
            </w:pPr>
          </w:p>
        </w:tc>
        <w:tc>
          <w:tcPr>
            <w:tcW w:w="1863" w:type="dxa"/>
            <w:shd w:val="clear" w:color="auto" w:fill="auto"/>
            <w:vAlign w:val="center"/>
          </w:tcPr>
          <w:p w14:paraId="76BBE86D">
            <w:pPr>
              <w:keepNext w:val="0"/>
              <w:keepLines w:val="0"/>
              <w:pageBreakBefore w:val="0"/>
              <w:widowControl w:val="0"/>
              <w:kinsoku/>
              <w:wordWrap/>
              <w:overflowPunct/>
              <w:topLinePunct w:val="0"/>
              <w:autoSpaceDE/>
              <w:autoSpaceDN/>
              <w:bidi w:val="0"/>
              <w:adjustRightInd/>
              <w:snapToGrid/>
              <w:spacing w:before="0" w:after="0" w:line="460" w:lineRule="exact"/>
              <w:jc w:val="center"/>
              <w:textAlignment w:val="auto"/>
              <w:rPr>
                <w:rFonts w:hint="eastAsia" w:ascii="宋体" w:hAnsi="宋体" w:cs="宋体"/>
                <w:sz w:val="24"/>
                <w:szCs w:val="24"/>
              </w:rPr>
            </w:pPr>
            <w:r>
              <w:rPr>
                <w:rFonts w:hint="eastAsia" w:ascii="宋体" w:hAnsi="宋体" w:cs="宋体"/>
                <w:sz w:val="24"/>
                <w:szCs w:val="24"/>
              </w:rPr>
              <w:t>应急预案</w:t>
            </w:r>
          </w:p>
          <w:p w14:paraId="00F4A0FE">
            <w:pPr>
              <w:keepNext w:val="0"/>
              <w:keepLines w:val="0"/>
              <w:pageBreakBefore w:val="0"/>
              <w:widowControl w:val="0"/>
              <w:kinsoku/>
              <w:wordWrap/>
              <w:overflowPunct/>
              <w:topLinePunct w:val="0"/>
              <w:autoSpaceDE/>
              <w:autoSpaceDN/>
              <w:bidi w:val="0"/>
              <w:adjustRightInd/>
              <w:snapToGrid/>
              <w:spacing w:before="0" w:after="0" w:line="460" w:lineRule="exact"/>
              <w:jc w:val="center"/>
              <w:textAlignment w:val="auto"/>
              <w:rPr>
                <w:rFonts w:hint="eastAsia" w:ascii="宋体" w:hAnsi="宋体" w:cs="宋体"/>
                <w:sz w:val="24"/>
                <w:szCs w:val="24"/>
              </w:rPr>
            </w:pPr>
            <w:r>
              <w:rPr>
                <w:rFonts w:hint="eastAsia" w:ascii="宋体" w:hAnsi="宋体" w:cs="宋体"/>
                <w:sz w:val="24"/>
                <w:szCs w:val="24"/>
              </w:rPr>
              <w:t>（满分</w:t>
            </w:r>
            <w:r>
              <w:rPr>
                <w:rFonts w:hint="eastAsia" w:ascii="宋体" w:hAnsi="宋体" w:cs="宋体"/>
                <w:sz w:val="24"/>
                <w:szCs w:val="24"/>
                <w:lang w:val="en-US" w:eastAsia="zh-CN"/>
              </w:rPr>
              <w:t>10</w:t>
            </w:r>
            <w:r>
              <w:rPr>
                <w:rFonts w:hint="eastAsia" w:ascii="宋体" w:hAnsi="宋体" w:cs="宋体"/>
                <w:sz w:val="24"/>
                <w:szCs w:val="24"/>
              </w:rPr>
              <w:t>分）</w:t>
            </w:r>
          </w:p>
        </w:tc>
        <w:tc>
          <w:tcPr>
            <w:tcW w:w="5760" w:type="dxa"/>
            <w:shd w:val="clear" w:color="auto" w:fill="auto"/>
            <w:vAlign w:val="center"/>
          </w:tcPr>
          <w:p w14:paraId="64C1B2BE">
            <w:pPr>
              <w:keepNext w:val="0"/>
              <w:keepLines w:val="0"/>
              <w:pageBreakBefore w:val="0"/>
              <w:widowControl w:val="0"/>
              <w:kinsoku/>
              <w:wordWrap/>
              <w:overflowPunct/>
              <w:topLinePunct w:val="0"/>
              <w:autoSpaceDE/>
              <w:autoSpaceDN/>
              <w:bidi w:val="0"/>
              <w:adjustRightInd/>
              <w:snapToGrid/>
              <w:spacing w:before="0" w:after="0" w:line="400" w:lineRule="exact"/>
              <w:ind w:firstLine="240" w:firstLineChars="100"/>
              <w:jc w:val="both"/>
              <w:textAlignment w:val="auto"/>
              <w:rPr>
                <w:rFonts w:hint="eastAsia" w:ascii="宋体" w:hAnsi="宋体" w:cs="宋体"/>
                <w:sz w:val="24"/>
                <w:szCs w:val="24"/>
              </w:rPr>
            </w:pPr>
            <w:r>
              <w:rPr>
                <w:rFonts w:hint="eastAsia" w:ascii="宋体" w:hAnsi="宋体" w:cs="宋体"/>
                <w:sz w:val="24"/>
                <w:szCs w:val="24"/>
                <w:lang w:val="en-US" w:eastAsia="zh-CN"/>
              </w:rPr>
              <w:t>投标人</w:t>
            </w:r>
            <w:r>
              <w:rPr>
                <w:rFonts w:hint="eastAsia" w:ascii="宋体" w:hAnsi="宋体" w:cs="宋体"/>
                <w:sz w:val="24"/>
                <w:szCs w:val="24"/>
              </w:rPr>
              <w:t>针对本项目的应急预案（包括但不限于：对网箱生产、网箱安装、项目抗台风等的应急方案）进行评价：</w:t>
            </w:r>
          </w:p>
          <w:p w14:paraId="152587B6">
            <w:pPr>
              <w:keepNext w:val="0"/>
              <w:keepLines w:val="0"/>
              <w:pageBreakBefore w:val="0"/>
              <w:widowControl w:val="0"/>
              <w:kinsoku/>
              <w:wordWrap/>
              <w:overflowPunct/>
              <w:topLinePunct w:val="0"/>
              <w:autoSpaceDE/>
              <w:autoSpaceDN/>
              <w:bidi w:val="0"/>
              <w:adjustRightInd/>
              <w:snapToGrid/>
              <w:spacing w:before="0" w:after="0" w:line="400" w:lineRule="exact"/>
              <w:ind w:firstLine="240" w:firstLineChars="100"/>
              <w:jc w:val="both"/>
              <w:textAlignment w:val="auto"/>
              <w:rPr>
                <w:rFonts w:hint="eastAsia" w:ascii="宋体" w:hAnsi="宋体" w:cs="宋体"/>
                <w:sz w:val="24"/>
                <w:szCs w:val="24"/>
              </w:rPr>
            </w:pPr>
            <w:r>
              <w:rPr>
                <w:rFonts w:hint="eastAsia" w:ascii="宋体" w:hAnsi="宋体" w:cs="宋体"/>
                <w:sz w:val="24"/>
                <w:szCs w:val="24"/>
              </w:rPr>
              <w:t>优良：应急预案科学全面，能有效解决临时任务需求，应急措施可行性高的，得</w:t>
            </w:r>
            <w:r>
              <w:rPr>
                <w:rFonts w:hint="eastAsia" w:ascii="宋体" w:hAnsi="宋体" w:cs="宋体"/>
                <w:sz w:val="24"/>
                <w:szCs w:val="24"/>
                <w:lang w:val="en-US" w:eastAsia="zh-CN"/>
              </w:rPr>
              <w:t>8-10</w:t>
            </w:r>
            <w:r>
              <w:rPr>
                <w:rFonts w:hint="eastAsia" w:ascii="宋体" w:hAnsi="宋体" w:cs="宋体"/>
                <w:sz w:val="24"/>
                <w:szCs w:val="24"/>
              </w:rPr>
              <w:t xml:space="preserve">分；  </w:t>
            </w:r>
          </w:p>
          <w:p w14:paraId="742D2812">
            <w:pPr>
              <w:keepNext w:val="0"/>
              <w:keepLines w:val="0"/>
              <w:pageBreakBefore w:val="0"/>
              <w:widowControl w:val="0"/>
              <w:kinsoku/>
              <w:wordWrap/>
              <w:overflowPunct/>
              <w:topLinePunct w:val="0"/>
              <w:autoSpaceDE/>
              <w:autoSpaceDN/>
              <w:bidi w:val="0"/>
              <w:adjustRightInd/>
              <w:snapToGrid/>
              <w:spacing w:before="0" w:after="0" w:line="400" w:lineRule="exact"/>
              <w:ind w:firstLine="240" w:firstLineChars="100"/>
              <w:jc w:val="both"/>
              <w:textAlignment w:val="auto"/>
              <w:rPr>
                <w:rFonts w:hint="eastAsia" w:ascii="宋体" w:hAnsi="宋体" w:cs="宋体"/>
                <w:sz w:val="24"/>
                <w:szCs w:val="24"/>
              </w:rPr>
            </w:pPr>
            <w:r>
              <w:rPr>
                <w:rFonts w:hint="eastAsia" w:ascii="宋体" w:hAnsi="宋体" w:cs="宋体"/>
                <w:sz w:val="24"/>
                <w:szCs w:val="24"/>
              </w:rPr>
              <w:t>合格：应急预案较科学，应急措施可行性一般的，得</w:t>
            </w:r>
            <w:r>
              <w:rPr>
                <w:rFonts w:hint="eastAsia" w:ascii="宋体" w:hAnsi="宋体" w:cs="宋体"/>
                <w:sz w:val="24"/>
                <w:szCs w:val="24"/>
                <w:lang w:val="en-US" w:eastAsia="zh-CN"/>
              </w:rPr>
              <w:t>4-7</w:t>
            </w:r>
            <w:r>
              <w:rPr>
                <w:rFonts w:hint="eastAsia" w:ascii="宋体" w:hAnsi="宋体" w:cs="宋体"/>
                <w:sz w:val="24"/>
                <w:szCs w:val="24"/>
              </w:rPr>
              <w:t xml:space="preserve">分；   </w:t>
            </w:r>
          </w:p>
          <w:p w14:paraId="4571E80D">
            <w:pPr>
              <w:keepNext w:val="0"/>
              <w:keepLines w:val="0"/>
              <w:pageBreakBefore w:val="0"/>
              <w:widowControl w:val="0"/>
              <w:kinsoku/>
              <w:wordWrap/>
              <w:overflowPunct/>
              <w:topLinePunct w:val="0"/>
              <w:autoSpaceDE/>
              <w:autoSpaceDN/>
              <w:bidi w:val="0"/>
              <w:adjustRightInd/>
              <w:snapToGrid/>
              <w:spacing w:before="0" w:after="0" w:line="400" w:lineRule="exact"/>
              <w:ind w:firstLine="240" w:firstLineChars="100"/>
              <w:jc w:val="both"/>
              <w:textAlignment w:val="auto"/>
              <w:rPr>
                <w:rFonts w:hint="eastAsia" w:ascii="宋体" w:hAnsi="宋体" w:cs="宋体"/>
                <w:sz w:val="24"/>
                <w:szCs w:val="24"/>
              </w:rPr>
            </w:pPr>
            <w:r>
              <w:rPr>
                <w:rFonts w:hint="eastAsia" w:ascii="宋体" w:hAnsi="宋体" w:cs="宋体"/>
                <w:sz w:val="24"/>
                <w:szCs w:val="24"/>
              </w:rPr>
              <w:t>不合格：应急预案缺乏基本内容，不能解决临时任务需求的，得0-</w:t>
            </w:r>
            <w:r>
              <w:rPr>
                <w:rFonts w:hint="eastAsia" w:ascii="宋体" w:hAnsi="宋体" w:cs="宋体"/>
                <w:sz w:val="24"/>
                <w:szCs w:val="24"/>
                <w:lang w:val="en-US" w:eastAsia="zh-CN"/>
              </w:rPr>
              <w:t>3</w:t>
            </w:r>
            <w:r>
              <w:rPr>
                <w:rFonts w:hint="eastAsia" w:ascii="宋体" w:hAnsi="宋体" w:cs="宋体"/>
                <w:sz w:val="24"/>
                <w:szCs w:val="24"/>
              </w:rPr>
              <w:t>分。</w:t>
            </w:r>
          </w:p>
        </w:tc>
      </w:tr>
      <w:tr w14:paraId="244BF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jc w:val="center"/>
        </w:trPr>
        <w:tc>
          <w:tcPr>
            <w:tcW w:w="9468" w:type="dxa"/>
            <w:gridSpan w:val="3"/>
            <w:shd w:val="clear" w:color="auto" w:fill="auto"/>
            <w:vAlign w:val="center"/>
          </w:tcPr>
          <w:p w14:paraId="0F2220D6">
            <w:pPr>
              <w:keepNext w:val="0"/>
              <w:keepLines w:val="0"/>
              <w:pageBreakBefore w:val="0"/>
              <w:widowControl w:val="0"/>
              <w:kinsoku/>
              <w:wordWrap/>
              <w:overflowPunct/>
              <w:topLinePunct w:val="0"/>
              <w:autoSpaceDE/>
              <w:autoSpaceDN/>
              <w:bidi w:val="0"/>
              <w:adjustRightInd/>
              <w:snapToGrid/>
              <w:spacing w:before="0" w:after="0" w:line="400" w:lineRule="exact"/>
              <w:ind w:firstLine="240" w:firstLineChars="100"/>
              <w:jc w:val="both"/>
              <w:textAlignment w:val="auto"/>
              <w:rPr>
                <w:rFonts w:hint="eastAsia" w:ascii="宋体" w:hAnsi="宋体" w:cs="宋体"/>
                <w:sz w:val="24"/>
                <w:szCs w:val="24"/>
              </w:rPr>
            </w:pPr>
            <w:r>
              <w:rPr>
                <w:rFonts w:hint="eastAsia" w:ascii="宋体" w:hAnsi="宋体" w:cs="宋体"/>
                <w:sz w:val="24"/>
                <w:szCs w:val="24"/>
              </w:rPr>
              <w:t>说明：每位评委对每个投标人的“技术部分”文件进行评审记分，将所有评委的评分汇总后去掉一个最高分和一个最低分</w:t>
            </w:r>
            <w:r>
              <w:rPr>
                <w:rFonts w:hint="eastAsia" w:ascii="宋体" w:hAnsi="宋体" w:cs="宋体"/>
                <w:sz w:val="24"/>
                <w:szCs w:val="24"/>
                <w:lang w:val="en-US" w:eastAsia="zh-CN"/>
              </w:rPr>
              <w:t>后</w:t>
            </w:r>
            <w:r>
              <w:rPr>
                <w:rFonts w:hint="eastAsia" w:ascii="宋体" w:hAnsi="宋体" w:cs="宋体"/>
                <w:sz w:val="24"/>
                <w:szCs w:val="24"/>
              </w:rPr>
              <w:t>取算术平均值，即为该投标人的技术评审得分。</w:t>
            </w:r>
          </w:p>
        </w:tc>
      </w:tr>
      <w:tr w14:paraId="4F068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jc w:val="center"/>
        </w:trPr>
        <w:tc>
          <w:tcPr>
            <w:tcW w:w="1845" w:type="dxa"/>
            <w:shd w:val="clear" w:color="auto" w:fill="auto"/>
            <w:vAlign w:val="center"/>
          </w:tcPr>
          <w:p w14:paraId="309E7A1B">
            <w:pPr>
              <w:keepNext w:val="0"/>
              <w:keepLines w:val="0"/>
              <w:pageBreakBefore w:val="0"/>
              <w:widowControl w:val="0"/>
              <w:kinsoku/>
              <w:wordWrap/>
              <w:overflowPunct/>
              <w:topLinePunct w:val="0"/>
              <w:autoSpaceDE/>
              <w:autoSpaceDN/>
              <w:bidi w:val="0"/>
              <w:adjustRightInd/>
              <w:snapToGrid/>
              <w:spacing w:before="0" w:after="0" w:line="460" w:lineRule="exact"/>
              <w:jc w:val="center"/>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F</w:t>
            </w:r>
            <w:r>
              <w:rPr>
                <w:rFonts w:hint="eastAsia" w:ascii="宋体" w:hAnsi="宋体" w:cs="宋体"/>
                <w:sz w:val="24"/>
                <w:szCs w:val="24"/>
                <w:lang w:val="en-US" w:eastAsia="zh-CN"/>
              </w:rPr>
              <w:t>3</w:t>
            </w:r>
            <w:r>
              <w:rPr>
                <w:rFonts w:hint="default" w:ascii="宋体" w:hAnsi="宋体" w:eastAsia="宋体" w:cs="宋体"/>
                <w:sz w:val="24"/>
                <w:szCs w:val="24"/>
                <w:lang w:val="en-US" w:eastAsia="zh-CN"/>
              </w:rPr>
              <w:t>、报价部分</w:t>
            </w:r>
          </w:p>
          <w:p w14:paraId="655F5392">
            <w:pPr>
              <w:keepNext w:val="0"/>
              <w:keepLines w:val="0"/>
              <w:pageBreakBefore w:val="0"/>
              <w:widowControl w:val="0"/>
              <w:kinsoku/>
              <w:wordWrap/>
              <w:overflowPunct/>
              <w:topLinePunct w:val="0"/>
              <w:autoSpaceDE/>
              <w:autoSpaceDN/>
              <w:bidi w:val="0"/>
              <w:adjustRightInd/>
              <w:snapToGrid/>
              <w:spacing w:before="0" w:after="0" w:line="460" w:lineRule="exact"/>
              <w:jc w:val="center"/>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评审</w:t>
            </w:r>
          </w:p>
          <w:p w14:paraId="7B1730AA">
            <w:pPr>
              <w:keepNext w:val="0"/>
              <w:keepLines w:val="0"/>
              <w:pageBreakBefore w:val="0"/>
              <w:widowControl w:val="0"/>
              <w:kinsoku/>
              <w:wordWrap/>
              <w:overflowPunct/>
              <w:topLinePunct w:val="0"/>
              <w:autoSpaceDE/>
              <w:autoSpaceDN/>
              <w:bidi w:val="0"/>
              <w:adjustRightInd/>
              <w:snapToGrid/>
              <w:spacing w:before="0" w:after="0" w:line="460" w:lineRule="exact"/>
              <w:jc w:val="center"/>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w:t>
            </w:r>
            <w:r>
              <w:rPr>
                <w:rFonts w:hint="eastAsia" w:ascii="宋体" w:hAnsi="宋体" w:cs="宋体"/>
                <w:sz w:val="24"/>
                <w:szCs w:val="24"/>
                <w:lang w:val="en-US" w:eastAsia="zh-CN"/>
              </w:rPr>
              <w:t>3</w:t>
            </w:r>
            <w:r>
              <w:rPr>
                <w:rFonts w:hint="default" w:ascii="宋体" w:hAnsi="宋体" w:eastAsia="宋体" w:cs="宋体"/>
                <w:sz w:val="24"/>
                <w:szCs w:val="24"/>
                <w:lang w:val="en-US" w:eastAsia="zh-CN"/>
              </w:rPr>
              <w:t>0 分)</w:t>
            </w:r>
          </w:p>
        </w:tc>
        <w:tc>
          <w:tcPr>
            <w:tcW w:w="1863" w:type="dxa"/>
            <w:shd w:val="clear" w:color="auto" w:fill="auto"/>
            <w:vAlign w:val="center"/>
          </w:tcPr>
          <w:p w14:paraId="4E6F04DA">
            <w:pPr>
              <w:keepNext w:val="0"/>
              <w:keepLines w:val="0"/>
              <w:pageBreakBefore w:val="0"/>
              <w:widowControl w:val="0"/>
              <w:kinsoku/>
              <w:wordWrap/>
              <w:overflowPunct/>
              <w:topLinePunct w:val="0"/>
              <w:autoSpaceDE/>
              <w:autoSpaceDN/>
              <w:bidi w:val="0"/>
              <w:adjustRightInd/>
              <w:snapToGrid/>
              <w:spacing w:before="0" w:after="0" w:line="460" w:lineRule="exact"/>
              <w:jc w:val="center"/>
              <w:textAlignment w:val="auto"/>
              <w:rPr>
                <w:rFonts w:hint="eastAsia" w:ascii="宋体" w:hAnsi="宋体" w:cs="宋体"/>
                <w:color w:val="auto"/>
                <w:sz w:val="24"/>
                <w:szCs w:val="24"/>
              </w:rPr>
            </w:pPr>
            <w:r>
              <w:rPr>
                <w:rFonts w:hint="eastAsia" w:ascii="宋体" w:hAnsi="宋体" w:cs="宋体"/>
                <w:color w:val="auto"/>
                <w:sz w:val="24"/>
                <w:szCs w:val="24"/>
              </w:rPr>
              <w:t>报价得分</w:t>
            </w:r>
          </w:p>
          <w:p w14:paraId="470FDDA3">
            <w:pPr>
              <w:keepNext w:val="0"/>
              <w:keepLines w:val="0"/>
              <w:pageBreakBefore w:val="0"/>
              <w:widowControl w:val="0"/>
              <w:kinsoku/>
              <w:wordWrap/>
              <w:overflowPunct/>
              <w:topLinePunct w:val="0"/>
              <w:autoSpaceDE/>
              <w:autoSpaceDN/>
              <w:bidi w:val="0"/>
              <w:adjustRightInd/>
              <w:snapToGrid/>
              <w:spacing w:before="0" w:after="0" w:line="460" w:lineRule="exact"/>
              <w:jc w:val="center"/>
              <w:textAlignment w:val="auto"/>
              <w:rPr>
                <w:rFonts w:hint="eastAsia" w:ascii="宋体" w:hAnsi="宋体" w:cs="宋体"/>
                <w:color w:val="auto"/>
                <w:sz w:val="24"/>
                <w:szCs w:val="24"/>
              </w:rPr>
            </w:pPr>
            <w:r>
              <w:rPr>
                <w:rFonts w:hint="eastAsia" w:ascii="宋体" w:hAnsi="宋体" w:cs="宋体"/>
                <w:color w:val="auto"/>
                <w:sz w:val="24"/>
                <w:szCs w:val="24"/>
              </w:rPr>
              <w:t xml:space="preserve">(满分 </w:t>
            </w:r>
            <w:r>
              <w:rPr>
                <w:rFonts w:hint="eastAsia" w:ascii="宋体" w:hAnsi="宋体" w:cs="宋体"/>
                <w:color w:val="auto"/>
                <w:sz w:val="24"/>
                <w:szCs w:val="24"/>
                <w:lang w:val="en-US" w:eastAsia="zh-CN"/>
              </w:rPr>
              <w:t>3</w:t>
            </w:r>
            <w:r>
              <w:rPr>
                <w:rFonts w:hint="eastAsia" w:ascii="宋体" w:hAnsi="宋体" w:cs="宋体"/>
                <w:color w:val="auto"/>
                <w:sz w:val="24"/>
                <w:szCs w:val="24"/>
              </w:rPr>
              <w:t>0 分)</w:t>
            </w:r>
          </w:p>
        </w:tc>
        <w:tc>
          <w:tcPr>
            <w:tcW w:w="5760" w:type="dxa"/>
            <w:shd w:val="clear" w:color="auto" w:fill="auto"/>
            <w:vAlign w:val="center"/>
          </w:tcPr>
          <w:p w14:paraId="7AD2CCC3">
            <w:pPr>
              <w:keepNext w:val="0"/>
              <w:keepLines w:val="0"/>
              <w:pageBreakBefore w:val="0"/>
              <w:widowControl w:val="0"/>
              <w:kinsoku/>
              <w:wordWrap/>
              <w:overflowPunct/>
              <w:topLinePunct w:val="0"/>
              <w:autoSpaceDE/>
              <w:autoSpaceDN/>
              <w:bidi w:val="0"/>
              <w:adjustRightInd/>
              <w:snapToGrid/>
              <w:spacing w:before="0" w:after="0" w:line="400" w:lineRule="exact"/>
              <w:ind w:firstLine="240" w:firstLineChars="100"/>
              <w:jc w:val="both"/>
              <w:textAlignment w:val="auto"/>
              <w:rPr>
                <w:rFonts w:hint="eastAsia" w:ascii="宋体" w:hAnsi="宋体" w:cs="宋体"/>
                <w:color w:val="auto"/>
                <w:sz w:val="24"/>
                <w:szCs w:val="24"/>
              </w:rPr>
            </w:pPr>
            <w:r>
              <w:rPr>
                <w:rFonts w:hint="eastAsia" w:ascii="宋体" w:hAnsi="宋体" w:cs="宋体"/>
                <w:color w:val="auto"/>
                <w:sz w:val="24"/>
                <w:szCs w:val="24"/>
              </w:rPr>
              <w:t>1.评标基准价的确定</w:t>
            </w:r>
          </w:p>
          <w:p w14:paraId="76E2BB70">
            <w:pPr>
              <w:keepNext w:val="0"/>
              <w:keepLines w:val="0"/>
              <w:pageBreakBefore w:val="0"/>
              <w:widowControl w:val="0"/>
              <w:kinsoku/>
              <w:wordWrap/>
              <w:overflowPunct/>
              <w:topLinePunct w:val="0"/>
              <w:autoSpaceDE/>
              <w:autoSpaceDN/>
              <w:bidi w:val="0"/>
              <w:adjustRightInd/>
              <w:snapToGrid/>
              <w:spacing w:before="0" w:after="0" w:line="400" w:lineRule="exact"/>
              <w:ind w:firstLine="240" w:firstLineChars="100"/>
              <w:jc w:val="both"/>
              <w:textAlignment w:val="auto"/>
              <w:rPr>
                <w:rFonts w:hint="eastAsia" w:ascii="宋体" w:hAnsi="宋体" w:cs="宋体"/>
                <w:color w:val="auto"/>
                <w:sz w:val="24"/>
                <w:szCs w:val="24"/>
              </w:rPr>
            </w:pPr>
            <w:r>
              <w:rPr>
                <w:rFonts w:hint="eastAsia" w:ascii="宋体" w:hAnsi="宋体" w:cs="宋体"/>
                <w:color w:val="auto"/>
                <w:sz w:val="24"/>
                <w:szCs w:val="24"/>
              </w:rPr>
              <w:t>第一步：将所有投标人有效的报价进行算术平均计算出算术平均值（P）。</w:t>
            </w:r>
          </w:p>
          <w:p w14:paraId="67A34264">
            <w:pPr>
              <w:keepNext w:val="0"/>
              <w:keepLines w:val="0"/>
              <w:pageBreakBefore w:val="0"/>
              <w:widowControl w:val="0"/>
              <w:kinsoku/>
              <w:wordWrap/>
              <w:overflowPunct/>
              <w:topLinePunct w:val="0"/>
              <w:autoSpaceDE/>
              <w:autoSpaceDN/>
              <w:bidi w:val="0"/>
              <w:adjustRightInd/>
              <w:snapToGrid/>
              <w:spacing w:before="0" w:after="0" w:line="400" w:lineRule="exact"/>
              <w:ind w:firstLine="240" w:firstLineChars="100"/>
              <w:jc w:val="both"/>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第二步：在招标人代表、监管部门代表的共同监督下，由评标委员会主任在97%至101%之间（每0.5%一个级差）随机抽取K值</w:t>
            </w:r>
            <w:r>
              <w:rPr>
                <w:rFonts w:hint="eastAsia" w:ascii="宋体" w:hAnsi="宋体" w:cs="宋体"/>
                <w:color w:val="auto"/>
                <w:sz w:val="24"/>
                <w:szCs w:val="24"/>
                <w:lang w:eastAsia="zh-CN"/>
              </w:rPr>
              <w:t>。</w:t>
            </w:r>
          </w:p>
          <w:p w14:paraId="4E8A46BC">
            <w:pPr>
              <w:keepNext w:val="0"/>
              <w:keepLines w:val="0"/>
              <w:pageBreakBefore w:val="0"/>
              <w:widowControl w:val="0"/>
              <w:kinsoku/>
              <w:wordWrap/>
              <w:overflowPunct/>
              <w:topLinePunct w:val="0"/>
              <w:autoSpaceDE/>
              <w:autoSpaceDN/>
              <w:bidi w:val="0"/>
              <w:adjustRightInd/>
              <w:snapToGrid/>
              <w:spacing w:before="0" w:after="0" w:line="400" w:lineRule="exact"/>
              <w:ind w:firstLine="240" w:firstLineChars="100"/>
              <w:jc w:val="both"/>
              <w:textAlignment w:val="auto"/>
              <w:rPr>
                <w:rFonts w:hint="eastAsia" w:ascii="宋体" w:hAnsi="宋体" w:cs="宋体"/>
                <w:color w:val="auto"/>
                <w:sz w:val="24"/>
                <w:szCs w:val="24"/>
              </w:rPr>
            </w:pPr>
            <w:r>
              <w:rPr>
                <w:rFonts w:hint="eastAsia" w:ascii="宋体" w:hAnsi="宋体" w:cs="宋体"/>
                <w:color w:val="auto"/>
                <w:sz w:val="24"/>
                <w:szCs w:val="24"/>
              </w:rPr>
              <w:t>第三步：计算P×K之积作为评标基准价（A值）。随后的评审中无论出现何种情形，该基准价不作调整。</w:t>
            </w:r>
          </w:p>
          <w:p w14:paraId="546E81BE">
            <w:pPr>
              <w:keepNext w:val="0"/>
              <w:keepLines w:val="0"/>
              <w:pageBreakBefore w:val="0"/>
              <w:widowControl w:val="0"/>
              <w:kinsoku/>
              <w:wordWrap/>
              <w:overflowPunct/>
              <w:topLinePunct w:val="0"/>
              <w:autoSpaceDE/>
              <w:autoSpaceDN/>
              <w:bidi w:val="0"/>
              <w:adjustRightInd/>
              <w:snapToGrid/>
              <w:spacing w:before="0" w:after="0" w:line="400" w:lineRule="exact"/>
              <w:ind w:firstLine="240" w:firstLineChars="100"/>
              <w:jc w:val="both"/>
              <w:textAlignment w:val="auto"/>
              <w:rPr>
                <w:rFonts w:hint="eastAsia" w:ascii="宋体" w:hAnsi="宋体" w:cs="宋体"/>
                <w:color w:val="auto"/>
                <w:sz w:val="24"/>
                <w:szCs w:val="24"/>
              </w:rPr>
            </w:pPr>
            <w:r>
              <w:rPr>
                <w:rFonts w:hint="eastAsia" w:ascii="宋体" w:hAnsi="宋体" w:cs="宋体"/>
                <w:color w:val="auto"/>
                <w:sz w:val="24"/>
                <w:szCs w:val="24"/>
              </w:rPr>
              <w:t>2.经济投标报价得分</w:t>
            </w:r>
          </w:p>
          <w:p w14:paraId="443C8722">
            <w:pPr>
              <w:keepNext w:val="0"/>
              <w:keepLines w:val="0"/>
              <w:pageBreakBefore w:val="0"/>
              <w:widowControl w:val="0"/>
              <w:kinsoku/>
              <w:wordWrap/>
              <w:overflowPunct/>
              <w:topLinePunct w:val="0"/>
              <w:autoSpaceDE/>
              <w:autoSpaceDN/>
              <w:bidi w:val="0"/>
              <w:adjustRightInd/>
              <w:snapToGrid/>
              <w:spacing w:before="0" w:after="0" w:line="400" w:lineRule="exact"/>
              <w:ind w:firstLine="240" w:firstLineChars="100"/>
              <w:jc w:val="both"/>
              <w:textAlignment w:val="auto"/>
              <w:rPr>
                <w:rFonts w:hint="eastAsia" w:ascii="宋体" w:hAnsi="宋体" w:cs="宋体"/>
                <w:color w:val="auto"/>
                <w:sz w:val="24"/>
                <w:szCs w:val="24"/>
              </w:rPr>
            </w:pPr>
            <w:r>
              <w:rPr>
                <w:rFonts w:hint="eastAsia" w:ascii="宋体" w:hAnsi="宋体" w:cs="宋体"/>
                <w:color w:val="auto"/>
                <w:sz w:val="24"/>
                <w:szCs w:val="24"/>
              </w:rPr>
              <w:t>所有投标人有效的经济投标报价得分折算公式如下：</w:t>
            </w:r>
          </w:p>
          <w:p w14:paraId="38AD3CE1">
            <w:pPr>
              <w:keepNext w:val="0"/>
              <w:keepLines w:val="0"/>
              <w:pageBreakBefore w:val="0"/>
              <w:widowControl w:val="0"/>
              <w:kinsoku/>
              <w:wordWrap/>
              <w:overflowPunct/>
              <w:topLinePunct w:val="0"/>
              <w:autoSpaceDE/>
              <w:autoSpaceDN/>
              <w:bidi w:val="0"/>
              <w:adjustRightInd/>
              <w:snapToGrid/>
              <w:spacing w:before="0" w:after="0" w:line="240" w:lineRule="auto"/>
              <w:ind w:firstLine="204" w:firstLineChars="100"/>
              <w:jc w:val="both"/>
              <w:textAlignment w:val="auto"/>
              <w:rPr>
                <w:rFonts w:hint="eastAsia" w:ascii="宋体" w:hAnsi="宋体" w:cs="宋体"/>
                <w:color w:val="auto"/>
                <w:sz w:val="24"/>
                <w:szCs w:val="24"/>
              </w:rPr>
            </w:pPr>
            <w:r>
              <w:rPr>
                <w:rFonts w:hint="eastAsia" w:ascii="仿宋_GB2312" w:hAnsi="仿宋_GB2312" w:eastAsia="仿宋_GB2312" w:cs="仿宋_GB2312"/>
                <w:color w:val="auto"/>
                <w:spacing w:val="-18"/>
                <w:sz w:val="24"/>
                <w:szCs w:val="24"/>
                <w:highlight w:val="none"/>
              </w:rPr>
              <w:t>S=100</w:t>
            </w:r>
            <w:r>
              <w:rPr>
                <w:rFonts w:hint="eastAsia" w:ascii="仿宋_GB2312" w:hAnsi="仿宋_GB2312" w:eastAsia="仿宋_GB2312" w:cs="仿宋_GB2312"/>
                <w:color w:val="auto"/>
                <w:spacing w:val="-18"/>
                <w:sz w:val="24"/>
                <w:szCs w:val="24"/>
                <w:highlight w:val="none"/>
                <w:lang w:eastAsia="zh-CN"/>
              </w:rPr>
              <w:t>分</w:t>
            </w:r>
            <w:r>
              <w:rPr>
                <w:rFonts w:hint="eastAsia" w:ascii="仿宋_GB2312" w:hAnsi="仿宋_GB2312" w:eastAsia="仿宋_GB2312" w:cs="仿宋_GB2312"/>
                <w:color w:val="auto"/>
                <w:spacing w:val="-18"/>
                <w:sz w:val="24"/>
                <w:szCs w:val="24"/>
                <w:highlight w:val="none"/>
                <w:lang w:val="en-US" w:eastAsia="zh-CN"/>
              </w:rPr>
              <w:t>×</w:t>
            </w:r>
            <w:r>
              <w:rPr>
                <w:rFonts w:hint="eastAsia" w:ascii="仿宋_GB2312" w:hAnsi="仿宋_GB2312" w:eastAsia="仿宋_GB2312" w:cs="仿宋_GB2312"/>
                <w:color w:val="auto"/>
                <w:spacing w:val="-18"/>
                <w:sz w:val="24"/>
                <w:szCs w:val="24"/>
                <w:highlight w:val="none"/>
              </w:rPr>
              <w:t>[1－（</w:t>
            </w:r>
            <w:r>
              <w:rPr>
                <w:rFonts w:hint="eastAsia" w:ascii="Times New Roman" w:hAnsi="Times New Roman" w:eastAsia="方正仿宋简体" w:cs="Times New Roman"/>
                <w:b w:val="0"/>
                <w:bCs w:val="0"/>
                <w:color w:val="auto"/>
                <w:spacing w:val="0"/>
                <w:position w:val="-28"/>
                <w:sz w:val="24"/>
                <w:szCs w:val="24"/>
                <w:highlight w:val="none"/>
                <w:u w:val="none" w:color="auto"/>
                <w:lang w:val="en-US" w:eastAsia="zh-CN"/>
              </w:rPr>
              <w:object>
                <v:shape id="_x0000_i1025" o:spt="75" type="#_x0000_t75" style="height:34pt;width:36pt;" o:ole="t" filled="f" o:preferrelative="t" stroked="f" coordsize="21600,21600">
                  <v:path/>
                  <v:fill on="f" focussize="0,0"/>
                  <v:stroke on="f"/>
                  <v:imagedata r:id="rId27" o:title=""/>
                  <o:lock v:ext="edit" aspectratio="t"/>
                  <w10:wrap type="none"/>
                  <w10:anchorlock/>
                </v:shape>
                <o:OLEObject Type="Embed" ProgID="Equation.KSEE3" ShapeID="_x0000_i1025" DrawAspect="Content" ObjectID="_1468075725" r:id="rId26">
                  <o:LockedField>false</o:LockedField>
                </o:OLEObject>
              </w:object>
            </w:r>
            <w:r>
              <w:rPr>
                <w:rFonts w:hint="eastAsia" w:ascii="仿宋_GB2312" w:hAnsi="仿宋_GB2312" w:eastAsia="仿宋_GB2312" w:cs="仿宋_GB2312"/>
                <w:color w:val="auto"/>
                <w:spacing w:val="-18"/>
                <w:sz w:val="24"/>
                <w:szCs w:val="24"/>
                <w:highlight w:val="none"/>
              </w:rPr>
              <w:t>×</w:t>
            </w:r>
            <w:r>
              <w:rPr>
                <w:rFonts w:hint="eastAsia" w:ascii="仿宋_GB2312" w:hAnsi="仿宋_GB2312" w:eastAsia="仿宋_GB2312" w:cs="仿宋_GB2312"/>
                <w:color w:val="auto"/>
                <w:spacing w:val="-18"/>
                <w:sz w:val="24"/>
                <w:szCs w:val="24"/>
                <w:highlight w:val="none"/>
                <w:lang w:val="en-US" w:eastAsia="zh-CN"/>
              </w:rPr>
              <w:t>C</w:t>
            </w:r>
            <w:r>
              <w:rPr>
                <w:rFonts w:hint="eastAsia" w:ascii="仿宋_GB2312" w:hAnsi="仿宋_GB2312" w:eastAsia="仿宋_GB2312" w:cs="仿宋_GB2312"/>
                <w:color w:val="auto"/>
                <w:spacing w:val="-18"/>
                <w:sz w:val="24"/>
                <w:szCs w:val="24"/>
                <w:highlight w:val="none"/>
              </w:rPr>
              <w:t xml:space="preserve">）] </w:t>
            </w:r>
          </w:p>
          <w:p w14:paraId="30E5A54E">
            <w:pPr>
              <w:keepNext w:val="0"/>
              <w:keepLines w:val="0"/>
              <w:pageBreakBefore w:val="0"/>
              <w:widowControl w:val="0"/>
              <w:kinsoku/>
              <w:wordWrap/>
              <w:overflowPunct/>
              <w:topLinePunct w:val="0"/>
              <w:autoSpaceDE/>
              <w:autoSpaceDN/>
              <w:bidi w:val="0"/>
              <w:adjustRightInd/>
              <w:snapToGrid/>
              <w:spacing w:before="0" w:after="0" w:line="400" w:lineRule="exact"/>
              <w:ind w:firstLine="240" w:firstLineChars="100"/>
              <w:jc w:val="both"/>
              <w:textAlignment w:val="auto"/>
              <w:rPr>
                <w:rFonts w:hint="eastAsia" w:ascii="宋体" w:hAnsi="宋体" w:cs="宋体"/>
                <w:color w:val="auto"/>
                <w:sz w:val="24"/>
                <w:szCs w:val="24"/>
              </w:rPr>
            </w:pPr>
            <w:r>
              <w:rPr>
                <w:rFonts w:hint="eastAsia" w:ascii="宋体" w:hAnsi="宋体" w:cs="宋体"/>
                <w:color w:val="auto"/>
                <w:sz w:val="24"/>
                <w:szCs w:val="24"/>
              </w:rPr>
              <w:t>S-投标报价得分；</w:t>
            </w:r>
          </w:p>
          <w:p w14:paraId="7C152A29">
            <w:pPr>
              <w:keepNext w:val="0"/>
              <w:keepLines w:val="0"/>
              <w:pageBreakBefore w:val="0"/>
              <w:widowControl w:val="0"/>
              <w:kinsoku/>
              <w:wordWrap/>
              <w:overflowPunct/>
              <w:topLinePunct w:val="0"/>
              <w:autoSpaceDE/>
              <w:autoSpaceDN/>
              <w:bidi w:val="0"/>
              <w:adjustRightInd/>
              <w:snapToGrid/>
              <w:spacing w:before="0" w:after="0" w:line="400" w:lineRule="exact"/>
              <w:ind w:firstLine="240" w:firstLineChars="100"/>
              <w:jc w:val="both"/>
              <w:textAlignment w:val="auto"/>
              <w:rPr>
                <w:rFonts w:hint="eastAsia" w:ascii="宋体" w:hAnsi="宋体" w:cs="宋体"/>
                <w:color w:val="auto"/>
                <w:sz w:val="24"/>
                <w:szCs w:val="24"/>
              </w:rPr>
            </w:pPr>
            <w:r>
              <w:rPr>
                <w:rFonts w:hint="eastAsia" w:ascii="宋体" w:hAnsi="宋体" w:cs="宋体"/>
                <w:color w:val="auto"/>
                <w:sz w:val="24"/>
                <w:szCs w:val="24"/>
              </w:rPr>
              <w:t>B－投标人的经济投标报价；</w:t>
            </w:r>
          </w:p>
          <w:p w14:paraId="486EB53A">
            <w:pPr>
              <w:keepNext w:val="0"/>
              <w:keepLines w:val="0"/>
              <w:pageBreakBefore w:val="0"/>
              <w:widowControl w:val="0"/>
              <w:kinsoku/>
              <w:wordWrap/>
              <w:overflowPunct/>
              <w:topLinePunct w:val="0"/>
              <w:autoSpaceDE/>
              <w:autoSpaceDN/>
              <w:bidi w:val="0"/>
              <w:adjustRightInd/>
              <w:snapToGrid/>
              <w:spacing w:before="0" w:after="0" w:line="400" w:lineRule="exact"/>
              <w:ind w:firstLine="240" w:firstLineChars="100"/>
              <w:jc w:val="both"/>
              <w:textAlignment w:val="auto"/>
              <w:rPr>
                <w:rFonts w:hint="eastAsia" w:ascii="宋体" w:hAnsi="宋体" w:cs="宋体"/>
                <w:color w:val="auto"/>
                <w:sz w:val="24"/>
                <w:szCs w:val="24"/>
              </w:rPr>
            </w:pPr>
            <w:r>
              <w:rPr>
                <w:rFonts w:hint="eastAsia" w:ascii="宋体" w:hAnsi="宋体" w:cs="宋体"/>
                <w:color w:val="auto"/>
                <w:sz w:val="24"/>
                <w:szCs w:val="24"/>
              </w:rPr>
              <w:t>A－评标基准价；</w:t>
            </w:r>
          </w:p>
          <w:p w14:paraId="78B3B8E2">
            <w:pPr>
              <w:keepNext w:val="0"/>
              <w:keepLines w:val="0"/>
              <w:pageBreakBefore w:val="0"/>
              <w:widowControl w:val="0"/>
              <w:kinsoku/>
              <w:wordWrap/>
              <w:overflowPunct/>
              <w:topLinePunct w:val="0"/>
              <w:autoSpaceDE/>
              <w:autoSpaceDN/>
              <w:bidi w:val="0"/>
              <w:adjustRightInd/>
              <w:snapToGrid/>
              <w:spacing w:before="0" w:after="0" w:line="400" w:lineRule="exact"/>
              <w:ind w:firstLine="240" w:firstLineChars="100"/>
              <w:jc w:val="both"/>
              <w:textAlignment w:val="auto"/>
              <w:rPr>
                <w:rFonts w:hint="eastAsia" w:ascii="宋体" w:hAnsi="宋体" w:cs="宋体"/>
                <w:color w:val="auto"/>
                <w:sz w:val="24"/>
                <w:szCs w:val="24"/>
              </w:rPr>
            </w:pPr>
            <w:r>
              <w:rPr>
                <w:rFonts w:hint="eastAsia" w:ascii="宋体" w:hAnsi="宋体" w:cs="宋体"/>
                <w:color w:val="auto"/>
                <w:sz w:val="24"/>
                <w:szCs w:val="24"/>
              </w:rPr>
              <w:t>C－经济投标报价大于评标基准价的取2；经济投标报价小于评标基准价的取1；</w:t>
            </w:r>
          </w:p>
          <w:p w14:paraId="0152A30E">
            <w:pPr>
              <w:keepNext w:val="0"/>
              <w:keepLines w:val="0"/>
              <w:pageBreakBefore w:val="0"/>
              <w:widowControl w:val="0"/>
              <w:kinsoku/>
              <w:wordWrap/>
              <w:overflowPunct/>
              <w:topLinePunct w:val="0"/>
              <w:autoSpaceDE/>
              <w:autoSpaceDN/>
              <w:bidi w:val="0"/>
              <w:adjustRightInd/>
              <w:snapToGrid/>
              <w:spacing w:before="0" w:after="0" w:line="400" w:lineRule="exact"/>
              <w:ind w:firstLine="240" w:firstLineChars="100"/>
              <w:jc w:val="both"/>
              <w:textAlignment w:val="auto"/>
              <w:rPr>
                <w:rFonts w:hint="eastAsia" w:ascii="宋体" w:hAnsi="宋体" w:cs="宋体"/>
                <w:color w:val="auto"/>
                <w:sz w:val="24"/>
                <w:szCs w:val="24"/>
              </w:rPr>
            </w:pPr>
            <w:r>
              <w:rPr>
                <w:rFonts w:hint="eastAsia" w:ascii="宋体" w:hAnsi="宋体" w:cs="宋体"/>
                <w:color w:val="auto"/>
                <w:sz w:val="24"/>
                <w:szCs w:val="24"/>
              </w:rPr>
              <w:t>3．经济投标报价评审得分=投标报价得分×</w:t>
            </w:r>
            <w:r>
              <w:rPr>
                <w:rFonts w:hint="eastAsia" w:ascii="宋体" w:hAnsi="宋体" w:cs="宋体"/>
                <w:color w:val="auto"/>
                <w:sz w:val="24"/>
                <w:szCs w:val="24"/>
                <w:lang w:val="en-US" w:eastAsia="zh-CN"/>
              </w:rPr>
              <w:t>3</w:t>
            </w:r>
            <w:r>
              <w:rPr>
                <w:rFonts w:hint="eastAsia" w:ascii="宋体" w:hAnsi="宋体" w:cs="宋体"/>
                <w:color w:val="auto"/>
                <w:sz w:val="24"/>
                <w:szCs w:val="24"/>
              </w:rPr>
              <w:t>0%</w:t>
            </w:r>
            <w:r>
              <w:rPr>
                <w:rFonts w:hint="eastAsia" w:ascii="宋体" w:hAnsi="宋体" w:cs="宋体"/>
                <w:color w:val="auto"/>
                <w:sz w:val="24"/>
                <w:szCs w:val="24"/>
                <w:lang w:eastAsia="zh-CN"/>
              </w:rPr>
              <w:t>，</w:t>
            </w:r>
            <w:r>
              <w:rPr>
                <w:rFonts w:hint="eastAsia" w:ascii="宋体" w:hAnsi="宋体" w:cs="宋体"/>
                <w:color w:val="auto"/>
                <w:sz w:val="24"/>
                <w:szCs w:val="24"/>
              </w:rPr>
              <w:t>取值</w:t>
            </w:r>
            <w:r>
              <w:rPr>
                <w:rFonts w:hint="eastAsia" w:ascii="宋体" w:hAnsi="宋体" w:cs="宋体"/>
                <w:color w:val="auto"/>
                <w:sz w:val="24"/>
                <w:szCs w:val="24"/>
                <w:lang w:val="en-US" w:eastAsia="zh-CN"/>
              </w:rPr>
              <w:t>精确</w:t>
            </w:r>
            <w:r>
              <w:rPr>
                <w:rFonts w:hint="eastAsia" w:ascii="宋体" w:hAnsi="宋体" w:cs="宋体"/>
                <w:color w:val="auto"/>
                <w:sz w:val="24"/>
                <w:szCs w:val="24"/>
              </w:rPr>
              <w:t>到小数点后</w:t>
            </w:r>
            <w:r>
              <w:rPr>
                <w:rFonts w:hint="eastAsia" w:ascii="宋体" w:hAnsi="宋体" w:cs="宋体"/>
                <w:color w:val="auto"/>
                <w:sz w:val="24"/>
                <w:szCs w:val="24"/>
                <w:lang w:val="en-US" w:eastAsia="zh-CN"/>
              </w:rPr>
              <w:t>2</w:t>
            </w:r>
            <w:r>
              <w:rPr>
                <w:rFonts w:hint="eastAsia" w:ascii="宋体" w:hAnsi="宋体" w:cs="宋体"/>
                <w:color w:val="auto"/>
                <w:sz w:val="24"/>
                <w:szCs w:val="24"/>
              </w:rPr>
              <w:t>位。</w:t>
            </w:r>
          </w:p>
        </w:tc>
      </w:tr>
    </w:tbl>
    <w:p w14:paraId="353A4E4C">
      <w:pPr>
        <w:pStyle w:val="15"/>
        <w:ind w:left="0" w:leftChars="0" w:firstLine="0" w:firstLineChars="0"/>
      </w:pPr>
    </w:p>
    <w:p w14:paraId="04C542FD">
      <w:pPr>
        <w:pStyle w:val="16"/>
      </w:pPr>
    </w:p>
    <w:p w14:paraId="3AC89F45">
      <w:pPr>
        <w:pStyle w:val="16"/>
      </w:pPr>
    </w:p>
    <w:p w14:paraId="27BC16B6">
      <w:pPr>
        <w:pStyle w:val="16"/>
      </w:pPr>
    </w:p>
    <w:p w14:paraId="23463F60">
      <w:pPr>
        <w:keepNext w:val="0"/>
        <w:keepLines w:val="0"/>
        <w:pageBreakBefore w:val="0"/>
        <w:widowControl w:val="0"/>
        <w:numPr>
          <w:ilvl w:val="0"/>
          <w:numId w:val="0"/>
        </w:numPr>
        <w:kinsoku/>
        <w:wordWrap/>
        <w:overflowPunct/>
        <w:topLinePunct w:val="0"/>
        <w:autoSpaceDE/>
        <w:autoSpaceDN/>
        <w:bidi w:val="0"/>
        <w:adjustRightInd/>
        <w:snapToGrid/>
        <w:spacing w:before="50" w:beforeLines="50" w:after="50" w:afterLines="50" w:line="460" w:lineRule="exact"/>
        <w:textAlignment w:val="auto"/>
        <w:outlineLvl w:val="1"/>
        <w:rPr>
          <w:rFonts w:hint="eastAsia" w:ascii="宋体" w:hAnsi="宋体"/>
          <w:b/>
          <w:sz w:val="24"/>
          <w:lang w:val="en-US" w:eastAsia="zh-CN"/>
        </w:rPr>
        <w:sectPr>
          <w:pgSz w:w="11906" w:h="16838"/>
          <w:pgMar w:top="1440" w:right="907" w:bottom="1440" w:left="1247" w:header="851" w:footer="992" w:gutter="0"/>
          <w:pgNumType w:fmt="decimal"/>
          <w:cols w:space="720" w:num="1"/>
          <w:formProt w:val="0"/>
          <w:docGrid w:linePitch="286" w:charSpace="0"/>
        </w:sectPr>
      </w:pPr>
      <w:bookmarkStart w:id="105" w:name="_Toc371237051"/>
      <w:bookmarkStart w:id="106" w:name="_Toc20294"/>
      <w:bookmarkStart w:id="107" w:name="_Toc371257025"/>
      <w:bookmarkStart w:id="108" w:name="_Toc371063691"/>
      <w:bookmarkStart w:id="109" w:name="_Toc371236342"/>
      <w:bookmarkStart w:id="110" w:name="_Toc425169057"/>
      <w:bookmarkStart w:id="111" w:name="_Toc371190678"/>
    </w:p>
    <w:p w14:paraId="30A848E4">
      <w:pPr>
        <w:keepNext w:val="0"/>
        <w:keepLines w:val="0"/>
        <w:pageBreakBefore w:val="0"/>
        <w:widowControl w:val="0"/>
        <w:numPr>
          <w:ilvl w:val="0"/>
          <w:numId w:val="0"/>
        </w:numPr>
        <w:kinsoku/>
        <w:wordWrap/>
        <w:overflowPunct/>
        <w:topLinePunct w:val="0"/>
        <w:autoSpaceDE/>
        <w:autoSpaceDN/>
        <w:bidi w:val="0"/>
        <w:adjustRightInd/>
        <w:snapToGrid/>
        <w:spacing w:before="50" w:beforeLines="50" w:after="50" w:afterLines="50" w:line="460" w:lineRule="exact"/>
        <w:textAlignment w:val="auto"/>
        <w:outlineLvl w:val="1"/>
        <w:rPr>
          <w:rFonts w:ascii="宋体" w:hAnsi="宋体"/>
          <w:b/>
          <w:sz w:val="24"/>
        </w:rPr>
      </w:pPr>
      <w:r>
        <w:rPr>
          <w:rFonts w:hint="eastAsia" w:ascii="宋体" w:hAnsi="宋体"/>
          <w:b/>
          <w:sz w:val="24"/>
          <w:lang w:val="en-US" w:eastAsia="zh-CN"/>
        </w:rPr>
        <w:t>2</w:t>
      </w:r>
      <w:r>
        <w:rPr>
          <w:rFonts w:ascii="宋体" w:hAnsi="宋体"/>
          <w:b/>
          <w:sz w:val="24"/>
        </w:rPr>
        <w:t>.评标办法</w:t>
      </w:r>
      <w:bookmarkEnd w:id="105"/>
      <w:bookmarkEnd w:id="106"/>
      <w:bookmarkEnd w:id="107"/>
      <w:bookmarkEnd w:id="108"/>
      <w:bookmarkEnd w:id="109"/>
      <w:bookmarkEnd w:id="110"/>
      <w:bookmarkEnd w:id="111"/>
    </w:p>
    <w:p w14:paraId="05E37268">
      <w:pPr>
        <w:keepNext w:val="0"/>
        <w:keepLines w:val="0"/>
        <w:pageBreakBefore w:val="0"/>
        <w:widowControl w:val="0"/>
        <w:kinsoku/>
        <w:wordWrap/>
        <w:topLinePunct w:val="0"/>
        <w:autoSpaceDE/>
        <w:autoSpaceDN/>
        <w:bidi w:val="0"/>
        <w:adjustRightInd/>
        <w:snapToGrid/>
        <w:spacing w:line="460" w:lineRule="exact"/>
        <w:ind w:firstLine="480"/>
        <w:textAlignment w:val="auto"/>
        <w:rPr>
          <w:rFonts w:ascii="宋体" w:hAnsi="宋体"/>
          <w:b/>
          <w:sz w:val="24"/>
        </w:rPr>
      </w:pPr>
      <w:r>
        <w:rPr>
          <w:rFonts w:hint="eastAsia" w:ascii="宋体" w:hAnsi="宋体" w:cs="TimesNewRomanPSMT"/>
          <w:sz w:val="24"/>
        </w:rPr>
        <w:t>本次评标采用综合评标法，是指对投标人的商务部分、技术部分及投标报价进行评分，取综合得分最高的</w:t>
      </w:r>
      <w:r>
        <w:rPr>
          <w:rFonts w:hint="eastAsia" w:ascii="宋体" w:hAnsi="宋体" w:cs="TimesNewRomanPSMT"/>
          <w:sz w:val="24"/>
          <w:lang w:val="en-US" w:eastAsia="zh-CN"/>
        </w:rPr>
        <w:t>2</w:t>
      </w:r>
      <w:r>
        <w:rPr>
          <w:rFonts w:hint="eastAsia" w:ascii="宋体" w:hAnsi="宋体" w:cs="TimesNewRomanPSMT"/>
          <w:sz w:val="24"/>
        </w:rPr>
        <w:t>名投标人为中标候选人。评标委员会对通过初步评审的投标文件，按照本章评标办法前附表1.2款规定的评分标准进行打分（根据各投标人的综合得分(F1～F</w:t>
      </w:r>
      <w:r>
        <w:rPr>
          <w:rFonts w:hint="eastAsia" w:ascii="宋体" w:hAnsi="宋体" w:cs="TimesNewRomanPSMT"/>
          <w:sz w:val="24"/>
          <w:lang w:val="en-US" w:eastAsia="zh-CN"/>
        </w:rPr>
        <w:t>3</w:t>
      </w:r>
      <w:r>
        <w:rPr>
          <w:rFonts w:hint="eastAsia" w:ascii="宋体" w:hAnsi="宋体" w:cs="TimesNewRomanPSMT"/>
          <w:sz w:val="24"/>
        </w:rPr>
        <w:t>合计分，计算结果按四舍五入计算法则取至小数点后第2位)排名，并推荐综合得分最高的</w:t>
      </w:r>
      <w:r>
        <w:rPr>
          <w:rFonts w:hint="eastAsia" w:ascii="宋体" w:hAnsi="宋体" w:cs="TimesNewRomanPSMT"/>
          <w:sz w:val="24"/>
          <w:lang w:val="en-US" w:eastAsia="zh-CN"/>
        </w:rPr>
        <w:t>2</w:t>
      </w:r>
      <w:r>
        <w:rPr>
          <w:rFonts w:hint="eastAsia" w:ascii="宋体" w:hAnsi="宋体" w:cs="TimesNewRomanPSMT"/>
          <w:sz w:val="24"/>
        </w:rPr>
        <w:t>名投标人为中标候选人。综合评分相等时，以投标报价低的优先；投标报价也相等的，以技术得分高的优先；如果技术得分也相等，按照评标办法前附表的规定确定中标候选人顺序。</w:t>
      </w:r>
    </w:p>
    <w:p w14:paraId="54FDFD2C">
      <w:pPr>
        <w:keepNext w:val="0"/>
        <w:keepLines w:val="0"/>
        <w:pageBreakBefore w:val="0"/>
        <w:widowControl w:val="0"/>
        <w:numPr>
          <w:ilvl w:val="0"/>
          <w:numId w:val="0"/>
        </w:numPr>
        <w:kinsoku/>
        <w:wordWrap/>
        <w:overflowPunct/>
        <w:topLinePunct w:val="0"/>
        <w:autoSpaceDE/>
        <w:autoSpaceDN/>
        <w:bidi w:val="0"/>
        <w:adjustRightInd/>
        <w:snapToGrid/>
        <w:spacing w:before="50" w:beforeLines="50" w:after="50" w:afterLines="50" w:line="460" w:lineRule="exact"/>
        <w:textAlignment w:val="auto"/>
        <w:outlineLvl w:val="1"/>
        <w:rPr>
          <w:rFonts w:hint="eastAsia" w:ascii="宋体" w:hAnsi="宋体"/>
          <w:b/>
          <w:sz w:val="24"/>
          <w:lang w:val="en-US" w:eastAsia="zh-CN"/>
        </w:rPr>
      </w:pPr>
      <w:bookmarkStart w:id="112" w:name="_Toc371236343"/>
      <w:bookmarkStart w:id="113" w:name="_Toc371257026"/>
      <w:bookmarkStart w:id="114" w:name="_Toc371190679"/>
      <w:bookmarkStart w:id="115" w:name="_Toc371063692"/>
      <w:bookmarkStart w:id="116" w:name="_Toc371237052"/>
      <w:bookmarkStart w:id="117" w:name="_Toc425169058"/>
      <w:bookmarkStart w:id="118" w:name="_Toc8914"/>
      <w:r>
        <w:rPr>
          <w:rFonts w:hint="eastAsia" w:ascii="宋体" w:hAnsi="宋体"/>
          <w:b/>
          <w:sz w:val="24"/>
          <w:lang w:val="en-US" w:eastAsia="zh-CN"/>
        </w:rPr>
        <w:t>3.评审标准</w:t>
      </w:r>
      <w:bookmarkEnd w:id="112"/>
      <w:bookmarkEnd w:id="113"/>
      <w:bookmarkEnd w:id="114"/>
      <w:bookmarkEnd w:id="115"/>
      <w:bookmarkEnd w:id="116"/>
      <w:bookmarkEnd w:id="117"/>
      <w:bookmarkEnd w:id="118"/>
    </w:p>
    <w:p w14:paraId="35C72D0C">
      <w:pPr>
        <w:keepNext w:val="0"/>
        <w:keepLines w:val="0"/>
        <w:pageBreakBefore w:val="0"/>
        <w:widowControl w:val="0"/>
        <w:kinsoku/>
        <w:wordWrap/>
        <w:topLinePunct w:val="0"/>
        <w:autoSpaceDE/>
        <w:autoSpaceDN/>
        <w:bidi w:val="0"/>
        <w:adjustRightInd/>
        <w:snapToGrid/>
        <w:spacing w:line="460" w:lineRule="exact"/>
        <w:jc w:val="left"/>
        <w:textAlignment w:val="auto"/>
        <w:rPr>
          <w:rFonts w:ascii="宋体" w:hAnsi="宋体" w:cs="TimesNewRomanPSMT"/>
          <w:b/>
          <w:kern w:val="0"/>
          <w:sz w:val="24"/>
        </w:rPr>
      </w:pPr>
      <w:r>
        <w:rPr>
          <w:rFonts w:hint="eastAsia" w:ascii="宋体" w:hAnsi="宋体" w:cs="TimesNewRomanPSMT"/>
          <w:b/>
          <w:kern w:val="0"/>
          <w:sz w:val="24"/>
          <w:lang w:val="en-US" w:eastAsia="zh-CN"/>
        </w:rPr>
        <w:t>3</w:t>
      </w:r>
      <w:r>
        <w:rPr>
          <w:rFonts w:ascii="宋体" w:hAnsi="宋体" w:cs="TimesNewRomanPSMT"/>
          <w:b/>
          <w:kern w:val="0"/>
          <w:sz w:val="24"/>
        </w:rPr>
        <w:t>.1初步评审标准</w:t>
      </w:r>
    </w:p>
    <w:p w14:paraId="3C0E2BCC">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TimesNewRomanPSMT"/>
          <w:kern w:val="0"/>
          <w:sz w:val="24"/>
          <w:lang w:val="en-US" w:eastAsia="zh-CN"/>
        </w:rPr>
      </w:pPr>
      <w:r>
        <w:rPr>
          <w:rFonts w:hint="eastAsia" w:ascii="宋体" w:hAnsi="宋体" w:cs="TimesNewRomanPSMT"/>
          <w:kern w:val="0"/>
          <w:sz w:val="24"/>
          <w:lang w:val="en-US" w:eastAsia="zh-CN"/>
        </w:rPr>
        <w:t>3.1.1 形式评审标准：见评标办法前附表 1.l 初步评审内容。</w:t>
      </w:r>
    </w:p>
    <w:p w14:paraId="35ED1B94">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TimesNewRomanPSMT"/>
          <w:kern w:val="0"/>
          <w:sz w:val="24"/>
          <w:lang w:val="en-US" w:eastAsia="zh-CN"/>
        </w:rPr>
      </w:pPr>
      <w:r>
        <w:rPr>
          <w:rFonts w:hint="eastAsia" w:ascii="宋体" w:hAnsi="宋体" w:cs="TimesNewRomanPSMT"/>
          <w:kern w:val="0"/>
          <w:sz w:val="24"/>
          <w:lang w:val="en-US" w:eastAsia="zh-CN"/>
        </w:rPr>
        <w:t>3.1.2 资格审查标准：见评标办法前附表 1.l 初步评审内容。</w:t>
      </w:r>
    </w:p>
    <w:p w14:paraId="717C094C">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TimesNewRomanPSMT"/>
          <w:kern w:val="0"/>
          <w:sz w:val="24"/>
          <w:lang w:val="en-US" w:eastAsia="zh-CN"/>
        </w:rPr>
      </w:pPr>
      <w:r>
        <w:rPr>
          <w:rFonts w:hint="eastAsia" w:ascii="宋体" w:hAnsi="宋体" w:cs="TimesNewRomanPSMT"/>
          <w:kern w:val="0"/>
          <w:sz w:val="24"/>
          <w:lang w:val="en-US" w:eastAsia="zh-CN"/>
        </w:rPr>
        <w:t>3.1.3 响应性评审标准：见评标办法前附表 1.l 初步评审内容。</w:t>
      </w:r>
    </w:p>
    <w:p w14:paraId="30D62333">
      <w:pPr>
        <w:keepNext w:val="0"/>
        <w:keepLines w:val="0"/>
        <w:pageBreakBefore w:val="0"/>
        <w:widowControl w:val="0"/>
        <w:kinsoku/>
        <w:wordWrap/>
        <w:topLinePunct w:val="0"/>
        <w:autoSpaceDE/>
        <w:autoSpaceDN/>
        <w:bidi w:val="0"/>
        <w:adjustRightInd/>
        <w:snapToGrid/>
        <w:spacing w:line="460" w:lineRule="exact"/>
        <w:textAlignment w:val="auto"/>
        <w:rPr>
          <w:rFonts w:ascii="宋体" w:hAnsi="宋体" w:cs="TimesNewRomanPSMT"/>
          <w:b/>
          <w:kern w:val="0"/>
          <w:sz w:val="24"/>
        </w:rPr>
      </w:pPr>
      <w:r>
        <w:rPr>
          <w:rFonts w:hint="eastAsia" w:ascii="宋体" w:hAnsi="宋体" w:cs="TimesNewRomanPSMT"/>
          <w:b/>
          <w:kern w:val="0"/>
          <w:sz w:val="24"/>
          <w:lang w:val="en-US" w:eastAsia="zh-CN"/>
        </w:rPr>
        <w:t>3</w:t>
      </w:r>
      <w:r>
        <w:rPr>
          <w:rFonts w:ascii="宋体" w:hAnsi="宋体" w:cs="TimesNewRomanPSMT"/>
          <w:b/>
          <w:kern w:val="0"/>
          <w:sz w:val="24"/>
        </w:rPr>
        <w:t>.2 分值构成与评分标准</w:t>
      </w:r>
    </w:p>
    <w:p w14:paraId="002DC341">
      <w:pPr>
        <w:keepNext w:val="0"/>
        <w:keepLines w:val="0"/>
        <w:pageBreakBefore w:val="0"/>
        <w:widowControl w:val="0"/>
        <w:kinsoku/>
        <w:wordWrap/>
        <w:topLinePunct w:val="0"/>
        <w:autoSpaceDE/>
        <w:autoSpaceDN/>
        <w:bidi w:val="0"/>
        <w:adjustRightInd/>
        <w:snapToGrid/>
        <w:spacing w:line="460" w:lineRule="exact"/>
        <w:ind w:firstLine="480"/>
        <w:textAlignment w:val="auto"/>
        <w:rPr>
          <w:rFonts w:ascii="宋体" w:hAnsi="宋体" w:cs="TimesNewRomanPSMT"/>
          <w:kern w:val="0"/>
          <w:sz w:val="24"/>
        </w:rPr>
      </w:pPr>
      <w:r>
        <w:rPr>
          <w:rFonts w:hint="eastAsia" w:ascii="宋体" w:hAnsi="宋体" w:cs="TimesNewRomanPSMT"/>
          <w:kern w:val="0"/>
          <w:sz w:val="24"/>
          <w:lang w:val="en-US" w:eastAsia="zh-CN"/>
        </w:rPr>
        <w:t>3</w:t>
      </w:r>
      <w:r>
        <w:rPr>
          <w:rFonts w:ascii="宋体" w:hAnsi="宋体" w:cs="TimesNewRomanPSMT"/>
          <w:kern w:val="0"/>
          <w:sz w:val="24"/>
        </w:rPr>
        <w:t>.2.1 分值构成</w:t>
      </w:r>
    </w:p>
    <w:p w14:paraId="79F43AC0">
      <w:pPr>
        <w:keepNext w:val="0"/>
        <w:keepLines w:val="0"/>
        <w:pageBreakBefore w:val="0"/>
        <w:widowControl w:val="0"/>
        <w:kinsoku/>
        <w:wordWrap/>
        <w:topLinePunct w:val="0"/>
        <w:autoSpaceDE/>
        <w:autoSpaceDN/>
        <w:bidi w:val="0"/>
        <w:adjustRightInd/>
        <w:snapToGrid/>
        <w:spacing w:line="460" w:lineRule="exact"/>
        <w:ind w:firstLine="480"/>
        <w:textAlignment w:val="auto"/>
        <w:rPr>
          <w:rFonts w:hint="eastAsia" w:ascii="宋体" w:hAnsi="宋体" w:cs="TimesNewRomanPSMT"/>
          <w:kern w:val="0"/>
          <w:sz w:val="24"/>
        </w:rPr>
      </w:pPr>
      <w:r>
        <w:rPr>
          <w:rFonts w:hint="eastAsia" w:ascii="宋体" w:hAnsi="宋体" w:cs="TimesNewRomanPSMT"/>
          <w:kern w:val="0"/>
          <w:sz w:val="24"/>
        </w:rPr>
        <w:t>3.2.1.1 商务投标文件总分：F</w:t>
      </w:r>
      <w:r>
        <w:rPr>
          <w:rFonts w:hint="eastAsia" w:ascii="宋体" w:hAnsi="宋体" w:cs="TimesNewRomanPSMT"/>
          <w:kern w:val="0"/>
          <w:sz w:val="24"/>
          <w:lang w:val="en-US" w:eastAsia="zh-CN"/>
        </w:rPr>
        <w:t>1</w:t>
      </w:r>
      <w:r>
        <w:rPr>
          <w:rFonts w:hint="eastAsia" w:ascii="宋体" w:hAnsi="宋体" w:cs="TimesNewRomanPSMT"/>
          <w:kern w:val="0"/>
          <w:sz w:val="24"/>
        </w:rPr>
        <w:t>=30分</w:t>
      </w:r>
    </w:p>
    <w:p w14:paraId="411E5538">
      <w:pPr>
        <w:keepNext w:val="0"/>
        <w:keepLines w:val="0"/>
        <w:pageBreakBefore w:val="0"/>
        <w:widowControl w:val="0"/>
        <w:kinsoku/>
        <w:wordWrap/>
        <w:topLinePunct w:val="0"/>
        <w:autoSpaceDE/>
        <w:autoSpaceDN/>
        <w:bidi w:val="0"/>
        <w:adjustRightInd/>
        <w:snapToGrid/>
        <w:spacing w:line="460" w:lineRule="exact"/>
        <w:ind w:firstLine="480"/>
        <w:textAlignment w:val="auto"/>
        <w:rPr>
          <w:rFonts w:hint="eastAsia" w:ascii="宋体" w:hAnsi="宋体" w:cs="TimesNewRomanPSMT"/>
          <w:kern w:val="0"/>
          <w:sz w:val="24"/>
        </w:rPr>
      </w:pPr>
      <w:r>
        <w:rPr>
          <w:rFonts w:hint="eastAsia" w:ascii="宋体" w:hAnsi="宋体" w:cs="TimesNewRomanPSMT"/>
          <w:kern w:val="0"/>
          <w:sz w:val="24"/>
        </w:rPr>
        <w:t>3.2.1.</w:t>
      </w:r>
      <w:r>
        <w:rPr>
          <w:rFonts w:hint="eastAsia" w:ascii="宋体" w:hAnsi="宋体" w:cs="TimesNewRomanPSMT"/>
          <w:kern w:val="0"/>
          <w:sz w:val="24"/>
          <w:lang w:val="en-US" w:eastAsia="zh-CN"/>
        </w:rPr>
        <w:t>2</w:t>
      </w:r>
      <w:r>
        <w:rPr>
          <w:rFonts w:hint="eastAsia" w:ascii="宋体" w:hAnsi="宋体" w:cs="TimesNewRomanPSMT"/>
          <w:kern w:val="0"/>
          <w:sz w:val="24"/>
        </w:rPr>
        <w:t xml:space="preserve"> 技术投标文件总分：F</w:t>
      </w:r>
      <w:r>
        <w:rPr>
          <w:rFonts w:hint="eastAsia" w:ascii="宋体" w:hAnsi="宋体" w:cs="TimesNewRomanPSMT"/>
          <w:kern w:val="0"/>
          <w:sz w:val="24"/>
          <w:lang w:val="en-US" w:eastAsia="zh-CN"/>
        </w:rPr>
        <w:t>2</w:t>
      </w:r>
      <w:r>
        <w:rPr>
          <w:rFonts w:hint="eastAsia" w:ascii="宋体" w:hAnsi="宋体" w:cs="TimesNewRomanPSMT"/>
          <w:kern w:val="0"/>
          <w:sz w:val="24"/>
        </w:rPr>
        <w:t>=40 分</w:t>
      </w:r>
    </w:p>
    <w:p w14:paraId="4C27DF29">
      <w:pPr>
        <w:keepNext w:val="0"/>
        <w:keepLines w:val="0"/>
        <w:pageBreakBefore w:val="0"/>
        <w:widowControl w:val="0"/>
        <w:kinsoku/>
        <w:wordWrap/>
        <w:overflowPunct/>
        <w:topLinePunct w:val="0"/>
        <w:autoSpaceDE/>
        <w:autoSpaceDN/>
        <w:bidi w:val="0"/>
        <w:adjustRightInd/>
        <w:snapToGrid/>
        <w:spacing w:before="0" w:after="0" w:line="460" w:lineRule="exact"/>
        <w:ind w:firstLine="480"/>
        <w:textAlignment w:val="auto"/>
        <w:rPr>
          <w:rFonts w:hint="eastAsia" w:ascii="宋体" w:hAnsi="宋体" w:cs="TimesNewRomanPSMT"/>
          <w:kern w:val="0"/>
          <w:sz w:val="24"/>
        </w:rPr>
      </w:pPr>
      <w:r>
        <w:rPr>
          <w:rFonts w:hint="eastAsia" w:ascii="宋体" w:hAnsi="宋体" w:cs="TimesNewRomanPSMT"/>
          <w:kern w:val="0"/>
          <w:sz w:val="24"/>
        </w:rPr>
        <w:t>3.2.1.</w:t>
      </w:r>
      <w:r>
        <w:rPr>
          <w:rFonts w:hint="eastAsia" w:ascii="宋体" w:hAnsi="宋体" w:cs="TimesNewRomanPSMT"/>
          <w:kern w:val="0"/>
          <w:sz w:val="24"/>
          <w:lang w:val="en-US" w:eastAsia="zh-CN"/>
        </w:rPr>
        <w:t>3</w:t>
      </w:r>
      <w:r>
        <w:rPr>
          <w:rFonts w:hint="eastAsia" w:ascii="宋体" w:hAnsi="宋体" w:cs="TimesNewRomanPSMT"/>
          <w:kern w:val="0"/>
          <w:sz w:val="24"/>
        </w:rPr>
        <w:t xml:space="preserve"> 投标报价评审得分：F</w:t>
      </w:r>
      <w:r>
        <w:rPr>
          <w:rFonts w:hint="eastAsia" w:ascii="宋体" w:hAnsi="宋体" w:cs="TimesNewRomanPSMT"/>
          <w:kern w:val="0"/>
          <w:sz w:val="24"/>
          <w:lang w:val="en-US" w:eastAsia="zh-CN"/>
        </w:rPr>
        <w:t>3</w:t>
      </w:r>
      <w:r>
        <w:rPr>
          <w:rFonts w:hint="eastAsia" w:ascii="宋体" w:hAnsi="宋体" w:cs="TimesNewRomanPSMT"/>
          <w:kern w:val="0"/>
          <w:sz w:val="24"/>
        </w:rPr>
        <w:t>=</w:t>
      </w:r>
      <w:r>
        <w:rPr>
          <w:rFonts w:hint="eastAsia" w:ascii="宋体" w:hAnsi="宋体" w:cs="TimesNewRomanPSMT"/>
          <w:kern w:val="0"/>
          <w:sz w:val="24"/>
          <w:lang w:val="en-US" w:eastAsia="zh-CN"/>
        </w:rPr>
        <w:t>3</w:t>
      </w:r>
      <w:r>
        <w:rPr>
          <w:rFonts w:hint="eastAsia" w:ascii="宋体" w:hAnsi="宋体" w:cs="TimesNewRomanPSMT"/>
          <w:kern w:val="0"/>
          <w:sz w:val="24"/>
        </w:rPr>
        <w:t>0 分</w:t>
      </w:r>
    </w:p>
    <w:p w14:paraId="31C825EA">
      <w:pPr>
        <w:keepNext w:val="0"/>
        <w:keepLines w:val="0"/>
        <w:pageBreakBefore w:val="0"/>
        <w:widowControl w:val="0"/>
        <w:numPr>
          <w:ilvl w:val="0"/>
          <w:numId w:val="0"/>
        </w:numPr>
        <w:kinsoku/>
        <w:wordWrap/>
        <w:overflowPunct/>
        <w:topLinePunct w:val="0"/>
        <w:autoSpaceDE/>
        <w:autoSpaceDN/>
        <w:bidi w:val="0"/>
        <w:adjustRightInd/>
        <w:snapToGrid/>
        <w:spacing w:before="0" w:after="0" w:line="460" w:lineRule="exact"/>
        <w:ind w:firstLine="480" w:firstLineChars="200"/>
        <w:textAlignment w:val="auto"/>
        <w:outlineLvl w:val="9"/>
        <w:rPr>
          <w:rFonts w:hint="eastAsia" w:ascii="宋体" w:hAnsi="宋体" w:cs="TimesNewRomanPSMT"/>
          <w:kern w:val="0"/>
          <w:sz w:val="24"/>
        </w:rPr>
      </w:pPr>
      <w:bookmarkStart w:id="119" w:name="_Toc13865"/>
      <w:bookmarkStart w:id="120" w:name="_Toc371190680"/>
      <w:bookmarkStart w:id="121" w:name="_Toc425169059"/>
      <w:bookmarkStart w:id="122" w:name="_Toc371236344"/>
      <w:bookmarkStart w:id="123" w:name="_Toc371063693"/>
      <w:bookmarkStart w:id="124" w:name="_Toc371257027"/>
      <w:bookmarkStart w:id="125" w:name="_Toc371237053"/>
      <w:r>
        <w:rPr>
          <w:rFonts w:hint="eastAsia" w:ascii="宋体" w:hAnsi="宋体" w:cs="TimesNewRomanPSMT"/>
          <w:kern w:val="0"/>
          <w:sz w:val="24"/>
        </w:rPr>
        <w:t>3.2.2 评分标准</w:t>
      </w:r>
    </w:p>
    <w:p w14:paraId="4E15C6C4">
      <w:pPr>
        <w:keepNext w:val="0"/>
        <w:keepLines w:val="0"/>
        <w:pageBreakBefore w:val="0"/>
        <w:widowControl w:val="0"/>
        <w:numPr>
          <w:ilvl w:val="0"/>
          <w:numId w:val="0"/>
        </w:numPr>
        <w:kinsoku/>
        <w:wordWrap/>
        <w:overflowPunct/>
        <w:topLinePunct w:val="0"/>
        <w:autoSpaceDE/>
        <w:autoSpaceDN/>
        <w:bidi w:val="0"/>
        <w:adjustRightInd/>
        <w:snapToGrid/>
        <w:spacing w:before="0" w:after="0" w:line="460" w:lineRule="exact"/>
        <w:ind w:firstLine="480" w:firstLineChars="200"/>
        <w:textAlignment w:val="auto"/>
        <w:outlineLvl w:val="9"/>
        <w:rPr>
          <w:rFonts w:hint="eastAsia" w:ascii="宋体" w:hAnsi="宋体" w:cs="TimesNewRomanPSMT"/>
          <w:kern w:val="0"/>
          <w:sz w:val="24"/>
        </w:rPr>
      </w:pPr>
      <w:r>
        <w:rPr>
          <w:rFonts w:hint="eastAsia" w:ascii="宋体" w:hAnsi="宋体" w:cs="TimesNewRomanPSMT"/>
          <w:kern w:val="0"/>
          <w:sz w:val="24"/>
        </w:rPr>
        <w:t>3.2.2.1商务投标文件评分标准：见评标办法前附表 1.2</w:t>
      </w:r>
      <w:r>
        <w:rPr>
          <w:rFonts w:hint="eastAsia" w:ascii="宋体" w:hAnsi="宋体" w:cs="TimesNewRomanPSMT"/>
          <w:b/>
          <w:bCs/>
          <w:kern w:val="0"/>
          <w:sz w:val="24"/>
        </w:rPr>
        <w:t xml:space="preserve"> F</w:t>
      </w:r>
      <w:r>
        <w:rPr>
          <w:rFonts w:hint="eastAsia" w:ascii="宋体" w:hAnsi="宋体" w:cs="TimesNewRomanPSMT"/>
          <w:b/>
          <w:bCs/>
          <w:kern w:val="0"/>
          <w:sz w:val="24"/>
          <w:lang w:val="en-US" w:eastAsia="zh-CN"/>
        </w:rPr>
        <w:t>1</w:t>
      </w:r>
      <w:r>
        <w:rPr>
          <w:rFonts w:hint="eastAsia" w:ascii="宋体" w:hAnsi="宋体" w:cs="TimesNewRomanPSMT"/>
          <w:b/>
          <w:bCs/>
          <w:kern w:val="0"/>
          <w:sz w:val="24"/>
        </w:rPr>
        <w:t xml:space="preserve"> 商务部分评审</w:t>
      </w:r>
      <w:r>
        <w:rPr>
          <w:rFonts w:hint="eastAsia" w:ascii="宋体" w:hAnsi="宋体" w:cs="TimesNewRomanPSMT"/>
          <w:kern w:val="0"/>
          <w:sz w:val="24"/>
        </w:rPr>
        <w:t>；</w:t>
      </w:r>
    </w:p>
    <w:p w14:paraId="09170AE3">
      <w:pPr>
        <w:keepNext w:val="0"/>
        <w:keepLines w:val="0"/>
        <w:pageBreakBefore w:val="0"/>
        <w:widowControl w:val="0"/>
        <w:numPr>
          <w:ilvl w:val="0"/>
          <w:numId w:val="0"/>
        </w:numPr>
        <w:kinsoku/>
        <w:wordWrap/>
        <w:overflowPunct/>
        <w:topLinePunct w:val="0"/>
        <w:autoSpaceDE/>
        <w:autoSpaceDN/>
        <w:bidi w:val="0"/>
        <w:adjustRightInd/>
        <w:snapToGrid/>
        <w:spacing w:before="0" w:after="0" w:line="460" w:lineRule="exact"/>
        <w:ind w:firstLine="480" w:firstLineChars="200"/>
        <w:textAlignment w:val="auto"/>
        <w:outlineLvl w:val="9"/>
        <w:rPr>
          <w:rFonts w:hint="eastAsia" w:ascii="宋体" w:hAnsi="宋体" w:cs="TimesNewRomanPSMT"/>
          <w:kern w:val="0"/>
          <w:sz w:val="24"/>
        </w:rPr>
      </w:pPr>
      <w:r>
        <w:rPr>
          <w:rFonts w:hint="eastAsia" w:ascii="宋体" w:hAnsi="宋体" w:cs="TimesNewRomanPSMT"/>
          <w:kern w:val="0"/>
          <w:sz w:val="24"/>
        </w:rPr>
        <w:t>3.2.2.</w:t>
      </w:r>
      <w:r>
        <w:rPr>
          <w:rFonts w:hint="eastAsia" w:ascii="宋体" w:hAnsi="宋体" w:cs="TimesNewRomanPSMT"/>
          <w:kern w:val="0"/>
          <w:sz w:val="24"/>
          <w:lang w:val="en-US" w:eastAsia="zh-CN"/>
        </w:rPr>
        <w:t>2</w:t>
      </w:r>
      <w:r>
        <w:rPr>
          <w:rFonts w:hint="eastAsia" w:ascii="宋体" w:hAnsi="宋体" w:cs="TimesNewRomanPSMT"/>
          <w:kern w:val="0"/>
          <w:sz w:val="24"/>
        </w:rPr>
        <w:t xml:space="preserve"> 技术投标文件评分标准：见评标办法前附表 1.2 </w:t>
      </w:r>
      <w:r>
        <w:rPr>
          <w:rFonts w:hint="eastAsia" w:ascii="宋体" w:hAnsi="宋体" w:cs="TimesNewRomanPSMT"/>
          <w:b/>
          <w:bCs/>
          <w:kern w:val="0"/>
          <w:sz w:val="24"/>
        </w:rPr>
        <w:t>F</w:t>
      </w:r>
      <w:r>
        <w:rPr>
          <w:rFonts w:hint="eastAsia" w:ascii="宋体" w:hAnsi="宋体" w:cs="TimesNewRomanPSMT"/>
          <w:b/>
          <w:bCs/>
          <w:kern w:val="0"/>
          <w:sz w:val="24"/>
          <w:lang w:val="en-US" w:eastAsia="zh-CN"/>
        </w:rPr>
        <w:t>2</w:t>
      </w:r>
      <w:r>
        <w:rPr>
          <w:rFonts w:hint="eastAsia" w:ascii="宋体" w:hAnsi="宋体" w:cs="TimesNewRomanPSMT"/>
          <w:b/>
          <w:bCs/>
          <w:kern w:val="0"/>
          <w:sz w:val="24"/>
        </w:rPr>
        <w:t xml:space="preserve"> 技术部分评审</w:t>
      </w:r>
      <w:r>
        <w:rPr>
          <w:rFonts w:hint="eastAsia" w:ascii="宋体" w:hAnsi="宋体" w:cs="TimesNewRomanPSMT"/>
          <w:kern w:val="0"/>
          <w:sz w:val="24"/>
        </w:rPr>
        <w:t>；</w:t>
      </w:r>
    </w:p>
    <w:p w14:paraId="6996D746">
      <w:pPr>
        <w:keepNext w:val="0"/>
        <w:keepLines w:val="0"/>
        <w:pageBreakBefore w:val="0"/>
        <w:widowControl w:val="0"/>
        <w:numPr>
          <w:ilvl w:val="0"/>
          <w:numId w:val="0"/>
        </w:numPr>
        <w:kinsoku/>
        <w:wordWrap/>
        <w:overflowPunct/>
        <w:topLinePunct w:val="0"/>
        <w:autoSpaceDE/>
        <w:autoSpaceDN/>
        <w:bidi w:val="0"/>
        <w:adjustRightInd/>
        <w:snapToGrid/>
        <w:spacing w:before="0" w:after="0" w:line="460" w:lineRule="exact"/>
        <w:ind w:firstLine="480" w:firstLineChars="200"/>
        <w:textAlignment w:val="auto"/>
        <w:outlineLvl w:val="9"/>
        <w:rPr>
          <w:rFonts w:hint="eastAsia" w:ascii="宋体" w:hAnsi="宋体" w:cs="TimesNewRomanPSMT"/>
          <w:kern w:val="0"/>
          <w:sz w:val="24"/>
        </w:rPr>
      </w:pPr>
      <w:r>
        <w:rPr>
          <w:rFonts w:hint="eastAsia" w:ascii="宋体" w:hAnsi="宋体" w:cs="TimesNewRomanPSMT"/>
          <w:kern w:val="0"/>
          <w:sz w:val="24"/>
        </w:rPr>
        <w:t>3.2.2.</w:t>
      </w:r>
      <w:r>
        <w:rPr>
          <w:rFonts w:hint="eastAsia" w:ascii="宋体" w:hAnsi="宋体" w:cs="TimesNewRomanPSMT"/>
          <w:kern w:val="0"/>
          <w:sz w:val="24"/>
          <w:lang w:val="en-US" w:eastAsia="zh-CN"/>
        </w:rPr>
        <w:t>3</w:t>
      </w:r>
      <w:r>
        <w:rPr>
          <w:rFonts w:hint="eastAsia" w:ascii="宋体" w:hAnsi="宋体" w:cs="TimesNewRomanPSMT"/>
          <w:kern w:val="0"/>
          <w:sz w:val="24"/>
        </w:rPr>
        <w:t xml:space="preserve"> 投标报价评分标准：见评标办法前附表 1.2 </w:t>
      </w:r>
      <w:r>
        <w:rPr>
          <w:rFonts w:hint="eastAsia" w:ascii="宋体" w:hAnsi="宋体" w:cs="TimesNewRomanPSMT"/>
          <w:b/>
          <w:bCs/>
          <w:kern w:val="0"/>
          <w:sz w:val="24"/>
        </w:rPr>
        <w:t>F</w:t>
      </w:r>
      <w:r>
        <w:rPr>
          <w:rFonts w:hint="eastAsia" w:ascii="宋体" w:hAnsi="宋体" w:cs="TimesNewRomanPSMT"/>
          <w:b/>
          <w:bCs/>
          <w:kern w:val="0"/>
          <w:sz w:val="24"/>
          <w:lang w:val="en-US" w:eastAsia="zh-CN"/>
        </w:rPr>
        <w:t>3</w:t>
      </w:r>
      <w:r>
        <w:rPr>
          <w:rFonts w:hint="eastAsia" w:ascii="宋体" w:hAnsi="宋体" w:cs="TimesNewRomanPSMT"/>
          <w:b/>
          <w:bCs/>
          <w:kern w:val="0"/>
          <w:sz w:val="24"/>
        </w:rPr>
        <w:t xml:space="preserve"> 报价部分评审</w:t>
      </w:r>
      <w:r>
        <w:rPr>
          <w:rFonts w:hint="eastAsia" w:ascii="宋体" w:hAnsi="宋体" w:cs="TimesNewRomanPSMT"/>
          <w:kern w:val="0"/>
          <w:sz w:val="24"/>
        </w:rPr>
        <w:t>。</w:t>
      </w:r>
    </w:p>
    <w:p w14:paraId="7C5F0F95">
      <w:pPr>
        <w:keepNext w:val="0"/>
        <w:keepLines w:val="0"/>
        <w:pageBreakBefore w:val="0"/>
        <w:widowControl w:val="0"/>
        <w:numPr>
          <w:ilvl w:val="0"/>
          <w:numId w:val="0"/>
        </w:numPr>
        <w:kinsoku/>
        <w:wordWrap/>
        <w:overflowPunct/>
        <w:topLinePunct w:val="0"/>
        <w:autoSpaceDE/>
        <w:autoSpaceDN/>
        <w:bidi w:val="0"/>
        <w:adjustRightInd/>
        <w:snapToGrid/>
        <w:spacing w:before="50" w:beforeLines="50" w:after="50" w:afterLines="50" w:line="460" w:lineRule="exact"/>
        <w:textAlignment w:val="auto"/>
        <w:outlineLvl w:val="1"/>
        <w:rPr>
          <w:rFonts w:hint="eastAsia" w:ascii="宋体" w:hAnsi="宋体"/>
          <w:b/>
          <w:sz w:val="24"/>
          <w:lang w:val="en-US" w:eastAsia="zh-CN"/>
        </w:rPr>
      </w:pPr>
      <w:r>
        <w:rPr>
          <w:rFonts w:hint="eastAsia" w:ascii="宋体" w:hAnsi="宋体"/>
          <w:b/>
          <w:sz w:val="24"/>
          <w:lang w:val="en-US" w:eastAsia="zh-CN"/>
        </w:rPr>
        <w:t>4. 评标程序</w:t>
      </w:r>
      <w:bookmarkEnd w:id="119"/>
      <w:bookmarkEnd w:id="120"/>
      <w:bookmarkEnd w:id="121"/>
      <w:bookmarkEnd w:id="122"/>
      <w:bookmarkEnd w:id="123"/>
      <w:bookmarkEnd w:id="124"/>
      <w:bookmarkEnd w:id="125"/>
    </w:p>
    <w:p w14:paraId="3F981BCC">
      <w:pPr>
        <w:pStyle w:val="15"/>
        <w:ind w:left="0" w:leftChars="0" w:firstLine="0" w:firstLineChars="0"/>
        <w:rPr>
          <w:rFonts w:hint="eastAsia"/>
          <w:b/>
          <w:sz w:val="24"/>
          <w:lang w:val="en-US" w:eastAsia="zh-CN"/>
        </w:rPr>
      </w:pPr>
      <w:r>
        <w:rPr>
          <w:rFonts w:hint="eastAsia"/>
          <w:b/>
          <w:sz w:val="24"/>
          <w:lang w:val="en-US" w:eastAsia="zh-CN"/>
        </w:rPr>
        <w:t>4.1评标准备</w:t>
      </w:r>
    </w:p>
    <w:p w14:paraId="5D4F26D7">
      <w:pPr>
        <w:keepNext w:val="0"/>
        <w:keepLines w:val="0"/>
        <w:pageBreakBefore w:val="0"/>
        <w:widowControl w:val="0"/>
        <w:numPr>
          <w:ilvl w:val="0"/>
          <w:numId w:val="0"/>
        </w:numPr>
        <w:kinsoku/>
        <w:wordWrap/>
        <w:overflowPunct/>
        <w:topLinePunct w:val="0"/>
        <w:autoSpaceDE/>
        <w:autoSpaceDN/>
        <w:bidi w:val="0"/>
        <w:adjustRightInd/>
        <w:snapToGrid/>
        <w:spacing w:before="0" w:after="0" w:line="460" w:lineRule="exact"/>
        <w:ind w:firstLine="480" w:firstLineChars="200"/>
        <w:textAlignment w:val="auto"/>
        <w:outlineLvl w:val="9"/>
        <w:rPr>
          <w:rFonts w:hint="eastAsia" w:ascii="宋体" w:hAnsi="宋体" w:cs="TimesNewRomanPSMT"/>
          <w:kern w:val="0"/>
          <w:sz w:val="24"/>
          <w:lang w:val="en-US" w:eastAsia="zh-CN"/>
        </w:rPr>
      </w:pPr>
      <w:r>
        <w:rPr>
          <w:rFonts w:hint="eastAsia" w:ascii="宋体" w:hAnsi="宋体" w:cs="TimesNewRomanPSMT"/>
          <w:kern w:val="0"/>
          <w:sz w:val="24"/>
          <w:lang w:val="en-US" w:eastAsia="zh-CN"/>
        </w:rPr>
        <w:t>4.1.1评委召开预备会，宣布评标纪律、评标保密承诺，熟悉招标文件，学习评标办法，选举评标委员会组长。</w:t>
      </w:r>
    </w:p>
    <w:p w14:paraId="5E903309">
      <w:pPr>
        <w:keepNext w:val="0"/>
        <w:keepLines w:val="0"/>
        <w:pageBreakBefore w:val="0"/>
        <w:widowControl w:val="0"/>
        <w:numPr>
          <w:ilvl w:val="0"/>
          <w:numId w:val="0"/>
        </w:numPr>
        <w:kinsoku/>
        <w:wordWrap/>
        <w:overflowPunct/>
        <w:topLinePunct w:val="0"/>
        <w:autoSpaceDE/>
        <w:autoSpaceDN/>
        <w:bidi w:val="0"/>
        <w:adjustRightInd/>
        <w:snapToGrid/>
        <w:spacing w:before="0" w:after="0" w:line="460" w:lineRule="exact"/>
        <w:ind w:firstLine="480" w:firstLineChars="200"/>
        <w:textAlignment w:val="auto"/>
        <w:outlineLvl w:val="9"/>
        <w:rPr>
          <w:rFonts w:hint="eastAsia" w:ascii="宋体" w:hAnsi="宋体" w:cs="TimesNewRomanPSMT"/>
          <w:kern w:val="0"/>
          <w:sz w:val="24"/>
          <w:lang w:val="en-US" w:eastAsia="zh-CN"/>
        </w:rPr>
      </w:pPr>
      <w:r>
        <w:rPr>
          <w:rFonts w:hint="eastAsia" w:ascii="宋体" w:hAnsi="宋体" w:cs="TimesNewRomanPSMT"/>
          <w:kern w:val="0"/>
          <w:sz w:val="24"/>
          <w:lang w:val="en-US" w:eastAsia="zh-CN"/>
        </w:rPr>
        <w:t>4.1.2评委在有关监督部门的监督下封闭评标，先进行初步评审，通过的投标单位再进行技术评审、商务评审。</w:t>
      </w:r>
    </w:p>
    <w:p w14:paraId="3268DAC9">
      <w:pPr>
        <w:pStyle w:val="4"/>
        <w:keepNext w:val="0"/>
        <w:keepLines w:val="0"/>
        <w:pageBreakBefore w:val="0"/>
        <w:widowControl w:val="0"/>
        <w:kinsoku/>
        <w:wordWrap/>
        <w:topLinePunct w:val="0"/>
        <w:autoSpaceDE/>
        <w:autoSpaceDN/>
        <w:bidi w:val="0"/>
        <w:adjustRightInd/>
        <w:snapToGrid/>
        <w:spacing w:before="0" w:after="0" w:line="460" w:lineRule="exact"/>
        <w:textAlignment w:val="auto"/>
        <w:rPr>
          <w:rFonts w:ascii="宋体" w:hAnsi="宋体"/>
          <w:sz w:val="24"/>
          <w:szCs w:val="24"/>
        </w:rPr>
      </w:pPr>
      <w:r>
        <w:rPr>
          <w:rFonts w:hint="eastAsia" w:ascii="宋体" w:hAnsi="宋体"/>
          <w:sz w:val="24"/>
          <w:szCs w:val="24"/>
          <w:lang w:val="en-US" w:eastAsia="zh-CN"/>
        </w:rPr>
        <w:t>4.2</w:t>
      </w:r>
      <w:r>
        <w:rPr>
          <w:rFonts w:ascii="宋体" w:hAnsi="宋体"/>
          <w:sz w:val="24"/>
          <w:szCs w:val="24"/>
        </w:rPr>
        <w:t xml:space="preserve"> </w:t>
      </w:r>
      <w:r>
        <w:rPr>
          <w:rFonts w:hint="eastAsia" w:ascii="宋体" w:hAnsi="宋体"/>
          <w:sz w:val="24"/>
          <w:szCs w:val="24"/>
        </w:rPr>
        <w:t>初步评审</w:t>
      </w:r>
    </w:p>
    <w:p w14:paraId="0D739999">
      <w:pPr>
        <w:keepNext w:val="0"/>
        <w:keepLines w:val="0"/>
        <w:pageBreakBefore w:val="0"/>
        <w:widowControl w:val="0"/>
        <w:kinsoku/>
        <w:wordWrap/>
        <w:topLinePunct w:val="0"/>
        <w:autoSpaceDE/>
        <w:autoSpaceDN/>
        <w:bidi w:val="0"/>
        <w:adjustRightInd/>
        <w:snapToGrid/>
        <w:spacing w:line="460" w:lineRule="exact"/>
        <w:ind w:firstLine="480"/>
        <w:textAlignment w:val="auto"/>
        <w:rPr>
          <w:rFonts w:hint="eastAsia" w:ascii="宋体" w:hAnsi="宋体"/>
          <w:bCs/>
          <w:sz w:val="24"/>
          <w:szCs w:val="24"/>
        </w:rPr>
      </w:pPr>
      <w:r>
        <w:rPr>
          <w:rFonts w:hint="eastAsia" w:ascii="宋体" w:hAnsi="宋体"/>
          <w:bCs/>
          <w:sz w:val="24"/>
          <w:szCs w:val="24"/>
        </w:rPr>
        <w:t>4.</w:t>
      </w:r>
      <w:r>
        <w:rPr>
          <w:rFonts w:hint="eastAsia" w:ascii="宋体" w:hAnsi="宋体"/>
          <w:bCs/>
          <w:sz w:val="24"/>
          <w:szCs w:val="24"/>
          <w:lang w:val="en-US" w:eastAsia="zh-CN"/>
        </w:rPr>
        <w:t>2</w:t>
      </w:r>
      <w:r>
        <w:rPr>
          <w:rFonts w:hint="eastAsia" w:ascii="宋体" w:hAnsi="宋体"/>
          <w:bCs/>
          <w:sz w:val="24"/>
          <w:szCs w:val="24"/>
        </w:rPr>
        <w:t>.1 评标委员会按本章“1.1.1形式评审标准”的评审因素对投标人的投标文件进行符合性审查，如投标人名称与营业执照、资质证书不―致；投标文件要求签字盖章的内容不按“投标人须知”第3.7.4项、第3.7.5项规定签字和盖章或有仿伪冒签的情形</w:t>
      </w:r>
      <w:r>
        <w:rPr>
          <w:rFonts w:hint="eastAsia" w:ascii="宋体" w:hAnsi="宋体"/>
          <w:bCs/>
          <w:sz w:val="24"/>
          <w:szCs w:val="24"/>
          <w:lang w:eastAsia="zh-CN"/>
        </w:rPr>
        <w:t>；</w:t>
      </w:r>
      <w:r>
        <w:rPr>
          <w:rFonts w:hint="eastAsia" w:ascii="宋体" w:hAnsi="宋体"/>
          <w:bCs/>
          <w:sz w:val="24"/>
          <w:szCs w:val="24"/>
        </w:rPr>
        <w:t>有一项未能满足“形式评审标准”要求的，视为不响应招标文件要求，其投标文件作无效投标处理，不予以进入下一轮的评审。</w:t>
      </w:r>
    </w:p>
    <w:p w14:paraId="650042AC">
      <w:pPr>
        <w:keepNext w:val="0"/>
        <w:keepLines w:val="0"/>
        <w:pageBreakBefore w:val="0"/>
        <w:widowControl w:val="0"/>
        <w:kinsoku/>
        <w:wordWrap/>
        <w:topLinePunct w:val="0"/>
        <w:autoSpaceDE/>
        <w:autoSpaceDN/>
        <w:bidi w:val="0"/>
        <w:adjustRightInd/>
        <w:snapToGrid/>
        <w:spacing w:line="460" w:lineRule="exact"/>
        <w:ind w:firstLine="480"/>
        <w:textAlignment w:val="auto"/>
        <w:rPr>
          <w:rFonts w:hint="eastAsia" w:ascii="宋体" w:hAnsi="宋体"/>
          <w:bCs/>
          <w:sz w:val="24"/>
          <w:szCs w:val="24"/>
        </w:rPr>
      </w:pPr>
      <w:r>
        <w:rPr>
          <w:rFonts w:hint="eastAsia" w:ascii="宋体" w:hAnsi="宋体"/>
          <w:bCs/>
          <w:sz w:val="24"/>
          <w:szCs w:val="24"/>
        </w:rPr>
        <w:t>4.</w:t>
      </w:r>
      <w:r>
        <w:rPr>
          <w:rFonts w:hint="eastAsia" w:ascii="宋体" w:hAnsi="宋体"/>
          <w:bCs/>
          <w:sz w:val="24"/>
          <w:szCs w:val="24"/>
          <w:lang w:val="en-US" w:eastAsia="zh-CN"/>
        </w:rPr>
        <w:t>2</w:t>
      </w:r>
      <w:r>
        <w:rPr>
          <w:rFonts w:hint="eastAsia" w:ascii="宋体" w:hAnsi="宋体"/>
          <w:bCs/>
          <w:sz w:val="24"/>
          <w:szCs w:val="24"/>
        </w:rPr>
        <w:t>.2 评标委员会按本章“1.1.2资格审查标准”的评审因素，对已通过形式评审的投标人进行资格审查</w:t>
      </w:r>
      <w:r>
        <w:rPr>
          <w:rFonts w:hint="eastAsia" w:ascii="宋体" w:hAnsi="宋体"/>
          <w:bCs/>
          <w:sz w:val="24"/>
          <w:szCs w:val="24"/>
          <w:lang w:eastAsia="zh-CN"/>
        </w:rPr>
        <w:t>，</w:t>
      </w:r>
      <w:r>
        <w:rPr>
          <w:rFonts w:hint="eastAsia" w:ascii="宋体" w:hAnsi="宋体" w:cs="宋体"/>
          <w:color w:val="auto"/>
          <w:spacing w:val="-2"/>
          <w:kern w:val="0"/>
          <w:sz w:val="24"/>
          <w:highlight w:val="none"/>
        </w:rPr>
        <w:t>评标委员会对投标人所提交投标文件的证明材料有不明确的内容或存有疑问的，可以要求投标人提交第二章“投标人须知”第3</w:t>
      </w:r>
      <w:r>
        <w:rPr>
          <w:rFonts w:hint="eastAsia" w:ascii="宋体" w:hAnsi="宋体" w:cs="TimesNewRomanPSMT"/>
          <w:color w:val="auto"/>
          <w:spacing w:val="-2"/>
          <w:kern w:val="0"/>
          <w:sz w:val="24"/>
          <w:highlight w:val="none"/>
        </w:rPr>
        <w:t>.5.1款</w:t>
      </w:r>
      <w:r>
        <w:rPr>
          <w:rFonts w:hint="eastAsia" w:ascii="宋体" w:hAnsi="宋体" w:cs="宋体"/>
          <w:color w:val="auto"/>
          <w:spacing w:val="-2"/>
          <w:kern w:val="0"/>
          <w:sz w:val="24"/>
          <w:highlight w:val="none"/>
        </w:rPr>
        <w:t>规定的有关证明，以便核验</w:t>
      </w:r>
      <w:r>
        <w:rPr>
          <w:rFonts w:hint="eastAsia" w:ascii="宋体" w:hAnsi="宋体"/>
          <w:bCs/>
          <w:sz w:val="24"/>
          <w:szCs w:val="24"/>
        </w:rPr>
        <w:t>。投标人有关资格要求，有一项未能达到</w:t>
      </w:r>
      <w:r>
        <w:rPr>
          <w:rFonts w:hint="eastAsia" w:ascii="宋体" w:hAnsi="宋体"/>
          <w:bCs/>
          <w:sz w:val="24"/>
          <w:szCs w:val="24"/>
          <w:lang w:eastAsia="zh-CN"/>
        </w:rPr>
        <w:t>“</w:t>
      </w:r>
      <w:r>
        <w:rPr>
          <w:rFonts w:hint="eastAsia" w:ascii="宋体" w:hAnsi="宋体"/>
          <w:bCs/>
          <w:sz w:val="24"/>
          <w:szCs w:val="24"/>
        </w:rPr>
        <w:t>资格审查标准</w:t>
      </w:r>
      <w:r>
        <w:rPr>
          <w:rFonts w:hint="eastAsia" w:ascii="宋体" w:hAnsi="宋体"/>
          <w:bCs/>
          <w:sz w:val="24"/>
          <w:szCs w:val="24"/>
          <w:lang w:eastAsia="zh-CN"/>
        </w:rPr>
        <w:t>”规定</w:t>
      </w:r>
      <w:r>
        <w:rPr>
          <w:rFonts w:hint="eastAsia" w:ascii="宋体" w:hAnsi="宋体"/>
          <w:bCs/>
          <w:sz w:val="24"/>
          <w:szCs w:val="24"/>
        </w:rPr>
        <w:t>的，其投标资格审查不能通过，视为不响应招标文件要求，其投标文件作无效投标处理，不予以进入下一轮的评审。</w:t>
      </w:r>
    </w:p>
    <w:p w14:paraId="0FEB0B97">
      <w:pPr>
        <w:keepNext w:val="0"/>
        <w:keepLines w:val="0"/>
        <w:pageBreakBefore w:val="0"/>
        <w:widowControl w:val="0"/>
        <w:kinsoku/>
        <w:wordWrap/>
        <w:topLinePunct w:val="0"/>
        <w:autoSpaceDE/>
        <w:autoSpaceDN/>
        <w:bidi w:val="0"/>
        <w:adjustRightInd/>
        <w:snapToGrid/>
        <w:spacing w:line="460" w:lineRule="exact"/>
        <w:ind w:firstLine="480"/>
        <w:textAlignment w:val="auto"/>
        <w:rPr>
          <w:rFonts w:hint="eastAsia" w:ascii="宋体" w:hAnsi="宋体"/>
          <w:bCs/>
          <w:sz w:val="24"/>
          <w:szCs w:val="24"/>
        </w:rPr>
      </w:pPr>
      <w:r>
        <w:rPr>
          <w:rFonts w:hint="eastAsia" w:ascii="宋体" w:hAnsi="宋体"/>
          <w:bCs/>
          <w:sz w:val="24"/>
          <w:szCs w:val="24"/>
        </w:rPr>
        <w:t>4.</w:t>
      </w:r>
      <w:r>
        <w:rPr>
          <w:rFonts w:hint="eastAsia" w:ascii="宋体" w:hAnsi="宋体"/>
          <w:bCs/>
          <w:sz w:val="24"/>
          <w:szCs w:val="24"/>
          <w:lang w:val="en-US" w:eastAsia="zh-CN"/>
        </w:rPr>
        <w:t>2</w:t>
      </w:r>
      <w:r>
        <w:rPr>
          <w:rFonts w:hint="eastAsia" w:ascii="宋体" w:hAnsi="宋体"/>
          <w:bCs/>
          <w:sz w:val="24"/>
          <w:szCs w:val="24"/>
        </w:rPr>
        <w:t>.3 评标委员会按本章“1.1.3响应性评审标准”的评审因素对投标人的工期（交货期）</w:t>
      </w:r>
      <w:r>
        <w:rPr>
          <w:rFonts w:hint="eastAsia" w:ascii="宋体" w:hAnsi="宋体"/>
          <w:bCs/>
          <w:sz w:val="24"/>
          <w:szCs w:val="24"/>
          <w:lang w:eastAsia="zh-CN"/>
        </w:rPr>
        <w:t>、</w:t>
      </w:r>
      <w:r>
        <w:rPr>
          <w:rFonts w:hint="eastAsia" w:ascii="宋体" w:hAnsi="宋体"/>
          <w:bCs/>
          <w:sz w:val="24"/>
          <w:szCs w:val="24"/>
        </w:rPr>
        <w:t>工程（货物）质量</w:t>
      </w:r>
      <w:r>
        <w:rPr>
          <w:rFonts w:hint="eastAsia" w:ascii="宋体" w:hAnsi="宋体"/>
          <w:bCs/>
          <w:sz w:val="24"/>
          <w:szCs w:val="24"/>
          <w:lang w:eastAsia="zh-CN"/>
        </w:rPr>
        <w:t>、</w:t>
      </w:r>
      <w:r>
        <w:rPr>
          <w:rFonts w:hint="eastAsia" w:ascii="宋体" w:hAnsi="宋体"/>
          <w:bCs/>
          <w:sz w:val="24"/>
          <w:szCs w:val="24"/>
        </w:rPr>
        <w:t>投标有效期</w:t>
      </w:r>
      <w:r>
        <w:rPr>
          <w:rFonts w:hint="eastAsia" w:ascii="宋体" w:hAnsi="宋体"/>
          <w:bCs/>
          <w:sz w:val="24"/>
          <w:szCs w:val="24"/>
          <w:lang w:eastAsia="zh-CN"/>
        </w:rPr>
        <w:t>、</w:t>
      </w:r>
      <w:r>
        <w:rPr>
          <w:rFonts w:hint="eastAsia" w:ascii="宋体" w:hAnsi="宋体"/>
          <w:bCs/>
          <w:sz w:val="24"/>
          <w:szCs w:val="24"/>
        </w:rPr>
        <w:t>投标保证金</w:t>
      </w:r>
      <w:r>
        <w:rPr>
          <w:rFonts w:hint="eastAsia" w:ascii="宋体" w:hAnsi="宋体"/>
          <w:bCs/>
          <w:sz w:val="24"/>
          <w:szCs w:val="24"/>
          <w:lang w:eastAsia="zh-CN"/>
        </w:rPr>
        <w:t>、</w:t>
      </w:r>
      <w:r>
        <w:rPr>
          <w:rFonts w:hint="eastAsia" w:ascii="宋体" w:hAnsi="宋体"/>
          <w:bCs/>
          <w:sz w:val="24"/>
          <w:szCs w:val="24"/>
        </w:rPr>
        <w:t>已标价工程量清单等内容进行响应性评审，如发现投标人投标文件</w:t>
      </w:r>
      <w:r>
        <w:rPr>
          <w:rFonts w:hint="eastAsia" w:ascii="宋体" w:hAnsi="宋体"/>
          <w:bCs/>
          <w:sz w:val="24"/>
          <w:szCs w:val="24"/>
          <w:lang w:eastAsia="zh-CN"/>
        </w:rPr>
        <w:t>的内容</w:t>
      </w:r>
      <w:r>
        <w:rPr>
          <w:rFonts w:hint="eastAsia" w:ascii="宋体" w:hAnsi="宋体"/>
          <w:bCs/>
          <w:sz w:val="24"/>
          <w:szCs w:val="24"/>
        </w:rPr>
        <w:t>与招标文件的要求出现重大偏离，特别是对</w:t>
      </w:r>
      <w:r>
        <w:rPr>
          <w:rFonts w:hint="eastAsia" w:ascii="宋体" w:hAnsi="宋体"/>
          <w:bCs/>
          <w:sz w:val="24"/>
          <w:szCs w:val="24"/>
          <w:lang w:val="en-US" w:eastAsia="zh-CN"/>
        </w:rPr>
        <w:t>招标</w:t>
      </w:r>
      <w:r>
        <w:rPr>
          <w:rFonts w:hint="eastAsia" w:ascii="宋体" w:hAnsi="宋体"/>
          <w:bCs/>
          <w:sz w:val="24"/>
          <w:szCs w:val="24"/>
        </w:rPr>
        <w:t>范围、工程（货物）质量或工期（货物）要求等方面有重大改变，而且，调整这种偏离或保留将会对其他符合招标原则的投标人的竞争地位产生不公正影响时，此投标文件将不予评审，视为不响应招标文件要求，其投标文件作无效投标处理。</w:t>
      </w:r>
    </w:p>
    <w:p w14:paraId="709DE8D9">
      <w:pPr>
        <w:keepNext w:val="0"/>
        <w:keepLines w:val="0"/>
        <w:pageBreakBefore w:val="0"/>
        <w:widowControl w:val="0"/>
        <w:kinsoku/>
        <w:wordWrap/>
        <w:topLinePunct w:val="0"/>
        <w:autoSpaceDE/>
        <w:autoSpaceDN/>
        <w:bidi w:val="0"/>
        <w:adjustRightInd/>
        <w:snapToGrid/>
        <w:spacing w:line="460" w:lineRule="exact"/>
        <w:ind w:firstLine="480"/>
        <w:textAlignment w:val="auto"/>
        <w:rPr>
          <w:rFonts w:hint="eastAsia" w:ascii="宋体" w:hAnsi="宋体"/>
          <w:bCs/>
          <w:sz w:val="24"/>
          <w:szCs w:val="24"/>
        </w:rPr>
      </w:pPr>
      <w:r>
        <w:rPr>
          <w:rFonts w:hint="eastAsia" w:ascii="宋体" w:hAnsi="宋体"/>
          <w:bCs/>
          <w:sz w:val="24"/>
          <w:szCs w:val="24"/>
        </w:rPr>
        <w:t>4.</w:t>
      </w:r>
      <w:r>
        <w:rPr>
          <w:rFonts w:hint="eastAsia" w:ascii="宋体" w:hAnsi="宋体"/>
          <w:bCs/>
          <w:sz w:val="24"/>
          <w:szCs w:val="24"/>
          <w:lang w:val="en-US" w:eastAsia="zh-CN"/>
        </w:rPr>
        <w:t>2</w:t>
      </w:r>
      <w:r>
        <w:rPr>
          <w:rFonts w:hint="eastAsia" w:ascii="宋体" w:hAnsi="宋体"/>
          <w:bCs/>
          <w:sz w:val="24"/>
          <w:szCs w:val="24"/>
        </w:rPr>
        <w:t>.4 投标人有以下情形之一的，视为不响应招标文件要求，其投标文件作无效投标处理：</w:t>
      </w:r>
    </w:p>
    <w:p w14:paraId="585B4511">
      <w:pPr>
        <w:keepNext w:val="0"/>
        <w:keepLines w:val="0"/>
        <w:pageBreakBefore w:val="0"/>
        <w:widowControl w:val="0"/>
        <w:kinsoku/>
        <w:wordWrap/>
        <w:topLinePunct w:val="0"/>
        <w:autoSpaceDE/>
        <w:autoSpaceDN/>
        <w:bidi w:val="0"/>
        <w:adjustRightInd/>
        <w:snapToGrid/>
        <w:spacing w:line="460" w:lineRule="exact"/>
        <w:ind w:firstLine="480"/>
        <w:textAlignment w:val="auto"/>
        <w:rPr>
          <w:rFonts w:hint="eastAsia" w:ascii="宋体" w:hAnsi="宋体"/>
          <w:bCs/>
          <w:sz w:val="24"/>
          <w:szCs w:val="24"/>
        </w:rPr>
      </w:pPr>
      <w:r>
        <w:rPr>
          <w:rFonts w:hint="eastAsia" w:ascii="宋体" w:hAnsi="宋体"/>
          <w:bCs/>
          <w:sz w:val="24"/>
          <w:szCs w:val="24"/>
        </w:rPr>
        <w:t>(1)第</w:t>
      </w:r>
      <w:r>
        <w:rPr>
          <w:rFonts w:hint="eastAsia" w:ascii="宋体" w:hAnsi="宋体"/>
          <w:bCs/>
          <w:sz w:val="24"/>
          <w:szCs w:val="24"/>
          <w:lang w:eastAsia="zh-CN"/>
        </w:rPr>
        <w:t>二</w:t>
      </w:r>
      <w:r>
        <w:rPr>
          <w:rFonts w:hint="eastAsia" w:ascii="宋体" w:hAnsi="宋体"/>
          <w:bCs/>
          <w:sz w:val="24"/>
          <w:szCs w:val="24"/>
        </w:rPr>
        <w:t>章“投标人须知”第 l.4.3项规定的任何一种情形的；</w:t>
      </w:r>
    </w:p>
    <w:p w14:paraId="6A1FF347">
      <w:pPr>
        <w:keepNext w:val="0"/>
        <w:keepLines w:val="0"/>
        <w:pageBreakBefore w:val="0"/>
        <w:widowControl w:val="0"/>
        <w:kinsoku/>
        <w:wordWrap/>
        <w:topLinePunct w:val="0"/>
        <w:autoSpaceDE/>
        <w:autoSpaceDN/>
        <w:bidi w:val="0"/>
        <w:adjustRightInd/>
        <w:snapToGrid/>
        <w:spacing w:line="460" w:lineRule="exact"/>
        <w:ind w:firstLine="480"/>
        <w:textAlignment w:val="auto"/>
        <w:rPr>
          <w:rFonts w:hint="eastAsia" w:ascii="宋体" w:hAnsi="宋体"/>
          <w:bCs/>
          <w:sz w:val="24"/>
          <w:szCs w:val="24"/>
        </w:rPr>
      </w:pPr>
      <w:r>
        <w:rPr>
          <w:rFonts w:hint="eastAsia" w:ascii="宋体" w:hAnsi="宋体"/>
          <w:bCs/>
          <w:sz w:val="24"/>
          <w:szCs w:val="24"/>
        </w:rPr>
        <w:t>(2)投标报价超出招标文件规定的有效范围的；</w:t>
      </w:r>
    </w:p>
    <w:p w14:paraId="042437C3">
      <w:pPr>
        <w:keepNext w:val="0"/>
        <w:keepLines w:val="0"/>
        <w:pageBreakBefore w:val="0"/>
        <w:widowControl w:val="0"/>
        <w:kinsoku/>
        <w:wordWrap/>
        <w:topLinePunct w:val="0"/>
        <w:autoSpaceDE/>
        <w:autoSpaceDN/>
        <w:bidi w:val="0"/>
        <w:adjustRightInd/>
        <w:snapToGrid/>
        <w:spacing w:line="460" w:lineRule="exact"/>
        <w:ind w:firstLine="480"/>
        <w:textAlignment w:val="auto"/>
        <w:rPr>
          <w:rFonts w:hint="eastAsia" w:ascii="宋体" w:hAnsi="宋体"/>
          <w:bCs/>
          <w:sz w:val="24"/>
          <w:szCs w:val="24"/>
        </w:rPr>
      </w:pPr>
      <w:r>
        <w:rPr>
          <w:rFonts w:hint="eastAsia" w:ascii="宋体" w:hAnsi="宋体"/>
          <w:bCs/>
          <w:sz w:val="24"/>
          <w:szCs w:val="24"/>
        </w:rPr>
        <w:t>(3)投标文件附有招标人不能接受的其他条件；</w:t>
      </w:r>
    </w:p>
    <w:p w14:paraId="4693FE52">
      <w:pPr>
        <w:keepNext w:val="0"/>
        <w:keepLines w:val="0"/>
        <w:pageBreakBefore w:val="0"/>
        <w:widowControl w:val="0"/>
        <w:kinsoku/>
        <w:wordWrap/>
        <w:topLinePunct w:val="0"/>
        <w:autoSpaceDE/>
        <w:autoSpaceDN/>
        <w:bidi w:val="0"/>
        <w:adjustRightInd/>
        <w:snapToGrid/>
        <w:spacing w:line="460" w:lineRule="exact"/>
        <w:ind w:firstLine="480"/>
        <w:textAlignment w:val="auto"/>
        <w:rPr>
          <w:rFonts w:hint="eastAsia" w:ascii="宋体" w:hAnsi="宋体"/>
          <w:bCs/>
          <w:sz w:val="24"/>
          <w:szCs w:val="24"/>
        </w:rPr>
      </w:pPr>
      <w:r>
        <w:rPr>
          <w:rFonts w:hint="eastAsia" w:ascii="宋体" w:hAnsi="宋体"/>
          <w:bCs/>
          <w:sz w:val="24"/>
          <w:szCs w:val="24"/>
        </w:rPr>
        <w:t>(4)有串通投标或弄虚作假或有其它违法行为的。</w:t>
      </w:r>
    </w:p>
    <w:p w14:paraId="7F39E3A4">
      <w:pPr>
        <w:keepNext w:val="0"/>
        <w:keepLines w:val="0"/>
        <w:pageBreakBefore w:val="0"/>
        <w:widowControl w:val="0"/>
        <w:kinsoku/>
        <w:wordWrap/>
        <w:topLinePunct w:val="0"/>
        <w:autoSpaceDE/>
        <w:autoSpaceDN/>
        <w:bidi w:val="0"/>
        <w:adjustRightInd/>
        <w:snapToGrid/>
        <w:spacing w:line="460" w:lineRule="exact"/>
        <w:ind w:firstLine="480"/>
        <w:textAlignment w:val="auto"/>
        <w:rPr>
          <w:rFonts w:hint="eastAsia" w:ascii="宋体" w:hAnsi="宋体"/>
          <w:bCs/>
          <w:sz w:val="24"/>
          <w:szCs w:val="24"/>
        </w:rPr>
      </w:pPr>
      <w:r>
        <w:rPr>
          <w:rFonts w:hint="eastAsia" w:ascii="宋体" w:hAnsi="宋体"/>
          <w:bCs/>
          <w:sz w:val="24"/>
          <w:szCs w:val="24"/>
        </w:rPr>
        <w:t>4.</w:t>
      </w:r>
      <w:r>
        <w:rPr>
          <w:rFonts w:hint="eastAsia" w:ascii="宋体" w:hAnsi="宋体"/>
          <w:bCs/>
          <w:sz w:val="24"/>
          <w:szCs w:val="24"/>
          <w:lang w:val="en-US" w:eastAsia="zh-CN"/>
        </w:rPr>
        <w:t>2</w:t>
      </w:r>
      <w:r>
        <w:rPr>
          <w:rFonts w:hint="eastAsia" w:ascii="宋体" w:hAnsi="宋体"/>
          <w:bCs/>
          <w:sz w:val="24"/>
          <w:szCs w:val="24"/>
        </w:rPr>
        <w:t>.</w:t>
      </w:r>
      <w:r>
        <w:rPr>
          <w:rFonts w:hint="eastAsia" w:ascii="宋体" w:hAnsi="宋体"/>
          <w:bCs/>
          <w:sz w:val="24"/>
          <w:szCs w:val="24"/>
          <w:lang w:val="en-US" w:eastAsia="zh-CN"/>
        </w:rPr>
        <w:t>5</w:t>
      </w:r>
      <w:r>
        <w:rPr>
          <w:rFonts w:hint="eastAsia" w:ascii="宋体" w:hAnsi="宋体"/>
          <w:bCs/>
          <w:sz w:val="24"/>
          <w:szCs w:val="24"/>
        </w:rPr>
        <w:t xml:space="preserve"> 评标过程发现的问题和产生的纠纷，由评标委员会负责裁决。裁决前，评标委员会应认真阅读招标文件的规定，并征询招标人</w:t>
      </w:r>
      <w:r>
        <w:rPr>
          <w:rFonts w:hint="eastAsia" w:ascii="宋体" w:hAnsi="宋体"/>
          <w:bCs/>
          <w:sz w:val="24"/>
          <w:szCs w:val="24"/>
          <w:lang w:eastAsia="zh-CN"/>
        </w:rPr>
        <w:t>、</w:t>
      </w:r>
      <w:r>
        <w:rPr>
          <w:rFonts w:hint="eastAsia" w:ascii="宋体" w:hAnsi="宋体"/>
          <w:bCs/>
          <w:sz w:val="24"/>
          <w:szCs w:val="24"/>
        </w:rPr>
        <w:t>招标监督机构的意见。除非符合否决投标的条件，否则投标文件存在的其他缺陷和失误，由评标委员会在评估时综合考虑，不作否决投标处理。</w:t>
      </w:r>
    </w:p>
    <w:p w14:paraId="4FE84968">
      <w:pPr>
        <w:keepNext w:val="0"/>
        <w:keepLines w:val="0"/>
        <w:pageBreakBefore w:val="0"/>
        <w:widowControl w:val="0"/>
        <w:kinsoku/>
        <w:wordWrap/>
        <w:topLinePunct w:val="0"/>
        <w:autoSpaceDE/>
        <w:autoSpaceDN/>
        <w:bidi w:val="0"/>
        <w:adjustRightInd/>
        <w:snapToGrid/>
        <w:spacing w:line="460" w:lineRule="exact"/>
        <w:ind w:firstLine="480"/>
        <w:textAlignment w:val="auto"/>
        <w:rPr>
          <w:rFonts w:hint="eastAsia" w:ascii="宋体" w:hAnsi="宋体"/>
          <w:bCs/>
          <w:sz w:val="24"/>
          <w:szCs w:val="24"/>
        </w:rPr>
      </w:pPr>
      <w:r>
        <w:rPr>
          <w:rFonts w:hint="eastAsia" w:ascii="宋体" w:hAnsi="宋体"/>
          <w:bCs/>
          <w:sz w:val="24"/>
          <w:szCs w:val="24"/>
        </w:rPr>
        <w:t>4.</w:t>
      </w:r>
      <w:r>
        <w:rPr>
          <w:rFonts w:hint="eastAsia" w:ascii="宋体" w:hAnsi="宋体"/>
          <w:bCs/>
          <w:sz w:val="24"/>
          <w:szCs w:val="24"/>
          <w:lang w:val="en-US" w:eastAsia="zh-CN"/>
        </w:rPr>
        <w:t>2</w:t>
      </w:r>
      <w:r>
        <w:rPr>
          <w:rFonts w:hint="eastAsia" w:ascii="宋体" w:hAnsi="宋体"/>
          <w:bCs/>
          <w:sz w:val="24"/>
          <w:szCs w:val="24"/>
        </w:rPr>
        <w:t>.</w:t>
      </w:r>
      <w:r>
        <w:rPr>
          <w:rFonts w:hint="eastAsia" w:ascii="宋体" w:hAnsi="宋体"/>
          <w:bCs/>
          <w:sz w:val="24"/>
          <w:szCs w:val="24"/>
          <w:lang w:val="en-US" w:eastAsia="zh-CN"/>
        </w:rPr>
        <w:t>6</w:t>
      </w:r>
      <w:r>
        <w:rPr>
          <w:rFonts w:hint="eastAsia" w:ascii="宋体" w:hAnsi="宋体"/>
          <w:bCs/>
          <w:sz w:val="24"/>
          <w:szCs w:val="24"/>
        </w:rPr>
        <w:t xml:space="preserve"> 评标讨论过程中，评标委员会成员应当对投标文件发表专业、客观、公正的意见，意见不一致的应作进一步核实和讨论。评标委员会成员对任何一个投标文件的质疑，应当在讨论或现场讲解时提出，表决结果公布后才提出的质疑，不可作为改变表决结果的依据。</w:t>
      </w:r>
    </w:p>
    <w:p w14:paraId="152B30AC">
      <w:pPr>
        <w:pStyle w:val="4"/>
        <w:keepNext w:val="0"/>
        <w:keepLines w:val="0"/>
        <w:pageBreakBefore w:val="0"/>
        <w:widowControl w:val="0"/>
        <w:kinsoku/>
        <w:wordWrap/>
        <w:topLinePunct w:val="0"/>
        <w:autoSpaceDE/>
        <w:autoSpaceDN/>
        <w:bidi w:val="0"/>
        <w:adjustRightInd/>
        <w:snapToGrid/>
        <w:spacing w:before="0" w:after="0" w:line="460" w:lineRule="exact"/>
        <w:textAlignment w:val="auto"/>
        <w:rPr>
          <w:rFonts w:hint="eastAsia" w:ascii="宋体" w:hAnsi="宋体"/>
          <w:sz w:val="24"/>
          <w:szCs w:val="24"/>
          <w:lang w:val="en-US" w:eastAsia="zh-CN"/>
        </w:rPr>
      </w:pPr>
      <w:r>
        <w:rPr>
          <w:rFonts w:hint="eastAsia" w:ascii="宋体" w:hAnsi="宋体"/>
          <w:sz w:val="24"/>
          <w:szCs w:val="24"/>
          <w:lang w:val="en-US" w:eastAsia="zh-CN"/>
        </w:rPr>
        <w:t>4.3 详细评审</w:t>
      </w:r>
    </w:p>
    <w:p w14:paraId="4B430231">
      <w:pPr>
        <w:keepNext w:val="0"/>
        <w:keepLines w:val="0"/>
        <w:pageBreakBefore w:val="0"/>
        <w:widowControl w:val="0"/>
        <w:numPr>
          <w:ilvl w:val="0"/>
          <w:numId w:val="0"/>
        </w:numPr>
        <w:kinsoku/>
        <w:wordWrap/>
        <w:overflowPunct/>
        <w:topLinePunct w:val="0"/>
        <w:autoSpaceDE/>
        <w:autoSpaceDN/>
        <w:bidi w:val="0"/>
        <w:adjustRightInd/>
        <w:snapToGrid/>
        <w:spacing w:before="0" w:after="0" w:line="460" w:lineRule="exact"/>
        <w:ind w:firstLine="480" w:firstLineChars="200"/>
        <w:textAlignment w:val="auto"/>
        <w:outlineLvl w:val="9"/>
        <w:rPr>
          <w:rFonts w:hint="eastAsia" w:ascii="宋体" w:hAnsi="宋体"/>
          <w:bCs/>
          <w:sz w:val="24"/>
          <w:szCs w:val="24"/>
        </w:rPr>
      </w:pPr>
      <w:r>
        <w:rPr>
          <w:rFonts w:hint="eastAsia" w:ascii="宋体" w:hAnsi="宋体"/>
          <w:bCs/>
          <w:sz w:val="24"/>
          <w:szCs w:val="24"/>
          <w:lang w:val="en-US" w:eastAsia="zh-CN"/>
        </w:rPr>
        <w:t>4.3.1 评标委员会</w:t>
      </w:r>
      <w:r>
        <w:rPr>
          <w:rFonts w:hint="eastAsia" w:ascii="宋体" w:hAnsi="宋体"/>
          <w:bCs/>
          <w:sz w:val="24"/>
          <w:szCs w:val="24"/>
        </w:rPr>
        <w:t>按本章评标办法前附表1.2款规定的量化因素和分值进行打分，并计算出综合评分总分。</w:t>
      </w:r>
    </w:p>
    <w:p w14:paraId="140A2F14">
      <w:pPr>
        <w:keepNext w:val="0"/>
        <w:keepLines w:val="0"/>
        <w:pageBreakBefore w:val="0"/>
        <w:widowControl w:val="0"/>
        <w:kinsoku/>
        <w:wordWrap/>
        <w:topLinePunct w:val="0"/>
        <w:autoSpaceDE/>
        <w:autoSpaceDN/>
        <w:bidi w:val="0"/>
        <w:adjustRightInd/>
        <w:snapToGrid/>
        <w:spacing w:line="460" w:lineRule="exact"/>
        <w:ind w:firstLine="480"/>
        <w:textAlignment w:val="auto"/>
        <w:rPr>
          <w:rFonts w:hint="eastAsia" w:ascii="宋体" w:hAnsi="宋体"/>
          <w:bCs/>
          <w:sz w:val="24"/>
          <w:szCs w:val="24"/>
        </w:rPr>
      </w:pPr>
      <w:r>
        <w:rPr>
          <w:rFonts w:hint="eastAsia" w:ascii="宋体" w:hAnsi="宋体"/>
          <w:bCs/>
          <w:sz w:val="24"/>
          <w:szCs w:val="24"/>
        </w:rPr>
        <w:t>(1)按本章第 3.2.2.</w:t>
      </w:r>
      <w:r>
        <w:rPr>
          <w:rFonts w:hint="eastAsia" w:ascii="宋体" w:hAnsi="宋体"/>
          <w:bCs/>
          <w:sz w:val="24"/>
          <w:szCs w:val="24"/>
          <w:lang w:val="en-US" w:eastAsia="zh-CN"/>
        </w:rPr>
        <w:t>1</w:t>
      </w:r>
      <w:r>
        <w:rPr>
          <w:rFonts w:hint="eastAsia" w:ascii="宋体" w:hAnsi="宋体"/>
          <w:bCs/>
          <w:sz w:val="24"/>
          <w:szCs w:val="24"/>
        </w:rPr>
        <w:t xml:space="preserve"> 目规定的评审因素和分值对商务部分计算出得分 F</w:t>
      </w:r>
      <w:r>
        <w:rPr>
          <w:rFonts w:hint="eastAsia" w:ascii="宋体" w:hAnsi="宋体"/>
          <w:bCs/>
          <w:sz w:val="24"/>
          <w:szCs w:val="24"/>
          <w:lang w:val="en-US" w:eastAsia="zh-CN"/>
        </w:rPr>
        <w:t>1</w:t>
      </w:r>
      <w:r>
        <w:rPr>
          <w:rFonts w:hint="eastAsia" w:ascii="宋体" w:hAnsi="宋体"/>
          <w:bCs/>
          <w:sz w:val="24"/>
          <w:szCs w:val="24"/>
        </w:rPr>
        <w:t>；</w:t>
      </w:r>
    </w:p>
    <w:p w14:paraId="700438DA">
      <w:pPr>
        <w:keepNext w:val="0"/>
        <w:keepLines w:val="0"/>
        <w:pageBreakBefore w:val="0"/>
        <w:widowControl w:val="0"/>
        <w:kinsoku/>
        <w:wordWrap/>
        <w:topLinePunct w:val="0"/>
        <w:autoSpaceDE/>
        <w:autoSpaceDN/>
        <w:bidi w:val="0"/>
        <w:adjustRightInd/>
        <w:snapToGrid/>
        <w:spacing w:line="460" w:lineRule="exact"/>
        <w:ind w:firstLine="480"/>
        <w:textAlignment w:val="auto"/>
        <w:rPr>
          <w:rFonts w:hint="eastAsia" w:ascii="宋体" w:hAnsi="宋体"/>
          <w:bCs/>
          <w:sz w:val="24"/>
          <w:szCs w:val="24"/>
        </w:rPr>
      </w:pPr>
      <w:r>
        <w:rPr>
          <w:rFonts w:hint="eastAsia" w:ascii="宋体" w:hAnsi="宋体"/>
          <w:bCs/>
          <w:sz w:val="24"/>
          <w:szCs w:val="24"/>
        </w:rPr>
        <w:t>(3)按本章第 3.2.2.</w:t>
      </w:r>
      <w:r>
        <w:rPr>
          <w:rFonts w:hint="eastAsia" w:ascii="宋体" w:hAnsi="宋体"/>
          <w:bCs/>
          <w:sz w:val="24"/>
          <w:szCs w:val="24"/>
          <w:lang w:val="en-US" w:eastAsia="zh-CN"/>
        </w:rPr>
        <w:t>2</w:t>
      </w:r>
      <w:r>
        <w:rPr>
          <w:rFonts w:hint="eastAsia" w:ascii="宋体" w:hAnsi="宋体"/>
          <w:bCs/>
          <w:sz w:val="24"/>
          <w:szCs w:val="24"/>
        </w:rPr>
        <w:t xml:space="preserve"> 目规定的评审因素和分值对技术部分计算出得分 F</w:t>
      </w:r>
      <w:r>
        <w:rPr>
          <w:rFonts w:hint="eastAsia" w:ascii="宋体" w:hAnsi="宋体"/>
          <w:bCs/>
          <w:sz w:val="24"/>
          <w:szCs w:val="24"/>
          <w:lang w:val="en-US" w:eastAsia="zh-CN"/>
        </w:rPr>
        <w:t>2</w:t>
      </w:r>
      <w:r>
        <w:rPr>
          <w:rFonts w:hint="eastAsia" w:ascii="宋体" w:hAnsi="宋体"/>
          <w:bCs/>
          <w:sz w:val="24"/>
          <w:szCs w:val="24"/>
        </w:rPr>
        <w:t>；</w:t>
      </w:r>
    </w:p>
    <w:p w14:paraId="221C9EB4">
      <w:pPr>
        <w:keepNext w:val="0"/>
        <w:keepLines w:val="0"/>
        <w:pageBreakBefore w:val="0"/>
        <w:widowControl w:val="0"/>
        <w:kinsoku/>
        <w:wordWrap/>
        <w:topLinePunct w:val="0"/>
        <w:autoSpaceDE/>
        <w:autoSpaceDN/>
        <w:bidi w:val="0"/>
        <w:adjustRightInd/>
        <w:snapToGrid/>
        <w:spacing w:line="460" w:lineRule="exact"/>
        <w:ind w:firstLine="480"/>
        <w:textAlignment w:val="auto"/>
        <w:rPr>
          <w:rFonts w:hint="eastAsia" w:ascii="宋体" w:hAnsi="宋体"/>
          <w:bCs/>
          <w:sz w:val="24"/>
          <w:szCs w:val="24"/>
        </w:rPr>
      </w:pPr>
      <w:r>
        <w:rPr>
          <w:rFonts w:hint="eastAsia" w:ascii="宋体" w:hAnsi="宋体"/>
          <w:bCs/>
          <w:sz w:val="24"/>
          <w:szCs w:val="24"/>
        </w:rPr>
        <w:t>(4)按本章第 3.2.2.</w:t>
      </w:r>
      <w:r>
        <w:rPr>
          <w:rFonts w:hint="eastAsia" w:ascii="宋体" w:hAnsi="宋体"/>
          <w:bCs/>
          <w:sz w:val="24"/>
          <w:szCs w:val="24"/>
          <w:lang w:val="en-US" w:eastAsia="zh-CN"/>
        </w:rPr>
        <w:t>3</w:t>
      </w:r>
      <w:r>
        <w:rPr>
          <w:rFonts w:hint="eastAsia" w:ascii="宋体" w:hAnsi="宋体"/>
          <w:bCs/>
          <w:sz w:val="24"/>
          <w:szCs w:val="24"/>
        </w:rPr>
        <w:t xml:space="preserve"> 目规定的评审因素和分值对投标报价计算出得分 F</w:t>
      </w:r>
      <w:r>
        <w:rPr>
          <w:rFonts w:hint="eastAsia" w:ascii="宋体" w:hAnsi="宋体"/>
          <w:bCs/>
          <w:sz w:val="24"/>
          <w:szCs w:val="24"/>
          <w:lang w:val="en-US" w:eastAsia="zh-CN"/>
        </w:rPr>
        <w:t>3</w:t>
      </w:r>
      <w:r>
        <w:rPr>
          <w:rFonts w:hint="eastAsia" w:ascii="宋体" w:hAnsi="宋体"/>
          <w:bCs/>
          <w:sz w:val="24"/>
          <w:szCs w:val="24"/>
        </w:rPr>
        <w:t>；</w:t>
      </w:r>
    </w:p>
    <w:p w14:paraId="3A2438ED">
      <w:pPr>
        <w:keepNext w:val="0"/>
        <w:keepLines w:val="0"/>
        <w:pageBreakBefore w:val="0"/>
        <w:widowControl w:val="0"/>
        <w:kinsoku/>
        <w:wordWrap/>
        <w:topLinePunct w:val="0"/>
        <w:autoSpaceDE/>
        <w:autoSpaceDN/>
        <w:bidi w:val="0"/>
        <w:adjustRightInd/>
        <w:snapToGrid/>
        <w:spacing w:line="460" w:lineRule="exact"/>
        <w:ind w:firstLine="480"/>
        <w:textAlignment w:val="auto"/>
        <w:rPr>
          <w:rFonts w:hint="eastAsia" w:ascii="宋体" w:hAnsi="宋体"/>
          <w:bCs/>
          <w:sz w:val="24"/>
          <w:szCs w:val="24"/>
        </w:rPr>
      </w:pPr>
      <w:r>
        <w:rPr>
          <w:rFonts w:hint="eastAsia" w:ascii="宋体" w:hAnsi="宋体"/>
          <w:bCs/>
          <w:sz w:val="24"/>
          <w:szCs w:val="24"/>
        </w:rPr>
        <w:t>4.</w:t>
      </w:r>
      <w:r>
        <w:rPr>
          <w:rFonts w:hint="eastAsia" w:ascii="宋体" w:hAnsi="宋体"/>
          <w:bCs/>
          <w:sz w:val="24"/>
          <w:szCs w:val="24"/>
          <w:lang w:val="en-US" w:eastAsia="zh-CN"/>
        </w:rPr>
        <w:t>3</w:t>
      </w:r>
      <w:r>
        <w:rPr>
          <w:rFonts w:hint="eastAsia" w:ascii="宋体" w:hAnsi="宋体"/>
          <w:bCs/>
          <w:sz w:val="24"/>
          <w:szCs w:val="24"/>
        </w:rPr>
        <w:t>.2 评分分值计算保留小数点后两位，小数点后第三位“四舍五入”。</w:t>
      </w:r>
    </w:p>
    <w:p w14:paraId="514FDF2C">
      <w:pPr>
        <w:keepNext w:val="0"/>
        <w:keepLines w:val="0"/>
        <w:pageBreakBefore w:val="0"/>
        <w:widowControl w:val="0"/>
        <w:kinsoku/>
        <w:wordWrap/>
        <w:topLinePunct w:val="0"/>
        <w:autoSpaceDE/>
        <w:autoSpaceDN/>
        <w:bidi w:val="0"/>
        <w:adjustRightInd/>
        <w:snapToGrid/>
        <w:spacing w:line="460" w:lineRule="exact"/>
        <w:ind w:firstLine="480"/>
        <w:textAlignment w:val="auto"/>
        <w:rPr>
          <w:rFonts w:hint="eastAsia" w:ascii="宋体" w:hAnsi="宋体"/>
          <w:bCs/>
          <w:sz w:val="24"/>
          <w:szCs w:val="24"/>
        </w:rPr>
      </w:pPr>
      <w:r>
        <w:rPr>
          <w:rFonts w:hint="eastAsia" w:ascii="宋体" w:hAnsi="宋体"/>
          <w:bCs/>
          <w:sz w:val="24"/>
          <w:szCs w:val="24"/>
        </w:rPr>
        <w:t>4.</w:t>
      </w:r>
      <w:r>
        <w:rPr>
          <w:rFonts w:hint="eastAsia" w:ascii="宋体" w:hAnsi="宋体"/>
          <w:bCs/>
          <w:sz w:val="24"/>
          <w:szCs w:val="24"/>
          <w:lang w:val="en-US" w:eastAsia="zh-CN"/>
        </w:rPr>
        <w:t>3</w:t>
      </w:r>
      <w:r>
        <w:rPr>
          <w:rFonts w:hint="eastAsia" w:ascii="宋体" w:hAnsi="宋体"/>
          <w:bCs/>
          <w:sz w:val="24"/>
          <w:szCs w:val="24"/>
        </w:rPr>
        <w:t>.3 计算投标综合得分</w:t>
      </w:r>
      <w:r>
        <w:rPr>
          <w:rFonts w:hint="eastAsia" w:ascii="宋体" w:hAnsi="宋体"/>
          <w:bCs/>
          <w:sz w:val="24"/>
          <w:szCs w:val="24"/>
          <w:lang w:eastAsia="zh-CN"/>
        </w:rPr>
        <w:t>：</w:t>
      </w:r>
      <w:r>
        <w:rPr>
          <w:rFonts w:hint="eastAsia" w:ascii="宋体" w:hAnsi="宋体"/>
          <w:bCs/>
          <w:sz w:val="24"/>
          <w:szCs w:val="24"/>
        </w:rPr>
        <w:t>投标人综合得分=</w:t>
      </w:r>
      <w:r>
        <w:rPr>
          <w:rFonts w:hint="eastAsia" w:ascii="宋体" w:hAnsi="宋体"/>
          <w:bCs/>
          <w:sz w:val="24"/>
          <w:szCs w:val="24"/>
          <w:lang w:val="en-US" w:eastAsia="zh-CN"/>
        </w:rPr>
        <w:t xml:space="preserve"> </w:t>
      </w:r>
      <w:r>
        <w:rPr>
          <w:rFonts w:hint="eastAsia" w:ascii="宋体" w:hAnsi="宋体"/>
          <w:bCs/>
          <w:sz w:val="24"/>
          <w:szCs w:val="24"/>
        </w:rPr>
        <w:t>F1+F2+F3。</w:t>
      </w:r>
    </w:p>
    <w:p w14:paraId="1D4DC25E">
      <w:pPr>
        <w:keepNext w:val="0"/>
        <w:keepLines w:val="0"/>
        <w:pageBreakBefore w:val="0"/>
        <w:widowControl w:val="0"/>
        <w:kinsoku/>
        <w:wordWrap/>
        <w:topLinePunct w:val="0"/>
        <w:autoSpaceDE/>
        <w:autoSpaceDN/>
        <w:bidi w:val="0"/>
        <w:adjustRightInd/>
        <w:snapToGrid/>
        <w:spacing w:before="0" w:after="0" w:line="460" w:lineRule="exact"/>
        <w:textAlignment w:val="auto"/>
        <w:outlineLvl w:val="9"/>
        <w:rPr>
          <w:rFonts w:hint="eastAsia" w:ascii="宋体" w:hAnsi="宋体"/>
          <w:b/>
          <w:bCs/>
          <w:sz w:val="24"/>
          <w:szCs w:val="24"/>
          <w:lang w:val="en-US" w:eastAsia="zh-CN"/>
        </w:rPr>
      </w:pPr>
      <w:r>
        <w:rPr>
          <w:rFonts w:hint="eastAsia" w:ascii="宋体" w:hAnsi="宋体"/>
          <w:b/>
          <w:bCs/>
          <w:sz w:val="24"/>
          <w:szCs w:val="24"/>
          <w:lang w:val="en-US" w:eastAsia="zh-CN"/>
        </w:rPr>
        <w:t>4.4 投标文件的澄清和算术错误的修正</w:t>
      </w:r>
    </w:p>
    <w:p w14:paraId="23DD135A">
      <w:pPr>
        <w:keepNext w:val="0"/>
        <w:keepLines w:val="0"/>
        <w:pageBreakBefore w:val="0"/>
        <w:widowControl w:val="0"/>
        <w:kinsoku/>
        <w:wordWrap/>
        <w:topLinePunct w:val="0"/>
        <w:autoSpaceDE/>
        <w:autoSpaceDN/>
        <w:bidi w:val="0"/>
        <w:adjustRightInd/>
        <w:snapToGrid/>
        <w:spacing w:line="460" w:lineRule="exact"/>
        <w:ind w:firstLine="480"/>
        <w:textAlignment w:val="auto"/>
        <w:rPr>
          <w:rFonts w:hint="eastAsia" w:ascii="宋体" w:hAnsi="宋体"/>
          <w:bCs/>
          <w:sz w:val="24"/>
          <w:szCs w:val="24"/>
        </w:rPr>
      </w:pPr>
      <w:r>
        <w:rPr>
          <w:rFonts w:hint="eastAsia" w:ascii="宋体" w:hAnsi="宋体"/>
          <w:bCs/>
          <w:sz w:val="24"/>
          <w:szCs w:val="24"/>
        </w:rPr>
        <w:t>4.</w:t>
      </w:r>
      <w:r>
        <w:rPr>
          <w:rFonts w:hint="eastAsia" w:ascii="宋体" w:hAnsi="宋体"/>
          <w:bCs/>
          <w:sz w:val="24"/>
          <w:szCs w:val="24"/>
          <w:lang w:val="en-US" w:eastAsia="zh-CN"/>
        </w:rPr>
        <w:t>4</w:t>
      </w:r>
      <w:r>
        <w:rPr>
          <w:rFonts w:hint="eastAsia" w:ascii="宋体" w:hAnsi="宋体"/>
          <w:bCs/>
          <w:sz w:val="24"/>
          <w:szCs w:val="24"/>
        </w:rPr>
        <w:t>.1 在评标过程中，评标委员会可以书面形式要求投标人对所提交投标文件中不明确的内容进行书面澄清或说明，或者对细微偏差进行补正。评标委员会不接受投标人主动提出的澄清、说明或补正。</w:t>
      </w:r>
    </w:p>
    <w:p w14:paraId="764CB19F">
      <w:pPr>
        <w:keepNext w:val="0"/>
        <w:keepLines w:val="0"/>
        <w:pageBreakBefore w:val="0"/>
        <w:widowControl w:val="0"/>
        <w:kinsoku/>
        <w:wordWrap/>
        <w:topLinePunct w:val="0"/>
        <w:autoSpaceDE/>
        <w:autoSpaceDN/>
        <w:bidi w:val="0"/>
        <w:adjustRightInd/>
        <w:snapToGrid/>
        <w:spacing w:line="460" w:lineRule="exact"/>
        <w:ind w:firstLine="480"/>
        <w:textAlignment w:val="auto"/>
        <w:rPr>
          <w:rFonts w:hint="eastAsia" w:ascii="宋体" w:hAnsi="宋体"/>
          <w:bCs/>
          <w:sz w:val="24"/>
          <w:szCs w:val="24"/>
        </w:rPr>
      </w:pPr>
      <w:r>
        <w:rPr>
          <w:rFonts w:hint="eastAsia" w:ascii="宋体" w:hAnsi="宋体"/>
          <w:bCs/>
          <w:sz w:val="24"/>
          <w:szCs w:val="24"/>
        </w:rPr>
        <w:t>4.</w:t>
      </w:r>
      <w:r>
        <w:rPr>
          <w:rFonts w:hint="eastAsia" w:ascii="宋体" w:hAnsi="宋体"/>
          <w:bCs/>
          <w:sz w:val="24"/>
          <w:szCs w:val="24"/>
          <w:lang w:val="en-US" w:eastAsia="zh-CN"/>
        </w:rPr>
        <w:t>4</w:t>
      </w:r>
      <w:r>
        <w:rPr>
          <w:rFonts w:hint="eastAsia" w:ascii="宋体" w:hAnsi="宋体"/>
          <w:bCs/>
          <w:sz w:val="24"/>
          <w:szCs w:val="24"/>
        </w:rPr>
        <w:t>.2 澄清、说明和补正不得改变投标文件的实质性内容。投标人的书面澄清、说明和补正属于投标文件的组成部分。</w:t>
      </w:r>
    </w:p>
    <w:p w14:paraId="646CFC90">
      <w:pPr>
        <w:keepNext w:val="0"/>
        <w:keepLines w:val="0"/>
        <w:pageBreakBefore w:val="0"/>
        <w:widowControl w:val="0"/>
        <w:kinsoku/>
        <w:wordWrap/>
        <w:topLinePunct w:val="0"/>
        <w:autoSpaceDE/>
        <w:autoSpaceDN/>
        <w:bidi w:val="0"/>
        <w:adjustRightInd/>
        <w:snapToGrid/>
        <w:spacing w:line="460" w:lineRule="exact"/>
        <w:ind w:firstLine="480"/>
        <w:textAlignment w:val="auto"/>
        <w:rPr>
          <w:rFonts w:hint="eastAsia" w:ascii="宋体" w:hAnsi="宋体"/>
          <w:bCs/>
          <w:sz w:val="24"/>
          <w:szCs w:val="24"/>
        </w:rPr>
      </w:pPr>
      <w:r>
        <w:rPr>
          <w:rFonts w:hint="eastAsia" w:ascii="宋体" w:hAnsi="宋体"/>
          <w:bCs/>
          <w:sz w:val="24"/>
          <w:szCs w:val="24"/>
        </w:rPr>
        <w:t>4.</w:t>
      </w:r>
      <w:r>
        <w:rPr>
          <w:rFonts w:hint="eastAsia" w:ascii="宋体" w:hAnsi="宋体"/>
          <w:bCs/>
          <w:sz w:val="24"/>
          <w:szCs w:val="24"/>
          <w:lang w:val="en-US" w:eastAsia="zh-CN"/>
        </w:rPr>
        <w:t>4</w:t>
      </w:r>
      <w:r>
        <w:rPr>
          <w:rFonts w:hint="eastAsia" w:ascii="宋体" w:hAnsi="宋体"/>
          <w:bCs/>
          <w:sz w:val="24"/>
          <w:szCs w:val="24"/>
        </w:rPr>
        <w:t>.3 评标委员会对投标人提交的澄清、说明或补正有疑问的，可以要求投标人进一步澄清、说明或补正，直至满足评标委员会的要求。</w:t>
      </w:r>
    </w:p>
    <w:p w14:paraId="7827F275">
      <w:pPr>
        <w:keepNext w:val="0"/>
        <w:keepLines w:val="0"/>
        <w:pageBreakBefore w:val="0"/>
        <w:widowControl w:val="0"/>
        <w:kinsoku/>
        <w:wordWrap/>
        <w:topLinePunct w:val="0"/>
        <w:autoSpaceDE/>
        <w:autoSpaceDN/>
        <w:bidi w:val="0"/>
        <w:adjustRightInd/>
        <w:snapToGrid/>
        <w:spacing w:line="460" w:lineRule="exact"/>
        <w:ind w:firstLine="480"/>
        <w:textAlignment w:val="auto"/>
        <w:rPr>
          <w:rFonts w:hint="eastAsia" w:ascii="宋体" w:hAnsi="宋体"/>
          <w:bCs/>
          <w:sz w:val="24"/>
          <w:szCs w:val="24"/>
        </w:rPr>
      </w:pPr>
      <w:r>
        <w:rPr>
          <w:rFonts w:hint="eastAsia" w:ascii="宋体" w:hAnsi="宋体"/>
          <w:bCs/>
          <w:sz w:val="24"/>
          <w:szCs w:val="24"/>
        </w:rPr>
        <w:t>4.</w:t>
      </w:r>
      <w:r>
        <w:rPr>
          <w:rFonts w:hint="eastAsia" w:ascii="宋体" w:hAnsi="宋体"/>
          <w:bCs/>
          <w:sz w:val="24"/>
          <w:szCs w:val="24"/>
          <w:lang w:val="en-US" w:eastAsia="zh-CN"/>
        </w:rPr>
        <w:t>4</w:t>
      </w:r>
      <w:r>
        <w:rPr>
          <w:rFonts w:hint="eastAsia" w:ascii="宋体" w:hAnsi="宋体"/>
          <w:bCs/>
          <w:sz w:val="24"/>
          <w:szCs w:val="24"/>
        </w:rPr>
        <w:t>.4 凡超出招标文件规定的或给发包人带来未曾要求的利益的变化、偏差或其他因素在评标时不予考虑。</w:t>
      </w:r>
    </w:p>
    <w:p w14:paraId="63E6EA01">
      <w:pPr>
        <w:keepNext w:val="0"/>
        <w:keepLines w:val="0"/>
        <w:pageBreakBefore w:val="0"/>
        <w:widowControl w:val="0"/>
        <w:kinsoku/>
        <w:wordWrap/>
        <w:topLinePunct w:val="0"/>
        <w:autoSpaceDE/>
        <w:autoSpaceDN/>
        <w:bidi w:val="0"/>
        <w:adjustRightInd/>
        <w:snapToGrid/>
        <w:spacing w:line="460" w:lineRule="exact"/>
        <w:ind w:firstLine="480"/>
        <w:textAlignment w:val="auto"/>
        <w:rPr>
          <w:rFonts w:hint="eastAsia" w:ascii="宋体" w:hAnsi="宋体"/>
          <w:bCs/>
          <w:sz w:val="24"/>
          <w:szCs w:val="24"/>
        </w:rPr>
      </w:pPr>
      <w:r>
        <w:rPr>
          <w:rFonts w:hint="eastAsia" w:ascii="宋体" w:hAnsi="宋体"/>
          <w:bCs/>
          <w:sz w:val="24"/>
          <w:szCs w:val="24"/>
          <w:lang w:val="en-US" w:eastAsia="zh-CN"/>
        </w:rPr>
        <w:t>4.4</w:t>
      </w:r>
      <w:r>
        <w:rPr>
          <w:rFonts w:hint="eastAsia" w:ascii="宋体" w:hAnsi="宋体"/>
          <w:bCs/>
          <w:sz w:val="24"/>
          <w:szCs w:val="24"/>
        </w:rPr>
        <w:t>.5 如果某投标人的分项投标报价（下浮率）处于招标文件规定的有效范围内，而以投标报价下浮率结合招标暂定金额计算所得的金额与投标人的报价金额不一致，或存在分项报价金额累加与投标总报价不符的情形，评标委员会将以投标报价下浮率为准修正其报价金额，或可要求该投标人对累计有误的投标总报价金额予以书面澄清而不被列入废标的条件。但投标承诺书投标</w:t>
      </w:r>
      <w:r>
        <w:rPr>
          <w:rFonts w:hint="eastAsia" w:ascii="宋体" w:hAnsi="宋体"/>
          <w:bCs/>
          <w:sz w:val="24"/>
          <w:szCs w:val="24"/>
          <w:lang w:val="en-US" w:eastAsia="zh-CN"/>
        </w:rPr>
        <w:t>函</w:t>
      </w:r>
      <w:r>
        <w:rPr>
          <w:rFonts w:hint="eastAsia" w:ascii="宋体" w:hAnsi="宋体"/>
          <w:bCs/>
          <w:sz w:val="24"/>
          <w:szCs w:val="24"/>
        </w:rPr>
        <w:t>与《</w:t>
      </w:r>
      <w:r>
        <w:rPr>
          <w:rFonts w:hint="eastAsia" w:ascii="宋体" w:hAnsi="宋体"/>
          <w:bCs/>
          <w:sz w:val="24"/>
          <w:szCs w:val="24"/>
          <w:lang w:val="en-US" w:eastAsia="zh-CN"/>
        </w:rPr>
        <w:t>投标函附录</w:t>
      </w:r>
      <w:r>
        <w:rPr>
          <w:rFonts w:hint="eastAsia" w:ascii="宋体" w:hAnsi="宋体"/>
          <w:bCs/>
          <w:sz w:val="24"/>
          <w:szCs w:val="24"/>
        </w:rPr>
        <w:t>》填报投标总报价存在不一致或未填写投标报价的，初步评审不予通过，该投标人投标文件视为不响应招标文件要求，其投标文件作无效投标处理。</w:t>
      </w:r>
    </w:p>
    <w:p w14:paraId="69EA29CF">
      <w:pPr>
        <w:keepNext w:val="0"/>
        <w:keepLines w:val="0"/>
        <w:pageBreakBefore w:val="0"/>
        <w:widowControl w:val="0"/>
        <w:kinsoku/>
        <w:wordWrap/>
        <w:topLinePunct w:val="0"/>
        <w:autoSpaceDE/>
        <w:autoSpaceDN/>
        <w:bidi w:val="0"/>
        <w:adjustRightInd/>
        <w:snapToGrid/>
        <w:spacing w:before="0" w:after="0" w:line="460" w:lineRule="exact"/>
        <w:textAlignment w:val="auto"/>
        <w:outlineLvl w:val="9"/>
        <w:rPr>
          <w:rFonts w:hint="eastAsia" w:ascii="宋体" w:hAnsi="宋体"/>
          <w:b/>
          <w:bCs/>
          <w:sz w:val="24"/>
          <w:szCs w:val="24"/>
          <w:lang w:val="en-US" w:eastAsia="zh-CN"/>
        </w:rPr>
      </w:pPr>
      <w:r>
        <w:rPr>
          <w:rFonts w:hint="eastAsia" w:ascii="宋体" w:hAnsi="宋体"/>
          <w:b/>
          <w:bCs/>
          <w:sz w:val="24"/>
          <w:szCs w:val="24"/>
          <w:lang w:val="en-US" w:eastAsia="zh-CN"/>
        </w:rPr>
        <w:t>4.5 推荐中标候选人</w:t>
      </w:r>
    </w:p>
    <w:p w14:paraId="57F319AE">
      <w:pPr>
        <w:keepNext w:val="0"/>
        <w:keepLines w:val="0"/>
        <w:pageBreakBefore w:val="0"/>
        <w:widowControl w:val="0"/>
        <w:kinsoku/>
        <w:wordWrap/>
        <w:topLinePunct w:val="0"/>
        <w:autoSpaceDE/>
        <w:autoSpaceDN/>
        <w:bidi w:val="0"/>
        <w:adjustRightInd/>
        <w:snapToGrid/>
        <w:spacing w:line="460" w:lineRule="exact"/>
        <w:ind w:firstLine="480"/>
        <w:textAlignment w:val="auto"/>
        <w:rPr>
          <w:rFonts w:hint="eastAsia" w:ascii="宋体" w:hAnsi="宋体"/>
          <w:bCs/>
          <w:sz w:val="24"/>
          <w:szCs w:val="24"/>
        </w:rPr>
      </w:pPr>
      <w:r>
        <w:rPr>
          <w:rFonts w:hint="eastAsia" w:ascii="宋体" w:hAnsi="宋体"/>
          <w:bCs/>
          <w:sz w:val="24"/>
          <w:szCs w:val="24"/>
        </w:rPr>
        <w:t>根据综合得分，取综合得分最高的</w:t>
      </w:r>
      <w:r>
        <w:rPr>
          <w:rFonts w:hint="eastAsia" w:ascii="宋体" w:hAnsi="宋体"/>
          <w:bCs/>
          <w:sz w:val="24"/>
          <w:szCs w:val="24"/>
          <w:lang w:val="en-US" w:eastAsia="zh-CN"/>
        </w:rPr>
        <w:t>2</w:t>
      </w:r>
      <w:r>
        <w:rPr>
          <w:rFonts w:hint="eastAsia" w:ascii="宋体" w:hAnsi="宋体"/>
          <w:bCs/>
          <w:sz w:val="24"/>
          <w:szCs w:val="24"/>
        </w:rPr>
        <w:t>名投标人为中标候选人。如果综合评分相等时，以投标报价低的优先；投标报价也相等的，以技术得分高的优先；如果技术得分也相等，按照评标办法前附表的规定确定中标候选人顺序。</w:t>
      </w:r>
    </w:p>
    <w:p w14:paraId="7AAA6609">
      <w:pPr>
        <w:keepNext w:val="0"/>
        <w:keepLines w:val="0"/>
        <w:pageBreakBefore w:val="0"/>
        <w:widowControl w:val="0"/>
        <w:kinsoku/>
        <w:wordWrap/>
        <w:topLinePunct w:val="0"/>
        <w:autoSpaceDE/>
        <w:autoSpaceDN/>
        <w:bidi w:val="0"/>
        <w:adjustRightInd/>
        <w:snapToGrid/>
        <w:spacing w:before="0" w:after="0" w:line="460" w:lineRule="exact"/>
        <w:textAlignment w:val="auto"/>
        <w:outlineLvl w:val="9"/>
        <w:rPr>
          <w:rFonts w:hint="eastAsia" w:ascii="宋体" w:hAnsi="宋体"/>
          <w:b/>
          <w:bCs/>
          <w:sz w:val="24"/>
          <w:szCs w:val="24"/>
          <w:lang w:val="en-US" w:eastAsia="zh-CN"/>
        </w:rPr>
      </w:pPr>
      <w:r>
        <w:rPr>
          <w:rFonts w:hint="eastAsia" w:ascii="宋体" w:hAnsi="宋体"/>
          <w:b/>
          <w:bCs/>
          <w:sz w:val="24"/>
          <w:szCs w:val="24"/>
          <w:lang w:val="en-US" w:eastAsia="zh-CN"/>
        </w:rPr>
        <w:t>4.6 评标结果</w:t>
      </w:r>
    </w:p>
    <w:p w14:paraId="7AFB57DB">
      <w:pPr>
        <w:keepNext w:val="0"/>
        <w:keepLines w:val="0"/>
        <w:pageBreakBefore w:val="0"/>
        <w:widowControl w:val="0"/>
        <w:kinsoku/>
        <w:wordWrap/>
        <w:topLinePunct w:val="0"/>
        <w:autoSpaceDE/>
        <w:autoSpaceDN/>
        <w:bidi w:val="0"/>
        <w:adjustRightInd/>
        <w:snapToGrid/>
        <w:spacing w:line="460" w:lineRule="exact"/>
        <w:ind w:firstLine="480"/>
        <w:textAlignment w:val="auto"/>
        <w:rPr>
          <w:rFonts w:hint="eastAsia" w:ascii="宋体" w:hAnsi="宋体"/>
          <w:bCs/>
          <w:sz w:val="24"/>
          <w:szCs w:val="24"/>
        </w:rPr>
      </w:pPr>
      <w:r>
        <w:rPr>
          <w:rFonts w:hint="eastAsia" w:ascii="宋体" w:hAnsi="宋体"/>
          <w:bCs/>
          <w:sz w:val="24"/>
          <w:szCs w:val="24"/>
        </w:rPr>
        <w:t>4.</w:t>
      </w:r>
      <w:r>
        <w:rPr>
          <w:rFonts w:hint="eastAsia" w:ascii="宋体" w:hAnsi="宋体"/>
          <w:bCs/>
          <w:sz w:val="24"/>
          <w:szCs w:val="24"/>
          <w:lang w:val="en-US" w:eastAsia="zh-CN"/>
        </w:rPr>
        <w:t>6</w:t>
      </w:r>
      <w:r>
        <w:rPr>
          <w:rFonts w:hint="eastAsia" w:ascii="宋体" w:hAnsi="宋体"/>
          <w:bCs/>
          <w:sz w:val="24"/>
          <w:szCs w:val="24"/>
        </w:rPr>
        <w:t>.l除第二章“投标人须知”前附表授权直接确定中标人外，评标委员会按照综合评标法推荐中标候选人，由招标人依据评标委员会推荐的中标候选人确定中标人。</w:t>
      </w:r>
    </w:p>
    <w:p w14:paraId="609C18AA">
      <w:pPr>
        <w:keepNext w:val="0"/>
        <w:keepLines w:val="0"/>
        <w:pageBreakBefore w:val="0"/>
        <w:widowControl w:val="0"/>
        <w:kinsoku/>
        <w:wordWrap/>
        <w:topLinePunct w:val="0"/>
        <w:autoSpaceDE/>
        <w:autoSpaceDN/>
        <w:bidi w:val="0"/>
        <w:adjustRightInd/>
        <w:snapToGrid/>
        <w:spacing w:line="460" w:lineRule="exact"/>
        <w:ind w:firstLine="480"/>
        <w:textAlignment w:val="auto"/>
        <w:rPr>
          <w:rFonts w:hint="eastAsia" w:ascii="宋体" w:hAnsi="宋体"/>
          <w:bCs/>
          <w:sz w:val="24"/>
          <w:szCs w:val="24"/>
          <w:lang w:eastAsia="zh-CN"/>
        </w:rPr>
      </w:pPr>
      <w:r>
        <w:rPr>
          <w:rFonts w:hint="eastAsia" w:ascii="宋体" w:hAnsi="宋体"/>
          <w:bCs/>
          <w:sz w:val="24"/>
          <w:szCs w:val="24"/>
        </w:rPr>
        <w:t>4.</w:t>
      </w:r>
      <w:r>
        <w:rPr>
          <w:rFonts w:hint="eastAsia" w:ascii="宋体" w:hAnsi="宋体"/>
          <w:bCs/>
          <w:sz w:val="24"/>
          <w:szCs w:val="24"/>
          <w:lang w:val="en-US" w:eastAsia="zh-CN"/>
        </w:rPr>
        <w:t>6</w:t>
      </w:r>
      <w:r>
        <w:rPr>
          <w:rFonts w:hint="eastAsia" w:ascii="宋体" w:hAnsi="宋体"/>
          <w:bCs/>
          <w:sz w:val="24"/>
          <w:szCs w:val="24"/>
        </w:rPr>
        <w:t>.2 评标委员会完成评标后，应当向招标人提交书面评标报告</w:t>
      </w:r>
      <w:r>
        <w:rPr>
          <w:rFonts w:hint="eastAsia" w:ascii="宋体" w:hAnsi="宋体"/>
          <w:bCs/>
          <w:sz w:val="24"/>
          <w:szCs w:val="24"/>
          <w:lang w:eastAsia="zh-CN"/>
        </w:rPr>
        <w:t>。</w:t>
      </w:r>
    </w:p>
    <w:p w14:paraId="417E6325">
      <w:pPr>
        <w:keepNext w:val="0"/>
        <w:keepLines w:val="0"/>
        <w:pageBreakBefore w:val="0"/>
        <w:widowControl w:val="0"/>
        <w:kinsoku/>
        <w:wordWrap/>
        <w:topLinePunct w:val="0"/>
        <w:autoSpaceDE/>
        <w:autoSpaceDN/>
        <w:bidi w:val="0"/>
        <w:adjustRightInd/>
        <w:snapToGrid/>
        <w:spacing w:line="460" w:lineRule="exact"/>
        <w:ind w:firstLine="480"/>
        <w:textAlignment w:val="auto"/>
        <w:rPr>
          <w:rFonts w:hint="eastAsia" w:ascii="宋体" w:hAnsi="宋体"/>
          <w:bCs/>
          <w:sz w:val="24"/>
          <w:szCs w:val="24"/>
        </w:rPr>
      </w:pPr>
      <w:r>
        <w:rPr>
          <w:rFonts w:hint="eastAsia" w:ascii="宋体" w:hAnsi="宋体"/>
          <w:bCs/>
          <w:sz w:val="24"/>
          <w:szCs w:val="24"/>
        </w:rPr>
        <w:t>4.</w:t>
      </w:r>
      <w:r>
        <w:rPr>
          <w:rFonts w:hint="eastAsia" w:ascii="宋体" w:hAnsi="宋体"/>
          <w:bCs/>
          <w:sz w:val="24"/>
          <w:szCs w:val="24"/>
          <w:lang w:val="en-US" w:eastAsia="zh-CN"/>
        </w:rPr>
        <w:t>6</w:t>
      </w:r>
      <w:r>
        <w:rPr>
          <w:rFonts w:hint="eastAsia" w:ascii="宋体" w:hAnsi="宋体"/>
          <w:bCs/>
          <w:sz w:val="24"/>
          <w:szCs w:val="24"/>
        </w:rPr>
        <w:t>.</w:t>
      </w:r>
      <w:r>
        <w:rPr>
          <w:rFonts w:hint="eastAsia" w:ascii="宋体" w:hAnsi="宋体"/>
          <w:bCs/>
          <w:sz w:val="24"/>
          <w:szCs w:val="24"/>
          <w:lang w:val="en-US" w:eastAsia="zh-CN"/>
        </w:rPr>
        <w:t xml:space="preserve">3 </w:t>
      </w:r>
      <w:r>
        <w:rPr>
          <w:rFonts w:hint="eastAsia" w:ascii="宋体" w:hAnsi="宋体"/>
          <w:bCs/>
          <w:sz w:val="24"/>
          <w:szCs w:val="24"/>
        </w:rPr>
        <w:t>招标人可根据《评标报告》核查投标人在投标文件中提供的材料，并可要求投标人再次提供相关资料查验，投标人未按要求提供相关资料查验的，招标人有权取消其中标候选人或中标人资格。</w:t>
      </w:r>
    </w:p>
    <w:p w14:paraId="71513CF1">
      <w:pPr>
        <w:numPr>
          <w:ilvl w:val="0"/>
          <w:numId w:val="0"/>
        </w:numPr>
        <w:spacing w:line="360" w:lineRule="auto"/>
        <w:jc w:val="center"/>
        <w:outlineLvl w:val="0"/>
        <w:rPr>
          <w:rFonts w:ascii="黑体" w:hAnsi="黑体" w:eastAsia="黑体" w:cs="黑体"/>
          <w:b/>
          <w:kern w:val="0"/>
          <w:sz w:val="44"/>
          <w:szCs w:val="44"/>
        </w:rPr>
        <w:sectPr>
          <w:pgSz w:w="11906" w:h="16838"/>
          <w:pgMar w:top="1440" w:right="907" w:bottom="1440" w:left="1247" w:header="851" w:footer="992" w:gutter="0"/>
          <w:pgNumType w:fmt="decimal"/>
          <w:cols w:space="720" w:num="1"/>
          <w:formProt w:val="0"/>
          <w:docGrid w:linePitch="286" w:charSpace="0"/>
        </w:sectPr>
      </w:pPr>
      <w:bookmarkStart w:id="126" w:name="_Toc413353060"/>
      <w:bookmarkStart w:id="127" w:name="_Toc443311071"/>
      <w:bookmarkStart w:id="128" w:name="_Toc16374"/>
    </w:p>
    <w:p w14:paraId="599E772D">
      <w:pPr>
        <w:numPr>
          <w:ilvl w:val="0"/>
          <w:numId w:val="0"/>
        </w:numPr>
        <w:spacing w:line="360" w:lineRule="auto"/>
        <w:jc w:val="center"/>
        <w:outlineLvl w:val="0"/>
        <w:rPr>
          <w:rFonts w:ascii="黑体" w:hAnsi="黑体" w:eastAsia="黑体" w:cs="黑体"/>
          <w:b/>
          <w:kern w:val="0"/>
          <w:sz w:val="44"/>
          <w:szCs w:val="44"/>
        </w:rPr>
      </w:pPr>
      <w:bookmarkStart w:id="129" w:name="_Toc11696"/>
      <w:r>
        <w:rPr>
          <w:rFonts w:ascii="黑体" w:hAnsi="黑体" w:eastAsia="黑体" w:cs="黑体"/>
          <w:b/>
          <w:kern w:val="0"/>
          <w:sz w:val="44"/>
          <w:szCs w:val="44"/>
        </w:rPr>
        <w:t>第</w:t>
      </w:r>
      <w:r>
        <w:rPr>
          <w:rFonts w:hint="eastAsia" w:ascii="黑体" w:hAnsi="黑体" w:eastAsia="黑体" w:cs="黑体"/>
          <w:b/>
          <w:kern w:val="0"/>
          <w:sz w:val="44"/>
          <w:szCs w:val="44"/>
          <w:lang w:val="en-US" w:eastAsia="zh-CN"/>
        </w:rPr>
        <w:t>四</w:t>
      </w:r>
      <w:r>
        <w:rPr>
          <w:rFonts w:ascii="黑体" w:hAnsi="黑体" w:eastAsia="黑体" w:cs="黑体"/>
          <w:b/>
          <w:kern w:val="0"/>
          <w:sz w:val="44"/>
          <w:szCs w:val="44"/>
        </w:rPr>
        <w:t>章 合同条</w:t>
      </w:r>
      <w:bookmarkEnd w:id="76"/>
      <w:bookmarkEnd w:id="77"/>
      <w:bookmarkEnd w:id="126"/>
      <w:r>
        <w:rPr>
          <w:rFonts w:ascii="黑体" w:hAnsi="黑体" w:eastAsia="黑体" w:cs="黑体"/>
          <w:b/>
          <w:kern w:val="0"/>
          <w:sz w:val="44"/>
          <w:szCs w:val="44"/>
        </w:rPr>
        <w:t>款及格式</w:t>
      </w:r>
      <w:bookmarkEnd w:id="127"/>
      <w:bookmarkEnd w:id="128"/>
      <w:bookmarkEnd w:id="129"/>
    </w:p>
    <w:p w14:paraId="6A9289EB">
      <w:pPr>
        <w:spacing w:line="240" w:lineRule="atLeast"/>
        <w:ind w:left="3540" w:firstLine="0"/>
        <w:rPr>
          <w:rFonts w:ascii="宋体" w:hAnsi="宋体"/>
          <w:b/>
          <w:sz w:val="24"/>
        </w:rPr>
      </w:pPr>
      <w:bookmarkStart w:id="130" w:name="_Toc173482723"/>
      <w:bookmarkEnd w:id="130"/>
    </w:p>
    <w:p w14:paraId="006222F0">
      <w:pPr>
        <w:spacing w:line="240" w:lineRule="atLeast"/>
        <w:ind w:left="160" w:firstLine="0"/>
        <w:rPr>
          <w:rFonts w:ascii="宋体" w:hAnsi="宋体"/>
          <w:bCs/>
          <w:sz w:val="24"/>
        </w:rPr>
      </w:pPr>
    </w:p>
    <w:p w14:paraId="11A7A07D">
      <w:pPr>
        <w:pStyle w:val="15"/>
        <w:rPr>
          <w:rFonts w:ascii="宋体" w:hAnsi="宋体"/>
          <w:bCs/>
          <w:sz w:val="24"/>
        </w:rPr>
      </w:pPr>
    </w:p>
    <w:p w14:paraId="722EFA20">
      <w:pPr>
        <w:pStyle w:val="16"/>
        <w:rPr>
          <w:rFonts w:ascii="宋体" w:hAnsi="宋体"/>
          <w:bCs/>
          <w:sz w:val="24"/>
        </w:rPr>
      </w:pPr>
    </w:p>
    <w:p w14:paraId="0ED2C416">
      <w:pPr>
        <w:pStyle w:val="16"/>
        <w:rPr>
          <w:rFonts w:ascii="宋体" w:hAnsi="宋体"/>
          <w:bCs/>
          <w:sz w:val="24"/>
        </w:rPr>
      </w:pPr>
    </w:p>
    <w:p w14:paraId="6F63430E">
      <w:pPr>
        <w:pStyle w:val="16"/>
        <w:rPr>
          <w:rFonts w:ascii="宋体" w:hAnsi="宋体"/>
          <w:bCs/>
          <w:sz w:val="24"/>
        </w:rPr>
      </w:pPr>
    </w:p>
    <w:p w14:paraId="0A173D53">
      <w:pPr>
        <w:spacing w:line="240" w:lineRule="atLeast"/>
        <w:ind w:left="160" w:firstLine="0"/>
        <w:rPr>
          <w:rFonts w:ascii="宋体" w:hAnsi="宋体"/>
          <w:bCs/>
          <w:sz w:val="24"/>
        </w:rPr>
      </w:pPr>
    </w:p>
    <w:p w14:paraId="7EE066F5">
      <w:pPr>
        <w:spacing w:line="360" w:lineRule="auto"/>
        <w:ind w:left="703" w:firstLine="0"/>
        <w:jc w:val="center"/>
        <w:rPr>
          <w:b/>
          <w:bCs/>
          <w:spacing w:val="40"/>
          <w:sz w:val="84"/>
          <w:szCs w:val="84"/>
        </w:rPr>
      </w:pPr>
      <w:bookmarkStart w:id="131" w:name="_Toc173482723"/>
      <w:bookmarkEnd w:id="131"/>
      <w:bookmarkStart w:id="132" w:name="_Toc26993"/>
      <w:r>
        <w:rPr>
          <w:rFonts w:hint="eastAsia"/>
          <w:b/>
          <w:bCs/>
          <w:spacing w:val="40"/>
          <w:sz w:val="84"/>
          <w:szCs w:val="84"/>
          <w:lang w:eastAsia="zh-CN"/>
        </w:rPr>
        <w:t>网箱采购</w:t>
      </w:r>
      <w:r>
        <w:rPr>
          <w:b/>
          <w:bCs/>
          <w:spacing w:val="40"/>
          <w:sz w:val="84"/>
          <w:szCs w:val="84"/>
        </w:rPr>
        <w:t>合同</w:t>
      </w:r>
    </w:p>
    <w:p w14:paraId="4DBEDCF9">
      <w:pPr>
        <w:spacing w:line="360" w:lineRule="auto"/>
        <w:rPr>
          <w:rFonts w:ascii="宋体" w:hAnsi="宋体"/>
          <w:sz w:val="28"/>
          <w:szCs w:val="28"/>
        </w:rPr>
      </w:pPr>
    </w:p>
    <w:p w14:paraId="75103266">
      <w:pPr>
        <w:spacing w:line="360" w:lineRule="auto"/>
        <w:rPr>
          <w:rFonts w:ascii="宋体" w:hAnsi="宋体"/>
          <w:sz w:val="28"/>
          <w:szCs w:val="28"/>
        </w:rPr>
      </w:pPr>
    </w:p>
    <w:p w14:paraId="36ADB40C">
      <w:pPr>
        <w:spacing w:line="360" w:lineRule="auto"/>
        <w:rPr>
          <w:rFonts w:ascii="宋体" w:hAnsi="宋体"/>
          <w:sz w:val="28"/>
          <w:szCs w:val="28"/>
        </w:rPr>
      </w:pPr>
    </w:p>
    <w:p w14:paraId="082FE242">
      <w:pPr>
        <w:spacing w:line="360" w:lineRule="auto"/>
        <w:rPr>
          <w:rFonts w:ascii="宋体" w:hAnsi="宋体"/>
          <w:sz w:val="28"/>
          <w:szCs w:val="28"/>
        </w:rPr>
      </w:pPr>
    </w:p>
    <w:p w14:paraId="3996A3F4">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宋体" w:hAnsi="宋体"/>
          <w:sz w:val="30"/>
          <w:szCs w:val="30"/>
          <w:lang w:eastAsia="zh-CN"/>
        </w:rPr>
      </w:pPr>
      <w:r>
        <w:rPr>
          <w:rFonts w:hint="eastAsia" w:ascii="宋体" w:hAnsi="宋体"/>
          <w:sz w:val="30"/>
          <w:szCs w:val="30"/>
          <w:lang w:eastAsia="zh-CN"/>
        </w:rPr>
        <w:t>合同编号:</w:t>
      </w:r>
    </w:p>
    <w:p w14:paraId="65E6EA95">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宋体" w:hAnsi="宋体" w:eastAsia="宋体"/>
          <w:sz w:val="30"/>
          <w:szCs w:val="30"/>
          <w:u w:val="single"/>
          <w:lang w:eastAsia="zh-CN"/>
        </w:rPr>
      </w:pPr>
      <w:r>
        <w:rPr>
          <w:rFonts w:hint="eastAsia" w:ascii="宋体" w:hAnsi="宋体"/>
          <w:sz w:val="30"/>
          <w:szCs w:val="30"/>
          <w:lang w:eastAsia="zh-CN"/>
        </w:rPr>
        <w:t>项目</w:t>
      </w:r>
      <w:r>
        <w:rPr>
          <w:rFonts w:ascii="宋体" w:hAnsi="宋体"/>
          <w:sz w:val="30"/>
          <w:szCs w:val="30"/>
        </w:rPr>
        <w:t>名称:</w:t>
      </w:r>
      <w:r>
        <w:rPr>
          <w:rFonts w:ascii="宋体" w:hAnsi="宋体" w:cs="宋体"/>
          <w:spacing w:val="-37"/>
          <w:sz w:val="30"/>
          <w:szCs w:val="30"/>
        </w:rPr>
        <w:t xml:space="preserve"> </w:t>
      </w:r>
      <w:r>
        <w:rPr>
          <w:rFonts w:hint="eastAsia" w:ascii="宋体" w:hAnsi="宋体"/>
          <w:sz w:val="30"/>
          <w:szCs w:val="30"/>
          <w:u w:val="single"/>
          <w:lang w:eastAsia="zh-CN"/>
        </w:rPr>
        <w:t>茂名市电白区蓝湾海洋产业发展有限公司深水网箱养殖产业园项目（一期）网箱采购2标(第二次）</w:t>
      </w:r>
    </w:p>
    <w:p w14:paraId="4A91BCD2">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ascii="宋体" w:hAnsi="宋体"/>
          <w:b/>
          <w:bCs/>
          <w:spacing w:val="6"/>
          <w:sz w:val="30"/>
          <w:szCs w:val="30"/>
          <w:u w:val="single"/>
        </w:rPr>
      </w:pPr>
      <w:r>
        <w:rPr>
          <w:rFonts w:hint="eastAsia" w:ascii="宋体" w:hAnsi="宋体"/>
          <w:sz w:val="30"/>
          <w:szCs w:val="30"/>
          <w:lang w:val="en-US" w:eastAsia="zh-CN"/>
        </w:rPr>
        <w:t>供货</w:t>
      </w:r>
      <w:r>
        <w:rPr>
          <w:rFonts w:ascii="宋体" w:hAnsi="宋体"/>
          <w:sz w:val="30"/>
          <w:szCs w:val="30"/>
        </w:rPr>
        <w:t>地点:</w:t>
      </w:r>
      <w:r>
        <w:rPr>
          <w:rFonts w:hint="eastAsia" w:ascii="宋体" w:hAnsi="宋体"/>
          <w:sz w:val="30"/>
          <w:szCs w:val="30"/>
          <w:u w:val="single"/>
        </w:rPr>
        <w:t>茂名市电白区晏镜岭东南侧约4.5公里处海域</w:t>
      </w:r>
    </w:p>
    <w:p w14:paraId="3C6BED8C">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宋体" w:hAnsi="宋体" w:eastAsia="宋体"/>
          <w:sz w:val="30"/>
          <w:szCs w:val="30"/>
          <w:u w:val="single"/>
          <w:lang w:eastAsia="zh-CN"/>
        </w:rPr>
      </w:pPr>
      <w:r>
        <w:rPr>
          <w:rFonts w:hint="eastAsia" w:ascii="宋体" w:hAnsi="宋体"/>
          <w:sz w:val="30"/>
          <w:szCs w:val="30"/>
          <w:lang w:eastAsia="zh-CN"/>
        </w:rPr>
        <w:t>买</w:t>
      </w:r>
      <w:r>
        <w:rPr>
          <w:rFonts w:hint="eastAsia" w:ascii="宋体" w:hAnsi="宋体"/>
          <w:sz w:val="30"/>
          <w:szCs w:val="30"/>
          <w:lang w:val="en-US" w:eastAsia="zh-CN"/>
        </w:rPr>
        <w:t xml:space="preserve">    </w:t>
      </w:r>
      <w:r>
        <w:rPr>
          <w:rFonts w:hint="eastAsia" w:ascii="宋体" w:hAnsi="宋体"/>
          <w:sz w:val="30"/>
          <w:szCs w:val="30"/>
          <w:lang w:eastAsia="zh-CN"/>
        </w:rPr>
        <w:t>方</w:t>
      </w:r>
      <w:r>
        <w:rPr>
          <w:rFonts w:ascii="宋体" w:hAnsi="宋体"/>
          <w:sz w:val="30"/>
          <w:szCs w:val="30"/>
        </w:rPr>
        <w:t>:</w:t>
      </w:r>
      <w:r>
        <w:rPr>
          <w:rFonts w:hint="eastAsia" w:ascii="宋体" w:hAnsi="宋体"/>
          <w:sz w:val="30"/>
          <w:szCs w:val="30"/>
          <w:u w:val="single"/>
          <w:lang w:eastAsia="zh-CN"/>
        </w:rPr>
        <w:t>茂名市电白区蓝湾海洋产业发展有限公司</w:t>
      </w:r>
    </w:p>
    <w:p w14:paraId="55DA6095">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ascii="宋体" w:hAnsi="宋体"/>
          <w:b/>
          <w:bCs/>
          <w:spacing w:val="6"/>
          <w:sz w:val="30"/>
          <w:szCs w:val="30"/>
          <w:u w:val="single"/>
        </w:rPr>
      </w:pPr>
      <w:r>
        <w:rPr>
          <w:rFonts w:hint="eastAsia" w:ascii="宋体" w:hAnsi="宋体"/>
          <w:sz w:val="30"/>
          <w:szCs w:val="30"/>
          <w:lang w:val="en-US" w:eastAsia="zh-CN"/>
        </w:rPr>
        <w:t>卖    方</w:t>
      </w:r>
      <w:r>
        <w:rPr>
          <w:rFonts w:ascii="宋体" w:hAnsi="宋体"/>
          <w:sz w:val="30"/>
          <w:szCs w:val="30"/>
        </w:rPr>
        <w:t>:</w:t>
      </w:r>
    </w:p>
    <w:p w14:paraId="2F7CEF61">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ascii="宋体" w:hAnsi="宋体"/>
          <w:sz w:val="30"/>
          <w:szCs w:val="30"/>
          <w:u w:val="single"/>
        </w:rPr>
      </w:pPr>
      <w:r>
        <w:rPr>
          <w:rFonts w:ascii="宋体" w:hAnsi="宋体"/>
          <w:sz w:val="30"/>
          <w:szCs w:val="30"/>
        </w:rPr>
        <w:t>签订日期:</w:t>
      </w:r>
      <w:r>
        <w:rPr>
          <w:rFonts w:ascii="宋体" w:hAnsi="宋体"/>
          <w:sz w:val="30"/>
          <w:szCs w:val="30"/>
          <w:u w:val="single"/>
        </w:rPr>
        <w:t xml:space="preserve">   年   月   日</w:t>
      </w:r>
    </w:p>
    <w:p w14:paraId="7DCC0BA8">
      <w:pPr>
        <w:spacing w:line="360" w:lineRule="auto"/>
        <w:jc w:val="center"/>
        <w:rPr>
          <w:b/>
          <w:sz w:val="24"/>
        </w:rPr>
        <w:sectPr>
          <w:pgSz w:w="11906" w:h="16838"/>
          <w:pgMar w:top="1440" w:right="907" w:bottom="1440" w:left="1247" w:header="851" w:footer="992" w:gutter="0"/>
          <w:pgNumType w:fmt="decimal"/>
          <w:cols w:space="720" w:num="1"/>
          <w:formProt w:val="0"/>
          <w:docGrid w:linePitch="286" w:charSpace="0"/>
        </w:sectPr>
      </w:pPr>
    </w:p>
    <w:p w14:paraId="22D82ADA">
      <w:pPr>
        <w:spacing w:line="360" w:lineRule="auto"/>
        <w:jc w:val="center"/>
        <w:outlineLvl w:val="1"/>
        <w:rPr>
          <w:rFonts w:hint="eastAsia"/>
          <w:b/>
          <w:bCs w:val="0"/>
          <w:sz w:val="32"/>
          <w:szCs w:val="32"/>
        </w:rPr>
      </w:pPr>
      <w:r>
        <w:rPr>
          <w:rFonts w:hint="eastAsia"/>
          <w:b/>
          <w:bCs w:val="0"/>
          <w:sz w:val="32"/>
          <w:szCs w:val="32"/>
        </w:rPr>
        <w:t>第一节</w:t>
      </w:r>
      <w:r>
        <w:rPr>
          <w:rFonts w:hint="eastAsia"/>
          <w:b/>
          <w:bCs w:val="0"/>
          <w:sz w:val="32"/>
          <w:szCs w:val="32"/>
          <w:lang w:val="en-US" w:eastAsia="zh-CN"/>
        </w:rPr>
        <w:t xml:space="preserve">  </w:t>
      </w:r>
      <w:r>
        <w:rPr>
          <w:rFonts w:hint="eastAsia"/>
          <w:b/>
          <w:bCs w:val="0"/>
          <w:sz w:val="32"/>
          <w:szCs w:val="32"/>
        </w:rPr>
        <w:t>通用合同条款</w:t>
      </w:r>
    </w:p>
    <w:p w14:paraId="54EE4653">
      <w:pPr>
        <w:spacing w:line="360" w:lineRule="auto"/>
        <w:jc w:val="both"/>
        <w:rPr>
          <w:rFonts w:hint="eastAsia"/>
          <w:b w:val="0"/>
          <w:bCs/>
          <w:sz w:val="24"/>
        </w:rPr>
      </w:pPr>
    </w:p>
    <w:p w14:paraId="21A2A9B9">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482" w:firstLineChars="200"/>
        <w:jc w:val="both"/>
        <w:textAlignment w:val="auto"/>
        <w:outlineLvl w:val="2"/>
        <w:rPr>
          <w:rFonts w:hint="eastAsia"/>
          <w:b/>
          <w:bCs w:val="0"/>
          <w:sz w:val="24"/>
        </w:rPr>
      </w:pPr>
      <w:r>
        <w:rPr>
          <w:rFonts w:hint="eastAsia"/>
          <w:b/>
          <w:bCs w:val="0"/>
          <w:sz w:val="24"/>
        </w:rPr>
        <w:t>一般约定</w:t>
      </w:r>
    </w:p>
    <w:p w14:paraId="30D9E7B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 1  词语定义</w:t>
      </w:r>
    </w:p>
    <w:p w14:paraId="3622225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除专用合同条款另有约定外，合同中的下列词语应具有本款所赋予的含义。</w:t>
      </w:r>
    </w:p>
    <w:p w14:paraId="6C2B171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1.1.1 合同</w:t>
      </w:r>
    </w:p>
    <w:p w14:paraId="3656172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1.1.1.1 合同文件（或称合同）：指合同协议书、中标通知书、投标函及</w:t>
      </w:r>
      <w:r>
        <w:rPr>
          <w:rFonts w:hint="eastAsia"/>
          <w:b w:val="0"/>
          <w:bCs/>
          <w:sz w:val="24"/>
          <w:lang w:val="en-US" w:eastAsia="zh-CN"/>
        </w:rPr>
        <w:t>其</w:t>
      </w:r>
      <w:r>
        <w:rPr>
          <w:rFonts w:hint="eastAsia"/>
          <w:b w:val="0"/>
          <w:bCs/>
          <w:sz w:val="24"/>
        </w:rPr>
        <w:t>附录、专用合同条款、通用合同条款、供货要求、</w:t>
      </w:r>
      <w:r>
        <w:rPr>
          <w:rFonts w:hint="eastAsia"/>
          <w:b w:val="0"/>
          <w:bCs/>
          <w:sz w:val="24"/>
          <w:lang w:val="en-US" w:eastAsia="zh-CN"/>
        </w:rPr>
        <w:t>清单</w:t>
      </w:r>
      <w:r>
        <w:rPr>
          <w:rFonts w:hint="eastAsia"/>
          <w:b w:val="0"/>
          <w:bCs/>
          <w:sz w:val="24"/>
        </w:rPr>
        <w:t>报价表、图纸、中标设备技术性能指标的详细描述、技术服务和质保期服务计划，以及其他构成合同组成部分的文件。</w:t>
      </w:r>
    </w:p>
    <w:p w14:paraId="3FCDD86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1.1.1.2 合同协议书：指买方和卖方共同签署的合同协议书。</w:t>
      </w:r>
    </w:p>
    <w:p w14:paraId="30DAE69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1.1.1.3 中标通知书：指买方通知卖方中标的函件。</w:t>
      </w:r>
    </w:p>
    <w:p w14:paraId="2C9BBFE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1.1.1.4 投标函及其附录：指由卖方填写并签署的，名为“投标函</w:t>
      </w:r>
      <w:r>
        <w:rPr>
          <w:rFonts w:hint="eastAsia"/>
          <w:b w:val="0"/>
          <w:bCs/>
          <w:sz w:val="24"/>
          <w:lang w:eastAsia="zh-CN"/>
        </w:rPr>
        <w:t>、</w:t>
      </w:r>
      <w:r>
        <w:rPr>
          <w:rFonts w:hint="eastAsia"/>
          <w:b w:val="0"/>
          <w:bCs/>
          <w:sz w:val="24"/>
        </w:rPr>
        <w:t>投标函附录 ”的函件。</w:t>
      </w:r>
    </w:p>
    <w:p w14:paraId="65A855D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1.1.1.5  供货要求：指合同文件中名为“供货要求 ”的文件。</w:t>
      </w:r>
    </w:p>
    <w:p w14:paraId="3026A4F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eastAsia="宋体"/>
          <w:b w:val="0"/>
          <w:bCs/>
          <w:sz w:val="24"/>
          <w:lang w:val="en-US" w:eastAsia="zh-CN"/>
        </w:rPr>
      </w:pPr>
      <w:r>
        <w:rPr>
          <w:rFonts w:hint="eastAsia"/>
          <w:b w:val="0"/>
          <w:bCs/>
          <w:sz w:val="24"/>
          <w:lang w:val="en-US" w:eastAsia="zh-CN"/>
        </w:rPr>
        <w:t xml:space="preserve">1.1.1.6  清单报价表：指卖方投标文件中的清单报价表。 </w:t>
      </w:r>
    </w:p>
    <w:p w14:paraId="172F53F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1.1.1.7</w:t>
      </w:r>
      <w:r>
        <w:rPr>
          <w:rFonts w:hint="eastAsia"/>
          <w:b w:val="0"/>
          <w:bCs/>
          <w:sz w:val="24"/>
          <w:lang w:val="en-US" w:eastAsia="zh-CN"/>
        </w:rPr>
        <w:t xml:space="preserve"> </w:t>
      </w:r>
      <w:r>
        <w:rPr>
          <w:rFonts w:hint="eastAsia"/>
          <w:b w:val="0"/>
          <w:bCs/>
          <w:sz w:val="24"/>
        </w:rPr>
        <w:t xml:space="preserve"> 图纸：指买方提供给卖方图纸资料。</w:t>
      </w:r>
    </w:p>
    <w:p w14:paraId="5F4C182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 xml:space="preserve">1.1.1.8 </w:t>
      </w:r>
      <w:r>
        <w:rPr>
          <w:rFonts w:hint="eastAsia"/>
          <w:b w:val="0"/>
          <w:bCs/>
          <w:sz w:val="24"/>
          <w:lang w:val="en-US" w:eastAsia="zh-CN"/>
        </w:rPr>
        <w:t xml:space="preserve"> </w:t>
      </w:r>
      <w:r>
        <w:rPr>
          <w:rFonts w:hint="eastAsia"/>
          <w:b w:val="0"/>
          <w:bCs/>
          <w:sz w:val="24"/>
        </w:rPr>
        <w:t>中标设备技术性能指标的详细描述：指卖方投标文件中的投标设备技术性能指标 的详细描述。</w:t>
      </w:r>
    </w:p>
    <w:p w14:paraId="7BB1940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1.1.1.9 技术服务和质保期服务计划：指卖方投标文件中的技术服务和质保期服务计划。</w:t>
      </w:r>
    </w:p>
    <w:p w14:paraId="59CDCE3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1.1.1.10 其他合同文件：指经合同双方当事人确认构成合同文件的其他文件。</w:t>
      </w:r>
    </w:p>
    <w:p w14:paraId="6C36637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1.1.2 合同当事人</w:t>
      </w:r>
    </w:p>
    <w:p w14:paraId="6901AC0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1.1.2.1 合同当事人：指买方和（或）卖方。</w:t>
      </w:r>
    </w:p>
    <w:p w14:paraId="762F2C4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1.1.2.2 买方：指与卖方签订合同协议书，购买合同设备和技术服务和质保期服务的当事 人，及其合法继承人。</w:t>
      </w:r>
    </w:p>
    <w:p w14:paraId="74B025E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1.1.2.3 卖方：指与买方签订合同协议书，提供合同设备和技术服务和质保期服务的当事 人，及其合法继承人。</w:t>
      </w:r>
    </w:p>
    <w:p w14:paraId="750AD60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1.1.3 合同价格</w:t>
      </w:r>
    </w:p>
    <w:p w14:paraId="121F0F4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1.1.3.1 签约合同价：是签订合同时合同协议书中写明的合同总金额。</w:t>
      </w:r>
    </w:p>
    <w:p w14:paraId="185A3DC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1.1.3.2 合同价格：指卖方按合同约定履行了全部合同义务后，买方应付给卖方的金额。</w:t>
      </w:r>
    </w:p>
    <w:p w14:paraId="32D1549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1.1.4 合同设备：指卖方按合同约定应向买方提供的设备、装置、备品、备件、易损易耗 件、配套使用的软件或其他辅助电子应用程序及技术资料，或其中任何一部分。</w:t>
      </w:r>
    </w:p>
    <w:p w14:paraId="4D49DD8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1.1.5 技术资料：指各种纸质及电子载体的与合同设备的设计、检验、安装、调试、考核、 操作、维修以及保养等有关的技术指标、规格、图纸和说明文件。</w:t>
      </w:r>
    </w:p>
    <w:p w14:paraId="5809074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1.1.6 安装：指对合同设备进行的组装、连接以及根据需要将合同设备固定在施工场地内 一定的位置上，使其就位并与相关设备、工程实现连接。</w:t>
      </w:r>
    </w:p>
    <w:p w14:paraId="2CF83D1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1.1.7 调试：指在合同设备安装完成后，对合同设备所进行的调校和测试。</w:t>
      </w:r>
    </w:p>
    <w:p w14:paraId="3C74229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1.1.8 考核：指在合同设备调试完成后，对合同设备进行的用于确定其是否达到合同约定 的技术性能考核指标的考核。</w:t>
      </w:r>
    </w:p>
    <w:p w14:paraId="352B5B8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1.1.9 验收：指合同设备通过考核达到合同约定的技术性能考核指标后，买方作出接受合 同设备的确认。</w:t>
      </w:r>
    </w:p>
    <w:p w14:paraId="236E0EB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1.1.10 技术服务：指卖方按合同约定，在合同设备验收前，向买方提供的安装、调试服 务，或者在由买方负责的安装、调试、考核中对买方进行的技术指导、协助、监督和培训等。</w:t>
      </w:r>
    </w:p>
    <w:p w14:paraId="56087DA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1.1.11 质量保证期：指合同设备验收后，卖方按合同约定保证合同设备适当、稳定运行， 并负责消除合同设备故障的期限。</w:t>
      </w:r>
    </w:p>
    <w:p w14:paraId="193F61E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1.1.12 质保期服务：指在质量保证期内，卖方向买方提供的合同设备维护服务、咨询服 务、技术指导、协助以及对出现故障的合同设备进行修理或更换的服务。</w:t>
      </w:r>
    </w:p>
    <w:p w14:paraId="7488D80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1.1.13 技术性能考核指标：指招标文件及合同中的技术需求条款以及满足招标人需要和 生产需求的所有技术参数、标准及要求。</w:t>
      </w:r>
    </w:p>
    <w:p w14:paraId="7780D7C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1.1.14 工程</w:t>
      </w:r>
    </w:p>
    <w:p w14:paraId="32205CC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1.1.14.1 工程：指在专用合同条款中指明的，安装运行合同设备的工程。</w:t>
      </w:r>
    </w:p>
    <w:p w14:paraId="1047068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1.1.14.2 施工场地（或称工地、施工现场）：指专用合同条款中指明的工程所在场所。</w:t>
      </w:r>
    </w:p>
    <w:p w14:paraId="3755DCA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1.1.15 天（或称日）：除特别指明外，指日历天。合同中按天计算时间的，开始当天不 计入，从次日开始计算。合同约定的期间的最后一天是星期日或者其他法定休假日的， 以休假 日的次日为期间的最后一天。</w:t>
      </w:r>
    </w:p>
    <w:p w14:paraId="556F676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1.1.16 月：按照公历月计算。合同中按月计算时间的，开始当天不计入，从次日开始计 算。合同约定的期间的最后一天是星期日或者其他法定休假日的， 以休假日的次日为期间的最 后一天。</w:t>
      </w:r>
    </w:p>
    <w:p w14:paraId="14D62D4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1.1.17 书面形式：指合同文件、信件和数据电文（包括电报、 电传、传真、 电子数据交 换和电子邮件）等可以有形地表现所载内容的形式。</w:t>
      </w:r>
    </w:p>
    <w:p w14:paraId="44FD2D4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p>
    <w:p w14:paraId="4576542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1.2 语言文字</w:t>
      </w:r>
    </w:p>
    <w:p w14:paraId="28F3C43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合同使用的语言文字为中文。专用术语使用外文的，应附有中文注释。</w:t>
      </w:r>
    </w:p>
    <w:p w14:paraId="138EB57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p>
    <w:p w14:paraId="1A9575D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1.3 合同文件的优先顺序</w:t>
      </w:r>
    </w:p>
    <w:p w14:paraId="7A18073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组成合同的各项文件应互相解释，互为说明。除专用合同条款另有约定外，解释合同文件 的优先顺序如下：</w:t>
      </w:r>
    </w:p>
    <w:p w14:paraId="7A4F09C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（1）合同协议书；</w:t>
      </w:r>
    </w:p>
    <w:p w14:paraId="3E48CB9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（2）中标通知书；</w:t>
      </w:r>
    </w:p>
    <w:p w14:paraId="06EABE0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（3）投标函及其附录；</w:t>
      </w:r>
    </w:p>
    <w:p w14:paraId="4C0161B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（4）专用合同条款；</w:t>
      </w:r>
    </w:p>
    <w:p w14:paraId="63C1814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（5）通用合同条款；</w:t>
      </w:r>
    </w:p>
    <w:p w14:paraId="79FB219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（6）供货要求；</w:t>
      </w:r>
    </w:p>
    <w:p w14:paraId="406BAB7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（7）</w:t>
      </w:r>
      <w:r>
        <w:rPr>
          <w:rFonts w:hint="eastAsia"/>
          <w:b w:val="0"/>
          <w:bCs/>
          <w:sz w:val="24"/>
          <w:lang w:val="en-US" w:eastAsia="zh-CN"/>
        </w:rPr>
        <w:t>清单</w:t>
      </w:r>
      <w:r>
        <w:rPr>
          <w:rFonts w:hint="eastAsia"/>
          <w:b w:val="0"/>
          <w:bCs/>
          <w:sz w:val="24"/>
        </w:rPr>
        <w:t>报价表；</w:t>
      </w:r>
    </w:p>
    <w:p w14:paraId="7D640DC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lang w:val="en-US" w:eastAsia="zh-CN"/>
        </w:rPr>
      </w:pPr>
      <w:r>
        <w:rPr>
          <w:rFonts w:hint="eastAsia"/>
          <w:b w:val="0"/>
          <w:bCs/>
          <w:sz w:val="24"/>
        </w:rPr>
        <w:t>（8）</w:t>
      </w:r>
      <w:r>
        <w:rPr>
          <w:rFonts w:hint="eastAsia"/>
          <w:b w:val="0"/>
          <w:bCs/>
          <w:sz w:val="24"/>
          <w:lang w:val="en-US" w:eastAsia="zh-CN"/>
        </w:rPr>
        <w:t>图纸；</w:t>
      </w:r>
    </w:p>
    <w:p w14:paraId="715A3A2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（9）中标设备技术性能指标的详细描述；</w:t>
      </w:r>
    </w:p>
    <w:p w14:paraId="6FA2B0E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（10）技术服务和质保期服务计划；</w:t>
      </w:r>
    </w:p>
    <w:p w14:paraId="19411E6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（11）其他合同文件。</w:t>
      </w:r>
    </w:p>
    <w:p w14:paraId="7204DE6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上述合同文件互相补充和解释。如果合同文件之间存在矛盾或不一致之处，以上述文件的 排列顺序在先者为准。</w:t>
      </w:r>
    </w:p>
    <w:p w14:paraId="3BF2842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p>
    <w:p w14:paraId="29F4218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1.4  合同的生效及变更</w:t>
      </w:r>
    </w:p>
    <w:p w14:paraId="2FDA23D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1.4.1 除专用合同条款另有约定外，买方和卖方的法定代表人（单位负责人）或其授权代 表在合同协议书上签字并加盖单位章后，合同生效。</w:t>
      </w:r>
    </w:p>
    <w:p w14:paraId="2D7453C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1.4.2 除专用合同条款另有约定外，在合同履行过程中，如需对合同进行变更，双方应签 订书面协议，并经双方法定代表人（单位负责人）或其授权代表签字并加盖单位章后生效。</w:t>
      </w:r>
    </w:p>
    <w:p w14:paraId="16C3E86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p>
    <w:p w14:paraId="2960043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1.5 联络</w:t>
      </w:r>
    </w:p>
    <w:p w14:paraId="4549387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1.5.1 买卖双方应就合同履行中有关的事项及时进行联络，重要事项应通过书面形式进行 联络或确认。合同履行过程中的任何联络及相关文件的签署，均应通过专用合同条款指定的联 系人和联系方式进行。合同履行过程中，双方可以书面形式增加或变更指定联系人。</w:t>
      </w:r>
    </w:p>
    <w:p w14:paraId="48B37F1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1.5.2 合同履行中或与合同有关的任何联络，送达到第 1.5.1 项指定的联系人即视为送达。</w:t>
      </w:r>
    </w:p>
    <w:p w14:paraId="6E054A9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1.5.3 买方可以安排监理等相关人员作为买方人员，与卖方进行联络或参加合同设备的监 造（如有）、交货前检验（如有）、开箱检验、安装、调试、考核、验收等，但应按照第 1.5.1 项的约定事先书面通知卖方。</w:t>
      </w:r>
    </w:p>
    <w:p w14:paraId="1CF1C1F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p>
    <w:p w14:paraId="5F98C31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1.6  联合体</w:t>
      </w:r>
    </w:p>
    <w:p w14:paraId="6E0E9D0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1.6.1 卖方为联合体的，联合体各方应当共同与买方签订合同，并向买方为履行合同承担 连带责任。</w:t>
      </w:r>
    </w:p>
    <w:p w14:paraId="65889EA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1.6.2 在合同履行过程中，未经买方同意，不得修改联合体协议。联合体协议中关于联合 体成员间权利义务的划分，并不影响或减损联合体各方应就履行合同向买方承担的连带责任。</w:t>
      </w:r>
    </w:p>
    <w:p w14:paraId="07E1FC9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1.6.3 联合体牵头人代表联合体与买方联系，并接受指示，负责组织联合体各成员全面履 行合同。除非专用合同条款另有约定，牵头人在履行合同中的所有行为均视为已获得联合体各 方的授权。买方可将合同价款全部支付给牵头人并视为其已适当履行了付款义务。如牵头人的行为将构成对合同内容的变更，则牵头人须事先获得联合体各方的特别授权。</w:t>
      </w:r>
    </w:p>
    <w:p w14:paraId="399565D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p>
    <w:p w14:paraId="4ED3260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1.7  转让</w:t>
      </w:r>
    </w:p>
    <w:p w14:paraId="5740A88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未经对方当事人书面同意，合同任何一方均不得转让其在合同项下的权利和（或）义务。</w:t>
      </w:r>
    </w:p>
    <w:p w14:paraId="244C714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p>
    <w:p w14:paraId="463B64AF">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2"/>
        <w:rPr>
          <w:rFonts w:hint="eastAsia"/>
          <w:b w:val="0"/>
          <w:bCs/>
          <w:sz w:val="24"/>
        </w:rPr>
      </w:pPr>
      <w:r>
        <w:rPr>
          <w:rFonts w:hint="eastAsia"/>
          <w:b/>
          <w:bCs w:val="0"/>
          <w:sz w:val="24"/>
        </w:rPr>
        <w:t>2.合同范围</w:t>
      </w:r>
    </w:p>
    <w:p w14:paraId="57209CE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卖方应根据专用合同条款及招标文件、设备技术参数文件等合同文件的约定向买方提供合同设备、技术服务和质保期服务。</w:t>
      </w:r>
    </w:p>
    <w:p w14:paraId="2F03302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p>
    <w:p w14:paraId="0A6F3807">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b w:val="0"/>
          <w:bCs/>
          <w:sz w:val="24"/>
        </w:rPr>
      </w:pPr>
      <w:r>
        <w:rPr>
          <w:rFonts w:hint="eastAsia"/>
          <w:b/>
          <w:bCs w:val="0"/>
          <w:sz w:val="24"/>
        </w:rPr>
        <w:t>3.  合同价格与支付</w:t>
      </w:r>
    </w:p>
    <w:p w14:paraId="1EAB6D2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3. 1  合同价格</w:t>
      </w:r>
    </w:p>
    <w:p w14:paraId="0237F79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3.1.1 合同协议书中载明的签约合同价包括卖方为完成合同全部义务应承担的一切成本、 费用和支出以及卖方的合理利润。</w:t>
      </w:r>
    </w:p>
    <w:p w14:paraId="45C38A0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3.1.2 除专用合同条款另有约定外，签约合同总价为固定价格。</w:t>
      </w:r>
    </w:p>
    <w:p w14:paraId="5D06CFF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p>
    <w:p w14:paraId="55E37F0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3.2 合同价款的支付</w:t>
      </w:r>
    </w:p>
    <w:p w14:paraId="5E7AA01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除专用合同条款另有约定外，买方应通过以下方式和比例向卖方支付合同价款：</w:t>
      </w:r>
    </w:p>
    <w:p w14:paraId="455E381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3.2.1 预付款</w:t>
      </w:r>
    </w:p>
    <w:p w14:paraId="07A8063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 xml:space="preserve">合同生效后，卖方向买方出具合同金额 </w:t>
      </w:r>
      <w:r>
        <w:rPr>
          <w:rFonts w:hint="eastAsia"/>
          <w:b w:val="0"/>
          <w:bCs/>
          <w:sz w:val="24"/>
          <w:lang w:val="en-US" w:eastAsia="zh-CN"/>
        </w:rPr>
        <w:t>10</w:t>
      </w:r>
      <w:r>
        <w:rPr>
          <w:rFonts w:hint="eastAsia"/>
          <w:b w:val="0"/>
          <w:bCs/>
          <w:sz w:val="24"/>
        </w:rPr>
        <w:t xml:space="preserve">%履约保证金（或保函），在卖方向买方出具前述 </w:t>
      </w:r>
      <w:r>
        <w:rPr>
          <w:rFonts w:hint="eastAsia"/>
          <w:b w:val="0"/>
          <w:bCs/>
          <w:sz w:val="24"/>
          <w:lang w:val="en-US" w:eastAsia="zh-CN"/>
        </w:rPr>
        <w:t>10</w:t>
      </w:r>
      <w:r>
        <w:rPr>
          <w:rFonts w:hint="eastAsia"/>
          <w:b w:val="0"/>
          <w:bCs/>
          <w:sz w:val="24"/>
        </w:rPr>
        <w:t>%履约保证金（或保函）并提供 30%预付款等额的增值税专用发票之日起 10 个工作日内，买方向卖方支付合同金额的 30%作为预付款。如设备分批交货的，上述预付款分批支付。</w:t>
      </w:r>
    </w:p>
    <w:p w14:paraId="39F44E4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买方支付预付款后，如卖方未履行合同义务，则买方有权收回预付款，卖方需承担违约责任；如卖方依约履行了合同义务，则预付款抵作合同价款。</w:t>
      </w:r>
    </w:p>
    <w:p w14:paraId="6F1C382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3.2.2 交货款</w:t>
      </w:r>
    </w:p>
    <w:p w14:paraId="092046B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卖方将该项目所有设备材料运送至买方指定地点，买方清点无误后，并提交相关支付申请款项资料（包括不限于项目进度情况说明、材料及设备出厂质检报告及合格证书、增值税专用 发票等）经买方审核无误后，15 个工作日内支付合同金额的 50%。</w:t>
      </w:r>
    </w:p>
    <w:p w14:paraId="313F84F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3.2.3 验收款</w:t>
      </w:r>
    </w:p>
    <w:p w14:paraId="3C2B90B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卖方按约完成合同范围内设备及配套设施设备安装调试的全部相关工作，且项目完工资料完备，标的物全部到达指定交货地点，并全部安装调试经买方验收合格，签订交付验收报告且竣工结算办理完成后，买方 15 个工作日内支付合同金额的 17%作为验收款。</w:t>
      </w:r>
    </w:p>
    <w:p w14:paraId="5A9DCF6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3.2.4 结清款</w:t>
      </w:r>
    </w:p>
    <w:p w14:paraId="59B0948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买方在收到卖方提交的买方签署的质量保证期届满证书之日起 5 个工作日内，向卖方支付合同价款的 3%。付款前卖方应向买方出具等额的增值税专用发票。</w:t>
      </w:r>
    </w:p>
    <w:p w14:paraId="17BA393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以上付款卖方均应提供等值的专用发票，如卖方未提供专用发票，买方有权暂停支付进度款，且无需承担任何违约责任。</w:t>
      </w:r>
    </w:p>
    <w:p w14:paraId="6FFEFDB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本合同付款方式为银行转账。</w:t>
      </w:r>
    </w:p>
    <w:p w14:paraId="016E980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如果依照合同第 9.1 项，卖方应向买方支付费用的，买方有权从结清款中直接扣除该笔费用。</w:t>
      </w:r>
    </w:p>
    <w:p w14:paraId="74F2BBA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除专用合同条款另有约定外，在买方向卖方支付验收款的同时或之后，卖方可在向买方提交买方出具合同金额 3%的结清款保函（或保证金）的前提下，要求买方支付合同结清款，买方不得拒绝。</w:t>
      </w:r>
    </w:p>
    <w:p w14:paraId="524C81B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p>
    <w:p w14:paraId="33D0D06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3.3 买方扣款的权利</w:t>
      </w:r>
    </w:p>
    <w:p w14:paraId="24BB510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当卖方应向买方支付合同项下的违约金或赔偿金时，买方有权从上述任何一笔应付款中予 以直接扣除和（或）兑付履约保证金。</w:t>
      </w:r>
    </w:p>
    <w:p w14:paraId="12BDDEF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p>
    <w:p w14:paraId="74586F4A">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b w:val="0"/>
          <w:bCs/>
          <w:sz w:val="24"/>
        </w:rPr>
      </w:pPr>
      <w:r>
        <w:rPr>
          <w:rFonts w:hint="eastAsia"/>
          <w:b/>
          <w:bCs w:val="0"/>
          <w:sz w:val="24"/>
        </w:rPr>
        <w:t>4.监造及交货前检验</w:t>
      </w:r>
    </w:p>
    <w:p w14:paraId="0F23A7D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4. 1 监造</w:t>
      </w:r>
    </w:p>
    <w:p w14:paraId="132A2CE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专用合同条款约定买方对合同设备进行监造的，双方应按本款及专用合同条款约定履行。</w:t>
      </w:r>
    </w:p>
    <w:p w14:paraId="4521D31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4.1.1 在合同设备的制造过程中，买方可派出监造人员，对合同设备的生产制造进行监造， 监督合同设备制造、检验等情况。监造的范围、方式等应符合专用合同条款和（或）供货要求等合同文件的约定。</w:t>
      </w:r>
    </w:p>
    <w:p w14:paraId="10EB2BA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4.1.2 除专用合同条款和（或）供货要求等合同文件另有约定外，买方监造人员可到合同 设备及其关键部件的生产制造现场进行监造，卖方应予配合。卖方应免费为买方监造人员提供工作条件及便利，包括但不限于必要的办公场所、技术资料、检测工具及出入许可等。除专用 合同条款另有约定外，买方监造人员的交通、食宿费用由买方承担。</w:t>
      </w:r>
    </w:p>
    <w:p w14:paraId="60202D8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4.1.3 卖方制订生产制造合同设备的进度计划时，应将买方监造纳入计划安排，并提前通 知买方；买方进行监造不应影响合同设备的正常生产。除专用合同条款和（或）供货要求等合同文件另有约定外，卖方应提前 7 日将需要买方监造人员现场监造事项通知买方；如买方监造人员未按通知出席，不影响合同设备及其关键部件的制造或检验，但买方监造人员有权事后了解、查阅、复制相关制造或检验记录。</w:t>
      </w:r>
    </w:p>
    <w:p w14:paraId="7627733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4.1.4 买方监造人员在监造中如发现合同设备及其关键部件不符合合同约定的标准，则有 权提出意见和建议。卖方应采取必要措施消除合同设备的不符， 由此增加的费用和（或）造成的延误由卖方负责。</w:t>
      </w:r>
    </w:p>
    <w:p w14:paraId="3304023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4.1.5 买方监造人员对合同设备的监造，不视为对合同设备质量的确认，不影响卖方交货 后买方依照合同约定对合同设备提出质量异议和（或）退货的权利，也不免除卖方依照合同约定对合同设备所应承担的任何义务或责任。</w:t>
      </w:r>
    </w:p>
    <w:p w14:paraId="0989EF9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p>
    <w:p w14:paraId="027FE04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4.2 交货前检验</w:t>
      </w:r>
    </w:p>
    <w:p w14:paraId="1223166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专用合同条款约定买方参与交货前检验的，双方应按本款及专用合同条款约定履行。</w:t>
      </w:r>
    </w:p>
    <w:p w14:paraId="462EB55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4.2.1 合同设备交货前，卖方应会同买方代表根据合同约定对合同设备进行交货前检验并 出具交货前检验记录，有关费用由卖方承担。卖方应免费为买方代表提供工作条件及便利，包括但不限于必要的办公场所、技术资料、检测工具及出入许可等。除专用合同条款另有约定外， 买方代表的交通、食宿费用由买方承担。</w:t>
      </w:r>
    </w:p>
    <w:p w14:paraId="52EF7F3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4.2.2 除专用合同条款和（或）供货要求等合同文件另有约定外，卖方应提前 7 日将需要 买方代表检验事项通知买方；如买方代表未按通知出席，不影响合同设备的检验。若卖方未依照合同约定提前通知买方而自行检验，则买方有权要求卖方暂停发货并重新进行检验， 由此增加的费用和（或）造成的延误由卖方负责。</w:t>
      </w:r>
    </w:p>
    <w:p w14:paraId="09D3489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4.2.3 买方代表在检验中如发现合同设备不符合合同约定的标准，则有权提出异议。卖方 应采取必要措施消除合同设备的不符，由此增加的费用和（或）造成的延误由卖方负责。</w:t>
      </w:r>
    </w:p>
    <w:p w14:paraId="01379FA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4.2.4 买方代表参与交货前检验及签署交货前检验记录的行为，不视为对合同设备质量的 确认，不影响卖方交货后买方依照合同约定对合同设备提出质量异议和（或）退货的权利，也 不免除卖方依照合同约定对合同设备所应承担的任何义务或责任。</w:t>
      </w:r>
    </w:p>
    <w:p w14:paraId="45A2A46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p>
    <w:p w14:paraId="29B5F691">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2"/>
        <w:rPr>
          <w:rFonts w:hint="eastAsia"/>
          <w:b/>
          <w:bCs w:val="0"/>
          <w:sz w:val="24"/>
        </w:rPr>
      </w:pPr>
      <w:r>
        <w:rPr>
          <w:rFonts w:hint="eastAsia"/>
          <w:b/>
          <w:bCs w:val="0"/>
          <w:sz w:val="24"/>
        </w:rPr>
        <w:t>5.包装、标记、运输和交付</w:t>
      </w:r>
    </w:p>
    <w:p w14:paraId="480D8BF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5. 1 包装</w:t>
      </w:r>
    </w:p>
    <w:p w14:paraId="4290244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5.1.1 卖方应对合同设备进行妥善包装，以满足合同设备运至施工场地及在施工场地保管 的需要。包装应采取防潮、防晒、防锈、防腐蚀、防震动及防止其它损坏的必要保护措施，从 而保护合同设备能够经受多次搬运、装卸、长途运输并适宜保管。</w:t>
      </w:r>
    </w:p>
    <w:p w14:paraId="2EA43F2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5.1.2 每个独立包装箱内应附装箱清单、质量合格证、装配图、说明书、操作指南等资料。</w:t>
      </w:r>
    </w:p>
    <w:p w14:paraId="516337E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5.1.3 除专用合同条款另有约定外，买方无需将包装物退还给卖方。</w:t>
      </w:r>
    </w:p>
    <w:p w14:paraId="291D741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p>
    <w:p w14:paraId="4F25858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5.2 标记</w:t>
      </w:r>
    </w:p>
    <w:p w14:paraId="1C6F19B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5.2.1 除专用合同条款另有约定外，卖方应在每一包装箱相邻的四个侧面以不可擦除的、 明显的方式标记必要的装运信息和标记， 以满足合同设备运输和保管的需要。</w:t>
      </w:r>
    </w:p>
    <w:p w14:paraId="2DFD8A9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5.2.2 根据合同设备的特点和运输、保管的不同要求，卖方应在包装箱上清楚地标注“小 心轻放”、“此端朝上，请勿倒置 ”、“保持干燥”等字样和其他适当标记。对于专用合同条款约定的超大超重件，卖方应在包装箱两侧标注“重心 ”和“起吊点 ”以便装卸和搬运。如果发运合同设备中含有易燃易爆物品、腐蚀物品、放射性物质等危险品，则应在包装箱上标明危 险品标志。</w:t>
      </w:r>
    </w:p>
    <w:p w14:paraId="4480D76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p>
    <w:p w14:paraId="0806E11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5.3 运输</w:t>
      </w:r>
    </w:p>
    <w:p w14:paraId="2A354A3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5.3.1 卖方应自行选择适宜的运输工具及线路安排合同设备运输。</w:t>
      </w:r>
    </w:p>
    <w:p w14:paraId="1A9221B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5.3.2 除专用合同条款另有约定外，每件能够独立运行的设备应整套装运。该设备安装、 调试、考核和运行所使用的备品、备件、易损易耗件等应随相关的主机一齐装运。</w:t>
      </w:r>
    </w:p>
    <w:p w14:paraId="7E187DF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5.3.3 除专用合同条款另有约定外，卖方应在合同设备预计启运 7 日前，将合同设备名称、 数量、箱数、总毛重、总体积（用m3 表示）、每箱尺寸（长×宽×高）、装运合同设备总金额、 运输方式、预计交付日期和合同设备在运输、装卸、保管中的注意事项等预通知买方，并在合 同设备启运后 24 小时之内正式通知买方。</w:t>
      </w:r>
    </w:p>
    <w:p w14:paraId="0B599B1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5.3.4 卖方在根据第 5.3.3 项进行通知时，如果发运合同设备中包括专用合同条款约定的 超大超重包装，则卖方应将超大和（或）超重的每个包装箱的重量和尺寸通知买方；如果发运 合同设备中包括易燃易爆物品、腐蚀物品、放射性物质等危险品，则危险品的品名、性质、在 运输、装卸、保管方面的特殊要求、注意事项和处理意外情况的方法等，也应一并通知买方。</w:t>
      </w:r>
    </w:p>
    <w:p w14:paraId="696DC5C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p>
    <w:p w14:paraId="4C26EA6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5.4 交付</w:t>
      </w:r>
    </w:p>
    <w:p w14:paraId="51DC811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5.4.1 除专用合同条款另有约定外，卖方应根据合同约定的交付时间和批次在施工场地车 面上将合同设备交付给买方。买方签发收货清单不代表对合同设备的接受，双方还应按合同约 定进行后续的检验和验收。</w:t>
      </w:r>
    </w:p>
    <w:p w14:paraId="0409C54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5.4.2 除专用合同条款另有约定外，买方如果发现技术资料存在短缺和（或）损坏，卖方 应在收到买方的通知后 7 日内免费补齐短缺和（或）损坏的部分。如果买方发现卖方提供的技 术资料有误，卖方应在收到买方通知后 7 日内免费替换。如由于买方原因导致技术资料丢失和（或）损坏，卖方应在收到买方的通知后 7 日内补齐丢失和（或）损坏的部分，但买方应向卖 方支付合理的复制、邮寄费用。</w:t>
      </w:r>
    </w:p>
    <w:p w14:paraId="273C589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p>
    <w:p w14:paraId="6986CA24">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b w:val="0"/>
          <w:bCs/>
          <w:sz w:val="24"/>
        </w:rPr>
      </w:pPr>
      <w:r>
        <w:rPr>
          <w:rFonts w:hint="eastAsia"/>
          <w:b/>
          <w:bCs w:val="0"/>
          <w:sz w:val="24"/>
        </w:rPr>
        <w:t>6.开箱检验、安装、调试、考核、验收</w:t>
      </w:r>
    </w:p>
    <w:p w14:paraId="53527C3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6. 1 开箱检验</w:t>
      </w:r>
    </w:p>
    <w:p w14:paraId="71C92B3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6.1.1 合同设备交付后应进行开箱检验，即合同设备数量及外观检验。开箱检验在专用合 同条款约定的下列任一种时间进行：</w:t>
      </w:r>
    </w:p>
    <w:p w14:paraId="1F2EC60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（1）合同设备交付时；</w:t>
      </w:r>
    </w:p>
    <w:p w14:paraId="6ACB7BD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（2）合同设备交付后的一定期限内。</w:t>
      </w:r>
    </w:p>
    <w:p w14:paraId="6C0D2E9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如开箱检验不在合同设备交付时进行，买方应在开箱检验 3 日前将开箱检验的时间和地点通知卖方。</w:t>
      </w:r>
    </w:p>
    <w:p w14:paraId="1780137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6.1.2 除专用合同条款另有约定外，合同设备的开箱检验应在施工场地进行。</w:t>
      </w:r>
    </w:p>
    <w:p w14:paraId="51D9D7F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6.1.3 开箱检验由买卖双方共同进行，卖方应自负费用派遣代表到场参加开箱检验。</w:t>
      </w:r>
    </w:p>
    <w:p w14:paraId="7F5DCF4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6.1.4 在开箱检验中，买方和卖方应共同签署数量、外观检验报告，报告应列明检验结果， 包括检验合格或发现的任何短缺、损坏或其它与合同约定不符的情形。</w:t>
      </w:r>
    </w:p>
    <w:p w14:paraId="2C15BB5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6.1.5 如果卖方代表未能依约或按买方通知到场参加开箱检验，买方有权在卖方代表未在 场的情况下进行开箱检验，并签署数量、外观检验报告，对于该检验报告和检验结果，视为卖方已接受，但卖方确有合理理由且事先与买方协商推迟开箱检验时间的除外。</w:t>
      </w:r>
    </w:p>
    <w:p w14:paraId="7C6BB52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6.1.6 如开箱检验不在合同设备交付时进行，则合同设备交付以后到开箱检验之前，应由 买方负责按交货时外包装原样对合同设备进行妥善保管。除专用合同条款另有约定外，在开箱检验时如果合同设备外包装与交货时一致，则开箱检验中发现的合同设备的短缺、损坏或其它与合同约定不符的情形， 由卖方负责，卖方应补齐、更换及采取其他补救措施。如果在开箱检验时合同设备外包装不是交货时的包装或虽是交货时的包装但与交货时不一致且出现很可能导致合同设备短缺或损坏的包装破损，则开箱检验中发现合同设备短缺、损坏或其它与合同约定不符的情形的风险， 由买方承担，但买方能够证明是由于卖方原因或合同设备交付前非买方原因导致的除外。</w:t>
      </w:r>
    </w:p>
    <w:p w14:paraId="23A635A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6.1.7 如双方在专用合同条款和（或）供货要求等合同文件中约定由第三方检测机构对合 同设备进行开箱检验或在开箱检验过程中另行约定由第三方检验的，则第三方检测机构的检验结果对双方均具有约束力。</w:t>
      </w:r>
    </w:p>
    <w:p w14:paraId="5F5F676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6.1.8 开箱检验的检验结果不能对抗在合同设备的安装、调试、考核、验收中及质量保证 期内发现的合同设备质量问题，也不能免除或影响卖方依照合同约定对买方负有的包括合同设备质量在内的任何义务或责任。</w:t>
      </w:r>
    </w:p>
    <w:p w14:paraId="7144474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p>
    <w:p w14:paraId="54E7E12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6.2 安装、调试</w:t>
      </w:r>
    </w:p>
    <w:p w14:paraId="051EE61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6.2.1 开箱检验完成后，双方应对合同设备进行安装、调试，以使其具备考核的状态。安 装、调试应按照专用合同条款约定的下列方式进行：</w:t>
      </w:r>
    </w:p>
    <w:p w14:paraId="0154117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（1）买方或买方安排第三方负责合同设备的安装、调试工作，卖方提供技术服务。</w:t>
      </w:r>
    </w:p>
    <w:p w14:paraId="68325D5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除专用合同条款另有约定外，在安装、调试过程中，如由于买方或买方安排的第三方未按照卖方现场服务人员的指导导致安装、调试不成功和（或）出现合同设备损坏，买方应自行承担责任。如在买方或买方安排的第三方按照卖方现场服务人员的指导进行安装、调试的情况下出现安装、调试不成功和（或）造成合同设备损坏的情况，卖方应承担责任。</w:t>
      </w:r>
    </w:p>
    <w:p w14:paraId="6D2DEF3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6.2.2 除专用合同条款另有约定外，安装、调试中合同设备运行需要的用水、用电、其他 动力和原材料（如需要）等均由买方承担。</w:t>
      </w:r>
    </w:p>
    <w:p w14:paraId="66E399B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6.2.3 双方应对合同设备的安装、调试情况共同及时进行记录。</w:t>
      </w:r>
    </w:p>
    <w:p w14:paraId="0BB4596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p>
    <w:p w14:paraId="0D85A4D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6.3 考核</w:t>
      </w:r>
    </w:p>
    <w:p w14:paraId="274DE94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6.3.1 安装、调试完成后，双方应对合同设备进行考核，以确定合同设备是否达到合同约 定的技术性能考核指标。除专用合同条款另有约定外，考核中合同设备运行需要的用水、用电、 其他动力和原材料（如需要）等均由买方承担。</w:t>
      </w:r>
    </w:p>
    <w:p w14:paraId="4D38435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6.3.2 如由于卖方原因合同设备在考核中未能达到合同约定的技术性能考核指标，则卖方 应在双方同意的期限内采取措施消除合同设备中存在的缺陷，并在缺陷消除以后，尽快进行再次考核。</w:t>
      </w:r>
    </w:p>
    <w:p w14:paraId="78412B0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6.3.3 由于卖方原因未能达到技术性能考核指标时，为卖方进行考核的机会不超过三次。 如果由于卖方原因，三次考核均未能达到合同约定的技术性能考核指标，则买卖双方应就合同的后续履行进行协商，协商不成的，买方有权解除合同。但如合同中约定了或双方在考核中另行达成了合同设备的最低技术性能考核指标，且合同设备达到了最低技术性能考核指标的，视为合同设备已达到技术性能考核指标，买方无权解除合同，且应接受合同设备，但卖方应按专用合同条款的约定进行减价或向买方支付补偿金。</w:t>
      </w:r>
    </w:p>
    <w:p w14:paraId="62A3EA4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6.3.4 如由于买方原因合同设备在考核中未能达到合同约定的技术性能考核指标，则卖方 应协助买方安排再次考核。由于买方原因未能达到技术性能考核指标时，为买方进行考核的机会不超过三次。</w:t>
      </w:r>
    </w:p>
    <w:p w14:paraId="63A4F3E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6.3.5 考核期间，双方应及时共同记录合同设备的用水、用电、其他动力和原材料（如有） 的使用及设备考核情况。对于未达到技术性能考核指标的，应如实记录设备表现、可能原因及处理情况等。</w:t>
      </w:r>
    </w:p>
    <w:p w14:paraId="202AAE6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p>
    <w:p w14:paraId="1FFC87F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6.4 验收</w:t>
      </w:r>
    </w:p>
    <w:p w14:paraId="54CF234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6.4.1 如合同设备在考核中达到或视为达到技术性能考核指标，则买卖双方应在考核完成 后 7 日内或专用合同条款另行约定的时间内签署合同设备验收证书一式二份，双方各持一份。 验收日期应为合同设备达到或视为达到技术性能考核指标的日期。</w:t>
      </w:r>
    </w:p>
    <w:p w14:paraId="0FA638C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6.4.2 如由于买方原因合同设备在三次考核中均未能达到技术性能考核指标，买卖双方应 在考核结束后 7 日内或专用合同条款另行约定的时间内签署验收款支付函。</w:t>
      </w:r>
    </w:p>
    <w:p w14:paraId="2DB6973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除专用合同条款另有约定外，卖方有义务在验收款支付函签署后 12 个月内应买方要求提 供相关技术服务，协助买方采取一切必要措施使合同设备达到技术性能考核指标。</w:t>
      </w:r>
    </w:p>
    <w:p w14:paraId="394E065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在上述 12 个月的期限内，如合同设备经过考核达到或视为达到技术性能考核指标，则买 卖双方应按照第 6.4.1 项的约定签署合同设备验收证书。</w:t>
      </w:r>
    </w:p>
    <w:p w14:paraId="24610BC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6.4.3 除专用合同条款另有约定外，如由于买方原因在最后一批合同设备交货后 6 个月内 未能开始考核，则买卖双方应在上述期限届满后 7 日内或专用合同条款另行约定的时间内签署验收款支付函。</w:t>
      </w:r>
    </w:p>
    <w:p w14:paraId="5BE9906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除专用合同条款另有约定外，卖方有义务在验收款支付函签署后6 个月内应买方要求提供不超出合同范围的技术服务，协助买方采取一切必要措施使合同设备达到技术性能考核指标，且买方无需因此向卖方支付费用。</w:t>
      </w:r>
    </w:p>
    <w:p w14:paraId="5C66984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在上述 6 个月的期限内，如合同设备经过考核达到或视为达到技术性能考核指标，则买卖双方应按照第 6.4.1 项的约定签署合同设备验收证书。</w:t>
      </w:r>
    </w:p>
    <w:p w14:paraId="5D1774B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6.4.4 在第 6.4.2 项和第 6.4.3 项情形下，卖方也可单方签署验收款支付函提交买方，如 果买方在收到卖方签署的验收款支付函后 14 日内未向卖方提出书面异议，则验收款支付函自签署之日起生效。</w:t>
      </w:r>
    </w:p>
    <w:p w14:paraId="032521F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6.4.5 合同设备验收证书的签署不能免除卖方在质量保证期内对合同设备应承担的保证责 任。</w:t>
      </w:r>
    </w:p>
    <w:p w14:paraId="1D6A133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6.4.6 买方对卖方提供的货物进行接收并不代表对该货物质量的最终认可，如果货物在质 量监督检测机构出示的检验结果中未达到规范要求，卖方对此负全部责任，买方有权终止采购合同，并没收卖方的履约保证金。因卖方提供货物质量不符合买方要求并对买方造成损失的， 买方有权依法提出赔偿。</w:t>
      </w:r>
    </w:p>
    <w:p w14:paraId="066BB2A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6.4.7 卖方须为验收提供必需的一切条件及相关费用， 以买方名义作为终端客户，负责办 理所有产品设备（包括保修卡）的一切保修注册备案手续。验收交付前的包换安全责任由卖方承担。</w:t>
      </w:r>
    </w:p>
    <w:p w14:paraId="0DA694D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p>
    <w:p w14:paraId="7AF158B4">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b/>
          <w:bCs w:val="0"/>
          <w:sz w:val="24"/>
        </w:rPr>
      </w:pPr>
      <w:r>
        <w:rPr>
          <w:rFonts w:hint="eastAsia"/>
          <w:b/>
          <w:bCs w:val="0"/>
          <w:sz w:val="24"/>
        </w:rPr>
        <w:t>7.技术服务</w:t>
      </w:r>
    </w:p>
    <w:p w14:paraId="724211C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7.1 卖方应派遣技术熟练、称职的技术人员到施工场地为买方提供技术服务。卖方的技术 服务应符合合同的约定。</w:t>
      </w:r>
    </w:p>
    <w:p w14:paraId="07F9200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7.2 买方应免费为卖方技术人员提供工作条件及便利，包括但不限于必要的办公场所、技 术资料及出入许可等。除专用合同条款另有约定外，卖方技术人员的交通、食宿费用由卖方承担。</w:t>
      </w:r>
    </w:p>
    <w:p w14:paraId="0A84A74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7.3 卖方技术人员应遵守买方施工现场的各项规章制度和安全操作规程，并服从买方的现 场管理。</w:t>
      </w:r>
    </w:p>
    <w:p w14:paraId="2419B76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7.4 如果任何技术人员不合格，买方有权要求卖方撤换，因撤换而产生的费用应由卖方承 担。在不影响技术服务并且征得买方同意的条件下，卖方也可自负费用更换其技术人员。</w:t>
      </w:r>
    </w:p>
    <w:p w14:paraId="04A17E3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p>
    <w:p w14:paraId="555D9570">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2"/>
        <w:rPr>
          <w:rFonts w:hint="eastAsia"/>
          <w:b/>
          <w:bCs w:val="0"/>
          <w:color w:val="auto"/>
          <w:sz w:val="24"/>
        </w:rPr>
      </w:pPr>
      <w:r>
        <w:rPr>
          <w:rFonts w:hint="eastAsia"/>
          <w:b/>
          <w:bCs w:val="0"/>
          <w:color w:val="auto"/>
          <w:sz w:val="24"/>
        </w:rPr>
        <w:t>8.质量保证期</w:t>
      </w:r>
    </w:p>
    <w:p w14:paraId="467F735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color w:val="auto"/>
          <w:sz w:val="24"/>
        </w:rPr>
      </w:pPr>
      <w:r>
        <w:rPr>
          <w:rFonts w:hint="eastAsia"/>
          <w:b w:val="0"/>
          <w:bCs/>
          <w:color w:val="auto"/>
          <w:sz w:val="24"/>
        </w:rPr>
        <w:t>8.1 除专用合同条款和（或）供货要求等合同文件另有约定外，合同设备整体质量保证期 为验收之日起 12 个月。如对合同设备中关键部件的质量保证期有特殊要求的，买卖双方可在专用合同条款中约定。在合同第 6.4.2 项情形下，无论合同设备何时验收，其质量保证期最长为签署验收款支付函后 12 个月。在合同第 6.4.3 项情形下，无论合同设备何时验收，其质量保证期最长为签署验收款支付函后6 个月。</w:t>
      </w:r>
    </w:p>
    <w:p w14:paraId="73D4CC3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color w:val="auto"/>
          <w:sz w:val="24"/>
        </w:rPr>
      </w:pPr>
      <w:r>
        <w:rPr>
          <w:rFonts w:hint="eastAsia"/>
          <w:b w:val="0"/>
          <w:bCs/>
          <w:color w:val="auto"/>
          <w:sz w:val="24"/>
        </w:rPr>
        <w:t>8.2 在质量保证期内如果合同设备出现故障，卖方应自负费用提供质保期服务，对相关合 同设备进行修理或更换以消除故障。更换的合同设备和（或）关键部件的质量保证期应重新计 算。但如果合同设备的故障是由于买方原因造成的，则对合同设备进行修理和更换的费用应由买方承担。</w:t>
      </w:r>
    </w:p>
    <w:p w14:paraId="7A08D9A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color w:val="auto"/>
          <w:sz w:val="24"/>
        </w:rPr>
      </w:pPr>
      <w:r>
        <w:rPr>
          <w:rFonts w:hint="eastAsia"/>
          <w:b w:val="0"/>
          <w:bCs/>
          <w:color w:val="auto"/>
          <w:sz w:val="24"/>
        </w:rPr>
        <w:t>8.3 质量保证期届满后，买方应在 7 日内或专用合同条款另行约定的时间内向卖方出具合 同设备的质量保证期届满证书。</w:t>
      </w:r>
    </w:p>
    <w:p w14:paraId="2F2D0F1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color w:val="auto"/>
          <w:sz w:val="24"/>
        </w:rPr>
      </w:pPr>
      <w:r>
        <w:rPr>
          <w:rFonts w:hint="eastAsia"/>
          <w:b w:val="0"/>
          <w:bCs/>
          <w:color w:val="auto"/>
          <w:sz w:val="24"/>
        </w:rPr>
        <w:t>8.4 在合同第 6.4.2 项情形下，如在验收款支付函签署后 12 个月内由于买方原因合同设 备仍未能达到技术性能考核指标，则买卖双方应在该 12 个月届满后 7 日内或专用合同条款另行 约定的时间内签署结清款支付函。</w:t>
      </w:r>
    </w:p>
    <w:p w14:paraId="55B6AFF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color w:val="auto"/>
          <w:sz w:val="24"/>
        </w:rPr>
      </w:pPr>
      <w:r>
        <w:rPr>
          <w:rFonts w:hint="eastAsia"/>
          <w:b w:val="0"/>
          <w:bCs/>
          <w:color w:val="auto"/>
          <w:sz w:val="24"/>
        </w:rPr>
        <w:t>8.5 在合同第 6.4.3 项情形下，如在验收款支付函签署后 6 个月内由于买方原因合同设备 仍未进行考核或仍未达到技术性能考核指标，则买卖双方应在该 6 个月届满后 7 日内或专用合同条款另行约定的时间内签署结清款支付函。</w:t>
      </w:r>
    </w:p>
    <w:p w14:paraId="722633A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color w:val="auto"/>
          <w:sz w:val="24"/>
        </w:rPr>
      </w:pPr>
      <w:r>
        <w:rPr>
          <w:rFonts w:hint="eastAsia"/>
          <w:b w:val="0"/>
          <w:bCs/>
          <w:color w:val="auto"/>
          <w:sz w:val="24"/>
        </w:rPr>
        <w:t>8.6 在第 8.4 款和第 8.5 款情形下，卖方也可单方签署结清款支付函提交买方，如果买方 在收到卖方签署的结清款支付函后 14 日内未向卖方提出书面异议，则结清款支付函自签署之日起生效。</w:t>
      </w:r>
    </w:p>
    <w:p w14:paraId="71296B8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b w:val="0"/>
          <w:bCs/>
          <w:sz w:val="24"/>
        </w:rPr>
      </w:pPr>
    </w:p>
    <w:p w14:paraId="57DD0C3C">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b/>
          <w:bCs w:val="0"/>
          <w:sz w:val="24"/>
        </w:rPr>
      </w:pPr>
      <w:r>
        <w:rPr>
          <w:rFonts w:hint="eastAsia"/>
          <w:b/>
          <w:bCs w:val="0"/>
          <w:sz w:val="24"/>
        </w:rPr>
        <w:t>9.质保期服务</w:t>
      </w:r>
    </w:p>
    <w:p w14:paraId="0FA24D8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9.1 卖方应为质保期服务配备充足的技术人员、工具和备件并保证提供的联系方式畅通。 除专用合同条款和（或）供货要求等合同文件另有约定外，卖方应在收到买方通知后 24 小时内做出响应，如需卖方到合同设备现场，卖方应在收到买方通知后 48 小时内到达，并在到达后 7 日内解决合同设备的故障（重大故障除外）。如果卖方未在上述时间内作出响应，则买方有权自行或委托他人解决相关问题或查找和解决合同设备的故障，卖方应承担由此发生的全部费用。</w:t>
      </w:r>
    </w:p>
    <w:p w14:paraId="31A4CCE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9.2 如卖方技术人员需到合同设备现场进行质保期服务，则买方应免费为卖方技术人员提 供工作条件及便利，包括但不限于必要的办公场所、技术资料及出入许可等。除专用合同条款另有约定外，卖方技术人员的交通、食宿费用由卖方承担。卖方技术人员应遵守买方施工现场的各项规章制度和安全操作规程，并服从买方的现场管理。</w:t>
      </w:r>
    </w:p>
    <w:p w14:paraId="46E4AB0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9.3 如果任何技术人员不合格，买方有权要求卖方撤换，因撤换而产生的费用应由卖方承 担。在不影响质保期服务并且征得买方同意的条件下，卖方也可自负费用更换其技术人员。</w:t>
      </w:r>
    </w:p>
    <w:p w14:paraId="022887D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9.4 除专用合同条款另有约定外，卖方应就在施工现场进行质保期服务的情况进行记录， 记载合同设备故障发生的时间、原因及解决情况等， 由买方签字确认，并在质量保证期结束后提交给买方。</w:t>
      </w:r>
    </w:p>
    <w:p w14:paraId="6971ADF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p>
    <w:p w14:paraId="0B4EAB84">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2"/>
        <w:rPr>
          <w:rFonts w:hint="eastAsia"/>
          <w:b/>
          <w:bCs w:val="0"/>
          <w:sz w:val="24"/>
        </w:rPr>
      </w:pPr>
      <w:r>
        <w:rPr>
          <w:rFonts w:hint="eastAsia"/>
          <w:b/>
          <w:bCs w:val="0"/>
          <w:sz w:val="24"/>
        </w:rPr>
        <w:t>10.履约保证金</w:t>
      </w:r>
    </w:p>
    <w:p w14:paraId="66ED4C5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除专用合同条款另有约定外，履约保证金自合同生效之日起生效，在合同设备验收证书或验收款支付函签署之日起 28 日后失效。如果卖方不履行合同约定的义务或其履行不符合合同的约定，买方有权扣划相应金额的履约保证金。</w:t>
      </w:r>
    </w:p>
    <w:p w14:paraId="778C085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p>
    <w:p w14:paraId="4D1CE60B">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b/>
          <w:bCs w:val="0"/>
          <w:sz w:val="24"/>
        </w:rPr>
      </w:pPr>
      <w:r>
        <w:rPr>
          <w:rFonts w:hint="eastAsia"/>
          <w:b/>
          <w:bCs w:val="0"/>
          <w:sz w:val="24"/>
        </w:rPr>
        <w:t>11.保证</w:t>
      </w:r>
    </w:p>
    <w:p w14:paraId="2F576C5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11.1 卖方保证其具有完全的能力履行本合同项下的全部义务。</w:t>
      </w:r>
    </w:p>
    <w:p w14:paraId="0A31251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11.2 卖方保证其所提供的合同设备及对合同的履行符合所有应适用的法律、行政法规、地方性法规、 自治条例和单行条例、规章及其他规范性文件的强制性规定。</w:t>
      </w:r>
    </w:p>
    <w:p w14:paraId="3933010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11.3 卖方保证其对合同设备的销售不损害任何第三方的合法权益和社会公众利益。任何 第三方不会因卖方原因而基于所有权、抵押权、留置权或其他任何权利或事由对合同设备主张权利。</w:t>
      </w:r>
    </w:p>
    <w:p w14:paraId="6FDB84E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11.4 卖方保证合同设备符合合同约定的规格、标准、技术性能考核指标等，能够安全和 稳定地运行，具有产品检测报告及产品合格证书，且合同设备（包括全部部件）全新、完整、 未使用过，除非专用合同条款和（或）供货要求等合同文件另有约定。</w:t>
      </w:r>
    </w:p>
    <w:p w14:paraId="736A2AF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11.5 卖方保证，卖方所提供的技术资料完整、清晰、准确，符合合同约定并且能够满足 合同设备的安装、调试、考核、操作以及维修和保养的需要。</w:t>
      </w:r>
    </w:p>
    <w:p w14:paraId="50C1152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11.6 卖方保证合同范围内提供的备品备件能够满足合同设备在质量保证期结束前正常运 行及维修的需要，如在质量保证期结束前因卖方原因出现备品备件短缺影响合同设备正常运行 的，卖方应免费提供。</w:t>
      </w:r>
    </w:p>
    <w:p w14:paraId="7D26AB2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11.7 除专用合同条款和（或）供货要求等合同文件另有约定外，如果在合同设备设计使 用寿命期内发生合同项下备品备件停止生产的情况，卖方应事先将拟停止生产的计划通知买方， 使买方有足够的时间考虑备品备件的需求量。根据买方要求，卖方应：</w:t>
      </w:r>
    </w:p>
    <w:p w14:paraId="6E29D14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 以不高于同期市场价格或其向任何第三方销售同类产品的价格提供合同设备正常运行所需的全部备品备件。</w:t>
      </w:r>
    </w:p>
    <w:p w14:paraId="217CFC6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（2）免费提供可供买方或第三方制造停产备品备件所需的全部技术资料， 以便买方持续获得上述备品备件以满足合同设备在寿命期内正常运行的需要。卖方保证买方或买方委托的第三方制造及买方使用这些备品备件不侵犯任何人的知识产权。</w:t>
      </w:r>
    </w:p>
    <w:p w14:paraId="195F6E9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11.8 卖方保证，在合同设备设计使用寿命期内，如果卖方发现合同设备由于设计、制造、 标识等原因存在足以危及人身、财产安全的缺陷，卖方将及时通知买方并及时采取修正或者补充标识、修理、更换等措施消除缺陷。</w:t>
      </w:r>
    </w:p>
    <w:p w14:paraId="3C83D94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p>
    <w:p w14:paraId="367AB790">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b/>
          <w:bCs w:val="0"/>
          <w:sz w:val="24"/>
        </w:rPr>
      </w:pPr>
      <w:r>
        <w:rPr>
          <w:rFonts w:hint="eastAsia"/>
          <w:b/>
          <w:bCs w:val="0"/>
          <w:sz w:val="24"/>
        </w:rPr>
        <w:t>12.知识产权</w:t>
      </w:r>
    </w:p>
    <w:p w14:paraId="79E0177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12.1 买方在履行合同过程中提供给卖方的全部图纸、文件和其他含有数据和信息的资料，</w:t>
      </w:r>
    </w:p>
    <w:p w14:paraId="3FAA858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b w:val="0"/>
          <w:bCs/>
          <w:sz w:val="24"/>
        </w:rPr>
      </w:pPr>
      <w:r>
        <w:rPr>
          <w:rFonts w:hint="eastAsia"/>
          <w:b w:val="0"/>
          <w:bCs/>
          <w:sz w:val="24"/>
        </w:rPr>
        <w:t>其知识产权属于买方。</w:t>
      </w:r>
    </w:p>
    <w:p w14:paraId="60F7A62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12.2 除专用合同条款另有约定外，买方不因签署和履行合同而享有卖方在履行合同过程 中提供给买方的图纸、文件、配套软件、 电子辅助程序和其他含有数据和信息的资料的知识产权。</w:t>
      </w:r>
    </w:p>
    <w:p w14:paraId="78F9AEE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12.3 如合同设备涉及知识产权，则卖方保证买方在使用合同设备过程中免于受到第三方 提出的有关知识产权侵权的主张、索赔或诉讼的伤害。</w:t>
      </w:r>
    </w:p>
    <w:p w14:paraId="03DE7AC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12.4 如果买方收到任何第三方有关知识产权的主张、索赔或诉讼，卖方在收到买方通知 后，应以买方名义并在买方的协助下， 自负费用处理与第三方的索赔或诉讼，并赔偿买方因此发生的费用和遭受的损失。除专用合同条款另有约定外，如果卖方拒绝处理前述索赔或诉讼或在收到买方通知后 28 日内未作表示，买方可以自己的名义进行这些索赔或诉讼，因此发生的费用和遭受的损失均应由卖方承担。</w:t>
      </w:r>
    </w:p>
    <w:p w14:paraId="757AC92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p>
    <w:p w14:paraId="6C1C38B2">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b/>
          <w:bCs w:val="0"/>
          <w:sz w:val="24"/>
        </w:rPr>
      </w:pPr>
      <w:r>
        <w:rPr>
          <w:rFonts w:hint="eastAsia"/>
          <w:b/>
          <w:bCs w:val="0"/>
          <w:sz w:val="24"/>
        </w:rPr>
        <w:t>13.保密</w:t>
      </w:r>
    </w:p>
    <w:p w14:paraId="072BF50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合同双方应对因履行合同而取得的另一方当事人的信息、资料等予以保密。未经另一方当事人书面同意，任何一方均不得为与履行合同无关的目的使用或向第三方披露另一方当事人提供的信息、资料。</w:t>
      </w:r>
    </w:p>
    <w:p w14:paraId="650E0BD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合同当事人的保密义务不适用于下列信息：</w:t>
      </w:r>
    </w:p>
    <w:p w14:paraId="62F56C8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（1）非因接受信息一方的过失现在或以后进入公共领域的信息；</w:t>
      </w:r>
    </w:p>
    <w:p w14:paraId="1A64A34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（2）接受信息一方当事人合法地从第三方获得并且据其善意了解第三方也不对此承担保 密义务的信息；</w:t>
      </w:r>
    </w:p>
    <w:p w14:paraId="2111671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（3）法律或法律的执行要求披露的信息。</w:t>
      </w:r>
    </w:p>
    <w:p w14:paraId="38AFCF8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p>
    <w:p w14:paraId="0330CF7F">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2"/>
        <w:rPr>
          <w:rFonts w:hint="eastAsia"/>
          <w:b/>
          <w:bCs w:val="0"/>
          <w:sz w:val="24"/>
        </w:rPr>
      </w:pPr>
      <w:r>
        <w:rPr>
          <w:rFonts w:hint="eastAsia"/>
          <w:b/>
          <w:bCs w:val="0"/>
          <w:sz w:val="24"/>
        </w:rPr>
        <w:t>14.违约责任</w:t>
      </w:r>
    </w:p>
    <w:p w14:paraId="4BFECBB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14.1 合同一方不履行合同义务、履行合同义务不符合约定或者违反合同项下所作保证的， 应向对方承担继续履行、采取修理、更换、退货等补救措施或者赔偿损失等违约责任。</w:t>
      </w:r>
    </w:p>
    <w:p w14:paraId="70EF0E2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14.2 卖方未能按时交付合同设备（包括仅迟延交付技术资料但足以导致合同设备安装、 调试、考核、验收工作推迟的）的，应向买方支付迟延交付违约金。除专用合同条款另有约定 外，迟延交付违约金的计算方法如下：</w:t>
      </w:r>
    </w:p>
    <w:p w14:paraId="1669E45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（1）从迟交的第一周到第四周，每周迟延交付违约金为迟交合同设备价格的 0.5%；</w:t>
      </w:r>
    </w:p>
    <w:p w14:paraId="20BB588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（2）从迟交的第五周到第八周，每周迟延交付违约金为迟交合同设备价格的 1%；</w:t>
      </w:r>
    </w:p>
    <w:p w14:paraId="493B6E7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（3）从迟交第九周起，每周迟延交付违约金为迟交合同设备价格的 1.5%。</w:t>
      </w:r>
    </w:p>
    <w:p w14:paraId="3E0AE34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在计算迟延交付违约金时，迟交不足一周的按一周计算。迟延交付违约金的总额不得超过合同价格的 10%。</w:t>
      </w:r>
    </w:p>
    <w:p w14:paraId="5457B4C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迟延交付违约金的支付不能免除卖方继续交付相关合同设备的义务，但如迟延交付必然导致合同设备安装、调试、考核、验收工作推迟的，相关工作应相应顺延。</w:t>
      </w:r>
    </w:p>
    <w:p w14:paraId="7E38CFA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p>
    <w:p w14:paraId="6F9F371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15.合同的解除</w:t>
      </w:r>
    </w:p>
    <w:p w14:paraId="3D84714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除专用合同条款另有约定外，有下述情形之一，当事人可发出书面通知全部或部分地解除 合同，合同自通知到达对方时全部或部分地解除：</w:t>
      </w:r>
    </w:p>
    <w:p w14:paraId="50D2AC0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（1）卖方迟延交付合同设备超过 3 个月；</w:t>
      </w:r>
    </w:p>
    <w:p w14:paraId="644A40F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（2）合同设备由于卖方原因三次考核均未能达到技术性能考核指标或在合同约定了或双 方在考核中另行达成了最低技术性能考核指标时均未能达到最低技术性能考核指标，且买卖双方未就合同的后续履行协商达成一致；</w:t>
      </w:r>
    </w:p>
    <w:p w14:paraId="05E9FE6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（3）买方迟延付款超过 3 个月；</w:t>
      </w:r>
    </w:p>
    <w:p w14:paraId="1A2845B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（4）合同一方当事人未能履行合同项下任何其它义务（细微义务除外） ，或在未事先征得另一方当事人同意的情况下，从事任何可能在实质上不利影响其履行合同能力的活动，经另 一方当事人书面通知后 14 日内或在专用合同条款约定的其他期限内未能对其行为作出补救；</w:t>
      </w:r>
    </w:p>
    <w:p w14:paraId="4A91A23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（5）合同一方当事人出现破产、清算、资不抵债、成为失信被执行人等可能丧失履约能 力的情形，且未能提供令对方满意的履约保证金。</w:t>
      </w:r>
    </w:p>
    <w:p w14:paraId="101A087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p>
    <w:p w14:paraId="3EB26A2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16.不可抗力</w:t>
      </w:r>
    </w:p>
    <w:p w14:paraId="49882CF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16.1 如果任何一方当事人受到不能预见、不能避免且不能克服的不可抗力事件的影响， 例如战争、严重的火灾、台风、地震、洪水和专用合同条款约定的其他情形，而无法履行合同 项下的任何义务，则受影响的一方当事人应立即将此类事件的发生通知另一方当事人，并应在 不可抗力事件发生后 28 日内将有关当局或机构出具的证明文件提交给另一方当事人。</w:t>
      </w:r>
    </w:p>
    <w:p w14:paraId="6EA89C7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16.2 受不可抗力事件影响的一方当事人对于不可抗力事件导致的任何合同义务的迟延履 行或不能履行不承担违约责任。但该方当事人应尽快将不可抗力事件结束或消除的情况通知另 一方当事人。</w:t>
      </w:r>
    </w:p>
    <w:p w14:paraId="50D167B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16.3 双方当事人应在不可抗力事件结束或其影响消除后立即继续履行其合同义务，合同 期限也应相应顺延。除专用合同条款另有约定外，如果不可抗力事件的影响持续超过 140 日， 则任何一方当事人均有权以书面通知解除合同。</w:t>
      </w:r>
    </w:p>
    <w:p w14:paraId="5AD8F3E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p>
    <w:p w14:paraId="1811AA8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17.争议的解决</w:t>
      </w:r>
    </w:p>
    <w:p w14:paraId="6BBC4DA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因本合同引起的或与本合同有关的任何争议,双方可通过友好协商解决。友好协商解决不 成的，可在专用合同条款中约定下列一种方式解决：</w:t>
      </w:r>
    </w:p>
    <w:p w14:paraId="71C65AF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（1）向约定的仲裁委员会申请仲裁；</w:t>
      </w:r>
    </w:p>
    <w:p w14:paraId="2AE657D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（2）向有管辖权的人民法院提起诉讼。</w:t>
      </w:r>
    </w:p>
    <w:p w14:paraId="06E2C80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p>
    <w:p w14:paraId="7704499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p>
    <w:p w14:paraId="62CFB15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p>
    <w:p w14:paraId="411B6A8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sectPr>
          <w:pgSz w:w="11906" w:h="16838"/>
          <w:pgMar w:top="1440" w:right="907" w:bottom="1440" w:left="1247" w:header="851" w:footer="992" w:gutter="0"/>
          <w:pgNumType w:fmt="decimal"/>
          <w:cols w:space="720" w:num="1"/>
          <w:formProt w:val="0"/>
          <w:docGrid w:linePitch="286" w:charSpace="0"/>
        </w:sectPr>
      </w:pPr>
    </w:p>
    <w:p w14:paraId="4EF161A6">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b/>
          <w:bCs w:val="0"/>
          <w:sz w:val="32"/>
          <w:szCs w:val="32"/>
        </w:rPr>
      </w:pPr>
      <w:r>
        <w:rPr>
          <w:rFonts w:hint="eastAsia"/>
          <w:b/>
          <w:bCs w:val="0"/>
          <w:sz w:val="32"/>
          <w:szCs w:val="32"/>
        </w:rPr>
        <w:t>第二节</w:t>
      </w:r>
      <w:r>
        <w:rPr>
          <w:rFonts w:hint="eastAsia"/>
          <w:b/>
          <w:bCs w:val="0"/>
          <w:sz w:val="32"/>
          <w:szCs w:val="32"/>
          <w:lang w:val="en-US" w:eastAsia="zh-CN"/>
        </w:rPr>
        <w:t xml:space="preserve"> </w:t>
      </w:r>
      <w:r>
        <w:rPr>
          <w:rFonts w:hint="eastAsia"/>
          <w:b/>
          <w:bCs w:val="0"/>
          <w:sz w:val="32"/>
          <w:szCs w:val="32"/>
        </w:rPr>
        <w:t>专用合同条款</w:t>
      </w:r>
    </w:p>
    <w:p w14:paraId="1C46349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p>
    <w:p w14:paraId="6D7E2272">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b/>
          <w:bCs w:val="0"/>
          <w:sz w:val="24"/>
        </w:rPr>
      </w:pPr>
      <w:r>
        <w:rPr>
          <w:rFonts w:hint="eastAsia"/>
          <w:b/>
          <w:bCs w:val="0"/>
          <w:sz w:val="24"/>
        </w:rPr>
        <w:t>1.一般约定</w:t>
      </w:r>
    </w:p>
    <w:p w14:paraId="21A02BA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1.1 词语定义</w:t>
      </w:r>
    </w:p>
    <w:p w14:paraId="57BFFA6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除专用合同条款另有约定外，合同中的下列词语应具有本款所赋予的含义。</w:t>
      </w:r>
    </w:p>
    <w:p w14:paraId="60716B7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1.1.1 合同</w:t>
      </w:r>
    </w:p>
    <w:p w14:paraId="086AAB8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1.1.1.1 合同文件（或称合同）：指合同协议书、中标通知书、投标函及其附录、专用合同条款、 招标文件（含澄清文件，如有）、通用合同条款、供货要求、清单报价表、图纸、中标材料质量标准的详细描述、相关服务计划，以及其他构成合同组成部分的文件。</w:t>
      </w:r>
    </w:p>
    <w:p w14:paraId="5364DB1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1.1.1</w:t>
      </w:r>
      <w:r>
        <w:rPr>
          <w:rFonts w:hint="eastAsia"/>
          <w:b w:val="0"/>
          <w:bCs/>
          <w:sz w:val="24"/>
          <w:lang w:val="en-US" w:eastAsia="zh-CN"/>
        </w:rPr>
        <w:t>4</w:t>
      </w:r>
      <w:r>
        <w:rPr>
          <w:rFonts w:hint="eastAsia"/>
          <w:b w:val="0"/>
          <w:bCs/>
          <w:sz w:val="24"/>
        </w:rPr>
        <w:t>.1 工程：</w:t>
      </w:r>
      <w:r>
        <w:rPr>
          <w:rFonts w:hint="eastAsia"/>
          <w:b w:val="0"/>
          <w:bCs/>
          <w:sz w:val="24"/>
          <w:lang w:eastAsia="zh-CN"/>
        </w:rPr>
        <w:t>茂名市电白区蓝湾海洋产业发展有限公司深水网箱养殖产业园项目（一期）网箱采购2标(第二次）</w:t>
      </w:r>
      <w:r>
        <w:rPr>
          <w:rFonts w:hint="eastAsia"/>
          <w:b w:val="0"/>
          <w:bCs/>
          <w:sz w:val="24"/>
        </w:rPr>
        <w:t>。</w:t>
      </w:r>
    </w:p>
    <w:p w14:paraId="260B6E9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1.1.1</w:t>
      </w:r>
      <w:r>
        <w:rPr>
          <w:rFonts w:hint="eastAsia"/>
          <w:b w:val="0"/>
          <w:bCs/>
          <w:sz w:val="24"/>
          <w:lang w:val="en-US" w:eastAsia="zh-CN"/>
        </w:rPr>
        <w:t>4</w:t>
      </w:r>
      <w:r>
        <w:rPr>
          <w:rFonts w:hint="eastAsia"/>
          <w:b w:val="0"/>
          <w:bCs/>
          <w:sz w:val="24"/>
        </w:rPr>
        <w:t>.2 施工场地（或称工地、施工现场） ：茂名市电白区晏镜岭东南侧约4.5公里处海域。</w:t>
      </w:r>
    </w:p>
    <w:p w14:paraId="531B172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1.3 合同文件的优先顺序</w:t>
      </w:r>
    </w:p>
    <w:p w14:paraId="3EB6F4F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（1）合同协议书；</w:t>
      </w:r>
    </w:p>
    <w:p w14:paraId="75931F9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（2）中标通知书；</w:t>
      </w:r>
    </w:p>
    <w:p w14:paraId="72C8930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（3）招标文件（含澄清文件，如有）；</w:t>
      </w:r>
    </w:p>
    <w:p w14:paraId="6B4D557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（4）投标函及其附录；</w:t>
      </w:r>
    </w:p>
    <w:p w14:paraId="15AC0B1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（5）专用合同条款；</w:t>
      </w:r>
    </w:p>
    <w:p w14:paraId="0ABFD7F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（6）通用合同条款；</w:t>
      </w:r>
    </w:p>
    <w:p w14:paraId="4AB5C17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（7）供货要求；</w:t>
      </w:r>
    </w:p>
    <w:p w14:paraId="03D9723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（8）清单报价表；</w:t>
      </w:r>
    </w:p>
    <w:p w14:paraId="2B08FC0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eastAsia="宋体"/>
          <w:b w:val="0"/>
          <w:bCs/>
          <w:sz w:val="24"/>
          <w:lang w:val="en-US" w:eastAsia="zh-CN"/>
        </w:rPr>
      </w:pPr>
      <w:r>
        <w:rPr>
          <w:rFonts w:hint="eastAsia"/>
          <w:b w:val="0"/>
          <w:bCs/>
          <w:sz w:val="24"/>
        </w:rPr>
        <w:t>（9）</w:t>
      </w:r>
      <w:r>
        <w:rPr>
          <w:rFonts w:hint="eastAsia"/>
          <w:b w:val="0"/>
          <w:bCs/>
          <w:sz w:val="24"/>
          <w:lang w:val="en-US" w:eastAsia="zh-CN"/>
        </w:rPr>
        <w:t>图纸</w:t>
      </w:r>
    </w:p>
    <w:p w14:paraId="43205E8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（10）中标材料质量标准的详细描述；</w:t>
      </w:r>
    </w:p>
    <w:p w14:paraId="738A413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w:t>
      </w:r>
      <w:r>
        <w:rPr>
          <w:rFonts w:hint="eastAsia"/>
          <w:b w:val="0"/>
          <w:bCs/>
          <w:sz w:val="24"/>
          <w:lang w:val="en-US" w:eastAsia="zh-CN"/>
        </w:rPr>
        <w:t>11</w:t>
      </w:r>
      <w:r>
        <w:rPr>
          <w:rFonts w:hint="eastAsia"/>
          <w:b w:val="0"/>
          <w:bCs/>
          <w:sz w:val="24"/>
        </w:rPr>
        <w:t>）相关服务计划；</w:t>
      </w:r>
    </w:p>
    <w:p w14:paraId="6E18B5C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w:t>
      </w:r>
      <w:r>
        <w:rPr>
          <w:rFonts w:hint="eastAsia"/>
          <w:b w:val="0"/>
          <w:bCs/>
          <w:sz w:val="24"/>
          <w:lang w:val="en-US" w:eastAsia="zh-CN"/>
        </w:rPr>
        <w:t>2</w:t>
      </w:r>
      <w:r>
        <w:rPr>
          <w:rFonts w:hint="eastAsia"/>
          <w:b w:val="0"/>
          <w:bCs/>
          <w:sz w:val="24"/>
        </w:rPr>
        <w:t>）其他合同文件：①双方在履行合同过程中形成的双方授权代表签署的会议纪要、备忘录、补充文件、变更和洽商等书面形式的文件构成本合同的组成部分。②当合同文件的条款内容含糊不清或不相一致，并且不能依据合同约定的解释顺序阐述清楚时，在不影响工程正常进行的情况下， 由当事人协商解决，当事人经协商未能达成，根据专用条款 17.争议的解决的约定解决。</w:t>
      </w:r>
    </w:p>
    <w:p w14:paraId="31DC0B9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p>
    <w:p w14:paraId="7351A28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1.5 联络</w:t>
      </w:r>
    </w:p>
    <w:p w14:paraId="477C331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1.5.1</w:t>
      </w:r>
      <w:r>
        <w:rPr>
          <w:rFonts w:hint="eastAsia"/>
          <w:b w:val="0"/>
          <w:bCs/>
          <w:sz w:val="24"/>
          <w:lang w:val="en-US" w:eastAsia="zh-CN"/>
        </w:rPr>
        <w:t xml:space="preserve">  </w:t>
      </w:r>
      <w:r>
        <w:rPr>
          <w:rFonts w:hint="eastAsia"/>
          <w:b w:val="0"/>
          <w:bCs/>
          <w:sz w:val="24"/>
        </w:rPr>
        <w:t>买</w:t>
      </w:r>
      <w:r>
        <w:rPr>
          <w:rFonts w:hint="eastAsia"/>
          <w:b w:val="0"/>
          <w:bCs/>
          <w:sz w:val="24"/>
          <w:lang w:val="en-US" w:eastAsia="zh-CN"/>
        </w:rPr>
        <w:t>卖双</w:t>
      </w:r>
      <w:r>
        <w:rPr>
          <w:rFonts w:hint="eastAsia"/>
          <w:b w:val="0"/>
          <w:bCs/>
          <w:sz w:val="24"/>
        </w:rPr>
        <w:t>方联络人</w:t>
      </w:r>
    </w:p>
    <w:p w14:paraId="6782805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买方联络人</w:t>
      </w:r>
    </w:p>
    <w:p w14:paraId="32C4A4A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 xml:space="preserve">姓名：                 电话：                 邮箱：                 </w:t>
      </w:r>
    </w:p>
    <w:p w14:paraId="1B5BBA8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卖方联络人</w:t>
      </w:r>
    </w:p>
    <w:p w14:paraId="294BAC2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姓名：</w:t>
      </w:r>
      <w:r>
        <w:rPr>
          <w:rFonts w:hint="eastAsia"/>
          <w:b w:val="0"/>
          <w:bCs/>
          <w:sz w:val="24"/>
        </w:rPr>
        <w:tab/>
      </w:r>
      <w:r>
        <w:rPr>
          <w:rFonts w:hint="eastAsia"/>
          <w:b w:val="0"/>
          <w:bCs/>
          <w:sz w:val="24"/>
        </w:rPr>
        <w:t xml:space="preserve"> </w:t>
      </w:r>
      <w:r>
        <w:rPr>
          <w:rFonts w:hint="eastAsia"/>
          <w:b w:val="0"/>
          <w:bCs/>
          <w:sz w:val="24"/>
          <w:lang w:val="en-US" w:eastAsia="zh-CN"/>
        </w:rPr>
        <w:t xml:space="preserve">              </w:t>
      </w:r>
      <w:r>
        <w:rPr>
          <w:rFonts w:hint="eastAsia"/>
          <w:b w:val="0"/>
          <w:bCs/>
          <w:sz w:val="24"/>
        </w:rPr>
        <w:t>电话：</w:t>
      </w:r>
      <w:r>
        <w:rPr>
          <w:rFonts w:hint="eastAsia"/>
          <w:b w:val="0"/>
          <w:bCs/>
          <w:sz w:val="24"/>
          <w:lang w:val="en-US" w:eastAsia="zh-CN"/>
        </w:rPr>
        <w:t xml:space="preserve">              </w:t>
      </w:r>
      <w:r>
        <w:rPr>
          <w:rFonts w:hint="eastAsia"/>
          <w:b w:val="0"/>
          <w:bCs/>
          <w:sz w:val="24"/>
        </w:rPr>
        <w:tab/>
      </w:r>
      <w:r>
        <w:rPr>
          <w:rFonts w:hint="eastAsia"/>
          <w:b w:val="0"/>
          <w:bCs/>
          <w:sz w:val="24"/>
        </w:rPr>
        <w:t xml:space="preserve"> 邮箱：                 </w:t>
      </w:r>
    </w:p>
    <w:p w14:paraId="2C1C9CF8">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b/>
          <w:bCs w:val="0"/>
          <w:sz w:val="24"/>
        </w:rPr>
      </w:pPr>
    </w:p>
    <w:p w14:paraId="4276A59F">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b/>
          <w:bCs w:val="0"/>
          <w:sz w:val="24"/>
        </w:rPr>
      </w:pPr>
      <w:r>
        <w:rPr>
          <w:rFonts w:hint="eastAsia"/>
          <w:b/>
          <w:bCs w:val="0"/>
          <w:sz w:val="24"/>
        </w:rPr>
        <w:t>2.合同范围</w:t>
      </w:r>
    </w:p>
    <w:p w14:paraId="60A6245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本项目</w:t>
      </w:r>
      <w:r>
        <w:rPr>
          <w:rFonts w:hint="eastAsia"/>
          <w:b w:val="0"/>
          <w:bCs/>
          <w:sz w:val="24"/>
          <w:lang w:eastAsia="zh-CN"/>
        </w:rPr>
        <w:t>茂名市电白区蓝湾海洋产业发展有限公司深水网箱养殖产业园项目（一期）网箱采购2标(第二次）</w:t>
      </w:r>
      <w:r>
        <w:rPr>
          <w:rFonts w:hint="eastAsia"/>
          <w:b w:val="0"/>
          <w:bCs/>
          <w:sz w:val="24"/>
        </w:rPr>
        <w:t>网箱及配套设施设备的设计、制作、 运输、安装、调试、培训、验收交付等相关服务， 以及为上述内容所发生的一切服务、人工、 材料、竣工所需相关资料与操作维护手册等。</w:t>
      </w:r>
    </w:p>
    <w:p w14:paraId="502EA4F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p>
    <w:p w14:paraId="20B94FA4">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2"/>
        <w:rPr>
          <w:rFonts w:hint="eastAsia"/>
          <w:b/>
          <w:bCs w:val="0"/>
          <w:sz w:val="24"/>
        </w:rPr>
      </w:pPr>
      <w:r>
        <w:rPr>
          <w:rFonts w:hint="eastAsia"/>
          <w:b/>
          <w:bCs w:val="0"/>
          <w:sz w:val="24"/>
        </w:rPr>
        <w:t>3.合同价格与支付</w:t>
      </w:r>
    </w:p>
    <w:p w14:paraId="1D825A9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3.1 合同价格</w:t>
      </w:r>
    </w:p>
    <w:p w14:paraId="2B119E8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3.1.1 合同价包括卖方为完成合同全部义务应承担的一切费用，包括但不限于设计、生产 前准备、制造、 内（外）防腐、测试、供货、运输、装卸、安装、质量保修期内保修、售后及技术服务， 以及为上述内容所发生的一切服务、人工、材料、措施、税金、竣工所需相关资料与操作维护手册等。</w:t>
      </w:r>
    </w:p>
    <w:p w14:paraId="3DEEA69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3.1.2 本合同为固定</w:t>
      </w:r>
      <w:r>
        <w:rPr>
          <w:rFonts w:hint="eastAsia"/>
          <w:b w:val="0"/>
          <w:bCs/>
          <w:sz w:val="24"/>
          <w:lang w:val="en-US" w:eastAsia="zh-CN"/>
        </w:rPr>
        <w:t>单</w:t>
      </w:r>
      <w:r>
        <w:rPr>
          <w:rFonts w:hint="eastAsia"/>
          <w:b w:val="0"/>
          <w:bCs/>
          <w:sz w:val="24"/>
        </w:rPr>
        <w:t>价合同。</w:t>
      </w:r>
    </w:p>
    <w:p w14:paraId="6E7FB77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3.1.3 合同价格应包括但不限于所订设备（包括附属设备等）、图纸二次优化、生产前的 准备、生产、包装、运输装卸、售后及技术服务、现场安装等。</w:t>
      </w:r>
    </w:p>
    <w:p w14:paraId="0B188C4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3.1.4 合同外清单价格：本项目在实施过程中因设计变更等原因，需要对货物种类或者数 量进行增减，买方有权根据实际需要对货物进行相应调整，卖方不得因此提出索赔，增减货物价格由双方参考中标价、工程所在地政府或周边城市发布的指导价格或造价信息网进行协商， 以补充协议或函件形式予以确认。</w:t>
      </w:r>
    </w:p>
    <w:p w14:paraId="4A8BCA2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p>
    <w:p w14:paraId="6582085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color w:val="auto"/>
          <w:sz w:val="24"/>
        </w:rPr>
      </w:pPr>
      <w:r>
        <w:rPr>
          <w:rFonts w:hint="eastAsia"/>
          <w:b w:val="0"/>
          <w:bCs/>
          <w:color w:val="auto"/>
          <w:sz w:val="24"/>
        </w:rPr>
        <w:t>3.2 合同价款的支付</w:t>
      </w:r>
    </w:p>
    <w:p w14:paraId="6A85727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color w:val="auto"/>
          <w:sz w:val="24"/>
        </w:rPr>
      </w:pPr>
      <w:r>
        <w:rPr>
          <w:rFonts w:hint="eastAsia"/>
          <w:b w:val="0"/>
          <w:bCs/>
          <w:color w:val="auto"/>
          <w:sz w:val="24"/>
        </w:rPr>
        <w:t>3.2.1 预付款</w:t>
      </w:r>
    </w:p>
    <w:p w14:paraId="74888A0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color w:val="auto"/>
          <w:sz w:val="24"/>
        </w:rPr>
      </w:pPr>
      <w:r>
        <w:rPr>
          <w:rFonts w:hint="eastAsia"/>
          <w:b w:val="0"/>
          <w:bCs/>
          <w:color w:val="auto"/>
          <w:sz w:val="24"/>
        </w:rPr>
        <w:t xml:space="preserve">合同生效后，卖方向买方出具合同金额 </w:t>
      </w:r>
      <w:r>
        <w:rPr>
          <w:rFonts w:hint="eastAsia"/>
          <w:b w:val="0"/>
          <w:bCs/>
          <w:color w:val="auto"/>
          <w:sz w:val="24"/>
          <w:lang w:val="en-US" w:eastAsia="zh-CN"/>
        </w:rPr>
        <w:t>10</w:t>
      </w:r>
      <w:r>
        <w:rPr>
          <w:rFonts w:hint="eastAsia"/>
          <w:b w:val="0"/>
          <w:bCs/>
          <w:color w:val="auto"/>
          <w:sz w:val="24"/>
        </w:rPr>
        <w:t xml:space="preserve">%履约保证金（或保函），在卖方向买方出具前述 </w:t>
      </w:r>
      <w:r>
        <w:rPr>
          <w:rFonts w:hint="eastAsia"/>
          <w:b w:val="0"/>
          <w:bCs/>
          <w:color w:val="auto"/>
          <w:sz w:val="24"/>
          <w:lang w:val="en-US" w:eastAsia="zh-CN"/>
        </w:rPr>
        <w:t>10</w:t>
      </w:r>
      <w:r>
        <w:rPr>
          <w:rFonts w:hint="eastAsia"/>
          <w:b w:val="0"/>
          <w:bCs/>
          <w:color w:val="auto"/>
          <w:sz w:val="24"/>
        </w:rPr>
        <w:t>%履约保证金（或保函）并提供 30%预付款发票之日</w:t>
      </w:r>
      <w:r>
        <w:rPr>
          <w:rFonts w:hint="eastAsia"/>
          <w:b w:val="0"/>
          <w:bCs/>
          <w:color w:val="auto"/>
          <w:sz w:val="24"/>
          <w:lang w:val="en-US" w:eastAsia="zh-CN"/>
        </w:rPr>
        <w:t>后</w:t>
      </w:r>
      <w:r>
        <w:rPr>
          <w:rFonts w:hint="eastAsia"/>
          <w:b w:val="0"/>
          <w:bCs/>
          <w:color w:val="auto"/>
          <w:sz w:val="24"/>
        </w:rPr>
        <w:t>，买方向卖方支付合同金额的 30%作为预付款。</w:t>
      </w:r>
    </w:p>
    <w:p w14:paraId="0D79C80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color w:val="auto"/>
          <w:sz w:val="24"/>
        </w:rPr>
      </w:pPr>
      <w:r>
        <w:rPr>
          <w:rFonts w:hint="eastAsia"/>
          <w:b w:val="0"/>
          <w:bCs/>
          <w:color w:val="auto"/>
          <w:sz w:val="24"/>
        </w:rPr>
        <w:t>买方支付预付款后，如卖方未履行合同义务，则买方有权收回预付款，</w:t>
      </w:r>
      <w:r>
        <w:rPr>
          <w:rFonts w:hint="eastAsia"/>
          <w:b w:val="0"/>
          <w:bCs/>
          <w:color w:val="auto"/>
          <w:sz w:val="24"/>
          <w:lang w:val="en-US" w:eastAsia="zh-CN"/>
        </w:rPr>
        <w:t>卖方</w:t>
      </w:r>
      <w:r>
        <w:rPr>
          <w:rFonts w:hint="eastAsia"/>
          <w:b w:val="0"/>
          <w:bCs/>
          <w:color w:val="auto"/>
          <w:sz w:val="24"/>
        </w:rPr>
        <w:t>需承担违约责任；如卖方依约履行了合同义务，则预付款抵作合同价款。</w:t>
      </w:r>
    </w:p>
    <w:p w14:paraId="5E05B41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color w:val="auto"/>
          <w:sz w:val="24"/>
        </w:rPr>
      </w:pPr>
      <w:r>
        <w:rPr>
          <w:rFonts w:hint="eastAsia"/>
          <w:b w:val="0"/>
          <w:bCs/>
          <w:color w:val="auto"/>
          <w:sz w:val="24"/>
        </w:rPr>
        <w:t>3.2.2 交货款</w:t>
      </w:r>
    </w:p>
    <w:p w14:paraId="68F41CF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color w:val="auto"/>
          <w:sz w:val="24"/>
        </w:rPr>
      </w:pPr>
      <w:r>
        <w:rPr>
          <w:rFonts w:hint="eastAsia"/>
          <w:b w:val="0"/>
          <w:bCs/>
          <w:color w:val="auto"/>
          <w:sz w:val="24"/>
        </w:rPr>
        <w:t xml:space="preserve">卖方将该项目所有设备材料运送至买方指定地点，买方清点无误后，并提交相关支付申请款项资料（包括不限于项目进度情况说明、材料及设备出厂质检报告及合格证书、发票等）经买方审核无误后，买方支付合同金额的 </w:t>
      </w:r>
      <w:r>
        <w:rPr>
          <w:rFonts w:hint="eastAsia"/>
          <w:b w:val="0"/>
          <w:bCs/>
          <w:color w:val="auto"/>
          <w:sz w:val="24"/>
          <w:lang w:val="en-US" w:eastAsia="zh-CN"/>
        </w:rPr>
        <w:t>30</w:t>
      </w:r>
      <w:r>
        <w:rPr>
          <w:rFonts w:hint="eastAsia"/>
          <w:b w:val="0"/>
          <w:bCs/>
          <w:color w:val="auto"/>
          <w:sz w:val="24"/>
        </w:rPr>
        <w:t>%。</w:t>
      </w:r>
    </w:p>
    <w:p w14:paraId="651367A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color w:val="auto"/>
          <w:sz w:val="24"/>
        </w:rPr>
      </w:pPr>
      <w:r>
        <w:rPr>
          <w:rFonts w:hint="eastAsia"/>
          <w:b w:val="0"/>
          <w:bCs/>
          <w:color w:val="auto"/>
          <w:sz w:val="24"/>
        </w:rPr>
        <w:t>3.2.3 验收款</w:t>
      </w:r>
    </w:p>
    <w:p w14:paraId="6ABF835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color w:val="auto"/>
          <w:sz w:val="24"/>
        </w:rPr>
      </w:pPr>
      <w:r>
        <w:rPr>
          <w:rFonts w:hint="eastAsia"/>
          <w:b w:val="0"/>
          <w:bCs/>
          <w:color w:val="auto"/>
          <w:sz w:val="24"/>
        </w:rPr>
        <w:t>卖方按约完成合同范围内设备及配套设施设备安装调试的全部相关工作，且项目完工资料完备，标的物全部到达指定交货地点，并全部安装调试经买方验收合格，签订交付验收报告且竣工结算办理完成后，买方支付</w:t>
      </w:r>
      <w:r>
        <w:rPr>
          <w:rFonts w:hint="eastAsia"/>
          <w:b w:val="0"/>
          <w:bCs/>
          <w:color w:val="auto"/>
          <w:sz w:val="24"/>
          <w:lang w:val="en-US" w:eastAsia="zh-CN"/>
        </w:rPr>
        <w:t>项目审定结算价</w:t>
      </w:r>
      <w:r>
        <w:rPr>
          <w:rFonts w:hint="eastAsia"/>
          <w:b w:val="0"/>
          <w:bCs/>
          <w:color w:val="auto"/>
          <w:sz w:val="24"/>
        </w:rPr>
        <w:t>的</w:t>
      </w:r>
      <w:r>
        <w:rPr>
          <w:rFonts w:hint="eastAsia"/>
          <w:b w:val="0"/>
          <w:bCs/>
          <w:color w:val="auto"/>
          <w:sz w:val="24"/>
          <w:lang w:val="en-US" w:eastAsia="zh-CN"/>
        </w:rPr>
        <w:t>32%作为验收款</w:t>
      </w:r>
      <w:r>
        <w:rPr>
          <w:rFonts w:hint="eastAsia"/>
          <w:b w:val="0"/>
          <w:bCs/>
          <w:color w:val="auto"/>
          <w:sz w:val="24"/>
        </w:rPr>
        <w:t>。</w:t>
      </w:r>
    </w:p>
    <w:p w14:paraId="0F76F82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color w:val="auto"/>
          <w:sz w:val="24"/>
        </w:rPr>
      </w:pPr>
      <w:r>
        <w:rPr>
          <w:rFonts w:hint="eastAsia"/>
          <w:b w:val="0"/>
          <w:bCs/>
          <w:color w:val="auto"/>
          <w:sz w:val="24"/>
        </w:rPr>
        <w:t>3.2.4 结清款</w:t>
      </w:r>
    </w:p>
    <w:p w14:paraId="5672492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color w:val="auto"/>
          <w:sz w:val="24"/>
        </w:rPr>
      </w:pPr>
      <w:r>
        <w:rPr>
          <w:rFonts w:hint="eastAsia"/>
          <w:b w:val="0"/>
          <w:bCs/>
          <w:color w:val="auto"/>
          <w:sz w:val="24"/>
        </w:rPr>
        <w:t>质量保证期届满后，买方在收到卖方提交的买方签署的质量保证期届满证书后，向卖方支付项目审定结算价的 8%。付款前卖方应向买方出具等额发票。</w:t>
      </w:r>
    </w:p>
    <w:p w14:paraId="796FC8F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color w:val="auto"/>
          <w:sz w:val="24"/>
        </w:rPr>
      </w:pPr>
      <w:r>
        <w:rPr>
          <w:rFonts w:hint="eastAsia"/>
          <w:b w:val="0"/>
          <w:bCs/>
          <w:color w:val="auto"/>
          <w:sz w:val="24"/>
        </w:rPr>
        <w:t>本合同付款方式为银行转账。</w:t>
      </w:r>
    </w:p>
    <w:p w14:paraId="293ECB2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p>
    <w:p w14:paraId="321825E7">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b/>
          <w:bCs w:val="0"/>
          <w:sz w:val="24"/>
        </w:rPr>
      </w:pPr>
      <w:r>
        <w:rPr>
          <w:rFonts w:hint="eastAsia"/>
          <w:b/>
          <w:bCs w:val="0"/>
          <w:sz w:val="24"/>
        </w:rPr>
        <w:t>4. 监造及交货前检验</w:t>
      </w:r>
    </w:p>
    <w:p w14:paraId="213800B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4.1 监造</w:t>
      </w:r>
    </w:p>
    <w:p w14:paraId="122F1D7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卖方应在合同签订 5 天内提供设备二次安装图，15 天内完成关键设备二次深化设计及控制原理图并报买方审核确认，同时应将本招标文件涉及的材料设备品牌，型号，规格、交货计划等报买方审批，审批通过后方可执行采购工作。</w:t>
      </w:r>
    </w:p>
    <w:p w14:paraId="3965C5C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卖方提供的材料、设备必须满足招标文件、投标文件且符合设计和规范要求，必须向买方提供厂家批号、出厂合格证、质量检验书等资料证明；卖方应向买方提交其负责提供的材料和工程设备的质量证明文件，并满足合同约定的质量标准</w:t>
      </w:r>
      <w:r>
        <w:rPr>
          <w:rFonts w:hint="eastAsia"/>
          <w:b w:val="0"/>
          <w:bCs/>
          <w:sz w:val="24"/>
          <w:lang w:eastAsia="zh-CN"/>
        </w:rPr>
        <w:t>，</w:t>
      </w:r>
      <w:r>
        <w:rPr>
          <w:rFonts w:hint="eastAsia"/>
          <w:b w:val="0"/>
          <w:bCs/>
          <w:sz w:val="24"/>
        </w:rPr>
        <w:t>买方可随时对卖方所购买的材料、设备进行监督、检查。</w:t>
      </w:r>
    </w:p>
    <w:p w14:paraId="3672FCC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4.1.2 若发生以下情况时，买方相关人员的交通，食宿费用由卖方承担。</w:t>
      </w:r>
    </w:p>
    <w:p w14:paraId="75ED813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①买方派出监造人员到生产制造现场进行监造；</w:t>
      </w:r>
    </w:p>
    <w:p w14:paraId="78A6EEF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②买方参与合同货物交货前，前往生产制造现场或仓库检验；</w:t>
      </w:r>
    </w:p>
    <w:p w14:paraId="3420DBC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③买方有权派遣人员到卖方的工厂现场监督生产过程，卖方有义务提供必要的条件并接受买方的监督。买方派遣的人员（如：第三方检测机构人员）可 随时对工厂的生产原材料及生产过程进行“飞行检查 ”，卖方应无条件配合，并提供必要的办公设备及生活场所。</w:t>
      </w:r>
    </w:p>
    <w:p w14:paraId="72A38C3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p>
    <w:p w14:paraId="45A36AC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4.2 交货前检验</w:t>
      </w:r>
    </w:p>
    <w:p w14:paraId="2D6BE68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4.2.1 合同设备交货前，卖方应会同买方代表根据合同约定对合同设备进行交货前检验并 出具交货前检验记录，有关费用由卖方承担。卖方应免费为买方代表提供工作条件及便利，包括但不限于必要的办公场所、技术资料、检测工具及出入许可等。买方代表的交通、食宿费用 由买方承担。</w:t>
      </w:r>
    </w:p>
    <w:p w14:paraId="07E2129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对卖方提供的材料和工程设备，卖方应会同买方进行检验和交货验收，查验材料合格证明和产品合格证书，并按合同约定和买方指示，进行材料的抽样检验和工程设备的检验测试，检 验和测试结果应提交买方，所需费用由卖方承担。卖方提供的材料和工程设备使用前，若卖方 在未经买方同意的情况下使用，买方有权要求卖方拆除返工，所有损失由卖方承担，工期不顺延。买方已经参加验收并同意使用的，不免除卖方对该批材料设备质量问题的责任。</w:t>
      </w:r>
    </w:p>
    <w:p w14:paraId="3C265A2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如果由于卖方的责任造成任何设备缺陷或损坏，或不符合本项目的要求，应由卖方免费更换或修复。</w:t>
      </w:r>
    </w:p>
    <w:p w14:paraId="5F201CC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p>
    <w:p w14:paraId="66C7A8B1">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b/>
          <w:bCs w:val="0"/>
          <w:sz w:val="24"/>
        </w:rPr>
      </w:pPr>
      <w:r>
        <w:rPr>
          <w:rFonts w:hint="eastAsia"/>
          <w:b/>
          <w:bCs w:val="0"/>
          <w:sz w:val="24"/>
        </w:rPr>
        <w:t>5. 包装、标记、运输和交付</w:t>
      </w:r>
    </w:p>
    <w:p w14:paraId="3B184D2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5.3 运输</w:t>
      </w:r>
    </w:p>
    <w:p w14:paraId="18685CB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5.3.5 卖方需自行调查工程所在地交通现状，根据运输条件自行制定运输方案，承担因运输材料和设备需要的包装和加固措施（如：米字支撑架及焊接、拆卸费用）费用及磨损修复，以及对现有道路、桥梁的加固、损坏维修等费用。</w:t>
      </w:r>
    </w:p>
    <w:p w14:paraId="3CE043B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5.3.6 运输过程中，将本工程标的货物运输、装卸等另行委托第三方机构实施的，产生相关的费用纠纷（如拖欠运输、装卸费等），影响工程施工进度的，买方有权从进度款中扣取相关费用（如拖欠运输、装卸费）并函告卖方，待理清后支付。</w:t>
      </w:r>
    </w:p>
    <w:p w14:paraId="33EA8AC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5.3.7 卖方交货期间，相关的机械应提前安排，不应影响买方施工作业。</w:t>
      </w:r>
    </w:p>
    <w:p w14:paraId="6EA2B69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5.3.8 卖方负责其派出人员的所有费用，并购买派出人员人身意外保险，并对派出的运输工具负全部责任。</w:t>
      </w:r>
    </w:p>
    <w:p w14:paraId="576CFCB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5.4 交付</w:t>
      </w:r>
    </w:p>
    <w:p w14:paraId="7010F23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5.4.1 卖方应根据合同约定的交付时间和批次在施工场地指定卸货地点（由买方指定）将合同设备及材料交付给买方，如未按要求存放产生的二次搬运费由卖方承担。买方对卖方交付的包装的合同设备的外观及件数进行清点核验后应签发收货清单，卖方自负风险和费用进行卸货。买方签发收货清单不代表对合同设备的接受，双方还应按合同约定进行后续的检验和验收。</w:t>
      </w:r>
    </w:p>
    <w:p w14:paraId="5B05DAE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5.4.4 根据本工程施工进度及买方需求分批供应，交货时间及数量等根据买方的通知，具体交货时间以《设备供应计划表》 (包括设备规格、数量、交货时间和交货地点)为准，该时间视为合同约定的交货时间。《设备供应计划表》约定的交付时间应满足现场安装施工进度要求。</w:t>
      </w:r>
    </w:p>
    <w:p w14:paraId="48B60EF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 xml:space="preserve">5.4.5《设备供应计划表》中的交货时间视为合同交货期，卖方必须按《设备供应计划表》交货(包括应提交的技术资料)，如有延误则卖方应当向买方支付误期违约金 </w:t>
      </w:r>
      <w:r>
        <w:rPr>
          <w:rFonts w:hint="eastAsia"/>
          <w:b w:val="0"/>
          <w:bCs/>
          <w:sz w:val="24"/>
          <w:lang w:val="en-US" w:eastAsia="zh-CN"/>
        </w:rPr>
        <w:t>1</w:t>
      </w:r>
      <w:r>
        <w:rPr>
          <w:rFonts w:hint="eastAsia"/>
          <w:b w:val="0"/>
          <w:bCs/>
          <w:sz w:val="24"/>
        </w:rPr>
        <w:t>000 元/ 天。</w:t>
      </w:r>
    </w:p>
    <w:p w14:paraId="362F103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5.4.6 因工程进度改变造成货物的交货时间和数量的变更，这种变更不属买方违约。特殊情况下买方将以书面形式通知卖方缩短备货时间，卖方应予配合且不增加任何费用。</w:t>
      </w:r>
    </w:p>
    <w:p w14:paraId="3EC71AD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5.4.7 设备到场后的存放地点由买方指定。</w:t>
      </w:r>
    </w:p>
    <w:p w14:paraId="619AAC2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p>
    <w:p w14:paraId="4E97A71C">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b/>
          <w:bCs w:val="0"/>
          <w:sz w:val="24"/>
        </w:rPr>
      </w:pPr>
      <w:r>
        <w:rPr>
          <w:rFonts w:hint="eastAsia"/>
          <w:b/>
          <w:bCs w:val="0"/>
          <w:sz w:val="24"/>
        </w:rPr>
        <w:t>6.开箱检验、安装、调试、考核、验收</w:t>
      </w:r>
    </w:p>
    <w:p w14:paraId="0BA1B18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6.1 开箱检验</w:t>
      </w:r>
    </w:p>
    <w:p w14:paraId="446F34B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6.1.1 开箱检验时间：合同设备交付后应进行开箱检验，即合同设备数量及外观检验。开 箱检验在下列任一种时间进行：</w:t>
      </w:r>
    </w:p>
    <w:p w14:paraId="3081FD3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（1）合同设备交付时；</w:t>
      </w:r>
    </w:p>
    <w:p w14:paraId="48F3CA9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（2）合同设备交付后的一定期限内。</w:t>
      </w:r>
    </w:p>
    <w:p w14:paraId="2C01A1B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如开箱检验不在合同设备交付时进行，买方应在开箱检验 3 日前将开箱检验的时间和地点通知卖方。</w:t>
      </w:r>
    </w:p>
    <w:p w14:paraId="0F4CD9E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6.1.2 开箱检验地点：茂名市电白区晏镜岭东南侧约4.5公里处海域。</w:t>
      </w:r>
    </w:p>
    <w:p w14:paraId="2354A13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6.1.9 检验和验收的资料包括不仅限于：</w:t>
      </w:r>
    </w:p>
    <w:p w14:paraId="18BFB4D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①设备合格证及产品检验报告；②其他</w:t>
      </w:r>
      <w:r>
        <w:rPr>
          <w:rFonts w:hint="eastAsia"/>
          <w:b w:val="0"/>
          <w:bCs/>
          <w:sz w:val="24"/>
          <w:lang w:val="en-US" w:eastAsia="zh-CN"/>
        </w:rPr>
        <w:t>买方</w:t>
      </w:r>
      <w:r>
        <w:rPr>
          <w:rFonts w:hint="eastAsia"/>
          <w:b w:val="0"/>
          <w:bCs/>
          <w:sz w:val="24"/>
        </w:rPr>
        <w:t>要求的验收资料。</w:t>
      </w:r>
    </w:p>
    <w:p w14:paraId="4F6DFD0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6.1.10 工厂检验：买方有权对其采购的产品提出工厂检验要求。如果买方提出工厂验收要 求，则卖方应在测试前 7 天通知买方代表参加工厂验收，验收合格后方能交付运输。但买方在制造厂的检查、检验和测试，并不代表该批货物的质量合格。若该批货物送至买方或安装使用后，买方发现该批货物质量存在问题，买方有权以 6.1.12 条方式对货物质量进行检验。</w:t>
      </w:r>
    </w:p>
    <w:p w14:paraId="06A6411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6.1.11 到货验收：货物到达现场后，由买方、卖方按照发货清单和合同的相关规定，对货物的外观进行检查、资料和规格数量的清点，符合要求后，完成初步验收手续。买方有权在货物到达交货地点后对货物进行检测，且不会因为货物在运输前通过了买方检测和认可而受到限制或放弃，相关检验费用由卖方负责。如检验结果与要求不符，买方有权更换或退货并要求卖方赔偿买方的所有损失（含工期延误造成的费用），并可根据情况取消供货单位的供货资格。 到货验收合格并不代表货物的最终合格，若在整个使用过程中发现货物存在质量问题，买方仍 有权要求卖方承担责任。</w:t>
      </w:r>
    </w:p>
    <w:p w14:paraId="2EFC5FC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6.1.12 质量争议：如果双方对货物质量发生争议，则由买方指定的第三方检验机构进行检验， 以其检验结果为准。检验结果达到技术要求即认为合格，检验费用由买方承担；检验结果达不到技术要求即认为不合格，检验费用由卖方承担，买方有权拒绝接受该批货物并有权要求更换，由此产生的一切责任由卖方承担（包括但不限于本合同约定的违约责任和赔偿损失的责任）。</w:t>
      </w:r>
    </w:p>
    <w:p w14:paraId="37AD03A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6.1.13 卖方提供的货物或主要配件技术标准必须满足或优于或相当于本招标文件的技术 参数及品牌要求，否则买方有权不予验收并退回货物或配件且卖方必须按买方规定的时间进行替换，否则买方有权要求卖方支付违约金或解除合同，承担相应的违约责任。</w:t>
      </w:r>
    </w:p>
    <w:p w14:paraId="238ECC1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p>
    <w:p w14:paraId="6C49655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6.2 安装、调试</w:t>
      </w:r>
    </w:p>
    <w:p w14:paraId="34625C4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6.2.1 开箱检验完成后，双方应对合同设备进行安装、调试， 以使其具备考核的状态。安 装、调试应按照下列方式进行：</w:t>
      </w:r>
    </w:p>
    <w:p w14:paraId="759042B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（1）卖方负责对合同设备的安装、调试的工作。</w:t>
      </w:r>
    </w:p>
    <w:p w14:paraId="108B294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 xml:space="preserve">（2）设备单机及联合调试由卖方主导，买方配合，相关费用已包含在合同总价内由卖方承担。调试期间，卖方应委派技术人员常驻现场予以配合。负责协调其供应设备的厂家技术 人员在调试前 24 小时到场，若未能按时到场，卖方需支付违约金 </w:t>
      </w:r>
      <w:r>
        <w:rPr>
          <w:rFonts w:hint="eastAsia"/>
          <w:b w:val="0"/>
          <w:bCs/>
          <w:sz w:val="24"/>
          <w:lang w:val="en-US" w:eastAsia="zh-CN"/>
        </w:rPr>
        <w:t>1</w:t>
      </w:r>
      <w:r>
        <w:rPr>
          <w:rFonts w:hint="eastAsia"/>
          <w:b w:val="0"/>
          <w:bCs/>
          <w:sz w:val="24"/>
        </w:rPr>
        <w:t>万元/次。</w:t>
      </w:r>
    </w:p>
    <w:p w14:paraId="6DF104D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（3）安装、调试中合同设备运行需要的用水、用电、其他动力和原材料（如需要）等均由卖方承担。</w:t>
      </w:r>
    </w:p>
    <w:p w14:paraId="094FFF0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6.2.5 卖方应按合同约定的内容和期限，编制详细的进度计划，包括制造、检验、运达现 场、施工、安装、试验的各个阶段的预期时间。卖方还应根据合同进度计划，编制更为详细的分阶段或分项进度计划。</w:t>
      </w:r>
    </w:p>
    <w:p w14:paraId="375B5D8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6.2.6卖方投入的现场人员必须健全、专业配套、有足够的施工经验、确保各个工作面正 常施工。同时结合工程施工的进度需求，买方可根据现场实际情况，要求卖方增加相关有经验的管理人员和技术人员人数。</w:t>
      </w:r>
    </w:p>
    <w:p w14:paraId="15F1BA3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6.2.</w:t>
      </w:r>
      <w:r>
        <w:rPr>
          <w:rFonts w:hint="eastAsia"/>
          <w:b w:val="0"/>
          <w:bCs/>
          <w:sz w:val="24"/>
          <w:lang w:val="en-US" w:eastAsia="zh-CN"/>
        </w:rPr>
        <w:t>7</w:t>
      </w:r>
      <w:r>
        <w:rPr>
          <w:rFonts w:hint="eastAsia"/>
          <w:b w:val="0"/>
          <w:bCs/>
          <w:sz w:val="24"/>
        </w:rPr>
        <w:t>卖方安排的主要管理人员和技术人员应相对稳定，更换主要管理人员和技术人员的，应取得买方的同意。</w:t>
      </w:r>
    </w:p>
    <w:p w14:paraId="2DBB881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6.2.</w:t>
      </w:r>
      <w:r>
        <w:rPr>
          <w:rFonts w:hint="eastAsia"/>
          <w:b w:val="0"/>
          <w:bCs/>
          <w:sz w:val="24"/>
          <w:lang w:val="en-US" w:eastAsia="zh-CN"/>
        </w:rPr>
        <w:t>8</w:t>
      </w:r>
      <w:r>
        <w:rPr>
          <w:rFonts w:hint="eastAsia"/>
          <w:b w:val="0"/>
          <w:bCs/>
          <w:sz w:val="24"/>
        </w:rPr>
        <w:t xml:space="preserve"> 卖方应对其项目负责人和其他人员进行有效管理。买方要求撤换不能胜任本职工 作、行为不端或玩忽职守的卖方项目负责人和其他人员的，卖方应予以撤换。</w:t>
      </w:r>
    </w:p>
    <w:p w14:paraId="5DB5FC4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6.2.</w:t>
      </w:r>
      <w:r>
        <w:rPr>
          <w:rFonts w:hint="eastAsia"/>
          <w:b w:val="0"/>
          <w:bCs/>
          <w:sz w:val="24"/>
          <w:lang w:val="en-US" w:eastAsia="zh-CN"/>
        </w:rPr>
        <w:t>9</w:t>
      </w:r>
      <w:r>
        <w:rPr>
          <w:rFonts w:hint="eastAsia"/>
          <w:b w:val="0"/>
          <w:bCs/>
          <w:sz w:val="24"/>
        </w:rPr>
        <w:t>卖方必须派有专职安全员负责本项目的安全工作。作业时应采取严格的安全防护措 施，确保施工期间无安全事故发生。如因卖方原因出现施工安全事故及其它安全事故，卖方在 承担一切损失及费用的同时，还应承担相应的法律责任。</w:t>
      </w:r>
    </w:p>
    <w:p w14:paraId="3B86DA0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6.2.1</w:t>
      </w:r>
      <w:r>
        <w:rPr>
          <w:rFonts w:hint="eastAsia"/>
          <w:b w:val="0"/>
          <w:bCs/>
          <w:sz w:val="24"/>
          <w:lang w:val="en-US" w:eastAsia="zh-CN"/>
        </w:rPr>
        <w:t>0</w:t>
      </w:r>
      <w:r>
        <w:rPr>
          <w:rFonts w:hint="eastAsia"/>
          <w:b w:val="0"/>
          <w:bCs/>
          <w:sz w:val="24"/>
        </w:rPr>
        <w:t>在安装、调试过程中，如卖方操作不当导致安装、调试不成功和（或）出现合同设备损坏，卖方应自行承担产生的所有费用。</w:t>
      </w:r>
    </w:p>
    <w:p w14:paraId="3FBD7BF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p>
    <w:p w14:paraId="0F993CC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6.3 考核</w:t>
      </w:r>
    </w:p>
    <w:p w14:paraId="7FF3D41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6.3.1 安装、调试完成后，双方应对合同设备进行考核，以确定合同设备是否达到合同约  定的技术性能考核指标。考核中合同设备运行需要的用水、用电、其他动力和原材料（如需要）等均由卖方承担。</w:t>
      </w:r>
    </w:p>
    <w:p w14:paraId="1528247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6.3.3 由于卖方原因未能达到技术性能考核指标时，为卖方进行考核的机会不超过三次。 如果由于卖方原因，三次考核均未能达到合同约定的技术性能考核指标，则买卖双方应就合同的后续履行进行协商，协商不成的，买方有权解除合同。但如合同中约定了或双方在考核中另行达成了合同设备的最低技术性能考核指标，且合同设备达到了最低技术性能考核指标的，视为合同设备已达到技术性能考核指标，买方无权解除合同，且应接受合同设备，但卖方应按专用合同条款的约定进行减价或向买方支付补偿金。</w:t>
      </w:r>
    </w:p>
    <w:p w14:paraId="36701A0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p>
    <w:p w14:paraId="206DF95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6.4 验收</w:t>
      </w:r>
    </w:p>
    <w:p w14:paraId="4C64FB6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6.4.1 如合同设备在考核中达到或视为达到技术性能考核指标，则买卖双方应在考核完成 后 7 日内签署合同设备验收证书一式二份，双方各持一份。验收日期应为合同设备达到或视为达到技术性能考核指标的日期。</w:t>
      </w:r>
    </w:p>
    <w:p w14:paraId="5806345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6.4.2 如由于买方原因合同设备在三次考核中均未能达到技术性能考核指标，卖方有义务在 12 个月内应买方要求提供相关技术服务，协助买方采取一切必要措施使合同设备达到技术性能考核指标。在上述 12 个月的期限内，如合同设备经过考核达到或视为达到技术性能考核指标， 则买卖双方应按照第 6.4.1 项的约定签署合同设备验收证书；如合同设备未能达到技术性能考核指标的，则卖方应按本合同第 14 条约定承担违约责任。</w:t>
      </w:r>
    </w:p>
    <w:p w14:paraId="1C3CAD6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6.4.3 如由于买方原因在最后一批合同设备交货后 6 个月内未能开始考核，则买卖双方应 在上述期限届满后 7 日内或买卖双方另行约定的时间内签署验收款支付函。</w:t>
      </w:r>
    </w:p>
    <w:p w14:paraId="487D58C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p>
    <w:p w14:paraId="5247BF50">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2"/>
        <w:rPr>
          <w:rFonts w:hint="eastAsia"/>
          <w:b/>
          <w:bCs w:val="0"/>
          <w:sz w:val="24"/>
        </w:rPr>
      </w:pPr>
      <w:r>
        <w:rPr>
          <w:rFonts w:hint="eastAsia"/>
          <w:b/>
          <w:bCs w:val="0"/>
          <w:sz w:val="24"/>
        </w:rPr>
        <w:t>7.技术服务</w:t>
      </w:r>
    </w:p>
    <w:p w14:paraId="0F972D8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7.2 买方应免费为卖方技术人员提供工作条件及便利，包括但不限于必要的办公场所、技 术资料及出入许可等。卖方技术人员的交通、食宿等费用由卖方承担。</w:t>
      </w:r>
    </w:p>
    <w:p w14:paraId="69B22B3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7.5 除上述必备的安装人员外，卖方须自付费用派遣专业技术代表参与买方组织的安装、调试技术交底等会议。投标文件中派出的技术人员为本项目固定人员，其他派遣的技术人员数量及专业应满足项目需求，未经买方同意，不得擅自更换。同时结合</w:t>
      </w:r>
      <w:r>
        <w:rPr>
          <w:rFonts w:hint="eastAsia"/>
          <w:b w:val="0"/>
          <w:bCs/>
          <w:sz w:val="24"/>
          <w:lang w:val="en-US" w:eastAsia="zh-CN"/>
        </w:rPr>
        <w:t>项目</w:t>
      </w:r>
      <w:r>
        <w:rPr>
          <w:rFonts w:hint="eastAsia"/>
          <w:b w:val="0"/>
          <w:bCs/>
          <w:sz w:val="24"/>
        </w:rPr>
        <w:t xml:space="preserve">的进度需 求，买方可根据现场情况，要求卖方增加相关技术人员人数。若买方发现卖方未按要求派驻代表到场或所派人员不足的将违约处罚每人每次人民币 </w:t>
      </w:r>
      <w:r>
        <w:rPr>
          <w:rFonts w:hint="eastAsia"/>
          <w:b w:val="0"/>
          <w:bCs/>
          <w:sz w:val="24"/>
          <w:lang w:val="en-US" w:eastAsia="zh-CN"/>
        </w:rPr>
        <w:t>3</w:t>
      </w:r>
      <w:r>
        <w:rPr>
          <w:rFonts w:hint="eastAsia"/>
          <w:b w:val="0"/>
          <w:bCs/>
          <w:sz w:val="24"/>
        </w:rPr>
        <w:t>000 元，买方有权在供货进度款中扣除违约处罚费用。</w:t>
      </w:r>
    </w:p>
    <w:p w14:paraId="66D67BF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7.6 项目试运期的技术指导：从项目试运起算不少于 30 天。卖方应提供技术人员进行技术指导，每人每月在现场时间不少于 22 天，相关费用卖方承担。</w:t>
      </w:r>
    </w:p>
    <w:p w14:paraId="0823DF6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7.7 卖方负责提供现场操作、运行、维护、修理的培训方案及必需的培训资料，卖方负责 对买方受训人员进行操作、维修培训。</w:t>
      </w:r>
    </w:p>
    <w:p w14:paraId="29A6DCB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7.8 卖方有义务及时解决买方在使用货物过程中出现的问题，并在接到买方通知后 24 小时予以解释答复。买方如有需要，卖方技术人员必须在接到通知后 2 日内到现场进行处理。否则由此导致买方或其他第三方人身或财产损失全部由卖方承担，买方有权视情节轻重作出警告、索赔。</w:t>
      </w:r>
    </w:p>
    <w:p w14:paraId="1A5104B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p>
    <w:p w14:paraId="57B206BB">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b/>
          <w:bCs w:val="0"/>
          <w:sz w:val="24"/>
        </w:rPr>
      </w:pPr>
      <w:r>
        <w:rPr>
          <w:rFonts w:hint="eastAsia"/>
          <w:b/>
          <w:bCs w:val="0"/>
          <w:sz w:val="24"/>
        </w:rPr>
        <w:t>8.质量保证期</w:t>
      </w:r>
    </w:p>
    <w:p w14:paraId="3BA0481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color w:val="auto"/>
          <w:sz w:val="24"/>
        </w:rPr>
      </w:pPr>
      <w:r>
        <w:rPr>
          <w:rFonts w:hint="eastAsia"/>
          <w:b w:val="0"/>
          <w:bCs/>
          <w:color w:val="auto"/>
          <w:sz w:val="24"/>
        </w:rPr>
        <w:t>8.1合同设备整体质量保证期为验收之日起12个月。对于设备中的关键部件，其质量保证期为1年；若设备本身保质期超过1年的，则以该设备的实际保质期限为准。在合同第6.4.2项情形下，无论合同设备何时验收，其质量保证期最长为签署验收款支付函后12个月。在合同第6.4.3项情形下，无论合同设备何时验收，其质量保证期最长为签署验收款支付函后6个月。</w:t>
      </w:r>
    </w:p>
    <w:p w14:paraId="4AB8633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color w:val="auto"/>
          <w:sz w:val="24"/>
        </w:rPr>
      </w:pPr>
      <w:r>
        <w:rPr>
          <w:rFonts w:hint="eastAsia"/>
          <w:b w:val="0"/>
          <w:bCs/>
          <w:color w:val="auto"/>
          <w:sz w:val="24"/>
        </w:rPr>
        <w:t>8.2 在质量保证期内如果合同设备出现故障，卖方应自负费用提供质保期服务，对相关合 同设备进行修理或更换以消除故障。更换的合同设备和（或）关键部件的质量保证期应重新计 算。但如果合同设备的故障是由于买方原因造成的，则对合同设备进行修理和更换的费用应由买方承担。</w:t>
      </w:r>
    </w:p>
    <w:p w14:paraId="0D0E1A1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color w:val="auto"/>
          <w:sz w:val="24"/>
        </w:rPr>
      </w:pPr>
      <w:r>
        <w:rPr>
          <w:rFonts w:hint="eastAsia"/>
          <w:b w:val="0"/>
          <w:bCs/>
          <w:color w:val="auto"/>
          <w:sz w:val="24"/>
        </w:rPr>
        <w:t>8.3 质量保证期届满后，买方应在 14 日内向卖方出具合 同设备的质量保证期届满证书。</w:t>
      </w:r>
    </w:p>
    <w:p w14:paraId="041A4FC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color w:val="auto"/>
          <w:sz w:val="24"/>
        </w:rPr>
      </w:pPr>
      <w:r>
        <w:rPr>
          <w:rFonts w:hint="eastAsia"/>
          <w:b w:val="0"/>
          <w:bCs/>
          <w:color w:val="auto"/>
          <w:sz w:val="24"/>
        </w:rPr>
        <w:t>8.4 在合同第 6.4.2 项情形下，如在验收款支付函签署后 12 个月内由于买方原因合同设 备仍未能达到技术性能考核指标，则买卖双方应在该 12 个月届满后 30日内签署结清款支付函。</w:t>
      </w:r>
    </w:p>
    <w:p w14:paraId="213770D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color w:val="auto"/>
          <w:sz w:val="24"/>
        </w:rPr>
      </w:pPr>
      <w:r>
        <w:rPr>
          <w:rFonts w:hint="eastAsia"/>
          <w:b w:val="0"/>
          <w:bCs/>
          <w:color w:val="auto"/>
          <w:sz w:val="24"/>
        </w:rPr>
        <w:t>8.5 在合同第 6.4.3 项情形下，如在验收款支付函签署后 6 个月内由于买方原因合同设备 仍未进行考核或仍未达到技术性能考核指标，则买卖双方应在该 6 个月届满后7日内签署结清款支付函。</w:t>
      </w:r>
    </w:p>
    <w:p w14:paraId="3B45453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color w:val="auto"/>
          <w:sz w:val="24"/>
        </w:rPr>
      </w:pPr>
      <w:r>
        <w:rPr>
          <w:rFonts w:hint="eastAsia"/>
          <w:b w:val="0"/>
          <w:bCs/>
          <w:color w:val="auto"/>
          <w:sz w:val="24"/>
        </w:rPr>
        <w:t>8.6 在第 8.4 款和第 8.5 款情形下，卖方也可单方签署结清款支付函提交买方，如果买方 在收到卖方签署的结清款支付函后 14 日内未向卖方提出书面异议，则结清款支付函自签署之日起生效。</w:t>
      </w:r>
    </w:p>
    <w:p w14:paraId="32E6CD5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color w:val="auto"/>
          <w:sz w:val="24"/>
        </w:rPr>
      </w:pPr>
      <w:r>
        <w:rPr>
          <w:rFonts w:hint="eastAsia"/>
          <w:b w:val="0"/>
          <w:bCs/>
          <w:color w:val="auto"/>
          <w:sz w:val="24"/>
        </w:rPr>
        <w:t>8.7 在质保期内卖方免费更换质量不合格、或有缺陷的产品，免费维修、更换故障产品。质保期内， 由于质量问题而产生的一切费用由卖方承担。质保期从工程竣工验收合格之日起计算，费用已含在合同价。</w:t>
      </w:r>
    </w:p>
    <w:p w14:paraId="7C0258F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color w:val="auto"/>
          <w:sz w:val="24"/>
        </w:rPr>
      </w:pPr>
    </w:p>
    <w:p w14:paraId="10C7AD85">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b/>
          <w:bCs w:val="0"/>
          <w:sz w:val="24"/>
        </w:rPr>
      </w:pPr>
      <w:r>
        <w:rPr>
          <w:rFonts w:hint="eastAsia"/>
          <w:b/>
          <w:bCs w:val="0"/>
          <w:sz w:val="24"/>
        </w:rPr>
        <w:t>9.质保期服务</w:t>
      </w:r>
    </w:p>
    <w:p w14:paraId="4434502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9.2 如卖方技术人员需到合同设备现场进行质保期服务，则买方应免费为卖方技术人员提供工作条件及便利，包括但不限于必要的办公场所、技术资料及出入许可等。卖方技术人员的交通、食宿等费用由卖方承担。</w:t>
      </w:r>
    </w:p>
    <w:p w14:paraId="3008CA2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9.4 卖方应就在</w:t>
      </w:r>
      <w:r>
        <w:rPr>
          <w:rFonts w:hint="eastAsia"/>
          <w:b w:val="0"/>
          <w:bCs/>
          <w:sz w:val="24"/>
          <w:lang w:val="en-US" w:eastAsia="zh-CN"/>
        </w:rPr>
        <w:t>项目</w:t>
      </w:r>
      <w:r>
        <w:rPr>
          <w:rFonts w:hint="eastAsia"/>
          <w:b w:val="0"/>
          <w:bCs/>
          <w:sz w:val="24"/>
        </w:rPr>
        <w:t>现场进行质保期服务的情况进行记录，记载合同设备故障发生的时间、 原因及解决情况等，由买方签字确认，并在质量保证期结束后提交给买方。</w:t>
      </w:r>
    </w:p>
    <w:p w14:paraId="42D6182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9.5 卖方有义务及时解决买方在使用设备过程中出现的问题，并在接到买方通知后 4 小时 予以解释答复。买方如有需要，卖方技术人员必须在接到通知后 24 小时内到现场进行处理。每迟延 1 天，卖方应向买方支付违约金</w:t>
      </w:r>
      <w:r>
        <w:rPr>
          <w:rFonts w:hint="eastAsia"/>
          <w:b w:val="0"/>
          <w:bCs/>
          <w:sz w:val="24"/>
          <w:lang w:val="en-US" w:eastAsia="zh-CN"/>
        </w:rPr>
        <w:t>2</w:t>
      </w:r>
      <w:r>
        <w:rPr>
          <w:rFonts w:hint="eastAsia"/>
          <w:b w:val="0"/>
          <w:bCs/>
          <w:sz w:val="24"/>
        </w:rPr>
        <w:t>000 元。如在 2 日内处理结果不能让买方满意，买方有权另行委托第三方处理，除所需费用最终由卖方承担外，卖方还需向买方支付逾期违约金。</w:t>
      </w:r>
    </w:p>
    <w:p w14:paraId="5375356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由此导致买方或其他第三方人身或财产损失全部由卖方承担，买方有权视情节轻重作出警告、索赔、甚至终止合同。</w:t>
      </w:r>
    </w:p>
    <w:p w14:paraId="6D7B2BC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9.6 设备投运后</w:t>
      </w:r>
      <w:r>
        <w:rPr>
          <w:rFonts w:hint="eastAsia"/>
          <w:b w:val="0"/>
          <w:bCs/>
          <w:sz w:val="24"/>
          <w:lang w:eastAsia="zh-CN"/>
        </w:rPr>
        <w:t>，</w:t>
      </w:r>
      <w:r>
        <w:rPr>
          <w:rFonts w:hint="eastAsia"/>
          <w:b w:val="0"/>
          <w:bCs/>
          <w:sz w:val="24"/>
        </w:rPr>
        <w:t>若卖方所供软件升级,卖方须为买方免费提供升级服务。</w:t>
      </w:r>
    </w:p>
    <w:p w14:paraId="38B3930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p>
    <w:p w14:paraId="4B7C4297">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b/>
          <w:bCs w:val="0"/>
          <w:sz w:val="24"/>
        </w:rPr>
      </w:pPr>
      <w:r>
        <w:rPr>
          <w:rFonts w:hint="eastAsia"/>
          <w:b/>
          <w:bCs w:val="0"/>
          <w:sz w:val="24"/>
        </w:rPr>
        <w:t>10.履约保证金</w:t>
      </w:r>
    </w:p>
    <w:p w14:paraId="4E9C1EC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履约保证金自合同生效之日起生效，在合同设备验收证书或验收款支付函签署之日起 28 日后失效或原路无息退回。如果卖方不履行合同约定的义务或其履行不符合合同的约定，买方有权扣划相应金额的履约保证金。</w:t>
      </w:r>
    </w:p>
    <w:p w14:paraId="65A2F17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p>
    <w:p w14:paraId="10FDBDAB">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b/>
          <w:bCs w:val="0"/>
          <w:sz w:val="24"/>
        </w:rPr>
      </w:pPr>
      <w:r>
        <w:rPr>
          <w:rFonts w:hint="eastAsia"/>
          <w:b/>
          <w:bCs w:val="0"/>
          <w:sz w:val="24"/>
        </w:rPr>
        <w:t>11.保证</w:t>
      </w:r>
    </w:p>
    <w:p w14:paraId="7620984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11.4 卖方保证合同设备符合合同约定及招投标文件规定的规格参数、品牌、技术性能考 核指标等，应满足买方供货需求能够安全和稳定地运行，且合同设备（包括全部部件）全新、 完整、未使用过。</w:t>
      </w:r>
    </w:p>
    <w:p w14:paraId="51D38BD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11.7 如果在合同设备设计使用寿命期内发生合同项下备品备件停止生产的情况，卖方应 事先将拟停止生产的计划通知买方，使买方有足够的时间考虑备品备件的需求量。根据买方要求，卖方应：</w:t>
      </w:r>
    </w:p>
    <w:p w14:paraId="3024822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 以不高于同期市场价格或其向任何第三方销售同类产品的价格提供合同设备正常运行所需的全部备品备件。</w:t>
      </w:r>
    </w:p>
    <w:p w14:paraId="5124F0D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（2）免费提供可供买方或第三方制造停产备品备件所需的全部技术资料，以便买方持续 获得上述备品备件以满足合同设备在寿命期内正常运行的需要。卖方保证买方或买方委托的第三方制造及买方使用这些备品备件不侵犯任何人的知识产权。</w:t>
      </w:r>
    </w:p>
    <w:p w14:paraId="75B8E29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p>
    <w:p w14:paraId="16E8BC15">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b/>
          <w:bCs w:val="0"/>
          <w:sz w:val="24"/>
        </w:rPr>
      </w:pPr>
      <w:r>
        <w:rPr>
          <w:rFonts w:hint="eastAsia"/>
          <w:b/>
          <w:bCs w:val="0"/>
          <w:sz w:val="24"/>
        </w:rPr>
        <w:t>12.知识产权</w:t>
      </w:r>
    </w:p>
    <w:p w14:paraId="6FDDDEE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12.2 买方不因签署和履行合同而享有卖方在履行合同过程中提供给买方的图纸、文件、 配套软件、电子辅助程序和其他含有数据和信息的资料的知识产权。</w:t>
      </w:r>
    </w:p>
    <w:p w14:paraId="3DC906C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12.4 如果买方收到任何第三方有关知识产权的主张、索赔或诉讼，卖方在收到买方通知 后，应以买方名义并在买方的协助下， 自负费用处理与第三方的索赔或诉讼，并赔偿买方因此发生的费用和遭受的损失。如果卖方拒绝处理前述索赔或诉讼或在收到买方通知后 28 日内未作表示，买方可以自己的名义进行这些索赔或诉讼，因此发生的费用和遭受的损失均应由卖方承担。</w:t>
      </w:r>
    </w:p>
    <w:p w14:paraId="4E5E2BF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p>
    <w:p w14:paraId="3D1F3464">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b/>
          <w:bCs w:val="0"/>
          <w:sz w:val="24"/>
        </w:rPr>
      </w:pPr>
      <w:r>
        <w:rPr>
          <w:rFonts w:hint="eastAsia"/>
          <w:b/>
          <w:bCs w:val="0"/>
          <w:sz w:val="24"/>
        </w:rPr>
        <w:t>14.违约责任</w:t>
      </w:r>
    </w:p>
    <w:p w14:paraId="759769C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14.2 卖方未能按时交付合同设备（包括仅迟延交付技术资料但足以导致合同设备安装、 调试、考核、验收工作推迟的，因买方原因或者不可抗力因素除外）的，应向买方支付迟延交付违约金。迟延交付违约金的计算方法如下：</w:t>
      </w:r>
    </w:p>
    <w:p w14:paraId="67EEADD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（1）从迟交的第一天，每天迟延交付违约金为迟交合同设备价格的 1%；</w:t>
      </w:r>
    </w:p>
    <w:p w14:paraId="48577E2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（2）迟延交付超过【</w:t>
      </w:r>
      <w:r>
        <w:rPr>
          <w:rFonts w:hint="eastAsia"/>
          <w:b w:val="0"/>
          <w:bCs/>
          <w:sz w:val="24"/>
          <w:lang w:val="en-US" w:eastAsia="zh-CN"/>
        </w:rPr>
        <w:t>20</w:t>
      </w:r>
      <w:r>
        <w:rPr>
          <w:rFonts w:hint="eastAsia"/>
          <w:b w:val="0"/>
          <w:bCs/>
          <w:sz w:val="24"/>
        </w:rPr>
        <w:t>】 日的，买方有权单方解除合同，卖方应退还买方相应的合同价款，向</w:t>
      </w:r>
      <w:r>
        <w:rPr>
          <w:rFonts w:hint="eastAsia"/>
          <w:b w:val="0"/>
          <w:bCs/>
          <w:sz w:val="24"/>
          <w:lang w:val="en-US" w:eastAsia="zh-CN"/>
        </w:rPr>
        <w:t>买</w:t>
      </w:r>
      <w:r>
        <w:rPr>
          <w:rFonts w:hint="eastAsia"/>
          <w:b w:val="0"/>
          <w:bCs/>
          <w:sz w:val="24"/>
        </w:rPr>
        <w:t>方支付相当于合同价款 20%的违约金，并赔偿买方因此遭受的损失。</w:t>
      </w:r>
    </w:p>
    <w:p w14:paraId="79DE9E1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迟延交付违约金的支付不能免除卖方继续交付相关合同设备的义务，但如迟延交付必然导致合同设备安装、调试、考核、验收工作推迟的，相关工作应相应顺延。</w:t>
      </w:r>
    </w:p>
    <w:p w14:paraId="41F0B68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14.3 在本节第 6 条所述之开箱检验、安装调试、考核、验收过程中，发现货物的质量或 技术不能达到招标文件、投标文件的有关要求的，卖方应及时更换质量不达标的货物，并按照 第 14.4 条承担相应的违约责任。完成更换之日为该批次货物的交货日期，该日期超过约定日期 的，卖方应按合同约定承担逾期交货的违约责任。货物出现质量问题 2 次或以上的，买方有权另行采购替换的货物，因此产生的一切费用由卖方承担。</w:t>
      </w:r>
    </w:p>
    <w:p w14:paraId="28D88B8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14.4 若卖方提供的货物为假冒伪劣产品，或未满足买方供货要求（包括但不限于交付的 设备不符合合同约定的质量标准或规格；未按约定完成安装、调试、培训或提供技术服务的； 提供的设备存在重大缺陷或无法正常使用），或存在质量瑕疵的，卖方应按照该货物中标价的3 倍作为违约金，并赔偿买方或任何第三方因此遭受的损失，且不免除其应承担的其他责任。</w:t>
      </w:r>
    </w:p>
    <w:p w14:paraId="6E6E99C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14.5 在履行合同过程中若因买方工地现场不具备安装、调试条件，工期需要顺延的，买方仅作工期顺延，不另支付合同价外任何其他费用，且无需承担任何违约责任。</w:t>
      </w:r>
    </w:p>
    <w:p w14:paraId="24D26B3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14.6 卖方应支付的违约金、赔偿金，买方有权在书面通知卖方后，直接从未结算的货款和履约保证金中扣除。</w:t>
      </w:r>
    </w:p>
    <w:p w14:paraId="4A4D9C2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14.</w:t>
      </w:r>
      <w:r>
        <w:rPr>
          <w:rFonts w:hint="eastAsia"/>
          <w:b w:val="0"/>
          <w:bCs/>
          <w:sz w:val="24"/>
          <w:lang w:val="en-US" w:eastAsia="zh-CN"/>
        </w:rPr>
        <w:t xml:space="preserve">7 </w:t>
      </w:r>
      <w:r>
        <w:rPr>
          <w:rFonts w:hint="eastAsia"/>
          <w:b w:val="0"/>
          <w:bCs/>
          <w:sz w:val="24"/>
        </w:rPr>
        <w:t>任何一方没有行使其权利或没有就违约方的违约行为采取任何行动，不应被视为是对其权利的放弃或对追究另一方违约责任权利的放弃。任何一方放弃针对违约方的某种权利，或放弃追究违约方的某种责任，不应视为对其它权利或追究其他责任的放弃。</w:t>
      </w:r>
    </w:p>
    <w:p w14:paraId="4C0C523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p>
    <w:p w14:paraId="7683AFED">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b/>
          <w:bCs w:val="0"/>
          <w:sz w:val="24"/>
        </w:rPr>
      </w:pPr>
      <w:r>
        <w:rPr>
          <w:rFonts w:hint="eastAsia"/>
          <w:b/>
          <w:bCs w:val="0"/>
          <w:sz w:val="24"/>
        </w:rPr>
        <w:t>15.合同的解除</w:t>
      </w:r>
    </w:p>
    <w:p w14:paraId="0131F00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如果买方发现卖方有以下违约情形之一的，买方有权解除合同，卖方应向买方退还买方已提前支付但未实际发生的合同价款，卖方应向买方支付相当于合同价款 20%的违约金，并赔偿买方因此遭受的损失：</w:t>
      </w:r>
    </w:p>
    <w:p w14:paraId="0CC0D2C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w:t>
      </w:r>
      <w:r>
        <w:rPr>
          <w:rFonts w:hint="eastAsia"/>
          <w:b w:val="0"/>
          <w:bCs/>
          <w:sz w:val="24"/>
          <w:lang w:val="en-US" w:eastAsia="zh-CN"/>
        </w:rPr>
        <w:t>1</w:t>
      </w:r>
      <w:r>
        <w:rPr>
          <w:rFonts w:hint="eastAsia"/>
          <w:b w:val="0"/>
          <w:bCs/>
          <w:sz w:val="24"/>
        </w:rPr>
        <w:t>）卖方发生</w:t>
      </w:r>
      <w:r>
        <w:rPr>
          <w:rFonts w:hint="eastAsia"/>
          <w:b w:val="0"/>
          <w:bCs/>
          <w:sz w:val="24"/>
          <w:lang w:val="en-US" w:eastAsia="zh-CN"/>
        </w:rPr>
        <w:t>三</w:t>
      </w:r>
      <w:r>
        <w:rPr>
          <w:rFonts w:hint="eastAsia"/>
          <w:b w:val="0"/>
          <w:bCs/>
          <w:sz w:val="24"/>
        </w:rPr>
        <w:t>次以上逾期供货的；</w:t>
      </w:r>
    </w:p>
    <w:p w14:paraId="3647EB9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w:t>
      </w:r>
      <w:r>
        <w:rPr>
          <w:rFonts w:hint="eastAsia"/>
          <w:b w:val="0"/>
          <w:bCs/>
          <w:sz w:val="24"/>
          <w:lang w:val="en-US" w:eastAsia="zh-CN"/>
        </w:rPr>
        <w:t>2</w:t>
      </w:r>
      <w:r>
        <w:rPr>
          <w:rFonts w:hint="eastAsia"/>
          <w:b w:val="0"/>
          <w:bCs/>
          <w:sz w:val="24"/>
        </w:rPr>
        <w:t>）因卖方原因，延误工期超过</w:t>
      </w:r>
      <w:r>
        <w:rPr>
          <w:rFonts w:hint="eastAsia"/>
          <w:b w:val="0"/>
          <w:bCs/>
          <w:sz w:val="24"/>
          <w:lang w:val="en-US" w:eastAsia="zh-CN"/>
        </w:rPr>
        <w:t>20</w:t>
      </w:r>
      <w:r>
        <w:rPr>
          <w:rFonts w:hint="eastAsia"/>
          <w:b w:val="0"/>
          <w:bCs/>
          <w:sz w:val="24"/>
        </w:rPr>
        <w:t>日；</w:t>
      </w:r>
    </w:p>
    <w:p w14:paraId="3F4D7D7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w:t>
      </w:r>
      <w:r>
        <w:rPr>
          <w:rFonts w:hint="eastAsia"/>
          <w:b w:val="0"/>
          <w:bCs/>
          <w:sz w:val="24"/>
          <w:lang w:val="en-US" w:eastAsia="zh-CN"/>
        </w:rPr>
        <w:t>3</w:t>
      </w:r>
      <w:r>
        <w:rPr>
          <w:rFonts w:hint="eastAsia"/>
          <w:b w:val="0"/>
          <w:bCs/>
          <w:sz w:val="24"/>
        </w:rPr>
        <w:t>）货物出现质量问题 3 次或以上的；</w:t>
      </w:r>
    </w:p>
    <w:p w14:paraId="73F7AF1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w:t>
      </w:r>
      <w:r>
        <w:rPr>
          <w:rFonts w:hint="eastAsia"/>
          <w:b w:val="0"/>
          <w:bCs/>
          <w:sz w:val="24"/>
          <w:lang w:val="en-US" w:eastAsia="zh-CN"/>
        </w:rPr>
        <w:t>4</w:t>
      </w:r>
      <w:r>
        <w:rPr>
          <w:rFonts w:hint="eastAsia"/>
          <w:b w:val="0"/>
          <w:bCs/>
          <w:sz w:val="24"/>
        </w:rPr>
        <w:t>）产品引发重大生产安全事故的；</w:t>
      </w:r>
    </w:p>
    <w:p w14:paraId="372B87B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w:t>
      </w:r>
      <w:r>
        <w:rPr>
          <w:rFonts w:hint="eastAsia"/>
          <w:b w:val="0"/>
          <w:bCs/>
          <w:sz w:val="24"/>
          <w:lang w:val="en-US" w:eastAsia="zh-CN"/>
        </w:rPr>
        <w:t>5</w:t>
      </w:r>
      <w:r>
        <w:rPr>
          <w:rFonts w:hint="eastAsia"/>
          <w:b w:val="0"/>
          <w:bCs/>
          <w:sz w:val="24"/>
        </w:rPr>
        <w:t>）卖方未按招标文件要求提供不符合技术要求的货物或主要配件且未在规定时间内替换符合技术要求的货物或配件的；</w:t>
      </w:r>
    </w:p>
    <w:p w14:paraId="13C1984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w:t>
      </w:r>
      <w:r>
        <w:rPr>
          <w:rFonts w:hint="eastAsia"/>
          <w:b w:val="0"/>
          <w:bCs/>
          <w:sz w:val="24"/>
          <w:lang w:val="en-US" w:eastAsia="zh-CN"/>
        </w:rPr>
        <w:t>6</w:t>
      </w:r>
      <w:r>
        <w:rPr>
          <w:rFonts w:hint="eastAsia"/>
          <w:b w:val="0"/>
          <w:bCs/>
          <w:sz w:val="24"/>
        </w:rPr>
        <w:t>）其它严重违约行为，在买方要求的期限内未予纠正的。</w:t>
      </w:r>
    </w:p>
    <w:p w14:paraId="6E65446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p>
    <w:p w14:paraId="4B612AC3">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b/>
          <w:bCs w:val="0"/>
          <w:sz w:val="24"/>
        </w:rPr>
      </w:pPr>
      <w:r>
        <w:rPr>
          <w:rFonts w:hint="eastAsia"/>
          <w:b/>
          <w:bCs w:val="0"/>
          <w:sz w:val="24"/>
        </w:rPr>
        <w:t>17.争议的解决</w:t>
      </w:r>
    </w:p>
    <w:p w14:paraId="1649063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17.1 因本合同引起的或与本合同有关的任何争议,双方可通过友好协商解决。友好协商解 决不成的，向买方所在地的人民法院提起诉讼。</w:t>
      </w:r>
    </w:p>
    <w:p w14:paraId="4FFFB14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p>
    <w:p w14:paraId="0E46CC89">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b/>
          <w:bCs w:val="0"/>
          <w:sz w:val="24"/>
        </w:rPr>
      </w:pPr>
      <w:r>
        <w:rPr>
          <w:rFonts w:hint="eastAsia"/>
          <w:b/>
          <w:bCs w:val="0"/>
          <w:sz w:val="24"/>
        </w:rPr>
        <w:t>18.合同生效</w:t>
      </w:r>
    </w:p>
    <w:p w14:paraId="0D038F5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18.1 合同订立地点：</w:t>
      </w:r>
      <w:r>
        <w:rPr>
          <w:rFonts w:hint="eastAsia"/>
          <w:b w:val="0"/>
          <w:bCs/>
          <w:sz w:val="24"/>
          <w:u w:val="single"/>
        </w:rPr>
        <w:t>广东省</w:t>
      </w:r>
      <w:r>
        <w:rPr>
          <w:rFonts w:hint="eastAsia"/>
          <w:b w:val="0"/>
          <w:bCs/>
          <w:sz w:val="24"/>
          <w:u w:val="single"/>
          <w:lang w:val="en-US" w:eastAsia="zh-CN"/>
        </w:rPr>
        <w:t>茂名市电白区</w:t>
      </w:r>
      <w:r>
        <w:rPr>
          <w:rFonts w:hint="eastAsia"/>
          <w:b w:val="0"/>
          <w:bCs/>
          <w:sz w:val="24"/>
        </w:rPr>
        <w:t>。</w:t>
      </w:r>
    </w:p>
    <w:p w14:paraId="5C7B23C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18.2 合同生效条件：</w:t>
      </w:r>
      <w:r>
        <w:rPr>
          <w:rFonts w:hint="eastAsia"/>
          <w:b w:val="0"/>
          <w:bCs/>
          <w:sz w:val="24"/>
          <w:u w:val="single"/>
          <w:lang w:val="en-US" w:eastAsia="zh-CN"/>
        </w:rPr>
        <w:t>自</w:t>
      </w:r>
      <w:r>
        <w:rPr>
          <w:rFonts w:hint="eastAsia"/>
          <w:b w:val="0"/>
          <w:bCs/>
          <w:sz w:val="24"/>
          <w:u w:val="single"/>
        </w:rPr>
        <w:t>合同双方法定代表人或双方授权代表签字盖章</w:t>
      </w:r>
      <w:r>
        <w:rPr>
          <w:rFonts w:hint="eastAsia"/>
          <w:b w:val="0"/>
          <w:bCs/>
          <w:sz w:val="24"/>
          <w:u w:val="single"/>
          <w:lang w:val="en-US" w:eastAsia="zh-CN"/>
        </w:rPr>
        <w:t>之日起</w:t>
      </w:r>
      <w:r>
        <w:rPr>
          <w:rFonts w:hint="eastAsia"/>
          <w:b w:val="0"/>
          <w:bCs/>
          <w:sz w:val="24"/>
          <w:u w:val="single"/>
        </w:rPr>
        <w:t>生效。</w:t>
      </w:r>
      <w:r>
        <w:rPr>
          <w:rFonts w:hint="eastAsia"/>
          <w:b w:val="0"/>
          <w:bCs/>
          <w:sz w:val="24"/>
        </w:rPr>
        <w:t>本合同一 式</w:t>
      </w:r>
      <w:r>
        <w:rPr>
          <w:rFonts w:hint="eastAsia"/>
          <w:b w:val="0"/>
          <w:bCs/>
          <w:sz w:val="24"/>
          <w:u w:val="single"/>
        </w:rPr>
        <w:t xml:space="preserve"> 陆 </w:t>
      </w:r>
      <w:r>
        <w:rPr>
          <w:rFonts w:hint="eastAsia"/>
          <w:b w:val="0"/>
          <w:bCs/>
          <w:sz w:val="24"/>
        </w:rPr>
        <w:t>份，双方各执</w:t>
      </w:r>
      <w:r>
        <w:rPr>
          <w:rFonts w:hint="eastAsia"/>
          <w:b w:val="0"/>
          <w:bCs/>
          <w:sz w:val="24"/>
          <w:u w:val="single"/>
        </w:rPr>
        <w:t xml:space="preserve"> 叁 </w:t>
      </w:r>
      <w:r>
        <w:rPr>
          <w:rFonts w:hint="eastAsia"/>
          <w:b w:val="0"/>
          <w:bCs/>
          <w:sz w:val="24"/>
        </w:rPr>
        <w:t>份，具有同等法律效力。</w:t>
      </w:r>
    </w:p>
    <w:p w14:paraId="3C1F380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18.3 补充协议：</w:t>
      </w:r>
    </w:p>
    <w:p w14:paraId="3D14FF2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本合同未尽事宜或不明确的，双方可签订补充协议约定或予以明确，补充协议为本合同组成部分，与本合同具有同等法律效力。</w:t>
      </w:r>
    </w:p>
    <w:p w14:paraId="6F55C8D8">
      <w:pPr>
        <w:spacing w:line="360" w:lineRule="auto"/>
        <w:jc w:val="both"/>
        <w:rPr>
          <w:rFonts w:hint="eastAsia"/>
          <w:b w:val="0"/>
          <w:bCs/>
          <w:sz w:val="24"/>
        </w:rPr>
      </w:pPr>
    </w:p>
    <w:p w14:paraId="1E5D037B">
      <w:pPr>
        <w:spacing w:line="360" w:lineRule="auto"/>
        <w:jc w:val="both"/>
        <w:rPr>
          <w:rFonts w:hint="eastAsia"/>
          <w:b w:val="0"/>
          <w:bCs/>
          <w:sz w:val="24"/>
        </w:rPr>
      </w:pPr>
    </w:p>
    <w:p w14:paraId="11F71FBF">
      <w:pPr>
        <w:spacing w:line="360" w:lineRule="auto"/>
        <w:jc w:val="both"/>
        <w:rPr>
          <w:rFonts w:hint="eastAsia"/>
          <w:b w:val="0"/>
          <w:bCs/>
          <w:sz w:val="24"/>
        </w:rPr>
      </w:pPr>
      <w:r>
        <w:rPr>
          <w:rFonts w:hint="eastAsia"/>
          <w:b w:val="0"/>
          <w:bCs/>
          <w:sz w:val="24"/>
        </w:rPr>
        <w:t>买方（公章）：</w:t>
      </w:r>
      <w:r>
        <w:rPr>
          <w:rFonts w:hint="eastAsia"/>
          <w:b w:val="0"/>
          <w:bCs/>
          <w:sz w:val="24"/>
          <w:lang w:val="en-US" w:eastAsia="zh-CN"/>
        </w:rPr>
        <w:t xml:space="preserve">                                               </w:t>
      </w:r>
      <w:r>
        <w:rPr>
          <w:rFonts w:hint="eastAsia"/>
          <w:b w:val="0"/>
          <w:bCs/>
          <w:sz w:val="24"/>
        </w:rPr>
        <w:t>卖方（公章）：</w:t>
      </w:r>
    </w:p>
    <w:p w14:paraId="10BEB16F">
      <w:pPr>
        <w:spacing w:line="360" w:lineRule="auto"/>
        <w:jc w:val="both"/>
        <w:rPr>
          <w:rFonts w:hint="eastAsia"/>
          <w:b w:val="0"/>
          <w:bCs/>
          <w:sz w:val="24"/>
        </w:rPr>
      </w:pPr>
    </w:p>
    <w:p w14:paraId="3BEE8111">
      <w:pPr>
        <w:spacing w:line="360" w:lineRule="auto"/>
        <w:jc w:val="both"/>
        <w:rPr>
          <w:rFonts w:hint="eastAsia"/>
          <w:b w:val="0"/>
          <w:bCs/>
          <w:sz w:val="24"/>
        </w:rPr>
      </w:pPr>
      <w:r>
        <w:rPr>
          <w:rFonts w:hint="eastAsia"/>
          <w:b w:val="0"/>
          <w:bCs/>
          <w:sz w:val="24"/>
        </w:rPr>
        <w:t xml:space="preserve">法定代表人（签章）：                               </w:t>
      </w:r>
      <w:r>
        <w:rPr>
          <w:rFonts w:hint="eastAsia"/>
          <w:b w:val="0"/>
          <w:bCs/>
          <w:sz w:val="24"/>
          <w:lang w:val="en-US" w:eastAsia="zh-CN"/>
        </w:rPr>
        <w:t xml:space="preserve">    </w:t>
      </w:r>
      <w:r>
        <w:rPr>
          <w:rFonts w:hint="eastAsia"/>
          <w:b w:val="0"/>
          <w:bCs/>
          <w:sz w:val="24"/>
        </w:rPr>
        <w:t>法定代表人（签章）：</w:t>
      </w:r>
    </w:p>
    <w:p w14:paraId="5685545A">
      <w:pPr>
        <w:spacing w:line="360" w:lineRule="auto"/>
        <w:jc w:val="both"/>
        <w:rPr>
          <w:rFonts w:hint="eastAsia"/>
          <w:b w:val="0"/>
          <w:bCs/>
          <w:sz w:val="24"/>
        </w:rPr>
      </w:pPr>
      <w:r>
        <w:rPr>
          <w:rFonts w:hint="eastAsia"/>
          <w:b w:val="0"/>
          <w:bCs/>
          <w:sz w:val="24"/>
        </w:rPr>
        <w:t>授权代表人（签</w:t>
      </w:r>
      <w:r>
        <w:rPr>
          <w:rFonts w:hint="eastAsia"/>
          <w:b w:val="0"/>
          <w:bCs/>
          <w:sz w:val="24"/>
          <w:lang w:val="en-US" w:eastAsia="zh-CN"/>
        </w:rPr>
        <w:t>字</w:t>
      </w:r>
      <w:r>
        <w:rPr>
          <w:rFonts w:hint="eastAsia"/>
          <w:b w:val="0"/>
          <w:bCs/>
          <w:sz w:val="24"/>
        </w:rPr>
        <w:t>）：                                   授权代表人（签</w:t>
      </w:r>
      <w:r>
        <w:rPr>
          <w:rFonts w:hint="eastAsia"/>
          <w:b w:val="0"/>
          <w:bCs/>
          <w:sz w:val="24"/>
          <w:lang w:val="en-US" w:eastAsia="zh-CN"/>
        </w:rPr>
        <w:t>字</w:t>
      </w:r>
      <w:r>
        <w:rPr>
          <w:rFonts w:hint="eastAsia"/>
          <w:b w:val="0"/>
          <w:bCs/>
          <w:sz w:val="24"/>
        </w:rPr>
        <w:t>）：</w:t>
      </w:r>
    </w:p>
    <w:p w14:paraId="32915392">
      <w:pPr>
        <w:spacing w:line="360" w:lineRule="auto"/>
        <w:jc w:val="both"/>
        <w:rPr>
          <w:rFonts w:hint="default" w:eastAsia="宋体"/>
          <w:b w:val="0"/>
          <w:bCs/>
          <w:sz w:val="24"/>
          <w:lang w:val="en-US" w:eastAsia="zh-CN"/>
        </w:rPr>
      </w:pPr>
      <w:r>
        <w:rPr>
          <w:rFonts w:hint="eastAsia"/>
          <w:b w:val="0"/>
          <w:bCs/>
          <w:sz w:val="24"/>
          <w:lang w:val="en-US" w:eastAsia="zh-CN"/>
        </w:rPr>
        <w:t>地     址：                                                          地     址：</w:t>
      </w:r>
    </w:p>
    <w:p w14:paraId="69A4352D">
      <w:pPr>
        <w:spacing w:line="360" w:lineRule="auto"/>
        <w:jc w:val="both"/>
        <w:rPr>
          <w:rFonts w:hint="eastAsia"/>
          <w:b w:val="0"/>
          <w:bCs/>
          <w:sz w:val="24"/>
        </w:rPr>
      </w:pPr>
      <w:r>
        <w:rPr>
          <w:rFonts w:hint="eastAsia"/>
          <w:b w:val="0"/>
          <w:bCs/>
          <w:sz w:val="24"/>
        </w:rPr>
        <w:t xml:space="preserve">电    话 ：                                          </w:t>
      </w:r>
      <w:r>
        <w:rPr>
          <w:rFonts w:hint="eastAsia"/>
          <w:b w:val="0"/>
          <w:bCs/>
          <w:sz w:val="24"/>
          <w:lang w:val="en-US" w:eastAsia="zh-CN"/>
        </w:rPr>
        <w:t xml:space="preserve">            </w:t>
      </w:r>
      <w:r>
        <w:rPr>
          <w:rFonts w:hint="eastAsia"/>
          <w:b w:val="0"/>
          <w:bCs/>
          <w:sz w:val="24"/>
        </w:rPr>
        <w:t xml:space="preserve">    电    话：</w:t>
      </w:r>
    </w:p>
    <w:p w14:paraId="662D6937">
      <w:pPr>
        <w:spacing w:line="360" w:lineRule="auto"/>
        <w:jc w:val="both"/>
        <w:rPr>
          <w:rFonts w:hint="eastAsia"/>
          <w:b w:val="0"/>
          <w:bCs/>
          <w:sz w:val="24"/>
        </w:rPr>
      </w:pPr>
      <w:r>
        <w:rPr>
          <w:rFonts w:hint="eastAsia"/>
          <w:b w:val="0"/>
          <w:bCs/>
          <w:sz w:val="24"/>
          <w:lang w:val="en-US" w:eastAsia="zh-CN"/>
        </w:rPr>
        <w:t>邮     箱</w:t>
      </w:r>
      <w:r>
        <w:rPr>
          <w:rFonts w:hint="eastAsia"/>
          <w:b w:val="0"/>
          <w:bCs/>
          <w:sz w:val="24"/>
        </w:rPr>
        <w:t xml:space="preserve">：                                       </w:t>
      </w:r>
      <w:r>
        <w:rPr>
          <w:rFonts w:hint="eastAsia"/>
          <w:b w:val="0"/>
          <w:bCs/>
          <w:sz w:val="24"/>
          <w:lang w:val="en-US" w:eastAsia="zh-CN"/>
        </w:rPr>
        <w:t xml:space="preserve">             </w:t>
      </w:r>
      <w:r>
        <w:rPr>
          <w:rFonts w:hint="eastAsia"/>
          <w:b w:val="0"/>
          <w:bCs/>
          <w:sz w:val="24"/>
        </w:rPr>
        <w:t xml:space="preserve">  </w:t>
      </w:r>
      <w:r>
        <w:rPr>
          <w:rFonts w:hint="eastAsia"/>
          <w:b w:val="0"/>
          <w:bCs/>
          <w:sz w:val="24"/>
          <w:lang w:val="en-US" w:eastAsia="zh-CN"/>
        </w:rPr>
        <w:t xml:space="preserve">  </w:t>
      </w:r>
      <w:r>
        <w:rPr>
          <w:rFonts w:hint="eastAsia"/>
          <w:b w:val="0"/>
          <w:bCs/>
          <w:sz w:val="24"/>
        </w:rPr>
        <w:t xml:space="preserve">  邮     箱：        </w:t>
      </w:r>
    </w:p>
    <w:p w14:paraId="242BACE7">
      <w:pPr>
        <w:spacing w:line="360" w:lineRule="auto"/>
        <w:jc w:val="both"/>
        <w:rPr>
          <w:rFonts w:hint="default"/>
          <w:b w:val="0"/>
          <w:bCs/>
          <w:sz w:val="24"/>
          <w:lang w:val="en-US" w:eastAsia="zh-CN"/>
        </w:rPr>
      </w:pPr>
      <w:r>
        <w:rPr>
          <w:rFonts w:hint="eastAsia"/>
          <w:b w:val="0"/>
          <w:bCs/>
          <w:sz w:val="24"/>
        </w:rPr>
        <w:t xml:space="preserve">                                           </w:t>
      </w:r>
      <w:r>
        <w:rPr>
          <w:rFonts w:hint="eastAsia"/>
          <w:b w:val="0"/>
          <w:bCs/>
          <w:sz w:val="24"/>
          <w:lang w:val="en-US" w:eastAsia="zh-CN"/>
        </w:rPr>
        <w:t xml:space="preserve">                                开户名称：</w:t>
      </w:r>
    </w:p>
    <w:p w14:paraId="26BF776C">
      <w:pPr>
        <w:spacing w:line="360" w:lineRule="auto"/>
        <w:ind w:firstLine="4560" w:firstLineChars="1900"/>
        <w:jc w:val="both"/>
        <w:rPr>
          <w:rFonts w:hint="eastAsia"/>
          <w:b w:val="0"/>
          <w:bCs/>
          <w:sz w:val="24"/>
          <w:lang w:val="en-US" w:eastAsia="zh-CN"/>
        </w:rPr>
      </w:pPr>
      <w:r>
        <w:rPr>
          <w:rFonts w:hint="eastAsia"/>
          <w:b w:val="0"/>
          <w:bCs/>
          <w:sz w:val="24"/>
          <w:lang w:val="en-US" w:eastAsia="zh-CN"/>
        </w:rPr>
        <w:t xml:space="preserve">开户银行：       </w:t>
      </w:r>
    </w:p>
    <w:p w14:paraId="79BF02E7">
      <w:pPr>
        <w:spacing w:line="360" w:lineRule="auto"/>
        <w:ind w:firstLine="4560" w:firstLineChars="1900"/>
        <w:jc w:val="both"/>
        <w:rPr>
          <w:rFonts w:hint="default"/>
          <w:b w:val="0"/>
          <w:bCs/>
          <w:sz w:val="24"/>
          <w:lang w:val="en-US"/>
        </w:rPr>
      </w:pPr>
      <w:r>
        <w:rPr>
          <w:rFonts w:hint="eastAsia"/>
          <w:b w:val="0"/>
          <w:bCs/>
          <w:sz w:val="24"/>
          <w:lang w:val="en-US" w:eastAsia="zh-CN"/>
        </w:rPr>
        <w:t>银行账号：</w:t>
      </w:r>
    </w:p>
    <w:p w14:paraId="508C34E5">
      <w:pPr>
        <w:spacing w:line="360" w:lineRule="auto"/>
        <w:jc w:val="both"/>
        <w:rPr>
          <w:rFonts w:hint="eastAsia"/>
          <w:b w:val="0"/>
          <w:bCs/>
          <w:sz w:val="24"/>
        </w:rPr>
      </w:pPr>
    </w:p>
    <w:p w14:paraId="56288BBC">
      <w:pPr>
        <w:spacing w:line="360" w:lineRule="auto"/>
        <w:jc w:val="both"/>
        <w:rPr>
          <w:rFonts w:hint="eastAsia"/>
          <w:b w:val="0"/>
          <w:bCs/>
          <w:sz w:val="24"/>
        </w:rPr>
      </w:pPr>
    </w:p>
    <w:p w14:paraId="16935584">
      <w:pPr>
        <w:spacing w:line="360" w:lineRule="auto"/>
        <w:jc w:val="both"/>
        <w:rPr>
          <w:rFonts w:hint="eastAsia"/>
          <w:b w:val="0"/>
          <w:bCs/>
          <w:sz w:val="24"/>
        </w:rPr>
      </w:pPr>
      <w:r>
        <w:rPr>
          <w:rFonts w:hint="eastAsia"/>
          <w:b w:val="0"/>
          <w:bCs/>
          <w:sz w:val="24"/>
        </w:rPr>
        <w:t>签约时间：    年   月   日</w:t>
      </w:r>
    </w:p>
    <w:p w14:paraId="1D0960BF">
      <w:pPr>
        <w:spacing w:line="360" w:lineRule="auto"/>
        <w:jc w:val="both"/>
        <w:rPr>
          <w:b/>
          <w:sz w:val="24"/>
        </w:rPr>
      </w:pPr>
    </w:p>
    <w:p w14:paraId="391284FC">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b/>
          <w:bCs w:val="0"/>
          <w:sz w:val="32"/>
          <w:szCs w:val="32"/>
        </w:rPr>
      </w:pPr>
      <w:r>
        <w:rPr>
          <w:rFonts w:hint="eastAsia"/>
          <w:b/>
          <w:bCs w:val="0"/>
          <w:sz w:val="32"/>
          <w:szCs w:val="32"/>
        </w:rPr>
        <w:t>第三节</w:t>
      </w:r>
      <w:r>
        <w:rPr>
          <w:rFonts w:hint="eastAsia"/>
          <w:b/>
          <w:bCs w:val="0"/>
          <w:sz w:val="32"/>
          <w:szCs w:val="32"/>
          <w:lang w:val="en-US" w:eastAsia="zh-CN"/>
        </w:rPr>
        <w:t xml:space="preserve">  </w:t>
      </w:r>
      <w:r>
        <w:rPr>
          <w:rFonts w:hint="eastAsia"/>
          <w:b/>
          <w:bCs w:val="0"/>
          <w:sz w:val="32"/>
          <w:szCs w:val="32"/>
        </w:rPr>
        <w:t>合同附件格式</w:t>
      </w:r>
    </w:p>
    <w:p w14:paraId="6B373C32">
      <w:pPr>
        <w:bidi w:val="0"/>
        <w:rPr>
          <w:rFonts w:hint="eastAsia"/>
        </w:rPr>
      </w:pPr>
    </w:p>
    <w:p w14:paraId="2F8F7A29">
      <w:pPr>
        <w:bidi w:val="0"/>
        <w:rPr>
          <w:rFonts w:hint="eastAsia" w:ascii="宋体" w:hAnsi="宋体" w:eastAsia="宋体" w:cs="宋体"/>
          <w:sz w:val="24"/>
          <w:szCs w:val="24"/>
        </w:rPr>
      </w:pPr>
      <w:r>
        <w:rPr>
          <w:rFonts w:hint="eastAsia" w:ascii="宋体" w:hAnsi="宋体" w:eastAsia="宋体" w:cs="宋体"/>
          <w:sz w:val="24"/>
          <w:szCs w:val="24"/>
        </w:rPr>
        <w:t>附件一：合同协议书</w:t>
      </w:r>
    </w:p>
    <w:p w14:paraId="6E880032">
      <w:pPr>
        <w:bidi w:val="0"/>
        <w:jc w:val="center"/>
        <w:rPr>
          <w:rFonts w:hint="eastAsia" w:ascii="宋体" w:hAnsi="宋体" w:eastAsia="宋体" w:cs="宋体"/>
          <w:b/>
          <w:bCs/>
          <w:sz w:val="30"/>
          <w:szCs w:val="30"/>
        </w:rPr>
      </w:pPr>
      <w:r>
        <w:rPr>
          <w:rFonts w:hint="eastAsia" w:ascii="宋体" w:hAnsi="宋体" w:eastAsia="宋体" w:cs="宋体"/>
          <w:b/>
          <w:bCs/>
          <w:sz w:val="30"/>
          <w:szCs w:val="30"/>
        </w:rPr>
        <w:t>合同协议书</w:t>
      </w:r>
    </w:p>
    <w:p w14:paraId="330E04E6">
      <w:pPr>
        <w:bidi w:val="0"/>
        <w:rPr>
          <w:rFonts w:hint="eastAsia" w:ascii="宋体" w:hAnsi="宋体" w:eastAsia="宋体" w:cs="宋体"/>
          <w:sz w:val="24"/>
          <w:szCs w:val="24"/>
        </w:rPr>
      </w:pPr>
    </w:p>
    <w:p w14:paraId="45DDC2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（买方名称，以下简称“买方 ”）为获得</w:t>
      </w:r>
      <w:r>
        <w:rPr>
          <w:rFonts w:hint="eastAsia" w:ascii="宋体" w:hAnsi="宋体" w:eastAsia="宋体" w:cs="宋体"/>
          <w:sz w:val="24"/>
          <w:szCs w:val="24"/>
          <w:u w:val="single"/>
        </w:rPr>
        <w:t xml:space="preserve">          </w:t>
      </w:r>
      <w:r>
        <w:rPr>
          <w:rFonts w:hint="eastAsia" w:ascii="宋体" w:hAnsi="宋体" w:eastAsia="宋体" w:cs="宋体"/>
          <w:sz w:val="24"/>
          <w:szCs w:val="24"/>
        </w:rPr>
        <w:t>（招标项目名称）合同设备和技术服务和质保期服务，已接受</w:t>
      </w:r>
      <w:r>
        <w:rPr>
          <w:rFonts w:hint="eastAsia" w:ascii="宋体" w:hAnsi="宋体" w:eastAsia="宋体" w:cs="宋体"/>
          <w:sz w:val="24"/>
          <w:szCs w:val="24"/>
          <w:u w:val="single"/>
        </w:rPr>
        <w:t xml:space="preserve">                   </w:t>
      </w:r>
      <w:r>
        <w:rPr>
          <w:rFonts w:hint="eastAsia" w:ascii="宋体" w:hAnsi="宋体" w:eastAsia="宋体" w:cs="宋体"/>
          <w:sz w:val="24"/>
          <w:szCs w:val="24"/>
        </w:rPr>
        <w:t>（卖方名称，以下简称“卖方 ”）为提供上述合同设备和技术服务和质保期服务所作的投标，买方和卖方共同达成如下协议：</w:t>
      </w:r>
    </w:p>
    <w:p w14:paraId="3E34A6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 本协议书与下列文件一起构成合同文件：</w:t>
      </w:r>
    </w:p>
    <w:p w14:paraId="1567F8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（1）合同协议书；</w:t>
      </w:r>
    </w:p>
    <w:p w14:paraId="0CC3D4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（2）中标通知书；</w:t>
      </w:r>
    </w:p>
    <w:p w14:paraId="1B2DA0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（3）招标文件（含澄清文件，如有）；</w:t>
      </w:r>
    </w:p>
    <w:p w14:paraId="49A4EC8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（4）投标函</w:t>
      </w:r>
      <w:r>
        <w:rPr>
          <w:rFonts w:hint="eastAsia" w:ascii="宋体" w:hAnsi="宋体" w:eastAsia="宋体" w:cs="宋体"/>
          <w:sz w:val="24"/>
          <w:szCs w:val="24"/>
          <w:lang w:val="en-US" w:eastAsia="zh-CN"/>
        </w:rPr>
        <w:t>及其附录</w:t>
      </w:r>
      <w:r>
        <w:rPr>
          <w:rFonts w:hint="eastAsia" w:ascii="宋体" w:hAnsi="宋体" w:eastAsia="宋体" w:cs="宋体"/>
          <w:sz w:val="24"/>
          <w:szCs w:val="24"/>
        </w:rPr>
        <w:t>；</w:t>
      </w:r>
    </w:p>
    <w:p w14:paraId="5035F0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（5）专用合同条款；</w:t>
      </w:r>
    </w:p>
    <w:p w14:paraId="7796E3F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（6）通用合同条款；</w:t>
      </w:r>
    </w:p>
    <w:p w14:paraId="5F1E914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（7）供货要求；</w:t>
      </w:r>
    </w:p>
    <w:p w14:paraId="29DB6D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w:t>
      </w:r>
      <w:r>
        <w:rPr>
          <w:rFonts w:hint="eastAsia" w:ascii="宋体" w:hAnsi="宋体" w:eastAsia="宋体" w:cs="宋体"/>
          <w:sz w:val="24"/>
          <w:szCs w:val="24"/>
          <w:lang w:val="en-US" w:eastAsia="zh-CN"/>
        </w:rPr>
        <w:t>清单</w:t>
      </w:r>
      <w:r>
        <w:rPr>
          <w:rFonts w:hint="eastAsia" w:ascii="宋体" w:hAnsi="宋体" w:eastAsia="宋体" w:cs="宋体"/>
          <w:sz w:val="24"/>
          <w:szCs w:val="24"/>
        </w:rPr>
        <w:t>报价表；</w:t>
      </w:r>
    </w:p>
    <w:p w14:paraId="37B14D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（9）</w:t>
      </w:r>
      <w:r>
        <w:rPr>
          <w:rFonts w:hint="eastAsia" w:ascii="宋体" w:hAnsi="宋体" w:eastAsia="宋体" w:cs="宋体"/>
          <w:sz w:val="24"/>
          <w:szCs w:val="24"/>
          <w:lang w:val="en-US" w:eastAsia="zh-CN"/>
        </w:rPr>
        <w:t>图纸；</w:t>
      </w:r>
    </w:p>
    <w:p w14:paraId="2CA7F7E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（10）中标材料质量标准的详细描述；</w:t>
      </w:r>
    </w:p>
    <w:p w14:paraId="295322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1</w:t>
      </w:r>
      <w:r>
        <w:rPr>
          <w:rFonts w:hint="eastAsia" w:ascii="宋体" w:hAnsi="宋体" w:eastAsia="宋体" w:cs="宋体"/>
          <w:sz w:val="24"/>
          <w:szCs w:val="24"/>
        </w:rPr>
        <w:t>）相关服务计划；</w:t>
      </w:r>
    </w:p>
    <w:p w14:paraId="190C2A7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其他合同文件：①双方在履行合同过程中形成的双方授权代表签署的会议纪要、备忘录、补充文件、变更和洽商等书面形式的文件构成本合同的组成部分。②当合同文件的条款内容含糊不清或不相一致，并且不能依据合同约定的解释顺序阐述清楚时，在不影响工程正常进行的情况下， 由当事人协商解决，当事人经协商未能达成，根据专用条款 17.争议的解决的约定解决。</w:t>
      </w:r>
    </w:p>
    <w:p w14:paraId="04249A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 上述合同文件互相补充和解释。如果合同文件之间存在矛盾或不一致之处，以上述文件的排列顺序在先者为准。</w:t>
      </w:r>
    </w:p>
    <w:p w14:paraId="0AC6D0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3. 签约合同价：人民币 （大写）</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r>
        <w:rPr>
          <w:rFonts w:hint="eastAsia" w:ascii="宋体" w:hAnsi="宋体" w:cs="宋体"/>
          <w:sz w:val="24"/>
          <w:szCs w:val="24"/>
          <w:lang w:eastAsia="zh-CN"/>
        </w:rPr>
        <w:t>。</w:t>
      </w:r>
    </w:p>
    <w:p w14:paraId="61F5A58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 卖方承诺保证完全按照合同约定提供合同设备和技术服务和质保期服务并修补缺陷。</w:t>
      </w:r>
    </w:p>
    <w:p w14:paraId="04C4D48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rPr>
        <w:t>5. 卖方承诺保证按中标价限额</w:t>
      </w:r>
      <w:r>
        <w:rPr>
          <w:rFonts w:hint="eastAsia" w:ascii="宋体" w:hAnsi="宋体" w:cs="宋体"/>
          <w:sz w:val="24"/>
          <w:szCs w:val="24"/>
          <w:lang w:val="en-US" w:eastAsia="zh-CN"/>
        </w:rPr>
        <w:t>实施本项目。</w:t>
      </w:r>
    </w:p>
    <w:p w14:paraId="3013F1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 xml:space="preserve">6. </w:t>
      </w:r>
      <w:r>
        <w:rPr>
          <w:rFonts w:hint="eastAsia" w:ascii="宋体" w:hAnsi="宋体" w:eastAsia="宋体" w:cs="宋体"/>
          <w:sz w:val="24"/>
          <w:szCs w:val="24"/>
        </w:rPr>
        <w:t>买方承诺保证按照合同约定的条件、时间和方式向卖方支付合同价款。</w:t>
      </w:r>
    </w:p>
    <w:p w14:paraId="19547F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 xml:space="preserve">7. </w:t>
      </w:r>
      <w:r>
        <w:rPr>
          <w:rFonts w:hint="eastAsia" w:ascii="宋体" w:hAnsi="宋体" w:eastAsia="宋体" w:cs="宋体"/>
          <w:sz w:val="24"/>
          <w:szCs w:val="24"/>
        </w:rPr>
        <w:t>本合同协议书一式</w:t>
      </w:r>
      <w:r>
        <w:rPr>
          <w:rFonts w:hint="eastAsia" w:ascii="宋体" w:hAnsi="宋体" w:eastAsia="宋体" w:cs="宋体"/>
          <w:sz w:val="24"/>
          <w:szCs w:val="24"/>
          <w:u w:val="single"/>
        </w:rPr>
        <w:t xml:space="preserve">         </w:t>
      </w:r>
      <w:r>
        <w:rPr>
          <w:rFonts w:hint="eastAsia" w:ascii="宋体" w:hAnsi="宋体" w:eastAsia="宋体" w:cs="宋体"/>
          <w:sz w:val="24"/>
          <w:szCs w:val="24"/>
        </w:rPr>
        <w:t>份，合同双方各执</w:t>
      </w:r>
      <w:r>
        <w:rPr>
          <w:rFonts w:hint="eastAsia" w:ascii="宋体" w:hAnsi="宋体" w:eastAsia="宋体" w:cs="宋体"/>
          <w:sz w:val="24"/>
          <w:szCs w:val="24"/>
          <w:u w:val="single"/>
        </w:rPr>
        <w:t xml:space="preserve">         </w:t>
      </w:r>
      <w:r>
        <w:rPr>
          <w:rFonts w:hint="eastAsia" w:ascii="宋体" w:hAnsi="宋体" w:eastAsia="宋体" w:cs="宋体"/>
          <w:sz w:val="24"/>
          <w:szCs w:val="24"/>
        </w:rPr>
        <w:t>份。</w:t>
      </w:r>
    </w:p>
    <w:p w14:paraId="3F94CE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8.</w:t>
      </w:r>
      <w:r>
        <w:rPr>
          <w:rFonts w:hint="eastAsia" w:ascii="宋体" w:hAnsi="宋体" w:eastAsia="宋体" w:cs="宋体"/>
          <w:sz w:val="24"/>
          <w:szCs w:val="24"/>
        </w:rPr>
        <w:t xml:space="preserve"> 合同未尽事宜，双方另行签订补充协议，补充协议是合同的组成部分。</w:t>
      </w:r>
    </w:p>
    <w:p w14:paraId="66548A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14:paraId="2D3E91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14:paraId="295D96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买方：</w:t>
      </w:r>
      <w:r>
        <w:rPr>
          <w:rFonts w:hint="eastAsia" w:ascii="宋体" w:hAnsi="宋体" w:eastAsia="宋体" w:cs="宋体"/>
          <w:sz w:val="24"/>
          <w:szCs w:val="24"/>
          <w:u w:val="single"/>
        </w:rPr>
        <w:t xml:space="preserve">                             </w:t>
      </w:r>
      <w:r>
        <w:rPr>
          <w:rFonts w:hint="eastAsia" w:ascii="宋体" w:hAnsi="宋体" w:eastAsia="宋体" w:cs="宋体"/>
          <w:sz w:val="24"/>
          <w:szCs w:val="24"/>
        </w:rPr>
        <w:t>（盖单位章）</w:t>
      </w:r>
    </w:p>
    <w:p w14:paraId="2BB6D6D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法定代表人（单位负责人）或其委托代理人：</w:t>
      </w:r>
      <w:r>
        <w:rPr>
          <w:rFonts w:hint="eastAsia" w:ascii="宋体" w:hAnsi="宋体" w:eastAsia="宋体" w:cs="宋体"/>
          <w:sz w:val="24"/>
          <w:szCs w:val="24"/>
          <w:u w:val="single"/>
        </w:rPr>
        <w:t xml:space="preserve">         </w:t>
      </w:r>
      <w:r>
        <w:rPr>
          <w:rFonts w:hint="eastAsia" w:ascii="宋体" w:hAnsi="宋体" w:eastAsia="宋体" w:cs="宋体"/>
          <w:sz w:val="24"/>
          <w:szCs w:val="24"/>
        </w:rPr>
        <w:t>（签字）</w:t>
      </w:r>
    </w:p>
    <w:p w14:paraId="57E3400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14:paraId="50E0A1C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 xml:space="preserve"> 年         月        日</w:t>
      </w:r>
    </w:p>
    <w:p w14:paraId="760F444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14:paraId="7FE028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14:paraId="47C2B75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14:paraId="47940AB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卖方：</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（盖单位章） </w:t>
      </w:r>
    </w:p>
    <w:p w14:paraId="7F8078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法定代表人（单位负责人）或其委托代理人：</w:t>
      </w:r>
      <w:r>
        <w:rPr>
          <w:rFonts w:hint="eastAsia" w:ascii="宋体" w:hAnsi="宋体" w:eastAsia="宋体" w:cs="宋体"/>
          <w:sz w:val="24"/>
          <w:szCs w:val="24"/>
          <w:u w:val="single"/>
        </w:rPr>
        <w:t xml:space="preserve">          </w:t>
      </w:r>
      <w:r>
        <w:rPr>
          <w:rFonts w:hint="eastAsia" w:ascii="宋体" w:hAnsi="宋体" w:eastAsia="宋体" w:cs="宋体"/>
          <w:sz w:val="24"/>
          <w:szCs w:val="24"/>
        </w:rPr>
        <w:t>（签字）</w:t>
      </w:r>
    </w:p>
    <w:p w14:paraId="3FBB370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 xml:space="preserve"> 年        月        日</w:t>
      </w:r>
    </w:p>
    <w:p w14:paraId="7E2D3C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14:paraId="570457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14:paraId="7994A5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sectPr>
          <w:pgSz w:w="11906" w:h="16838"/>
          <w:pgMar w:top="1440" w:right="907" w:bottom="1440" w:left="1247" w:header="851" w:footer="992" w:gutter="0"/>
          <w:pgNumType w:fmt="decimal"/>
          <w:cols w:space="720" w:num="1"/>
          <w:formProt w:val="0"/>
          <w:docGrid w:linePitch="286" w:charSpace="0"/>
        </w:sectPr>
      </w:pPr>
    </w:p>
    <w:p w14:paraId="0F08D9B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附件二：履约保证金格式（参考）</w:t>
      </w:r>
    </w:p>
    <w:p w14:paraId="0A9305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14:paraId="3DD9F35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如采用银行保函或担保公司担保，格式如下。</w:t>
      </w:r>
    </w:p>
    <w:p w14:paraId="20978184">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center"/>
        <w:textAlignment w:val="auto"/>
        <w:rPr>
          <w:rFonts w:hint="eastAsia" w:ascii="宋体" w:hAnsi="宋体" w:eastAsia="宋体" w:cs="宋体"/>
          <w:b/>
          <w:bCs/>
          <w:sz w:val="32"/>
          <w:szCs w:val="32"/>
        </w:rPr>
      </w:pPr>
      <w:r>
        <w:rPr>
          <w:rFonts w:hint="eastAsia" w:ascii="宋体" w:hAnsi="宋体" w:eastAsia="宋体" w:cs="宋体"/>
          <w:b/>
          <w:bCs/>
          <w:sz w:val="32"/>
          <w:szCs w:val="32"/>
        </w:rPr>
        <w:t>履约保证金</w:t>
      </w:r>
    </w:p>
    <w:p w14:paraId="50FB19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（买方名称）：</w:t>
      </w:r>
    </w:p>
    <w:p w14:paraId="124AD3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14:paraId="1C2DA8F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鉴于（买方名称，以下简称“买方”）接受（卖方名称，以下称“卖方”）于</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月</w:t>
      </w:r>
      <w:r>
        <w:rPr>
          <w:rFonts w:hint="eastAsia" w:ascii="宋体" w:hAnsi="宋体" w:eastAsia="宋体" w:cs="宋体"/>
          <w:sz w:val="24"/>
          <w:szCs w:val="24"/>
          <w:u w:val="single"/>
        </w:rPr>
        <w:t xml:space="preserve">        </w:t>
      </w:r>
      <w:r>
        <w:rPr>
          <w:rFonts w:hint="eastAsia" w:ascii="宋体" w:hAnsi="宋体" w:eastAsia="宋体" w:cs="宋体"/>
          <w:sz w:val="24"/>
          <w:szCs w:val="24"/>
        </w:rPr>
        <w:t>日参加</w:t>
      </w:r>
      <w:r>
        <w:rPr>
          <w:rFonts w:hint="eastAsia" w:ascii="宋体" w:hAnsi="宋体" w:eastAsia="宋体" w:cs="宋体"/>
          <w:sz w:val="24"/>
          <w:szCs w:val="24"/>
          <w:u w:val="single"/>
        </w:rPr>
        <w:t xml:space="preserve">                      </w:t>
      </w:r>
      <w:r>
        <w:rPr>
          <w:rFonts w:hint="eastAsia" w:ascii="宋体" w:hAnsi="宋体" w:eastAsia="宋体" w:cs="宋体"/>
          <w:sz w:val="24"/>
          <w:szCs w:val="24"/>
          <w:u w:val="none"/>
        </w:rPr>
        <w:t>（招标项目名称）</w:t>
      </w:r>
      <w:r>
        <w:rPr>
          <w:rFonts w:hint="eastAsia" w:ascii="宋体" w:hAnsi="宋体" w:eastAsia="宋体" w:cs="宋体"/>
          <w:sz w:val="24"/>
          <w:szCs w:val="24"/>
          <w:lang w:val="en-US" w:eastAsia="zh-CN"/>
        </w:rPr>
        <w:t>货物</w:t>
      </w:r>
      <w:r>
        <w:rPr>
          <w:rFonts w:hint="eastAsia" w:ascii="宋体" w:hAnsi="宋体" w:eastAsia="宋体" w:cs="宋体"/>
          <w:sz w:val="24"/>
          <w:szCs w:val="24"/>
        </w:rPr>
        <w:t>招标项目的投标。我方愿意无条件地、不可撤销地就卖方履行与你方订立的合同，向你方提供担保。</w:t>
      </w:r>
    </w:p>
    <w:p w14:paraId="6C29F1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 担保金额人民币（大写）</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7831EB2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 担保有效期自买方与卖方签订的合同生效之日起至在合同所有设备/货物全部到卖方现场之日起 28 日后失效。</w:t>
      </w:r>
    </w:p>
    <w:p w14:paraId="0BFA0F3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 在本担保有效期内，如果卖方不履行合同约定的义务或其履行不符合合同的约定，我方在收到你方以书面形式提出的在担保金额内的赔偿要求后，在 7 日内无条件支付。</w:t>
      </w:r>
    </w:p>
    <w:p w14:paraId="3DD885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 买方和卖方变更合同时，无论我方是否收到该变更，我方承担本担保规定的义务不变。</w:t>
      </w:r>
    </w:p>
    <w:p w14:paraId="645DE7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14:paraId="590139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14:paraId="093885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担保人名称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（盖单位章） </w:t>
      </w:r>
    </w:p>
    <w:p w14:paraId="617474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法定代表人（单位负责人）或其委托代理人：</w:t>
      </w:r>
      <w:r>
        <w:rPr>
          <w:rFonts w:hint="eastAsia" w:ascii="宋体" w:hAnsi="宋体" w:eastAsia="宋体" w:cs="宋体"/>
          <w:sz w:val="24"/>
          <w:szCs w:val="24"/>
          <w:u w:val="single"/>
        </w:rPr>
        <w:t xml:space="preserve">              </w:t>
      </w:r>
      <w:r>
        <w:rPr>
          <w:rFonts w:hint="eastAsia" w:ascii="宋体" w:hAnsi="宋体" w:eastAsia="宋体" w:cs="宋体"/>
          <w:sz w:val="24"/>
          <w:szCs w:val="24"/>
        </w:rPr>
        <w:t>（签字）</w:t>
      </w:r>
    </w:p>
    <w:p w14:paraId="3A35E2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    址 ：</w:t>
      </w:r>
      <w:r>
        <w:rPr>
          <w:rFonts w:hint="eastAsia" w:ascii="宋体" w:hAnsi="宋体" w:eastAsia="宋体" w:cs="宋体"/>
          <w:sz w:val="24"/>
          <w:szCs w:val="24"/>
        </w:rPr>
        <w:tab/>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邮政编码：</w:t>
      </w:r>
      <w:r>
        <w:rPr>
          <w:rFonts w:hint="eastAsia" w:ascii="宋体" w:hAnsi="宋体" w:eastAsia="宋体" w:cs="宋体"/>
          <w:sz w:val="24"/>
          <w:szCs w:val="24"/>
        </w:rPr>
        <w:tab/>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电    话 ：                                        </w:t>
      </w:r>
    </w:p>
    <w:p w14:paraId="6508E8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sectPr>
          <w:pgSz w:w="11906" w:h="16838"/>
          <w:pgMar w:top="1440" w:right="907" w:bottom="1440" w:left="1247" w:header="851" w:footer="992" w:gutter="0"/>
          <w:pgNumType w:fmt="decimal"/>
          <w:cols w:space="720" w:num="1"/>
          <w:formProt w:val="0"/>
          <w:docGrid w:linePitch="286" w:charSpace="0"/>
        </w:sectPr>
      </w:pPr>
      <w:r>
        <w:rPr>
          <w:rFonts w:hint="eastAsia" w:ascii="宋体" w:hAnsi="宋体" w:eastAsia="宋体" w:cs="宋体"/>
          <w:sz w:val="24"/>
          <w:szCs w:val="24"/>
        </w:rPr>
        <w:tab/>
      </w:r>
      <w:r>
        <w:rPr>
          <w:rFonts w:hint="eastAsia" w:ascii="宋体" w:hAnsi="宋体" w:eastAsia="宋体" w:cs="宋体"/>
          <w:sz w:val="24"/>
          <w:szCs w:val="24"/>
        </w:rPr>
        <w:t xml:space="preserve"> 年        月        日</w:t>
      </w:r>
    </w:p>
    <w:p w14:paraId="5277A2C5">
      <w:pPr>
        <w:numPr>
          <w:ilvl w:val="0"/>
          <w:numId w:val="0"/>
        </w:numPr>
        <w:spacing w:line="360" w:lineRule="auto"/>
        <w:ind w:left="402" w:leftChars="0"/>
        <w:jc w:val="center"/>
        <w:outlineLvl w:val="0"/>
        <w:rPr>
          <w:rFonts w:hint="eastAsia" w:ascii="黑体" w:hAnsi="黑体" w:eastAsia="黑体" w:cs="黑体"/>
          <w:b/>
          <w:sz w:val="44"/>
          <w:szCs w:val="44"/>
        </w:rPr>
      </w:pPr>
      <w:bookmarkStart w:id="133" w:name="_Toc1350"/>
      <w:r>
        <w:rPr>
          <w:rFonts w:ascii="黑体" w:hAnsi="黑体" w:eastAsia="黑体" w:cs="黑体"/>
          <w:b/>
          <w:kern w:val="0"/>
          <w:sz w:val="44"/>
          <w:szCs w:val="44"/>
        </w:rPr>
        <w:t>第</w:t>
      </w:r>
      <w:r>
        <w:rPr>
          <w:rFonts w:hint="eastAsia" w:ascii="黑体" w:hAnsi="黑体" w:eastAsia="黑体" w:cs="黑体"/>
          <w:b/>
          <w:kern w:val="0"/>
          <w:sz w:val="44"/>
          <w:szCs w:val="44"/>
          <w:lang w:val="en-US" w:eastAsia="zh-CN"/>
        </w:rPr>
        <w:t>五</w:t>
      </w:r>
      <w:r>
        <w:rPr>
          <w:rFonts w:ascii="黑体" w:hAnsi="黑体" w:eastAsia="黑体" w:cs="黑体"/>
          <w:b/>
          <w:kern w:val="0"/>
          <w:sz w:val="44"/>
          <w:szCs w:val="44"/>
        </w:rPr>
        <w:t>章</w:t>
      </w:r>
      <w:r>
        <w:rPr>
          <w:rFonts w:hint="eastAsia" w:ascii="黑体" w:hAnsi="黑体" w:eastAsia="黑体" w:cs="黑体"/>
          <w:b/>
          <w:kern w:val="0"/>
          <w:sz w:val="44"/>
          <w:szCs w:val="44"/>
          <w:lang w:val="en-US" w:eastAsia="zh-CN"/>
        </w:rPr>
        <w:t xml:space="preserve"> </w:t>
      </w:r>
      <w:r>
        <w:rPr>
          <w:rFonts w:hint="eastAsia" w:ascii="黑体" w:hAnsi="黑体" w:eastAsia="黑体" w:cs="黑体"/>
          <w:b/>
          <w:sz w:val="44"/>
          <w:szCs w:val="44"/>
        </w:rPr>
        <w:t>技术标准和要求</w:t>
      </w:r>
      <w:bookmarkEnd w:id="133"/>
    </w:p>
    <w:p w14:paraId="020205D4">
      <w:pPr>
        <w:bidi w:val="0"/>
        <w:ind w:firstLine="640" w:firstLineChars="200"/>
        <w:jc w:val="center"/>
        <w:rPr>
          <w:rFonts w:ascii="仿宋" w:hAnsi="仿宋" w:eastAsia="仿宋" w:cs="仿宋"/>
          <w:b w:val="0"/>
          <w:bCs w:val="0"/>
          <w:color w:val="000000"/>
          <w:sz w:val="32"/>
          <w:szCs w:val="32"/>
        </w:rPr>
      </w:pPr>
    </w:p>
    <w:p w14:paraId="22774A6C">
      <w:pPr>
        <w:pStyle w:val="16"/>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一、本</w:t>
      </w:r>
      <w:r>
        <w:rPr>
          <w:rFonts w:hint="eastAsia" w:ascii="仿宋" w:hAnsi="仿宋" w:eastAsia="仿宋" w:cs="仿宋"/>
          <w:b w:val="0"/>
          <w:bCs w:val="0"/>
          <w:color w:val="000000"/>
          <w:sz w:val="32"/>
          <w:szCs w:val="32"/>
          <w:lang w:val="en-US" w:eastAsia="zh-CN"/>
        </w:rPr>
        <w:t>项目</w:t>
      </w:r>
      <w:r>
        <w:rPr>
          <w:rFonts w:hint="eastAsia" w:ascii="仿宋" w:hAnsi="仿宋" w:eastAsia="仿宋" w:cs="仿宋"/>
          <w:b w:val="0"/>
          <w:bCs w:val="0"/>
          <w:color w:val="000000"/>
          <w:sz w:val="32"/>
          <w:szCs w:val="32"/>
        </w:rPr>
        <w:t>采用的技术规范</w:t>
      </w:r>
    </w:p>
    <w:p w14:paraId="3086FA72">
      <w:pPr>
        <w:pStyle w:val="16"/>
        <w:rPr>
          <w:rFonts w:hint="eastAsia" w:ascii="仿宋" w:hAnsi="仿宋" w:eastAsia="仿宋" w:cs="仿宋"/>
          <w:b w:val="0"/>
          <w:bCs w:val="0"/>
          <w:color w:val="000000"/>
          <w:sz w:val="32"/>
          <w:szCs w:val="32"/>
        </w:rPr>
      </w:pPr>
    </w:p>
    <w:p w14:paraId="5A5E3DA4">
      <w:pPr>
        <w:pStyle w:val="16"/>
        <w:ind w:firstLine="640" w:firstLineChars="200"/>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若技术规范与图纸不符，则以图纸为准；若出台最新技术规范，则以国家、地方或行业出台</w:t>
      </w:r>
      <w:r>
        <w:rPr>
          <w:rFonts w:hint="eastAsia" w:ascii="仿宋" w:hAnsi="仿宋" w:eastAsia="仿宋" w:cs="仿宋"/>
          <w:b w:val="0"/>
          <w:bCs w:val="0"/>
          <w:color w:val="000000"/>
          <w:sz w:val="32"/>
          <w:szCs w:val="32"/>
          <w:lang w:val="en-US" w:eastAsia="zh-CN"/>
        </w:rPr>
        <w:t>的</w:t>
      </w:r>
      <w:r>
        <w:rPr>
          <w:rFonts w:hint="eastAsia" w:ascii="仿宋" w:hAnsi="仿宋" w:eastAsia="仿宋" w:cs="仿宋"/>
          <w:b w:val="0"/>
          <w:bCs w:val="0"/>
          <w:color w:val="000000"/>
          <w:sz w:val="32"/>
          <w:szCs w:val="32"/>
        </w:rPr>
        <w:t>最新技术规范为准。</w:t>
      </w:r>
    </w:p>
    <w:p w14:paraId="46A1DDF0">
      <w:pPr>
        <w:pStyle w:val="16"/>
        <w:rPr>
          <w:rFonts w:hint="eastAsia" w:ascii="仿宋" w:hAnsi="仿宋" w:eastAsia="仿宋" w:cs="仿宋"/>
          <w:b w:val="0"/>
          <w:bCs w:val="0"/>
          <w:color w:val="000000"/>
          <w:sz w:val="32"/>
          <w:szCs w:val="32"/>
        </w:rPr>
      </w:pPr>
    </w:p>
    <w:p w14:paraId="2BC2DD90">
      <w:pPr>
        <w:pStyle w:val="16"/>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二、对材料的质量和试验要求</w:t>
      </w:r>
    </w:p>
    <w:p w14:paraId="182C248B">
      <w:pPr>
        <w:pStyle w:val="16"/>
        <w:rPr>
          <w:rFonts w:hint="eastAsia" w:ascii="仿宋" w:hAnsi="仿宋" w:eastAsia="仿宋" w:cs="仿宋"/>
          <w:b w:val="0"/>
          <w:bCs w:val="0"/>
          <w:color w:val="000000"/>
          <w:sz w:val="32"/>
          <w:szCs w:val="32"/>
        </w:rPr>
      </w:pPr>
    </w:p>
    <w:p w14:paraId="351A921A">
      <w:pPr>
        <w:pStyle w:val="16"/>
        <w:ind w:firstLine="640" w:firstLineChars="200"/>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要求框架及锚固系统使用寿命最少要达到十年以上（自本项目整体验收合格交付之日起计算）。</w:t>
      </w:r>
    </w:p>
    <w:p w14:paraId="1F2FDCC8">
      <w:pPr>
        <w:pStyle w:val="16"/>
        <w:rPr>
          <w:rFonts w:hint="eastAsia" w:ascii="仿宋" w:hAnsi="仿宋" w:eastAsia="仿宋" w:cs="仿宋"/>
          <w:b w:val="0"/>
          <w:bCs w:val="0"/>
          <w:color w:val="000000"/>
          <w:sz w:val="32"/>
          <w:szCs w:val="32"/>
        </w:rPr>
      </w:pPr>
    </w:p>
    <w:p w14:paraId="702E3A86">
      <w:pPr>
        <w:pStyle w:val="16"/>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lang w:val="en-US" w:eastAsia="zh-CN"/>
        </w:rPr>
        <w:t>四、</w:t>
      </w:r>
      <w:r>
        <w:rPr>
          <w:rFonts w:hint="eastAsia" w:ascii="仿宋" w:hAnsi="仿宋" w:eastAsia="仿宋" w:cs="仿宋"/>
          <w:b w:val="0"/>
          <w:bCs w:val="0"/>
          <w:color w:val="000000"/>
          <w:sz w:val="32"/>
          <w:szCs w:val="32"/>
        </w:rPr>
        <w:t>其它说明</w:t>
      </w:r>
    </w:p>
    <w:p w14:paraId="0B36ADA7">
      <w:pPr>
        <w:pStyle w:val="16"/>
        <w:ind w:firstLine="640" w:firstLineChars="200"/>
        <w:rPr>
          <w:rFonts w:hint="eastAsia" w:ascii="仿宋" w:hAnsi="仿宋" w:eastAsia="仿宋" w:cs="仿宋"/>
          <w:b w:val="0"/>
          <w:bCs w:val="0"/>
          <w:color w:val="000000"/>
          <w:sz w:val="32"/>
          <w:szCs w:val="32"/>
        </w:rPr>
      </w:pPr>
    </w:p>
    <w:p w14:paraId="3C114E66">
      <w:pPr>
        <w:pStyle w:val="16"/>
        <w:ind w:firstLine="640" w:firstLineChars="200"/>
        <w:rPr>
          <w:rFonts w:hint="eastAsia"/>
        </w:rPr>
        <w:sectPr>
          <w:pgSz w:w="11906" w:h="16838"/>
          <w:pgMar w:top="1440" w:right="907" w:bottom="1440" w:left="1247" w:header="851" w:footer="992" w:gutter="0"/>
          <w:pgNumType w:fmt="decimal"/>
          <w:cols w:space="720" w:num="1"/>
          <w:formProt w:val="0"/>
          <w:docGrid w:linePitch="286" w:charSpace="0"/>
        </w:sectPr>
      </w:pPr>
      <w:r>
        <w:rPr>
          <w:rFonts w:hint="eastAsia" w:ascii="仿宋" w:hAnsi="仿宋" w:eastAsia="仿宋" w:cs="仿宋"/>
          <w:b w:val="0"/>
          <w:bCs w:val="0"/>
          <w:color w:val="000000"/>
          <w:sz w:val="32"/>
          <w:szCs w:val="32"/>
        </w:rPr>
        <w:t>中标人需通过现场踏勘当地海域情况或其它途径掌握项目海域信息，以保证</w:t>
      </w:r>
      <w:r>
        <w:rPr>
          <w:rFonts w:hint="eastAsia" w:ascii="仿宋" w:hAnsi="仿宋" w:eastAsia="仿宋" w:cs="仿宋"/>
          <w:b w:val="0"/>
          <w:bCs w:val="0"/>
          <w:color w:val="000000"/>
          <w:sz w:val="32"/>
          <w:szCs w:val="32"/>
          <w:lang w:val="en-US" w:eastAsia="zh-CN"/>
        </w:rPr>
        <w:t>项目</w:t>
      </w:r>
      <w:r>
        <w:rPr>
          <w:rFonts w:hint="eastAsia" w:ascii="仿宋" w:hAnsi="仿宋" w:eastAsia="仿宋" w:cs="仿宋"/>
          <w:b w:val="0"/>
          <w:bCs w:val="0"/>
          <w:color w:val="000000"/>
          <w:sz w:val="32"/>
          <w:szCs w:val="32"/>
        </w:rPr>
        <w:t>方案的合理性。</w:t>
      </w:r>
    </w:p>
    <w:p w14:paraId="37A9B0C7">
      <w:pPr>
        <w:numPr>
          <w:ilvl w:val="0"/>
          <w:numId w:val="0"/>
        </w:numPr>
        <w:spacing w:line="360" w:lineRule="auto"/>
        <w:ind w:left="402" w:leftChars="0"/>
        <w:jc w:val="center"/>
        <w:outlineLvl w:val="0"/>
        <w:rPr>
          <w:rFonts w:hint="eastAsia" w:ascii="黑体" w:hAnsi="黑体" w:eastAsia="黑体" w:cs="黑体"/>
          <w:b/>
          <w:kern w:val="0"/>
          <w:sz w:val="44"/>
          <w:szCs w:val="44"/>
        </w:rPr>
      </w:pPr>
      <w:bookmarkStart w:id="134" w:name="_Toc26006"/>
      <w:r>
        <w:rPr>
          <w:rFonts w:hint="eastAsia" w:ascii="黑体" w:hAnsi="黑体" w:eastAsia="黑体" w:cs="黑体"/>
          <w:b/>
          <w:sz w:val="44"/>
          <w:szCs w:val="44"/>
        </w:rPr>
        <w:t>第</w:t>
      </w:r>
      <w:r>
        <w:rPr>
          <w:rFonts w:hint="eastAsia" w:ascii="黑体" w:hAnsi="黑体" w:eastAsia="黑体" w:cs="黑体"/>
          <w:b/>
          <w:sz w:val="44"/>
          <w:szCs w:val="44"/>
          <w:lang w:val="en-US" w:eastAsia="zh-CN"/>
        </w:rPr>
        <w:t>六</w:t>
      </w:r>
      <w:r>
        <w:rPr>
          <w:rFonts w:hint="eastAsia" w:ascii="黑体" w:hAnsi="黑体" w:eastAsia="黑体" w:cs="黑体"/>
          <w:b/>
          <w:sz w:val="44"/>
          <w:szCs w:val="44"/>
        </w:rPr>
        <w:t xml:space="preserve">章 </w:t>
      </w:r>
      <w:r>
        <w:rPr>
          <w:rFonts w:hint="eastAsia" w:ascii="黑体" w:hAnsi="黑体" w:eastAsia="黑体" w:cs="黑体"/>
          <w:b/>
          <w:kern w:val="0"/>
          <w:sz w:val="44"/>
          <w:szCs w:val="44"/>
        </w:rPr>
        <w:t>工程量清单</w:t>
      </w:r>
      <w:bookmarkEnd w:id="134"/>
    </w:p>
    <w:p w14:paraId="1E69086F">
      <w:pPr>
        <w:pStyle w:val="15"/>
        <w:widowControl/>
        <w:numPr>
          <w:ilvl w:val="0"/>
          <w:numId w:val="0"/>
        </w:numPr>
        <w:suppressAutoHyphens/>
        <w:bidi w:val="0"/>
        <w:spacing w:before="0" w:after="0"/>
        <w:jc w:val="center"/>
        <w:rPr>
          <w:rFonts w:hint="eastAsia"/>
        </w:rPr>
      </w:pPr>
      <w:r>
        <w:rPr>
          <w:rFonts w:ascii="仿宋" w:hAnsi="仿宋" w:eastAsia="仿宋" w:cs="仿宋"/>
          <w:b w:val="0"/>
          <w:bCs w:val="0"/>
          <w:color w:val="000000"/>
          <w:sz w:val="32"/>
          <w:szCs w:val="32"/>
        </w:rPr>
        <w:t>(另册)</w:t>
      </w:r>
    </w:p>
    <w:p w14:paraId="2BF17654">
      <w:pPr>
        <w:pStyle w:val="16"/>
        <w:rPr>
          <w:rFonts w:hint="eastAsia"/>
        </w:rPr>
      </w:pPr>
    </w:p>
    <w:p w14:paraId="15E7933F">
      <w:pPr>
        <w:pStyle w:val="1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cs="宋体"/>
          <w:lang w:val="en-US" w:eastAsia="zh-CN"/>
        </w:rPr>
        <w:t>1</w:t>
      </w:r>
      <w:r>
        <w:rPr>
          <w:rFonts w:hint="eastAsia" w:ascii="宋体" w:hAnsi="宋体" w:eastAsia="宋体" w:cs="宋体"/>
        </w:rPr>
        <w:t>. 说 明</w:t>
      </w:r>
    </w:p>
    <w:p w14:paraId="41119BBE">
      <w:pPr>
        <w:pStyle w:val="1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cs="宋体"/>
          <w:lang w:val="en-US" w:eastAsia="zh-CN"/>
        </w:rPr>
        <w:t>1</w:t>
      </w:r>
      <w:r>
        <w:rPr>
          <w:rFonts w:hint="eastAsia" w:ascii="宋体" w:hAnsi="宋体" w:eastAsia="宋体" w:cs="宋体"/>
        </w:rPr>
        <w:t>.1 工程量清单应与投标须知、合同条款和图纸等招标文件一起参照阅读。</w:t>
      </w:r>
    </w:p>
    <w:p w14:paraId="0D1E3D7D">
      <w:pPr>
        <w:pStyle w:val="1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cs="宋体"/>
          <w:lang w:val="en-US" w:eastAsia="zh-CN"/>
        </w:rPr>
        <w:t>1</w:t>
      </w:r>
      <w:r>
        <w:rPr>
          <w:rFonts w:hint="eastAsia" w:ascii="宋体" w:hAnsi="宋体" w:eastAsia="宋体" w:cs="宋体"/>
        </w:rPr>
        <w:t>.2 符合合同规定的全部工程量应包括在工程量清单所列的各项目中，如投标人认为存在合同规定应由其承担而在工程量清单中未详细列出的项目（不是漏项的工程量），则应提出书面异议。</w:t>
      </w:r>
    </w:p>
    <w:p w14:paraId="5741B028">
      <w:pPr>
        <w:pStyle w:val="1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cs="宋体"/>
          <w:lang w:val="en-US" w:eastAsia="zh-CN"/>
        </w:rPr>
        <w:t>1</w:t>
      </w:r>
      <w:r>
        <w:rPr>
          <w:rFonts w:hint="eastAsia" w:ascii="宋体" w:hAnsi="宋体" w:eastAsia="宋体" w:cs="宋体"/>
        </w:rPr>
        <w:t>.3 工程量发布清单中各项目的工作内容和要求及其计量和支付的规定按本合同有关规定执行。</w:t>
      </w:r>
    </w:p>
    <w:p w14:paraId="1B6BBA29">
      <w:pPr>
        <w:pStyle w:val="1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cs="宋体"/>
          <w:lang w:val="en-US" w:eastAsia="zh-CN"/>
        </w:rPr>
        <w:t>1</w:t>
      </w:r>
      <w:r>
        <w:rPr>
          <w:rFonts w:hint="eastAsia" w:ascii="宋体" w:hAnsi="宋体" w:eastAsia="宋体" w:cs="宋体"/>
        </w:rPr>
        <w:t>.4 本工程采用单价承包。</w:t>
      </w:r>
    </w:p>
    <w:p w14:paraId="7B0F15E9">
      <w:pPr>
        <w:pStyle w:val="1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cs="宋体"/>
          <w:lang w:val="en-US" w:eastAsia="zh-CN"/>
        </w:rPr>
        <w:t>1</w:t>
      </w:r>
      <w:r>
        <w:rPr>
          <w:rFonts w:hint="eastAsia" w:ascii="宋体" w:hAnsi="宋体" w:eastAsia="宋体" w:cs="宋体"/>
        </w:rPr>
        <w:t>.5 工程量清单中的工程量不作为最后结算工程量，用于结算的工程量是承包人实际完成的，并按合同有关计量规定计量的工程量。完成某一项目所需完成的工序，但工程量清单中并未标列的，则不视作漏项，而完成所需工序的相关费用被视为已包含在完成该项目的价格内。</w:t>
      </w:r>
    </w:p>
    <w:p w14:paraId="3E56F53D">
      <w:pPr>
        <w:pStyle w:val="1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cs="宋体"/>
          <w:lang w:val="en-US" w:eastAsia="zh-CN"/>
        </w:rPr>
        <w:t>1</w:t>
      </w:r>
      <w:r>
        <w:rPr>
          <w:rFonts w:hint="eastAsia" w:ascii="宋体" w:hAnsi="宋体" w:eastAsia="宋体" w:cs="宋体"/>
        </w:rPr>
        <w:t xml:space="preserve">.6 全部材料由投标人自购，投标人应充分考虑材料价格变动，材料价格自行分析确定，材料价格原则不作调整，如有规定需做调整，需在专用合同条款中注明。 </w:t>
      </w:r>
    </w:p>
    <w:p w14:paraId="04724491">
      <w:pPr>
        <w:pStyle w:val="16"/>
        <w:rPr>
          <w:rFonts w:hint="eastAsia"/>
        </w:rPr>
      </w:pPr>
    </w:p>
    <w:p w14:paraId="595EE468">
      <w:pPr>
        <w:pStyle w:val="16"/>
        <w:rPr>
          <w:rFonts w:hint="eastAsia"/>
        </w:rPr>
      </w:pPr>
    </w:p>
    <w:p w14:paraId="754A918E">
      <w:pPr>
        <w:pStyle w:val="16"/>
        <w:rPr>
          <w:rFonts w:hint="eastAsia"/>
        </w:rPr>
      </w:pPr>
    </w:p>
    <w:p w14:paraId="3ABADE8B">
      <w:pPr>
        <w:pStyle w:val="16"/>
        <w:rPr>
          <w:rFonts w:hint="eastAsia"/>
        </w:rPr>
      </w:pPr>
    </w:p>
    <w:p w14:paraId="796BCF7A">
      <w:pPr>
        <w:pStyle w:val="16"/>
        <w:rPr>
          <w:rFonts w:hint="eastAsia"/>
        </w:rPr>
      </w:pPr>
    </w:p>
    <w:p w14:paraId="5CBC6CDE">
      <w:pPr>
        <w:pStyle w:val="16"/>
        <w:rPr>
          <w:rFonts w:hint="eastAsia"/>
        </w:rPr>
      </w:pPr>
    </w:p>
    <w:p w14:paraId="7CF155A2">
      <w:pPr>
        <w:pStyle w:val="16"/>
        <w:rPr>
          <w:rFonts w:hint="eastAsia"/>
        </w:rPr>
      </w:pPr>
    </w:p>
    <w:p w14:paraId="680A1BA5">
      <w:pPr>
        <w:pStyle w:val="16"/>
        <w:rPr>
          <w:rFonts w:hint="eastAsia"/>
        </w:rPr>
      </w:pPr>
    </w:p>
    <w:p w14:paraId="28C08BE9">
      <w:pPr>
        <w:pStyle w:val="16"/>
        <w:rPr>
          <w:rFonts w:hint="eastAsia"/>
        </w:rPr>
      </w:pPr>
    </w:p>
    <w:p w14:paraId="42C0FD08">
      <w:pPr>
        <w:pStyle w:val="16"/>
        <w:rPr>
          <w:rFonts w:hint="eastAsia"/>
        </w:rPr>
      </w:pPr>
    </w:p>
    <w:p w14:paraId="299F56C5">
      <w:pPr>
        <w:pStyle w:val="16"/>
        <w:rPr>
          <w:rFonts w:hint="eastAsia"/>
        </w:rPr>
      </w:pPr>
    </w:p>
    <w:p w14:paraId="67B83285">
      <w:pPr>
        <w:pStyle w:val="16"/>
        <w:rPr>
          <w:rFonts w:hint="eastAsia"/>
        </w:rPr>
      </w:pPr>
    </w:p>
    <w:p w14:paraId="176A475E">
      <w:pPr>
        <w:pStyle w:val="16"/>
        <w:rPr>
          <w:rFonts w:hint="eastAsia"/>
        </w:rPr>
      </w:pPr>
    </w:p>
    <w:p w14:paraId="1C0A78CE">
      <w:pPr>
        <w:pStyle w:val="16"/>
        <w:rPr>
          <w:rFonts w:hint="eastAsia"/>
        </w:rPr>
      </w:pPr>
    </w:p>
    <w:p w14:paraId="68B8C547">
      <w:pPr>
        <w:pStyle w:val="16"/>
        <w:rPr>
          <w:rFonts w:hint="eastAsia"/>
        </w:rPr>
      </w:pPr>
    </w:p>
    <w:p w14:paraId="10F580EF">
      <w:pPr>
        <w:pStyle w:val="16"/>
        <w:rPr>
          <w:rFonts w:hint="eastAsia"/>
        </w:rPr>
      </w:pPr>
    </w:p>
    <w:p w14:paraId="10AA82B4">
      <w:pPr>
        <w:pStyle w:val="16"/>
        <w:rPr>
          <w:rFonts w:hint="eastAsia"/>
        </w:rPr>
      </w:pPr>
    </w:p>
    <w:p w14:paraId="2E248B06">
      <w:pPr>
        <w:numPr>
          <w:ilvl w:val="0"/>
          <w:numId w:val="0"/>
        </w:numPr>
        <w:spacing w:line="360" w:lineRule="auto"/>
        <w:jc w:val="center"/>
        <w:outlineLvl w:val="0"/>
        <w:rPr>
          <w:rFonts w:hint="eastAsia" w:ascii="黑体" w:hAnsi="黑体" w:eastAsia="黑体" w:cs="黑体"/>
          <w:b/>
          <w:sz w:val="44"/>
          <w:szCs w:val="44"/>
        </w:rPr>
        <w:sectPr>
          <w:pgSz w:w="11906" w:h="16838"/>
          <w:pgMar w:top="1440" w:right="907" w:bottom="1440" w:left="1247" w:header="851" w:footer="992" w:gutter="0"/>
          <w:pgNumType w:fmt="decimal"/>
          <w:cols w:space="720" w:num="1"/>
          <w:formProt w:val="0"/>
          <w:docGrid w:linePitch="286" w:charSpace="0"/>
        </w:sectPr>
      </w:pPr>
    </w:p>
    <w:p w14:paraId="25FA3239">
      <w:pPr>
        <w:numPr>
          <w:ilvl w:val="0"/>
          <w:numId w:val="0"/>
        </w:numPr>
        <w:spacing w:line="360" w:lineRule="auto"/>
        <w:jc w:val="center"/>
        <w:outlineLvl w:val="0"/>
        <w:rPr>
          <w:rFonts w:hint="eastAsia" w:ascii="黑体" w:hAnsi="黑体" w:eastAsia="黑体" w:cs="黑体"/>
          <w:b/>
          <w:sz w:val="44"/>
          <w:szCs w:val="44"/>
        </w:rPr>
      </w:pPr>
      <w:bookmarkStart w:id="135" w:name="_Toc29730"/>
      <w:r>
        <w:rPr>
          <w:rFonts w:hint="eastAsia" w:ascii="黑体" w:hAnsi="黑体" w:eastAsia="黑体" w:cs="黑体"/>
          <w:b/>
          <w:sz w:val="44"/>
          <w:szCs w:val="44"/>
          <w:lang w:val="en-US" w:eastAsia="zh-CN"/>
        </w:rPr>
        <w:t xml:space="preserve">第七章 </w:t>
      </w:r>
      <w:r>
        <w:rPr>
          <w:rFonts w:hint="eastAsia" w:ascii="黑体" w:hAnsi="黑体" w:eastAsia="黑体" w:cs="黑体"/>
          <w:b/>
          <w:sz w:val="44"/>
          <w:szCs w:val="44"/>
        </w:rPr>
        <w:t>图纸</w:t>
      </w:r>
      <w:bookmarkEnd w:id="135"/>
    </w:p>
    <w:p w14:paraId="47738A76">
      <w:pPr>
        <w:pStyle w:val="16"/>
        <w:rPr>
          <w:rFonts w:hint="eastAsia"/>
        </w:rPr>
      </w:pPr>
    </w:p>
    <w:p w14:paraId="39140285">
      <w:pPr>
        <w:pStyle w:val="16"/>
        <w:jc w:val="center"/>
        <w:rPr>
          <w:rFonts w:ascii="仿宋" w:hAnsi="仿宋" w:eastAsia="仿宋" w:cs="仿宋"/>
          <w:b w:val="0"/>
          <w:bCs w:val="0"/>
          <w:color w:val="000000"/>
          <w:sz w:val="32"/>
          <w:szCs w:val="32"/>
        </w:rPr>
      </w:pPr>
    </w:p>
    <w:p w14:paraId="55F02766">
      <w:pPr>
        <w:pStyle w:val="16"/>
        <w:jc w:val="center"/>
        <w:rPr>
          <w:rFonts w:hint="eastAsia"/>
        </w:rPr>
      </w:pPr>
      <w:r>
        <w:rPr>
          <w:rFonts w:ascii="仿宋" w:hAnsi="仿宋" w:eastAsia="仿宋" w:cs="仿宋"/>
          <w:b w:val="0"/>
          <w:bCs w:val="0"/>
          <w:color w:val="000000"/>
          <w:sz w:val="32"/>
          <w:szCs w:val="32"/>
        </w:rPr>
        <w:t>(另册)</w:t>
      </w:r>
    </w:p>
    <w:p w14:paraId="3BD769D2">
      <w:pPr>
        <w:pStyle w:val="16"/>
        <w:rPr>
          <w:rFonts w:hint="eastAsia"/>
        </w:rPr>
      </w:pPr>
    </w:p>
    <w:p w14:paraId="62BA1733">
      <w:pPr>
        <w:pStyle w:val="16"/>
        <w:rPr>
          <w:rFonts w:hint="eastAsia"/>
        </w:rPr>
      </w:pPr>
    </w:p>
    <w:p w14:paraId="118AF832">
      <w:pPr>
        <w:pStyle w:val="16"/>
        <w:rPr>
          <w:rFonts w:hint="eastAsia"/>
        </w:rPr>
      </w:pPr>
    </w:p>
    <w:p w14:paraId="744F84EE">
      <w:pPr>
        <w:pStyle w:val="16"/>
        <w:rPr>
          <w:rFonts w:hint="eastAsia"/>
        </w:rPr>
      </w:pPr>
    </w:p>
    <w:p w14:paraId="74D11233">
      <w:pPr>
        <w:pStyle w:val="16"/>
        <w:rPr>
          <w:rFonts w:hint="eastAsia"/>
        </w:rPr>
      </w:pPr>
    </w:p>
    <w:p w14:paraId="39BD155E">
      <w:pPr>
        <w:pStyle w:val="16"/>
        <w:rPr>
          <w:rFonts w:hint="eastAsia"/>
        </w:rPr>
      </w:pPr>
    </w:p>
    <w:p w14:paraId="3E325643">
      <w:pPr>
        <w:pStyle w:val="16"/>
        <w:rPr>
          <w:rFonts w:hint="eastAsia"/>
        </w:rPr>
      </w:pPr>
    </w:p>
    <w:p w14:paraId="4AC7A3A9">
      <w:pPr>
        <w:pStyle w:val="16"/>
        <w:rPr>
          <w:rFonts w:hint="eastAsia"/>
        </w:rPr>
      </w:pPr>
    </w:p>
    <w:p w14:paraId="344B9C1A">
      <w:pPr>
        <w:pStyle w:val="16"/>
        <w:rPr>
          <w:rFonts w:hint="eastAsia"/>
        </w:rPr>
      </w:pPr>
    </w:p>
    <w:p w14:paraId="3433068E">
      <w:pPr>
        <w:pStyle w:val="16"/>
        <w:rPr>
          <w:rFonts w:hint="eastAsia"/>
        </w:rPr>
      </w:pPr>
    </w:p>
    <w:p w14:paraId="7B2FFDEC">
      <w:pPr>
        <w:pStyle w:val="16"/>
        <w:rPr>
          <w:rFonts w:hint="eastAsia"/>
        </w:rPr>
      </w:pPr>
    </w:p>
    <w:p w14:paraId="59853562">
      <w:pPr>
        <w:pStyle w:val="16"/>
        <w:rPr>
          <w:rFonts w:hint="eastAsia"/>
        </w:rPr>
      </w:pPr>
    </w:p>
    <w:p w14:paraId="6F8E39DC">
      <w:pPr>
        <w:pStyle w:val="16"/>
        <w:rPr>
          <w:rFonts w:hint="eastAsia"/>
        </w:rPr>
      </w:pPr>
    </w:p>
    <w:p w14:paraId="417C0C82">
      <w:pPr>
        <w:pStyle w:val="16"/>
        <w:rPr>
          <w:rFonts w:hint="eastAsia"/>
        </w:rPr>
      </w:pPr>
    </w:p>
    <w:p w14:paraId="30C5B4A6">
      <w:pPr>
        <w:pStyle w:val="16"/>
        <w:rPr>
          <w:rFonts w:hint="eastAsia"/>
        </w:rPr>
      </w:pPr>
    </w:p>
    <w:p w14:paraId="758E8B73">
      <w:pPr>
        <w:numPr>
          <w:ilvl w:val="0"/>
          <w:numId w:val="0"/>
        </w:numPr>
        <w:spacing w:line="360" w:lineRule="auto"/>
        <w:jc w:val="center"/>
        <w:outlineLvl w:val="0"/>
        <w:rPr>
          <w:rFonts w:hint="eastAsia" w:ascii="黑体" w:hAnsi="黑体" w:eastAsia="黑体" w:cs="黑体"/>
          <w:b/>
          <w:sz w:val="44"/>
          <w:szCs w:val="44"/>
        </w:rPr>
        <w:sectPr>
          <w:pgSz w:w="11906" w:h="16838"/>
          <w:pgMar w:top="1440" w:right="907" w:bottom="1440" w:left="1247" w:header="851" w:footer="992" w:gutter="0"/>
          <w:pgNumType w:fmt="decimal"/>
          <w:cols w:space="720" w:num="1"/>
          <w:formProt w:val="0"/>
          <w:docGrid w:linePitch="286" w:charSpace="0"/>
        </w:sectPr>
      </w:pPr>
    </w:p>
    <w:p w14:paraId="4CCF04EB">
      <w:pPr>
        <w:numPr>
          <w:ilvl w:val="0"/>
          <w:numId w:val="0"/>
        </w:numPr>
        <w:spacing w:line="360" w:lineRule="auto"/>
        <w:jc w:val="center"/>
        <w:outlineLvl w:val="0"/>
        <w:rPr>
          <w:rFonts w:hint="eastAsia" w:ascii="黑体" w:hAnsi="黑体" w:eastAsia="黑体" w:cs="黑体"/>
          <w:b/>
          <w:sz w:val="44"/>
          <w:szCs w:val="44"/>
        </w:rPr>
      </w:pPr>
      <w:bookmarkStart w:id="136" w:name="_Toc19450"/>
      <w:r>
        <w:rPr>
          <w:rFonts w:hint="eastAsia" w:ascii="黑体" w:hAnsi="黑体" w:eastAsia="黑体" w:cs="黑体"/>
          <w:b/>
          <w:sz w:val="44"/>
          <w:szCs w:val="44"/>
        </w:rPr>
        <w:t>第</w:t>
      </w:r>
      <w:r>
        <w:rPr>
          <w:rFonts w:hint="eastAsia" w:ascii="黑体" w:hAnsi="黑体" w:eastAsia="黑体" w:cs="黑体"/>
          <w:b/>
          <w:sz w:val="44"/>
          <w:szCs w:val="44"/>
          <w:lang w:val="en-US" w:eastAsia="zh-CN"/>
        </w:rPr>
        <w:t>八</w:t>
      </w:r>
      <w:r>
        <w:rPr>
          <w:rFonts w:hint="eastAsia" w:ascii="黑体" w:hAnsi="黑体" w:eastAsia="黑体" w:cs="黑体"/>
          <w:b/>
          <w:sz w:val="44"/>
          <w:szCs w:val="44"/>
        </w:rPr>
        <w:t>章 投标文件格式</w:t>
      </w:r>
      <w:bookmarkEnd w:id="132"/>
      <w:bookmarkEnd w:id="136"/>
    </w:p>
    <w:p w14:paraId="506F5E09">
      <w:pPr>
        <w:spacing w:line="360" w:lineRule="auto"/>
        <w:rPr>
          <w:rFonts w:ascii="宋体" w:hAnsi="宋体"/>
          <w:sz w:val="24"/>
        </w:rPr>
      </w:pPr>
    </w:p>
    <w:p w14:paraId="24BBBC70">
      <w:pPr>
        <w:spacing w:line="360" w:lineRule="auto"/>
        <w:rPr>
          <w:rFonts w:ascii="宋体" w:hAnsi="宋体"/>
          <w:sz w:val="24"/>
        </w:rPr>
      </w:pPr>
    </w:p>
    <w:p w14:paraId="60CC3B93">
      <w:pPr>
        <w:spacing w:line="360" w:lineRule="auto"/>
        <w:rPr>
          <w:rFonts w:ascii="宋体" w:hAnsi="宋体"/>
          <w:sz w:val="24"/>
        </w:rPr>
      </w:pPr>
    </w:p>
    <w:p w14:paraId="774B4B7E">
      <w:pPr>
        <w:spacing w:line="360" w:lineRule="auto"/>
        <w:rPr>
          <w:rFonts w:ascii="宋体" w:hAnsi="宋体"/>
          <w:sz w:val="24"/>
        </w:rPr>
      </w:pPr>
    </w:p>
    <w:p w14:paraId="1DA46D94">
      <w:pPr>
        <w:spacing w:line="360" w:lineRule="auto"/>
        <w:rPr>
          <w:rFonts w:ascii="宋体" w:hAnsi="宋体"/>
          <w:sz w:val="24"/>
        </w:rPr>
      </w:pPr>
    </w:p>
    <w:p w14:paraId="65300F37">
      <w:pPr>
        <w:spacing w:line="360" w:lineRule="auto"/>
        <w:rPr>
          <w:rFonts w:ascii="宋体" w:hAnsi="宋体"/>
          <w:sz w:val="24"/>
        </w:rPr>
      </w:pPr>
    </w:p>
    <w:p w14:paraId="78596725">
      <w:pPr>
        <w:spacing w:line="360" w:lineRule="auto"/>
        <w:rPr>
          <w:rFonts w:ascii="宋体" w:hAnsi="宋体"/>
          <w:sz w:val="24"/>
        </w:rPr>
      </w:pPr>
    </w:p>
    <w:p w14:paraId="5F1809F2">
      <w:pPr>
        <w:spacing w:line="360" w:lineRule="auto"/>
        <w:rPr>
          <w:rFonts w:ascii="宋体" w:hAnsi="宋体"/>
          <w:sz w:val="24"/>
        </w:rPr>
      </w:pPr>
    </w:p>
    <w:p w14:paraId="65217983">
      <w:pPr>
        <w:spacing w:line="360" w:lineRule="auto"/>
        <w:rPr>
          <w:rFonts w:ascii="宋体" w:hAnsi="宋体"/>
          <w:sz w:val="24"/>
        </w:rPr>
      </w:pPr>
    </w:p>
    <w:p w14:paraId="3A47B627">
      <w:pPr>
        <w:spacing w:line="360" w:lineRule="auto"/>
        <w:rPr>
          <w:rFonts w:ascii="宋体" w:hAnsi="宋体"/>
          <w:sz w:val="24"/>
        </w:rPr>
      </w:pPr>
    </w:p>
    <w:p w14:paraId="4A5C8BD1">
      <w:pPr>
        <w:spacing w:line="360" w:lineRule="auto"/>
        <w:rPr>
          <w:rFonts w:ascii="宋体" w:hAnsi="宋体"/>
          <w:sz w:val="24"/>
        </w:rPr>
      </w:pPr>
    </w:p>
    <w:p w14:paraId="3ECC5E58">
      <w:pPr>
        <w:spacing w:line="360" w:lineRule="auto"/>
        <w:rPr>
          <w:rFonts w:ascii="宋体" w:hAnsi="宋体"/>
          <w:sz w:val="24"/>
        </w:rPr>
      </w:pPr>
    </w:p>
    <w:p w14:paraId="034B4744">
      <w:pPr>
        <w:spacing w:line="360" w:lineRule="auto"/>
        <w:rPr>
          <w:rFonts w:ascii="宋体" w:hAnsi="宋体"/>
          <w:sz w:val="24"/>
        </w:rPr>
      </w:pPr>
    </w:p>
    <w:p w14:paraId="20BE3098">
      <w:pPr>
        <w:spacing w:line="360" w:lineRule="auto"/>
        <w:rPr>
          <w:rFonts w:ascii="宋体" w:hAnsi="宋体"/>
          <w:sz w:val="24"/>
        </w:rPr>
      </w:pPr>
    </w:p>
    <w:p w14:paraId="04B97FA8">
      <w:pPr>
        <w:spacing w:line="360" w:lineRule="auto"/>
        <w:rPr>
          <w:rFonts w:ascii="宋体" w:hAnsi="宋体"/>
          <w:sz w:val="24"/>
        </w:rPr>
      </w:pPr>
    </w:p>
    <w:p w14:paraId="0B344567">
      <w:pPr>
        <w:spacing w:line="360" w:lineRule="auto"/>
        <w:rPr>
          <w:rFonts w:ascii="宋体" w:hAnsi="宋体"/>
          <w:sz w:val="24"/>
        </w:rPr>
      </w:pPr>
    </w:p>
    <w:p w14:paraId="62E1E2B3">
      <w:pPr>
        <w:spacing w:line="360" w:lineRule="auto"/>
        <w:rPr>
          <w:rFonts w:ascii="宋体" w:hAnsi="宋体"/>
          <w:sz w:val="24"/>
        </w:rPr>
      </w:pPr>
    </w:p>
    <w:p w14:paraId="03EC5208">
      <w:pPr>
        <w:spacing w:line="360" w:lineRule="auto"/>
        <w:rPr>
          <w:rFonts w:ascii="宋体" w:hAnsi="宋体"/>
          <w:sz w:val="24"/>
        </w:rPr>
        <w:sectPr>
          <w:pgSz w:w="11906" w:h="16838"/>
          <w:pgMar w:top="1440" w:right="907" w:bottom="1440" w:left="1247" w:header="851" w:footer="992" w:gutter="0"/>
          <w:pgNumType w:fmt="decimal"/>
          <w:cols w:space="720" w:num="1"/>
          <w:formProt w:val="0"/>
          <w:docGrid w:linePitch="286" w:charSpace="0"/>
        </w:sectPr>
      </w:pPr>
    </w:p>
    <w:p w14:paraId="319A199A">
      <w:pPr>
        <w:rPr>
          <w:b/>
          <w:sz w:val="32"/>
          <w:szCs w:val="32"/>
        </w:rPr>
      </w:pPr>
    </w:p>
    <w:p w14:paraId="29C45AEC">
      <w:pPr>
        <w:widowControl/>
        <w:spacing w:line="360" w:lineRule="auto"/>
        <w:jc w:val="center"/>
        <w:rPr>
          <w:rFonts w:eastAsia="黑体" w:cs="宋体"/>
          <w:b/>
          <w:bCs/>
          <w:sz w:val="32"/>
          <w:szCs w:val="32"/>
          <w:u w:val="single"/>
        </w:rPr>
      </w:pPr>
    </w:p>
    <w:p w14:paraId="5DC49541">
      <w:pPr>
        <w:widowControl/>
        <w:spacing w:line="360" w:lineRule="auto"/>
        <w:jc w:val="center"/>
        <w:rPr>
          <w:rStyle w:val="32"/>
          <w:rFonts w:hint="eastAsia" w:ascii="宋体" w:hAnsi="宋体" w:eastAsia="宋体" w:cs="宋体"/>
          <w:sz w:val="52"/>
          <w:szCs w:val="52"/>
          <w:lang w:val="en-US" w:eastAsia="zh-CN"/>
        </w:rPr>
      </w:pPr>
      <w:r>
        <w:rPr>
          <w:rFonts w:hint="eastAsia" w:ascii="宋体" w:hAnsi="宋体" w:eastAsia="宋体" w:cs="宋体"/>
          <w:b/>
          <w:bCs/>
          <w:sz w:val="52"/>
          <w:szCs w:val="52"/>
          <w:u w:val="single"/>
          <w:lang w:val="en-US" w:eastAsia="zh-CN"/>
        </w:rPr>
        <w:t xml:space="preserve">    </w:t>
      </w:r>
      <w:r>
        <w:rPr>
          <w:rFonts w:hint="eastAsia" w:ascii="宋体" w:hAnsi="宋体" w:eastAsia="宋体" w:cs="宋体"/>
          <w:b/>
          <w:bCs/>
          <w:sz w:val="52"/>
          <w:szCs w:val="52"/>
          <w:u w:val="single"/>
        </w:rPr>
        <w:t>（项目名称）</w:t>
      </w:r>
    </w:p>
    <w:p w14:paraId="07851B36">
      <w:pPr>
        <w:pStyle w:val="27"/>
        <w:widowControl w:val="0"/>
        <w:spacing w:before="280" w:after="280"/>
        <w:jc w:val="center"/>
        <w:rPr>
          <w:b/>
          <w:bCs/>
          <w:spacing w:val="120"/>
          <w:sz w:val="44"/>
          <w:szCs w:val="44"/>
        </w:rPr>
      </w:pPr>
    </w:p>
    <w:p w14:paraId="70BCA5B1">
      <w:pPr>
        <w:pStyle w:val="27"/>
        <w:widowControl w:val="0"/>
        <w:spacing w:before="280" w:after="280"/>
        <w:jc w:val="center"/>
        <w:rPr>
          <w:b/>
          <w:bCs/>
          <w:spacing w:val="120"/>
          <w:sz w:val="44"/>
          <w:szCs w:val="44"/>
        </w:rPr>
      </w:pPr>
    </w:p>
    <w:p w14:paraId="139D4B24">
      <w:pPr>
        <w:pStyle w:val="27"/>
        <w:widowControl w:val="0"/>
        <w:spacing w:before="280" w:after="280"/>
        <w:jc w:val="center"/>
        <w:rPr>
          <w:b/>
          <w:bCs/>
          <w:spacing w:val="120"/>
          <w:sz w:val="44"/>
          <w:szCs w:val="44"/>
        </w:rPr>
      </w:pPr>
    </w:p>
    <w:p w14:paraId="46A2C6E5">
      <w:pPr>
        <w:pStyle w:val="27"/>
        <w:widowControl w:val="0"/>
        <w:spacing w:before="280" w:after="280"/>
        <w:jc w:val="center"/>
        <w:rPr>
          <w:rFonts w:hint="eastAsia" w:ascii="黑体" w:hAnsi="黑体" w:eastAsia="黑体" w:cs="黑体"/>
          <w:b/>
          <w:bCs/>
          <w:spacing w:val="120"/>
          <w:sz w:val="48"/>
          <w:szCs w:val="48"/>
        </w:rPr>
      </w:pPr>
      <w:r>
        <w:rPr>
          <w:rFonts w:hint="eastAsia" w:ascii="黑体" w:hAnsi="黑体" w:eastAsia="黑体" w:cs="黑体"/>
          <w:b/>
          <w:bCs/>
          <w:spacing w:val="120"/>
          <w:sz w:val="48"/>
          <w:szCs w:val="48"/>
        </w:rPr>
        <w:t>投标文件</w:t>
      </w:r>
    </w:p>
    <w:p w14:paraId="3A5622ED">
      <w:pPr>
        <w:pStyle w:val="27"/>
        <w:widowControl w:val="0"/>
        <w:spacing w:before="280" w:after="280"/>
        <w:ind w:firstLine="938"/>
        <w:rPr>
          <w:sz w:val="28"/>
          <w:szCs w:val="28"/>
          <w:u w:val="single"/>
        </w:rPr>
      </w:pPr>
    </w:p>
    <w:p w14:paraId="0BA886C9">
      <w:pPr>
        <w:pStyle w:val="27"/>
        <w:widowControl w:val="0"/>
        <w:spacing w:before="280" w:after="280"/>
        <w:ind w:firstLine="938"/>
        <w:rPr>
          <w:sz w:val="28"/>
          <w:szCs w:val="28"/>
          <w:u w:val="single"/>
        </w:rPr>
      </w:pPr>
    </w:p>
    <w:p w14:paraId="6310EAC8">
      <w:pPr>
        <w:pStyle w:val="27"/>
        <w:widowControl w:val="0"/>
        <w:spacing w:before="280" w:after="280"/>
        <w:ind w:firstLine="938"/>
        <w:rPr>
          <w:sz w:val="28"/>
          <w:szCs w:val="28"/>
          <w:u w:val="single"/>
        </w:rPr>
      </w:pPr>
    </w:p>
    <w:p w14:paraId="41CFD751">
      <w:pPr>
        <w:pStyle w:val="27"/>
        <w:widowControl w:val="0"/>
        <w:spacing w:before="280" w:after="280"/>
        <w:ind w:firstLine="938"/>
        <w:rPr>
          <w:sz w:val="28"/>
          <w:szCs w:val="28"/>
          <w:u w:val="single"/>
        </w:rPr>
      </w:pPr>
    </w:p>
    <w:p w14:paraId="371CD450">
      <w:pPr>
        <w:pStyle w:val="27"/>
        <w:widowControl w:val="0"/>
        <w:spacing w:before="280" w:after="280"/>
        <w:ind w:firstLine="938"/>
        <w:rPr>
          <w:sz w:val="28"/>
          <w:szCs w:val="28"/>
          <w:u w:val="single"/>
        </w:rPr>
      </w:pPr>
    </w:p>
    <w:p w14:paraId="525E4E2B">
      <w:pPr>
        <w:pStyle w:val="27"/>
        <w:widowControl w:val="0"/>
        <w:spacing w:before="280" w:after="280"/>
        <w:rPr>
          <w:sz w:val="28"/>
          <w:szCs w:val="28"/>
          <w:u w:val="single"/>
        </w:rPr>
      </w:pPr>
    </w:p>
    <w:p w14:paraId="12BBDDDA">
      <w:pPr>
        <w:pStyle w:val="27"/>
        <w:widowControl w:val="0"/>
        <w:spacing w:before="280" w:after="280"/>
        <w:ind w:firstLine="1960"/>
        <w:rPr>
          <w:sz w:val="28"/>
          <w:szCs w:val="28"/>
          <w:u w:val="single"/>
        </w:rPr>
      </w:pPr>
      <w:r>
        <w:rPr>
          <w:rStyle w:val="32"/>
          <w:b w:val="0"/>
          <w:sz w:val="28"/>
          <w:szCs w:val="28"/>
        </w:rPr>
        <w:t>投标人（公章）：</w:t>
      </w:r>
    </w:p>
    <w:p w14:paraId="14ACA7BE">
      <w:pPr>
        <w:pStyle w:val="27"/>
        <w:widowControl w:val="0"/>
        <w:spacing w:before="280" w:after="280"/>
        <w:ind w:firstLine="1960"/>
        <w:rPr>
          <w:rStyle w:val="32"/>
          <w:b w:val="0"/>
          <w:sz w:val="28"/>
          <w:szCs w:val="28"/>
        </w:rPr>
      </w:pPr>
      <w:r>
        <w:rPr>
          <w:rStyle w:val="32"/>
          <w:b w:val="0"/>
          <w:sz w:val="28"/>
          <w:szCs w:val="28"/>
        </w:rPr>
        <w:t>法定代表人或其委托代理人（签字）：</w:t>
      </w:r>
    </w:p>
    <w:p w14:paraId="1207E4A8">
      <w:pPr>
        <w:ind w:right="-89" w:firstLine="1960"/>
        <w:rPr>
          <w:rFonts w:ascii="宋体" w:hAnsi="宋体"/>
          <w:sz w:val="28"/>
          <w:szCs w:val="28"/>
        </w:rPr>
      </w:pPr>
      <w:r>
        <w:rPr>
          <w:rFonts w:ascii="宋体" w:hAnsi="宋体"/>
          <w:sz w:val="28"/>
          <w:szCs w:val="28"/>
        </w:rPr>
        <w:t>日期：</w:t>
      </w:r>
      <w:r>
        <w:rPr>
          <w:rFonts w:ascii="宋体" w:hAnsi="宋体"/>
          <w:sz w:val="28"/>
          <w:szCs w:val="28"/>
          <w:u w:val="single"/>
        </w:rPr>
        <w:t xml:space="preserve">  </w:t>
      </w:r>
      <w:r>
        <w:rPr>
          <w:rFonts w:hint="eastAsia" w:ascii="宋体" w:hAnsi="宋体"/>
          <w:sz w:val="28"/>
          <w:szCs w:val="28"/>
          <w:u w:val="single"/>
          <w:lang w:val="en-US" w:eastAsia="zh-CN"/>
        </w:rPr>
        <w:t xml:space="preserve">  </w:t>
      </w:r>
      <w:r>
        <w:rPr>
          <w:rFonts w:ascii="宋体" w:hAnsi="宋体"/>
          <w:sz w:val="28"/>
          <w:szCs w:val="28"/>
        </w:rPr>
        <w:t>年</w:t>
      </w:r>
      <w:r>
        <w:rPr>
          <w:rFonts w:ascii="宋体" w:hAnsi="宋体"/>
          <w:sz w:val="28"/>
          <w:szCs w:val="28"/>
          <w:u w:val="single"/>
        </w:rPr>
        <w:t xml:space="preserve">  </w:t>
      </w:r>
      <w:r>
        <w:rPr>
          <w:rFonts w:hint="eastAsia" w:ascii="宋体" w:hAnsi="宋体"/>
          <w:sz w:val="28"/>
          <w:szCs w:val="28"/>
          <w:u w:val="single"/>
          <w:lang w:val="en-US" w:eastAsia="zh-CN"/>
        </w:rPr>
        <w:t xml:space="preserve"> </w:t>
      </w:r>
      <w:r>
        <w:rPr>
          <w:rFonts w:ascii="宋体" w:hAnsi="宋体"/>
          <w:sz w:val="28"/>
          <w:szCs w:val="28"/>
          <w:u w:val="single"/>
        </w:rPr>
        <w:t xml:space="preserve"> </w:t>
      </w:r>
      <w:r>
        <w:rPr>
          <w:rFonts w:ascii="宋体" w:hAnsi="宋体"/>
          <w:sz w:val="28"/>
          <w:szCs w:val="28"/>
        </w:rPr>
        <w:t>月</w:t>
      </w:r>
      <w:r>
        <w:rPr>
          <w:rFonts w:ascii="宋体" w:hAnsi="宋体"/>
          <w:sz w:val="28"/>
          <w:szCs w:val="28"/>
          <w:u w:val="single"/>
        </w:rPr>
        <w:t xml:space="preserve">   </w:t>
      </w:r>
      <w:r>
        <w:rPr>
          <w:rFonts w:hint="eastAsia" w:ascii="宋体" w:hAnsi="宋体"/>
          <w:sz w:val="28"/>
          <w:szCs w:val="28"/>
          <w:u w:val="single"/>
          <w:lang w:val="en-US" w:eastAsia="zh-CN"/>
        </w:rPr>
        <w:t xml:space="preserve"> </w:t>
      </w:r>
      <w:r>
        <w:rPr>
          <w:rFonts w:ascii="宋体" w:hAnsi="宋体"/>
          <w:sz w:val="28"/>
          <w:szCs w:val="28"/>
        </w:rPr>
        <w:t>日</w:t>
      </w:r>
    </w:p>
    <w:p w14:paraId="650C8E34">
      <w:pPr>
        <w:ind w:right="-89" w:firstLine="0"/>
        <w:rPr>
          <w:rFonts w:ascii="宋体" w:hAnsi="宋体"/>
          <w:sz w:val="28"/>
          <w:szCs w:val="28"/>
        </w:rPr>
      </w:pPr>
    </w:p>
    <w:p w14:paraId="7C611ED6">
      <w:pPr>
        <w:ind w:right="-89" w:firstLine="0"/>
        <w:rPr>
          <w:rFonts w:ascii="宋体" w:hAnsi="宋体"/>
          <w:sz w:val="28"/>
          <w:szCs w:val="28"/>
        </w:rPr>
      </w:pPr>
    </w:p>
    <w:p w14:paraId="13472D56">
      <w:pPr>
        <w:ind w:right="-89" w:firstLine="0"/>
        <w:rPr>
          <w:rFonts w:ascii="宋体" w:hAnsi="宋体"/>
          <w:sz w:val="28"/>
          <w:szCs w:val="28"/>
        </w:rPr>
      </w:pPr>
    </w:p>
    <w:p w14:paraId="509E0D6A">
      <w:pPr>
        <w:ind w:right="-89" w:firstLine="0"/>
        <w:rPr>
          <w:rFonts w:ascii="宋体" w:hAnsi="宋体"/>
          <w:sz w:val="28"/>
          <w:szCs w:val="28"/>
        </w:rPr>
      </w:pPr>
    </w:p>
    <w:p w14:paraId="42AD83D5">
      <w:pPr>
        <w:ind w:right="-89" w:firstLine="0"/>
        <w:rPr>
          <w:rFonts w:ascii="宋体" w:hAnsi="宋体"/>
          <w:sz w:val="28"/>
          <w:szCs w:val="28"/>
        </w:rPr>
        <w:sectPr>
          <w:headerReference r:id="rId13" w:type="default"/>
          <w:footerReference r:id="rId14" w:type="default"/>
          <w:pgSz w:w="11906" w:h="16838"/>
          <w:pgMar w:top="1417" w:right="1247" w:bottom="1417" w:left="1247" w:header="851" w:footer="992" w:gutter="0"/>
          <w:pgNumType w:fmt="decimal"/>
          <w:cols w:space="720" w:num="1"/>
          <w:formProt w:val="0"/>
          <w:docGrid w:linePitch="286" w:charSpace="0"/>
        </w:sectPr>
      </w:pPr>
    </w:p>
    <w:p w14:paraId="18235E25">
      <w:pPr>
        <w:ind w:right="-89" w:firstLine="0"/>
        <w:jc w:val="center"/>
        <w:outlineLvl w:val="1"/>
        <w:rPr>
          <w:rStyle w:val="32"/>
          <w:rFonts w:ascii="宋体" w:hAnsi="宋体"/>
          <w:bCs/>
          <w:sz w:val="44"/>
          <w:szCs w:val="44"/>
        </w:rPr>
      </w:pPr>
      <w:r>
        <w:rPr>
          <w:rStyle w:val="32"/>
          <w:rFonts w:ascii="宋体" w:hAnsi="宋体"/>
          <w:bCs/>
          <w:sz w:val="44"/>
          <w:szCs w:val="44"/>
        </w:rPr>
        <w:t>目录</w:t>
      </w:r>
    </w:p>
    <w:p w14:paraId="1DAAD955">
      <w:pPr>
        <w:pStyle w:val="15"/>
        <w:ind w:left="0" w:leftChars="0" w:firstLine="0" w:firstLineChars="0"/>
        <w:rPr>
          <w:b/>
          <w:sz w:val="32"/>
          <w:szCs w:val="32"/>
        </w:rPr>
      </w:pPr>
    </w:p>
    <w:p w14:paraId="2D9FEF6B">
      <w:pPr>
        <w:pStyle w:val="27"/>
        <w:keepNext w:val="0"/>
        <w:keepLines w:val="0"/>
        <w:pageBreakBefore w:val="0"/>
        <w:widowControl w:val="0"/>
        <w:numPr>
          <w:ilvl w:val="0"/>
          <w:numId w:val="5"/>
        </w:numPr>
        <w:kinsoku/>
        <w:wordWrap/>
        <w:overflowPunct/>
        <w:topLinePunct w:val="0"/>
        <w:autoSpaceDE/>
        <w:autoSpaceDN/>
        <w:bidi w:val="0"/>
        <w:adjustRightInd/>
        <w:snapToGrid/>
        <w:spacing w:before="280" w:after="280" w:line="500" w:lineRule="exact"/>
        <w:ind w:left="0" w:leftChars="0" w:firstLine="420" w:firstLineChars="0"/>
        <w:textAlignment w:val="auto"/>
        <w:rPr>
          <w:rStyle w:val="32"/>
          <w:rFonts w:hint="eastAsia"/>
          <w:b w:val="0"/>
          <w:sz w:val="24"/>
          <w:szCs w:val="24"/>
        </w:rPr>
      </w:pPr>
      <w:r>
        <w:rPr>
          <w:rStyle w:val="32"/>
          <w:rFonts w:hint="eastAsia"/>
          <w:b w:val="0"/>
          <w:sz w:val="24"/>
          <w:szCs w:val="24"/>
        </w:rPr>
        <w:t>投标函及投标函附录</w:t>
      </w:r>
    </w:p>
    <w:p w14:paraId="563C2EB0">
      <w:pPr>
        <w:pStyle w:val="27"/>
        <w:keepNext w:val="0"/>
        <w:keepLines w:val="0"/>
        <w:pageBreakBefore w:val="0"/>
        <w:widowControl w:val="0"/>
        <w:numPr>
          <w:ilvl w:val="0"/>
          <w:numId w:val="5"/>
        </w:numPr>
        <w:kinsoku/>
        <w:wordWrap/>
        <w:overflowPunct/>
        <w:topLinePunct w:val="0"/>
        <w:autoSpaceDE/>
        <w:autoSpaceDN/>
        <w:bidi w:val="0"/>
        <w:adjustRightInd/>
        <w:snapToGrid/>
        <w:spacing w:before="280" w:after="280" w:line="500" w:lineRule="exact"/>
        <w:ind w:left="0" w:leftChars="0" w:firstLine="420" w:firstLineChars="0"/>
        <w:textAlignment w:val="auto"/>
        <w:rPr>
          <w:rStyle w:val="32"/>
          <w:rFonts w:hint="eastAsia"/>
          <w:b w:val="0"/>
          <w:sz w:val="24"/>
          <w:szCs w:val="24"/>
        </w:rPr>
      </w:pPr>
      <w:r>
        <w:rPr>
          <w:rStyle w:val="32"/>
          <w:rFonts w:hint="eastAsia"/>
          <w:b w:val="0"/>
          <w:sz w:val="24"/>
          <w:szCs w:val="24"/>
        </w:rPr>
        <w:t>法定代表人身份证明书</w:t>
      </w:r>
    </w:p>
    <w:p w14:paraId="6360B4AA">
      <w:pPr>
        <w:pStyle w:val="27"/>
        <w:keepNext w:val="0"/>
        <w:keepLines w:val="0"/>
        <w:pageBreakBefore w:val="0"/>
        <w:widowControl w:val="0"/>
        <w:numPr>
          <w:ilvl w:val="0"/>
          <w:numId w:val="5"/>
        </w:numPr>
        <w:kinsoku/>
        <w:wordWrap/>
        <w:overflowPunct/>
        <w:topLinePunct w:val="0"/>
        <w:autoSpaceDE/>
        <w:autoSpaceDN/>
        <w:bidi w:val="0"/>
        <w:adjustRightInd/>
        <w:snapToGrid/>
        <w:spacing w:before="280" w:after="280" w:line="500" w:lineRule="exact"/>
        <w:ind w:left="0" w:leftChars="0" w:firstLine="420" w:firstLineChars="0"/>
        <w:textAlignment w:val="auto"/>
        <w:rPr>
          <w:rStyle w:val="32"/>
          <w:rFonts w:hint="eastAsia"/>
          <w:b w:val="0"/>
          <w:sz w:val="24"/>
          <w:szCs w:val="24"/>
        </w:rPr>
      </w:pPr>
      <w:r>
        <w:rPr>
          <w:rStyle w:val="32"/>
          <w:rFonts w:hint="eastAsia"/>
          <w:b w:val="0"/>
          <w:sz w:val="24"/>
          <w:szCs w:val="24"/>
        </w:rPr>
        <w:t>法人授权委托证明书（法定代表人参加无需提供委托书）</w:t>
      </w:r>
    </w:p>
    <w:p w14:paraId="68F24285">
      <w:pPr>
        <w:pStyle w:val="27"/>
        <w:keepNext w:val="0"/>
        <w:keepLines w:val="0"/>
        <w:pageBreakBefore w:val="0"/>
        <w:widowControl w:val="0"/>
        <w:numPr>
          <w:ilvl w:val="0"/>
          <w:numId w:val="5"/>
        </w:numPr>
        <w:kinsoku/>
        <w:wordWrap/>
        <w:overflowPunct/>
        <w:topLinePunct w:val="0"/>
        <w:autoSpaceDE/>
        <w:autoSpaceDN/>
        <w:bidi w:val="0"/>
        <w:adjustRightInd/>
        <w:snapToGrid/>
        <w:spacing w:before="280" w:after="280" w:line="500" w:lineRule="exact"/>
        <w:ind w:left="0" w:leftChars="0" w:firstLine="420" w:firstLineChars="0"/>
        <w:textAlignment w:val="auto"/>
        <w:rPr>
          <w:rStyle w:val="32"/>
          <w:rFonts w:hint="eastAsia"/>
          <w:b w:val="0"/>
          <w:sz w:val="24"/>
          <w:szCs w:val="24"/>
        </w:rPr>
      </w:pPr>
      <w:r>
        <w:rPr>
          <w:rStyle w:val="32"/>
          <w:rFonts w:hint="eastAsia"/>
          <w:b w:val="0"/>
          <w:sz w:val="24"/>
          <w:szCs w:val="24"/>
        </w:rPr>
        <w:t>投标保证金</w:t>
      </w:r>
    </w:p>
    <w:p w14:paraId="009FB592">
      <w:pPr>
        <w:pStyle w:val="27"/>
        <w:keepNext w:val="0"/>
        <w:keepLines w:val="0"/>
        <w:pageBreakBefore w:val="0"/>
        <w:widowControl w:val="0"/>
        <w:numPr>
          <w:ilvl w:val="0"/>
          <w:numId w:val="5"/>
        </w:numPr>
        <w:kinsoku/>
        <w:wordWrap/>
        <w:overflowPunct/>
        <w:topLinePunct w:val="0"/>
        <w:autoSpaceDE/>
        <w:autoSpaceDN/>
        <w:bidi w:val="0"/>
        <w:adjustRightInd/>
        <w:snapToGrid/>
        <w:spacing w:before="280" w:after="280" w:line="500" w:lineRule="exact"/>
        <w:ind w:left="0" w:leftChars="0" w:firstLine="420" w:firstLineChars="0"/>
        <w:textAlignment w:val="auto"/>
        <w:rPr>
          <w:rStyle w:val="32"/>
          <w:rFonts w:hint="eastAsia"/>
          <w:b w:val="0"/>
          <w:sz w:val="24"/>
          <w:szCs w:val="24"/>
        </w:rPr>
      </w:pPr>
      <w:r>
        <w:rPr>
          <w:rStyle w:val="32"/>
          <w:rFonts w:hint="eastAsia"/>
          <w:b w:val="0"/>
          <w:sz w:val="24"/>
          <w:szCs w:val="24"/>
          <w:lang w:val="en-US" w:eastAsia="zh-CN"/>
        </w:rPr>
        <w:t>投标人声明</w:t>
      </w:r>
    </w:p>
    <w:p w14:paraId="20A3CA58">
      <w:pPr>
        <w:pStyle w:val="27"/>
        <w:keepNext w:val="0"/>
        <w:keepLines w:val="0"/>
        <w:pageBreakBefore w:val="0"/>
        <w:widowControl w:val="0"/>
        <w:numPr>
          <w:ilvl w:val="0"/>
          <w:numId w:val="5"/>
        </w:numPr>
        <w:kinsoku/>
        <w:wordWrap/>
        <w:overflowPunct/>
        <w:topLinePunct w:val="0"/>
        <w:autoSpaceDE/>
        <w:autoSpaceDN/>
        <w:bidi w:val="0"/>
        <w:adjustRightInd/>
        <w:snapToGrid/>
        <w:spacing w:before="280" w:after="280" w:line="500" w:lineRule="exact"/>
        <w:ind w:left="0" w:leftChars="0" w:firstLine="420" w:firstLineChars="0"/>
        <w:textAlignment w:val="auto"/>
        <w:rPr>
          <w:rStyle w:val="32"/>
          <w:rFonts w:hint="eastAsia"/>
          <w:b w:val="0"/>
          <w:sz w:val="24"/>
          <w:szCs w:val="24"/>
        </w:rPr>
      </w:pPr>
      <w:r>
        <w:rPr>
          <w:rStyle w:val="32"/>
          <w:rFonts w:hint="eastAsia"/>
          <w:b w:val="0"/>
          <w:sz w:val="24"/>
          <w:szCs w:val="24"/>
        </w:rPr>
        <w:t>工程量清单报价</w:t>
      </w:r>
    </w:p>
    <w:p w14:paraId="2079854F">
      <w:pPr>
        <w:pStyle w:val="27"/>
        <w:keepNext w:val="0"/>
        <w:keepLines w:val="0"/>
        <w:pageBreakBefore w:val="0"/>
        <w:widowControl w:val="0"/>
        <w:numPr>
          <w:ilvl w:val="0"/>
          <w:numId w:val="5"/>
        </w:numPr>
        <w:kinsoku/>
        <w:wordWrap/>
        <w:overflowPunct/>
        <w:topLinePunct w:val="0"/>
        <w:autoSpaceDE/>
        <w:autoSpaceDN/>
        <w:bidi w:val="0"/>
        <w:adjustRightInd/>
        <w:snapToGrid/>
        <w:spacing w:before="280" w:after="280" w:line="500" w:lineRule="exact"/>
        <w:ind w:left="0" w:leftChars="0" w:firstLine="420" w:firstLineChars="0"/>
        <w:textAlignment w:val="auto"/>
        <w:rPr>
          <w:rStyle w:val="32"/>
          <w:rFonts w:hint="eastAsia"/>
          <w:b w:val="0"/>
          <w:sz w:val="24"/>
          <w:szCs w:val="24"/>
        </w:rPr>
      </w:pPr>
      <w:r>
        <w:rPr>
          <w:rStyle w:val="32"/>
          <w:rFonts w:hint="eastAsia"/>
          <w:b w:val="0"/>
          <w:sz w:val="24"/>
          <w:szCs w:val="24"/>
        </w:rPr>
        <w:t>资格审查资料</w:t>
      </w:r>
    </w:p>
    <w:p w14:paraId="4B3DD71E">
      <w:pPr>
        <w:pStyle w:val="27"/>
        <w:keepNext w:val="0"/>
        <w:keepLines w:val="0"/>
        <w:pageBreakBefore w:val="0"/>
        <w:widowControl w:val="0"/>
        <w:numPr>
          <w:ilvl w:val="0"/>
          <w:numId w:val="5"/>
        </w:numPr>
        <w:kinsoku/>
        <w:wordWrap/>
        <w:overflowPunct/>
        <w:topLinePunct w:val="0"/>
        <w:autoSpaceDE/>
        <w:autoSpaceDN/>
        <w:bidi w:val="0"/>
        <w:adjustRightInd/>
        <w:snapToGrid/>
        <w:spacing w:before="280" w:after="280" w:line="500" w:lineRule="exact"/>
        <w:ind w:left="0" w:leftChars="0" w:firstLine="420" w:firstLineChars="0"/>
        <w:textAlignment w:val="auto"/>
        <w:rPr>
          <w:rStyle w:val="32"/>
          <w:rFonts w:hint="eastAsia"/>
          <w:b w:val="0"/>
          <w:sz w:val="24"/>
          <w:szCs w:val="24"/>
        </w:rPr>
      </w:pPr>
      <w:r>
        <w:rPr>
          <w:rStyle w:val="32"/>
          <w:rFonts w:hint="eastAsia"/>
          <w:b w:val="0"/>
          <w:sz w:val="24"/>
          <w:szCs w:val="24"/>
        </w:rPr>
        <w:t>近年完成的类似业绩情况表</w:t>
      </w:r>
    </w:p>
    <w:p w14:paraId="0623D032">
      <w:pPr>
        <w:pStyle w:val="27"/>
        <w:keepNext w:val="0"/>
        <w:keepLines w:val="0"/>
        <w:pageBreakBefore w:val="0"/>
        <w:widowControl w:val="0"/>
        <w:numPr>
          <w:ilvl w:val="0"/>
          <w:numId w:val="5"/>
        </w:numPr>
        <w:kinsoku/>
        <w:wordWrap/>
        <w:overflowPunct/>
        <w:topLinePunct w:val="0"/>
        <w:autoSpaceDE/>
        <w:autoSpaceDN/>
        <w:bidi w:val="0"/>
        <w:adjustRightInd/>
        <w:snapToGrid/>
        <w:spacing w:before="280" w:after="280" w:line="500" w:lineRule="exact"/>
        <w:ind w:left="0" w:leftChars="0" w:firstLine="420" w:firstLineChars="0"/>
        <w:textAlignment w:val="auto"/>
        <w:rPr>
          <w:rStyle w:val="32"/>
          <w:rFonts w:hint="eastAsia"/>
          <w:b w:val="0"/>
          <w:sz w:val="24"/>
          <w:szCs w:val="24"/>
        </w:rPr>
      </w:pPr>
      <w:r>
        <w:rPr>
          <w:rStyle w:val="32"/>
          <w:rFonts w:hint="eastAsia"/>
          <w:b w:val="0"/>
          <w:sz w:val="24"/>
          <w:szCs w:val="24"/>
        </w:rPr>
        <w:t>企业信誉及荣誉、实力证明材料表</w:t>
      </w:r>
    </w:p>
    <w:p w14:paraId="2415ECB3">
      <w:pPr>
        <w:pStyle w:val="27"/>
        <w:keepNext w:val="0"/>
        <w:keepLines w:val="0"/>
        <w:pageBreakBefore w:val="0"/>
        <w:widowControl w:val="0"/>
        <w:numPr>
          <w:ilvl w:val="0"/>
          <w:numId w:val="5"/>
        </w:numPr>
        <w:kinsoku/>
        <w:wordWrap/>
        <w:overflowPunct/>
        <w:topLinePunct w:val="0"/>
        <w:autoSpaceDE/>
        <w:autoSpaceDN/>
        <w:bidi w:val="0"/>
        <w:adjustRightInd/>
        <w:snapToGrid/>
        <w:spacing w:before="280" w:after="280" w:line="500" w:lineRule="exact"/>
        <w:ind w:left="0" w:leftChars="0" w:firstLine="420" w:firstLineChars="0"/>
        <w:textAlignment w:val="auto"/>
        <w:rPr>
          <w:rStyle w:val="32"/>
          <w:rFonts w:hint="eastAsia"/>
          <w:b w:val="0"/>
          <w:sz w:val="24"/>
          <w:szCs w:val="24"/>
        </w:rPr>
      </w:pPr>
      <w:r>
        <w:rPr>
          <w:rStyle w:val="32"/>
          <w:rFonts w:hint="eastAsia"/>
          <w:b w:val="0"/>
          <w:sz w:val="24"/>
          <w:szCs w:val="24"/>
        </w:rPr>
        <w:t>投标人认为需要提供的其他资信材料</w:t>
      </w:r>
    </w:p>
    <w:p w14:paraId="2EBA57F2">
      <w:pPr>
        <w:pStyle w:val="27"/>
        <w:keepNext w:val="0"/>
        <w:keepLines w:val="0"/>
        <w:pageBreakBefore w:val="0"/>
        <w:widowControl w:val="0"/>
        <w:numPr>
          <w:ilvl w:val="0"/>
          <w:numId w:val="5"/>
        </w:numPr>
        <w:kinsoku/>
        <w:wordWrap/>
        <w:overflowPunct/>
        <w:topLinePunct w:val="0"/>
        <w:autoSpaceDE/>
        <w:autoSpaceDN/>
        <w:bidi w:val="0"/>
        <w:adjustRightInd/>
        <w:snapToGrid/>
        <w:spacing w:before="280" w:after="280" w:line="500" w:lineRule="exact"/>
        <w:ind w:left="0" w:leftChars="0" w:firstLine="420" w:firstLineChars="0"/>
        <w:textAlignment w:val="auto"/>
        <w:rPr>
          <w:rStyle w:val="32"/>
          <w:rFonts w:hint="eastAsia"/>
          <w:b w:val="0"/>
          <w:sz w:val="24"/>
          <w:szCs w:val="24"/>
        </w:rPr>
      </w:pPr>
      <w:r>
        <w:rPr>
          <w:rStyle w:val="32"/>
          <w:rFonts w:hint="eastAsia"/>
          <w:b w:val="0"/>
          <w:sz w:val="24"/>
          <w:szCs w:val="24"/>
          <w:lang w:val="en-US" w:eastAsia="zh-CN"/>
        </w:rPr>
        <w:t>其他资料（根据需要自行编写）</w:t>
      </w:r>
    </w:p>
    <w:p w14:paraId="37C80EB6">
      <w:pPr>
        <w:ind w:right="-89" w:firstLine="0"/>
        <w:rPr>
          <w:rStyle w:val="32"/>
          <w:rFonts w:ascii="宋体" w:hAnsi="宋体"/>
          <w:b w:val="0"/>
          <w:sz w:val="28"/>
          <w:szCs w:val="28"/>
        </w:rPr>
      </w:pPr>
    </w:p>
    <w:p w14:paraId="628000C8">
      <w:pPr>
        <w:ind w:right="-89" w:firstLine="436" w:firstLineChars="200"/>
        <w:rPr>
          <w:rFonts w:ascii="宋体" w:hAnsi="宋体"/>
          <w:spacing w:val="4"/>
          <w:sz w:val="21"/>
          <w:szCs w:val="21"/>
        </w:rPr>
      </w:pPr>
      <w:r>
        <w:rPr>
          <w:rFonts w:hint="eastAsia" w:ascii="宋体" w:hAnsi="宋体"/>
          <w:spacing w:val="4"/>
          <w:sz w:val="21"/>
          <w:szCs w:val="21"/>
        </w:rPr>
        <w:t>注：为便于评标委员会评审，投标人可对目录进一步细化。</w:t>
      </w:r>
    </w:p>
    <w:p w14:paraId="264D0B46">
      <w:pPr>
        <w:ind w:right="-89" w:firstLine="0"/>
        <w:rPr>
          <w:rFonts w:ascii="宋体" w:hAnsi="宋体"/>
          <w:spacing w:val="4"/>
          <w:sz w:val="28"/>
        </w:rPr>
      </w:pPr>
    </w:p>
    <w:p w14:paraId="09B63B37">
      <w:pPr>
        <w:ind w:right="-89" w:firstLine="0"/>
        <w:rPr>
          <w:rFonts w:ascii="宋体" w:hAnsi="宋体"/>
          <w:spacing w:val="4"/>
          <w:sz w:val="28"/>
        </w:rPr>
      </w:pPr>
    </w:p>
    <w:p w14:paraId="1F5820B7">
      <w:pPr>
        <w:ind w:right="-89" w:firstLine="0"/>
        <w:rPr>
          <w:rFonts w:ascii="宋体" w:hAnsi="宋体"/>
          <w:spacing w:val="4"/>
          <w:sz w:val="28"/>
        </w:rPr>
      </w:pPr>
    </w:p>
    <w:p w14:paraId="74CC1B66">
      <w:pPr>
        <w:ind w:right="-89" w:firstLine="0"/>
        <w:rPr>
          <w:rFonts w:ascii="宋体" w:hAnsi="宋体"/>
          <w:spacing w:val="4"/>
          <w:sz w:val="28"/>
        </w:rPr>
      </w:pPr>
    </w:p>
    <w:p w14:paraId="06ABDDB6">
      <w:pPr>
        <w:ind w:right="-89" w:firstLine="0"/>
        <w:rPr>
          <w:rFonts w:ascii="宋体" w:hAnsi="宋体"/>
          <w:spacing w:val="4"/>
          <w:sz w:val="28"/>
        </w:rPr>
      </w:pPr>
    </w:p>
    <w:p w14:paraId="1B582AC2">
      <w:pPr>
        <w:ind w:right="-89" w:firstLine="0"/>
        <w:rPr>
          <w:rFonts w:ascii="宋体" w:hAnsi="宋体"/>
          <w:spacing w:val="4"/>
          <w:sz w:val="28"/>
        </w:rPr>
      </w:pPr>
    </w:p>
    <w:p w14:paraId="1B5F6615">
      <w:pPr>
        <w:ind w:right="-89" w:firstLine="0"/>
        <w:rPr>
          <w:rFonts w:ascii="宋体" w:hAnsi="宋体"/>
          <w:spacing w:val="4"/>
          <w:sz w:val="28"/>
        </w:rPr>
      </w:pPr>
    </w:p>
    <w:p w14:paraId="1CFE3CD7">
      <w:pPr>
        <w:ind w:right="-89" w:firstLine="0"/>
        <w:rPr>
          <w:rFonts w:ascii="宋体" w:hAnsi="宋体"/>
          <w:spacing w:val="4"/>
          <w:sz w:val="28"/>
        </w:rPr>
      </w:pPr>
    </w:p>
    <w:p w14:paraId="6719BBE7">
      <w:pPr>
        <w:ind w:right="-89" w:firstLine="0"/>
        <w:rPr>
          <w:rFonts w:ascii="宋体" w:hAnsi="宋体"/>
          <w:spacing w:val="4"/>
          <w:sz w:val="28"/>
        </w:rPr>
      </w:pPr>
    </w:p>
    <w:p w14:paraId="79C1A179">
      <w:pPr>
        <w:ind w:right="-89" w:firstLine="0"/>
        <w:rPr>
          <w:rFonts w:ascii="宋体" w:hAnsi="宋体"/>
          <w:spacing w:val="4"/>
          <w:sz w:val="28"/>
        </w:rPr>
      </w:pPr>
    </w:p>
    <w:p w14:paraId="64A670D1">
      <w:pPr>
        <w:ind w:right="-89" w:firstLine="0"/>
        <w:rPr>
          <w:rFonts w:ascii="宋体" w:hAnsi="宋体"/>
          <w:spacing w:val="4"/>
          <w:sz w:val="28"/>
        </w:rPr>
      </w:pPr>
    </w:p>
    <w:p w14:paraId="3B837D46">
      <w:pPr>
        <w:ind w:right="-89" w:firstLine="0"/>
        <w:rPr>
          <w:rFonts w:ascii="宋体" w:hAnsi="宋体"/>
          <w:spacing w:val="4"/>
          <w:sz w:val="28"/>
        </w:rPr>
      </w:pPr>
    </w:p>
    <w:p w14:paraId="4256AD75">
      <w:pPr>
        <w:ind w:right="-89" w:firstLine="0"/>
        <w:rPr>
          <w:rFonts w:ascii="宋体" w:hAnsi="宋体"/>
          <w:spacing w:val="4"/>
          <w:sz w:val="28"/>
        </w:rPr>
      </w:pPr>
    </w:p>
    <w:p w14:paraId="38AF77A5">
      <w:pPr>
        <w:ind w:right="-89" w:firstLine="0"/>
        <w:rPr>
          <w:rFonts w:ascii="宋体" w:hAnsi="宋体"/>
          <w:spacing w:val="4"/>
          <w:sz w:val="28"/>
        </w:rPr>
      </w:pPr>
    </w:p>
    <w:p w14:paraId="680FF7E9">
      <w:pPr>
        <w:ind w:right="-89" w:firstLine="0"/>
        <w:rPr>
          <w:rFonts w:ascii="宋体" w:hAnsi="宋体"/>
          <w:spacing w:val="4"/>
          <w:sz w:val="28"/>
        </w:rPr>
      </w:pPr>
    </w:p>
    <w:p w14:paraId="254E01A6">
      <w:pPr>
        <w:ind w:right="-89" w:firstLine="0"/>
        <w:rPr>
          <w:rFonts w:ascii="宋体" w:hAnsi="宋体"/>
          <w:spacing w:val="4"/>
          <w:sz w:val="28"/>
        </w:rPr>
      </w:pPr>
    </w:p>
    <w:p w14:paraId="5003E554">
      <w:pPr>
        <w:ind w:right="-89" w:firstLine="0"/>
        <w:rPr>
          <w:rFonts w:ascii="宋体" w:hAnsi="宋体"/>
          <w:spacing w:val="4"/>
          <w:sz w:val="28"/>
        </w:rPr>
      </w:pPr>
    </w:p>
    <w:p w14:paraId="5983CE9C">
      <w:pPr>
        <w:pStyle w:val="3"/>
        <w:jc w:val="center"/>
        <w:rPr>
          <w:b w:val="0"/>
        </w:rPr>
        <w:sectPr>
          <w:pgSz w:w="11906" w:h="16838"/>
          <w:pgMar w:top="1417" w:right="1247" w:bottom="1417" w:left="1247" w:header="851" w:footer="992" w:gutter="0"/>
          <w:pgNumType w:fmt="decimal"/>
          <w:cols w:space="720" w:num="1"/>
          <w:formProt w:val="0"/>
          <w:docGrid w:linePitch="286" w:charSpace="0"/>
        </w:sectPr>
      </w:pPr>
    </w:p>
    <w:p w14:paraId="353E2AB4">
      <w:pPr>
        <w:pStyle w:val="3"/>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eastAsia="黑体"/>
          <w:b w:val="0"/>
          <w:lang w:eastAsia="zh-CN"/>
        </w:rPr>
      </w:pPr>
      <w:r>
        <w:rPr>
          <w:b w:val="0"/>
        </w:rPr>
        <w:t>一、</w:t>
      </w:r>
      <w:r>
        <w:rPr>
          <w:rFonts w:hint="eastAsia"/>
          <w:b w:val="0"/>
        </w:rPr>
        <w:t>投标函及投标函附录</w:t>
      </w:r>
    </w:p>
    <w:p w14:paraId="0FFDA6BB">
      <w:pPr>
        <w:keepNext w:val="0"/>
        <w:keepLines w:val="0"/>
        <w:pageBreakBefore w:val="0"/>
        <w:widowControl w:val="0"/>
        <w:kinsoku/>
        <w:wordWrap/>
        <w:overflowPunct/>
        <w:topLinePunct w:val="0"/>
        <w:autoSpaceDE/>
        <w:autoSpaceDN/>
        <w:bidi w:val="0"/>
        <w:adjustRightInd/>
        <w:snapToGrid/>
        <w:spacing w:after="144" w:afterLines="50" w:line="360" w:lineRule="auto"/>
        <w:jc w:val="center"/>
        <w:textAlignment w:val="auto"/>
        <w:rPr>
          <w:rFonts w:hint="eastAsia" w:ascii="宋体" w:hAnsi="宋体"/>
          <w:sz w:val="24"/>
        </w:rPr>
      </w:pPr>
      <w:r>
        <w:rPr>
          <w:rFonts w:hint="eastAsia" w:ascii="黑体" w:hAnsi="黑体" w:eastAsia="黑体" w:cs="黑体"/>
          <w:sz w:val="30"/>
          <w:szCs w:val="30"/>
        </w:rPr>
        <w:t>（一）投标函</w:t>
      </w:r>
    </w:p>
    <w:p w14:paraId="67186987">
      <w:pPr>
        <w:keepNext w:val="0"/>
        <w:keepLines w:val="0"/>
        <w:pageBreakBefore w:val="0"/>
        <w:widowControl w:val="0"/>
        <w:kinsoku/>
        <w:wordWrap/>
        <w:overflowPunct/>
        <w:topLinePunct w:val="0"/>
        <w:autoSpaceDE/>
        <w:autoSpaceDN/>
        <w:bidi w:val="0"/>
        <w:adjustRightInd/>
        <w:snapToGrid/>
        <w:spacing w:after="144" w:afterLines="50" w:line="360" w:lineRule="auto"/>
        <w:textAlignment w:val="auto"/>
        <w:rPr>
          <w:rFonts w:ascii="宋体" w:hAnsi="宋体"/>
          <w:sz w:val="24"/>
          <w:u w:val="single"/>
        </w:rPr>
      </w:pPr>
      <w:r>
        <w:rPr>
          <w:rFonts w:hint="eastAsia" w:ascii="宋体" w:hAnsi="宋体"/>
          <w:sz w:val="24"/>
        </w:rPr>
        <w:t>致：</w:t>
      </w:r>
      <w:r>
        <w:rPr>
          <w:rFonts w:hint="eastAsia" w:ascii="宋体" w:hAnsi="宋体"/>
          <w:sz w:val="24"/>
          <w:u w:val="single"/>
        </w:rPr>
        <w:t>（招标人名称）</w:t>
      </w:r>
    </w:p>
    <w:p w14:paraId="26902B9B">
      <w:pPr>
        <w:keepNext w:val="0"/>
        <w:keepLines w:val="0"/>
        <w:pageBreakBefore w:val="0"/>
        <w:widowControl w:val="0"/>
        <w:numPr>
          <w:ilvl w:val="0"/>
          <w:numId w:val="0"/>
        </w:numPr>
        <w:overflowPunct w:val="0"/>
        <w:bidi w:val="0"/>
        <w:snapToGrid/>
        <w:spacing w:line="360" w:lineRule="auto"/>
        <w:ind w:firstLine="480" w:firstLineChars="200"/>
        <w:jc w:val="left"/>
        <w:textAlignment w:val="auto"/>
        <w:rPr>
          <w:rFonts w:hint="eastAsia" w:ascii="宋体" w:hAnsi="宋体" w:eastAsia="宋体"/>
          <w:sz w:val="24"/>
          <w:lang w:val="en-US" w:eastAsia="zh-CN"/>
        </w:rPr>
      </w:pPr>
      <w:r>
        <w:rPr>
          <w:rFonts w:hint="eastAsia" w:ascii="宋体" w:hAnsi="宋体"/>
          <w:sz w:val="24"/>
          <w:lang w:val="en-US" w:eastAsia="zh-CN"/>
        </w:rPr>
        <w:t>1、</w:t>
      </w:r>
      <w:r>
        <w:rPr>
          <w:rFonts w:hint="eastAsia" w:ascii="宋体" w:hAnsi="宋体"/>
          <w:sz w:val="24"/>
        </w:rPr>
        <w:t>我方已仔细研究了</w:t>
      </w:r>
      <w:r>
        <w:rPr>
          <w:rFonts w:hint="eastAsia" w:ascii="宋体" w:hAnsi="宋体"/>
          <w:sz w:val="24"/>
          <w:u w:val="single"/>
          <w:lang w:val="en-US" w:eastAsia="zh-CN"/>
        </w:rPr>
        <w:t xml:space="preserve">  （项目名称）     </w:t>
      </w:r>
      <w:r>
        <w:rPr>
          <w:rFonts w:hint="eastAsia" w:ascii="宋体" w:hAnsi="宋体"/>
          <w:sz w:val="24"/>
          <w:u w:val="none"/>
          <w:lang w:val="en-US" w:eastAsia="zh-CN"/>
        </w:rPr>
        <w:t>招标文件的全部内容</w:t>
      </w:r>
      <w:r>
        <w:rPr>
          <w:rFonts w:hint="eastAsia" w:ascii="宋体" w:hAnsi="宋体"/>
          <w:sz w:val="24"/>
        </w:rPr>
        <w:t>，愿意以</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%的投标报价下浮率，即人民币</w:t>
      </w:r>
      <w:r>
        <w:rPr>
          <w:rFonts w:hint="eastAsia" w:ascii="宋体" w:hAnsi="宋体"/>
          <w:sz w:val="24"/>
          <w:u w:val="single"/>
        </w:rPr>
        <w:t xml:space="preserve">（大写）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元）</w:t>
      </w:r>
      <w:r>
        <w:rPr>
          <w:rFonts w:hint="eastAsia" w:ascii="宋体" w:hAnsi="宋体"/>
          <w:sz w:val="24"/>
        </w:rPr>
        <w:t>的投标总报价，交货期</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none"/>
          <w:lang w:val="en-US" w:eastAsia="zh-CN"/>
        </w:rPr>
        <w:t>日历天</w:t>
      </w:r>
      <w:r>
        <w:rPr>
          <w:rFonts w:hint="eastAsia" w:ascii="宋体" w:hAnsi="宋体"/>
          <w:sz w:val="24"/>
        </w:rPr>
        <w:t>，按合同约定完成</w:t>
      </w:r>
      <w:r>
        <w:rPr>
          <w:rFonts w:hint="eastAsia" w:ascii="宋体" w:hAnsi="宋体"/>
          <w:sz w:val="24"/>
          <w:lang w:val="en-US" w:eastAsia="zh-CN"/>
        </w:rPr>
        <w:t>货物提供</w:t>
      </w:r>
      <w:r>
        <w:rPr>
          <w:rFonts w:hint="eastAsia" w:ascii="宋体" w:hAnsi="宋体"/>
          <w:sz w:val="24"/>
        </w:rPr>
        <w:t>，修补货物的任何缺陷，</w:t>
      </w:r>
      <w:r>
        <w:rPr>
          <w:rFonts w:hint="eastAsia" w:ascii="宋体" w:hAnsi="宋体"/>
          <w:sz w:val="24"/>
          <w:lang w:val="en-US" w:eastAsia="zh-CN"/>
        </w:rPr>
        <w:t>货物</w:t>
      </w:r>
      <w:r>
        <w:rPr>
          <w:rFonts w:hint="eastAsia" w:ascii="宋体" w:hAnsi="宋体"/>
          <w:sz w:val="24"/>
        </w:rPr>
        <w:t>质量达到</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w:t>
      </w:r>
    </w:p>
    <w:p w14:paraId="38AE39E1">
      <w:pPr>
        <w:keepNext w:val="0"/>
        <w:keepLines w:val="0"/>
        <w:pageBreakBefore w:val="0"/>
        <w:widowControl w:val="0"/>
        <w:overflowPunct w:val="0"/>
        <w:bidi w:val="0"/>
        <w:snapToGrid/>
        <w:spacing w:line="360" w:lineRule="auto"/>
        <w:ind w:firstLine="480"/>
        <w:textAlignment w:val="auto"/>
        <w:rPr>
          <w:rFonts w:ascii="宋体" w:hAnsi="宋体"/>
          <w:sz w:val="24"/>
        </w:rPr>
      </w:pPr>
      <w:r>
        <w:rPr>
          <w:rFonts w:ascii="宋体" w:hAnsi="宋体"/>
          <w:sz w:val="24"/>
        </w:rPr>
        <w:t>2、</w:t>
      </w:r>
      <w:r>
        <w:rPr>
          <w:rFonts w:hint="eastAsia" w:ascii="宋体" w:hAnsi="宋体"/>
          <w:sz w:val="24"/>
        </w:rPr>
        <w:t>我方承诺在投标有效期</w:t>
      </w:r>
      <w:r>
        <w:rPr>
          <w:rFonts w:hint="eastAsia" w:ascii="宋体" w:hAnsi="宋体"/>
          <w:sz w:val="24"/>
          <w:u w:val="single"/>
        </w:rPr>
        <w:t xml:space="preserve"> 90 日历天</w:t>
      </w:r>
      <w:r>
        <w:rPr>
          <w:rFonts w:hint="eastAsia" w:ascii="宋体" w:hAnsi="宋体"/>
          <w:sz w:val="24"/>
        </w:rPr>
        <w:t>内不补充、修改、替代或者撤回本投标文件。</w:t>
      </w:r>
    </w:p>
    <w:p w14:paraId="1C0C0ECF">
      <w:pPr>
        <w:keepNext w:val="0"/>
        <w:keepLines w:val="0"/>
        <w:pageBreakBefore w:val="0"/>
        <w:widowControl w:val="0"/>
        <w:overflowPunct w:val="0"/>
        <w:bidi w:val="0"/>
        <w:snapToGrid/>
        <w:spacing w:line="360" w:lineRule="auto"/>
        <w:ind w:firstLine="480"/>
        <w:textAlignment w:val="auto"/>
        <w:rPr>
          <w:rFonts w:ascii="宋体" w:hAnsi="宋体"/>
          <w:sz w:val="24"/>
        </w:rPr>
      </w:pPr>
      <w:r>
        <w:rPr>
          <w:rFonts w:ascii="宋体" w:hAnsi="宋体"/>
          <w:sz w:val="24"/>
        </w:rPr>
        <w:t>3、</w:t>
      </w:r>
      <w:r>
        <w:rPr>
          <w:rFonts w:hint="eastAsia" w:ascii="宋体" w:hAnsi="宋体"/>
          <w:sz w:val="24"/>
        </w:rPr>
        <w:t>随同本投标函递交了投标保证金一份，金额为人民币</w:t>
      </w:r>
      <w:r>
        <w:rPr>
          <w:rFonts w:hint="eastAsia" w:ascii="宋体" w:hAnsi="宋体"/>
          <w:sz w:val="24"/>
          <w:u w:val="single"/>
          <w:lang w:val="en-US" w:eastAsia="zh-CN"/>
        </w:rPr>
        <w:t>（大写）        （￥     元）</w:t>
      </w:r>
      <w:r>
        <w:rPr>
          <w:rFonts w:hint="eastAsia" w:ascii="宋体" w:hAnsi="宋体"/>
          <w:sz w:val="24"/>
        </w:rPr>
        <w:t>。</w:t>
      </w:r>
    </w:p>
    <w:p w14:paraId="4C98B771">
      <w:pPr>
        <w:keepNext w:val="0"/>
        <w:keepLines w:val="0"/>
        <w:pageBreakBefore w:val="0"/>
        <w:widowControl w:val="0"/>
        <w:overflowPunct w:val="0"/>
        <w:bidi w:val="0"/>
        <w:snapToGrid/>
        <w:spacing w:line="360" w:lineRule="auto"/>
        <w:ind w:firstLine="480"/>
        <w:textAlignment w:val="auto"/>
        <w:rPr>
          <w:rFonts w:hint="eastAsia" w:ascii="宋体" w:hAnsi="宋体"/>
          <w:sz w:val="24"/>
        </w:rPr>
      </w:pPr>
      <w:r>
        <w:rPr>
          <w:rFonts w:hint="eastAsia" w:ascii="宋体" w:hAnsi="宋体"/>
          <w:sz w:val="24"/>
        </w:rPr>
        <w:t>4</w:t>
      </w:r>
      <w:r>
        <w:rPr>
          <w:rFonts w:hint="eastAsia" w:ascii="宋体" w:hAnsi="宋体"/>
          <w:sz w:val="24"/>
          <w:lang w:eastAsia="zh-CN"/>
        </w:rPr>
        <w:t>、</w:t>
      </w:r>
      <w:r>
        <w:rPr>
          <w:rFonts w:hint="eastAsia" w:ascii="宋体" w:hAnsi="宋体"/>
          <w:sz w:val="24"/>
        </w:rPr>
        <w:t>如我方中标：</w:t>
      </w:r>
    </w:p>
    <w:p w14:paraId="3CC08B5F">
      <w:pPr>
        <w:keepNext w:val="0"/>
        <w:keepLines w:val="0"/>
        <w:pageBreakBefore w:val="0"/>
        <w:widowControl w:val="0"/>
        <w:overflowPunct w:val="0"/>
        <w:bidi w:val="0"/>
        <w:snapToGrid/>
        <w:spacing w:line="360" w:lineRule="auto"/>
        <w:ind w:firstLine="480"/>
        <w:textAlignment w:val="auto"/>
        <w:rPr>
          <w:rFonts w:hint="eastAsia" w:ascii="宋体" w:hAnsi="宋体"/>
          <w:sz w:val="24"/>
        </w:rPr>
      </w:pPr>
      <w:r>
        <w:rPr>
          <w:rFonts w:hint="eastAsia" w:ascii="宋体" w:hAnsi="宋体"/>
          <w:sz w:val="24"/>
        </w:rPr>
        <w:t>（1）我方承诺在收到中标通知书后，在中标通知书规定的期限内与你方签订合同；</w:t>
      </w:r>
    </w:p>
    <w:p w14:paraId="5244D598">
      <w:pPr>
        <w:keepNext w:val="0"/>
        <w:keepLines w:val="0"/>
        <w:pageBreakBefore w:val="0"/>
        <w:widowControl w:val="0"/>
        <w:overflowPunct w:val="0"/>
        <w:bidi w:val="0"/>
        <w:snapToGrid/>
        <w:spacing w:line="360" w:lineRule="auto"/>
        <w:ind w:firstLine="480"/>
        <w:textAlignment w:val="auto"/>
        <w:rPr>
          <w:rFonts w:hint="eastAsia" w:ascii="宋体" w:hAnsi="宋体"/>
          <w:sz w:val="24"/>
        </w:rPr>
      </w:pPr>
      <w:r>
        <w:rPr>
          <w:rFonts w:hint="eastAsia" w:ascii="宋体" w:hAnsi="宋体"/>
          <w:sz w:val="24"/>
        </w:rPr>
        <w:t>（2）随同本投标函递交的投标函附录属于合同文件的组成部分；</w:t>
      </w:r>
    </w:p>
    <w:p w14:paraId="50795315">
      <w:pPr>
        <w:keepNext w:val="0"/>
        <w:keepLines w:val="0"/>
        <w:pageBreakBefore w:val="0"/>
        <w:widowControl w:val="0"/>
        <w:overflowPunct w:val="0"/>
        <w:bidi w:val="0"/>
        <w:snapToGrid/>
        <w:spacing w:line="360" w:lineRule="auto"/>
        <w:ind w:firstLine="480"/>
        <w:textAlignment w:val="auto"/>
        <w:rPr>
          <w:rFonts w:hint="eastAsia" w:ascii="宋体" w:hAnsi="宋体"/>
          <w:sz w:val="24"/>
        </w:rPr>
      </w:pPr>
      <w:r>
        <w:rPr>
          <w:rFonts w:hint="eastAsia" w:ascii="宋体" w:hAnsi="宋体"/>
          <w:sz w:val="24"/>
        </w:rPr>
        <w:t>（3）我方承诺按照招标文件规定向你方递交履约担保；</w:t>
      </w:r>
    </w:p>
    <w:p w14:paraId="65E46B77">
      <w:pPr>
        <w:keepNext w:val="0"/>
        <w:keepLines w:val="0"/>
        <w:pageBreakBefore w:val="0"/>
        <w:widowControl w:val="0"/>
        <w:overflowPunct w:val="0"/>
        <w:bidi w:val="0"/>
        <w:snapToGrid/>
        <w:spacing w:line="360" w:lineRule="auto"/>
        <w:ind w:firstLine="480"/>
        <w:textAlignment w:val="auto"/>
        <w:rPr>
          <w:rFonts w:hint="eastAsia" w:ascii="宋体" w:hAnsi="宋体"/>
          <w:sz w:val="24"/>
        </w:rPr>
      </w:pPr>
      <w:r>
        <w:rPr>
          <w:rFonts w:hint="eastAsia" w:ascii="宋体" w:hAnsi="宋体"/>
          <w:sz w:val="24"/>
        </w:rPr>
        <w:t>（4）我方承诺在合同约定的期限内完成并移交全部合同</w:t>
      </w:r>
      <w:r>
        <w:rPr>
          <w:rFonts w:hint="eastAsia" w:ascii="宋体" w:hAnsi="宋体"/>
          <w:sz w:val="24"/>
          <w:lang w:val="en-US" w:eastAsia="zh-CN"/>
        </w:rPr>
        <w:t>货物</w:t>
      </w:r>
      <w:r>
        <w:rPr>
          <w:rFonts w:hint="eastAsia" w:ascii="宋体" w:hAnsi="宋体"/>
          <w:sz w:val="24"/>
        </w:rPr>
        <w:t>。</w:t>
      </w:r>
    </w:p>
    <w:p w14:paraId="40AB6A17">
      <w:pPr>
        <w:keepNext w:val="0"/>
        <w:keepLines w:val="0"/>
        <w:pageBreakBefore w:val="0"/>
        <w:widowControl w:val="0"/>
        <w:overflowPunct w:val="0"/>
        <w:bidi w:val="0"/>
        <w:snapToGrid/>
        <w:spacing w:line="360" w:lineRule="auto"/>
        <w:ind w:firstLine="480"/>
        <w:textAlignment w:val="auto"/>
        <w:rPr>
          <w:rFonts w:hint="eastAsia" w:ascii="宋体" w:hAnsi="宋体"/>
          <w:sz w:val="24"/>
        </w:rPr>
      </w:pPr>
      <w:r>
        <w:rPr>
          <w:rFonts w:hint="eastAsia" w:ascii="宋体" w:hAnsi="宋体"/>
          <w:sz w:val="24"/>
        </w:rPr>
        <w:t>5</w:t>
      </w:r>
      <w:r>
        <w:rPr>
          <w:rFonts w:hint="eastAsia" w:ascii="宋体" w:hAnsi="宋体"/>
          <w:sz w:val="24"/>
          <w:lang w:eastAsia="zh-CN"/>
        </w:rPr>
        <w:t>、</w:t>
      </w:r>
      <w:r>
        <w:rPr>
          <w:rFonts w:hint="eastAsia" w:ascii="宋体" w:hAnsi="宋体"/>
          <w:sz w:val="24"/>
        </w:rPr>
        <w:t>我方在此声明，所递交的投标文件及有关资料内容完整、真实和准确，且不存在第2章投标人须知第1.4.3款规定的任何一种情形。</w:t>
      </w:r>
    </w:p>
    <w:p w14:paraId="4A01C5B0">
      <w:pPr>
        <w:keepNext w:val="0"/>
        <w:keepLines w:val="0"/>
        <w:pageBreakBefore w:val="0"/>
        <w:widowControl w:val="0"/>
        <w:overflowPunct w:val="0"/>
        <w:bidi w:val="0"/>
        <w:snapToGrid/>
        <w:spacing w:line="360" w:lineRule="auto"/>
        <w:ind w:firstLine="480"/>
        <w:textAlignment w:val="auto"/>
        <w:rPr>
          <w:rFonts w:hint="eastAsia" w:ascii="宋体" w:hAnsi="宋体"/>
          <w:sz w:val="24"/>
        </w:rPr>
      </w:pPr>
      <w:r>
        <w:rPr>
          <w:rFonts w:hint="eastAsia" w:ascii="宋体" w:hAnsi="宋体"/>
          <w:sz w:val="24"/>
        </w:rPr>
        <w:t>6</w:t>
      </w:r>
      <w:r>
        <w:rPr>
          <w:rFonts w:hint="eastAsia" w:ascii="宋体" w:hAnsi="宋体"/>
          <w:sz w:val="24"/>
          <w:lang w:eastAsia="zh-CN"/>
        </w:rPr>
        <w:t>、</w:t>
      </w:r>
      <w:r>
        <w:rPr>
          <w:rFonts w:hint="eastAsia" w:ascii="宋体" w:hAnsi="宋体"/>
          <w:sz w:val="24"/>
        </w:rPr>
        <w:t>我方郑重承诺：不让任何单位和个人挂靠，不参与围标和串标，不进行恶意异议和投诉，若有违反上述承诺内容的行为，愿意承担法律责任。</w:t>
      </w:r>
    </w:p>
    <w:p w14:paraId="484C7DA2">
      <w:pPr>
        <w:keepNext w:val="0"/>
        <w:keepLines w:val="0"/>
        <w:pageBreakBefore w:val="0"/>
        <w:widowControl w:val="0"/>
        <w:overflowPunct w:val="0"/>
        <w:bidi w:val="0"/>
        <w:snapToGrid/>
        <w:spacing w:line="360" w:lineRule="auto"/>
        <w:ind w:firstLine="480"/>
        <w:textAlignment w:val="auto"/>
        <w:rPr>
          <w:rFonts w:ascii="宋体" w:hAnsi="宋体"/>
          <w:sz w:val="24"/>
        </w:rPr>
      </w:pPr>
      <w:r>
        <w:rPr>
          <w:rFonts w:hint="eastAsia" w:ascii="宋体" w:hAnsi="宋体"/>
          <w:sz w:val="24"/>
          <w:lang w:val="en-US" w:eastAsia="zh-CN"/>
        </w:rPr>
        <w:t>7、</w:t>
      </w:r>
      <w:r>
        <w:rPr>
          <w:rFonts w:hint="eastAsia" w:ascii="宋体" w:hAnsi="宋体"/>
          <w:sz w:val="24"/>
          <w:u w:val="single"/>
          <w:lang w:val="en-US" w:eastAsia="zh-CN"/>
        </w:rPr>
        <w:t xml:space="preserve">             </w:t>
      </w:r>
      <w:r>
        <w:rPr>
          <w:rFonts w:hint="eastAsia" w:ascii="宋体" w:hAnsi="宋体"/>
          <w:sz w:val="24"/>
          <w:lang w:val="en-US" w:eastAsia="zh-CN"/>
        </w:rPr>
        <w:t>（其它补充说明）。</w:t>
      </w:r>
    </w:p>
    <w:p w14:paraId="69113F4A">
      <w:pPr>
        <w:keepNext w:val="0"/>
        <w:keepLines w:val="0"/>
        <w:pageBreakBefore w:val="0"/>
        <w:widowControl w:val="0"/>
        <w:kinsoku/>
        <w:wordWrap/>
        <w:overflowPunct/>
        <w:topLinePunct w:val="0"/>
        <w:autoSpaceDE/>
        <w:autoSpaceDN/>
        <w:bidi w:val="0"/>
        <w:adjustRightInd/>
        <w:snapToGrid/>
        <w:spacing w:before="144" w:beforeLines="50" w:line="360" w:lineRule="auto"/>
        <w:ind w:firstLine="482"/>
        <w:textAlignment w:val="auto"/>
        <w:rPr>
          <w:rFonts w:ascii="宋体" w:hAnsi="宋体"/>
          <w:sz w:val="24"/>
        </w:rPr>
      </w:pPr>
    </w:p>
    <w:p w14:paraId="4FB5213F">
      <w:pPr>
        <w:keepNext w:val="0"/>
        <w:keepLines w:val="0"/>
        <w:pageBreakBefore w:val="0"/>
        <w:widowControl w:val="0"/>
        <w:kinsoku/>
        <w:wordWrap/>
        <w:overflowPunct/>
        <w:topLinePunct w:val="0"/>
        <w:autoSpaceDE/>
        <w:autoSpaceDN/>
        <w:bidi w:val="0"/>
        <w:adjustRightInd/>
        <w:snapToGrid/>
        <w:spacing w:before="144" w:beforeLines="50" w:line="360" w:lineRule="auto"/>
        <w:ind w:firstLine="482"/>
        <w:textAlignment w:val="auto"/>
        <w:rPr>
          <w:rFonts w:ascii="宋体" w:hAnsi="宋体"/>
          <w:sz w:val="24"/>
        </w:rPr>
      </w:pPr>
      <w:r>
        <w:rPr>
          <w:rFonts w:ascii="宋体" w:hAnsi="宋体"/>
          <w:sz w:val="24"/>
        </w:rPr>
        <w:t>投标人：</w:t>
      </w:r>
      <w:r>
        <w:rPr>
          <w:rFonts w:ascii="宋体" w:hAnsi="宋体"/>
          <w:sz w:val="24"/>
          <w:u w:val="single"/>
        </w:rPr>
        <w:t xml:space="preserve">      </w:t>
      </w:r>
      <w:r>
        <w:rPr>
          <w:rFonts w:hint="eastAsia" w:ascii="宋体" w:hAnsi="宋体"/>
          <w:sz w:val="24"/>
          <w:u w:val="single"/>
          <w:lang w:val="en-US" w:eastAsia="zh-CN"/>
        </w:rPr>
        <w:t xml:space="preserve">              </w:t>
      </w:r>
      <w:r>
        <w:rPr>
          <w:rFonts w:ascii="宋体" w:hAnsi="宋体"/>
          <w:sz w:val="24"/>
          <w:u w:val="none"/>
        </w:rPr>
        <w:t>（</w:t>
      </w:r>
      <w:r>
        <w:rPr>
          <w:rFonts w:hint="eastAsia" w:ascii="宋体" w:hAnsi="宋体"/>
          <w:sz w:val="24"/>
          <w:u w:val="none"/>
          <w:lang w:eastAsia="zh-CN"/>
        </w:rPr>
        <w:t>盖</w:t>
      </w:r>
      <w:r>
        <w:rPr>
          <w:rFonts w:ascii="宋体" w:hAnsi="宋体"/>
          <w:sz w:val="24"/>
          <w:u w:val="none"/>
        </w:rPr>
        <w:t>章）</w:t>
      </w:r>
    </w:p>
    <w:p w14:paraId="3B39597D">
      <w:pPr>
        <w:keepNext w:val="0"/>
        <w:keepLines w:val="0"/>
        <w:pageBreakBefore w:val="0"/>
        <w:widowControl w:val="0"/>
        <w:kinsoku/>
        <w:wordWrap/>
        <w:overflowPunct/>
        <w:topLinePunct w:val="0"/>
        <w:autoSpaceDE/>
        <w:autoSpaceDN/>
        <w:bidi w:val="0"/>
        <w:adjustRightInd/>
        <w:snapToGrid/>
        <w:spacing w:before="0" w:line="360" w:lineRule="auto"/>
        <w:ind w:firstLine="482"/>
        <w:textAlignment w:val="auto"/>
        <w:rPr>
          <w:rFonts w:ascii="宋体" w:hAnsi="宋体"/>
          <w:sz w:val="24"/>
        </w:rPr>
      </w:pPr>
      <w:r>
        <w:rPr>
          <w:rFonts w:hint="eastAsia" w:ascii="宋体" w:hAnsi="宋体"/>
          <w:sz w:val="24"/>
        </w:rPr>
        <w:t>法定代表人或其委托代理人</w:t>
      </w:r>
      <w:r>
        <w:rPr>
          <w:rFonts w:ascii="宋体" w:hAnsi="宋体"/>
          <w:sz w:val="24"/>
        </w:rPr>
        <w:t>：</w:t>
      </w:r>
      <w:r>
        <w:rPr>
          <w:rFonts w:hint="eastAsia" w:ascii="宋体" w:hAnsi="宋体"/>
          <w:sz w:val="24"/>
          <w:u w:val="single"/>
          <w:lang w:val="en-US" w:eastAsia="zh-CN"/>
        </w:rPr>
        <w:t xml:space="preserve">           </w:t>
      </w:r>
      <w:r>
        <w:rPr>
          <w:rFonts w:hint="eastAsia" w:ascii="宋体" w:hAnsi="宋体"/>
          <w:sz w:val="24"/>
          <w:u w:val="none"/>
        </w:rPr>
        <w:t>（签字）</w:t>
      </w:r>
    </w:p>
    <w:p w14:paraId="1D429686">
      <w:pPr>
        <w:keepNext w:val="0"/>
        <w:keepLines w:val="0"/>
        <w:pageBreakBefore w:val="0"/>
        <w:kinsoku/>
        <w:wordWrap/>
        <w:overflowPunct/>
        <w:topLinePunct w:val="0"/>
        <w:autoSpaceDE/>
        <w:autoSpaceDN/>
        <w:bidi w:val="0"/>
        <w:adjustRightInd/>
        <w:snapToGrid/>
        <w:spacing w:before="0" w:line="360" w:lineRule="auto"/>
        <w:ind w:firstLine="480"/>
        <w:textAlignment w:val="auto"/>
        <w:rPr>
          <w:rFonts w:ascii="宋体" w:hAnsi="宋体"/>
          <w:sz w:val="24"/>
          <w:u w:val="none"/>
        </w:rPr>
      </w:pPr>
      <w:r>
        <w:rPr>
          <w:rFonts w:ascii="宋体" w:hAnsi="宋体"/>
          <w:sz w:val="24"/>
        </w:rPr>
        <w:t>地址：</w:t>
      </w:r>
      <w:r>
        <w:rPr>
          <w:rFonts w:ascii="宋体" w:hAnsi="宋体"/>
          <w:sz w:val="24"/>
          <w:u w:val="none"/>
        </w:rPr>
        <w:t xml:space="preserve">               </w:t>
      </w:r>
    </w:p>
    <w:p w14:paraId="56B95DB8">
      <w:pPr>
        <w:keepNext w:val="0"/>
        <w:keepLines w:val="0"/>
        <w:pageBreakBefore w:val="0"/>
        <w:kinsoku/>
        <w:wordWrap/>
        <w:overflowPunct/>
        <w:topLinePunct w:val="0"/>
        <w:autoSpaceDE/>
        <w:autoSpaceDN/>
        <w:bidi w:val="0"/>
        <w:adjustRightInd/>
        <w:snapToGrid/>
        <w:spacing w:before="0" w:line="360" w:lineRule="auto"/>
        <w:ind w:firstLine="480"/>
        <w:textAlignment w:val="auto"/>
        <w:rPr>
          <w:rFonts w:hint="eastAsia" w:ascii="宋体" w:hAnsi="宋体"/>
          <w:sz w:val="24"/>
          <w:u w:val="single"/>
          <w:lang w:val="en-US" w:eastAsia="zh-CN"/>
        </w:rPr>
      </w:pPr>
      <w:r>
        <w:rPr>
          <w:rFonts w:ascii="宋体" w:hAnsi="宋体"/>
          <w:sz w:val="24"/>
        </w:rPr>
        <w:t>电话：</w:t>
      </w:r>
      <w:r>
        <w:rPr>
          <w:rFonts w:hint="eastAsia" w:ascii="宋体" w:hAnsi="宋体"/>
          <w:sz w:val="24"/>
          <w:u w:val="single"/>
          <w:lang w:val="en-US" w:eastAsia="zh-CN"/>
        </w:rPr>
        <w:t xml:space="preserve"> </w:t>
      </w:r>
    </w:p>
    <w:p w14:paraId="24D2DA75">
      <w:pPr>
        <w:keepNext w:val="0"/>
        <w:keepLines w:val="0"/>
        <w:pageBreakBefore w:val="0"/>
        <w:kinsoku/>
        <w:wordWrap/>
        <w:overflowPunct/>
        <w:topLinePunct w:val="0"/>
        <w:autoSpaceDE/>
        <w:autoSpaceDN/>
        <w:bidi w:val="0"/>
        <w:adjustRightInd/>
        <w:snapToGrid/>
        <w:spacing w:before="0" w:line="360" w:lineRule="auto"/>
        <w:ind w:firstLine="480"/>
        <w:textAlignment w:val="auto"/>
        <w:rPr>
          <w:rFonts w:hint="default" w:ascii="宋体" w:hAnsi="宋体" w:eastAsia="宋体"/>
          <w:sz w:val="24"/>
          <w:lang w:val="en-US" w:eastAsia="zh-CN"/>
        </w:rPr>
      </w:pPr>
      <w:r>
        <w:rPr>
          <w:rFonts w:hint="eastAsia" w:ascii="宋体" w:hAnsi="宋体"/>
          <w:sz w:val="24"/>
          <w:u w:val="none"/>
          <w:lang w:val="en-US" w:eastAsia="zh-CN"/>
        </w:rPr>
        <w:t xml:space="preserve">邮箱： </w:t>
      </w:r>
      <w:r>
        <w:rPr>
          <w:rFonts w:hint="eastAsia" w:ascii="宋体" w:hAnsi="宋体"/>
          <w:sz w:val="24"/>
          <w:u w:val="single"/>
          <w:lang w:val="en-US" w:eastAsia="zh-CN"/>
        </w:rPr>
        <w:t xml:space="preserve">            </w:t>
      </w:r>
    </w:p>
    <w:p w14:paraId="4E6E00B5">
      <w:pPr>
        <w:keepNext w:val="0"/>
        <w:keepLines w:val="0"/>
        <w:pageBreakBefore w:val="0"/>
        <w:kinsoku/>
        <w:wordWrap/>
        <w:overflowPunct/>
        <w:topLinePunct w:val="0"/>
        <w:autoSpaceDE/>
        <w:autoSpaceDN/>
        <w:bidi w:val="0"/>
        <w:adjustRightInd/>
        <w:snapToGrid/>
        <w:spacing w:before="0" w:line="360" w:lineRule="auto"/>
        <w:ind w:firstLine="480"/>
        <w:textAlignment w:val="auto"/>
        <w:rPr>
          <w:rFonts w:ascii="宋体" w:hAnsi="宋体"/>
          <w:sz w:val="24"/>
        </w:rPr>
      </w:pPr>
      <w:r>
        <w:rPr>
          <w:rFonts w:ascii="宋体" w:hAnsi="宋体"/>
          <w:sz w:val="24"/>
        </w:rPr>
        <w:t>日期：</w:t>
      </w:r>
      <w:r>
        <w:rPr>
          <w:rFonts w:ascii="宋体" w:hAnsi="宋体"/>
          <w:sz w:val="24"/>
          <w:u w:val="single"/>
        </w:rPr>
        <w:t xml:space="preserve"> </w:t>
      </w:r>
      <w:r>
        <w:rPr>
          <w:rFonts w:hint="eastAsia" w:ascii="宋体" w:hAnsi="宋体"/>
          <w:sz w:val="24"/>
          <w:u w:val="single"/>
          <w:lang w:val="en-US" w:eastAsia="zh-CN"/>
        </w:rPr>
        <w:t xml:space="preserve"> </w:t>
      </w: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hint="eastAsia" w:ascii="宋体" w:hAnsi="宋体"/>
          <w:sz w:val="24"/>
          <w:u w:val="single"/>
          <w:lang w:val="en-US" w:eastAsia="zh-CN"/>
        </w:rPr>
        <w:t xml:space="preserve"> </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hint="eastAsia" w:ascii="宋体" w:hAnsi="宋体"/>
          <w:sz w:val="24"/>
          <w:u w:val="single"/>
          <w:lang w:val="en-US" w:eastAsia="zh-CN"/>
        </w:rPr>
        <w:t xml:space="preserve"> </w:t>
      </w:r>
      <w:r>
        <w:rPr>
          <w:rFonts w:ascii="宋体" w:hAnsi="宋体"/>
          <w:sz w:val="24"/>
        </w:rPr>
        <w:t>日</w:t>
      </w:r>
    </w:p>
    <w:p w14:paraId="45782E9C">
      <w:pPr>
        <w:keepNext w:val="0"/>
        <w:keepLines w:val="0"/>
        <w:pageBreakBefore w:val="0"/>
        <w:widowControl w:val="0"/>
        <w:kinsoku/>
        <w:wordWrap/>
        <w:overflowPunct/>
        <w:topLinePunct w:val="0"/>
        <w:autoSpaceDE/>
        <w:autoSpaceDN/>
        <w:bidi w:val="0"/>
        <w:adjustRightInd/>
        <w:snapToGrid/>
        <w:spacing w:after="144" w:afterLines="50" w:line="360" w:lineRule="auto"/>
        <w:jc w:val="center"/>
        <w:textAlignment w:val="auto"/>
        <w:rPr>
          <w:rFonts w:hint="eastAsia" w:ascii="黑体" w:hAnsi="黑体" w:eastAsia="黑体" w:cs="黑体"/>
          <w:sz w:val="30"/>
          <w:szCs w:val="30"/>
          <w:lang w:eastAsia="zh-CN"/>
        </w:rPr>
        <w:sectPr>
          <w:pgSz w:w="11906" w:h="16838"/>
          <w:pgMar w:top="1247" w:right="1134" w:bottom="1247" w:left="1247" w:header="851" w:footer="850" w:gutter="0"/>
          <w:pgNumType w:fmt="decimal"/>
          <w:cols w:space="720" w:num="1"/>
          <w:formProt w:val="0"/>
          <w:docGrid w:linePitch="286" w:charSpace="0"/>
        </w:sectPr>
      </w:pPr>
    </w:p>
    <w:p w14:paraId="6179A089">
      <w:pPr>
        <w:keepNext w:val="0"/>
        <w:keepLines w:val="0"/>
        <w:pageBreakBefore w:val="0"/>
        <w:widowControl w:val="0"/>
        <w:kinsoku/>
        <w:wordWrap/>
        <w:overflowPunct/>
        <w:topLinePunct w:val="0"/>
        <w:autoSpaceDE/>
        <w:autoSpaceDN/>
        <w:bidi w:val="0"/>
        <w:adjustRightInd/>
        <w:snapToGrid/>
        <w:spacing w:after="144" w:afterLines="50" w:line="360" w:lineRule="auto"/>
        <w:jc w:val="center"/>
        <w:textAlignment w:val="auto"/>
        <w:rPr>
          <w:rFonts w:hint="eastAsia" w:ascii="黑体" w:hAnsi="黑体" w:eastAsia="黑体" w:cs="黑体"/>
          <w:sz w:val="30"/>
          <w:szCs w:val="30"/>
        </w:rPr>
      </w:pPr>
      <w:r>
        <w:rPr>
          <w:rFonts w:hint="eastAsia" w:ascii="黑体" w:hAnsi="黑体" w:eastAsia="黑体" w:cs="黑体"/>
          <w:sz w:val="30"/>
          <w:szCs w:val="30"/>
          <w:lang w:eastAsia="zh-CN"/>
        </w:rPr>
        <w:t>（二）</w:t>
      </w:r>
      <w:r>
        <w:rPr>
          <w:rFonts w:hint="eastAsia" w:ascii="黑体" w:hAnsi="黑体" w:eastAsia="黑体" w:cs="黑体"/>
          <w:sz w:val="30"/>
          <w:szCs w:val="30"/>
        </w:rPr>
        <w:t>投标函附录</w:t>
      </w:r>
    </w:p>
    <w:tbl>
      <w:tblPr>
        <w:tblStyle w:val="30"/>
        <w:tblW w:w="9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2796"/>
        <w:gridCol w:w="4818"/>
        <w:gridCol w:w="1034"/>
      </w:tblGrid>
      <w:tr w14:paraId="7AF01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30" w:type="dxa"/>
            <w:vAlign w:val="center"/>
          </w:tcPr>
          <w:p w14:paraId="42A50681">
            <w:pPr>
              <w:pStyle w:val="15"/>
              <w:ind w:left="0" w:leftChars="0" w:firstLine="0" w:firstLineChars="0"/>
              <w:jc w:val="center"/>
              <w:rPr>
                <w:rFonts w:hint="eastAsia" w:ascii="宋体" w:hAnsi="宋体" w:eastAsia="宋体" w:cs="宋体"/>
                <w:b/>
                <w:bCs/>
                <w:sz w:val="24"/>
                <w:szCs w:val="24"/>
                <w:vertAlign w:val="baseline"/>
              </w:rPr>
            </w:pPr>
            <w:r>
              <w:rPr>
                <w:rFonts w:hint="eastAsia" w:ascii="宋体" w:hAnsi="宋体" w:eastAsia="宋体" w:cs="宋体"/>
                <w:b/>
                <w:bCs/>
                <w:color w:val="000000"/>
                <w:sz w:val="24"/>
                <w:szCs w:val="24"/>
              </w:rPr>
              <w:t>序号</w:t>
            </w:r>
          </w:p>
        </w:tc>
        <w:tc>
          <w:tcPr>
            <w:tcW w:w="2796" w:type="dxa"/>
            <w:vAlign w:val="center"/>
          </w:tcPr>
          <w:p w14:paraId="692D92B7">
            <w:pPr>
              <w:pStyle w:val="15"/>
              <w:ind w:left="0" w:leftChars="0" w:firstLine="0" w:firstLineChars="0"/>
              <w:jc w:val="center"/>
              <w:rPr>
                <w:rFonts w:hint="eastAsia" w:ascii="宋体" w:hAnsi="宋体" w:eastAsia="宋体" w:cs="宋体"/>
                <w:b/>
                <w:bCs/>
                <w:sz w:val="24"/>
                <w:szCs w:val="24"/>
                <w:vertAlign w:val="baseline"/>
              </w:rPr>
            </w:pPr>
            <w:r>
              <w:rPr>
                <w:rFonts w:hint="eastAsia" w:ascii="宋体" w:hAnsi="宋体" w:eastAsia="宋体" w:cs="宋体"/>
                <w:b/>
                <w:bCs/>
                <w:color w:val="000000"/>
                <w:sz w:val="24"/>
                <w:szCs w:val="24"/>
              </w:rPr>
              <w:t>名称</w:t>
            </w:r>
          </w:p>
        </w:tc>
        <w:tc>
          <w:tcPr>
            <w:tcW w:w="4818" w:type="dxa"/>
            <w:vAlign w:val="center"/>
          </w:tcPr>
          <w:p w14:paraId="198AEEC0">
            <w:pPr>
              <w:pStyle w:val="15"/>
              <w:ind w:left="0" w:leftChars="0" w:firstLine="0" w:firstLineChars="0"/>
              <w:jc w:val="center"/>
              <w:rPr>
                <w:rFonts w:hint="eastAsia" w:ascii="宋体" w:hAnsi="宋体" w:eastAsia="宋体" w:cs="宋体"/>
                <w:b/>
                <w:bCs/>
                <w:sz w:val="24"/>
                <w:szCs w:val="24"/>
                <w:vertAlign w:val="baseline"/>
              </w:rPr>
            </w:pPr>
            <w:r>
              <w:rPr>
                <w:rFonts w:hint="eastAsia" w:ascii="宋体" w:hAnsi="宋体" w:eastAsia="宋体" w:cs="宋体"/>
                <w:b/>
                <w:bCs/>
                <w:color w:val="000000"/>
                <w:sz w:val="24"/>
                <w:szCs w:val="24"/>
              </w:rPr>
              <w:t>约定内容</w:t>
            </w:r>
          </w:p>
        </w:tc>
        <w:tc>
          <w:tcPr>
            <w:tcW w:w="1034" w:type="dxa"/>
            <w:vAlign w:val="center"/>
          </w:tcPr>
          <w:p w14:paraId="45B5AB19">
            <w:pPr>
              <w:pStyle w:val="15"/>
              <w:ind w:left="0" w:leftChars="0" w:firstLine="0" w:firstLineChars="0"/>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备注</w:t>
            </w:r>
          </w:p>
        </w:tc>
      </w:tr>
      <w:tr w14:paraId="4AD88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30" w:type="dxa"/>
            <w:vAlign w:val="center"/>
          </w:tcPr>
          <w:p w14:paraId="2BA4FDC0">
            <w:pPr>
              <w:pStyle w:val="15"/>
              <w:numPr>
                <w:ilvl w:val="0"/>
                <w:numId w:val="6"/>
              </w:numPr>
              <w:ind w:left="425" w:leftChars="0" w:hanging="425" w:firstLineChars="0"/>
              <w:jc w:val="center"/>
              <w:rPr>
                <w:rFonts w:hint="eastAsia" w:ascii="宋体" w:hAnsi="宋体" w:eastAsia="宋体" w:cs="宋体"/>
                <w:sz w:val="24"/>
                <w:szCs w:val="24"/>
                <w:vertAlign w:val="baseline"/>
              </w:rPr>
            </w:pPr>
          </w:p>
        </w:tc>
        <w:tc>
          <w:tcPr>
            <w:tcW w:w="2796" w:type="dxa"/>
            <w:vAlign w:val="center"/>
          </w:tcPr>
          <w:p w14:paraId="2B1C1711">
            <w:pPr>
              <w:pStyle w:val="15"/>
              <w:ind w:left="0" w:leftChars="0" w:firstLine="0" w:firstLineChars="0"/>
              <w:jc w:val="center"/>
              <w:rPr>
                <w:rFonts w:hint="default" w:ascii="宋体" w:hAnsi="宋体" w:eastAsia="宋体" w:cs="宋体"/>
                <w:sz w:val="24"/>
                <w:szCs w:val="24"/>
                <w:vertAlign w:val="baseline"/>
                <w:lang w:val="en-US" w:eastAsia="zh-CN"/>
              </w:rPr>
            </w:pPr>
            <w:r>
              <w:rPr>
                <w:rFonts w:hint="eastAsia" w:cs="宋体"/>
                <w:sz w:val="24"/>
                <w:szCs w:val="24"/>
                <w:vertAlign w:val="baseline"/>
                <w:lang w:val="en-US" w:eastAsia="zh-CN"/>
              </w:rPr>
              <w:t>供货方类型</w:t>
            </w:r>
          </w:p>
        </w:tc>
        <w:tc>
          <w:tcPr>
            <w:tcW w:w="4818" w:type="dxa"/>
            <w:vAlign w:val="center"/>
          </w:tcPr>
          <w:p w14:paraId="799B7968">
            <w:pPr>
              <w:pStyle w:val="15"/>
              <w:ind w:left="0" w:leftChars="0" w:firstLine="0" w:firstLineChars="0"/>
              <w:rPr>
                <w:rFonts w:hint="eastAsia" w:ascii="宋体" w:hAnsi="宋体" w:eastAsia="宋体" w:cs="宋体"/>
                <w:sz w:val="24"/>
                <w:szCs w:val="24"/>
                <w:vertAlign w:val="baseline"/>
              </w:rPr>
            </w:pPr>
            <w:r>
              <w:rPr>
                <w:rFonts w:hint="eastAsia" w:ascii="宋体" w:hAnsi="宋体" w:eastAsia="宋体" w:cs="宋体"/>
                <w:sz w:val="24"/>
                <w:szCs w:val="24"/>
                <w:vertAlign w:val="baseline"/>
              </w:rPr>
              <w:sym w:font="Wingdings" w:char="00A8"/>
            </w:r>
            <w:r>
              <w:rPr>
                <w:rFonts w:hint="eastAsia" w:ascii="宋体" w:hAnsi="宋体" w:eastAsia="宋体" w:cs="宋体"/>
                <w:sz w:val="24"/>
                <w:szCs w:val="24"/>
                <w:vertAlign w:val="baseline"/>
              </w:rPr>
              <w:t>制造商</w:t>
            </w:r>
            <w:r>
              <w:rPr>
                <w:rFonts w:hint="eastAsia" w:cs="宋体"/>
                <w:sz w:val="24"/>
                <w:szCs w:val="24"/>
                <w:vertAlign w:val="baseline"/>
                <w:lang w:val="en-US" w:eastAsia="zh-CN"/>
              </w:rPr>
              <w:t xml:space="preserve">    </w:t>
            </w:r>
            <w:r>
              <w:rPr>
                <w:rFonts w:hint="eastAsia" w:ascii="宋体" w:hAnsi="宋体" w:eastAsia="宋体" w:cs="宋体"/>
                <w:sz w:val="24"/>
                <w:szCs w:val="24"/>
                <w:vertAlign w:val="baseline"/>
              </w:rPr>
              <w:sym w:font="Wingdings" w:char="00A8"/>
            </w:r>
            <w:r>
              <w:rPr>
                <w:rFonts w:hint="eastAsia" w:ascii="宋体" w:hAnsi="宋体" w:eastAsia="宋体" w:cs="宋体"/>
                <w:sz w:val="24"/>
                <w:szCs w:val="24"/>
                <w:vertAlign w:val="baseline"/>
              </w:rPr>
              <w:t>代理经销商</w:t>
            </w:r>
          </w:p>
        </w:tc>
        <w:tc>
          <w:tcPr>
            <w:tcW w:w="1034" w:type="dxa"/>
            <w:vAlign w:val="center"/>
          </w:tcPr>
          <w:p w14:paraId="69264424">
            <w:pPr>
              <w:pStyle w:val="15"/>
              <w:rPr>
                <w:rFonts w:hint="eastAsia" w:ascii="宋体" w:hAnsi="宋体" w:eastAsia="宋体" w:cs="宋体"/>
                <w:sz w:val="24"/>
                <w:szCs w:val="24"/>
                <w:vertAlign w:val="baseline"/>
              </w:rPr>
            </w:pPr>
          </w:p>
        </w:tc>
      </w:tr>
      <w:tr w14:paraId="39823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730" w:type="dxa"/>
            <w:vAlign w:val="center"/>
          </w:tcPr>
          <w:p w14:paraId="26A27B03">
            <w:pPr>
              <w:pStyle w:val="15"/>
              <w:numPr>
                <w:ilvl w:val="0"/>
                <w:numId w:val="6"/>
              </w:numPr>
              <w:ind w:left="425" w:leftChars="0" w:hanging="425" w:firstLineChars="0"/>
              <w:jc w:val="center"/>
              <w:rPr>
                <w:rFonts w:hint="eastAsia" w:ascii="宋体" w:hAnsi="宋体" w:eastAsia="宋体" w:cs="宋体"/>
                <w:sz w:val="24"/>
                <w:szCs w:val="24"/>
                <w:vertAlign w:val="baseline"/>
              </w:rPr>
            </w:pPr>
          </w:p>
        </w:tc>
        <w:tc>
          <w:tcPr>
            <w:tcW w:w="2796" w:type="dxa"/>
            <w:vAlign w:val="center"/>
          </w:tcPr>
          <w:p w14:paraId="0E6C75B0">
            <w:pPr>
              <w:pStyle w:val="15"/>
              <w:ind w:left="0" w:leftChars="0" w:firstLine="0" w:firstLineChars="0"/>
              <w:jc w:val="center"/>
              <w:rPr>
                <w:rFonts w:hint="eastAsia" w:ascii="宋体" w:hAnsi="宋体" w:eastAsia="宋体" w:cs="宋体"/>
                <w:sz w:val="24"/>
                <w:szCs w:val="24"/>
                <w:vertAlign w:val="baseline"/>
              </w:rPr>
            </w:pPr>
            <w:r>
              <w:rPr>
                <w:rFonts w:hint="eastAsia" w:ascii="宋体" w:hAnsi="宋体" w:eastAsia="宋体" w:cs="宋体"/>
                <w:b w:val="0"/>
                <w:bCs w:val="0"/>
                <w:color w:val="000000"/>
                <w:sz w:val="24"/>
                <w:szCs w:val="24"/>
              </w:rPr>
              <w:t>投标总报价</w:t>
            </w:r>
          </w:p>
        </w:tc>
        <w:tc>
          <w:tcPr>
            <w:tcW w:w="4818" w:type="dxa"/>
            <w:vAlign w:val="center"/>
          </w:tcPr>
          <w:p w14:paraId="2FD2A618">
            <w:pPr>
              <w:pStyle w:val="15"/>
              <w:ind w:left="0" w:leftChars="0" w:firstLine="0" w:firstLineChars="0"/>
              <w:rPr>
                <w:rFonts w:hint="eastAsia" w:ascii="宋体" w:hAnsi="宋体" w:eastAsia="宋体" w:cs="宋体"/>
                <w:sz w:val="24"/>
                <w:szCs w:val="24"/>
                <w:vertAlign w:val="baseline"/>
              </w:rPr>
            </w:pPr>
            <w:r>
              <w:rPr>
                <w:rFonts w:hint="eastAsia" w:ascii="宋体" w:hAnsi="宋体" w:eastAsia="宋体" w:cs="宋体"/>
                <w:b w:val="0"/>
                <w:bCs w:val="0"/>
                <w:color w:val="000000"/>
                <w:sz w:val="24"/>
                <w:szCs w:val="24"/>
              </w:rPr>
              <w:t>人民币</w:t>
            </w:r>
            <w:r>
              <w:rPr>
                <w:rFonts w:hint="eastAsia" w:ascii="宋体" w:hAnsi="宋体" w:eastAsia="宋体" w:cs="宋体"/>
                <w:b w:val="0"/>
                <w:bCs w:val="0"/>
                <w:color w:val="000000"/>
                <w:sz w:val="24"/>
                <w:szCs w:val="24"/>
                <w:u w:val="single"/>
              </w:rPr>
              <w:t xml:space="preserve">（大写） </w:t>
            </w:r>
            <w:r>
              <w:rPr>
                <w:rFonts w:hint="eastAsia" w:ascii="宋体" w:hAnsi="宋体" w:eastAsia="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u w:val="single"/>
              </w:rPr>
              <w:t>（￥</w:t>
            </w:r>
            <w:r>
              <w:rPr>
                <w:rFonts w:hint="eastAsia" w:ascii="宋体" w:hAnsi="宋体" w:eastAsia="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u w:val="single"/>
              </w:rPr>
              <w:t xml:space="preserve"> 元）</w:t>
            </w:r>
          </w:p>
        </w:tc>
        <w:tc>
          <w:tcPr>
            <w:tcW w:w="1034" w:type="dxa"/>
            <w:vAlign w:val="center"/>
          </w:tcPr>
          <w:p w14:paraId="0A727253">
            <w:pPr>
              <w:pStyle w:val="15"/>
              <w:rPr>
                <w:rFonts w:hint="eastAsia" w:ascii="宋体" w:hAnsi="宋体" w:eastAsia="宋体" w:cs="宋体"/>
                <w:sz w:val="24"/>
                <w:szCs w:val="24"/>
                <w:vertAlign w:val="baseline"/>
              </w:rPr>
            </w:pPr>
          </w:p>
        </w:tc>
      </w:tr>
      <w:tr w14:paraId="679E5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730" w:type="dxa"/>
            <w:vAlign w:val="center"/>
          </w:tcPr>
          <w:p w14:paraId="4233C9DB">
            <w:pPr>
              <w:pStyle w:val="15"/>
              <w:numPr>
                <w:ilvl w:val="0"/>
                <w:numId w:val="6"/>
              </w:numPr>
              <w:ind w:left="425" w:leftChars="0" w:hanging="425" w:firstLineChars="0"/>
              <w:jc w:val="center"/>
              <w:rPr>
                <w:rFonts w:hint="eastAsia" w:ascii="宋体" w:hAnsi="宋体" w:eastAsia="宋体" w:cs="宋体"/>
                <w:sz w:val="24"/>
                <w:szCs w:val="24"/>
                <w:vertAlign w:val="baseline"/>
              </w:rPr>
            </w:pPr>
          </w:p>
        </w:tc>
        <w:tc>
          <w:tcPr>
            <w:tcW w:w="2796" w:type="dxa"/>
            <w:vAlign w:val="center"/>
          </w:tcPr>
          <w:p w14:paraId="0AE915BF">
            <w:pPr>
              <w:pStyle w:val="15"/>
              <w:ind w:left="0" w:leftChars="0" w:firstLine="0" w:firstLineChars="0"/>
              <w:jc w:val="center"/>
              <w:rPr>
                <w:rFonts w:hint="eastAsia" w:ascii="宋体" w:hAnsi="宋体" w:eastAsia="宋体" w:cs="宋体"/>
                <w:sz w:val="24"/>
                <w:szCs w:val="24"/>
                <w:vertAlign w:val="baseline"/>
              </w:rPr>
            </w:pPr>
            <w:r>
              <w:rPr>
                <w:rFonts w:hint="eastAsia" w:ascii="宋体" w:hAnsi="宋体" w:eastAsia="宋体" w:cs="宋体"/>
                <w:b w:val="0"/>
                <w:bCs w:val="0"/>
                <w:color w:val="000000"/>
                <w:sz w:val="24"/>
                <w:szCs w:val="24"/>
              </w:rPr>
              <w:t>投标报价下浮率</w:t>
            </w:r>
          </w:p>
        </w:tc>
        <w:tc>
          <w:tcPr>
            <w:tcW w:w="4818" w:type="dxa"/>
            <w:vAlign w:val="center"/>
          </w:tcPr>
          <w:p w14:paraId="64D32ED9">
            <w:pPr>
              <w:pStyle w:val="15"/>
              <w:ind w:left="0" w:leftChars="0" w:firstLine="720" w:firstLineChars="300"/>
              <w:rPr>
                <w:rFonts w:hint="eastAsia" w:ascii="宋体" w:hAnsi="宋体" w:eastAsia="宋体" w:cs="宋体"/>
                <w:sz w:val="24"/>
                <w:szCs w:val="24"/>
                <w:vertAlign w:val="baseline"/>
              </w:rPr>
            </w:pPr>
            <w:r>
              <w:rPr>
                <w:rFonts w:hint="eastAsia" w:ascii="宋体" w:hAnsi="宋体" w:eastAsia="宋体" w:cs="宋体"/>
                <w:b w:val="0"/>
                <w:bCs w:val="0"/>
                <w:color w:val="000000"/>
                <w:sz w:val="24"/>
                <w:szCs w:val="24"/>
              </w:rPr>
              <w:t>％</w:t>
            </w:r>
          </w:p>
        </w:tc>
        <w:tc>
          <w:tcPr>
            <w:tcW w:w="1034" w:type="dxa"/>
            <w:vAlign w:val="center"/>
          </w:tcPr>
          <w:p w14:paraId="54511244">
            <w:pPr>
              <w:pStyle w:val="15"/>
              <w:rPr>
                <w:rFonts w:hint="eastAsia" w:ascii="宋体" w:hAnsi="宋体" w:eastAsia="宋体" w:cs="宋体"/>
                <w:sz w:val="24"/>
                <w:szCs w:val="24"/>
                <w:vertAlign w:val="baseline"/>
              </w:rPr>
            </w:pPr>
          </w:p>
        </w:tc>
      </w:tr>
      <w:tr w14:paraId="52C3C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jc w:val="center"/>
        </w:trPr>
        <w:tc>
          <w:tcPr>
            <w:tcW w:w="730" w:type="dxa"/>
            <w:vAlign w:val="center"/>
          </w:tcPr>
          <w:p w14:paraId="05839422">
            <w:pPr>
              <w:pStyle w:val="15"/>
              <w:numPr>
                <w:ilvl w:val="0"/>
                <w:numId w:val="6"/>
              </w:numPr>
              <w:ind w:left="425" w:leftChars="0" w:hanging="425" w:firstLineChars="0"/>
              <w:jc w:val="center"/>
              <w:rPr>
                <w:rFonts w:hint="eastAsia" w:ascii="宋体" w:hAnsi="宋体" w:eastAsia="宋体" w:cs="宋体"/>
                <w:sz w:val="24"/>
                <w:szCs w:val="24"/>
                <w:vertAlign w:val="baseline"/>
              </w:rPr>
            </w:pPr>
          </w:p>
        </w:tc>
        <w:tc>
          <w:tcPr>
            <w:tcW w:w="2796" w:type="dxa"/>
            <w:vAlign w:val="center"/>
          </w:tcPr>
          <w:p w14:paraId="0048AAF1">
            <w:pPr>
              <w:pStyle w:val="15"/>
              <w:ind w:left="0" w:leftChars="0" w:firstLine="0" w:firstLineChars="0"/>
              <w:jc w:val="center"/>
              <w:rPr>
                <w:rFonts w:hint="eastAsia" w:ascii="宋体" w:hAnsi="宋体" w:eastAsia="宋体" w:cs="宋体"/>
                <w:sz w:val="24"/>
                <w:szCs w:val="24"/>
                <w:vertAlign w:val="baseline"/>
              </w:rPr>
            </w:pPr>
            <w:r>
              <w:rPr>
                <w:rFonts w:hint="eastAsia" w:ascii="宋体" w:hAnsi="宋体" w:eastAsia="宋体" w:cs="宋体"/>
                <w:b w:val="0"/>
                <w:bCs w:val="0"/>
                <w:color w:val="000000"/>
                <w:sz w:val="24"/>
                <w:szCs w:val="24"/>
              </w:rPr>
              <w:t>对招标文件有关投标有效期、合同条款及招标范围等实质性内容是否响应</w:t>
            </w:r>
          </w:p>
        </w:tc>
        <w:tc>
          <w:tcPr>
            <w:tcW w:w="4818" w:type="dxa"/>
            <w:vAlign w:val="center"/>
          </w:tcPr>
          <w:p w14:paraId="12B5E200">
            <w:pPr>
              <w:pStyle w:val="15"/>
              <w:ind w:left="0" w:leftChars="0" w:firstLine="0" w:firstLineChars="0"/>
              <w:jc w:val="both"/>
              <w:rPr>
                <w:rFonts w:hint="eastAsia" w:ascii="宋体" w:hAnsi="宋体" w:eastAsia="宋体" w:cs="宋体"/>
                <w:sz w:val="24"/>
                <w:szCs w:val="24"/>
                <w:vertAlign w:val="baseline"/>
              </w:rPr>
            </w:pPr>
            <w:r>
              <w:rPr>
                <w:rFonts w:hint="eastAsia" w:ascii="宋体" w:hAnsi="宋体" w:eastAsia="宋体" w:cs="宋体"/>
                <w:b w:val="0"/>
                <w:bCs w:val="0"/>
                <w:color w:val="000000"/>
                <w:sz w:val="24"/>
                <w:szCs w:val="24"/>
              </w:rPr>
              <w:sym w:font="Wingdings" w:char="00A8"/>
            </w:r>
            <w:r>
              <w:rPr>
                <w:rFonts w:hint="eastAsia" w:ascii="宋体" w:hAnsi="宋体" w:eastAsia="宋体" w:cs="宋体"/>
                <w:b w:val="0"/>
                <w:bCs w:val="0"/>
                <w:color w:val="000000"/>
                <w:sz w:val="24"/>
                <w:szCs w:val="24"/>
              </w:rPr>
              <w:t>是</w:t>
            </w:r>
            <w:r>
              <w:rPr>
                <w:rFonts w:hint="eastAsia" w:cs="宋体"/>
                <w:b w:val="0"/>
                <w:bCs w:val="0"/>
                <w:color w:val="000000"/>
                <w:sz w:val="24"/>
                <w:szCs w:val="24"/>
                <w:lang w:val="en-US" w:eastAsia="zh-CN"/>
              </w:rPr>
              <w:t xml:space="preserve">         </w:t>
            </w:r>
            <w:r>
              <w:rPr>
                <w:rFonts w:hint="eastAsia" w:ascii="宋体" w:hAnsi="宋体" w:eastAsia="宋体" w:cs="宋体"/>
                <w:b w:val="0"/>
                <w:bCs w:val="0"/>
                <w:color w:val="000000"/>
                <w:sz w:val="24"/>
                <w:szCs w:val="24"/>
              </w:rPr>
              <w:sym w:font="Wingdings" w:char="00A8"/>
            </w:r>
            <w:r>
              <w:rPr>
                <w:rFonts w:hint="eastAsia" w:ascii="宋体" w:hAnsi="宋体" w:eastAsia="宋体" w:cs="宋体"/>
                <w:b w:val="0"/>
                <w:bCs w:val="0"/>
                <w:color w:val="000000"/>
                <w:sz w:val="24"/>
                <w:szCs w:val="24"/>
              </w:rPr>
              <w:t>否</w:t>
            </w:r>
          </w:p>
        </w:tc>
        <w:tc>
          <w:tcPr>
            <w:tcW w:w="1034" w:type="dxa"/>
            <w:vAlign w:val="center"/>
          </w:tcPr>
          <w:p w14:paraId="2323DCEE">
            <w:pPr>
              <w:pStyle w:val="15"/>
              <w:rPr>
                <w:rFonts w:hint="eastAsia" w:ascii="宋体" w:hAnsi="宋体" w:eastAsia="宋体" w:cs="宋体"/>
                <w:sz w:val="24"/>
                <w:szCs w:val="24"/>
                <w:vertAlign w:val="baseline"/>
              </w:rPr>
            </w:pPr>
          </w:p>
        </w:tc>
      </w:tr>
      <w:tr w14:paraId="142EE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730" w:type="dxa"/>
            <w:vMerge w:val="restart"/>
            <w:vAlign w:val="center"/>
          </w:tcPr>
          <w:p w14:paraId="01616ABD">
            <w:pPr>
              <w:pStyle w:val="15"/>
              <w:numPr>
                <w:ilvl w:val="0"/>
                <w:numId w:val="6"/>
              </w:numPr>
              <w:ind w:left="425" w:leftChars="0" w:hanging="425" w:firstLineChars="0"/>
              <w:jc w:val="center"/>
              <w:rPr>
                <w:rFonts w:hint="eastAsia" w:ascii="宋体" w:hAnsi="宋体" w:eastAsia="宋体" w:cs="宋体"/>
                <w:sz w:val="24"/>
                <w:szCs w:val="24"/>
                <w:vertAlign w:val="baseline"/>
              </w:rPr>
            </w:pPr>
          </w:p>
        </w:tc>
        <w:tc>
          <w:tcPr>
            <w:tcW w:w="2796" w:type="dxa"/>
            <w:vMerge w:val="restart"/>
            <w:vAlign w:val="center"/>
          </w:tcPr>
          <w:p w14:paraId="7820905C">
            <w:pPr>
              <w:pStyle w:val="15"/>
              <w:ind w:left="0" w:leftChars="0" w:firstLine="0" w:firstLineChars="0"/>
              <w:jc w:val="center"/>
              <w:rPr>
                <w:rFonts w:hint="eastAsia" w:ascii="宋体" w:hAnsi="宋体" w:eastAsia="宋体" w:cs="宋体"/>
                <w:sz w:val="24"/>
                <w:szCs w:val="24"/>
                <w:vertAlign w:val="baseline"/>
              </w:rPr>
            </w:pPr>
            <w:r>
              <w:rPr>
                <w:rFonts w:hint="eastAsia" w:ascii="宋体" w:hAnsi="宋体" w:eastAsia="宋体" w:cs="宋体"/>
                <w:b w:val="0"/>
                <w:bCs w:val="0"/>
                <w:color w:val="000000"/>
                <w:sz w:val="24"/>
                <w:szCs w:val="24"/>
              </w:rPr>
              <w:t>投标保证金（人民币）</w:t>
            </w:r>
          </w:p>
        </w:tc>
        <w:tc>
          <w:tcPr>
            <w:tcW w:w="4818" w:type="dxa"/>
            <w:vAlign w:val="center"/>
          </w:tcPr>
          <w:p w14:paraId="02031851">
            <w:pPr>
              <w:pStyle w:val="15"/>
              <w:ind w:left="0" w:leftChars="0" w:firstLine="0" w:firstLineChars="0"/>
              <w:rPr>
                <w:rFonts w:hint="eastAsia" w:ascii="宋体" w:hAnsi="宋体" w:eastAsia="宋体" w:cs="宋体"/>
                <w:sz w:val="24"/>
                <w:szCs w:val="24"/>
              </w:rPr>
            </w:pPr>
            <w:r>
              <w:rPr>
                <w:rFonts w:hint="eastAsia" w:ascii="宋体" w:hAnsi="宋体" w:eastAsia="宋体" w:cs="宋体"/>
                <w:b w:val="0"/>
                <w:bCs w:val="0"/>
                <w:color w:val="000000"/>
                <w:sz w:val="24"/>
                <w:szCs w:val="24"/>
              </w:rPr>
              <w:t>数额：人民币</w:t>
            </w:r>
            <w:r>
              <w:rPr>
                <w:rFonts w:hint="eastAsia" w:ascii="宋体" w:hAnsi="宋体" w:eastAsia="宋体" w:cs="宋体"/>
                <w:b w:val="0"/>
                <w:bCs w:val="0"/>
                <w:color w:val="000000"/>
                <w:sz w:val="24"/>
                <w:szCs w:val="24"/>
                <w:u w:val="single"/>
              </w:rPr>
              <w:t xml:space="preserve">（大写）   </w:t>
            </w:r>
            <w:r>
              <w:rPr>
                <w:rFonts w:hint="eastAsia" w:ascii="宋体" w:hAnsi="宋体" w:eastAsia="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u w:val="single"/>
              </w:rPr>
              <w:t>（￥   元）</w:t>
            </w:r>
          </w:p>
        </w:tc>
        <w:tc>
          <w:tcPr>
            <w:tcW w:w="1034" w:type="dxa"/>
            <w:vMerge w:val="restart"/>
            <w:vAlign w:val="center"/>
          </w:tcPr>
          <w:p w14:paraId="5E827A36">
            <w:pPr>
              <w:pStyle w:val="15"/>
              <w:rPr>
                <w:rFonts w:hint="eastAsia" w:ascii="宋体" w:hAnsi="宋体" w:eastAsia="宋体" w:cs="宋体"/>
                <w:sz w:val="24"/>
                <w:szCs w:val="24"/>
                <w:vertAlign w:val="baseline"/>
              </w:rPr>
            </w:pPr>
          </w:p>
        </w:tc>
      </w:tr>
      <w:tr w14:paraId="75863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730" w:type="dxa"/>
            <w:vMerge w:val="continue"/>
            <w:vAlign w:val="center"/>
          </w:tcPr>
          <w:p w14:paraId="517B3D04">
            <w:pPr>
              <w:pStyle w:val="16"/>
            </w:pPr>
          </w:p>
        </w:tc>
        <w:tc>
          <w:tcPr>
            <w:tcW w:w="2796" w:type="dxa"/>
            <w:vMerge w:val="continue"/>
            <w:vAlign w:val="center"/>
          </w:tcPr>
          <w:p w14:paraId="69D334BD">
            <w:pPr>
              <w:pStyle w:val="16"/>
            </w:pPr>
          </w:p>
        </w:tc>
        <w:tc>
          <w:tcPr>
            <w:tcW w:w="4818" w:type="dxa"/>
            <w:vAlign w:val="center"/>
          </w:tcPr>
          <w:p w14:paraId="2392DEDD">
            <w:pPr>
              <w:pStyle w:val="16"/>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方式：</w:t>
            </w:r>
          </w:p>
        </w:tc>
        <w:tc>
          <w:tcPr>
            <w:tcW w:w="1034" w:type="dxa"/>
            <w:vMerge w:val="continue"/>
            <w:vAlign w:val="center"/>
          </w:tcPr>
          <w:p w14:paraId="25239026">
            <w:pPr>
              <w:pStyle w:val="16"/>
              <w:rPr>
                <w:rFonts w:hint="eastAsia" w:ascii="宋体" w:hAnsi="宋体" w:eastAsia="宋体" w:cs="宋体"/>
                <w:b w:val="0"/>
                <w:bCs w:val="0"/>
                <w:color w:val="000000"/>
                <w:sz w:val="24"/>
                <w:szCs w:val="24"/>
              </w:rPr>
            </w:pPr>
          </w:p>
        </w:tc>
      </w:tr>
      <w:tr w14:paraId="355CF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730" w:type="dxa"/>
            <w:vAlign w:val="center"/>
          </w:tcPr>
          <w:p w14:paraId="2D3B61C4">
            <w:pPr>
              <w:pStyle w:val="15"/>
              <w:numPr>
                <w:ilvl w:val="0"/>
                <w:numId w:val="6"/>
              </w:numPr>
              <w:ind w:left="425" w:leftChars="0" w:hanging="425" w:firstLineChars="0"/>
              <w:jc w:val="center"/>
              <w:rPr>
                <w:rFonts w:hint="eastAsia" w:ascii="宋体" w:hAnsi="宋体" w:eastAsia="宋体" w:cs="宋体"/>
                <w:sz w:val="24"/>
                <w:szCs w:val="24"/>
                <w:vertAlign w:val="baseline"/>
              </w:rPr>
            </w:pPr>
          </w:p>
        </w:tc>
        <w:tc>
          <w:tcPr>
            <w:tcW w:w="2796" w:type="dxa"/>
            <w:vAlign w:val="center"/>
          </w:tcPr>
          <w:p w14:paraId="0BEB3A34">
            <w:pPr>
              <w:pStyle w:val="15"/>
              <w:ind w:left="0" w:leftChars="0" w:firstLine="0" w:firstLineChars="0"/>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交货期</w:t>
            </w:r>
          </w:p>
        </w:tc>
        <w:tc>
          <w:tcPr>
            <w:tcW w:w="4818" w:type="dxa"/>
            <w:vAlign w:val="center"/>
          </w:tcPr>
          <w:p w14:paraId="4C389D6F">
            <w:pPr>
              <w:pStyle w:val="15"/>
              <w:ind w:left="0" w:leftChars="0" w:firstLine="720" w:firstLineChars="300"/>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日历天</w:t>
            </w:r>
          </w:p>
        </w:tc>
        <w:tc>
          <w:tcPr>
            <w:tcW w:w="1034" w:type="dxa"/>
            <w:vAlign w:val="center"/>
          </w:tcPr>
          <w:p w14:paraId="3BA302A2">
            <w:pPr>
              <w:pStyle w:val="15"/>
              <w:rPr>
                <w:rFonts w:hint="eastAsia" w:ascii="宋体" w:hAnsi="宋体" w:eastAsia="宋体" w:cs="宋体"/>
                <w:sz w:val="24"/>
                <w:szCs w:val="24"/>
                <w:vertAlign w:val="baseline"/>
              </w:rPr>
            </w:pPr>
          </w:p>
        </w:tc>
      </w:tr>
      <w:tr w14:paraId="393AD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730" w:type="dxa"/>
            <w:vAlign w:val="center"/>
          </w:tcPr>
          <w:p w14:paraId="1C22C9F4">
            <w:pPr>
              <w:pStyle w:val="15"/>
              <w:numPr>
                <w:ilvl w:val="0"/>
                <w:numId w:val="6"/>
              </w:numPr>
              <w:ind w:left="425" w:leftChars="0" w:hanging="425" w:firstLineChars="0"/>
              <w:jc w:val="center"/>
              <w:rPr>
                <w:rFonts w:hint="eastAsia" w:ascii="宋体" w:hAnsi="宋体" w:eastAsia="宋体" w:cs="宋体"/>
                <w:sz w:val="24"/>
                <w:szCs w:val="24"/>
                <w:vertAlign w:val="baseline"/>
              </w:rPr>
            </w:pPr>
          </w:p>
        </w:tc>
        <w:tc>
          <w:tcPr>
            <w:tcW w:w="2796" w:type="dxa"/>
            <w:vAlign w:val="center"/>
          </w:tcPr>
          <w:p w14:paraId="253AA00D">
            <w:pPr>
              <w:pStyle w:val="15"/>
              <w:ind w:left="0" w:leftChars="0" w:firstLine="0" w:firstLineChars="0"/>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缺陷责任期</w:t>
            </w:r>
          </w:p>
          <w:p w14:paraId="7B4955A4">
            <w:pPr>
              <w:pStyle w:val="15"/>
              <w:ind w:left="0" w:leftChars="0" w:firstLine="0" w:firstLineChars="0"/>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(质量保修期)</w:t>
            </w:r>
          </w:p>
        </w:tc>
        <w:tc>
          <w:tcPr>
            <w:tcW w:w="4818" w:type="dxa"/>
            <w:vAlign w:val="center"/>
          </w:tcPr>
          <w:p w14:paraId="38C02A28">
            <w:pPr>
              <w:pStyle w:val="15"/>
              <w:ind w:left="0" w:leftChars="0" w:firstLine="720" w:firstLineChars="300"/>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eastAsia="zh-CN"/>
              </w:rPr>
              <w:t>年</w:t>
            </w:r>
            <w:r>
              <w:rPr>
                <w:rFonts w:hint="eastAsia" w:ascii="宋体" w:hAnsi="宋体" w:eastAsia="宋体" w:cs="宋体"/>
                <w:sz w:val="24"/>
                <w:szCs w:val="24"/>
                <w:vertAlign w:val="baseline"/>
                <w:lang w:val="en-US" w:eastAsia="zh-CN"/>
              </w:rPr>
              <w:t xml:space="preserve"> </w:t>
            </w:r>
          </w:p>
        </w:tc>
        <w:tc>
          <w:tcPr>
            <w:tcW w:w="1034" w:type="dxa"/>
            <w:vAlign w:val="center"/>
          </w:tcPr>
          <w:p w14:paraId="1F4D53A7">
            <w:pPr>
              <w:pStyle w:val="15"/>
              <w:rPr>
                <w:rFonts w:hint="eastAsia" w:ascii="宋体" w:hAnsi="宋体" w:eastAsia="宋体" w:cs="宋体"/>
                <w:sz w:val="24"/>
                <w:szCs w:val="24"/>
                <w:vertAlign w:val="baseline"/>
              </w:rPr>
            </w:pPr>
          </w:p>
        </w:tc>
      </w:tr>
      <w:tr w14:paraId="4F0F6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730" w:type="dxa"/>
            <w:vAlign w:val="center"/>
          </w:tcPr>
          <w:p w14:paraId="5AC82857">
            <w:pPr>
              <w:pStyle w:val="15"/>
              <w:numPr>
                <w:ilvl w:val="0"/>
                <w:numId w:val="6"/>
              </w:numPr>
              <w:ind w:left="425" w:leftChars="0" w:hanging="425" w:firstLineChars="0"/>
              <w:jc w:val="center"/>
              <w:rPr>
                <w:rFonts w:hint="eastAsia" w:ascii="宋体" w:hAnsi="宋体" w:eastAsia="宋体" w:cs="宋体"/>
                <w:sz w:val="24"/>
                <w:szCs w:val="24"/>
                <w:vertAlign w:val="baseline"/>
              </w:rPr>
            </w:pPr>
          </w:p>
        </w:tc>
        <w:tc>
          <w:tcPr>
            <w:tcW w:w="2796" w:type="dxa"/>
            <w:vAlign w:val="center"/>
          </w:tcPr>
          <w:p w14:paraId="317A18F3">
            <w:pPr>
              <w:pStyle w:val="15"/>
              <w:ind w:left="0" w:leftChars="0" w:firstLine="0" w:firstLineChars="0"/>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质量等级</w:t>
            </w:r>
          </w:p>
        </w:tc>
        <w:tc>
          <w:tcPr>
            <w:tcW w:w="4818" w:type="dxa"/>
            <w:vAlign w:val="center"/>
          </w:tcPr>
          <w:p w14:paraId="714AB305">
            <w:pPr>
              <w:pStyle w:val="15"/>
              <w:keepNext w:val="0"/>
              <w:keepLines w:val="0"/>
              <w:pageBreakBefore w:val="0"/>
              <w:widowControl/>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vertAlign w:val="baseline"/>
              </w:rPr>
            </w:pPr>
            <w:r>
              <w:rPr>
                <w:rFonts w:hint="eastAsia" w:ascii="宋体" w:hAnsi="宋体" w:eastAsia="宋体" w:cs="宋体"/>
                <w:b w:val="0"/>
                <w:bCs/>
                <w:kern w:val="0"/>
                <w:sz w:val="24"/>
                <w:szCs w:val="24"/>
                <w:lang w:bidi="ar-SA"/>
              </w:rPr>
              <w:t>本项目所有的货物和配套的供货及安装调试服务，所涉及的设计标准和规范、产品标准和规范、技术标准和规范、验收标准和规范等必须完全符合国家、地方或行业现行的相应标准和规范</w:t>
            </w:r>
            <w:r>
              <w:rPr>
                <w:rFonts w:hint="eastAsia" w:ascii="宋体" w:hAnsi="宋体" w:eastAsia="宋体" w:cs="宋体"/>
                <w:b w:val="0"/>
                <w:bCs/>
                <w:kern w:val="0"/>
                <w:sz w:val="24"/>
                <w:szCs w:val="24"/>
                <w:u w:val="single"/>
                <w:lang w:bidi="ar-SA"/>
              </w:rPr>
              <w:t>合格或以上</w:t>
            </w:r>
            <w:r>
              <w:rPr>
                <w:rFonts w:hint="eastAsia" w:ascii="宋体" w:hAnsi="宋体" w:eastAsia="宋体" w:cs="宋体"/>
                <w:b w:val="0"/>
                <w:bCs/>
                <w:kern w:val="0"/>
                <w:sz w:val="24"/>
                <w:szCs w:val="24"/>
                <w:lang w:bidi="ar-SA"/>
              </w:rPr>
              <w:t>要求。</w:t>
            </w:r>
          </w:p>
        </w:tc>
        <w:tc>
          <w:tcPr>
            <w:tcW w:w="1034" w:type="dxa"/>
            <w:vAlign w:val="center"/>
          </w:tcPr>
          <w:p w14:paraId="5DA220ED">
            <w:pPr>
              <w:pStyle w:val="15"/>
              <w:rPr>
                <w:rFonts w:hint="eastAsia" w:ascii="宋体" w:hAnsi="宋体" w:eastAsia="宋体" w:cs="宋体"/>
                <w:sz w:val="24"/>
                <w:szCs w:val="24"/>
                <w:vertAlign w:val="baseline"/>
              </w:rPr>
            </w:pPr>
          </w:p>
        </w:tc>
      </w:tr>
      <w:tr w14:paraId="69FD4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730" w:type="dxa"/>
            <w:vAlign w:val="center"/>
          </w:tcPr>
          <w:p w14:paraId="76004309">
            <w:pPr>
              <w:pStyle w:val="15"/>
              <w:numPr>
                <w:ilvl w:val="0"/>
                <w:numId w:val="6"/>
              </w:numPr>
              <w:ind w:left="425" w:leftChars="0" w:hanging="425" w:firstLineChars="0"/>
              <w:jc w:val="center"/>
              <w:rPr>
                <w:rFonts w:hint="eastAsia" w:ascii="宋体" w:hAnsi="宋体" w:eastAsia="宋体" w:cs="宋体"/>
                <w:sz w:val="24"/>
                <w:szCs w:val="24"/>
                <w:vertAlign w:val="baseline"/>
              </w:rPr>
            </w:pPr>
          </w:p>
        </w:tc>
        <w:tc>
          <w:tcPr>
            <w:tcW w:w="2796" w:type="dxa"/>
            <w:vAlign w:val="center"/>
          </w:tcPr>
          <w:p w14:paraId="0DFBB3AD">
            <w:pPr>
              <w:pStyle w:val="15"/>
              <w:ind w:left="0" w:leftChars="0" w:firstLine="0" w:firstLineChars="0"/>
              <w:jc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w:t>
            </w:r>
          </w:p>
        </w:tc>
        <w:tc>
          <w:tcPr>
            <w:tcW w:w="4818" w:type="dxa"/>
            <w:vAlign w:val="center"/>
          </w:tcPr>
          <w:p w14:paraId="5469C4F4">
            <w:pPr>
              <w:pStyle w:val="15"/>
              <w:ind w:left="0" w:leftChars="0" w:firstLine="0" w:firstLineChars="0"/>
              <w:rPr>
                <w:rFonts w:hint="eastAsia" w:ascii="宋体" w:hAnsi="宋体" w:eastAsia="宋体" w:cs="宋体"/>
                <w:sz w:val="24"/>
                <w:szCs w:val="24"/>
                <w:vertAlign w:val="baseline"/>
                <w:lang w:val="en-US" w:eastAsia="zh-CN"/>
              </w:rPr>
            </w:pPr>
            <w:r>
              <w:rPr>
                <w:rFonts w:hint="eastAsia" w:ascii="宋体" w:hAnsi="宋体" w:eastAsia="宋体" w:cs="宋体"/>
                <w:b w:val="0"/>
                <w:bCs w:val="0"/>
                <w:color w:val="000000"/>
                <w:sz w:val="24"/>
                <w:szCs w:val="24"/>
                <w:lang w:val="en-US" w:eastAsia="zh-CN"/>
              </w:rPr>
              <w:t>......(投标人可自行增加内容，如无，可删除本行）</w:t>
            </w:r>
          </w:p>
        </w:tc>
        <w:tc>
          <w:tcPr>
            <w:tcW w:w="1034" w:type="dxa"/>
            <w:vAlign w:val="center"/>
          </w:tcPr>
          <w:p w14:paraId="56A408ED">
            <w:pPr>
              <w:pStyle w:val="15"/>
              <w:rPr>
                <w:rFonts w:hint="eastAsia" w:ascii="宋体" w:hAnsi="宋体" w:eastAsia="宋体" w:cs="宋体"/>
                <w:sz w:val="24"/>
                <w:szCs w:val="24"/>
                <w:vertAlign w:val="baseline"/>
              </w:rPr>
            </w:pPr>
          </w:p>
        </w:tc>
      </w:tr>
    </w:tbl>
    <w:p w14:paraId="3588E5E3">
      <w:pPr>
        <w:pStyle w:val="15"/>
        <w:sectPr>
          <w:pgSz w:w="11906" w:h="16838"/>
          <w:pgMar w:top="1247" w:right="1134" w:bottom="1247" w:left="1247" w:header="851" w:footer="850" w:gutter="0"/>
          <w:pgNumType w:fmt="decimal"/>
          <w:cols w:space="720" w:num="1"/>
          <w:formProt w:val="0"/>
          <w:docGrid w:linePitch="286" w:charSpace="0"/>
        </w:sectPr>
      </w:pPr>
    </w:p>
    <w:p w14:paraId="288051DA">
      <w:pPr>
        <w:pStyle w:val="3"/>
        <w:keepNext/>
        <w:keepLines/>
        <w:pageBreakBefore w:val="0"/>
        <w:widowControl w:val="0"/>
        <w:kinsoku/>
        <w:wordWrap/>
        <w:overflowPunct/>
        <w:topLinePunct w:val="0"/>
        <w:autoSpaceDE/>
        <w:autoSpaceDN/>
        <w:bidi w:val="0"/>
        <w:adjustRightInd/>
        <w:snapToGrid/>
        <w:spacing w:before="60" w:after="60" w:line="416" w:lineRule="auto"/>
        <w:jc w:val="center"/>
        <w:textAlignment w:val="auto"/>
        <w:rPr>
          <w:b/>
          <w:sz w:val="32"/>
          <w:szCs w:val="32"/>
        </w:rPr>
      </w:pPr>
      <w:r>
        <w:rPr>
          <w:rFonts w:hint="eastAsia"/>
          <w:lang w:eastAsia="zh-CN"/>
        </w:rPr>
        <w:t>二</w:t>
      </w:r>
      <w:r>
        <w:t>、法定代表人身份证明书</w:t>
      </w:r>
    </w:p>
    <w:p w14:paraId="4A64CBBB">
      <w:pPr>
        <w:spacing w:line="560" w:lineRule="exact"/>
        <w:ind w:firstLine="540"/>
        <w:rPr>
          <w:rFonts w:ascii="宋体" w:hAnsi="宋体"/>
          <w:sz w:val="24"/>
          <w:u w:val="single"/>
        </w:rPr>
      </w:pPr>
      <w:r>
        <w:rPr>
          <w:rFonts w:ascii="宋体" w:hAnsi="宋体"/>
          <w:sz w:val="24"/>
        </w:rPr>
        <w:t>投标人</w:t>
      </w:r>
      <w:r>
        <w:rPr>
          <w:rFonts w:hint="eastAsia" w:ascii="宋体" w:hAnsi="宋体"/>
          <w:sz w:val="24"/>
        </w:rPr>
        <w:t>名称</w:t>
      </w:r>
      <w:r>
        <w:rPr>
          <w:rFonts w:ascii="宋体" w:hAnsi="宋体"/>
          <w:sz w:val="24"/>
        </w:rPr>
        <w:t>：</w:t>
      </w:r>
    </w:p>
    <w:p w14:paraId="13B1826A">
      <w:pPr>
        <w:spacing w:line="560" w:lineRule="exact"/>
        <w:ind w:firstLine="540"/>
        <w:rPr>
          <w:rFonts w:ascii="宋体" w:hAnsi="宋体"/>
          <w:sz w:val="24"/>
        </w:rPr>
      </w:pPr>
      <w:r>
        <w:rPr>
          <w:rFonts w:ascii="宋体" w:hAnsi="宋体"/>
          <w:sz w:val="24"/>
        </w:rPr>
        <w:t>单位性质：</w:t>
      </w:r>
    </w:p>
    <w:p w14:paraId="6A546AFC">
      <w:pPr>
        <w:spacing w:line="560" w:lineRule="exact"/>
        <w:ind w:firstLine="540"/>
        <w:rPr>
          <w:rFonts w:ascii="宋体" w:hAnsi="宋体"/>
          <w:sz w:val="24"/>
        </w:rPr>
      </w:pPr>
      <w:r>
        <w:rPr>
          <w:rFonts w:ascii="宋体" w:hAnsi="宋体"/>
          <w:sz w:val="24"/>
        </w:rPr>
        <w:t>地</w:t>
      </w:r>
      <w:r>
        <w:rPr>
          <w:rFonts w:hint="eastAsia" w:ascii="宋体" w:hAnsi="宋体"/>
          <w:sz w:val="24"/>
          <w:lang w:val="en-US" w:eastAsia="zh-CN"/>
        </w:rPr>
        <w:t xml:space="preserve">    </w:t>
      </w:r>
      <w:r>
        <w:rPr>
          <w:rFonts w:ascii="宋体" w:hAnsi="宋体"/>
          <w:sz w:val="24"/>
        </w:rPr>
        <w:t>址：</w:t>
      </w:r>
    </w:p>
    <w:p w14:paraId="1E4FD863">
      <w:pPr>
        <w:spacing w:line="560" w:lineRule="exact"/>
        <w:ind w:firstLine="540"/>
        <w:rPr>
          <w:rFonts w:ascii="宋体" w:hAnsi="宋体"/>
          <w:sz w:val="24"/>
        </w:rPr>
      </w:pPr>
      <w:r>
        <w:rPr>
          <w:rFonts w:ascii="宋体" w:hAnsi="宋体"/>
          <w:sz w:val="24"/>
        </w:rPr>
        <w:t>成立时间：</w:t>
      </w: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ascii="宋体" w:hAnsi="宋体"/>
          <w:sz w:val="24"/>
        </w:rPr>
        <w:t>日</w:t>
      </w:r>
    </w:p>
    <w:p w14:paraId="16957001">
      <w:pPr>
        <w:spacing w:line="560" w:lineRule="exact"/>
        <w:ind w:firstLine="540"/>
        <w:rPr>
          <w:rFonts w:ascii="宋体" w:hAnsi="宋体"/>
          <w:sz w:val="24"/>
        </w:rPr>
      </w:pPr>
      <w:r>
        <w:rPr>
          <w:rFonts w:ascii="宋体" w:hAnsi="宋体"/>
          <w:sz w:val="24"/>
        </w:rPr>
        <w:t>经营期限：</w:t>
      </w:r>
    </w:p>
    <w:p w14:paraId="769A5422">
      <w:pPr>
        <w:spacing w:line="560" w:lineRule="exact"/>
        <w:ind w:firstLine="540"/>
        <w:rPr>
          <w:rFonts w:ascii="宋体" w:hAnsi="宋体"/>
          <w:sz w:val="24"/>
        </w:rPr>
      </w:pPr>
      <w:r>
        <w:rPr>
          <w:rFonts w:ascii="宋体" w:hAnsi="宋体"/>
          <w:sz w:val="24"/>
        </w:rPr>
        <w:t>姓</w:t>
      </w:r>
      <w:r>
        <w:rPr>
          <w:rFonts w:hint="eastAsia" w:ascii="宋体" w:hAnsi="宋体"/>
          <w:sz w:val="24"/>
          <w:lang w:val="en-US" w:eastAsia="zh-CN"/>
        </w:rPr>
        <w:t xml:space="preserve">    </w:t>
      </w:r>
      <w:r>
        <w:rPr>
          <w:rFonts w:ascii="宋体" w:hAnsi="宋体"/>
          <w:sz w:val="24"/>
        </w:rPr>
        <w:t>名：          性</w:t>
      </w:r>
      <w:r>
        <w:rPr>
          <w:rFonts w:hint="eastAsia" w:ascii="宋体" w:hAnsi="宋体"/>
          <w:sz w:val="24"/>
          <w:lang w:val="en-US" w:eastAsia="zh-CN"/>
        </w:rPr>
        <w:t xml:space="preserve">  </w:t>
      </w:r>
      <w:r>
        <w:rPr>
          <w:rFonts w:ascii="宋体" w:hAnsi="宋体"/>
          <w:sz w:val="24"/>
        </w:rPr>
        <w:t>别：</w:t>
      </w:r>
      <w:r>
        <w:rPr>
          <w:rFonts w:hint="eastAsia" w:ascii="宋体" w:hAnsi="宋体"/>
          <w:sz w:val="24"/>
          <w:lang w:val="en-US" w:eastAsia="zh-CN"/>
        </w:rPr>
        <w:t xml:space="preserve">        </w:t>
      </w:r>
      <w:r>
        <w:rPr>
          <w:rFonts w:ascii="宋体" w:hAnsi="宋体"/>
          <w:sz w:val="24"/>
        </w:rPr>
        <w:t>年</w:t>
      </w:r>
      <w:r>
        <w:rPr>
          <w:rFonts w:hint="eastAsia" w:ascii="宋体" w:hAnsi="宋体"/>
          <w:sz w:val="24"/>
          <w:lang w:val="en-US" w:eastAsia="zh-CN"/>
        </w:rPr>
        <w:t xml:space="preserve">  </w:t>
      </w:r>
      <w:r>
        <w:rPr>
          <w:rFonts w:ascii="宋体" w:hAnsi="宋体"/>
          <w:sz w:val="24"/>
        </w:rPr>
        <w:t>龄：          职</w:t>
      </w:r>
      <w:r>
        <w:rPr>
          <w:rFonts w:hint="eastAsia" w:ascii="宋体" w:hAnsi="宋体"/>
          <w:sz w:val="24"/>
          <w:lang w:val="en-US" w:eastAsia="zh-CN"/>
        </w:rPr>
        <w:t xml:space="preserve"> </w:t>
      </w:r>
      <w:r>
        <w:rPr>
          <w:rFonts w:ascii="宋体" w:hAnsi="宋体"/>
          <w:sz w:val="24"/>
        </w:rPr>
        <w:t>务：</w:t>
      </w:r>
    </w:p>
    <w:p w14:paraId="360E8B28">
      <w:pPr>
        <w:spacing w:line="560" w:lineRule="exact"/>
        <w:ind w:firstLine="540"/>
        <w:rPr>
          <w:rFonts w:ascii="宋体" w:hAnsi="宋体"/>
          <w:sz w:val="24"/>
        </w:rPr>
      </w:pPr>
      <w:r>
        <w:rPr>
          <w:rFonts w:ascii="宋体" w:hAnsi="宋体"/>
          <w:sz w:val="24"/>
        </w:rPr>
        <w:t>系</w:t>
      </w:r>
      <w:r>
        <w:rPr>
          <w:rFonts w:ascii="宋体" w:hAnsi="宋体"/>
          <w:sz w:val="24"/>
          <w:u w:val="single"/>
        </w:rPr>
        <w:t xml:space="preserve">           （投标人名称）</w:t>
      </w:r>
      <w:r>
        <w:rPr>
          <w:rFonts w:ascii="宋体" w:hAnsi="宋体"/>
          <w:sz w:val="24"/>
        </w:rPr>
        <w:t>的法定代表人。</w:t>
      </w:r>
    </w:p>
    <w:p w14:paraId="58449DCA">
      <w:pPr>
        <w:spacing w:line="560" w:lineRule="exact"/>
        <w:ind w:firstLine="540"/>
        <w:rPr>
          <w:rFonts w:ascii="宋体" w:hAnsi="宋体"/>
          <w:sz w:val="24"/>
        </w:rPr>
      </w:pPr>
      <w:r>
        <w:rPr>
          <w:rFonts w:ascii="宋体" w:hAnsi="宋体"/>
          <w:sz w:val="24"/>
        </w:rPr>
        <w:t>特此证明。</w:t>
      </w:r>
    </w:p>
    <w:p w14:paraId="60BDCBCD">
      <w:pPr>
        <w:spacing w:line="500" w:lineRule="exact"/>
        <w:rPr>
          <w:rFonts w:ascii="宋体" w:hAnsi="宋体"/>
          <w:szCs w:val="21"/>
        </w:rPr>
      </w:pPr>
    </w:p>
    <w:p w14:paraId="55BB25C4">
      <w:pPr>
        <w:spacing w:line="560" w:lineRule="exact"/>
        <w:ind w:right="70"/>
        <w:rPr>
          <w:rFonts w:ascii="宋体" w:hAnsi="宋体"/>
          <w:sz w:val="24"/>
        </w:rPr>
      </w:pPr>
    </w:p>
    <w:p w14:paraId="695ED9FD">
      <w:pPr>
        <w:spacing w:line="560" w:lineRule="exact"/>
        <w:ind w:right="70" w:firstLine="3600" w:firstLineChars="1500"/>
        <w:rPr>
          <w:rFonts w:ascii="宋体" w:hAnsi="宋体"/>
          <w:sz w:val="24"/>
        </w:rPr>
      </w:pPr>
      <w:r>
        <w:rPr>
          <w:rFonts w:ascii="宋体" w:hAnsi="宋体"/>
          <w:sz w:val="24"/>
        </w:rPr>
        <w:t>投标人：</w:t>
      </w:r>
      <w:r>
        <w:rPr>
          <w:rFonts w:hint="eastAsia" w:ascii="宋体" w:hAnsi="宋体"/>
          <w:sz w:val="24"/>
          <w:u w:val="single"/>
          <w:lang w:val="en-US" w:eastAsia="zh-CN"/>
        </w:rPr>
        <w:t xml:space="preserve">                </w:t>
      </w:r>
      <w:r>
        <w:rPr>
          <w:rFonts w:ascii="宋体" w:hAnsi="宋体"/>
          <w:sz w:val="24"/>
        </w:rPr>
        <w:t>（盖章）</w:t>
      </w:r>
    </w:p>
    <w:p w14:paraId="15824741">
      <w:pPr>
        <w:spacing w:line="360" w:lineRule="auto"/>
        <w:ind w:firstLine="3600" w:firstLineChars="1500"/>
        <w:jc w:val="left"/>
        <w:rPr>
          <w:rFonts w:ascii="宋体" w:hAnsi="宋体"/>
          <w:sz w:val="24"/>
        </w:rPr>
      </w:pPr>
      <w:r>
        <w:rPr>
          <w:rFonts w:ascii="宋体" w:hAnsi="宋体"/>
          <w:sz w:val="24"/>
        </w:rPr>
        <w:t>法定代表人：</w:t>
      </w:r>
      <w:r>
        <w:rPr>
          <w:rFonts w:hint="eastAsia" w:ascii="宋体" w:hAnsi="宋体"/>
          <w:sz w:val="24"/>
          <w:u w:val="single"/>
          <w:lang w:val="en-US" w:eastAsia="zh-CN"/>
        </w:rPr>
        <w:t xml:space="preserve">                </w:t>
      </w:r>
      <w:r>
        <w:rPr>
          <w:rFonts w:hint="eastAsia" w:ascii="宋体" w:hAnsi="宋体"/>
          <w:sz w:val="24"/>
          <w:u w:val="none"/>
        </w:rPr>
        <w:t>（签字）</w:t>
      </w:r>
      <w:r>
        <w:rPr>
          <w:rFonts w:ascii="宋体" w:hAnsi="宋体"/>
          <w:sz w:val="24"/>
        </w:rPr>
        <w:t xml:space="preserve"> </w:t>
      </w:r>
    </w:p>
    <w:p w14:paraId="7B51F4F6">
      <w:pPr>
        <w:spacing w:line="360" w:lineRule="auto"/>
        <w:ind w:firstLine="4560" w:firstLineChars="1900"/>
        <w:jc w:val="left"/>
        <w:rPr>
          <w:rFonts w:ascii="宋体" w:hAnsi="宋体"/>
          <w:sz w:val="24"/>
        </w:rPr>
      </w:pPr>
      <w:r>
        <w:rPr>
          <w:rFonts w:ascii="宋体" w:hAnsi="宋体"/>
          <w:sz w:val="24"/>
        </w:rPr>
        <w:t>年   月   日</w:t>
      </w:r>
    </w:p>
    <w:p w14:paraId="13747964">
      <w:pPr>
        <w:pStyle w:val="15"/>
        <w:rPr>
          <w:rFonts w:ascii="宋体" w:hAnsi="宋体"/>
          <w:sz w:val="24"/>
        </w:rPr>
      </w:pPr>
    </w:p>
    <w:p w14:paraId="1D81C83C">
      <w:pPr>
        <w:pStyle w:val="16"/>
      </w:pPr>
    </w:p>
    <w:p w14:paraId="593C48AB">
      <w:pPr>
        <w:pStyle w:val="16"/>
        <w:rPr>
          <w:rFonts w:ascii="宋体" w:hAnsi="宋体"/>
          <w:sz w:val="24"/>
        </w:rPr>
      </w:pPr>
    </w:p>
    <w:p w14:paraId="6F529ADA">
      <w:pPr>
        <w:spacing w:line="400" w:lineRule="exact"/>
        <w:ind w:firstLine="440" w:firstLineChars="200"/>
        <w:rPr>
          <w:sz w:val="22"/>
        </w:rPr>
      </w:pPr>
      <w:r>
        <w:rPr>
          <w:sz w:val="22"/>
        </w:rPr>
        <w:t>附</w:t>
      </w:r>
      <w:r>
        <w:rPr>
          <w:rFonts w:hint="eastAsia"/>
          <w:sz w:val="22"/>
          <w:lang w:eastAsia="zh-CN"/>
        </w:rPr>
        <w:t>：</w:t>
      </w:r>
      <w:r>
        <w:rPr>
          <w:sz w:val="22"/>
        </w:rPr>
        <w:t>法定代表人身份证</w:t>
      </w:r>
      <w:r>
        <w:rPr>
          <w:rFonts w:hint="eastAsia"/>
          <w:sz w:val="22"/>
          <w:lang w:eastAsia="zh-CN"/>
        </w:rPr>
        <w:t>扫描</w:t>
      </w:r>
      <w:r>
        <w:rPr>
          <w:sz w:val="22"/>
        </w:rPr>
        <w:t>件（包括正反面）</w:t>
      </w:r>
    </w:p>
    <w:tbl>
      <w:tblPr>
        <w:tblStyle w:val="29"/>
        <w:tblW w:w="9059" w:type="dxa"/>
        <w:jc w:val="center"/>
        <w:tblLayout w:type="fixed"/>
        <w:tblCellMar>
          <w:top w:w="0" w:type="dxa"/>
          <w:left w:w="108" w:type="dxa"/>
          <w:bottom w:w="0" w:type="dxa"/>
          <w:right w:w="108" w:type="dxa"/>
        </w:tblCellMar>
      </w:tblPr>
      <w:tblGrid>
        <w:gridCol w:w="4521"/>
        <w:gridCol w:w="4538"/>
      </w:tblGrid>
      <w:tr w14:paraId="51B353C9">
        <w:tblPrEx>
          <w:tblCellMar>
            <w:top w:w="0" w:type="dxa"/>
            <w:left w:w="108" w:type="dxa"/>
            <w:bottom w:w="0" w:type="dxa"/>
            <w:right w:w="108" w:type="dxa"/>
          </w:tblCellMar>
        </w:tblPrEx>
        <w:trPr>
          <w:trHeight w:val="3017" w:hRule="atLeast"/>
          <w:jc w:val="center"/>
        </w:trPr>
        <w:tc>
          <w:tcPr>
            <w:tcW w:w="4521" w:type="dxa"/>
            <w:tcBorders>
              <w:top w:val="single" w:color="000000" w:sz="4" w:space="0"/>
              <w:left w:val="single" w:color="000000" w:sz="4" w:space="0"/>
              <w:bottom w:val="single" w:color="000000" w:sz="4" w:space="0"/>
              <w:right w:val="single" w:color="000000" w:sz="4" w:space="0"/>
            </w:tcBorders>
            <w:vAlign w:val="center"/>
          </w:tcPr>
          <w:p w14:paraId="47B164E9">
            <w:pPr>
              <w:keepNext w:val="0"/>
              <w:keepLines w:val="0"/>
              <w:pageBreakBefore w:val="0"/>
              <w:widowControl w:val="0"/>
              <w:kinsoku/>
              <w:wordWrap/>
              <w:overflowPunct/>
              <w:topLinePunct w:val="0"/>
              <w:autoSpaceDE/>
              <w:autoSpaceDN/>
              <w:bidi w:val="0"/>
              <w:adjustRightInd/>
              <w:snapToGrid/>
              <w:spacing w:before="0" w:after="0"/>
              <w:ind w:left="0"/>
              <w:jc w:val="center"/>
              <w:textAlignment w:val="auto"/>
              <w:rPr>
                <w:szCs w:val="21"/>
              </w:rPr>
            </w:pPr>
          </w:p>
        </w:tc>
        <w:tc>
          <w:tcPr>
            <w:tcW w:w="4538" w:type="dxa"/>
            <w:tcBorders>
              <w:top w:val="single" w:color="000000" w:sz="4" w:space="0"/>
              <w:left w:val="single" w:color="000000" w:sz="4" w:space="0"/>
              <w:bottom w:val="single" w:color="000000" w:sz="4" w:space="0"/>
              <w:right w:val="single" w:color="000000" w:sz="4" w:space="0"/>
            </w:tcBorders>
            <w:vAlign w:val="center"/>
          </w:tcPr>
          <w:p w14:paraId="082146A5">
            <w:pPr>
              <w:keepNext w:val="0"/>
              <w:keepLines w:val="0"/>
              <w:pageBreakBefore w:val="0"/>
              <w:widowControl w:val="0"/>
              <w:kinsoku/>
              <w:wordWrap/>
              <w:overflowPunct/>
              <w:topLinePunct w:val="0"/>
              <w:autoSpaceDE/>
              <w:autoSpaceDN/>
              <w:bidi w:val="0"/>
              <w:adjustRightInd/>
              <w:snapToGrid/>
              <w:spacing w:before="0" w:after="0"/>
              <w:ind w:left="0" w:firstLine="0"/>
              <w:jc w:val="center"/>
              <w:textAlignment w:val="auto"/>
              <w:rPr>
                <w:szCs w:val="21"/>
              </w:rPr>
            </w:pPr>
          </w:p>
        </w:tc>
      </w:tr>
    </w:tbl>
    <w:p w14:paraId="194D1C06">
      <w:pPr>
        <w:pStyle w:val="16"/>
        <w:rPr>
          <w:rFonts w:ascii="宋体" w:hAnsi="宋体"/>
          <w:sz w:val="24"/>
        </w:rPr>
      </w:pPr>
    </w:p>
    <w:p w14:paraId="4C66EA17">
      <w:pPr>
        <w:tabs>
          <w:tab w:val="left" w:pos="0"/>
          <w:tab w:val="left" w:pos="1155"/>
          <w:tab w:val="left" w:pos="1470"/>
        </w:tabs>
        <w:spacing w:line="480" w:lineRule="exact"/>
        <w:rPr>
          <w:rFonts w:ascii="宋体" w:hAnsi="宋体" w:cs="宋体"/>
          <w:kern w:val="0"/>
          <w:sz w:val="24"/>
        </w:rPr>
      </w:pPr>
    </w:p>
    <w:p w14:paraId="090A8BE0">
      <w:pPr>
        <w:sectPr>
          <w:pgSz w:w="11906" w:h="16838"/>
          <w:pgMar w:top="1247" w:right="1134" w:bottom="1247" w:left="1247" w:header="851" w:footer="850" w:gutter="0"/>
          <w:pgNumType w:fmt="decimal"/>
          <w:cols w:space="720" w:num="1"/>
          <w:formProt w:val="0"/>
          <w:docGrid w:linePitch="286" w:charSpace="0"/>
        </w:sectPr>
      </w:pPr>
    </w:p>
    <w:p w14:paraId="043C5F74">
      <w:pPr>
        <w:pStyle w:val="3"/>
        <w:keepNext/>
        <w:keepLines/>
        <w:pageBreakBefore w:val="0"/>
        <w:widowControl w:val="0"/>
        <w:kinsoku/>
        <w:wordWrap/>
        <w:overflowPunct/>
        <w:topLinePunct w:val="0"/>
        <w:autoSpaceDE/>
        <w:autoSpaceDN/>
        <w:bidi w:val="0"/>
        <w:adjustRightInd/>
        <w:snapToGrid/>
        <w:spacing w:before="60" w:after="60" w:line="416" w:lineRule="auto"/>
        <w:jc w:val="center"/>
        <w:textAlignment w:val="auto"/>
        <w:rPr>
          <w:rFonts w:ascii="宋体" w:hAnsi="宋体" w:eastAsia="黑体"/>
          <w:b/>
          <w:bCs/>
          <w:sz w:val="30"/>
          <w:szCs w:val="30"/>
        </w:rPr>
      </w:pPr>
      <w:r>
        <w:rPr>
          <w:rFonts w:hint="eastAsia"/>
          <w:lang w:eastAsia="zh-CN"/>
        </w:rPr>
        <w:t>三</w:t>
      </w:r>
      <w:r>
        <w:t>、法人授权委托证明书</w:t>
      </w:r>
    </w:p>
    <w:p w14:paraId="0E80E55E">
      <w:pPr>
        <w:spacing w:before="240" w:after="0" w:line="520" w:lineRule="exact"/>
        <w:ind w:firstLine="480"/>
        <w:rPr>
          <w:rFonts w:ascii="宋体" w:hAnsi="宋体"/>
          <w:sz w:val="24"/>
        </w:rPr>
      </w:pPr>
      <w:r>
        <w:rPr>
          <w:rFonts w:ascii="宋体" w:hAnsi="宋体"/>
          <w:sz w:val="24"/>
        </w:rPr>
        <w:t>本人</w:t>
      </w:r>
      <w:r>
        <w:rPr>
          <w:rFonts w:ascii="宋体" w:hAnsi="宋体"/>
          <w:sz w:val="24"/>
          <w:u w:val="single"/>
        </w:rPr>
        <w:t xml:space="preserve">   （姓名）</w:t>
      </w:r>
      <w:r>
        <w:rPr>
          <w:rFonts w:ascii="宋体" w:hAnsi="宋体"/>
          <w:sz w:val="24"/>
        </w:rPr>
        <w:t>系</w:t>
      </w:r>
      <w:r>
        <w:rPr>
          <w:rFonts w:ascii="宋体" w:hAnsi="宋体"/>
          <w:sz w:val="24"/>
          <w:u w:val="single"/>
        </w:rPr>
        <w:t xml:space="preserve">   （投标人名称）</w:t>
      </w:r>
      <w:r>
        <w:rPr>
          <w:rFonts w:ascii="宋体" w:hAnsi="宋体"/>
          <w:sz w:val="24"/>
        </w:rPr>
        <w:t>的法定代表人，现委托</w:t>
      </w:r>
      <w:r>
        <w:rPr>
          <w:rFonts w:ascii="宋体" w:hAnsi="宋体"/>
          <w:sz w:val="24"/>
          <w:u w:val="single"/>
        </w:rPr>
        <w:t xml:space="preserve">   （姓名）</w:t>
      </w:r>
      <w:r>
        <w:rPr>
          <w:rFonts w:ascii="宋体" w:hAnsi="宋体"/>
          <w:sz w:val="24"/>
        </w:rPr>
        <w:t>为我方代理人。代理人根据授权，以我方名义签署、澄清、说明、补正、递交、撤回、修改</w:t>
      </w:r>
      <w:r>
        <w:rPr>
          <w:rFonts w:ascii="宋体" w:hAnsi="宋体"/>
          <w:sz w:val="24"/>
          <w:u w:val="single"/>
        </w:rPr>
        <w:t xml:space="preserve">   （项目名称）</w:t>
      </w:r>
      <w:r>
        <w:rPr>
          <w:rFonts w:ascii="宋体" w:hAnsi="宋体"/>
          <w:sz w:val="24"/>
        </w:rPr>
        <w:t>投标文件、签订合同和处理有关事宜，其法律后果由我方承担。</w:t>
      </w:r>
    </w:p>
    <w:p w14:paraId="185D863D">
      <w:pPr>
        <w:spacing w:line="520" w:lineRule="exact"/>
        <w:ind w:firstLine="480"/>
        <w:rPr>
          <w:rFonts w:hint="default" w:ascii="宋体" w:hAnsi="宋体" w:eastAsia="宋体"/>
          <w:sz w:val="24"/>
          <w:lang w:val="en-US" w:eastAsia="zh-CN"/>
        </w:rPr>
      </w:pPr>
      <w:r>
        <w:rPr>
          <w:rFonts w:ascii="宋体" w:hAnsi="宋体"/>
          <w:sz w:val="24"/>
        </w:rPr>
        <w:t>委托期限：</w:t>
      </w:r>
      <w:r>
        <w:rPr>
          <w:rFonts w:hint="eastAsia" w:ascii="宋体" w:hAnsi="宋体"/>
          <w:sz w:val="24"/>
          <w:u w:val="single"/>
          <w:lang w:val="en-US" w:eastAsia="zh-CN"/>
        </w:rPr>
        <w:t xml:space="preserve">              </w:t>
      </w:r>
      <w:r>
        <w:rPr>
          <w:rFonts w:hint="eastAsia" w:ascii="宋体" w:hAnsi="宋体"/>
          <w:sz w:val="24"/>
          <w:lang w:val="en-US" w:eastAsia="zh-CN"/>
        </w:rPr>
        <w:t>。</w:t>
      </w:r>
    </w:p>
    <w:p w14:paraId="78D00B45">
      <w:pPr>
        <w:spacing w:line="520" w:lineRule="exact"/>
        <w:ind w:firstLine="480"/>
        <w:rPr>
          <w:rFonts w:ascii="宋体" w:hAnsi="宋体"/>
          <w:sz w:val="24"/>
        </w:rPr>
      </w:pPr>
      <w:r>
        <w:rPr>
          <w:rFonts w:ascii="宋体" w:hAnsi="宋体"/>
          <w:sz w:val="24"/>
        </w:rPr>
        <w:t>代理人无转委托权。</w:t>
      </w:r>
    </w:p>
    <w:p w14:paraId="453D1D22">
      <w:pPr>
        <w:spacing w:line="500" w:lineRule="exact"/>
        <w:rPr>
          <w:rFonts w:ascii="宋体" w:hAnsi="宋体"/>
          <w:sz w:val="24"/>
        </w:rPr>
      </w:pPr>
    </w:p>
    <w:p w14:paraId="11578796">
      <w:pPr>
        <w:spacing w:line="400" w:lineRule="exact"/>
        <w:ind w:firstLine="3600"/>
        <w:rPr>
          <w:rFonts w:ascii="宋体" w:hAnsi="宋体"/>
          <w:sz w:val="24"/>
        </w:rPr>
      </w:pPr>
      <w:r>
        <w:rPr>
          <w:rFonts w:ascii="宋体" w:hAnsi="宋体"/>
          <w:sz w:val="24"/>
        </w:rPr>
        <w:t>投标人：</w:t>
      </w:r>
      <w:r>
        <w:rPr>
          <w:rFonts w:ascii="宋体" w:hAnsi="宋体"/>
          <w:sz w:val="24"/>
          <w:u w:val="single"/>
        </w:rPr>
        <w:t>（盖章）</w:t>
      </w:r>
    </w:p>
    <w:p w14:paraId="05B9AE6E">
      <w:pPr>
        <w:spacing w:line="400" w:lineRule="exact"/>
        <w:ind w:firstLine="3600"/>
        <w:rPr>
          <w:rFonts w:ascii="宋体" w:hAnsi="宋体"/>
          <w:sz w:val="24"/>
        </w:rPr>
      </w:pPr>
    </w:p>
    <w:p w14:paraId="2CB87C80">
      <w:pPr>
        <w:spacing w:line="400" w:lineRule="exact"/>
        <w:ind w:firstLine="3600"/>
        <w:rPr>
          <w:rFonts w:ascii="宋体" w:hAnsi="宋体"/>
          <w:sz w:val="24"/>
        </w:rPr>
      </w:pPr>
      <w:r>
        <w:rPr>
          <w:rFonts w:ascii="宋体" w:hAnsi="宋体"/>
          <w:sz w:val="24"/>
        </w:rPr>
        <w:t>法定代表人：</w:t>
      </w:r>
      <w:r>
        <w:rPr>
          <w:rFonts w:ascii="宋体" w:hAnsi="宋体"/>
          <w:sz w:val="24"/>
          <w:u w:val="single"/>
        </w:rPr>
        <w:t>（</w:t>
      </w:r>
      <w:r>
        <w:rPr>
          <w:rFonts w:hint="eastAsia" w:ascii="宋体" w:hAnsi="宋体"/>
          <w:sz w:val="24"/>
          <w:u w:val="single"/>
        </w:rPr>
        <w:t>签字</w:t>
      </w:r>
      <w:r>
        <w:rPr>
          <w:rFonts w:ascii="宋体" w:hAnsi="宋体"/>
          <w:sz w:val="24"/>
          <w:u w:val="single"/>
        </w:rPr>
        <w:t>）</w:t>
      </w:r>
    </w:p>
    <w:p w14:paraId="1DD2DB16">
      <w:pPr>
        <w:spacing w:line="400" w:lineRule="exact"/>
        <w:ind w:firstLine="3600"/>
        <w:rPr>
          <w:rFonts w:ascii="宋体" w:hAnsi="宋体"/>
          <w:sz w:val="24"/>
        </w:rPr>
      </w:pPr>
      <w:r>
        <w:rPr>
          <w:rFonts w:ascii="宋体" w:hAnsi="宋体"/>
          <w:sz w:val="24"/>
        </w:rPr>
        <w:t>身份证号码：</w:t>
      </w:r>
    </w:p>
    <w:p w14:paraId="19A90865">
      <w:pPr>
        <w:spacing w:line="400" w:lineRule="exact"/>
        <w:ind w:firstLine="3600"/>
        <w:rPr>
          <w:rFonts w:ascii="宋体" w:hAnsi="宋体"/>
          <w:sz w:val="24"/>
        </w:rPr>
      </w:pPr>
    </w:p>
    <w:p w14:paraId="109E4291">
      <w:pPr>
        <w:spacing w:line="400" w:lineRule="exact"/>
        <w:ind w:firstLine="3600"/>
        <w:rPr>
          <w:rFonts w:ascii="宋体" w:hAnsi="宋体"/>
          <w:sz w:val="24"/>
        </w:rPr>
      </w:pPr>
      <w:r>
        <w:rPr>
          <w:rFonts w:ascii="宋体" w:hAnsi="宋体"/>
          <w:sz w:val="24"/>
        </w:rPr>
        <w:t>委托代理人：</w:t>
      </w:r>
      <w:r>
        <w:rPr>
          <w:rFonts w:ascii="宋体" w:hAnsi="宋体"/>
          <w:sz w:val="24"/>
          <w:u w:val="single"/>
        </w:rPr>
        <w:t>（签字）</w:t>
      </w:r>
    </w:p>
    <w:p w14:paraId="4A5D1219">
      <w:pPr>
        <w:spacing w:line="400" w:lineRule="exact"/>
        <w:ind w:firstLine="3600"/>
        <w:rPr>
          <w:rFonts w:ascii="宋体" w:hAnsi="宋体"/>
          <w:sz w:val="24"/>
          <w:u w:val="single"/>
        </w:rPr>
      </w:pPr>
      <w:r>
        <w:rPr>
          <w:rFonts w:ascii="宋体" w:hAnsi="宋体"/>
          <w:sz w:val="24"/>
        </w:rPr>
        <w:t>身份证号码：</w:t>
      </w:r>
    </w:p>
    <w:p w14:paraId="3C4411EE">
      <w:pPr>
        <w:spacing w:line="400" w:lineRule="exact"/>
        <w:ind w:firstLine="3600"/>
        <w:rPr>
          <w:rFonts w:ascii="宋体" w:hAnsi="宋体"/>
          <w:sz w:val="24"/>
        </w:rPr>
      </w:pPr>
      <w:r>
        <w:rPr>
          <w:rFonts w:ascii="宋体" w:hAnsi="宋体"/>
          <w:sz w:val="24"/>
        </w:rPr>
        <w:t xml:space="preserve">    年   月   日</w:t>
      </w:r>
    </w:p>
    <w:p w14:paraId="0E8C4E85">
      <w:pPr>
        <w:spacing w:line="400" w:lineRule="exact"/>
        <w:rPr>
          <w:sz w:val="22"/>
        </w:rPr>
      </w:pPr>
    </w:p>
    <w:p w14:paraId="688B4F97">
      <w:pPr>
        <w:spacing w:line="400" w:lineRule="exact"/>
        <w:ind w:firstLine="220" w:firstLineChars="100"/>
        <w:rPr>
          <w:sz w:val="22"/>
        </w:rPr>
      </w:pPr>
      <w:r>
        <w:rPr>
          <w:sz w:val="22"/>
        </w:rPr>
        <w:t>附</w:t>
      </w:r>
      <w:r>
        <w:rPr>
          <w:rFonts w:hint="eastAsia"/>
          <w:sz w:val="22"/>
          <w:lang w:eastAsia="zh-CN"/>
        </w:rPr>
        <w:t>：</w:t>
      </w:r>
      <w:r>
        <w:rPr>
          <w:sz w:val="22"/>
        </w:rPr>
        <w:t>委托代理人身份证复印件（包括正反面）</w:t>
      </w:r>
    </w:p>
    <w:tbl>
      <w:tblPr>
        <w:tblStyle w:val="29"/>
        <w:tblW w:w="9259" w:type="dxa"/>
        <w:jc w:val="center"/>
        <w:tblLayout w:type="fixed"/>
        <w:tblCellMar>
          <w:top w:w="0" w:type="dxa"/>
          <w:left w:w="108" w:type="dxa"/>
          <w:bottom w:w="0" w:type="dxa"/>
          <w:right w:w="108" w:type="dxa"/>
        </w:tblCellMar>
      </w:tblPr>
      <w:tblGrid>
        <w:gridCol w:w="4739"/>
        <w:gridCol w:w="4520"/>
      </w:tblGrid>
      <w:tr w14:paraId="2237BE59">
        <w:tblPrEx>
          <w:tblCellMar>
            <w:top w:w="0" w:type="dxa"/>
            <w:left w:w="108" w:type="dxa"/>
            <w:bottom w:w="0" w:type="dxa"/>
            <w:right w:w="108" w:type="dxa"/>
          </w:tblCellMar>
        </w:tblPrEx>
        <w:trPr>
          <w:trHeight w:val="3131" w:hRule="atLeast"/>
          <w:jc w:val="center"/>
        </w:trPr>
        <w:tc>
          <w:tcPr>
            <w:tcW w:w="4739" w:type="dxa"/>
            <w:tcBorders>
              <w:top w:val="single" w:color="000000" w:sz="4" w:space="0"/>
              <w:left w:val="single" w:color="000000" w:sz="4" w:space="0"/>
              <w:bottom w:val="single" w:color="000000" w:sz="4" w:space="0"/>
              <w:right w:val="single" w:color="000000" w:sz="4" w:space="0"/>
            </w:tcBorders>
            <w:vAlign w:val="center"/>
          </w:tcPr>
          <w:p w14:paraId="0691EBB9">
            <w:pPr>
              <w:widowControl w:val="0"/>
              <w:spacing w:before="0" w:after="0"/>
              <w:jc w:val="center"/>
              <w:rPr>
                <w:szCs w:val="21"/>
              </w:rPr>
            </w:pPr>
          </w:p>
        </w:tc>
        <w:tc>
          <w:tcPr>
            <w:tcW w:w="4520" w:type="dxa"/>
            <w:tcBorders>
              <w:top w:val="single" w:color="000000" w:sz="4" w:space="0"/>
              <w:left w:val="single" w:color="000000" w:sz="4" w:space="0"/>
              <w:bottom w:val="single" w:color="000000" w:sz="4" w:space="0"/>
              <w:right w:val="single" w:color="000000" w:sz="4" w:space="0"/>
            </w:tcBorders>
            <w:vAlign w:val="center"/>
          </w:tcPr>
          <w:p w14:paraId="2E564904">
            <w:pPr>
              <w:widowControl w:val="0"/>
              <w:spacing w:before="0" w:after="0"/>
              <w:jc w:val="center"/>
              <w:rPr>
                <w:szCs w:val="21"/>
              </w:rPr>
            </w:pPr>
          </w:p>
        </w:tc>
      </w:tr>
    </w:tbl>
    <w:p w14:paraId="5FDD61B2">
      <w:pPr>
        <w:spacing w:line="360" w:lineRule="exact"/>
        <w:jc w:val="left"/>
        <w:rPr>
          <w:rFonts w:ascii="宋体" w:hAnsi="宋体" w:cs="宋体"/>
          <w:spacing w:val="0"/>
          <w:sz w:val="22"/>
        </w:rPr>
      </w:pPr>
    </w:p>
    <w:p w14:paraId="637ECE7A">
      <w:pPr>
        <w:spacing w:line="360" w:lineRule="exact"/>
        <w:jc w:val="left"/>
        <w:rPr>
          <w:rFonts w:ascii="宋体" w:hAnsi="宋体" w:cs="宋体"/>
          <w:spacing w:val="0"/>
          <w:sz w:val="22"/>
        </w:rPr>
      </w:pPr>
      <w:r>
        <w:rPr>
          <w:rFonts w:ascii="宋体" w:hAnsi="宋体" w:cs="宋体"/>
          <w:spacing w:val="0"/>
          <w:sz w:val="22"/>
        </w:rPr>
        <w:t>注：1、如果由投标人的法定代表人签署投标文件并出席开标会的，则无需提供法人授权委托证明书；如果由投标人的委托代理人签署投标文件并出席开标会的，则须附有法定代表人身份证明书及法人授权委托证明书。</w:t>
      </w:r>
    </w:p>
    <w:p w14:paraId="164A2028">
      <w:pPr>
        <w:spacing w:line="360" w:lineRule="exact"/>
        <w:jc w:val="left"/>
        <w:rPr>
          <w:rFonts w:ascii="宋体" w:hAnsi="宋体" w:cs="宋体"/>
          <w:spacing w:val="0"/>
          <w:sz w:val="22"/>
        </w:rPr>
      </w:pPr>
      <w:r>
        <w:rPr>
          <w:rFonts w:ascii="宋体" w:hAnsi="宋体" w:cs="宋体"/>
          <w:spacing w:val="0"/>
          <w:sz w:val="22"/>
        </w:rPr>
        <w:t>2、委托期限可写：自开标之日起至投标有效期满。</w:t>
      </w:r>
    </w:p>
    <w:p w14:paraId="7EF106A0">
      <w:pPr>
        <w:spacing w:line="360" w:lineRule="exact"/>
        <w:jc w:val="left"/>
        <w:rPr>
          <w:rFonts w:ascii="宋体" w:hAnsi="宋体" w:cs="宋体"/>
          <w:b/>
          <w:bCs/>
          <w:spacing w:val="0"/>
          <w:sz w:val="22"/>
        </w:rPr>
      </w:pPr>
      <w:r>
        <w:rPr>
          <w:rFonts w:ascii="宋体" w:hAnsi="宋体" w:cs="宋体"/>
          <w:b/>
          <w:bCs/>
          <w:spacing w:val="0"/>
          <w:sz w:val="22"/>
        </w:rPr>
        <w:t>3、后附授权代理人202</w:t>
      </w:r>
      <w:r>
        <w:rPr>
          <w:rFonts w:hint="eastAsia" w:ascii="宋体" w:hAnsi="宋体" w:cs="宋体"/>
          <w:b/>
          <w:bCs/>
          <w:spacing w:val="0"/>
          <w:sz w:val="22"/>
          <w:lang w:val="en-US" w:eastAsia="zh-CN"/>
        </w:rPr>
        <w:t>5</w:t>
      </w:r>
      <w:r>
        <w:rPr>
          <w:rFonts w:ascii="宋体" w:hAnsi="宋体" w:cs="宋体"/>
          <w:b/>
          <w:bCs/>
          <w:spacing w:val="0"/>
          <w:sz w:val="22"/>
        </w:rPr>
        <w:t>年任意三个月的社保证明材料，加盖投标人公章。</w:t>
      </w:r>
    </w:p>
    <w:p w14:paraId="0DC002A9">
      <w:pPr>
        <w:spacing w:line="360" w:lineRule="exact"/>
        <w:jc w:val="left"/>
        <w:rPr>
          <w:rFonts w:ascii="宋体" w:hAnsi="宋体" w:cs="宋体"/>
          <w:b/>
          <w:bCs/>
          <w:spacing w:val="-6"/>
          <w:sz w:val="22"/>
        </w:rPr>
      </w:pPr>
    </w:p>
    <w:p w14:paraId="5AFB40A6">
      <w:pPr>
        <w:spacing w:line="360" w:lineRule="exact"/>
        <w:jc w:val="left"/>
        <w:rPr>
          <w:rFonts w:ascii="宋体" w:hAnsi="宋体" w:cs="宋体"/>
          <w:b/>
          <w:bCs/>
          <w:spacing w:val="-6"/>
          <w:sz w:val="22"/>
        </w:rPr>
      </w:pPr>
    </w:p>
    <w:p w14:paraId="7ABC7BDB">
      <w:pPr>
        <w:pStyle w:val="3"/>
        <w:keepNext/>
        <w:keepLines/>
        <w:pageBreakBefore w:val="0"/>
        <w:widowControl w:val="0"/>
        <w:numPr>
          <w:ilvl w:val="0"/>
          <w:numId w:val="7"/>
        </w:numPr>
        <w:kinsoku/>
        <w:wordWrap/>
        <w:overflowPunct/>
        <w:topLinePunct w:val="0"/>
        <w:autoSpaceDE/>
        <w:autoSpaceDN/>
        <w:bidi w:val="0"/>
        <w:adjustRightInd/>
        <w:snapToGrid/>
        <w:spacing w:before="60" w:after="60" w:line="416" w:lineRule="auto"/>
        <w:jc w:val="center"/>
        <w:textAlignment w:val="auto"/>
        <w:rPr>
          <w:rFonts w:hint="eastAsia"/>
        </w:rPr>
      </w:pPr>
      <w:r>
        <w:rPr>
          <w:rFonts w:hint="eastAsia"/>
        </w:rPr>
        <w:t>投标保证金</w:t>
      </w:r>
    </w:p>
    <w:p w14:paraId="2372BA2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 xml:space="preserve">投标人须提供如下资料扫描件附在本页或次页，扫描件须加盖单位公章： </w:t>
      </w:r>
    </w:p>
    <w:p w14:paraId="07B040E9">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3570" w:leftChars="0" w:firstLineChars="0"/>
        <w:textAlignment w:val="auto"/>
        <w:rPr>
          <w:rFonts w:hint="eastAsia" w:ascii="宋体" w:hAnsi="宋体" w:eastAsia="宋体" w:cs="宋体"/>
          <w:b w:val="0"/>
          <w:bCs w:val="0"/>
          <w:color w:val="000000"/>
          <w:sz w:val="24"/>
          <w:szCs w:val="24"/>
        </w:rPr>
      </w:pPr>
      <w:r>
        <w:rPr>
          <w:rFonts w:hint="eastAsia" w:ascii="宋体" w:hAnsi="宋体" w:eastAsia="宋体" w:cs="宋体"/>
          <w:b/>
          <w:bCs/>
          <w:color w:val="000000"/>
          <w:sz w:val="24"/>
          <w:szCs w:val="24"/>
        </w:rPr>
        <w:t xml:space="preserve">转账形式： </w:t>
      </w:r>
    </w:p>
    <w:p w14:paraId="34D908C2">
      <w:pPr>
        <w:keepNext w:val="0"/>
        <w:keepLines w:val="0"/>
        <w:pageBreakBefore w:val="0"/>
        <w:widowControl w:val="0"/>
        <w:numPr>
          <w:ilvl w:val="0"/>
          <w:numId w:val="9"/>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 xml:space="preserve">投标人基本户银行开户许可证扫描件或有银行盖章的《基本存款账户信息》扫描件； </w:t>
      </w:r>
    </w:p>
    <w:p w14:paraId="030E3923">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 xml:space="preserve">投标人从基本户转账投标保证金凭据扫描件。 </w:t>
      </w:r>
    </w:p>
    <w:p w14:paraId="73CDE498">
      <w:pPr>
        <w:pStyle w:val="15"/>
        <w:numPr>
          <w:ilvl w:val="0"/>
          <w:numId w:val="0"/>
        </w:numPr>
        <w:ind w:leftChars="0"/>
        <w:rPr>
          <w:rFonts w:hint="eastAsia" w:ascii="宋体" w:hAnsi="宋体" w:eastAsia="宋体" w:cs="宋体"/>
        </w:rPr>
      </w:pPr>
    </w:p>
    <w:p w14:paraId="5801DA3E">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3570" w:leftChars="0" w:firstLineChars="0"/>
        <w:textAlignment w:val="auto"/>
        <w:rPr>
          <w:rFonts w:hint="eastAsia" w:ascii="宋体" w:hAnsi="宋体" w:eastAsia="宋体" w:cs="宋体"/>
          <w:b w:val="0"/>
          <w:bCs w:val="0"/>
          <w:color w:val="000000"/>
          <w:sz w:val="24"/>
          <w:szCs w:val="24"/>
        </w:rPr>
      </w:pPr>
      <w:r>
        <w:rPr>
          <w:rFonts w:hint="eastAsia" w:ascii="宋体" w:hAnsi="宋体" w:eastAsia="宋体" w:cs="宋体"/>
          <w:b/>
          <w:bCs/>
          <w:color w:val="000000"/>
          <w:sz w:val="24"/>
          <w:szCs w:val="24"/>
        </w:rPr>
        <w:t>银行保函形式：</w:t>
      </w:r>
    </w:p>
    <w:p w14:paraId="2AE87C15">
      <w:pPr>
        <w:keepNext w:val="0"/>
        <w:keepLines w:val="0"/>
        <w:pageBreakBefore w:val="0"/>
        <w:widowControl w:val="0"/>
        <w:numPr>
          <w:ilvl w:val="0"/>
          <w:numId w:val="10"/>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 xml:space="preserve">投标人基本户银行开户许可证扫描件或有银行盖章的《基本存款账户信息》扫描件； </w:t>
      </w:r>
    </w:p>
    <w:p w14:paraId="098962A6">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 xml:space="preserve">投标保函扫描件。 </w:t>
      </w:r>
    </w:p>
    <w:p w14:paraId="6FF9FC7A">
      <w:pPr>
        <w:pStyle w:val="15"/>
        <w:numPr>
          <w:ilvl w:val="0"/>
          <w:numId w:val="0"/>
        </w:numPr>
        <w:ind w:leftChars="0"/>
        <w:rPr>
          <w:rFonts w:hint="eastAsia" w:ascii="宋体" w:hAnsi="宋体" w:eastAsia="宋体" w:cs="宋体"/>
        </w:rPr>
      </w:pPr>
    </w:p>
    <w:p w14:paraId="6CCA13A9">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3570" w:leftChars="0" w:firstLine="0" w:firstLineChars="0"/>
        <w:textAlignment w:val="auto"/>
        <w:rPr>
          <w:rFonts w:hint="eastAsia" w:ascii="宋体" w:hAnsi="宋体" w:eastAsia="宋体" w:cs="宋体"/>
          <w:b w:val="0"/>
          <w:bCs w:val="0"/>
          <w:color w:val="000000"/>
          <w:sz w:val="24"/>
          <w:szCs w:val="24"/>
        </w:rPr>
      </w:pPr>
      <w:r>
        <w:rPr>
          <w:rFonts w:hint="eastAsia" w:ascii="宋体" w:hAnsi="宋体" w:eastAsia="宋体" w:cs="宋体"/>
          <w:b/>
          <w:bCs/>
          <w:color w:val="000000"/>
          <w:sz w:val="24"/>
          <w:szCs w:val="24"/>
        </w:rPr>
        <w:t>保证保险形式</w:t>
      </w:r>
      <w:r>
        <w:rPr>
          <w:rFonts w:hint="eastAsia" w:ascii="宋体" w:hAnsi="宋体" w:eastAsia="宋体" w:cs="宋体"/>
          <w:b w:val="0"/>
          <w:bCs w:val="0"/>
          <w:color w:val="000000"/>
          <w:sz w:val="24"/>
          <w:szCs w:val="24"/>
        </w:rPr>
        <w:t xml:space="preserve">： </w:t>
      </w:r>
    </w:p>
    <w:p w14:paraId="45A91F35">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 xml:space="preserve">投标人基本户银行开户许可证扫描件或有银行盖章的《基本存款账户信息》扫描件； </w:t>
      </w:r>
    </w:p>
    <w:p w14:paraId="6F2B195F">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 xml:space="preserve">投标保证保险保函扫描件。 </w:t>
      </w:r>
    </w:p>
    <w:p w14:paraId="00995113">
      <w:pPr>
        <w:pStyle w:val="15"/>
        <w:numPr>
          <w:ilvl w:val="0"/>
          <w:numId w:val="0"/>
        </w:numPr>
        <w:ind w:leftChars="0"/>
        <w:rPr>
          <w:rFonts w:hint="eastAsia" w:ascii="宋体" w:hAnsi="宋体" w:eastAsia="宋体" w:cs="宋体"/>
        </w:rPr>
      </w:pPr>
    </w:p>
    <w:p w14:paraId="7BD30993">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3570" w:leftChars="0" w:firstLine="0" w:firstLineChars="0"/>
        <w:textAlignment w:val="auto"/>
        <w:rPr>
          <w:rFonts w:hint="eastAsia" w:ascii="宋体" w:hAnsi="宋体" w:eastAsia="宋体" w:cs="宋体"/>
          <w:b w:val="0"/>
          <w:bCs w:val="0"/>
          <w:color w:val="000000"/>
          <w:sz w:val="24"/>
          <w:szCs w:val="24"/>
        </w:rPr>
      </w:pPr>
      <w:r>
        <w:rPr>
          <w:rFonts w:hint="eastAsia" w:ascii="宋体" w:hAnsi="宋体" w:eastAsia="宋体" w:cs="宋体"/>
          <w:b/>
          <w:bCs/>
          <w:color w:val="000000"/>
          <w:sz w:val="24"/>
          <w:szCs w:val="24"/>
        </w:rPr>
        <w:t xml:space="preserve">电子保函形式： </w:t>
      </w:r>
    </w:p>
    <w:p w14:paraId="556F6F84">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 xml:space="preserve">投标人基本户银行开户许可证扫描件或有银行盖章的《基本存款账户信息》扫描件； </w:t>
      </w:r>
    </w:p>
    <w:p w14:paraId="31AB3C8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2、电子保函扫描件。</w:t>
      </w:r>
    </w:p>
    <w:p w14:paraId="79F75AD3">
      <w:pPr>
        <w:pStyle w:val="15"/>
      </w:pPr>
    </w:p>
    <w:p w14:paraId="746D465C">
      <w:pPr>
        <w:pStyle w:val="16"/>
      </w:pPr>
    </w:p>
    <w:p w14:paraId="250E9FA7">
      <w:pPr>
        <w:pStyle w:val="16"/>
      </w:pPr>
    </w:p>
    <w:p w14:paraId="44701CA9">
      <w:pPr>
        <w:jc w:val="center"/>
        <w:rPr>
          <w:rFonts w:hint="eastAsia"/>
          <w:b/>
          <w:color w:val="auto"/>
          <w:sz w:val="32"/>
          <w:szCs w:val="32"/>
          <w:highlight w:val="none"/>
        </w:rPr>
        <w:sectPr>
          <w:headerReference r:id="rId15" w:type="default"/>
          <w:footerReference r:id="rId16" w:type="default"/>
          <w:pgSz w:w="11906" w:h="16838"/>
          <w:pgMar w:top="1247" w:right="1134" w:bottom="1247" w:left="1247" w:header="851" w:footer="850" w:gutter="0"/>
          <w:pgNumType w:fmt="decimal"/>
          <w:cols w:space="720" w:num="1"/>
          <w:formProt w:val="0"/>
          <w:docGrid w:linePitch="286" w:charSpace="0"/>
        </w:sectPr>
      </w:pPr>
      <w:bookmarkStart w:id="137" w:name="_Toc25059"/>
    </w:p>
    <w:p w14:paraId="23DB205D">
      <w:pPr>
        <w:pStyle w:val="3"/>
        <w:keepNext/>
        <w:keepLines/>
        <w:pageBreakBefore w:val="0"/>
        <w:widowControl w:val="0"/>
        <w:numPr>
          <w:ilvl w:val="0"/>
          <w:numId w:val="7"/>
        </w:numPr>
        <w:kinsoku/>
        <w:wordWrap/>
        <w:overflowPunct/>
        <w:topLinePunct w:val="0"/>
        <w:autoSpaceDE/>
        <w:autoSpaceDN/>
        <w:bidi w:val="0"/>
        <w:adjustRightInd/>
        <w:snapToGrid/>
        <w:spacing w:before="60" w:after="60" w:line="416" w:lineRule="auto"/>
        <w:jc w:val="center"/>
        <w:textAlignment w:val="auto"/>
        <w:rPr>
          <w:rFonts w:hint="eastAsia"/>
        </w:rPr>
      </w:pPr>
      <w:r>
        <w:rPr>
          <w:rFonts w:hint="eastAsia"/>
        </w:rPr>
        <w:t>投标人声明</w:t>
      </w:r>
    </w:p>
    <w:p w14:paraId="67AAA449">
      <w:pPr>
        <w:keepNext w:val="0"/>
        <w:keepLines w:val="0"/>
        <w:pageBreakBefore w:val="0"/>
        <w:widowControl/>
        <w:kinsoku/>
        <w:wordWrap/>
        <w:overflowPunct/>
        <w:topLinePunct w:val="0"/>
        <w:autoSpaceDE/>
        <w:autoSpaceDN/>
        <w:bidi w:val="0"/>
        <w:adjustRightInd/>
        <w:snapToGrid w:val="0"/>
        <w:spacing w:after="144" w:afterLines="50" w:line="440" w:lineRule="exact"/>
        <w:jc w:val="center"/>
        <w:textAlignment w:val="auto"/>
        <w:rPr>
          <w:rFonts w:ascii="宋体" w:hAnsi="宋体" w:cs="宋体"/>
          <w:color w:val="auto"/>
          <w:kern w:val="0"/>
          <w:sz w:val="24"/>
          <w:highlight w:val="none"/>
        </w:rPr>
      </w:pPr>
      <w:r>
        <w:rPr>
          <w:rFonts w:ascii="宋体" w:hAnsi="宋体" w:cs="宋体"/>
          <w:color w:val="auto"/>
          <w:kern w:val="0"/>
          <w:sz w:val="24"/>
          <w:highlight w:val="none"/>
        </w:rPr>
        <w:t>关于遵守招标文件和履行</w:t>
      </w:r>
      <w:r>
        <w:rPr>
          <w:rFonts w:hint="eastAsia" w:ascii="宋体" w:hAnsi="宋体" w:cs="宋体"/>
          <w:color w:val="auto"/>
          <w:kern w:val="0"/>
          <w:sz w:val="24"/>
          <w:highlight w:val="none"/>
          <w:lang w:val="en-US" w:eastAsia="zh-CN"/>
        </w:rPr>
        <w:t>项目</w:t>
      </w:r>
      <w:r>
        <w:rPr>
          <w:rFonts w:ascii="宋体" w:hAnsi="宋体" w:cs="宋体"/>
          <w:color w:val="auto"/>
          <w:kern w:val="0"/>
          <w:sz w:val="24"/>
          <w:highlight w:val="none"/>
        </w:rPr>
        <w:t>合同的声明</w:t>
      </w:r>
    </w:p>
    <w:p w14:paraId="7EDA2F52">
      <w:pPr>
        <w:widowControl/>
        <w:snapToGrid w:val="0"/>
        <w:spacing w:line="440" w:lineRule="exact"/>
        <w:jc w:val="left"/>
        <w:rPr>
          <w:rFonts w:ascii="宋体" w:hAnsi="宋体" w:cs="宋体"/>
          <w:color w:val="auto"/>
          <w:kern w:val="0"/>
          <w:sz w:val="24"/>
          <w:highlight w:val="none"/>
        </w:rPr>
      </w:pPr>
      <w:r>
        <w:rPr>
          <w:rFonts w:ascii="宋体" w:hAnsi="宋体" w:cs="宋体"/>
          <w:color w:val="auto"/>
          <w:kern w:val="0"/>
          <w:sz w:val="24"/>
          <w:highlight w:val="none"/>
        </w:rPr>
        <w:t>本招标项目招标人及招标监管机构：</w:t>
      </w:r>
    </w:p>
    <w:p w14:paraId="1CBC9B55">
      <w:pPr>
        <w:widowControl/>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本公司就参加</w:t>
      </w:r>
      <w:r>
        <w:rPr>
          <w:rFonts w:hint="eastAsia" w:ascii="宋体" w:hAnsi="宋体" w:cs="宋体"/>
          <w:color w:val="auto"/>
          <w:kern w:val="0"/>
          <w:sz w:val="24"/>
          <w:highlight w:val="none"/>
          <w:u w:val="single"/>
        </w:rPr>
        <w:t>              </w:t>
      </w:r>
      <w:r>
        <w:rPr>
          <w:rFonts w:hint="eastAsia" w:ascii="宋体" w:hAnsi="宋体" w:cs="宋体"/>
          <w:color w:val="auto"/>
          <w:spacing w:val="15"/>
          <w:kern w:val="0"/>
          <w:sz w:val="24"/>
          <w:highlight w:val="none"/>
        </w:rPr>
        <w:t>的投标工作，作出郑重声明：</w:t>
      </w:r>
    </w:p>
    <w:p w14:paraId="29E2719B">
      <w:pPr>
        <w:widowControl/>
        <w:snapToGrid w:val="0"/>
        <w:spacing w:line="440" w:lineRule="exact"/>
        <w:ind w:firstLine="540" w:firstLineChars="200"/>
        <w:jc w:val="left"/>
        <w:rPr>
          <w:rFonts w:hint="eastAsia" w:ascii="宋体" w:hAnsi="宋体" w:cs="宋体"/>
          <w:color w:val="auto"/>
          <w:spacing w:val="15"/>
          <w:kern w:val="0"/>
          <w:sz w:val="24"/>
          <w:highlight w:val="none"/>
          <w:lang w:eastAsia="zh-CN"/>
        </w:rPr>
      </w:pPr>
      <w:r>
        <w:rPr>
          <w:rFonts w:hint="eastAsia" w:ascii="宋体" w:hAnsi="宋体" w:cs="宋体"/>
          <w:spacing w:val="15"/>
          <w:kern w:val="0"/>
          <w:sz w:val="24"/>
          <w:szCs w:val="24"/>
          <w:highlight w:val="none"/>
        </w:rPr>
        <w:t>一、</w:t>
      </w:r>
      <w:r>
        <w:rPr>
          <w:rFonts w:hint="eastAsia" w:ascii="宋体" w:hAnsi="宋体"/>
          <w:spacing w:val="8"/>
          <w:sz w:val="24"/>
          <w:szCs w:val="24"/>
          <w:highlight w:val="none"/>
        </w:rPr>
        <w:t>保证按照《中华人民共和国招标投标法》及其《实施条例》的规定参加投标，所提供的一切材料都是真实、有效、合法的</w:t>
      </w:r>
      <w:r>
        <w:rPr>
          <w:rFonts w:hint="eastAsia" w:ascii="宋体" w:hAnsi="宋体"/>
          <w:spacing w:val="8"/>
          <w:sz w:val="24"/>
          <w:szCs w:val="24"/>
          <w:highlight w:val="none"/>
          <w:lang w:eastAsia="zh-CN"/>
        </w:rPr>
        <w:t>；保证投标文件不与其他投标文件由同一单位或者个人编制；保证不委托其他单位或个人办理投标事宜；保证投标文件不与其他单位的投标文件</w:t>
      </w:r>
      <w:r>
        <w:rPr>
          <w:rFonts w:hint="eastAsia" w:ascii="宋体" w:hAnsi="宋体"/>
          <w:color w:val="auto"/>
          <w:spacing w:val="8"/>
          <w:sz w:val="24"/>
          <w:szCs w:val="24"/>
          <w:highlight w:val="none"/>
          <w:lang w:eastAsia="zh-CN"/>
        </w:rPr>
        <w:t>由同一电子设备编制、打包加密或者上传</w:t>
      </w:r>
      <w:r>
        <w:rPr>
          <w:rFonts w:hint="eastAsia" w:ascii="宋体" w:hAnsi="宋体"/>
          <w:spacing w:val="8"/>
          <w:sz w:val="24"/>
          <w:szCs w:val="24"/>
          <w:highlight w:val="none"/>
          <w:lang w:eastAsia="zh-CN"/>
        </w:rPr>
        <w:t>；保证不让任何单位和个人挂靠；保证不进行恶意异议和投诉</w:t>
      </w:r>
      <w:r>
        <w:rPr>
          <w:rFonts w:hint="eastAsia" w:ascii="宋体" w:hAnsi="宋体"/>
          <w:spacing w:val="8"/>
          <w:sz w:val="24"/>
          <w:szCs w:val="24"/>
          <w:highlight w:val="none"/>
          <w:lang w:val="en-US" w:eastAsia="zh-CN"/>
        </w:rPr>
        <w:t>。</w:t>
      </w:r>
    </w:p>
    <w:p w14:paraId="5186FBB9">
      <w:pPr>
        <w:widowControl/>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lang w:eastAsia="zh-CN"/>
        </w:rPr>
        <w:t>二</w:t>
      </w:r>
      <w:r>
        <w:rPr>
          <w:rFonts w:hint="eastAsia" w:ascii="宋体" w:hAnsi="宋体" w:cs="宋体"/>
          <w:color w:val="auto"/>
          <w:spacing w:val="15"/>
          <w:kern w:val="0"/>
          <w:sz w:val="24"/>
          <w:highlight w:val="none"/>
        </w:rPr>
        <w:t>、若成为本</w:t>
      </w:r>
      <w:r>
        <w:rPr>
          <w:rFonts w:hint="eastAsia" w:ascii="宋体" w:hAnsi="宋体" w:cs="宋体"/>
          <w:color w:val="auto"/>
          <w:spacing w:val="15"/>
          <w:kern w:val="0"/>
          <w:sz w:val="24"/>
          <w:highlight w:val="none"/>
          <w:lang w:val="en-US" w:eastAsia="zh-CN"/>
        </w:rPr>
        <w:t>项目</w:t>
      </w:r>
      <w:r>
        <w:rPr>
          <w:rFonts w:hint="eastAsia" w:ascii="宋体" w:hAnsi="宋体" w:cs="宋体"/>
          <w:color w:val="auto"/>
          <w:spacing w:val="15"/>
          <w:kern w:val="0"/>
          <w:sz w:val="24"/>
          <w:highlight w:val="none"/>
        </w:rPr>
        <w:t>的中标人，我公司将严格遵守招标文件和履行</w:t>
      </w:r>
      <w:r>
        <w:rPr>
          <w:rFonts w:hint="eastAsia" w:ascii="宋体" w:hAnsi="宋体" w:cs="宋体"/>
          <w:color w:val="auto"/>
          <w:spacing w:val="15"/>
          <w:kern w:val="0"/>
          <w:sz w:val="24"/>
          <w:highlight w:val="none"/>
          <w:lang w:val="en-US" w:eastAsia="zh-CN"/>
        </w:rPr>
        <w:t>项目</w:t>
      </w:r>
      <w:r>
        <w:rPr>
          <w:rFonts w:hint="eastAsia" w:ascii="宋体" w:hAnsi="宋体" w:cs="宋体"/>
          <w:color w:val="auto"/>
          <w:spacing w:val="15"/>
          <w:kern w:val="0"/>
          <w:sz w:val="24"/>
          <w:highlight w:val="none"/>
        </w:rPr>
        <w:t>合同的下列要求：</w:t>
      </w:r>
    </w:p>
    <w:p w14:paraId="7DEED2BB">
      <w:pPr>
        <w:widowControl/>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1、订立合同：在招标文件规定的限期内与招标人订立</w:t>
      </w:r>
      <w:r>
        <w:rPr>
          <w:rFonts w:hint="eastAsia" w:ascii="宋体" w:hAnsi="宋体" w:cs="宋体"/>
          <w:color w:val="auto"/>
          <w:spacing w:val="15"/>
          <w:kern w:val="0"/>
          <w:sz w:val="24"/>
          <w:highlight w:val="none"/>
          <w:lang w:val="en-US" w:eastAsia="zh-CN"/>
        </w:rPr>
        <w:t>项目</w:t>
      </w:r>
      <w:r>
        <w:rPr>
          <w:rFonts w:hint="eastAsia" w:ascii="宋体" w:hAnsi="宋体" w:cs="宋体"/>
          <w:color w:val="auto"/>
          <w:spacing w:val="15"/>
          <w:kern w:val="0"/>
          <w:sz w:val="24"/>
          <w:highlight w:val="none"/>
        </w:rPr>
        <w:t>承包合同。</w:t>
      </w:r>
    </w:p>
    <w:p w14:paraId="5594AA9C">
      <w:pPr>
        <w:widowControl/>
        <w:snapToGrid w:val="0"/>
        <w:spacing w:line="440" w:lineRule="exact"/>
        <w:ind w:firstLine="540" w:firstLineChars="200"/>
        <w:jc w:val="left"/>
        <w:rPr>
          <w:rFonts w:ascii="宋体" w:hAnsi="宋体" w:cs="宋体"/>
          <w:color w:val="auto"/>
          <w:spacing w:val="15"/>
          <w:kern w:val="0"/>
          <w:sz w:val="24"/>
          <w:highlight w:val="none"/>
        </w:rPr>
      </w:pPr>
      <w:r>
        <w:rPr>
          <w:rFonts w:hint="eastAsia" w:ascii="宋体" w:hAnsi="宋体" w:cs="宋体"/>
          <w:color w:val="auto"/>
          <w:spacing w:val="15"/>
          <w:kern w:val="0"/>
          <w:sz w:val="24"/>
          <w:highlight w:val="none"/>
        </w:rPr>
        <w:t>2、</w:t>
      </w:r>
      <w:r>
        <w:rPr>
          <w:rFonts w:hint="eastAsia" w:ascii="宋体" w:hAnsi="宋体" w:cs="宋体"/>
          <w:color w:val="auto"/>
          <w:spacing w:val="15"/>
          <w:kern w:val="0"/>
          <w:sz w:val="24"/>
          <w:highlight w:val="none"/>
          <w:lang w:val="en-US" w:eastAsia="zh-CN"/>
        </w:rPr>
        <w:t>项目</w:t>
      </w:r>
      <w:r>
        <w:rPr>
          <w:rFonts w:hint="eastAsia" w:ascii="宋体" w:hAnsi="宋体" w:cs="宋体"/>
          <w:color w:val="auto"/>
          <w:spacing w:val="15"/>
          <w:kern w:val="0"/>
          <w:sz w:val="24"/>
          <w:highlight w:val="none"/>
        </w:rPr>
        <w:t>现场技术和管理人员：</w:t>
      </w:r>
    </w:p>
    <w:p w14:paraId="71D4962B">
      <w:pPr>
        <w:widowControl/>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（1）投标承诺及派驻现场的项目管理架构中全部技术和管理人员均为我公司员工；</w:t>
      </w:r>
    </w:p>
    <w:p w14:paraId="345FFD01">
      <w:pPr>
        <w:widowControl/>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（2）根据本</w:t>
      </w:r>
      <w:r>
        <w:rPr>
          <w:rFonts w:hint="eastAsia" w:ascii="宋体" w:hAnsi="宋体" w:cs="宋体"/>
          <w:color w:val="auto"/>
          <w:spacing w:val="15"/>
          <w:kern w:val="0"/>
          <w:sz w:val="24"/>
          <w:highlight w:val="none"/>
          <w:lang w:val="en-US" w:eastAsia="zh-CN"/>
        </w:rPr>
        <w:t>招标项目</w:t>
      </w:r>
      <w:r>
        <w:rPr>
          <w:rFonts w:hint="eastAsia" w:ascii="宋体" w:hAnsi="宋体" w:cs="宋体"/>
          <w:color w:val="auto"/>
          <w:spacing w:val="15"/>
          <w:kern w:val="0"/>
          <w:sz w:val="24"/>
          <w:highlight w:val="none"/>
        </w:rPr>
        <w:t>的实际需要适当设置的项目管理架构，委派的技术和管理人员的数量、资质和实际工作能力均满足本</w:t>
      </w:r>
      <w:r>
        <w:rPr>
          <w:rFonts w:hint="eastAsia" w:ascii="宋体" w:hAnsi="宋体" w:cs="宋体"/>
          <w:color w:val="auto"/>
          <w:spacing w:val="15"/>
          <w:kern w:val="0"/>
          <w:sz w:val="24"/>
          <w:highlight w:val="none"/>
          <w:lang w:val="en-US" w:eastAsia="zh-CN"/>
        </w:rPr>
        <w:t>项目</w:t>
      </w:r>
      <w:r>
        <w:rPr>
          <w:rFonts w:hint="eastAsia" w:ascii="宋体" w:hAnsi="宋体" w:cs="宋体"/>
          <w:color w:val="auto"/>
          <w:spacing w:val="15"/>
          <w:kern w:val="0"/>
          <w:sz w:val="24"/>
          <w:highlight w:val="none"/>
        </w:rPr>
        <w:t>实施要求；</w:t>
      </w:r>
    </w:p>
    <w:p w14:paraId="5FD1AAB8">
      <w:pPr>
        <w:widowControl/>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（3</w:t>
      </w:r>
      <w:r>
        <w:rPr>
          <w:rFonts w:hint="eastAsia" w:ascii="宋体" w:hAnsi="宋体" w:cs="宋体"/>
          <w:color w:val="auto"/>
          <w:spacing w:val="15"/>
          <w:kern w:val="0"/>
          <w:sz w:val="24"/>
          <w:szCs w:val="22"/>
          <w:highlight w:val="none"/>
        </w:rPr>
        <w:t>）在收到发包人进场通知的3天内，所有技术和管理人员全部到位，进入现场办公，严格遵守茂名市建筑从业人员实名制管理相关规定。</w:t>
      </w:r>
    </w:p>
    <w:p w14:paraId="20E0F4D2">
      <w:pPr>
        <w:widowControl/>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4）若因技术或管理人员未按投标承诺的人员和时间到位、或人员的实际工作能力和工作表现达不到招标文件明确要求或投标文件的承诺、或工作态度存在严重不足，不适应现场工作需要，我公司愿按发包人要求撤换不合格人员，并保证后任人员的资质、资历、业绩及实际工作能力不低于前任人员的水平。</w:t>
      </w:r>
    </w:p>
    <w:p w14:paraId="6B901194">
      <w:pPr>
        <w:widowControl/>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3、工期</w:t>
      </w:r>
      <w:r>
        <w:rPr>
          <w:rFonts w:hint="eastAsia" w:ascii="宋体" w:hAnsi="宋体" w:cs="宋体"/>
          <w:color w:val="auto"/>
          <w:spacing w:val="15"/>
          <w:kern w:val="0"/>
          <w:sz w:val="24"/>
          <w:highlight w:val="none"/>
          <w:lang w:eastAsia="zh-CN"/>
        </w:rPr>
        <w:t>（</w:t>
      </w:r>
      <w:r>
        <w:rPr>
          <w:rFonts w:hint="eastAsia" w:ascii="宋体" w:hAnsi="宋体" w:cs="宋体"/>
          <w:color w:val="auto"/>
          <w:spacing w:val="15"/>
          <w:kern w:val="0"/>
          <w:sz w:val="24"/>
          <w:highlight w:val="none"/>
          <w:lang w:val="en-US" w:eastAsia="zh-CN"/>
        </w:rPr>
        <w:t>交货期）</w:t>
      </w:r>
      <w:r>
        <w:rPr>
          <w:rFonts w:hint="eastAsia" w:ascii="宋体" w:hAnsi="宋体" w:cs="宋体"/>
          <w:color w:val="auto"/>
          <w:spacing w:val="15"/>
          <w:kern w:val="0"/>
          <w:sz w:val="24"/>
          <w:highlight w:val="none"/>
        </w:rPr>
        <w:t>：保证尽一切力量确保投标承诺的工期（交货期）。本公司充分了解和预计在</w:t>
      </w:r>
      <w:r>
        <w:rPr>
          <w:rFonts w:hint="eastAsia" w:ascii="宋体" w:hAnsi="宋体" w:cs="宋体"/>
          <w:color w:val="auto"/>
          <w:spacing w:val="15"/>
          <w:kern w:val="0"/>
          <w:sz w:val="24"/>
          <w:highlight w:val="none"/>
          <w:lang w:val="en-US" w:eastAsia="zh-CN"/>
        </w:rPr>
        <w:t>项目实施</w:t>
      </w:r>
      <w:r>
        <w:rPr>
          <w:rFonts w:hint="eastAsia" w:ascii="宋体" w:hAnsi="宋体" w:cs="宋体"/>
          <w:color w:val="auto"/>
          <w:spacing w:val="15"/>
          <w:kern w:val="0"/>
          <w:sz w:val="24"/>
          <w:highlight w:val="none"/>
        </w:rPr>
        <w:t>过程中，本项目可能会存在比正常项目更多的阻碍交货的情况出现，保证不因自身原因导致实际交货期超过合同</w:t>
      </w:r>
      <w:r>
        <w:rPr>
          <w:rFonts w:hint="eastAsia" w:ascii="宋体" w:hAnsi="宋体" w:cs="宋体"/>
          <w:color w:val="auto"/>
          <w:spacing w:val="15"/>
          <w:kern w:val="0"/>
          <w:sz w:val="24"/>
          <w:highlight w:val="none"/>
          <w:lang w:val="en-US" w:eastAsia="zh-CN"/>
        </w:rPr>
        <w:t>竣工</w:t>
      </w:r>
      <w:r>
        <w:rPr>
          <w:rFonts w:hint="eastAsia" w:ascii="宋体" w:hAnsi="宋体" w:cs="宋体"/>
          <w:color w:val="auto"/>
          <w:spacing w:val="15"/>
          <w:kern w:val="0"/>
          <w:sz w:val="24"/>
          <w:highlight w:val="none"/>
        </w:rPr>
        <w:t>时间。</w:t>
      </w:r>
    </w:p>
    <w:p w14:paraId="5336A1B2">
      <w:pPr>
        <w:widowControl/>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4、材料、设备：保证准备并供应充足的材料设备，按投标承诺的时间全部按时到位。不因任何材料、设备因素阻碍工期而影响投标承诺的竣工日期。</w:t>
      </w:r>
    </w:p>
    <w:p w14:paraId="76DACEA3">
      <w:pPr>
        <w:widowControl/>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5、质量、安全：保证实现本工程招标文件所确定的工程质量、安全目标计划，落实企业全员安全生产责任制，且按茂名市有关文件及本</w:t>
      </w:r>
      <w:r>
        <w:rPr>
          <w:rFonts w:hint="eastAsia" w:ascii="宋体" w:hAnsi="宋体" w:cs="宋体"/>
          <w:color w:val="auto"/>
          <w:spacing w:val="15"/>
          <w:kern w:val="0"/>
          <w:sz w:val="24"/>
          <w:highlight w:val="none"/>
          <w:lang w:val="en-US" w:eastAsia="zh-CN"/>
        </w:rPr>
        <w:t>项目</w:t>
      </w:r>
      <w:r>
        <w:rPr>
          <w:rFonts w:hint="eastAsia" w:ascii="宋体" w:hAnsi="宋体" w:cs="宋体"/>
          <w:color w:val="auto"/>
          <w:spacing w:val="15"/>
          <w:kern w:val="0"/>
          <w:sz w:val="24"/>
          <w:highlight w:val="none"/>
        </w:rPr>
        <w:t>招标文件文明施工管理方案中的要求进行文明施工管理。</w:t>
      </w:r>
    </w:p>
    <w:p w14:paraId="41662630">
      <w:pPr>
        <w:widowControl/>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6、不发生出借资质、转包、违法分包行为。</w:t>
      </w:r>
    </w:p>
    <w:p w14:paraId="40731F5C">
      <w:pPr>
        <w:widowControl/>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7、不拖欠或克扣劳务人员工资，不拖欠材料、设备价款、分包合同工程款（如有分包工程</w:t>
      </w:r>
      <w:r>
        <w:rPr>
          <w:rFonts w:hint="eastAsia" w:ascii="宋体" w:hAnsi="宋体" w:cs="宋体"/>
          <w:color w:val="auto"/>
          <w:spacing w:val="15"/>
          <w:kern w:val="0"/>
          <w:sz w:val="24"/>
          <w:szCs w:val="22"/>
          <w:highlight w:val="none"/>
        </w:rPr>
        <w:t>）。</w:t>
      </w:r>
    </w:p>
    <w:p w14:paraId="54B3BADB">
      <w:pPr>
        <w:pStyle w:val="15"/>
        <w:ind w:left="0" w:leftChars="0" w:firstLine="540" w:firstLineChars="200"/>
        <w:rPr>
          <w:rFonts w:hint="eastAsia" w:eastAsia="宋体"/>
          <w:highlight w:val="none"/>
          <w:lang w:val="en-US" w:eastAsia="zh-CN"/>
        </w:rPr>
      </w:pPr>
      <w:r>
        <w:rPr>
          <w:rFonts w:hint="eastAsia" w:hAnsi="宋体" w:eastAsia="宋体" w:cs="宋体"/>
          <w:color w:val="auto"/>
          <w:spacing w:val="15"/>
          <w:kern w:val="0"/>
          <w:sz w:val="24"/>
          <w:szCs w:val="22"/>
          <w:highlight w:val="none"/>
          <w:lang w:val="en-US" w:eastAsia="zh-CN"/>
        </w:rPr>
        <w:t>8、承诺按中标价限额</w:t>
      </w:r>
      <w:r>
        <w:rPr>
          <w:rFonts w:hint="eastAsia" w:cs="宋体"/>
          <w:color w:val="auto"/>
          <w:spacing w:val="15"/>
          <w:kern w:val="0"/>
          <w:sz w:val="24"/>
          <w:szCs w:val="22"/>
          <w:highlight w:val="none"/>
          <w:lang w:val="en-US" w:eastAsia="zh-CN"/>
        </w:rPr>
        <w:t>实施本项目</w:t>
      </w:r>
      <w:r>
        <w:rPr>
          <w:rFonts w:hint="eastAsia" w:hAnsi="宋体" w:eastAsia="宋体" w:cs="宋体"/>
          <w:color w:val="auto"/>
          <w:spacing w:val="15"/>
          <w:kern w:val="0"/>
          <w:sz w:val="24"/>
          <w:szCs w:val="22"/>
          <w:highlight w:val="none"/>
          <w:lang w:val="en-US" w:eastAsia="zh-CN"/>
        </w:rPr>
        <w:t>。</w:t>
      </w:r>
    </w:p>
    <w:p w14:paraId="331BF4E8">
      <w:pPr>
        <w:widowControl/>
        <w:shd w:val="clear" w:color="auto"/>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lang w:eastAsia="zh-CN"/>
        </w:rPr>
        <w:t>三</w:t>
      </w:r>
      <w:r>
        <w:rPr>
          <w:rFonts w:hint="eastAsia" w:ascii="宋体" w:hAnsi="宋体" w:cs="宋体"/>
          <w:color w:val="auto"/>
          <w:spacing w:val="15"/>
          <w:kern w:val="0"/>
          <w:sz w:val="24"/>
          <w:highlight w:val="none"/>
        </w:rPr>
        <w:t>、如不能履行上述承诺，本公司愿意承担由此带来的法律后果，并自愿无条件地接受招标人和</w:t>
      </w:r>
      <w:r>
        <w:rPr>
          <w:rFonts w:hint="eastAsia" w:ascii="宋体" w:hAnsi="宋体" w:cs="宋体"/>
          <w:color w:val="auto"/>
          <w:spacing w:val="15"/>
          <w:kern w:val="0"/>
          <w:sz w:val="24"/>
          <w:highlight w:val="none"/>
          <w:lang w:val="en-US" w:eastAsia="zh-CN"/>
        </w:rPr>
        <w:t>农业</w:t>
      </w:r>
      <w:r>
        <w:rPr>
          <w:rFonts w:hint="eastAsia" w:ascii="宋体" w:hAnsi="宋体" w:cs="宋体"/>
          <w:color w:val="auto"/>
          <w:spacing w:val="15"/>
          <w:kern w:val="0"/>
          <w:sz w:val="24"/>
          <w:highlight w:val="none"/>
        </w:rPr>
        <w:t>行政主管部门的以下处理：</w:t>
      </w:r>
    </w:p>
    <w:p w14:paraId="4F20E78B">
      <w:pPr>
        <w:widowControl/>
        <w:shd w:val="clear" w:color="auto"/>
        <w:snapToGrid w:val="0"/>
        <w:spacing w:line="440" w:lineRule="exact"/>
        <w:ind w:firstLine="540" w:firstLineChars="200"/>
        <w:jc w:val="left"/>
        <w:rPr>
          <w:rFonts w:ascii="宋体" w:hAnsi="宋体" w:cs="宋体"/>
          <w:color w:val="auto"/>
          <w:spacing w:val="15"/>
          <w:kern w:val="0"/>
          <w:sz w:val="24"/>
          <w:highlight w:val="none"/>
        </w:rPr>
      </w:pPr>
      <w:r>
        <w:rPr>
          <w:rFonts w:hint="eastAsia" w:ascii="宋体" w:hAnsi="宋体" w:cs="宋体"/>
          <w:color w:val="auto"/>
          <w:spacing w:val="15"/>
          <w:kern w:val="0"/>
          <w:sz w:val="24"/>
          <w:highlight w:val="none"/>
        </w:rPr>
        <w:t>1、取消中标资格或者解除合同；</w:t>
      </w:r>
    </w:p>
    <w:p w14:paraId="55446EA5">
      <w:pPr>
        <w:widowControl/>
        <w:shd w:val="clear" w:color="auto"/>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2、由招标人没收投标保证金或合同履约保证金；</w:t>
      </w:r>
    </w:p>
    <w:p w14:paraId="6B91465A">
      <w:pPr>
        <w:widowControl/>
        <w:shd w:val="clear" w:color="auto"/>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3、两年内（或五年内）停止参与茂名市财政资金建设工程的投标；</w:t>
      </w:r>
    </w:p>
    <w:p w14:paraId="3786EE1B">
      <w:pPr>
        <w:widowControl/>
        <w:shd w:val="clear" w:color="auto"/>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4、对不良行为予以记录，并进行公告；</w:t>
      </w:r>
    </w:p>
    <w:p w14:paraId="1DB4D05D">
      <w:pPr>
        <w:widowControl/>
        <w:shd w:val="clear" w:color="auto"/>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5、报茂名市农业行政主管部门备案，并提请上级相关行政主管部门依法进行处罚；</w:t>
      </w:r>
    </w:p>
    <w:p w14:paraId="01A17798">
      <w:pPr>
        <w:widowControl/>
        <w:shd w:val="clear" w:color="auto"/>
        <w:snapToGrid w:val="0"/>
        <w:spacing w:line="440" w:lineRule="exact"/>
        <w:ind w:firstLine="540" w:firstLineChars="200"/>
        <w:jc w:val="left"/>
        <w:rPr>
          <w:rFonts w:ascii="宋体" w:hAnsi="宋体" w:cs="宋体"/>
          <w:color w:val="auto"/>
          <w:spacing w:val="15"/>
          <w:kern w:val="0"/>
          <w:sz w:val="24"/>
          <w:highlight w:val="none"/>
        </w:rPr>
      </w:pPr>
      <w:r>
        <w:rPr>
          <w:rFonts w:hint="eastAsia" w:ascii="宋体" w:hAnsi="宋体" w:cs="宋体"/>
          <w:color w:val="auto"/>
          <w:spacing w:val="15"/>
          <w:kern w:val="0"/>
          <w:sz w:val="24"/>
          <w:highlight w:val="none"/>
        </w:rPr>
        <w:t>6、其他行政处理决定。</w:t>
      </w:r>
    </w:p>
    <w:p w14:paraId="775D99FB">
      <w:pPr>
        <w:widowControl/>
        <w:shd w:val="clear" w:color="auto"/>
        <w:snapToGrid w:val="0"/>
        <w:spacing w:line="440" w:lineRule="exact"/>
        <w:ind w:firstLine="540" w:firstLineChars="200"/>
        <w:jc w:val="left"/>
        <w:rPr>
          <w:rFonts w:hint="eastAsia" w:ascii="宋体" w:hAnsi="宋体" w:eastAsia="宋体" w:cs="宋体"/>
          <w:color w:val="auto"/>
          <w:spacing w:val="15"/>
          <w:kern w:val="0"/>
          <w:sz w:val="24"/>
          <w:highlight w:val="none"/>
          <w:lang w:eastAsia="zh-CN"/>
        </w:rPr>
      </w:pPr>
      <w:r>
        <w:rPr>
          <w:rFonts w:hint="eastAsia" w:ascii="宋体" w:hAnsi="宋体" w:cs="宋体"/>
          <w:color w:val="auto"/>
          <w:spacing w:val="15"/>
          <w:kern w:val="0"/>
          <w:sz w:val="24"/>
          <w:highlight w:val="none"/>
        </w:rPr>
        <w:t>特此声明</w:t>
      </w:r>
      <w:r>
        <w:rPr>
          <w:rFonts w:hint="eastAsia" w:ascii="宋体" w:hAnsi="宋体" w:cs="宋体"/>
          <w:color w:val="auto"/>
          <w:spacing w:val="15"/>
          <w:kern w:val="0"/>
          <w:sz w:val="24"/>
          <w:highlight w:val="none"/>
          <w:lang w:eastAsia="zh-CN"/>
        </w:rPr>
        <w:t>。</w:t>
      </w:r>
    </w:p>
    <w:p w14:paraId="00C3C335">
      <w:pPr>
        <w:widowControl/>
        <w:shd w:val="clear" w:color="auto"/>
        <w:snapToGrid w:val="0"/>
        <w:spacing w:line="440" w:lineRule="exact"/>
        <w:ind w:firstLine="540" w:firstLineChars="200"/>
        <w:jc w:val="right"/>
        <w:rPr>
          <w:rFonts w:ascii="宋体" w:hAnsi="宋体" w:cs="宋体"/>
          <w:color w:val="auto"/>
          <w:spacing w:val="15"/>
          <w:kern w:val="0"/>
          <w:sz w:val="24"/>
          <w:highlight w:val="none"/>
        </w:rPr>
      </w:pPr>
    </w:p>
    <w:p w14:paraId="747F0674">
      <w:pPr>
        <w:keepNext w:val="0"/>
        <w:keepLines w:val="0"/>
        <w:pageBreakBefore w:val="0"/>
        <w:widowControl w:val="0"/>
        <w:kinsoku/>
        <w:wordWrap/>
        <w:overflowPunct/>
        <w:topLinePunct w:val="0"/>
        <w:autoSpaceDE/>
        <w:autoSpaceDN/>
        <w:bidi w:val="0"/>
        <w:adjustRightInd/>
        <w:snapToGrid/>
        <w:spacing w:line="480" w:lineRule="exact"/>
        <w:ind w:left="4200" w:leftChars="2000"/>
        <w:jc w:val="both"/>
        <w:textAlignment w:val="auto"/>
        <w:rPr>
          <w:color w:val="auto"/>
          <w:spacing w:val="10"/>
          <w:sz w:val="22"/>
          <w:szCs w:val="22"/>
          <w:highlight w:val="none"/>
          <w:u w:val="single"/>
        </w:rPr>
      </w:pPr>
      <w:r>
        <w:rPr>
          <w:rFonts w:hint="eastAsia" w:ascii="宋体" w:hAnsi="宋体" w:cs="宋体"/>
          <w:color w:val="auto"/>
          <w:spacing w:val="15"/>
          <w:kern w:val="0"/>
          <w:sz w:val="24"/>
          <w:highlight w:val="none"/>
          <w:u w:val="none"/>
        </w:rPr>
        <w:t>声明企业</w:t>
      </w:r>
      <w:r>
        <w:rPr>
          <w:rFonts w:hint="eastAsia" w:ascii="宋体" w:hAnsi="宋体" w:cs="宋体"/>
          <w:color w:val="auto"/>
          <w:spacing w:val="15"/>
          <w:kern w:val="0"/>
          <w:sz w:val="24"/>
          <w:highlight w:val="none"/>
          <w:u w:val="none"/>
          <w:lang w:eastAsia="zh-CN"/>
        </w:rPr>
        <w:t>：</w:t>
      </w:r>
      <w:r>
        <w:rPr>
          <w:rFonts w:hint="eastAsia" w:ascii="宋体" w:hAnsi="宋体"/>
          <w:color w:val="auto"/>
          <w:sz w:val="28"/>
          <w:highlight w:val="none"/>
          <w:u w:val="single"/>
          <w:lang w:val="en-US" w:eastAsia="zh-CN"/>
        </w:rPr>
        <w:t xml:space="preserve">    </w:t>
      </w:r>
      <w:r>
        <w:rPr>
          <w:rFonts w:hint="eastAsia"/>
          <w:color w:val="auto"/>
          <w:spacing w:val="10"/>
          <w:sz w:val="22"/>
          <w:szCs w:val="22"/>
          <w:highlight w:val="none"/>
          <w:u w:val="single"/>
        </w:rPr>
        <w:t xml:space="preserve">      </w:t>
      </w:r>
      <w:r>
        <w:rPr>
          <w:rFonts w:hint="eastAsia"/>
          <w:color w:val="auto"/>
          <w:spacing w:val="10"/>
          <w:sz w:val="22"/>
          <w:szCs w:val="22"/>
          <w:highlight w:val="none"/>
          <w:u w:val="single"/>
          <w:lang w:val="en-US" w:eastAsia="zh-CN"/>
        </w:rPr>
        <w:t xml:space="preserve">       </w:t>
      </w:r>
      <w:r>
        <w:rPr>
          <w:rFonts w:hint="eastAsia" w:ascii="宋体" w:hAnsi="宋体"/>
          <w:color w:val="auto"/>
          <w:sz w:val="24"/>
          <w:highlight w:val="none"/>
          <w:u w:val="single"/>
        </w:rPr>
        <w:t>（盖章）</w:t>
      </w:r>
    </w:p>
    <w:p w14:paraId="3283DBD1">
      <w:pPr>
        <w:keepNext w:val="0"/>
        <w:keepLines w:val="0"/>
        <w:pageBreakBefore w:val="0"/>
        <w:widowControl w:val="0"/>
        <w:kinsoku/>
        <w:wordWrap/>
        <w:overflowPunct/>
        <w:topLinePunct w:val="0"/>
        <w:autoSpaceDE/>
        <w:autoSpaceDN/>
        <w:bidi w:val="0"/>
        <w:adjustRightInd/>
        <w:snapToGrid/>
        <w:spacing w:line="480" w:lineRule="exact"/>
        <w:ind w:left="4200" w:leftChars="2000"/>
        <w:jc w:val="both"/>
        <w:textAlignment w:val="auto"/>
        <w:rPr>
          <w:color w:val="auto"/>
          <w:spacing w:val="10"/>
          <w:sz w:val="22"/>
          <w:szCs w:val="22"/>
          <w:highlight w:val="none"/>
          <w:u w:val="single"/>
        </w:rPr>
      </w:pPr>
      <w:r>
        <w:rPr>
          <w:rFonts w:hint="eastAsia"/>
          <w:color w:val="auto"/>
          <w:spacing w:val="10"/>
          <w:sz w:val="24"/>
          <w:szCs w:val="24"/>
          <w:highlight w:val="none"/>
        </w:rPr>
        <w:t>法定代表人：</w:t>
      </w:r>
      <w:r>
        <w:rPr>
          <w:rFonts w:hint="eastAsia"/>
          <w:color w:val="auto"/>
          <w:spacing w:val="10"/>
          <w:sz w:val="24"/>
          <w:szCs w:val="24"/>
          <w:highlight w:val="none"/>
          <w:u w:val="single"/>
        </w:rPr>
        <w:t xml:space="preserve">   </w:t>
      </w:r>
      <w:r>
        <w:rPr>
          <w:rFonts w:hint="eastAsia"/>
          <w:color w:val="auto"/>
          <w:spacing w:val="10"/>
          <w:sz w:val="24"/>
          <w:szCs w:val="24"/>
          <w:highlight w:val="none"/>
          <w:u w:val="single"/>
          <w:lang w:val="en-US" w:eastAsia="zh-CN"/>
        </w:rPr>
        <w:t xml:space="preserve">      </w:t>
      </w:r>
      <w:r>
        <w:rPr>
          <w:rFonts w:hint="eastAsia"/>
          <w:color w:val="auto"/>
          <w:spacing w:val="10"/>
          <w:sz w:val="24"/>
          <w:szCs w:val="24"/>
          <w:highlight w:val="none"/>
          <w:u w:val="single"/>
        </w:rPr>
        <w:t xml:space="preserve"> （签字）</w:t>
      </w:r>
    </w:p>
    <w:p w14:paraId="473C51AE">
      <w:pPr>
        <w:numPr>
          <w:ilvl w:val="0"/>
          <w:numId w:val="0"/>
        </w:numPr>
        <w:spacing w:line="360" w:lineRule="exact"/>
        <w:jc w:val="center"/>
        <w:outlineLvl w:val="9"/>
        <w:rPr>
          <w:rFonts w:hint="eastAsia"/>
          <w:b/>
          <w:sz w:val="32"/>
          <w:szCs w:val="32"/>
          <w:lang w:eastAsia="zh-CN"/>
        </w:rPr>
        <w:sectPr>
          <w:pgSz w:w="11906" w:h="16838"/>
          <w:pgMar w:top="1247" w:right="1134" w:bottom="1247" w:left="1247" w:header="851" w:footer="850" w:gutter="0"/>
          <w:pgNumType w:fmt="decimal"/>
          <w:cols w:space="720" w:num="1"/>
          <w:formProt w:val="0"/>
          <w:docGrid w:linePitch="286" w:charSpace="0"/>
        </w:sectPr>
      </w:pPr>
      <w:r>
        <w:rPr>
          <w:rFonts w:hint="eastAsia" w:ascii="宋体" w:hAnsi="宋体"/>
          <w:color w:val="auto"/>
          <w:sz w:val="22"/>
          <w:szCs w:val="22"/>
          <w:highlight w:val="none"/>
          <w:lang w:val="en-US" w:eastAsia="zh-CN"/>
        </w:rPr>
        <w:t xml:space="preserve">               </w:t>
      </w:r>
      <w:r>
        <w:rPr>
          <w:rFonts w:hint="eastAsia" w:ascii="宋体" w:hAnsi="宋体"/>
          <w:color w:val="auto"/>
          <w:sz w:val="22"/>
          <w:szCs w:val="22"/>
          <w:highlight w:val="none"/>
        </w:rPr>
        <w:t>日期：</w:t>
      </w:r>
      <w:r>
        <w:rPr>
          <w:rFonts w:hint="eastAsia" w:ascii="宋体" w:hAnsi="宋体"/>
          <w:color w:val="auto"/>
          <w:sz w:val="22"/>
          <w:szCs w:val="22"/>
          <w:highlight w:val="none"/>
          <w:u w:val="single"/>
          <w:lang w:val="en-US" w:eastAsia="zh-CN"/>
        </w:rPr>
        <w:t xml:space="preserve">       </w:t>
      </w:r>
      <w:r>
        <w:rPr>
          <w:rFonts w:hint="eastAsia" w:ascii="宋体" w:hAnsi="宋体"/>
          <w:color w:val="auto"/>
          <w:sz w:val="22"/>
          <w:szCs w:val="22"/>
          <w:highlight w:val="none"/>
        </w:rPr>
        <w:t>年</w:t>
      </w:r>
      <w:r>
        <w:rPr>
          <w:rFonts w:hint="eastAsia" w:ascii="宋体" w:hAnsi="宋体"/>
          <w:color w:val="auto"/>
          <w:sz w:val="22"/>
          <w:szCs w:val="22"/>
          <w:highlight w:val="none"/>
          <w:u w:val="single"/>
          <w:lang w:val="en-US" w:eastAsia="zh-CN"/>
        </w:rPr>
        <w:t xml:space="preserve">   </w:t>
      </w:r>
      <w:r>
        <w:rPr>
          <w:rFonts w:hint="eastAsia" w:ascii="宋体" w:hAnsi="宋体"/>
          <w:color w:val="auto"/>
          <w:sz w:val="22"/>
          <w:szCs w:val="22"/>
          <w:highlight w:val="none"/>
        </w:rPr>
        <w:t>月</w:t>
      </w:r>
      <w:r>
        <w:rPr>
          <w:rFonts w:hint="eastAsia" w:ascii="宋体" w:hAnsi="宋体"/>
          <w:color w:val="auto"/>
          <w:sz w:val="22"/>
          <w:szCs w:val="22"/>
          <w:highlight w:val="none"/>
          <w:u w:val="single"/>
          <w:lang w:val="en-US" w:eastAsia="zh-CN"/>
        </w:rPr>
        <w:t xml:space="preserve">   </w:t>
      </w:r>
      <w:r>
        <w:rPr>
          <w:rFonts w:hint="eastAsia" w:ascii="宋体" w:hAnsi="宋体"/>
          <w:color w:val="auto"/>
          <w:sz w:val="22"/>
          <w:szCs w:val="22"/>
          <w:highlight w:val="none"/>
        </w:rPr>
        <w:t>日</w:t>
      </w:r>
    </w:p>
    <w:bookmarkEnd w:id="137"/>
    <w:p w14:paraId="757634D8">
      <w:pPr>
        <w:pStyle w:val="3"/>
        <w:keepNext/>
        <w:keepLines/>
        <w:pageBreakBefore w:val="0"/>
        <w:widowControl w:val="0"/>
        <w:numPr>
          <w:ilvl w:val="0"/>
          <w:numId w:val="7"/>
        </w:numPr>
        <w:kinsoku/>
        <w:wordWrap/>
        <w:overflowPunct/>
        <w:topLinePunct w:val="0"/>
        <w:autoSpaceDE/>
        <w:autoSpaceDN/>
        <w:bidi w:val="0"/>
        <w:adjustRightInd/>
        <w:snapToGrid/>
        <w:spacing w:before="60" w:after="60" w:line="416" w:lineRule="auto"/>
        <w:jc w:val="center"/>
        <w:textAlignment w:val="auto"/>
        <w:rPr>
          <w:rFonts w:hint="eastAsia"/>
        </w:rPr>
      </w:pPr>
      <w:r>
        <w:rPr>
          <w:rFonts w:hint="eastAsia"/>
        </w:rPr>
        <w:t>工程量清单报价</w:t>
      </w:r>
    </w:p>
    <w:p w14:paraId="058EF365">
      <w:pPr>
        <w:pStyle w:val="15"/>
        <w:ind w:left="0" w:leftChars="0" w:firstLine="0" w:firstLineChars="0"/>
        <w:rPr>
          <w:b/>
          <w:sz w:val="32"/>
          <w:szCs w:val="32"/>
        </w:rPr>
      </w:pPr>
    </w:p>
    <w:p w14:paraId="1B325DE2">
      <w:pPr>
        <w:pStyle w:val="1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val="0"/>
          <w:bCs w:val="0"/>
          <w:color w:val="000000"/>
          <w:sz w:val="24"/>
          <w:szCs w:val="24"/>
          <w:lang w:val="en-US" w:eastAsia="zh-CN"/>
        </w:rPr>
      </w:pPr>
    </w:p>
    <w:p w14:paraId="73F8B8E0">
      <w:pPr>
        <w:pStyle w:val="1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sectPr>
          <w:pgSz w:w="11906" w:h="16838"/>
          <w:pgMar w:top="1247" w:right="1134" w:bottom="1247" w:left="1247" w:header="851" w:footer="850" w:gutter="0"/>
          <w:pgNumType w:fmt="decimal"/>
          <w:cols w:space="720" w:num="1"/>
          <w:formProt w:val="0"/>
          <w:docGrid w:linePitch="286" w:charSpace="0"/>
        </w:sectPr>
      </w:pPr>
      <w:r>
        <w:rPr>
          <w:rFonts w:hint="eastAsia" w:ascii="宋体" w:hAnsi="宋体" w:cs="宋体"/>
          <w:b w:val="0"/>
          <w:bCs w:val="0"/>
          <w:color w:val="000000"/>
          <w:sz w:val="24"/>
          <w:szCs w:val="24"/>
          <w:lang w:val="en-US" w:eastAsia="zh-CN"/>
        </w:rPr>
        <w:t>注：</w:t>
      </w:r>
      <w:r>
        <w:rPr>
          <w:rFonts w:hint="eastAsia" w:ascii="宋体" w:hAnsi="宋体" w:eastAsia="宋体" w:cs="宋体"/>
          <w:b w:val="0"/>
          <w:bCs w:val="0"/>
          <w:color w:val="000000"/>
          <w:sz w:val="24"/>
          <w:szCs w:val="24"/>
        </w:rPr>
        <w:t>投标报价汇总表为所有明细表的报价汇总，应与“投标函”中的投标总价金额一致。</w:t>
      </w:r>
    </w:p>
    <w:p w14:paraId="1BE63A76">
      <w:pPr>
        <w:pStyle w:val="3"/>
        <w:keepNext/>
        <w:keepLines/>
        <w:pageBreakBefore w:val="0"/>
        <w:widowControl w:val="0"/>
        <w:numPr>
          <w:ilvl w:val="0"/>
          <w:numId w:val="7"/>
        </w:numPr>
        <w:kinsoku/>
        <w:wordWrap/>
        <w:overflowPunct/>
        <w:topLinePunct w:val="0"/>
        <w:autoSpaceDE/>
        <w:autoSpaceDN/>
        <w:bidi w:val="0"/>
        <w:adjustRightInd/>
        <w:snapToGrid/>
        <w:spacing w:before="60" w:after="60" w:line="416" w:lineRule="auto"/>
        <w:jc w:val="center"/>
        <w:textAlignment w:val="auto"/>
        <w:rPr>
          <w:rFonts w:hint="eastAsia"/>
        </w:rPr>
      </w:pPr>
      <w:r>
        <w:rPr>
          <w:rFonts w:hint="eastAsia"/>
        </w:rPr>
        <w:t>资格审查资料</w:t>
      </w:r>
    </w:p>
    <w:p w14:paraId="5EF8E3E3">
      <w:pPr>
        <w:pStyle w:val="4"/>
        <w:keepNext/>
        <w:keepLines/>
        <w:pageBreakBefore w:val="0"/>
        <w:widowControl w:val="0"/>
        <w:numPr>
          <w:ilvl w:val="0"/>
          <w:numId w:val="13"/>
        </w:numPr>
        <w:kinsoku/>
        <w:wordWrap/>
        <w:overflowPunct/>
        <w:topLinePunct w:val="0"/>
        <w:autoSpaceDE/>
        <w:autoSpaceDN/>
        <w:bidi w:val="0"/>
        <w:adjustRightInd/>
        <w:snapToGrid/>
        <w:spacing w:before="0" w:after="60" w:line="416" w:lineRule="auto"/>
        <w:ind w:left="0" w:leftChars="0" w:firstLine="420" w:firstLineChars="0"/>
        <w:jc w:val="left"/>
        <w:textAlignment w:val="auto"/>
        <w:outlineLvl w:val="2"/>
        <w:rPr>
          <w:rFonts w:hint="eastAsia"/>
          <w:kern w:val="0"/>
          <w:sz w:val="28"/>
          <w:szCs w:val="28"/>
        </w:rPr>
      </w:pPr>
      <w:r>
        <w:rPr>
          <w:rFonts w:hint="eastAsia"/>
          <w:kern w:val="0"/>
          <w:sz w:val="28"/>
          <w:szCs w:val="28"/>
        </w:rPr>
        <w:t>投标人基本情况表</w:t>
      </w:r>
    </w:p>
    <w:tbl>
      <w:tblPr>
        <w:tblStyle w:val="2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10"/>
        <w:gridCol w:w="480"/>
        <w:gridCol w:w="735"/>
        <w:gridCol w:w="771"/>
        <w:gridCol w:w="560"/>
        <w:gridCol w:w="364"/>
        <w:gridCol w:w="925"/>
        <w:gridCol w:w="251"/>
        <w:gridCol w:w="474"/>
        <w:gridCol w:w="499"/>
        <w:gridCol w:w="624"/>
        <w:gridCol w:w="1741"/>
      </w:tblGrid>
      <w:tr w14:paraId="29E948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710" w:type="dxa"/>
            <w:noWrap/>
            <w:vAlign w:val="center"/>
          </w:tcPr>
          <w:p w14:paraId="58DCF5F8">
            <w:pPr>
              <w:tabs>
                <w:tab w:val="left" w:pos="4680"/>
              </w:tabs>
              <w:jc w:val="center"/>
              <w:rPr>
                <w:rFonts w:ascii="宋体" w:hAnsi="宋体"/>
                <w:sz w:val="24"/>
                <w:szCs w:val="24"/>
              </w:rPr>
            </w:pPr>
            <w:r>
              <w:rPr>
                <w:rFonts w:ascii="宋体" w:hAnsi="宋体"/>
                <w:sz w:val="24"/>
                <w:szCs w:val="24"/>
              </w:rPr>
              <w:t>投标人名称</w:t>
            </w:r>
          </w:p>
        </w:tc>
        <w:tc>
          <w:tcPr>
            <w:tcW w:w="7424" w:type="dxa"/>
            <w:gridSpan w:val="11"/>
            <w:noWrap/>
            <w:vAlign w:val="center"/>
          </w:tcPr>
          <w:p w14:paraId="20D561AA">
            <w:pPr>
              <w:tabs>
                <w:tab w:val="left" w:pos="4680"/>
              </w:tabs>
              <w:jc w:val="center"/>
              <w:rPr>
                <w:rFonts w:ascii="宋体" w:hAnsi="宋体"/>
                <w:sz w:val="24"/>
                <w:szCs w:val="24"/>
              </w:rPr>
            </w:pPr>
          </w:p>
        </w:tc>
      </w:tr>
      <w:tr w14:paraId="74EFF1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9134" w:type="dxa"/>
            <w:gridSpan w:val="12"/>
            <w:noWrap/>
            <w:vAlign w:val="center"/>
          </w:tcPr>
          <w:p w14:paraId="29B172DA">
            <w:pPr>
              <w:tabs>
                <w:tab w:val="left" w:pos="4680"/>
              </w:tabs>
              <w:jc w:val="center"/>
              <w:rPr>
                <w:rFonts w:ascii="宋体" w:hAnsi="宋体"/>
                <w:sz w:val="24"/>
                <w:szCs w:val="24"/>
              </w:rPr>
            </w:pPr>
            <w:r>
              <w:rPr>
                <w:rFonts w:ascii="宋体" w:hAnsi="宋体"/>
                <w:sz w:val="24"/>
                <w:szCs w:val="24"/>
              </w:rPr>
              <w:t>营业执照</w:t>
            </w:r>
          </w:p>
        </w:tc>
      </w:tr>
      <w:tr w14:paraId="06D295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710" w:type="dxa"/>
            <w:noWrap/>
            <w:vAlign w:val="center"/>
          </w:tcPr>
          <w:p w14:paraId="42D09D07">
            <w:pPr>
              <w:tabs>
                <w:tab w:val="left" w:pos="4680"/>
              </w:tabs>
              <w:jc w:val="center"/>
              <w:rPr>
                <w:rFonts w:ascii="宋体" w:hAnsi="宋体"/>
                <w:sz w:val="24"/>
                <w:szCs w:val="24"/>
              </w:rPr>
            </w:pPr>
            <w:r>
              <w:rPr>
                <w:rFonts w:ascii="宋体" w:hAnsi="宋体"/>
                <w:sz w:val="24"/>
                <w:szCs w:val="24"/>
              </w:rPr>
              <w:t>营业执照编号</w:t>
            </w:r>
          </w:p>
        </w:tc>
        <w:tc>
          <w:tcPr>
            <w:tcW w:w="2910" w:type="dxa"/>
            <w:gridSpan w:val="5"/>
            <w:noWrap/>
            <w:vAlign w:val="center"/>
          </w:tcPr>
          <w:p w14:paraId="1999283C">
            <w:pPr>
              <w:tabs>
                <w:tab w:val="left" w:pos="4680"/>
              </w:tabs>
              <w:jc w:val="center"/>
              <w:rPr>
                <w:rFonts w:ascii="宋体" w:hAnsi="宋体"/>
                <w:sz w:val="24"/>
                <w:szCs w:val="24"/>
              </w:rPr>
            </w:pPr>
          </w:p>
        </w:tc>
        <w:tc>
          <w:tcPr>
            <w:tcW w:w="1176" w:type="dxa"/>
            <w:gridSpan w:val="2"/>
            <w:noWrap/>
            <w:vAlign w:val="center"/>
          </w:tcPr>
          <w:p w14:paraId="65C2E340">
            <w:pPr>
              <w:tabs>
                <w:tab w:val="left" w:pos="4680"/>
              </w:tabs>
              <w:jc w:val="center"/>
              <w:rPr>
                <w:rFonts w:ascii="宋体" w:hAnsi="宋体"/>
                <w:sz w:val="24"/>
                <w:szCs w:val="24"/>
              </w:rPr>
            </w:pPr>
            <w:r>
              <w:rPr>
                <w:rFonts w:ascii="宋体" w:hAnsi="宋体"/>
                <w:sz w:val="24"/>
                <w:szCs w:val="24"/>
              </w:rPr>
              <w:t>注册资金</w:t>
            </w:r>
          </w:p>
        </w:tc>
        <w:tc>
          <w:tcPr>
            <w:tcW w:w="3338" w:type="dxa"/>
            <w:gridSpan w:val="4"/>
            <w:noWrap/>
            <w:vAlign w:val="center"/>
          </w:tcPr>
          <w:p w14:paraId="63BB5168">
            <w:pPr>
              <w:tabs>
                <w:tab w:val="left" w:pos="4680"/>
              </w:tabs>
              <w:jc w:val="center"/>
              <w:rPr>
                <w:rFonts w:ascii="宋体" w:hAnsi="宋体"/>
                <w:sz w:val="24"/>
                <w:szCs w:val="24"/>
              </w:rPr>
            </w:pPr>
          </w:p>
        </w:tc>
      </w:tr>
      <w:tr w14:paraId="5EDC15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710" w:type="dxa"/>
            <w:noWrap/>
            <w:vAlign w:val="center"/>
          </w:tcPr>
          <w:p w14:paraId="3B3B886F">
            <w:pPr>
              <w:tabs>
                <w:tab w:val="left" w:pos="4680"/>
              </w:tabs>
              <w:jc w:val="center"/>
              <w:rPr>
                <w:rFonts w:ascii="宋体" w:hAnsi="宋体"/>
                <w:sz w:val="24"/>
                <w:szCs w:val="24"/>
              </w:rPr>
            </w:pPr>
            <w:r>
              <w:rPr>
                <w:rFonts w:ascii="宋体" w:hAnsi="宋体"/>
                <w:sz w:val="24"/>
                <w:szCs w:val="24"/>
              </w:rPr>
              <w:t>成立时间</w:t>
            </w:r>
          </w:p>
        </w:tc>
        <w:tc>
          <w:tcPr>
            <w:tcW w:w="2910" w:type="dxa"/>
            <w:gridSpan w:val="5"/>
            <w:noWrap/>
            <w:vAlign w:val="center"/>
          </w:tcPr>
          <w:p w14:paraId="632E9958">
            <w:pPr>
              <w:tabs>
                <w:tab w:val="left" w:pos="4680"/>
              </w:tabs>
              <w:jc w:val="center"/>
              <w:rPr>
                <w:rFonts w:ascii="宋体" w:hAnsi="宋体"/>
                <w:sz w:val="24"/>
                <w:szCs w:val="24"/>
              </w:rPr>
            </w:pPr>
          </w:p>
        </w:tc>
        <w:tc>
          <w:tcPr>
            <w:tcW w:w="1176" w:type="dxa"/>
            <w:gridSpan w:val="2"/>
            <w:noWrap/>
            <w:vAlign w:val="center"/>
          </w:tcPr>
          <w:p w14:paraId="7C4F1ECE">
            <w:pPr>
              <w:tabs>
                <w:tab w:val="left" w:pos="4680"/>
              </w:tabs>
              <w:jc w:val="center"/>
              <w:rPr>
                <w:rFonts w:ascii="宋体" w:hAnsi="宋体"/>
                <w:sz w:val="24"/>
                <w:szCs w:val="24"/>
              </w:rPr>
            </w:pPr>
            <w:r>
              <w:rPr>
                <w:rFonts w:ascii="宋体" w:hAnsi="宋体"/>
                <w:sz w:val="24"/>
                <w:szCs w:val="24"/>
              </w:rPr>
              <w:t>注册地址</w:t>
            </w:r>
          </w:p>
        </w:tc>
        <w:tc>
          <w:tcPr>
            <w:tcW w:w="3338" w:type="dxa"/>
            <w:gridSpan w:val="4"/>
            <w:noWrap/>
            <w:vAlign w:val="center"/>
          </w:tcPr>
          <w:p w14:paraId="5D6FB618">
            <w:pPr>
              <w:tabs>
                <w:tab w:val="left" w:pos="4680"/>
              </w:tabs>
              <w:jc w:val="center"/>
              <w:rPr>
                <w:rFonts w:ascii="宋体" w:hAnsi="宋体"/>
                <w:sz w:val="24"/>
                <w:szCs w:val="24"/>
              </w:rPr>
            </w:pPr>
          </w:p>
        </w:tc>
      </w:tr>
      <w:tr w14:paraId="384D68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710" w:type="dxa"/>
            <w:noWrap/>
            <w:vAlign w:val="center"/>
          </w:tcPr>
          <w:p w14:paraId="40695509">
            <w:pPr>
              <w:tabs>
                <w:tab w:val="left" w:pos="4680"/>
              </w:tabs>
              <w:jc w:val="center"/>
              <w:rPr>
                <w:rFonts w:ascii="宋体" w:hAnsi="宋体"/>
                <w:sz w:val="24"/>
                <w:szCs w:val="24"/>
              </w:rPr>
            </w:pPr>
            <w:r>
              <w:rPr>
                <w:rFonts w:hint="eastAsia" w:ascii="宋体" w:hAnsi="宋体"/>
                <w:sz w:val="24"/>
                <w:szCs w:val="24"/>
                <w:lang w:eastAsia="zh-CN"/>
              </w:rPr>
              <w:t>联系电话</w:t>
            </w:r>
          </w:p>
        </w:tc>
        <w:tc>
          <w:tcPr>
            <w:tcW w:w="2910" w:type="dxa"/>
            <w:gridSpan w:val="5"/>
            <w:noWrap/>
            <w:vAlign w:val="center"/>
          </w:tcPr>
          <w:p w14:paraId="0107FC18">
            <w:pPr>
              <w:tabs>
                <w:tab w:val="left" w:pos="4680"/>
              </w:tabs>
              <w:jc w:val="center"/>
              <w:rPr>
                <w:rFonts w:ascii="宋体" w:hAnsi="宋体"/>
                <w:sz w:val="24"/>
                <w:szCs w:val="24"/>
              </w:rPr>
            </w:pPr>
          </w:p>
        </w:tc>
        <w:tc>
          <w:tcPr>
            <w:tcW w:w="1176" w:type="dxa"/>
            <w:gridSpan w:val="2"/>
            <w:noWrap/>
            <w:vAlign w:val="center"/>
          </w:tcPr>
          <w:p w14:paraId="72F8DC0D">
            <w:pPr>
              <w:tabs>
                <w:tab w:val="left" w:pos="4680"/>
              </w:tabs>
              <w:jc w:val="center"/>
              <w:rPr>
                <w:rFonts w:ascii="宋体" w:hAnsi="宋体"/>
                <w:sz w:val="24"/>
                <w:szCs w:val="24"/>
              </w:rPr>
            </w:pPr>
            <w:r>
              <w:rPr>
                <w:rFonts w:ascii="宋体" w:hAnsi="宋体"/>
                <w:sz w:val="24"/>
                <w:szCs w:val="24"/>
              </w:rPr>
              <w:t>企业性质</w:t>
            </w:r>
          </w:p>
        </w:tc>
        <w:tc>
          <w:tcPr>
            <w:tcW w:w="3338" w:type="dxa"/>
            <w:gridSpan w:val="4"/>
            <w:noWrap/>
            <w:vAlign w:val="center"/>
          </w:tcPr>
          <w:p w14:paraId="5A654E65">
            <w:pPr>
              <w:tabs>
                <w:tab w:val="left" w:pos="4680"/>
              </w:tabs>
              <w:jc w:val="center"/>
              <w:rPr>
                <w:rFonts w:ascii="宋体" w:hAnsi="宋体"/>
                <w:sz w:val="24"/>
                <w:szCs w:val="24"/>
              </w:rPr>
            </w:pPr>
          </w:p>
        </w:tc>
      </w:tr>
      <w:tr w14:paraId="6C5CA4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710" w:type="dxa"/>
            <w:noWrap/>
            <w:vAlign w:val="center"/>
          </w:tcPr>
          <w:p w14:paraId="1D3F915E">
            <w:pPr>
              <w:tabs>
                <w:tab w:val="left" w:pos="4680"/>
              </w:tabs>
              <w:jc w:val="center"/>
              <w:rPr>
                <w:rFonts w:hint="eastAsia" w:ascii="宋体" w:hAnsi="宋体" w:eastAsia="宋体"/>
                <w:sz w:val="24"/>
                <w:szCs w:val="24"/>
                <w:lang w:eastAsia="zh-CN"/>
              </w:rPr>
            </w:pPr>
            <w:r>
              <w:rPr>
                <w:rFonts w:hint="eastAsia" w:ascii="宋体" w:hAnsi="宋体"/>
                <w:sz w:val="24"/>
                <w:szCs w:val="24"/>
                <w:lang w:eastAsia="zh-CN"/>
              </w:rPr>
              <w:t>企业邮箱</w:t>
            </w:r>
          </w:p>
        </w:tc>
        <w:tc>
          <w:tcPr>
            <w:tcW w:w="2910" w:type="dxa"/>
            <w:gridSpan w:val="5"/>
            <w:noWrap/>
            <w:vAlign w:val="center"/>
          </w:tcPr>
          <w:p w14:paraId="5000CCD3">
            <w:pPr>
              <w:tabs>
                <w:tab w:val="left" w:pos="4680"/>
              </w:tabs>
              <w:jc w:val="center"/>
              <w:rPr>
                <w:rFonts w:ascii="宋体" w:hAnsi="宋体"/>
                <w:sz w:val="24"/>
                <w:szCs w:val="24"/>
              </w:rPr>
            </w:pPr>
          </w:p>
        </w:tc>
        <w:tc>
          <w:tcPr>
            <w:tcW w:w="1176" w:type="dxa"/>
            <w:gridSpan w:val="2"/>
            <w:noWrap/>
            <w:vAlign w:val="center"/>
          </w:tcPr>
          <w:p w14:paraId="12E70E80">
            <w:pPr>
              <w:tabs>
                <w:tab w:val="left" w:pos="4680"/>
              </w:tabs>
              <w:jc w:val="center"/>
              <w:rPr>
                <w:rFonts w:hint="eastAsia" w:ascii="宋体" w:hAnsi="宋体" w:eastAsia="宋体"/>
                <w:sz w:val="24"/>
                <w:szCs w:val="24"/>
                <w:lang w:eastAsia="zh-CN"/>
              </w:rPr>
            </w:pPr>
            <w:r>
              <w:rPr>
                <w:rFonts w:hint="eastAsia" w:ascii="宋体" w:hAnsi="宋体"/>
                <w:sz w:val="24"/>
                <w:szCs w:val="24"/>
                <w:lang w:eastAsia="zh-CN"/>
              </w:rPr>
              <w:t>企业网址</w:t>
            </w:r>
          </w:p>
        </w:tc>
        <w:tc>
          <w:tcPr>
            <w:tcW w:w="3338" w:type="dxa"/>
            <w:gridSpan w:val="4"/>
            <w:noWrap/>
            <w:vAlign w:val="center"/>
          </w:tcPr>
          <w:p w14:paraId="4483C713">
            <w:pPr>
              <w:tabs>
                <w:tab w:val="left" w:pos="4680"/>
              </w:tabs>
              <w:jc w:val="center"/>
              <w:rPr>
                <w:rFonts w:ascii="宋体" w:hAnsi="宋体"/>
                <w:sz w:val="24"/>
                <w:szCs w:val="24"/>
              </w:rPr>
            </w:pPr>
          </w:p>
        </w:tc>
      </w:tr>
      <w:tr w14:paraId="5F72EF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710" w:type="dxa"/>
            <w:noWrap/>
            <w:vAlign w:val="center"/>
          </w:tcPr>
          <w:p w14:paraId="60453395">
            <w:pPr>
              <w:tabs>
                <w:tab w:val="left" w:pos="4680"/>
              </w:tabs>
              <w:jc w:val="center"/>
              <w:rPr>
                <w:rFonts w:ascii="宋体" w:hAnsi="宋体"/>
                <w:sz w:val="24"/>
                <w:szCs w:val="24"/>
              </w:rPr>
            </w:pPr>
            <w:r>
              <w:rPr>
                <w:rFonts w:ascii="宋体" w:hAnsi="宋体"/>
                <w:sz w:val="24"/>
                <w:szCs w:val="24"/>
              </w:rPr>
              <w:t>经营范围</w:t>
            </w:r>
          </w:p>
        </w:tc>
        <w:tc>
          <w:tcPr>
            <w:tcW w:w="7424" w:type="dxa"/>
            <w:gridSpan w:val="11"/>
            <w:noWrap/>
            <w:vAlign w:val="center"/>
          </w:tcPr>
          <w:p w14:paraId="763195C9">
            <w:pPr>
              <w:tabs>
                <w:tab w:val="left" w:pos="4680"/>
              </w:tabs>
              <w:jc w:val="center"/>
              <w:rPr>
                <w:rFonts w:ascii="宋体" w:hAnsi="宋体"/>
                <w:sz w:val="24"/>
                <w:szCs w:val="24"/>
              </w:rPr>
            </w:pPr>
          </w:p>
        </w:tc>
      </w:tr>
      <w:tr w14:paraId="2FFB1A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9134" w:type="dxa"/>
            <w:gridSpan w:val="12"/>
            <w:noWrap/>
            <w:vAlign w:val="center"/>
          </w:tcPr>
          <w:p w14:paraId="7C43AE0D">
            <w:pPr>
              <w:tabs>
                <w:tab w:val="left" w:pos="4680"/>
              </w:tabs>
              <w:jc w:val="center"/>
              <w:rPr>
                <w:rFonts w:ascii="宋体" w:hAnsi="宋体"/>
                <w:sz w:val="24"/>
                <w:szCs w:val="24"/>
              </w:rPr>
            </w:pPr>
            <w:r>
              <w:rPr>
                <w:rFonts w:ascii="宋体" w:hAnsi="宋体"/>
                <w:sz w:val="24"/>
                <w:szCs w:val="24"/>
              </w:rPr>
              <w:t>领导层构成情况</w:t>
            </w:r>
          </w:p>
        </w:tc>
      </w:tr>
      <w:tr w14:paraId="73A094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710" w:type="dxa"/>
            <w:noWrap/>
            <w:vAlign w:val="center"/>
          </w:tcPr>
          <w:p w14:paraId="664723BB">
            <w:pPr>
              <w:tabs>
                <w:tab w:val="left" w:pos="4680"/>
              </w:tabs>
              <w:jc w:val="center"/>
              <w:rPr>
                <w:rFonts w:ascii="宋体" w:hAnsi="宋体"/>
                <w:sz w:val="24"/>
                <w:szCs w:val="24"/>
              </w:rPr>
            </w:pPr>
          </w:p>
        </w:tc>
        <w:tc>
          <w:tcPr>
            <w:tcW w:w="1986" w:type="dxa"/>
            <w:gridSpan w:val="3"/>
            <w:noWrap/>
            <w:vAlign w:val="center"/>
          </w:tcPr>
          <w:p w14:paraId="3D81E859">
            <w:pPr>
              <w:tabs>
                <w:tab w:val="left" w:pos="4680"/>
              </w:tabs>
              <w:jc w:val="center"/>
              <w:rPr>
                <w:rFonts w:ascii="宋体" w:hAnsi="宋体"/>
                <w:sz w:val="24"/>
                <w:szCs w:val="24"/>
              </w:rPr>
            </w:pPr>
            <w:r>
              <w:rPr>
                <w:rFonts w:ascii="宋体" w:hAnsi="宋体"/>
                <w:sz w:val="24"/>
                <w:szCs w:val="24"/>
              </w:rPr>
              <w:t>姓名</w:t>
            </w:r>
          </w:p>
        </w:tc>
        <w:tc>
          <w:tcPr>
            <w:tcW w:w="1849" w:type="dxa"/>
            <w:gridSpan w:val="3"/>
            <w:noWrap/>
            <w:vAlign w:val="center"/>
          </w:tcPr>
          <w:p w14:paraId="54FFF276">
            <w:pPr>
              <w:tabs>
                <w:tab w:val="left" w:pos="4680"/>
              </w:tabs>
              <w:jc w:val="center"/>
              <w:rPr>
                <w:rFonts w:ascii="宋体" w:hAnsi="宋体"/>
                <w:sz w:val="24"/>
                <w:szCs w:val="24"/>
              </w:rPr>
            </w:pPr>
            <w:r>
              <w:rPr>
                <w:rFonts w:hint="eastAsia" w:ascii="宋体" w:hAnsi="宋体"/>
                <w:sz w:val="24"/>
                <w:szCs w:val="24"/>
              </w:rPr>
              <w:t>出生年月</w:t>
            </w:r>
          </w:p>
        </w:tc>
        <w:tc>
          <w:tcPr>
            <w:tcW w:w="1848" w:type="dxa"/>
            <w:gridSpan w:val="4"/>
            <w:noWrap/>
            <w:vAlign w:val="center"/>
          </w:tcPr>
          <w:p w14:paraId="2A29FAEA">
            <w:pPr>
              <w:tabs>
                <w:tab w:val="left" w:pos="4680"/>
              </w:tabs>
              <w:jc w:val="center"/>
              <w:rPr>
                <w:rFonts w:ascii="宋体" w:hAnsi="宋体"/>
                <w:sz w:val="24"/>
                <w:szCs w:val="24"/>
              </w:rPr>
            </w:pPr>
            <w:r>
              <w:rPr>
                <w:rFonts w:ascii="宋体" w:hAnsi="宋体"/>
                <w:sz w:val="24"/>
                <w:szCs w:val="24"/>
              </w:rPr>
              <w:t>职称</w:t>
            </w:r>
          </w:p>
        </w:tc>
        <w:tc>
          <w:tcPr>
            <w:tcW w:w="1741" w:type="dxa"/>
            <w:noWrap/>
            <w:vAlign w:val="center"/>
          </w:tcPr>
          <w:p w14:paraId="31310B93">
            <w:pPr>
              <w:tabs>
                <w:tab w:val="left" w:pos="4680"/>
              </w:tabs>
              <w:jc w:val="center"/>
              <w:rPr>
                <w:rFonts w:ascii="宋体" w:hAnsi="宋体"/>
                <w:sz w:val="24"/>
                <w:szCs w:val="24"/>
              </w:rPr>
            </w:pPr>
            <w:r>
              <w:rPr>
                <w:rFonts w:ascii="宋体" w:hAnsi="宋体"/>
                <w:sz w:val="24"/>
                <w:szCs w:val="24"/>
              </w:rPr>
              <w:t>联系电话</w:t>
            </w:r>
          </w:p>
        </w:tc>
      </w:tr>
      <w:tr w14:paraId="37842D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710" w:type="dxa"/>
            <w:noWrap/>
            <w:vAlign w:val="center"/>
          </w:tcPr>
          <w:p w14:paraId="21F38D69">
            <w:pPr>
              <w:tabs>
                <w:tab w:val="left" w:pos="4680"/>
              </w:tabs>
              <w:jc w:val="center"/>
              <w:rPr>
                <w:rFonts w:ascii="宋体" w:hAnsi="宋体"/>
                <w:sz w:val="24"/>
                <w:szCs w:val="24"/>
              </w:rPr>
            </w:pPr>
            <w:r>
              <w:rPr>
                <w:rFonts w:ascii="宋体" w:hAnsi="宋体"/>
                <w:sz w:val="24"/>
                <w:szCs w:val="24"/>
              </w:rPr>
              <w:t>法定代表人</w:t>
            </w:r>
          </w:p>
        </w:tc>
        <w:tc>
          <w:tcPr>
            <w:tcW w:w="1986" w:type="dxa"/>
            <w:gridSpan w:val="3"/>
            <w:noWrap/>
            <w:vAlign w:val="center"/>
          </w:tcPr>
          <w:p w14:paraId="2F43F8B3">
            <w:pPr>
              <w:tabs>
                <w:tab w:val="left" w:pos="4680"/>
              </w:tabs>
              <w:jc w:val="center"/>
              <w:rPr>
                <w:rFonts w:ascii="宋体" w:hAnsi="宋体"/>
                <w:sz w:val="24"/>
                <w:szCs w:val="24"/>
              </w:rPr>
            </w:pPr>
          </w:p>
        </w:tc>
        <w:tc>
          <w:tcPr>
            <w:tcW w:w="1849" w:type="dxa"/>
            <w:gridSpan w:val="3"/>
            <w:noWrap/>
            <w:vAlign w:val="center"/>
          </w:tcPr>
          <w:p w14:paraId="1E2A39C2">
            <w:pPr>
              <w:tabs>
                <w:tab w:val="left" w:pos="4680"/>
              </w:tabs>
              <w:jc w:val="center"/>
              <w:rPr>
                <w:rFonts w:ascii="宋体" w:hAnsi="宋体"/>
                <w:sz w:val="24"/>
                <w:szCs w:val="24"/>
              </w:rPr>
            </w:pPr>
          </w:p>
        </w:tc>
        <w:tc>
          <w:tcPr>
            <w:tcW w:w="1848" w:type="dxa"/>
            <w:gridSpan w:val="4"/>
            <w:noWrap/>
            <w:vAlign w:val="center"/>
          </w:tcPr>
          <w:p w14:paraId="7C3C0747">
            <w:pPr>
              <w:tabs>
                <w:tab w:val="left" w:pos="4680"/>
              </w:tabs>
              <w:jc w:val="center"/>
              <w:rPr>
                <w:rFonts w:ascii="宋体" w:hAnsi="宋体"/>
                <w:sz w:val="24"/>
                <w:szCs w:val="24"/>
              </w:rPr>
            </w:pPr>
          </w:p>
        </w:tc>
        <w:tc>
          <w:tcPr>
            <w:tcW w:w="1741" w:type="dxa"/>
            <w:noWrap/>
            <w:vAlign w:val="center"/>
          </w:tcPr>
          <w:p w14:paraId="35608960">
            <w:pPr>
              <w:tabs>
                <w:tab w:val="left" w:pos="4680"/>
              </w:tabs>
              <w:jc w:val="center"/>
              <w:rPr>
                <w:rFonts w:ascii="宋体" w:hAnsi="宋体"/>
                <w:sz w:val="24"/>
                <w:szCs w:val="24"/>
              </w:rPr>
            </w:pPr>
          </w:p>
        </w:tc>
      </w:tr>
      <w:tr w14:paraId="1617CF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710" w:type="dxa"/>
            <w:noWrap/>
            <w:vAlign w:val="center"/>
          </w:tcPr>
          <w:p w14:paraId="337FA943">
            <w:pPr>
              <w:tabs>
                <w:tab w:val="left" w:pos="4680"/>
              </w:tabs>
              <w:jc w:val="center"/>
              <w:rPr>
                <w:rFonts w:ascii="宋体" w:hAnsi="宋体"/>
                <w:sz w:val="24"/>
                <w:szCs w:val="24"/>
              </w:rPr>
            </w:pPr>
            <w:r>
              <w:rPr>
                <w:rFonts w:ascii="宋体" w:hAnsi="宋体"/>
                <w:sz w:val="24"/>
                <w:szCs w:val="24"/>
              </w:rPr>
              <w:t>企业负责人</w:t>
            </w:r>
          </w:p>
        </w:tc>
        <w:tc>
          <w:tcPr>
            <w:tcW w:w="1986" w:type="dxa"/>
            <w:gridSpan w:val="3"/>
            <w:noWrap/>
            <w:vAlign w:val="center"/>
          </w:tcPr>
          <w:p w14:paraId="4C69756A">
            <w:pPr>
              <w:tabs>
                <w:tab w:val="left" w:pos="4680"/>
              </w:tabs>
              <w:jc w:val="center"/>
              <w:rPr>
                <w:rFonts w:ascii="宋体" w:hAnsi="宋体"/>
                <w:sz w:val="24"/>
                <w:szCs w:val="24"/>
              </w:rPr>
            </w:pPr>
          </w:p>
        </w:tc>
        <w:tc>
          <w:tcPr>
            <w:tcW w:w="1849" w:type="dxa"/>
            <w:gridSpan w:val="3"/>
            <w:noWrap/>
            <w:vAlign w:val="center"/>
          </w:tcPr>
          <w:p w14:paraId="65DC7091">
            <w:pPr>
              <w:tabs>
                <w:tab w:val="left" w:pos="4680"/>
              </w:tabs>
              <w:jc w:val="center"/>
              <w:rPr>
                <w:rFonts w:ascii="宋体" w:hAnsi="宋体"/>
                <w:sz w:val="24"/>
                <w:szCs w:val="24"/>
              </w:rPr>
            </w:pPr>
          </w:p>
        </w:tc>
        <w:tc>
          <w:tcPr>
            <w:tcW w:w="1848" w:type="dxa"/>
            <w:gridSpan w:val="4"/>
            <w:noWrap/>
            <w:vAlign w:val="center"/>
          </w:tcPr>
          <w:p w14:paraId="5D1E8232">
            <w:pPr>
              <w:tabs>
                <w:tab w:val="left" w:pos="4680"/>
              </w:tabs>
              <w:jc w:val="center"/>
              <w:rPr>
                <w:rFonts w:ascii="宋体" w:hAnsi="宋体"/>
                <w:sz w:val="24"/>
                <w:szCs w:val="24"/>
              </w:rPr>
            </w:pPr>
          </w:p>
        </w:tc>
        <w:tc>
          <w:tcPr>
            <w:tcW w:w="1741" w:type="dxa"/>
            <w:noWrap/>
            <w:vAlign w:val="center"/>
          </w:tcPr>
          <w:p w14:paraId="10C2A365">
            <w:pPr>
              <w:tabs>
                <w:tab w:val="left" w:pos="4680"/>
              </w:tabs>
              <w:jc w:val="center"/>
              <w:rPr>
                <w:rFonts w:ascii="宋体" w:hAnsi="宋体"/>
                <w:sz w:val="24"/>
                <w:szCs w:val="24"/>
              </w:rPr>
            </w:pPr>
          </w:p>
        </w:tc>
      </w:tr>
      <w:tr w14:paraId="503AF2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9134" w:type="dxa"/>
            <w:gridSpan w:val="12"/>
            <w:noWrap/>
            <w:vAlign w:val="center"/>
          </w:tcPr>
          <w:p w14:paraId="510AA3C4">
            <w:pPr>
              <w:tabs>
                <w:tab w:val="left" w:pos="4680"/>
              </w:tabs>
              <w:jc w:val="center"/>
              <w:rPr>
                <w:rFonts w:ascii="宋体" w:hAnsi="宋体"/>
                <w:sz w:val="24"/>
                <w:szCs w:val="24"/>
              </w:rPr>
            </w:pPr>
            <w:r>
              <w:rPr>
                <w:rFonts w:ascii="宋体" w:hAnsi="宋体"/>
                <w:sz w:val="24"/>
                <w:szCs w:val="24"/>
              </w:rPr>
              <w:t>人员职称构成情况</w:t>
            </w:r>
          </w:p>
        </w:tc>
      </w:tr>
      <w:tr w14:paraId="170A63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710" w:type="dxa"/>
            <w:noWrap/>
            <w:vAlign w:val="center"/>
          </w:tcPr>
          <w:p w14:paraId="7720E9CD">
            <w:pPr>
              <w:tabs>
                <w:tab w:val="left" w:pos="4680"/>
              </w:tabs>
              <w:jc w:val="center"/>
              <w:rPr>
                <w:rFonts w:ascii="宋体" w:hAnsi="宋体"/>
                <w:sz w:val="24"/>
                <w:szCs w:val="24"/>
              </w:rPr>
            </w:pPr>
            <w:r>
              <w:rPr>
                <w:rFonts w:ascii="宋体" w:hAnsi="宋体"/>
                <w:sz w:val="24"/>
                <w:szCs w:val="24"/>
              </w:rPr>
              <w:t>人员总数</w:t>
            </w:r>
          </w:p>
        </w:tc>
        <w:tc>
          <w:tcPr>
            <w:tcW w:w="1986" w:type="dxa"/>
            <w:gridSpan w:val="3"/>
            <w:noWrap/>
            <w:vAlign w:val="center"/>
          </w:tcPr>
          <w:p w14:paraId="255265D0">
            <w:pPr>
              <w:tabs>
                <w:tab w:val="left" w:pos="4680"/>
              </w:tabs>
              <w:jc w:val="center"/>
              <w:rPr>
                <w:rFonts w:ascii="宋体" w:hAnsi="宋体"/>
                <w:sz w:val="24"/>
                <w:szCs w:val="24"/>
              </w:rPr>
            </w:pPr>
            <w:r>
              <w:rPr>
                <w:rFonts w:ascii="宋体" w:hAnsi="宋体"/>
                <w:sz w:val="24"/>
                <w:szCs w:val="24"/>
              </w:rPr>
              <w:t>高级职称</w:t>
            </w:r>
          </w:p>
        </w:tc>
        <w:tc>
          <w:tcPr>
            <w:tcW w:w="1849" w:type="dxa"/>
            <w:gridSpan w:val="3"/>
            <w:noWrap/>
            <w:vAlign w:val="center"/>
          </w:tcPr>
          <w:p w14:paraId="07B8727C">
            <w:pPr>
              <w:tabs>
                <w:tab w:val="left" w:pos="4680"/>
              </w:tabs>
              <w:jc w:val="center"/>
              <w:rPr>
                <w:rFonts w:ascii="宋体" w:hAnsi="宋体"/>
                <w:sz w:val="24"/>
                <w:szCs w:val="24"/>
              </w:rPr>
            </w:pPr>
            <w:r>
              <w:rPr>
                <w:rFonts w:ascii="宋体" w:hAnsi="宋体"/>
                <w:sz w:val="24"/>
                <w:szCs w:val="24"/>
              </w:rPr>
              <w:t>中级职称</w:t>
            </w:r>
          </w:p>
        </w:tc>
        <w:tc>
          <w:tcPr>
            <w:tcW w:w="1848" w:type="dxa"/>
            <w:gridSpan w:val="4"/>
            <w:noWrap/>
            <w:vAlign w:val="center"/>
          </w:tcPr>
          <w:p w14:paraId="1C42B19B">
            <w:pPr>
              <w:tabs>
                <w:tab w:val="left" w:pos="4680"/>
              </w:tabs>
              <w:jc w:val="center"/>
              <w:rPr>
                <w:rFonts w:ascii="宋体" w:hAnsi="宋体"/>
                <w:sz w:val="24"/>
                <w:szCs w:val="24"/>
              </w:rPr>
            </w:pPr>
            <w:r>
              <w:rPr>
                <w:rFonts w:ascii="宋体" w:hAnsi="宋体"/>
                <w:sz w:val="24"/>
                <w:szCs w:val="24"/>
              </w:rPr>
              <w:t>初级职称</w:t>
            </w:r>
          </w:p>
        </w:tc>
        <w:tc>
          <w:tcPr>
            <w:tcW w:w="1741" w:type="dxa"/>
            <w:noWrap/>
            <w:vAlign w:val="center"/>
          </w:tcPr>
          <w:p w14:paraId="6760814B">
            <w:pPr>
              <w:tabs>
                <w:tab w:val="left" w:pos="4680"/>
              </w:tabs>
              <w:jc w:val="center"/>
              <w:rPr>
                <w:rFonts w:ascii="宋体" w:hAnsi="宋体"/>
                <w:sz w:val="24"/>
                <w:szCs w:val="24"/>
              </w:rPr>
            </w:pPr>
            <w:r>
              <w:rPr>
                <w:rFonts w:ascii="宋体" w:hAnsi="宋体"/>
                <w:sz w:val="24"/>
                <w:szCs w:val="24"/>
              </w:rPr>
              <w:t>其他</w:t>
            </w:r>
          </w:p>
        </w:tc>
      </w:tr>
      <w:tr w14:paraId="2D80B2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710" w:type="dxa"/>
            <w:vMerge w:val="restart"/>
            <w:noWrap/>
            <w:vAlign w:val="center"/>
          </w:tcPr>
          <w:p w14:paraId="20849A0C">
            <w:pPr>
              <w:tabs>
                <w:tab w:val="left" w:pos="4680"/>
              </w:tabs>
              <w:jc w:val="center"/>
              <w:rPr>
                <w:rFonts w:ascii="宋体" w:hAnsi="宋体"/>
                <w:sz w:val="24"/>
                <w:szCs w:val="24"/>
              </w:rPr>
            </w:pPr>
          </w:p>
        </w:tc>
        <w:tc>
          <w:tcPr>
            <w:tcW w:w="1986" w:type="dxa"/>
            <w:gridSpan w:val="3"/>
            <w:noWrap/>
            <w:vAlign w:val="center"/>
          </w:tcPr>
          <w:p w14:paraId="0D986DC5">
            <w:pPr>
              <w:tabs>
                <w:tab w:val="left" w:pos="4680"/>
              </w:tabs>
              <w:jc w:val="center"/>
              <w:rPr>
                <w:rFonts w:ascii="宋体" w:hAnsi="宋体"/>
                <w:sz w:val="24"/>
                <w:szCs w:val="24"/>
              </w:rPr>
            </w:pPr>
          </w:p>
        </w:tc>
        <w:tc>
          <w:tcPr>
            <w:tcW w:w="1849" w:type="dxa"/>
            <w:gridSpan w:val="3"/>
            <w:noWrap/>
            <w:vAlign w:val="center"/>
          </w:tcPr>
          <w:p w14:paraId="36BF851D">
            <w:pPr>
              <w:tabs>
                <w:tab w:val="left" w:pos="4680"/>
              </w:tabs>
              <w:jc w:val="center"/>
              <w:rPr>
                <w:rFonts w:ascii="宋体" w:hAnsi="宋体"/>
                <w:sz w:val="24"/>
                <w:szCs w:val="24"/>
              </w:rPr>
            </w:pPr>
          </w:p>
        </w:tc>
        <w:tc>
          <w:tcPr>
            <w:tcW w:w="1848" w:type="dxa"/>
            <w:gridSpan w:val="4"/>
            <w:noWrap/>
            <w:vAlign w:val="center"/>
          </w:tcPr>
          <w:p w14:paraId="60F23FF5">
            <w:pPr>
              <w:tabs>
                <w:tab w:val="left" w:pos="4680"/>
              </w:tabs>
              <w:jc w:val="center"/>
              <w:rPr>
                <w:rFonts w:ascii="宋体" w:hAnsi="宋体"/>
                <w:sz w:val="24"/>
                <w:szCs w:val="24"/>
              </w:rPr>
            </w:pPr>
          </w:p>
        </w:tc>
        <w:tc>
          <w:tcPr>
            <w:tcW w:w="1741" w:type="dxa"/>
            <w:noWrap/>
            <w:vAlign w:val="center"/>
          </w:tcPr>
          <w:p w14:paraId="79042A30">
            <w:pPr>
              <w:tabs>
                <w:tab w:val="left" w:pos="4680"/>
              </w:tabs>
              <w:jc w:val="center"/>
              <w:rPr>
                <w:rFonts w:ascii="宋体" w:hAnsi="宋体"/>
                <w:sz w:val="24"/>
                <w:szCs w:val="24"/>
              </w:rPr>
            </w:pPr>
          </w:p>
        </w:tc>
      </w:tr>
      <w:tr w14:paraId="1EA32B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710" w:type="dxa"/>
            <w:vMerge w:val="continue"/>
            <w:noWrap/>
            <w:vAlign w:val="center"/>
          </w:tcPr>
          <w:p w14:paraId="19EB3831">
            <w:pPr>
              <w:tabs>
                <w:tab w:val="left" w:pos="4680"/>
              </w:tabs>
              <w:jc w:val="center"/>
              <w:rPr>
                <w:rFonts w:ascii="宋体" w:hAnsi="宋体"/>
                <w:sz w:val="24"/>
                <w:szCs w:val="24"/>
              </w:rPr>
            </w:pPr>
          </w:p>
        </w:tc>
        <w:tc>
          <w:tcPr>
            <w:tcW w:w="2546" w:type="dxa"/>
            <w:gridSpan w:val="4"/>
            <w:noWrap/>
            <w:vAlign w:val="center"/>
          </w:tcPr>
          <w:p w14:paraId="30E4FE69">
            <w:pPr>
              <w:tabs>
                <w:tab w:val="left" w:pos="4680"/>
              </w:tabs>
              <w:jc w:val="center"/>
              <w:rPr>
                <w:rFonts w:ascii="宋体" w:hAnsi="宋体"/>
                <w:sz w:val="24"/>
                <w:szCs w:val="24"/>
              </w:rPr>
            </w:pPr>
            <w:r>
              <w:rPr>
                <w:rFonts w:ascii="宋体" w:hAnsi="宋体"/>
                <w:sz w:val="24"/>
                <w:szCs w:val="24"/>
              </w:rPr>
              <w:t>管理人员</w:t>
            </w:r>
          </w:p>
        </w:tc>
        <w:tc>
          <w:tcPr>
            <w:tcW w:w="2513" w:type="dxa"/>
            <w:gridSpan w:val="5"/>
            <w:noWrap/>
            <w:vAlign w:val="center"/>
          </w:tcPr>
          <w:p w14:paraId="2774BC37">
            <w:pPr>
              <w:tabs>
                <w:tab w:val="left" w:pos="4680"/>
              </w:tabs>
              <w:jc w:val="center"/>
              <w:rPr>
                <w:rFonts w:ascii="宋体" w:hAnsi="宋体"/>
                <w:sz w:val="24"/>
                <w:szCs w:val="24"/>
              </w:rPr>
            </w:pPr>
            <w:r>
              <w:rPr>
                <w:rFonts w:hint="eastAsia" w:ascii="宋体" w:hAnsi="宋体"/>
                <w:sz w:val="24"/>
                <w:szCs w:val="24"/>
                <w:lang w:val="en-US" w:eastAsia="zh-CN"/>
              </w:rPr>
              <w:t>技术</w:t>
            </w:r>
            <w:r>
              <w:rPr>
                <w:rFonts w:ascii="宋体" w:hAnsi="宋体"/>
                <w:sz w:val="24"/>
                <w:szCs w:val="24"/>
              </w:rPr>
              <w:t>人员</w:t>
            </w:r>
          </w:p>
        </w:tc>
        <w:tc>
          <w:tcPr>
            <w:tcW w:w="2365" w:type="dxa"/>
            <w:gridSpan w:val="2"/>
            <w:noWrap/>
            <w:vAlign w:val="center"/>
          </w:tcPr>
          <w:p w14:paraId="0C6B2B06">
            <w:pPr>
              <w:tabs>
                <w:tab w:val="left" w:pos="4680"/>
              </w:tabs>
              <w:jc w:val="center"/>
              <w:rPr>
                <w:rFonts w:ascii="宋体" w:hAnsi="宋体"/>
                <w:sz w:val="24"/>
                <w:szCs w:val="24"/>
              </w:rPr>
            </w:pPr>
            <w:r>
              <w:rPr>
                <w:rFonts w:ascii="宋体" w:hAnsi="宋体"/>
                <w:sz w:val="24"/>
                <w:szCs w:val="24"/>
              </w:rPr>
              <w:t>后勤人员</w:t>
            </w:r>
          </w:p>
        </w:tc>
      </w:tr>
      <w:tr w14:paraId="669329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710" w:type="dxa"/>
            <w:vMerge w:val="continue"/>
            <w:noWrap/>
            <w:vAlign w:val="center"/>
          </w:tcPr>
          <w:p w14:paraId="7234151B">
            <w:pPr>
              <w:tabs>
                <w:tab w:val="left" w:pos="4680"/>
              </w:tabs>
              <w:jc w:val="center"/>
              <w:rPr>
                <w:rFonts w:ascii="宋体" w:hAnsi="宋体"/>
                <w:sz w:val="24"/>
                <w:szCs w:val="24"/>
              </w:rPr>
            </w:pPr>
          </w:p>
        </w:tc>
        <w:tc>
          <w:tcPr>
            <w:tcW w:w="2546" w:type="dxa"/>
            <w:gridSpan w:val="4"/>
            <w:noWrap/>
            <w:vAlign w:val="center"/>
          </w:tcPr>
          <w:p w14:paraId="1A00D0DD">
            <w:pPr>
              <w:tabs>
                <w:tab w:val="left" w:pos="4680"/>
              </w:tabs>
              <w:jc w:val="center"/>
              <w:rPr>
                <w:rFonts w:ascii="宋体" w:hAnsi="宋体"/>
                <w:sz w:val="24"/>
                <w:szCs w:val="24"/>
              </w:rPr>
            </w:pPr>
          </w:p>
        </w:tc>
        <w:tc>
          <w:tcPr>
            <w:tcW w:w="2513" w:type="dxa"/>
            <w:gridSpan w:val="5"/>
            <w:noWrap/>
            <w:vAlign w:val="center"/>
          </w:tcPr>
          <w:p w14:paraId="627E44C9">
            <w:pPr>
              <w:tabs>
                <w:tab w:val="left" w:pos="4680"/>
              </w:tabs>
              <w:jc w:val="center"/>
              <w:rPr>
                <w:rFonts w:ascii="宋体" w:hAnsi="宋体"/>
                <w:sz w:val="24"/>
                <w:szCs w:val="24"/>
              </w:rPr>
            </w:pPr>
          </w:p>
        </w:tc>
        <w:tc>
          <w:tcPr>
            <w:tcW w:w="2365" w:type="dxa"/>
            <w:gridSpan w:val="2"/>
            <w:noWrap/>
            <w:vAlign w:val="center"/>
          </w:tcPr>
          <w:p w14:paraId="3C63EEE8">
            <w:pPr>
              <w:tabs>
                <w:tab w:val="left" w:pos="4680"/>
              </w:tabs>
              <w:jc w:val="center"/>
              <w:rPr>
                <w:rFonts w:ascii="宋体" w:hAnsi="宋体"/>
                <w:sz w:val="24"/>
                <w:szCs w:val="24"/>
              </w:rPr>
            </w:pPr>
          </w:p>
        </w:tc>
      </w:tr>
      <w:tr w14:paraId="7F8EAA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9134" w:type="dxa"/>
            <w:gridSpan w:val="12"/>
            <w:noWrap/>
            <w:vAlign w:val="center"/>
          </w:tcPr>
          <w:p w14:paraId="04F8CEB8">
            <w:pPr>
              <w:tabs>
                <w:tab w:val="left" w:pos="4680"/>
              </w:tabs>
              <w:jc w:val="center"/>
              <w:rPr>
                <w:rFonts w:ascii="宋体" w:hAnsi="宋体"/>
                <w:sz w:val="24"/>
                <w:szCs w:val="24"/>
              </w:rPr>
            </w:pPr>
            <w:r>
              <w:rPr>
                <w:rFonts w:ascii="宋体" w:hAnsi="宋体"/>
                <w:sz w:val="24"/>
                <w:szCs w:val="24"/>
              </w:rPr>
              <w:t>近年营业额情况（万元）</w:t>
            </w:r>
          </w:p>
        </w:tc>
      </w:tr>
      <w:tr w14:paraId="19037A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925" w:type="dxa"/>
            <w:gridSpan w:val="3"/>
            <w:noWrap/>
            <w:vAlign w:val="center"/>
          </w:tcPr>
          <w:p w14:paraId="3AB06EDE">
            <w:pPr>
              <w:tabs>
                <w:tab w:val="left" w:pos="4680"/>
              </w:tabs>
              <w:jc w:val="center"/>
              <w:rPr>
                <w:rFonts w:ascii="宋体" w:hAnsi="宋体"/>
                <w:sz w:val="24"/>
                <w:szCs w:val="24"/>
              </w:rPr>
            </w:pPr>
            <w:r>
              <w:rPr>
                <w:rFonts w:ascii="宋体" w:hAnsi="宋体"/>
                <w:sz w:val="24"/>
                <w:szCs w:val="24"/>
              </w:rPr>
              <w:t>年</w:t>
            </w:r>
          </w:p>
        </w:tc>
        <w:tc>
          <w:tcPr>
            <w:tcW w:w="3345" w:type="dxa"/>
            <w:gridSpan w:val="6"/>
            <w:noWrap/>
            <w:vAlign w:val="center"/>
          </w:tcPr>
          <w:p w14:paraId="359708C2">
            <w:pPr>
              <w:tabs>
                <w:tab w:val="left" w:pos="4680"/>
              </w:tabs>
              <w:jc w:val="center"/>
              <w:rPr>
                <w:rFonts w:ascii="宋体" w:hAnsi="宋体"/>
                <w:sz w:val="24"/>
                <w:szCs w:val="24"/>
              </w:rPr>
            </w:pPr>
            <w:r>
              <w:rPr>
                <w:rFonts w:ascii="宋体" w:hAnsi="宋体"/>
                <w:sz w:val="24"/>
                <w:szCs w:val="24"/>
              </w:rPr>
              <w:t>年</w:t>
            </w:r>
          </w:p>
        </w:tc>
        <w:tc>
          <w:tcPr>
            <w:tcW w:w="2864" w:type="dxa"/>
            <w:gridSpan w:val="3"/>
            <w:noWrap/>
            <w:vAlign w:val="center"/>
          </w:tcPr>
          <w:p w14:paraId="5013B1F3">
            <w:pPr>
              <w:tabs>
                <w:tab w:val="left" w:pos="4680"/>
              </w:tabs>
              <w:jc w:val="center"/>
              <w:rPr>
                <w:rFonts w:ascii="宋体" w:hAnsi="宋体"/>
                <w:sz w:val="24"/>
                <w:szCs w:val="24"/>
              </w:rPr>
            </w:pPr>
            <w:r>
              <w:rPr>
                <w:rFonts w:ascii="宋体" w:hAnsi="宋体"/>
                <w:sz w:val="24"/>
                <w:szCs w:val="24"/>
              </w:rPr>
              <w:t>年</w:t>
            </w:r>
          </w:p>
        </w:tc>
      </w:tr>
      <w:tr w14:paraId="236FFC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925" w:type="dxa"/>
            <w:gridSpan w:val="3"/>
            <w:noWrap/>
            <w:vAlign w:val="center"/>
          </w:tcPr>
          <w:p w14:paraId="3309CB0F">
            <w:pPr>
              <w:tabs>
                <w:tab w:val="left" w:pos="4680"/>
              </w:tabs>
              <w:jc w:val="center"/>
              <w:rPr>
                <w:rFonts w:ascii="宋体" w:hAnsi="宋体"/>
                <w:sz w:val="24"/>
                <w:szCs w:val="24"/>
              </w:rPr>
            </w:pPr>
          </w:p>
        </w:tc>
        <w:tc>
          <w:tcPr>
            <w:tcW w:w="3345" w:type="dxa"/>
            <w:gridSpan w:val="6"/>
            <w:noWrap/>
            <w:vAlign w:val="center"/>
          </w:tcPr>
          <w:p w14:paraId="355A088E">
            <w:pPr>
              <w:tabs>
                <w:tab w:val="left" w:pos="4680"/>
              </w:tabs>
              <w:jc w:val="center"/>
              <w:rPr>
                <w:rFonts w:ascii="宋体" w:hAnsi="宋体"/>
                <w:sz w:val="24"/>
                <w:szCs w:val="24"/>
              </w:rPr>
            </w:pPr>
          </w:p>
        </w:tc>
        <w:tc>
          <w:tcPr>
            <w:tcW w:w="2864" w:type="dxa"/>
            <w:gridSpan w:val="3"/>
            <w:noWrap/>
            <w:vAlign w:val="center"/>
          </w:tcPr>
          <w:p w14:paraId="46FCC36E">
            <w:pPr>
              <w:tabs>
                <w:tab w:val="left" w:pos="4680"/>
              </w:tabs>
              <w:jc w:val="center"/>
              <w:rPr>
                <w:rFonts w:ascii="宋体" w:hAnsi="宋体"/>
                <w:sz w:val="24"/>
                <w:szCs w:val="24"/>
              </w:rPr>
            </w:pPr>
          </w:p>
        </w:tc>
      </w:tr>
      <w:tr w14:paraId="4872ED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9" w:hRule="exact"/>
          <w:jc w:val="center"/>
        </w:trPr>
        <w:tc>
          <w:tcPr>
            <w:tcW w:w="2190" w:type="dxa"/>
            <w:gridSpan w:val="2"/>
            <w:noWrap/>
            <w:vAlign w:val="center"/>
          </w:tcPr>
          <w:p w14:paraId="3829244D">
            <w:pPr>
              <w:tabs>
                <w:tab w:val="left" w:pos="4680"/>
              </w:tabs>
              <w:jc w:val="center"/>
              <w:rPr>
                <w:rFonts w:hint="eastAsia"/>
                <w:szCs w:val="21"/>
              </w:rPr>
            </w:pPr>
            <w:r>
              <w:rPr>
                <w:rFonts w:hint="eastAsia"/>
                <w:szCs w:val="21"/>
              </w:rPr>
              <w:t>基本账户开户银行</w:t>
            </w:r>
          </w:p>
        </w:tc>
        <w:tc>
          <w:tcPr>
            <w:tcW w:w="6944" w:type="dxa"/>
            <w:gridSpan w:val="10"/>
            <w:noWrap/>
            <w:vAlign w:val="center"/>
          </w:tcPr>
          <w:p w14:paraId="5D10906C">
            <w:pPr>
              <w:tabs>
                <w:tab w:val="left" w:pos="4680"/>
              </w:tabs>
              <w:jc w:val="center"/>
              <w:rPr>
                <w:szCs w:val="21"/>
              </w:rPr>
            </w:pPr>
          </w:p>
        </w:tc>
      </w:tr>
      <w:tr w14:paraId="0D09AB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9" w:hRule="exact"/>
          <w:jc w:val="center"/>
        </w:trPr>
        <w:tc>
          <w:tcPr>
            <w:tcW w:w="2190" w:type="dxa"/>
            <w:gridSpan w:val="2"/>
            <w:noWrap/>
            <w:vAlign w:val="center"/>
          </w:tcPr>
          <w:p w14:paraId="64E946E7">
            <w:pPr>
              <w:tabs>
                <w:tab w:val="left" w:pos="4680"/>
              </w:tabs>
              <w:jc w:val="center"/>
              <w:rPr>
                <w:rFonts w:hint="eastAsia"/>
                <w:szCs w:val="21"/>
              </w:rPr>
            </w:pPr>
            <w:r>
              <w:rPr>
                <w:rFonts w:hint="eastAsia"/>
                <w:szCs w:val="21"/>
                <w:lang w:val="en-US" w:eastAsia="zh-CN"/>
              </w:rPr>
              <w:t>基本账户银行账号</w:t>
            </w:r>
          </w:p>
        </w:tc>
        <w:tc>
          <w:tcPr>
            <w:tcW w:w="6944" w:type="dxa"/>
            <w:gridSpan w:val="10"/>
            <w:noWrap/>
            <w:vAlign w:val="center"/>
          </w:tcPr>
          <w:p w14:paraId="07C36F79">
            <w:pPr>
              <w:tabs>
                <w:tab w:val="left" w:pos="4680"/>
              </w:tabs>
              <w:jc w:val="center"/>
              <w:rPr>
                <w:szCs w:val="21"/>
              </w:rPr>
            </w:pPr>
          </w:p>
        </w:tc>
      </w:tr>
    </w:tbl>
    <w:p w14:paraId="48D3EFD5">
      <w:pPr>
        <w:keepNext w:val="0"/>
        <w:keepLines w:val="0"/>
        <w:pageBreakBefore w:val="0"/>
        <w:widowControl w:val="0"/>
        <w:kinsoku/>
        <w:wordWrap/>
        <w:overflowPunct/>
        <w:topLinePunct w:val="0"/>
        <w:autoSpaceDE/>
        <w:autoSpaceDN/>
        <w:bidi w:val="0"/>
        <w:adjustRightInd/>
        <w:snapToGrid/>
        <w:spacing w:before="50" w:beforeLines="50" w:line="360" w:lineRule="exact"/>
        <w:ind w:firstLine="420" w:firstLineChars="200"/>
        <w:textAlignment w:val="auto"/>
        <w:rPr>
          <w:rFonts w:hint="eastAsia"/>
          <w:kern w:val="0"/>
          <w:sz w:val="21"/>
          <w:szCs w:val="21"/>
        </w:rPr>
      </w:pPr>
      <w:r>
        <w:rPr>
          <w:rFonts w:hint="eastAsia"/>
          <w:kern w:val="0"/>
          <w:sz w:val="21"/>
          <w:szCs w:val="21"/>
        </w:rPr>
        <w:t>注：本表后附：营业执照彩色扫描件</w:t>
      </w:r>
      <w:r>
        <w:rPr>
          <w:rFonts w:hint="eastAsia"/>
          <w:kern w:val="0"/>
          <w:sz w:val="21"/>
          <w:szCs w:val="21"/>
          <w:lang w:eastAsia="zh-CN"/>
        </w:rPr>
        <w:t>，</w:t>
      </w:r>
      <w:r>
        <w:rPr>
          <w:rFonts w:hint="eastAsia"/>
          <w:kern w:val="0"/>
          <w:sz w:val="21"/>
          <w:szCs w:val="21"/>
        </w:rPr>
        <w:t>上述所有材料均应加盖投标人单位章。</w:t>
      </w:r>
    </w:p>
    <w:p w14:paraId="7BF73A4B">
      <w:pPr>
        <w:pStyle w:val="4"/>
        <w:keepNext/>
        <w:keepLines/>
        <w:pageBreakBefore w:val="0"/>
        <w:widowControl w:val="0"/>
        <w:numPr>
          <w:ilvl w:val="0"/>
          <w:numId w:val="13"/>
        </w:numPr>
        <w:kinsoku/>
        <w:wordWrap/>
        <w:overflowPunct/>
        <w:topLinePunct w:val="0"/>
        <w:autoSpaceDE/>
        <w:autoSpaceDN/>
        <w:bidi w:val="0"/>
        <w:adjustRightInd/>
        <w:snapToGrid/>
        <w:spacing w:before="0" w:after="60" w:line="416" w:lineRule="auto"/>
        <w:ind w:left="0" w:leftChars="0" w:firstLine="420" w:firstLineChars="0"/>
        <w:jc w:val="left"/>
        <w:textAlignment w:val="auto"/>
        <w:outlineLvl w:val="2"/>
        <w:rPr>
          <w:rFonts w:hint="eastAsia"/>
          <w:kern w:val="0"/>
          <w:sz w:val="28"/>
          <w:szCs w:val="28"/>
        </w:rPr>
        <w:sectPr>
          <w:headerReference r:id="rId17" w:type="default"/>
          <w:footerReference r:id="rId18" w:type="default"/>
          <w:pgSz w:w="11906" w:h="16838"/>
          <w:pgMar w:top="1247" w:right="1134" w:bottom="1247" w:left="1247" w:header="851" w:footer="850" w:gutter="0"/>
          <w:pgNumType w:fmt="decimal"/>
          <w:cols w:space="720" w:num="1"/>
          <w:formProt w:val="0"/>
          <w:docGrid w:linePitch="100" w:charSpace="0"/>
        </w:sectPr>
      </w:pPr>
    </w:p>
    <w:p w14:paraId="09A41869">
      <w:pPr>
        <w:pStyle w:val="4"/>
        <w:keepNext/>
        <w:keepLines/>
        <w:pageBreakBefore w:val="0"/>
        <w:widowControl w:val="0"/>
        <w:numPr>
          <w:ilvl w:val="0"/>
          <w:numId w:val="13"/>
        </w:numPr>
        <w:kinsoku/>
        <w:wordWrap/>
        <w:overflowPunct/>
        <w:topLinePunct w:val="0"/>
        <w:autoSpaceDE/>
        <w:autoSpaceDN/>
        <w:bidi w:val="0"/>
        <w:adjustRightInd/>
        <w:snapToGrid/>
        <w:spacing w:before="0" w:after="60" w:line="416" w:lineRule="auto"/>
        <w:ind w:left="0" w:leftChars="0" w:firstLine="420" w:firstLineChars="0"/>
        <w:jc w:val="left"/>
        <w:textAlignment w:val="auto"/>
        <w:outlineLvl w:val="2"/>
        <w:rPr>
          <w:rFonts w:hint="eastAsia"/>
          <w:kern w:val="0"/>
          <w:sz w:val="28"/>
          <w:szCs w:val="28"/>
        </w:rPr>
      </w:pPr>
      <w:r>
        <w:rPr>
          <w:rFonts w:hint="eastAsia"/>
          <w:kern w:val="0"/>
          <w:sz w:val="28"/>
          <w:szCs w:val="28"/>
        </w:rPr>
        <w:t>制造商授权书</w:t>
      </w:r>
      <w:r>
        <w:rPr>
          <w:rFonts w:hint="eastAsia"/>
          <w:kern w:val="0"/>
          <w:sz w:val="28"/>
          <w:szCs w:val="28"/>
          <w:lang w:eastAsia="zh-CN"/>
        </w:rPr>
        <w:t>（</w:t>
      </w:r>
      <w:r>
        <w:rPr>
          <w:rFonts w:hint="eastAsia"/>
          <w:kern w:val="0"/>
          <w:sz w:val="28"/>
          <w:szCs w:val="28"/>
          <w:lang w:val="en-US" w:eastAsia="zh-CN"/>
        </w:rPr>
        <w:t>如有）</w:t>
      </w:r>
    </w:p>
    <w:p w14:paraId="4BFC1444">
      <w:pPr>
        <w:pStyle w:val="11"/>
        <w:spacing w:before="91" w:line="219" w:lineRule="auto"/>
        <w:ind w:left="3483"/>
        <w:rPr>
          <w:spacing w:val="-2"/>
          <w:sz w:val="28"/>
          <w:szCs w:val="28"/>
        </w:rPr>
      </w:pPr>
    </w:p>
    <w:p w14:paraId="306D5B72">
      <w:pPr>
        <w:pStyle w:val="11"/>
        <w:spacing w:before="91" w:line="219" w:lineRule="auto"/>
        <w:ind w:left="3483"/>
        <w:rPr>
          <w:rFonts w:ascii="Arial"/>
          <w:sz w:val="21"/>
        </w:rPr>
      </w:pPr>
      <w:r>
        <w:rPr>
          <w:spacing w:val="-2"/>
          <w:sz w:val="28"/>
          <w:szCs w:val="28"/>
        </w:rPr>
        <w:t>制造商授权书</w:t>
      </w:r>
    </w:p>
    <w:p w14:paraId="0E6A5853">
      <w:pPr>
        <w:spacing w:line="330" w:lineRule="auto"/>
        <w:rPr>
          <w:rFonts w:ascii="Arial"/>
          <w:sz w:val="21"/>
        </w:rPr>
      </w:pPr>
    </w:p>
    <w:p w14:paraId="48E0A54F">
      <w:pPr>
        <w:pStyle w:val="11"/>
        <w:spacing w:before="65" w:line="228" w:lineRule="auto"/>
        <w:rPr>
          <w:sz w:val="24"/>
          <w:szCs w:val="24"/>
        </w:rPr>
      </w:pPr>
      <w:r>
        <w:rPr>
          <w:spacing w:val="17"/>
          <w:sz w:val="24"/>
          <w:szCs w:val="24"/>
        </w:rPr>
        <w:t>致</w:t>
      </w:r>
      <w:r>
        <w:rPr>
          <w:spacing w:val="-18"/>
          <w:sz w:val="24"/>
          <w:szCs w:val="24"/>
        </w:rPr>
        <w:t>：</w:t>
      </w:r>
      <w:r>
        <w:rPr>
          <w:spacing w:val="4"/>
          <w:sz w:val="24"/>
          <w:szCs w:val="24"/>
          <w:u w:val="single" w:color="auto"/>
        </w:rPr>
        <w:t xml:space="preserve">              </w:t>
      </w:r>
      <w:r>
        <w:rPr>
          <w:spacing w:val="-18"/>
          <w:sz w:val="24"/>
          <w:szCs w:val="24"/>
        </w:rPr>
        <w:t>（</w:t>
      </w:r>
      <w:r>
        <w:rPr>
          <w:spacing w:val="17"/>
          <w:sz w:val="24"/>
          <w:szCs w:val="24"/>
        </w:rPr>
        <w:t>招标人）</w:t>
      </w:r>
    </w:p>
    <w:p w14:paraId="0F092053">
      <w:pPr>
        <w:pStyle w:val="11"/>
        <w:spacing w:before="193" w:line="400" w:lineRule="auto"/>
        <w:ind w:right="58" w:firstLine="504" w:firstLineChars="200"/>
        <w:jc w:val="both"/>
        <w:rPr>
          <w:sz w:val="24"/>
          <w:szCs w:val="24"/>
        </w:rPr>
      </w:pPr>
      <w:r>
        <w:rPr>
          <w:spacing w:val="6"/>
          <w:sz w:val="24"/>
          <w:szCs w:val="24"/>
        </w:rPr>
        <w:t>我单位</w:t>
      </w:r>
      <w:r>
        <w:rPr>
          <w:spacing w:val="6"/>
          <w:sz w:val="24"/>
          <w:szCs w:val="24"/>
          <w:u w:val="single" w:color="auto"/>
        </w:rPr>
        <w:t xml:space="preserve">           </w:t>
      </w:r>
      <w:r>
        <w:rPr>
          <w:spacing w:val="6"/>
          <w:sz w:val="24"/>
          <w:szCs w:val="24"/>
        </w:rPr>
        <w:t>（制造商名称）是按</w:t>
      </w:r>
      <w:r>
        <w:rPr>
          <w:spacing w:val="-98"/>
          <w:sz w:val="24"/>
          <w:szCs w:val="24"/>
        </w:rPr>
        <w:t xml:space="preserve"> </w:t>
      </w:r>
      <w:r>
        <w:rPr>
          <w:spacing w:val="6"/>
          <w:sz w:val="24"/>
          <w:szCs w:val="24"/>
          <w:u w:val="single" w:color="auto"/>
        </w:rPr>
        <w:t xml:space="preserve">              </w:t>
      </w:r>
      <w:r>
        <w:rPr>
          <w:spacing w:val="6"/>
          <w:sz w:val="24"/>
          <w:szCs w:val="24"/>
        </w:rPr>
        <w:t>（国家／地区名</w:t>
      </w:r>
      <w:r>
        <w:rPr>
          <w:spacing w:val="5"/>
          <w:sz w:val="24"/>
          <w:szCs w:val="24"/>
        </w:rPr>
        <w:t>称）法律成立的一</w:t>
      </w:r>
      <w:r>
        <w:rPr>
          <w:sz w:val="24"/>
          <w:szCs w:val="24"/>
        </w:rPr>
        <w:t xml:space="preserve"> </w:t>
      </w:r>
      <w:r>
        <w:rPr>
          <w:spacing w:val="8"/>
          <w:sz w:val="24"/>
          <w:szCs w:val="24"/>
        </w:rPr>
        <w:t>家制造商，主要营业地点设在</w:t>
      </w:r>
      <w:r>
        <w:rPr>
          <w:spacing w:val="8"/>
          <w:sz w:val="24"/>
          <w:szCs w:val="24"/>
          <w:u w:val="single" w:color="auto"/>
        </w:rPr>
        <w:t xml:space="preserve">             </w:t>
      </w:r>
      <w:r>
        <w:rPr>
          <w:spacing w:val="8"/>
          <w:sz w:val="24"/>
          <w:szCs w:val="24"/>
        </w:rPr>
        <w:t>（制造商地址）。兹授权按</w:t>
      </w:r>
      <w:r>
        <w:rPr>
          <w:spacing w:val="-90"/>
          <w:sz w:val="24"/>
          <w:szCs w:val="24"/>
        </w:rPr>
        <w:t xml:space="preserve"> </w:t>
      </w:r>
      <w:r>
        <w:rPr>
          <w:spacing w:val="8"/>
          <w:sz w:val="24"/>
          <w:szCs w:val="24"/>
          <w:u w:val="single" w:color="auto"/>
        </w:rPr>
        <w:t xml:space="preserve">         </w:t>
      </w:r>
      <w:r>
        <w:rPr>
          <w:spacing w:val="8"/>
          <w:sz w:val="24"/>
          <w:szCs w:val="24"/>
        </w:rPr>
        <w:t>（国家／地</w:t>
      </w:r>
      <w:r>
        <w:rPr>
          <w:sz w:val="24"/>
          <w:szCs w:val="24"/>
        </w:rPr>
        <w:t xml:space="preserve"> </w:t>
      </w:r>
      <w:r>
        <w:rPr>
          <w:spacing w:val="3"/>
          <w:sz w:val="24"/>
          <w:szCs w:val="24"/>
        </w:rPr>
        <w:t>区</w:t>
      </w:r>
      <w:r>
        <w:rPr>
          <w:spacing w:val="-58"/>
          <w:sz w:val="24"/>
          <w:szCs w:val="24"/>
        </w:rPr>
        <w:t xml:space="preserve"> </w:t>
      </w:r>
      <w:r>
        <w:rPr>
          <w:spacing w:val="3"/>
          <w:sz w:val="24"/>
          <w:szCs w:val="24"/>
        </w:rPr>
        <w:t>名</w:t>
      </w:r>
      <w:r>
        <w:rPr>
          <w:spacing w:val="-60"/>
          <w:sz w:val="24"/>
          <w:szCs w:val="24"/>
        </w:rPr>
        <w:t xml:space="preserve"> </w:t>
      </w:r>
      <w:r>
        <w:rPr>
          <w:spacing w:val="3"/>
          <w:sz w:val="24"/>
          <w:szCs w:val="24"/>
        </w:rPr>
        <w:t>称） 的法</w:t>
      </w:r>
      <w:r>
        <w:rPr>
          <w:spacing w:val="-58"/>
          <w:sz w:val="24"/>
          <w:szCs w:val="24"/>
        </w:rPr>
        <w:t xml:space="preserve"> </w:t>
      </w:r>
      <w:r>
        <w:rPr>
          <w:spacing w:val="3"/>
          <w:sz w:val="24"/>
          <w:szCs w:val="24"/>
        </w:rPr>
        <w:t>律</w:t>
      </w:r>
      <w:r>
        <w:rPr>
          <w:spacing w:val="-57"/>
          <w:sz w:val="24"/>
          <w:szCs w:val="24"/>
        </w:rPr>
        <w:t xml:space="preserve"> </w:t>
      </w:r>
      <w:r>
        <w:rPr>
          <w:spacing w:val="3"/>
          <w:sz w:val="24"/>
          <w:szCs w:val="24"/>
        </w:rPr>
        <w:t>正</w:t>
      </w:r>
      <w:r>
        <w:rPr>
          <w:spacing w:val="-54"/>
          <w:sz w:val="24"/>
          <w:szCs w:val="24"/>
        </w:rPr>
        <w:t xml:space="preserve"> </w:t>
      </w:r>
      <w:r>
        <w:rPr>
          <w:spacing w:val="3"/>
          <w:sz w:val="24"/>
          <w:szCs w:val="24"/>
        </w:rPr>
        <w:t>式</w:t>
      </w:r>
      <w:r>
        <w:rPr>
          <w:spacing w:val="-59"/>
          <w:sz w:val="24"/>
          <w:szCs w:val="24"/>
        </w:rPr>
        <w:t xml:space="preserve"> </w:t>
      </w:r>
      <w:r>
        <w:rPr>
          <w:spacing w:val="3"/>
          <w:sz w:val="24"/>
          <w:szCs w:val="24"/>
        </w:rPr>
        <w:t>成</w:t>
      </w:r>
      <w:r>
        <w:rPr>
          <w:spacing w:val="-59"/>
          <w:sz w:val="24"/>
          <w:szCs w:val="24"/>
        </w:rPr>
        <w:t xml:space="preserve"> </w:t>
      </w:r>
      <w:r>
        <w:rPr>
          <w:spacing w:val="3"/>
          <w:sz w:val="24"/>
          <w:szCs w:val="24"/>
        </w:rPr>
        <w:t>立</w:t>
      </w:r>
      <w:r>
        <w:rPr>
          <w:spacing w:val="-43"/>
          <w:sz w:val="24"/>
          <w:szCs w:val="24"/>
        </w:rPr>
        <w:t xml:space="preserve"> </w:t>
      </w:r>
      <w:r>
        <w:rPr>
          <w:spacing w:val="3"/>
          <w:sz w:val="24"/>
          <w:szCs w:val="24"/>
        </w:rPr>
        <w:t>的</w:t>
      </w:r>
      <w:r>
        <w:rPr>
          <w:spacing w:val="-42"/>
          <w:sz w:val="24"/>
          <w:szCs w:val="24"/>
        </w:rPr>
        <w:t xml:space="preserve"> </w:t>
      </w:r>
      <w:r>
        <w:rPr>
          <w:spacing w:val="3"/>
          <w:sz w:val="24"/>
          <w:szCs w:val="24"/>
        </w:rPr>
        <w:t>，</w:t>
      </w:r>
      <w:r>
        <w:rPr>
          <w:spacing w:val="-52"/>
          <w:sz w:val="24"/>
          <w:szCs w:val="24"/>
        </w:rPr>
        <w:t xml:space="preserve"> </w:t>
      </w:r>
      <w:r>
        <w:rPr>
          <w:spacing w:val="3"/>
          <w:sz w:val="24"/>
          <w:szCs w:val="24"/>
        </w:rPr>
        <w:t>主</w:t>
      </w:r>
      <w:r>
        <w:rPr>
          <w:spacing w:val="-58"/>
          <w:sz w:val="24"/>
          <w:szCs w:val="24"/>
        </w:rPr>
        <w:t xml:space="preserve"> </w:t>
      </w:r>
      <w:r>
        <w:rPr>
          <w:spacing w:val="3"/>
          <w:sz w:val="24"/>
          <w:szCs w:val="24"/>
        </w:rPr>
        <w:t>要</w:t>
      </w:r>
      <w:r>
        <w:rPr>
          <w:spacing w:val="-54"/>
          <w:sz w:val="24"/>
          <w:szCs w:val="24"/>
        </w:rPr>
        <w:t xml:space="preserve"> </w:t>
      </w:r>
      <w:r>
        <w:rPr>
          <w:spacing w:val="3"/>
          <w:sz w:val="24"/>
          <w:szCs w:val="24"/>
        </w:rPr>
        <w:t>营</w:t>
      </w:r>
      <w:r>
        <w:rPr>
          <w:spacing w:val="-60"/>
          <w:sz w:val="24"/>
          <w:szCs w:val="24"/>
        </w:rPr>
        <w:t xml:space="preserve"> </w:t>
      </w:r>
      <w:r>
        <w:rPr>
          <w:spacing w:val="3"/>
          <w:sz w:val="24"/>
          <w:szCs w:val="24"/>
        </w:rPr>
        <w:t>业地</w:t>
      </w:r>
      <w:r>
        <w:rPr>
          <w:spacing w:val="-47"/>
          <w:sz w:val="24"/>
          <w:szCs w:val="24"/>
        </w:rPr>
        <w:t xml:space="preserve"> </w:t>
      </w:r>
      <w:r>
        <w:rPr>
          <w:spacing w:val="3"/>
          <w:sz w:val="24"/>
          <w:szCs w:val="24"/>
        </w:rPr>
        <w:t>点</w:t>
      </w:r>
      <w:r>
        <w:rPr>
          <w:spacing w:val="-58"/>
          <w:sz w:val="24"/>
          <w:szCs w:val="24"/>
        </w:rPr>
        <w:t xml:space="preserve"> </w:t>
      </w:r>
      <w:r>
        <w:rPr>
          <w:spacing w:val="3"/>
          <w:sz w:val="24"/>
          <w:szCs w:val="24"/>
        </w:rPr>
        <w:t>设</w:t>
      </w:r>
      <w:r>
        <w:rPr>
          <w:spacing w:val="-59"/>
          <w:sz w:val="24"/>
          <w:szCs w:val="24"/>
        </w:rPr>
        <w:t xml:space="preserve"> </w:t>
      </w:r>
      <w:r>
        <w:rPr>
          <w:spacing w:val="2"/>
          <w:sz w:val="24"/>
          <w:szCs w:val="24"/>
        </w:rPr>
        <w:t>在</w:t>
      </w:r>
      <w:r>
        <w:rPr>
          <w:spacing w:val="-69"/>
          <w:sz w:val="24"/>
          <w:szCs w:val="24"/>
        </w:rPr>
        <w:t xml:space="preserve"> </w:t>
      </w:r>
      <w:r>
        <w:rPr>
          <w:spacing w:val="2"/>
          <w:sz w:val="24"/>
          <w:szCs w:val="24"/>
          <w:u w:val="single" w:color="auto"/>
        </w:rPr>
        <w:t xml:space="preserve">         </w:t>
      </w:r>
      <w:r>
        <w:rPr>
          <w:spacing w:val="2"/>
          <w:sz w:val="24"/>
          <w:szCs w:val="24"/>
        </w:rPr>
        <w:t>（投</w:t>
      </w:r>
      <w:r>
        <w:rPr>
          <w:spacing w:val="-58"/>
          <w:sz w:val="24"/>
          <w:szCs w:val="24"/>
        </w:rPr>
        <w:t xml:space="preserve"> </w:t>
      </w:r>
      <w:r>
        <w:rPr>
          <w:spacing w:val="2"/>
          <w:sz w:val="24"/>
          <w:szCs w:val="24"/>
        </w:rPr>
        <w:t>标</w:t>
      </w:r>
      <w:r>
        <w:rPr>
          <w:spacing w:val="-59"/>
          <w:sz w:val="24"/>
          <w:szCs w:val="24"/>
        </w:rPr>
        <w:t xml:space="preserve"> </w:t>
      </w:r>
      <w:r>
        <w:rPr>
          <w:spacing w:val="2"/>
          <w:sz w:val="24"/>
          <w:szCs w:val="24"/>
        </w:rPr>
        <w:t>人</w:t>
      </w:r>
      <w:r>
        <w:rPr>
          <w:spacing w:val="-41"/>
          <w:sz w:val="24"/>
          <w:szCs w:val="24"/>
        </w:rPr>
        <w:t xml:space="preserve"> </w:t>
      </w:r>
      <w:r>
        <w:rPr>
          <w:spacing w:val="2"/>
          <w:sz w:val="24"/>
          <w:szCs w:val="24"/>
        </w:rPr>
        <w:t>的</w:t>
      </w:r>
      <w:r>
        <w:rPr>
          <w:spacing w:val="-59"/>
          <w:sz w:val="24"/>
          <w:szCs w:val="24"/>
        </w:rPr>
        <w:t xml:space="preserve"> </w:t>
      </w:r>
      <w:r>
        <w:rPr>
          <w:spacing w:val="2"/>
          <w:sz w:val="24"/>
          <w:szCs w:val="24"/>
        </w:rPr>
        <w:t>单</w:t>
      </w:r>
      <w:r>
        <w:rPr>
          <w:spacing w:val="-59"/>
          <w:sz w:val="24"/>
          <w:szCs w:val="24"/>
        </w:rPr>
        <w:t xml:space="preserve"> </w:t>
      </w:r>
      <w:r>
        <w:rPr>
          <w:spacing w:val="2"/>
          <w:sz w:val="24"/>
          <w:szCs w:val="24"/>
        </w:rPr>
        <w:t>位地</w:t>
      </w:r>
      <w:r>
        <w:rPr>
          <w:spacing w:val="-58"/>
          <w:sz w:val="24"/>
          <w:szCs w:val="24"/>
        </w:rPr>
        <w:t xml:space="preserve"> </w:t>
      </w:r>
      <w:r>
        <w:rPr>
          <w:spacing w:val="2"/>
          <w:sz w:val="24"/>
          <w:szCs w:val="24"/>
        </w:rPr>
        <w:t>址） 的</w:t>
      </w:r>
      <w:r>
        <w:rPr>
          <w:sz w:val="24"/>
          <w:szCs w:val="24"/>
        </w:rPr>
        <w:t xml:space="preserve"> </w:t>
      </w:r>
      <w:r>
        <w:rPr>
          <w:rFonts w:hint="eastAsia"/>
          <w:sz w:val="24"/>
          <w:szCs w:val="24"/>
          <w:u w:val="single"/>
          <w:lang w:val="en-US" w:eastAsia="zh-CN"/>
        </w:rPr>
        <w:t xml:space="preserve">     </w:t>
      </w:r>
      <w:r>
        <w:rPr>
          <w:spacing w:val="6"/>
          <w:sz w:val="24"/>
          <w:szCs w:val="24"/>
        </w:rPr>
        <w:t>（投标人名称）以我单位制造的</w:t>
      </w:r>
      <w:r>
        <w:rPr>
          <w:spacing w:val="6"/>
          <w:sz w:val="24"/>
          <w:szCs w:val="24"/>
          <w:u w:val="single" w:color="auto"/>
        </w:rPr>
        <w:t xml:space="preserve">            </w:t>
      </w:r>
      <w:r>
        <w:rPr>
          <w:spacing w:val="6"/>
          <w:sz w:val="24"/>
          <w:szCs w:val="24"/>
        </w:rPr>
        <w:t>（设备名称）进行</w:t>
      </w:r>
      <w:r>
        <w:rPr>
          <w:spacing w:val="-99"/>
          <w:sz w:val="24"/>
          <w:szCs w:val="24"/>
        </w:rPr>
        <w:t xml:space="preserve"> </w:t>
      </w:r>
      <w:r>
        <w:rPr>
          <w:spacing w:val="6"/>
          <w:sz w:val="24"/>
          <w:szCs w:val="24"/>
          <w:u w:val="single" w:color="auto"/>
        </w:rPr>
        <w:t xml:space="preserve">           </w:t>
      </w:r>
      <w:r>
        <w:rPr>
          <w:spacing w:val="5"/>
          <w:sz w:val="24"/>
          <w:szCs w:val="24"/>
          <w:u w:val="single" w:color="auto"/>
        </w:rPr>
        <w:t xml:space="preserve">      </w:t>
      </w:r>
      <w:r>
        <w:rPr>
          <w:spacing w:val="5"/>
          <w:sz w:val="24"/>
          <w:szCs w:val="24"/>
        </w:rPr>
        <w:t>（招标项目</w:t>
      </w:r>
      <w:r>
        <w:rPr>
          <w:spacing w:val="9"/>
          <w:sz w:val="24"/>
          <w:szCs w:val="24"/>
        </w:rPr>
        <w:t>名称）投标活动。我单位同意按照中标合同供货，并对产品质量承担责任。</w:t>
      </w:r>
    </w:p>
    <w:p w14:paraId="49FBBD40">
      <w:pPr>
        <w:pStyle w:val="11"/>
        <w:spacing w:before="31" w:line="228" w:lineRule="auto"/>
        <w:ind w:left="419"/>
        <w:rPr>
          <w:sz w:val="24"/>
          <w:szCs w:val="24"/>
        </w:rPr>
      </w:pPr>
      <w:r>
        <w:rPr>
          <w:spacing w:val="6"/>
          <w:sz w:val="24"/>
          <w:szCs w:val="24"/>
        </w:rPr>
        <w:t>授权期限：</w:t>
      </w:r>
      <w:r>
        <w:rPr>
          <w:spacing w:val="1"/>
          <w:sz w:val="24"/>
          <w:szCs w:val="24"/>
          <w:u w:val="single" w:color="auto"/>
        </w:rPr>
        <w:t xml:space="preserve">                             </w:t>
      </w:r>
      <w:r>
        <w:rPr>
          <w:spacing w:val="6"/>
          <w:sz w:val="24"/>
          <w:szCs w:val="24"/>
        </w:rPr>
        <w:t>。</w:t>
      </w:r>
    </w:p>
    <w:p w14:paraId="16BC2A69">
      <w:pPr>
        <w:spacing w:line="250" w:lineRule="auto"/>
        <w:rPr>
          <w:rFonts w:ascii="Arial"/>
          <w:sz w:val="24"/>
          <w:szCs w:val="24"/>
        </w:rPr>
      </w:pPr>
    </w:p>
    <w:p w14:paraId="1F1E3987">
      <w:pPr>
        <w:spacing w:line="250" w:lineRule="auto"/>
        <w:rPr>
          <w:rFonts w:ascii="Arial"/>
          <w:sz w:val="24"/>
          <w:szCs w:val="24"/>
        </w:rPr>
      </w:pPr>
    </w:p>
    <w:p w14:paraId="1490FFD3">
      <w:pPr>
        <w:spacing w:line="251" w:lineRule="auto"/>
        <w:rPr>
          <w:rFonts w:ascii="Arial"/>
          <w:sz w:val="24"/>
          <w:szCs w:val="24"/>
        </w:rPr>
      </w:pPr>
    </w:p>
    <w:p w14:paraId="12873E24">
      <w:pPr>
        <w:pStyle w:val="11"/>
        <w:spacing w:before="65" w:line="227" w:lineRule="auto"/>
        <w:jc w:val="both"/>
        <w:rPr>
          <w:spacing w:val="11"/>
          <w:sz w:val="24"/>
          <w:szCs w:val="24"/>
        </w:rPr>
      </w:pPr>
    </w:p>
    <w:p w14:paraId="2C71B002">
      <w:pPr>
        <w:pStyle w:val="11"/>
        <w:spacing w:before="65" w:line="227" w:lineRule="auto"/>
        <w:jc w:val="both"/>
        <w:rPr>
          <w:sz w:val="24"/>
          <w:szCs w:val="24"/>
        </w:rPr>
      </w:pPr>
      <w:r>
        <w:rPr>
          <w:spacing w:val="11"/>
          <w:sz w:val="24"/>
          <w:szCs w:val="24"/>
        </w:rPr>
        <w:t>投标人名称</w:t>
      </w:r>
      <w:r>
        <w:rPr>
          <w:spacing w:val="-6"/>
          <w:sz w:val="24"/>
          <w:szCs w:val="24"/>
        </w:rPr>
        <w:t>：</w:t>
      </w:r>
      <w:r>
        <w:rPr>
          <w:spacing w:val="5"/>
          <w:sz w:val="24"/>
          <w:szCs w:val="24"/>
          <w:u w:val="single" w:color="auto"/>
        </w:rPr>
        <w:t xml:space="preserve">                </w:t>
      </w:r>
      <w:r>
        <w:rPr>
          <w:spacing w:val="-6"/>
          <w:sz w:val="24"/>
          <w:szCs w:val="24"/>
        </w:rPr>
        <w:t>（</w:t>
      </w:r>
      <w:r>
        <w:rPr>
          <w:spacing w:val="11"/>
          <w:sz w:val="24"/>
          <w:szCs w:val="24"/>
        </w:rPr>
        <w:t xml:space="preserve">盖单位章）  </w:t>
      </w:r>
      <w:r>
        <w:rPr>
          <w:rFonts w:hint="eastAsia"/>
          <w:spacing w:val="11"/>
          <w:sz w:val="24"/>
          <w:szCs w:val="24"/>
          <w:lang w:val="en-US" w:eastAsia="zh-CN"/>
        </w:rPr>
        <w:t xml:space="preserve"> </w:t>
      </w:r>
      <w:r>
        <w:rPr>
          <w:spacing w:val="11"/>
          <w:sz w:val="24"/>
          <w:szCs w:val="24"/>
        </w:rPr>
        <w:t>制造商名称</w:t>
      </w:r>
      <w:r>
        <w:rPr>
          <w:spacing w:val="-6"/>
          <w:sz w:val="24"/>
          <w:szCs w:val="24"/>
        </w:rPr>
        <w:t>：</w:t>
      </w:r>
      <w:r>
        <w:rPr>
          <w:spacing w:val="5"/>
          <w:sz w:val="24"/>
          <w:szCs w:val="24"/>
          <w:u w:val="single" w:color="auto"/>
        </w:rPr>
        <w:t xml:space="preserve">                 </w:t>
      </w:r>
      <w:r>
        <w:rPr>
          <w:spacing w:val="-6"/>
          <w:sz w:val="24"/>
          <w:szCs w:val="24"/>
        </w:rPr>
        <w:t>（</w:t>
      </w:r>
      <w:r>
        <w:rPr>
          <w:spacing w:val="11"/>
          <w:sz w:val="24"/>
          <w:szCs w:val="24"/>
        </w:rPr>
        <w:t>盖单</w:t>
      </w:r>
      <w:r>
        <w:rPr>
          <w:spacing w:val="10"/>
          <w:sz w:val="24"/>
          <w:szCs w:val="24"/>
        </w:rPr>
        <w:t>位章）</w:t>
      </w:r>
    </w:p>
    <w:p w14:paraId="6F6F3C65">
      <w:pPr>
        <w:pStyle w:val="11"/>
        <w:spacing w:before="196" w:line="228" w:lineRule="auto"/>
        <w:rPr>
          <w:sz w:val="24"/>
          <w:szCs w:val="24"/>
        </w:rPr>
      </w:pPr>
      <w:r>
        <w:rPr>
          <w:spacing w:val="4"/>
          <w:sz w:val="24"/>
          <w:szCs w:val="24"/>
        </w:rPr>
        <w:t>签字人职务：</w:t>
      </w:r>
      <w:r>
        <w:rPr>
          <w:spacing w:val="4"/>
          <w:sz w:val="24"/>
          <w:szCs w:val="24"/>
          <w:u w:val="single" w:color="auto"/>
        </w:rPr>
        <w:t xml:space="preserve">                            </w:t>
      </w:r>
      <w:r>
        <w:rPr>
          <w:spacing w:val="4"/>
          <w:sz w:val="24"/>
          <w:szCs w:val="24"/>
        </w:rPr>
        <w:t xml:space="preserve">  </w:t>
      </w:r>
      <w:r>
        <w:rPr>
          <w:rFonts w:hint="eastAsia"/>
          <w:spacing w:val="4"/>
          <w:sz w:val="24"/>
          <w:szCs w:val="24"/>
          <w:lang w:val="en-US" w:eastAsia="zh-CN"/>
        </w:rPr>
        <w:t xml:space="preserve">             </w:t>
      </w:r>
      <w:r>
        <w:rPr>
          <w:spacing w:val="4"/>
          <w:sz w:val="24"/>
          <w:szCs w:val="24"/>
        </w:rPr>
        <w:t>签字人职务：</w:t>
      </w:r>
      <w:r>
        <w:rPr>
          <w:spacing w:val="4"/>
          <w:sz w:val="24"/>
          <w:szCs w:val="24"/>
          <w:u w:val="none" w:color="auto"/>
        </w:rPr>
        <w:t xml:space="preserve">                      </w:t>
      </w:r>
      <w:r>
        <w:rPr>
          <w:spacing w:val="4"/>
          <w:sz w:val="24"/>
          <w:szCs w:val="24"/>
          <w:u w:val="single" w:color="auto"/>
        </w:rPr>
        <w:t xml:space="preserve">       </w:t>
      </w:r>
    </w:p>
    <w:p w14:paraId="19BFD968">
      <w:pPr>
        <w:pStyle w:val="11"/>
        <w:spacing w:before="192" w:line="228" w:lineRule="auto"/>
        <w:rPr>
          <w:sz w:val="24"/>
          <w:szCs w:val="24"/>
        </w:rPr>
      </w:pPr>
      <w:r>
        <w:rPr>
          <w:spacing w:val="4"/>
          <w:sz w:val="24"/>
          <w:szCs w:val="24"/>
        </w:rPr>
        <w:t>签字人姓名：</w:t>
      </w:r>
      <w:r>
        <w:rPr>
          <w:spacing w:val="4"/>
          <w:sz w:val="24"/>
          <w:szCs w:val="24"/>
          <w:u w:val="single" w:color="auto"/>
        </w:rPr>
        <w:t xml:space="preserve">                            </w:t>
      </w:r>
      <w:r>
        <w:rPr>
          <w:spacing w:val="4"/>
          <w:sz w:val="24"/>
          <w:szCs w:val="24"/>
        </w:rPr>
        <w:t xml:space="preserve">  </w:t>
      </w:r>
      <w:r>
        <w:rPr>
          <w:rFonts w:hint="eastAsia"/>
          <w:spacing w:val="4"/>
          <w:sz w:val="24"/>
          <w:szCs w:val="24"/>
          <w:lang w:val="en-US" w:eastAsia="zh-CN"/>
        </w:rPr>
        <w:t xml:space="preserve">             </w:t>
      </w:r>
      <w:r>
        <w:rPr>
          <w:spacing w:val="4"/>
          <w:sz w:val="24"/>
          <w:szCs w:val="24"/>
        </w:rPr>
        <w:t>签字人姓名：</w:t>
      </w:r>
      <w:r>
        <w:rPr>
          <w:spacing w:val="4"/>
          <w:sz w:val="24"/>
          <w:szCs w:val="24"/>
          <w:u w:val="single" w:color="auto"/>
        </w:rPr>
        <w:t xml:space="preserve">                             </w:t>
      </w:r>
    </w:p>
    <w:p w14:paraId="77FBFE84">
      <w:pPr>
        <w:pStyle w:val="11"/>
        <w:spacing w:before="192" w:line="228" w:lineRule="auto"/>
        <w:rPr>
          <w:sz w:val="24"/>
          <w:szCs w:val="24"/>
        </w:rPr>
      </w:pPr>
      <w:r>
        <w:rPr>
          <w:spacing w:val="4"/>
          <w:sz w:val="24"/>
          <w:szCs w:val="24"/>
        </w:rPr>
        <w:t>签字人签名：</w:t>
      </w:r>
      <w:r>
        <w:rPr>
          <w:spacing w:val="4"/>
          <w:sz w:val="24"/>
          <w:szCs w:val="24"/>
          <w:u w:val="single" w:color="auto"/>
        </w:rPr>
        <w:t xml:space="preserve">                            </w:t>
      </w:r>
      <w:r>
        <w:rPr>
          <w:spacing w:val="4"/>
          <w:sz w:val="24"/>
          <w:szCs w:val="24"/>
        </w:rPr>
        <w:t xml:space="preserve">  </w:t>
      </w:r>
      <w:r>
        <w:rPr>
          <w:rFonts w:hint="eastAsia"/>
          <w:spacing w:val="4"/>
          <w:sz w:val="24"/>
          <w:szCs w:val="24"/>
          <w:lang w:val="en-US" w:eastAsia="zh-CN"/>
        </w:rPr>
        <w:t xml:space="preserve">              </w:t>
      </w:r>
      <w:r>
        <w:rPr>
          <w:spacing w:val="4"/>
          <w:sz w:val="24"/>
          <w:szCs w:val="24"/>
        </w:rPr>
        <w:t>签字人签名：</w:t>
      </w:r>
      <w:r>
        <w:rPr>
          <w:spacing w:val="4"/>
          <w:sz w:val="24"/>
          <w:szCs w:val="24"/>
          <w:u w:val="single" w:color="auto"/>
        </w:rPr>
        <w:t xml:space="preserve">                             </w:t>
      </w:r>
    </w:p>
    <w:p w14:paraId="232D0921">
      <w:pPr>
        <w:bidi w:val="0"/>
        <w:rPr>
          <w:rFonts w:hint="eastAsia"/>
          <w:sz w:val="24"/>
          <w:szCs w:val="24"/>
        </w:rPr>
      </w:pPr>
    </w:p>
    <w:p w14:paraId="5465762F">
      <w:pPr>
        <w:pStyle w:val="4"/>
        <w:keepNext/>
        <w:keepLines/>
        <w:pageBreakBefore w:val="0"/>
        <w:widowControl w:val="0"/>
        <w:numPr>
          <w:ilvl w:val="0"/>
          <w:numId w:val="13"/>
        </w:numPr>
        <w:kinsoku/>
        <w:wordWrap/>
        <w:overflowPunct/>
        <w:topLinePunct w:val="0"/>
        <w:autoSpaceDE/>
        <w:autoSpaceDN/>
        <w:bidi w:val="0"/>
        <w:adjustRightInd/>
        <w:snapToGrid/>
        <w:spacing w:before="0" w:after="60" w:line="416" w:lineRule="auto"/>
        <w:ind w:left="0" w:leftChars="0" w:firstLine="420" w:firstLineChars="0"/>
        <w:jc w:val="left"/>
        <w:textAlignment w:val="auto"/>
        <w:outlineLvl w:val="2"/>
        <w:rPr>
          <w:rFonts w:hint="eastAsia"/>
          <w:kern w:val="0"/>
          <w:sz w:val="24"/>
          <w:szCs w:val="24"/>
        </w:rPr>
        <w:sectPr>
          <w:pgSz w:w="11906" w:h="16838"/>
          <w:pgMar w:top="1247" w:right="1134" w:bottom="1247" w:left="1247" w:header="851" w:footer="850" w:gutter="0"/>
          <w:pgNumType w:fmt="decimal"/>
          <w:cols w:space="720" w:num="1"/>
          <w:formProt w:val="0"/>
          <w:docGrid w:linePitch="100" w:charSpace="0"/>
        </w:sectPr>
      </w:pPr>
    </w:p>
    <w:p w14:paraId="1C4DC9AC">
      <w:pPr>
        <w:pStyle w:val="4"/>
        <w:keepNext/>
        <w:keepLines/>
        <w:pageBreakBefore w:val="0"/>
        <w:widowControl w:val="0"/>
        <w:numPr>
          <w:ilvl w:val="0"/>
          <w:numId w:val="13"/>
        </w:numPr>
        <w:kinsoku/>
        <w:wordWrap/>
        <w:overflowPunct/>
        <w:topLinePunct w:val="0"/>
        <w:autoSpaceDE/>
        <w:autoSpaceDN/>
        <w:bidi w:val="0"/>
        <w:adjustRightInd/>
        <w:snapToGrid/>
        <w:spacing w:before="0" w:after="60" w:line="416" w:lineRule="auto"/>
        <w:ind w:left="0" w:leftChars="0" w:firstLine="420" w:firstLineChars="0"/>
        <w:jc w:val="left"/>
        <w:textAlignment w:val="auto"/>
        <w:outlineLvl w:val="2"/>
        <w:rPr>
          <w:rFonts w:hint="eastAsia"/>
          <w:kern w:val="0"/>
          <w:sz w:val="28"/>
          <w:szCs w:val="28"/>
        </w:rPr>
      </w:pPr>
      <w:r>
        <w:rPr>
          <w:rFonts w:hint="eastAsia"/>
          <w:kern w:val="0"/>
          <w:sz w:val="28"/>
          <w:szCs w:val="28"/>
        </w:rPr>
        <w:t>企业其他信誉情况表</w:t>
      </w:r>
    </w:p>
    <w:p w14:paraId="4F5A4ED6">
      <w:pPr>
        <w:spacing w:line="340" w:lineRule="exact"/>
        <w:ind w:firstLine="420" w:firstLineChars="150"/>
        <w:rPr>
          <w:rFonts w:ascii="宋体" w:hAnsi="宋体"/>
          <w:sz w:val="28"/>
          <w:szCs w:val="28"/>
        </w:rPr>
      </w:pPr>
    </w:p>
    <w:tbl>
      <w:tblPr>
        <w:tblStyle w:val="29"/>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933"/>
        <w:gridCol w:w="5486"/>
      </w:tblGrid>
      <w:tr w14:paraId="4980F0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9" w:hRule="atLeast"/>
        </w:trPr>
        <w:tc>
          <w:tcPr>
            <w:tcW w:w="3933" w:type="dxa"/>
            <w:vAlign w:val="center"/>
          </w:tcPr>
          <w:p w14:paraId="2473B6DE">
            <w:pPr>
              <w:spacing w:line="440" w:lineRule="exact"/>
              <w:jc w:val="center"/>
              <w:rPr>
                <w:rFonts w:cs="Tahoma"/>
                <w:sz w:val="24"/>
              </w:rPr>
            </w:pPr>
            <w:r>
              <w:rPr>
                <w:rFonts w:hint="eastAsia" w:hAnsi="宋体"/>
                <w:sz w:val="24"/>
              </w:rPr>
              <w:t>信誉内容</w:t>
            </w:r>
          </w:p>
        </w:tc>
        <w:tc>
          <w:tcPr>
            <w:tcW w:w="5486" w:type="dxa"/>
            <w:vAlign w:val="center"/>
          </w:tcPr>
          <w:p w14:paraId="3383E30E">
            <w:pPr>
              <w:spacing w:line="400" w:lineRule="exact"/>
              <w:jc w:val="center"/>
              <w:rPr>
                <w:rFonts w:cs="Tahoma"/>
                <w:sz w:val="24"/>
              </w:rPr>
            </w:pPr>
            <w:r>
              <w:rPr>
                <w:rFonts w:hint="eastAsia" w:cs="Tahoma"/>
                <w:sz w:val="24"/>
              </w:rPr>
              <w:t>投标人陈述具体情况</w:t>
            </w:r>
          </w:p>
          <w:p w14:paraId="1E65F39D">
            <w:pPr>
              <w:spacing w:line="400" w:lineRule="exact"/>
              <w:jc w:val="center"/>
              <w:rPr>
                <w:rFonts w:cs="Tahoma"/>
                <w:sz w:val="24"/>
              </w:rPr>
            </w:pPr>
            <w:r>
              <w:rPr>
                <w:rFonts w:hint="eastAsia" w:cs="Tahoma"/>
                <w:sz w:val="24"/>
              </w:rPr>
              <w:t>（由投标人填写）</w:t>
            </w:r>
          </w:p>
        </w:tc>
      </w:tr>
      <w:tr w14:paraId="3C40A2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42" w:hRule="atLeast"/>
        </w:trPr>
        <w:tc>
          <w:tcPr>
            <w:tcW w:w="3933" w:type="dxa"/>
            <w:vAlign w:val="center"/>
          </w:tcPr>
          <w:p w14:paraId="0ED4E286">
            <w:pPr>
              <w:autoSpaceDE w:val="0"/>
              <w:autoSpaceDN w:val="0"/>
              <w:adjustRightInd w:val="0"/>
              <w:spacing w:line="400" w:lineRule="exact"/>
              <w:ind w:firstLine="480" w:firstLineChars="200"/>
              <w:rPr>
                <w:rFonts w:ascii="宋体" w:hAnsi="宋体"/>
                <w:sz w:val="24"/>
                <w:szCs w:val="24"/>
              </w:rPr>
            </w:pPr>
            <w:r>
              <w:rPr>
                <w:rFonts w:hint="eastAsia" w:ascii="宋体" w:hAnsi="宋体"/>
                <w:sz w:val="24"/>
                <w:szCs w:val="24"/>
              </w:rPr>
              <w:t>1、投标人在近三年内（2022年1月1日至今）没有存在骗取中标或严重违约被解除合同或重大货物质量问题的行为。</w:t>
            </w:r>
          </w:p>
          <w:p w14:paraId="0E5FF25B">
            <w:pPr>
              <w:autoSpaceDE w:val="0"/>
              <w:autoSpaceDN w:val="0"/>
              <w:adjustRightInd w:val="0"/>
              <w:spacing w:line="400" w:lineRule="exact"/>
              <w:ind w:firstLine="480" w:firstLineChars="200"/>
              <w:rPr>
                <w:rFonts w:ascii="宋体" w:hAnsi="宋体" w:cs="宋体"/>
                <w:kern w:val="0"/>
                <w:sz w:val="24"/>
                <w:szCs w:val="24"/>
              </w:rPr>
            </w:pPr>
            <w:r>
              <w:rPr>
                <w:rFonts w:hint="eastAsia" w:ascii="宋体" w:hAnsi="宋体"/>
                <w:sz w:val="24"/>
                <w:szCs w:val="24"/>
              </w:rPr>
              <w:t>2、</w:t>
            </w:r>
            <w:r>
              <w:rPr>
                <w:rFonts w:hint="eastAsia" w:ascii="宋体" w:hAnsi="宋体" w:cs="宋体"/>
                <w:bCs/>
                <w:spacing w:val="10"/>
                <w:sz w:val="24"/>
                <w:szCs w:val="22"/>
              </w:rPr>
              <w:t>投标人没有</w:t>
            </w:r>
            <w:r>
              <w:rPr>
                <w:rFonts w:hint="eastAsia" w:ascii="宋体" w:hAnsi="宋体"/>
                <w:sz w:val="24"/>
                <w:szCs w:val="24"/>
              </w:rPr>
              <w:t>被</w:t>
            </w:r>
            <w:r>
              <w:rPr>
                <w:rFonts w:hint="eastAsia" w:ascii="宋体" w:hAnsi="宋体" w:cs="宋体"/>
                <w:bCs/>
                <w:spacing w:val="10"/>
                <w:sz w:val="24"/>
                <w:szCs w:val="22"/>
              </w:rPr>
              <w:t>人民法院列为失信被执行人</w:t>
            </w:r>
            <w:r>
              <w:rPr>
                <w:rFonts w:hint="eastAsia" w:ascii="宋体" w:hAnsi="宋体"/>
                <w:sz w:val="24"/>
                <w:szCs w:val="24"/>
              </w:rPr>
              <w:t>。</w:t>
            </w:r>
          </w:p>
        </w:tc>
        <w:tc>
          <w:tcPr>
            <w:tcW w:w="5486" w:type="dxa"/>
            <w:vAlign w:val="center"/>
          </w:tcPr>
          <w:p w14:paraId="3302479A">
            <w:pPr>
              <w:spacing w:line="440" w:lineRule="exact"/>
              <w:jc w:val="center"/>
              <w:rPr>
                <w:rFonts w:cs="Tahoma"/>
                <w:spacing w:val="-20"/>
                <w:sz w:val="24"/>
              </w:rPr>
            </w:pPr>
          </w:p>
        </w:tc>
      </w:tr>
    </w:tbl>
    <w:p w14:paraId="481B3E42">
      <w:pPr>
        <w:keepNext w:val="0"/>
        <w:keepLines w:val="0"/>
        <w:pageBreakBefore w:val="0"/>
        <w:widowControl w:val="0"/>
        <w:kinsoku/>
        <w:wordWrap/>
        <w:overflowPunct/>
        <w:topLinePunct w:val="0"/>
        <w:autoSpaceDE w:val="0"/>
        <w:autoSpaceDN w:val="0"/>
        <w:bidi w:val="0"/>
        <w:adjustRightInd w:val="0"/>
        <w:snapToGrid/>
        <w:spacing w:before="50" w:beforeLines="50" w:line="360" w:lineRule="atLeast"/>
        <w:textAlignment w:val="auto"/>
        <w:rPr>
          <w:rFonts w:ascii="宋体" w:hAnsi="宋体"/>
          <w:sz w:val="21"/>
          <w:szCs w:val="21"/>
        </w:rPr>
      </w:pPr>
      <w:r>
        <w:rPr>
          <w:sz w:val="21"/>
          <w:szCs w:val="21"/>
        </w:rPr>
        <w:t>注</w:t>
      </w:r>
      <w:r>
        <w:rPr>
          <w:rFonts w:hint="eastAsia"/>
          <w:sz w:val="21"/>
          <w:szCs w:val="21"/>
        </w:rPr>
        <w:t>：</w:t>
      </w:r>
      <w:r>
        <w:rPr>
          <w:sz w:val="21"/>
          <w:szCs w:val="21"/>
        </w:rPr>
        <w:t>附</w:t>
      </w:r>
      <w:r>
        <w:rPr>
          <w:rFonts w:hint="eastAsia"/>
          <w:sz w:val="21"/>
          <w:szCs w:val="21"/>
        </w:rPr>
        <w:t>“信用中国”网站（</w:t>
      </w:r>
      <w:r>
        <w:rPr>
          <w:sz w:val="21"/>
          <w:szCs w:val="21"/>
        </w:rPr>
        <w:fldChar w:fldCharType="begin"/>
      </w:r>
      <w:r>
        <w:rPr>
          <w:sz w:val="21"/>
          <w:szCs w:val="21"/>
        </w:rPr>
        <w:instrText xml:space="preserve"> HYPERLINK "http://www.creditchina.gov.cn" </w:instrText>
      </w:r>
      <w:r>
        <w:rPr>
          <w:sz w:val="21"/>
          <w:szCs w:val="21"/>
        </w:rPr>
        <w:fldChar w:fldCharType="separate"/>
      </w:r>
      <w:r>
        <w:rPr>
          <w:rFonts w:hint="eastAsia"/>
          <w:sz w:val="21"/>
          <w:szCs w:val="21"/>
        </w:rPr>
        <w:t>www.creditchina.gov.cn</w:t>
      </w:r>
      <w:r>
        <w:rPr>
          <w:rFonts w:hint="eastAsia"/>
          <w:sz w:val="21"/>
          <w:szCs w:val="21"/>
        </w:rPr>
        <w:fldChar w:fldCharType="end"/>
      </w:r>
      <w:r>
        <w:rPr>
          <w:rFonts w:hint="eastAsia"/>
          <w:sz w:val="21"/>
          <w:szCs w:val="21"/>
        </w:rPr>
        <w:t>)的投标人网页信息查询截图。</w:t>
      </w:r>
    </w:p>
    <w:p w14:paraId="5E72EBA2">
      <w:pPr>
        <w:spacing w:line="440" w:lineRule="exact"/>
        <w:ind w:firstLine="3700" w:firstLineChars="1542"/>
        <w:rPr>
          <w:rFonts w:ascii="宋体" w:hAnsi="宋体" w:cs="Tahoma"/>
          <w:sz w:val="24"/>
        </w:rPr>
      </w:pPr>
    </w:p>
    <w:p w14:paraId="0C21A18F">
      <w:pPr>
        <w:spacing w:line="440" w:lineRule="exact"/>
        <w:rPr>
          <w:rFonts w:ascii="宋体" w:hAnsi="宋体" w:cs="Tahoma"/>
          <w:sz w:val="24"/>
        </w:rPr>
      </w:pPr>
    </w:p>
    <w:p w14:paraId="46109D1C">
      <w:pPr>
        <w:spacing w:line="440" w:lineRule="exact"/>
        <w:ind w:firstLine="3700" w:firstLineChars="1542"/>
        <w:rPr>
          <w:rFonts w:ascii="宋体" w:hAnsi="宋体" w:cs="Tahoma"/>
          <w:sz w:val="24"/>
        </w:rPr>
      </w:pPr>
    </w:p>
    <w:p w14:paraId="10D6D2C7">
      <w:pPr>
        <w:spacing w:line="520" w:lineRule="exact"/>
        <w:ind w:left="901" w:leftChars="429" w:firstLine="2337" w:firstLineChars="974"/>
        <w:jc w:val="left"/>
        <w:rPr>
          <w:rFonts w:ascii="宋体" w:hAnsi="宋体"/>
          <w:sz w:val="24"/>
          <w:u w:val="single"/>
        </w:rPr>
      </w:pPr>
      <w:r>
        <w:rPr>
          <w:rFonts w:hint="eastAsia" w:ascii="宋体" w:hAnsi="宋体"/>
          <w:sz w:val="24"/>
        </w:rPr>
        <w:t>投标人</w:t>
      </w:r>
      <w:r>
        <w:rPr>
          <w:rFonts w:hint="eastAsia" w:ascii="宋体" w:hAnsi="宋体"/>
          <w:sz w:val="28"/>
        </w:rPr>
        <w:t>：</w:t>
      </w:r>
      <w:r>
        <w:rPr>
          <w:rFonts w:hint="eastAsia" w:ascii="宋体" w:hAnsi="宋体"/>
          <w:sz w:val="24"/>
          <w:u w:val="single"/>
        </w:rPr>
        <w:t xml:space="preserve">                       （盖章）</w:t>
      </w:r>
    </w:p>
    <w:p w14:paraId="407951A8">
      <w:pPr>
        <w:spacing w:line="520" w:lineRule="exact"/>
        <w:ind w:firstLine="3240" w:firstLineChars="1350"/>
        <w:jc w:val="center"/>
        <w:rPr>
          <w:rFonts w:ascii="宋体" w:hAnsi="宋体"/>
          <w:sz w:val="24"/>
        </w:rPr>
      </w:pPr>
      <w:r>
        <w:rPr>
          <w:rFonts w:hint="eastAsia" w:ascii="宋体" w:hAnsi="宋体"/>
          <w:sz w:val="24"/>
        </w:rPr>
        <w:t>年月日</w:t>
      </w:r>
    </w:p>
    <w:p w14:paraId="15F8D1F0">
      <w:pPr>
        <w:bidi w:val="0"/>
        <w:rPr>
          <w:rFonts w:hint="eastAsia"/>
        </w:rPr>
      </w:pPr>
    </w:p>
    <w:p w14:paraId="2682995B">
      <w:pPr>
        <w:bidi w:val="0"/>
        <w:jc w:val="left"/>
        <w:rPr>
          <w:rFonts w:hint="eastAsia"/>
        </w:rPr>
      </w:pPr>
    </w:p>
    <w:p w14:paraId="54590B90">
      <w:pPr>
        <w:pStyle w:val="15"/>
        <w:rPr>
          <w:rFonts w:hint="eastAsia"/>
        </w:rPr>
        <w:sectPr>
          <w:pgSz w:w="11906" w:h="16838"/>
          <w:pgMar w:top="1247" w:right="1134" w:bottom="1247" w:left="1247" w:header="851" w:footer="850" w:gutter="0"/>
          <w:pgNumType w:fmt="decimal"/>
          <w:cols w:space="720" w:num="1"/>
          <w:formProt w:val="0"/>
          <w:docGrid w:linePitch="100" w:charSpace="0"/>
        </w:sectPr>
      </w:pPr>
    </w:p>
    <w:p w14:paraId="5AC6B33D">
      <w:pPr>
        <w:pStyle w:val="4"/>
        <w:keepNext/>
        <w:keepLines/>
        <w:pageBreakBefore w:val="0"/>
        <w:widowControl w:val="0"/>
        <w:numPr>
          <w:ilvl w:val="0"/>
          <w:numId w:val="13"/>
        </w:numPr>
        <w:kinsoku/>
        <w:wordWrap/>
        <w:overflowPunct/>
        <w:topLinePunct w:val="0"/>
        <w:autoSpaceDE/>
        <w:autoSpaceDN/>
        <w:bidi w:val="0"/>
        <w:adjustRightInd/>
        <w:snapToGrid/>
        <w:spacing w:before="0" w:after="60" w:line="416" w:lineRule="auto"/>
        <w:ind w:left="0" w:leftChars="0" w:firstLine="420" w:firstLineChars="0"/>
        <w:jc w:val="left"/>
        <w:textAlignment w:val="auto"/>
        <w:outlineLvl w:val="2"/>
        <w:rPr>
          <w:rFonts w:hint="eastAsia"/>
          <w:kern w:val="0"/>
          <w:sz w:val="28"/>
          <w:szCs w:val="28"/>
        </w:rPr>
      </w:pPr>
      <w:r>
        <w:rPr>
          <w:rFonts w:hint="eastAsia"/>
          <w:kern w:val="0"/>
          <w:sz w:val="28"/>
          <w:szCs w:val="28"/>
        </w:rPr>
        <w:t>拟投入管理人员资格</w:t>
      </w:r>
      <w:r>
        <w:rPr>
          <w:rFonts w:hint="eastAsia"/>
          <w:kern w:val="0"/>
          <w:sz w:val="28"/>
          <w:szCs w:val="28"/>
          <w:lang w:eastAsia="zh-CN"/>
        </w:rPr>
        <w:t>（</w:t>
      </w:r>
      <w:r>
        <w:rPr>
          <w:rFonts w:hint="eastAsia"/>
          <w:kern w:val="0"/>
          <w:sz w:val="28"/>
          <w:szCs w:val="28"/>
          <w:lang w:val="en-US" w:eastAsia="zh-CN"/>
        </w:rPr>
        <w:t>如有）</w:t>
      </w:r>
    </w:p>
    <w:p w14:paraId="77A5098C">
      <w:pPr>
        <w:jc w:val="center"/>
        <w:rPr>
          <w:rFonts w:ascii="Dutch801 Rm BT" w:hAnsi="Dutch801 Rm BT" w:cs="宋体"/>
          <w:b/>
          <w:sz w:val="44"/>
          <w:szCs w:val="44"/>
        </w:rPr>
      </w:pPr>
      <w:r>
        <w:rPr>
          <w:rFonts w:hint="eastAsia"/>
          <w:b/>
          <w:bCs/>
          <w:sz w:val="28"/>
          <w:szCs w:val="28"/>
        </w:rPr>
        <w:t>拟投入管理人员简历表</w:t>
      </w:r>
    </w:p>
    <w:tbl>
      <w:tblPr>
        <w:tblStyle w:val="29"/>
        <w:tblpPr w:leftFromText="180" w:rightFromText="180" w:vertAnchor="page" w:horzAnchor="page" w:tblpX="1436" w:tblpY="2632"/>
        <w:tblW w:w="9317" w:type="dxa"/>
        <w:jc w:val="center"/>
        <w:tblLayout w:type="fixed"/>
        <w:tblCellMar>
          <w:top w:w="0" w:type="dxa"/>
          <w:left w:w="108" w:type="dxa"/>
          <w:bottom w:w="0" w:type="dxa"/>
          <w:right w:w="108" w:type="dxa"/>
        </w:tblCellMar>
      </w:tblPr>
      <w:tblGrid>
        <w:gridCol w:w="1045"/>
        <w:gridCol w:w="885"/>
        <w:gridCol w:w="1545"/>
        <w:gridCol w:w="1035"/>
        <w:gridCol w:w="1365"/>
        <w:gridCol w:w="810"/>
        <w:gridCol w:w="420"/>
        <w:gridCol w:w="837"/>
        <w:gridCol w:w="1375"/>
      </w:tblGrid>
      <w:tr w14:paraId="242ED655">
        <w:tblPrEx>
          <w:tblCellMar>
            <w:top w:w="0" w:type="dxa"/>
            <w:left w:w="108" w:type="dxa"/>
            <w:bottom w:w="0" w:type="dxa"/>
            <w:right w:w="108" w:type="dxa"/>
          </w:tblCellMar>
        </w:tblPrEx>
        <w:trPr>
          <w:trHeight w:val="447" w:hRule="atLeast"/>
          <w:jc w:val="center"/>
        </w:trPr>
        <w:tc>
          <w:tcPr>
            <w:tcW w:w="1930" w:type="dxa"/>
            <w:gridSpan w:val="2"/>
            <w:tcBorders>
              <w:top w:val="single" w:color="000000" w:sz="4" w:space="0"/>
              <w:left w:val="single" w:color="000000" w:sz="4" w:space="0"/>
              <w:bottom w:val="single" w:color="000000" w:sz="4" w:space="0"/>
              <w:right w:val="single" w:color="000000" w:sz="4" w:space="0"/>
            </w:tcBorders>
            <w:vAlign w:val="center"/>
          </w:tcPr>
          <w:p w14:paraId="6C97AD0E">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ascii="宋体" w:hAnsi="宋体" w:cs="宋体"/>
                <w:sz w:val="24"/>
              </w:rPr>
            </w:pPr>
            <w:r>
              <w:rPr>
                <w:rFonts w:ascii="宋体" w:hAnsi="宋体" w:cs="宋体"/>
                <w:sz w:val="24"/>
              </w:rPr>
              <w:t>姓名</w:t>
            </w:r>
          </w:p>
        </w:tc>
        <w:tc>
          <w:tcPr>
            <w:tcW w:w="1545" w:type="dxa"/>
            <w:tcBorders>
              <w:top w:val="single" w:color="000000" w:sz="4" w:space="0"/>
              <w:bottom w:val="single" w:color="000000" w:sz="4" w:space="0"/>
              <w:right w:val="single" w:color="000000" w:sz="4" w:space="0"/>
            </w:tcBorders>
            <w:vAlign w:val="center"/>
          </w:tcPr>
          <w:p w14:paraId="64DCDC89">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ascii="宋体" w:hAnsi="宋体" w:cs="宋体"/>
                <w:sz w:val="24"/>
              </w:rPr>
            </w:pPr>
          </w:p>
        </w:tc>
        <w:tc>
          <w:tcPr>
            <w:tcW w:w="1035" w:type="dxa"/>
            <w:tcBorders>
              <w:top w:val="single" w:color="000000" w:sz="4" w:space="0"/>
              <w:bottom w:val="single" w:color="000000" w:sz="4" w:space="0"/>
              <w:right w:val="single" w:color="000000" w:sz="4" w:space="0"/>
            </w:tcBorders>
            <w:vAlign w:val="center"/>
          </w:tcPr>
          <w:p w14:paraId="237CB981">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ascii="宋体" w:hAnsi="宋体" w:cs="宋体"/>
                <w:sz w:val="24"/>
              </w:rPr>
            </w:pPr>
            <w:r>
              <w:rPr>
                <w:rFonts w:ascii="宋体" w:hAnsi="宋体" w:cs="宋体"/>
                <w:sz w:val="24"/>
              </w:rPr>
              <w:t>性别</w:t>
            </w:r>
          </w:p>
        </w:tc>
        <w:tc>
          <w:tcPr>
            <w:tcW w:w="2175" w:type="dxa"/>
            <w:gridSpan w:val="2"/>
            <w:tcBorders>
              <w:top w:val="single" w:color="000000" w:sz="4" w:space="0"/>
              <w:bottom w:val="single" w:color="000000" w:sz="4" w:space="0"/>
              <w:right w:val="single" w:color="000000" w:sz="4" w:space="0"/>
            </w:tcBorders>
            <w:vAlign w:val="center"/>
          </w:tcPr>
          <w:p w14:paraId="4291A19B">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ascii="宋体" w:hAnsi="宋体" w:cs="宋体"/>
                <w:sz w:val="24"/>
              </w:rPr>
            </w:pPr>
          </w:p>
        </w:tc>
        <w:tc>
          <w:tcPr>
            <w:tcW w:w="1257" w:type="dxa"/>
            <w:gridSpan w:val="2"/>
            <w:tcBorders>
              <w:top w:val="single" w:color="000000" w:sz="4" w:space="0"/>
              <w:bottom w:val="single" w:color="000000" w:sz="4" w:space="0"/>
              <w:right w:val="single" w:color="000000" w:sz="4" w:space="0"/>
            </w:tcBorders>
            <w:vAlign w:val="center"/>
          </w:tcPr>
          <w:p w14:paraId="5EC7FC2B">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ascii="宋体" w:hAnsi="宋体" w:cs="宋体"/>
                <w:sz w:val="24"/>
              </w:rPr>
            </w:pPr>
            <w:r>
              <w:rPr>
                <w:rFonts w:hint="eastAsia" w:ascii="宋体" w:hAnsi="宋体" w:cs="宋体"/>
                <w:sz w:val="24"/>
              </w:rPr>
              <w:t>出生年月</w:t>
            </w:r>
          </w:p>
        </w:tc>
        <w:tc>
          <w:tcPr>
            <w:tcW w:w="1375" w:type="dxa"/>
            <w:tcBorders>
              <w:top w:val="single" w:color="000000" w:sz="4" w:space="0"/>
              <w:bottom w:val="single" w:color="000000" w:sz="4" w:space="0"/>
              <w:right w:val="single" w:color="000000" w:sz="4" w:space="0"/>
            </w:tcBorders>
            <w:vAlign w:val="center"/>
          </w:tcPr>
          <w:p w14:paraId="63214CAF">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ascii="宋体" w:hAnsi="宋体" w:cs="宋体"/>
                <w:sz w:val="24"/>
              </w:rPr>
            </w:pPr>
          </w:p>
        </w:tc>
      </w:tr>
      <w:tr w14:paraId="43392B68">
        <w:tblPrEx>
          <w:tblCellMar>
            <w:top w:w="0" w:type="dxa"/>
            <w:left w:w="108" w:type="dxa"/>
            <w:bottom w:w="0" w:type="dxa"/>
            <w:right w:w="108" w:type="dxa"/>
          </w:tblCellMar>
        </w:tblPrEx>
        <w:trPr>
          <w:trHeight w:val="466" w:hRule="atLeast"/>
          <w:jc w:val="center"/>
        </w:trPr>
        <w:tc>
          <w:tcPr>
            <w:tcW w:w="1930" w:type="dxa"/>
            <w:gridSpan w:val="2"/>
            <w:tcBorders>
              <w:top w:val="single" w:color="000000" w:sz="4" w:space="0"/>
              <w:left w:val="single" w:color="000000" w:sz="4" w:space="0"/>
              <w:bottom w:val="single" w:color="000000" w:sz="4" w:space="0"/>
              <w:right w:val="single" w:color="000000" w:sz="4" w:space="0"/>
            </w:tcBorders>
            <w:vAlign w:val="center"/>
          </w:tcPr>
          <w:p w14:paraId="63C92226">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ascii="宋体" w:hAnsi="宋体" w:cs="宋体"/>
                <w:sz w:val="24"/>
              </w:rPr>
            </w:pPr>
            <w:r>
              <w:rPr>
                <w:rFonts w:hint="eastAsia" w:ascii="宋体" w:hAnsi="宋体" w:cs="宋体"/>
                <w:sz w:val="24"/>
              </w:rPr>
              <w:t>拟在本项目任职</w:t>
            </w:r>
          </w:p>
        </w:tc>
        <w:tc>
          <w:tcPr>
            <w:tcW w:w="1545" w:type="dxa"/>
            <w:tcBorders>
              <w:top w:val="single" w:color="000000" w:sz="4" w:space="0"/>
              <w:bottom w:val="single" w:color="000000" w:sz="4" w:space="0"/>
              <w:right w:val="single" w:color="000000" w:sz="4" w:space="0"/>
            </w:tcBorders>
            <w:vAlign w:val="center"/>
          </w:tcPr>
          <w:p w14:paraId="4BDFB607">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ascii="宋体" w:hAnsi="宋体" w:cs="宋体"/>
                <w:sz w:val="24"/>
              </w:rPr>
            </w:pPr>
          </w:p>
        </w:tc>
        <w:tc>
          <w:tcPr>
            <w:tcW w:w="1035" w:type="dxa"/>
            <w:tcBorders>
              <w:top w:val="single" w:color="000000" w:sz="4" w:space="0"/>
              <w:bottom w:val="single" w:color="000000" w:sz="4" w:space="0"/>
              <w:right w:val="single" w:color="000000" w:sz="4" w:space="0"/>
            </w:tcBorders>
            <w:vAlign w:val="center"/>
          </w:tcPr>
          <w:p w14:paraId="1ABDAD0A">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ascii="宋体" w:hAnsi="宋体" w:cs="宋体"/>
                <w:sz w:val="24"/>
              </w:rPr>
            </w:pPr>
            <w:r>
              <w:rPr>
                <w:rFonts w:ascii="宋体" w:hAnsi="宋体" w:cs="宋体"/>
                <w:sz w:val="24"/>
              </w:rPr>
              <w:t>学历</w:t>
            </w:r>
          </w:p>
        </w:tc>
        <w:tc>
          <w:tcPr>
            <w:tcW w:w="2175" w:type="dxa"/>
            <w:gridSpan w:val="2"/>
            <w:tcBorders>
              <w:top w:val="single" w:color="000000" w:sz="4" w:space="0"/>
              <w:bottom w:val="single" w:color="000000" w:sz="4" w:space="0"/>
              <w:right w:val="single" w:color="000000" w:sz="4" w:space="0"/>
            </w:tcBorders>
            <w:vAlign w:val="center"/>
          </w:tcPr>
          <w:p w14:paraId="7A5B439A">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ascii="宋体" w:hAnsi="宋体" w:cs="宋体"/>
                <w:sz w:val="24"/>
              </w:rPr>
            </w:pPr>
          </w:p>
        </w:tc>
        <w:tc>
          <w:tcPr>
            <w:tcW w:w="1257" w:type="dxa"/>
            <w:gridSpan w:val="2"/>
            <w:tcBorders>
              <w:top w:val="single" w:color="000000" w:sz="4" w:space="0"/>
              <w:bottom w:val="single" w:color="000000" w:sz="4" w:space="0"/>
              <w:right w:val="single" w:color="000000" w:sz="4" w:space="0"/>
            </w:tcBorders>
            <w:vAlign w:val="center"/>
          </w:tcPr>
          <w:p w14:paraId="3F755670">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ascii="宋体" w:hAnsi="宋体" w:cs="宋体"/>
                <w:sz w:val="24"/>
              </w:rPr>
            </w:pPr>
            <w:r>
              <w:rPr>
                <w:rFonts w:ascii="宋体" w:hAnsi="宋体" w:cs="宋体"/>
                <w:sz w:val="24"/>
              </w:rPr>
              <w:t>毕业时间</w:t>
            </w:r>
          </w:p>
        </w:tc>
        <w:tc>
          <w:tcPr>
            <w:tcW w:w="1375" w:type="dxa"/>
            <w:tcBorders>
              <w:top w:val="single" w:color="000000" w:sz="4" w:space="0"/>
              <w:bottom w:val="single" w:color="000000" w:sz="4" w:space="0"/>
              <w:right w:val="single" w:color="000000" w:sz="4" w:space="0"/>
            </w:tcBorders>
            <w:vAlign w:val="center"/>
          </w:tcPr>
          <w:p w14:paraId="1A3BC060">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ascii="宋体" w:hAnsi="宋体" w:cs="宋体"/>
                <w:sz w:val="24"/>
              </w:rPr>
            </w:pPr>
          </w:p>
        </w:tc>
      </w:tr>
      <w:tr w14:paraId="65407315">
        <w:tblPrEx>
          <w:tblCellMar>
            <w:top w:w="0" w:type="dxa"/>
            <w:left w:w="108" w:type="dxa"/>
            <w:bottom w:w="0" w:type="dxa"/>
            <w:right w:w="108" w:type="dxa"/>
          </w:tblCellMar>
        </w:tblPrEx>
        <w:trPr>
          <w:trHeight w:val="466" w:hRule="atLeast"/>
          <w:jc w:val="center"/>
        </w:trPr>
        <w:tc>
          <w:tcPr>
            <w:tcW w:w="1930" w:type="dxa"/>
            <w:gridSpan w:val="2"/>
            <w:tcBorders>
              <w:top w:val="single" w:color="000000" w:sz="4" w:space="0"/>
              <w:left w:val="single" w:color="000000" w:sz="4" w:space="0"/>
              <w:bottom w:val="single" w:color="000000" w:sz="4" w:space="0"/>
              <w:right w:val="single" w:color="000000" w:sz="4" w:space="0"/>
            </w:tcBorders>
            <w:vAlign w:val="center"/>
          </w:tcPr>
          <w:p w14:paraId="4BF91037">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ascii="宋体" w:hAnsi="宋体" w:cs="宋体"/>
                <w:sz w:val="24"/>
              </w:rPr>
            </w:pPr>
            <w:r>
              <w:rPr>
                <w:rFonts w:ascii="宋体" w:hAnsi="宋体" w:cs="宋体"/>
                <w:sz w:val="24"/>
              </w:rPr>
              <w:t>毕业院校</w:t>
            </w:r>
          </w:p>
        </w:tc>
        <w:tc>
          <w:tcPr>
            <w:tcW w:w="2580" w:type="dxa"/>
            <w:gridSpan w:val="2"/>
            <w:tcBorders>
              <w:top w:val="single" w:color="000000" w:sz="4" w:space="0"/>
              <w:bottom w:val="single" w:color="000000" w:sz="4" w:space="0"/>
              <w:right w:val="single" w:color="000000" w:sz="4" w:space="0"/>
            </w:tcBorders>
            <w:vAlign w:val="center"/>
          </w:tcPr>
          <w:p w14:paraId="364B2A2F">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ascii="宋体" w:hAnsi="宋体" w:cs="宋体"/>
                <w:sz w:val="24"/>
              </w:rPr>
            </w:pPr>
          </w:p>
        </w:tc>
        <w:tc>
          <w:tcPr>
            <w:tcW w:w="2175" w:type="dxa"/>
            <w:gridSpan w:val="2"/>
            <w:tcBorders>
              <w:top w:val="single" w:color="000000" w:sz="4" w:space="0"/>
              <w:bottom w:val="single" w:color="000000" w:sz="4" w:space="0"/>
              <w:right w:val="single" w:color="000000" w:sz="4" w:space="0"/>
            </w:tcBorders>
            <w:vAlign w:val="center"/>
          </w:tcPr>
          <w:p w14:paraId="51CD17C8">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ascii="宋体" w:hAnsi="宋体" w:cs="宋体"/>
                <w:sz w:val="24"/>
              </w:rPr>
            </w:pPr>
            <w:r>
              <w:rPr>
                <w:rFonts w:ascii="宋体" w:hAnsi="宋体" w:cs="宋体"/>
                <w:sz w:val="24"/>
              </w:rPr>
              <w:t>所学专业</w:t>
            </w:r>
          </w:p>
        </w:tc>
        <w:tc>
          <w:tcPr>
            <w:tcW w:w="2632" w:type="dxa"/>
            <w:gridSpan w:val="3"/>
            <w:tcBorders>
              <w:top w:val="single" w:color="000000" w:sz="4" w:space="0"/>
              <w:bottom w:val="single" w:color="000000" w:sz="4" w:space="0"/>
              <w:right w:val="single" w:color="000000" w:sz="4" w:space="0"/>
            </w:tcBorders>
            <w:vAlign w:val="center"/>
          </w:tcPr>
          <w:p w14:paraId="3E04970D">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ascii="宋体" w:hAnsi="宋体" w:cs="宋体"/>
                <w:sz w:val="24"/>
              </w:rPr>
            </w:pPr>
          </w:p>
        </w:tc>
      </w:tr>
      <w:tr w14:paraId="349986BB">
        <w:tblPrEx>
          <w:tblCellMar>
            <w:top w:w="0" w:type="dxa"/>
            <w:left w:w="108" w:type="dxa"/>
            <w:bottom w:w="0" w:type="dxa"/>
            <w:right w:w="108" w:type="dxa"/>
          </w:tblCellMar>
        </w:tblPrEx>
        <w:trPr>
          <w:trHeight w:val="466" w:hRule="atLeast"/>
          <w:jc w:val="center"/>
        </w:trPr>
        <w:tc>
          <w:tcPr>
            <w:tcW w:w="1930" w:type="dxa"/>
            <w:gridSpan w:val="2"/>
            <w:tcBorders>
              <w:top w:val="single" w:color="000000" w:sz="4" w:space="0"/>
              <w:left w:val="single" w:color="000000" w:sz="4" w:space="0"/>
              <w:bottom w:val="single" w:color="000000" w:sz="4" w:space="0"/>
              <w:right w:val="single" w:color="000000" w:sz="4" w:space="0"/>
            </w:tcBorders>
            <w:vAlign w:val="center"/>
          </w:tcPr>
          <w:p w14:paraId="1790C44E">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ascii="宋体" w:hAnsi="宋体" w:cs="宋体"/>
                <w:sz w:val="24"/>
              </w:rPr>
            </w:pPr>
            <w:r>
              <w:rPr>
                <w:rFonts w:ascii="宋体" w:hAnsi="宋体" w:cs="宋体"/>
                <w:sz w:val="24"/>
              </w:rPr>
              <w:t>工作年限</w:t>
            </w:r>
          </w:p>
        </w:tc>
        <w:tc>
          <w:tcPr>
            <w:tcW w:w="2580" w:type="dxa"/>
            <w:gridSpan w:val="2"/>
            <w:tcBorders>
              <w:top w:val="single" w:color="000000" w:sz="4" w:space="0"/>
              <w:bottom w:val="single" w:color="000000" w:sz="4" w:space="0"/>
              <w:right w:val="single" w:color="000000" w:sz="4" w:space="0"/>
            </w:tcBorders>
            <w:vAlign w:val="center"/>
          </w:tcPr>
          <w:p w14:paraId="6A8F6A1D">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ascii="宋体" w:hAnsi="宋体" w:cs="宋体"/>
                <w:sz w:val="24"/>
              </w:rPr>
            </w:pPr>
          </w:p>
        </w:tc>
        <w:tc>
          <w:tcPr>
            <w:tcW w:w="2175" w:type="dxa"/>
            <w:gridSpan w:val="2"/>
            <w:tcBorders>
              <w:top w:val="single" w:color="000000" w:sz="4" w:space="0"/>
              <w:bottom w:val="single" w:color="000000" w:sz="4" w:space="0"/>
              <w:right w:val="single" w:color="000000" w:sz="4" w:space="0"/>
            </w:tcBorders>
            <w:vAlign w:val="center"/>
          </w:tcPr>
          <w:p w14:paraId="22E3FF54">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ascii="宋体" w:hAnsi="宋体" w:cs="宋体"/>
                <w:sz w:val="24"/>
              </w:rPr>
            </w:pPr>
            <w:r>
              <w:rPr>
                <w:rFonts w:ascii="宋体" w:hAnsi="宋体" w:cs="宋体"/>
                <w:sz w:val="24"/>
              </w:rPr>
              <w:t>从事</w:t>
            </w:r>
            <w:r>
              <w:rPr>
                <w:rFonts w:hint="eastAsia" w:ascii="宋体" w:hAnsi="宋体" w:cs="宋体"/>
                <w:sz w:val="24"/>
                <w:lang w:val="en-US" w:eastAsia="zh-CN"/>
              </w:rPr>
              <w:t>相关</w:t>
            </w:r>
            <w:r>
              <w:rPr>
                <w:rFonts w:ascii="宋体" w:hAnsi="宋体" w:cs="宋体"/>
                <w:sz w:val="24"/>
              </w:rPr>
              <w:t>工作年限</w:t>
            </w:r>
          </w:p>
        </w:tc>
        <w:tc>
          <w:tcPr>
            <w:tcW w:w="2632" w:type="dxa"/>
            <w:gridSpan w:val="3"/>
            <w:tcBorders>
              <w:top w:val="single" w:color="000000" w:sz="4" w:space="0"/>
              <w:bottom w:val="single" w:color="000000" w:sz="4" w:space="0"/>
              <w:right w:val="single" w:color="000000" w:sz="4" w:space="0"/>
            </w:tcBorders>
            <w:vAlign w:val="center"/>
          </w:tcPr>
          <w:p w14:paraId="1EB91EA2">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ascii="宋体" w:hAnsi="宋体" w:cs="宋体"/>
                <w:sz w:val="24"/>
              </w:rPr>
            </w:pPr>
          </w:p>
        </w:tc>
      </w:tr>
      <w:tr w14:paraId="35BF45CE">
        <w:tblPrEx>
          <w:tblCellMar>
            <w:top w:w="0" w:type="dxa"/>
            <w:left w:w="108" w:type="dxa"/>
            <w:bottom w:w="0" w:type="dxa"/>
            <w:right w:w="108" w:type="dxa"/>
          </w:tblCellMar>
        </w:tblPrEx>
        <w:trPr>
          <w:trHeight w:val="466" w:hRule="atLeast"/>
          <w:jc w:val="center"/>
        </w:trPr>
        <w:tc>
          <w:tcPr>
            <w:tcW w:w="1930" w:type="dxa"/>
            <w:gridSpan w:val="2"/>
            <w:tcBorders>
              <w:top w:val="single" w:color="000000" w:sz="4" w:space="0"/>
              <w:left w:val="single" w:color="000000" w:sz="4" w:space="0"/>
              <w:bottom w:val="single" w:color="000000" w:sz="4" w:space="0"/>
              <w:right w:val="single" w:color="000000" w:sz="4" w:space="0"/>
            </w:tcBorders>
            <w:vAlign w:val="center"/>
          </w:tcPr>
          <w:p w14:paraId="6CD44C05">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ascii="宋体" w:hAnsi="宋体" w:cs="宋体"/>
                <w:sz w:val="24"/>
              </w:rPr>
            </w:pPr>
            <w:r>
              <w:rPr>
                <w:rFonts w:ascii="宋体" w:hAnsi="宋体" w:cs="宋体"/>
                <w:sz w:val="24"/>
              </w:rPr>
              <w:t>注册证书</w:t>
            </w:r>
          </w:p>
        </w:tc>
        <w:tc>
          <w:tcPr>
            <w:tcW w:w="2580" w:type="dxa"/>
            <w:gridSpan w:val="2"/>
            <w:tcBorders>
              <w:top w:val="single" w:color="000000" w:sz="4" w:space="0"/>
              <w:bottom w:val="single" w:color="000000" w:sz="4" w:space="0"/>
              <w:right w:val="single" w:color="000000" w:sz="4" w:space="0"/>
            </w:tcBorders>
            <w:vAlign w:val="center"/>
          </w:tcPr>
          <w:p w14:paraId="721A922A">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ascii="宋体" w:hAnsi="宋体" w:cs="宋体"/>
                <w:sz w:val="24"/>
              </w:rPr>
            </w:pPr>
          </w:p>
        </w:tc>
        <w:tc>
          <w:tcPr>
            <w:tcW w:w="2175" w:type="dxa"/>
            <w:gridSpan w:val="2"/>
            <w:tcBorders>
              <w:top w:val="single" w:color="000000" w:sz="4" w:space="0"/>
              <w:bottom w:val="single" w:color="000000" w:sz="4" w:space="0"/>
              <w:right w:val="single" w:color="000000" w:sz="4" w:space="0"/>
            </w:tcBorders>
            <w:vAlign w:val="center"/>
          </w:tcPr>
          <w:p w14:paraId="2BF25833">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ascii="宋体" w:hAnsi="宋体" w:cs="宋体"/>
                <w:sz w:val="24"/>
              </w:rPr>
            </w:pPr>
            <w:r>
              <w:rPr>
                <w:rFonts w:ascii="宋体" w:hAnsi="宋体" w:cs="宋体"/>
                <w:sz w:val="24"/>
              </w:rPr>
              <w:t>证书编号</w:t>
            </w:r>
          </w:p>
        </w:tc>
        <w:tc>
          <w:tcPr>
            <w:tcW w:w="2632" w:type="dxa"/>
            <w:gridSpan w:val="3"/>
            <w:tcBorders>
              <w:top w:val="single" w:color="000000" w:sz="4" w:space="0"/>
              <w:bottom w:val="single" w:color="000000" w:sz="4" w:space="0"/>
              <w:right w:val="single" w:color="000000" w:sz="4" w:space="0"/>
            </w:tcBorders>
            <w:vAlign w:val="center"/>
          </w:tcPr>
          <w:p w14:paraId="46ADD6FA">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ascii="宋体" w:hAnsi="宋体" w:cs="宋体"/>
                <w:sz w:val="24"/>
              </w:rPr>
            </w:pPr>
          </w:p>
        </w:tc>
      </w:tr>
      <w:tr w14:paraId="19AE7DF2">
        <w:tblPrEx>
          <w:tblCellMar>
            <w:top w:w="0" w:type="dxa"/>
            <w:left w:w="108" w:type="dxa"/>
            <w:bottom w:w="0" w:type="dxa"/>
            <w:right w:w="108" w:type="dxa"/>
          </w:tblCellMar>
        </w:tblPrEx>
        <w:trPr>
          <w:trHeight w:val="473" w:hRule="atLeast"/>
          <w:jc w:val="center"/>
        </w:trPr>
        <w:tc>
          <w:tcPr>
            <w:tcW w:w="1930" w:type="dxa"/>
            <w:gridSpan w:val="2"/>
            <w:tcBorders>
              <w:top w:val="single" w:color="000000" w:sz="4" w:space="0"/>
              <w:left w:val="single" w:color="000000" w:sz="4" w:space="0"/>
              <w:bottom w:val="single" w:color="000000" w:sz="4" w:space="0"/>
              <w:right w:val="single" w:color="000000" w:sz="4" w:space="0"/>
            </w:tcBorders>
            <w:vAlign w:val="center"/>
          </w:tcPr>
          <w:p w14:paraId="3A05572B">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ascii="宋体" w:hAnsi="宋体" w:cs="宋体"/>
                <w:sz w:val="24"/>
              </w:rPr>
            </w:pPr>
            <w:r>
              <w:rPr>
                <w:rFonts w:hint="eastAsia" w:ascii="宋体" w:hAnsi="宋体" w:cs="宋体"/>
                <w:sz w:val="24"/>
              </w:rPr>
              <w:t>职称证书</w:t>
            </w:r>
          </w:p>
        </w:tc>
        <w:tc>
          <w:tcPr>
            <w:tcW w:w="2580" w:type="dxa"/>
            <w:gridSpan w:val="2"/>
            <w:tcBorders>
              <w:top w:val="single" w:color="000000" w:sz="4" w:space="0"/>
              <w:bottom w:val="single" w:color="000000" w:sz="4" w:space="0"/>
              <w:right w:val="single" w:color="000000" w:sz="4" w:space="0"/>
            </w:tcBorders>
            <w:vAlign w:val="center"/>
          </w:tcPr>
          <w:p w14:paraId="2A331EB3">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ascii="宋体" w:hAnsi="宋体" w:cs="宋体"/>
                <w:sz w:val="24"/>
              </w:rPr>
            </w:pPr>
          </w:p>
        </w:tc>
        <w:tc>
          <w:tcPr>
            <w:tcW w:w="2175" w:type="dxa"/>
            <w:gridSpan w:val="2"/>
            <w:tcBorders>
              <w:top w:val="single" w:color="000000" w:sz="4" w:space="0"/>
              <w:bottom w:val="single" w:color="000000" w:sz="4" w:space="0"/>
              <w:right w:val="single" w:color="000000" w:sz="4" w:space="0"/>
            </w:tcBorders>
            <w:vAlign w:val="center"/>
          </w:tcPr>
          <w:p w14:paraId="187B8950">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ascii="宋体" w:hAnsi="宋体" w:cs="宋体"/>
                <w:sz w:val="24"/>
              </w:rPr>
            </w:pPr>
            <w:r>
              <w:rPr>
                <w:rFonts w:ascii="宋体" w:hAnsi="宋体" w:cs="宋体"/>
                <w:sz w:val="24"/>
              </w:rPr>
              <w:t>证书编号</w:t>
            </w:r>
          </w:p>
        </w:tc>
        <w:tc>
          <w:tcPr>
            <w:tcW w:w="2632" w:type="dxa"/>
            <w:gridSpan w:val="3"/>
            <w:tcBorders>
              <w:top w:val="single" w:color="000000" w:sz="4" w:space="0"/>
              <w:bottom w:val="single" w:color="000000" w:sz="4" w:space="0"/>
              <w:right w:val="single" w:color="000000" w:sz="4" w:space="0"/>
            </w:tcBorders>
            <w:vAlign w:val="center"/>
          </w:tcPr>
          <w:p w14:paraId="0ECA54AC">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ascii="宋体" w:hAnsi="宋体" w:cs="宋体"/>
                <w:sz w:val="24"/>
              </w:rPr>
            </w:pPr>
          </w:p>
        </w:tc>
      </w:tr>
      <w:tr w14:paraId="686643A9">
        <w:tblPrEx>
          <w:tblCellMar>
            <w:top w:w="0" w:type="dxa"/>
            <w:left w:w="108" w:type="dxa"/>
            <w:bottom w:w="0" w:type="dxa"/>
            <w:right w:w="108" w:type="dxa"/>
          </w:tblCellMar>
        </w:tblPrEx>
        <w:trPr>
          <w:trHeight w:val="473" w:hRule="atLeast"/>
          <w:jc w:val="center"/>
        </w:trPr>
        <w:tc>
          <w:tcPr>
            <w:tcW w:w="1930" w:type="dxa"/>
            <w:gridSpan w:val="2"/>
            <w:tcBorders>
              <w:top w:val="single" w:color="000000" w:sz="4" w:space="0"/>
              <w:left w:val="single" w:color="000000" w:sz="4" w:space="0"/>
              <w:bottom w:val="single" w:color="000000" w:sz="4" w:space="0"/>
              <w:right w:val="single" w:color="000000" w:sz="4" w:space="0"/>
            </w:tcBorders>
            <w:vAlign w:val="center"/>
          </w:tcPr>
          <w:p w14:paraId="04500BF5">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sz w:val="24"/>
                <w:lang w:val="en-US" w:eastAsia="zh-CN"/>
              </w:rPr>
            </w:pPr>
            <w:r>
              <w:rPr>
                <w:rFonts w:hint="eastAsia" w:ascii="宋体" w:hAnsi="宋体" w:cs="宋体"/>
                <w:sz w:val="24"/>
                <w:lang w:val="en-US" w:eastAsia="zh-CN"/>
              </w:rPr>
              <w:t>其他证书</w:t>
            </w:r>
          </w:p>
        </w:tc>
        <w:tc>
          <w:tcPr>
            <w:tcW w:w="2580" w:type="dxa"/>
            <w:gridSpan w:val="2"/>
            <w:tcBorders>
              <w:top w:val="single" w:color="000000" w:sz="4" w:space="0"/>
              <w:bottom w:val="single" w:color="000000" w:sz="4" w:space="0"/>
              <w:right w:val="single" w:color="000000" w:sz="4" w:space="0"/>
            </w:tcBorders>
            <w:vAlign w:val="center"/>
          </w:tcPr>
          <w:p w14:paraId="2362B284">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ascii="宋体" w:hAnsi="宋体" w:cs="宋体"/>
                <w:sz w:val="24"/>
              </w:rPr>
            </w:pPr>
          </w:p>
        </w:tc>
        <w:tc>
          <w:tcPr>
            <w:tcW w:w="2175" w:type="dxa"/>
            <w:gridSpan w:val="2"/>
            <w:tcBorders>
              <w:top w:val="single" w:color="000000" w:sz="4" w:space="0"/>
              <w:bottom w:val="single" w:color="000000" w:sz="4" w:space="0"/>
              <w:right w:val="single" w:color="000000" w:sz="4" w:space="0"/>
            </w:tcBorders>
            <w:vAlign w:val="center"/>
          </w:tcPr>
          <w:p w14:paraId="4B56BD0A">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ascii="宋体" w:hAnsi="宋体" w:cs="宋体"/>
                <w:sz w:val="24"/>
              </w:rPr>
            </w:pPr>
            <w:r>
              <w:rPr>
                <w:rFonts w:ascii="宋体" w:hAnsi="宋体" w:cs="宋体"/>
                <w:sz w:val="24"/>
              </w:rPr>
              <w:t>证书编号</w:t>
            </w:r>
          </w:p>
        </w:tc>
        <w:tc>
          <w:tcPr>
            <w:tcW w:w="2632" w:type="dxa"/>
            <w:gridSpan w:val="3"/>
            <w:tcBorders>
              <w:top w:val="single" w:color="000000" w:sz="4" w:space="0"/>
              <w:bottom w:val="single" w:color="000000" w:sz="4" w:space="0"/>
              <w:right w:val="single" w:color="000000" w:sz="4" w:space="0"/>
            </w:tcBorders>
            <w:vAlign w:val="center"/>
          </w:tcPr>
          <w:p w14:paraId="39B9C4A6">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ascii="宋体" w:hAnsi="宋体" w:cs="宋体"/>
                <w:sz w:val="24"/>
              </w:rPr>
            </w:pPr>
          </w:p>
        </w:tc>
      </w:tr>
      <w:tr w14:paraId="530D1891">
        <w:tblPrEx>
          <w:tblCellMar>
            <w:top w:w="0" w:type="dxa"/>
            <w:left w:w="108" w:type="dxa"/>
            <w:bottom w:w="0" w:type="dxa"/>
            <w:right w:w="108" w:type="dxa"/>
          </w:tblCellMar>
        </w:tblPrEx>
        <w:trPr>
          <w:cantSplit/>
          <w:trHeight w:val="450" w:hRule="atLeast"/>
          <w:jc w:val="center"/>
        </w:trPr>
        <w:tc>
          <w:tcPr>
            <w:tcW w:w="9317" w:type="dxa"/>
            <w:gridSpan w:val="9"/>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36FEAD7C">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ascii="宋体" w:hAnsi="宋体" w:cs="宋体"/>
                <w:sz w:val="24"/>
              </w:rPr>
            </w:pPr>
            <w:r>
              <w:rPr>
                <w:rFonts w:hint="eastAsia"/>
                <w:sz w:val="24"/>
                <w:szCs w:val="24"/>
              </w:rPr>
              <w:t>主要工作经历</w:t>
            </w:r>
          </w:p>
        </w:tc>
      </w:tr>
      <w:tr w14:paraId="505B8DD0">
        <w:tblPrEx>
          <w:tblCellMar>
            <w:top w:w="0" w:type="dxa"/>
            <w:left w:w="108" w:type="dxa"/>
            <w:bottom w:w="0" w:type="dxa"/>
            <w:right w:w="108" w:type="dxa"/>
          </w:tblCellMar>
        </w:tblPrEx>
        <w:trPr>
          <w:trHeight w:val="466" w:hRule="atLeast"/>
          <w:jc w:val="center"/>
        </w:trPr>
        <w:tc>
          <w:tcPr>
            <w:tcW w:w="1045"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35270798">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ascii="宋体" w:hAnsi="宋体" w:cs="宋体"/>
                <w:sz w:val="24"/>
              </w:rPr>
            </w:pPr>
            <w:r>
              <w:rPr>
                <w:rFonts w:hint="eastAsia" w:ascii="宋体" w:hAnsi="宋体" w:cs="宋体"/>
                <w:sz w:val="24"/>
              </w:rPr>
              <w:t>时 间</w:t>
            </w:r>
          </w:p>
        </w:tc>
        <w:tc>
          <w:tcPr>
            <w:tcW w:w="3465" w:type="dxa"/>
            <w:gridSpan w:val="3"/>
            <w:tcBorders>
              <w:top w:val="single" w:color="000000" w:sz="4" w:space="0"/>
              <w:bottom w:val="single" w:color="000000" w:sz="4" w:space="0"/>
              <w:right w:val="single" w:color="000000" w:sz="4" w:space="0"/>
            </w:tcBorders>
            <w:shd w:val="clear" w:color="auto" w:fill="EEECE1" w:themeFill="background2"/>
            <w:vAlign w:val="center"/>
          </w:tcPr>
          <w:p w14:paraId="2DB9AA16">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ascii="宋体" w:hAnsi="宋体" w:cs="宋体"/>
                <w:sz w:val="24"/>
              </w:rPr>
            </w:pPr>
            <w:r>
              <w:rPr>
                <w:rFonts w:hint="eastAsia" w:ascii="宋体" w:hAnsi="宋体" w:cs="宋体"/>
                <w:sz w:val="24"/>
              </w:rPr>
              <w:t>参加过的</w:t>
            </w:r>
            <w:r>
              <w:rPr>
                <w:rFonts w:ascii="宋体" w:hAnsi="宋体" w:cs="宋体"/>
                <w:sz w:val="24"/>
              </w:rPr>
              <w:t>项目名称</w:t>
            </w:r>
          </w:p>
        </w:tc>
        <w:tc>
          <w:tcPr>
            <w:tcW w:w="1365" w:type="dxa"/>
            <w:tcBorders>
              <w:top w:val="single" w:color="000000" w:sz="4" w:space="0"/>
              <w:bottom w:val="single" w:color="000000" w:sz="4" w:space="0"/>
              <w:right w:val="single" w:color="000000" w:sz="4" w:space="0"/>
            </w:tcBorders>
            <w:shd w:val="clear" w:color="auto" w:fill="EEECE1" w:themeFill="background2"/>
            <w:vAlign w:val="center"/>
          </w:tcPr>
          <w:p w14:paraId="42FAEF4F">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ascii="宋体" w:hAnsi="宋体" w:cs="宋体"/>
                <w:sz w:val="24"/>
              </w:rPr>
            </w:pPr>
            <w:r>
              <w:rPr>
                <w:rFonts w:hint="eastAsia" w:ascii="宋体" w:hAnsi="宋体" w:cs="宋体"/>
                <w:sz w:val="24"/>
                <w:lang w:val="en-US" w:eastAsia="zh-CN"/>
              </w:rPr>
              <w:t>类型</w:t>
            </w:r>
            <w:r>
              <w:rPr>
                <w:rFonts w:ascii="宋体" w:hAnsi="宋体" w:cs="宋体"/>
                <w:sz w:val="24"/>
              </w:rPr>
              <w:t>规模</w:t>
            </w:r>
          </w:p>
        </w:tc>
        <w:tc>
          <w:tcPr>
            <w:tcW w:w="1230" w:type="dxa"/>
            <w:gridSpan w:val="2"/>
            <w:tcBorders>
              <w:top w:val="single" w:color="000000" w:sz="4" w:space="0"/>
              <w:bottom w:val="single" w:color="000000" w:sz="4" w:space="0"/>
              <w:right w:val="single" w:color="000000" w:sz="4" w:space="0"/>
            </w:tcBorders>
            <w:shd w:val="clear" w:color="auto" w:fill="EEECE1" w:themeFill="background2"/>
            <w:vAlign w:val="center"/>
          </w:tcPr>
          <w:p w14:paraId="0225EA01">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ascii="宋体" w:hAnsi="宋体" w:cs="宋体"/>
                <w:sz w:val="24"/>
              </w:rPr>
            </w:pPr>
            <w:r>
              <w:rPr>
                <w:rFonts w:hint="eastAsia" w:ascii="宋体" w:hAnsi="宋体" w:cs="宋体"/>
                <w:sz w:val="24"/>
              </w:rPr>
              <w:t>担任职务</w:t>
            </w:r>
          </w:p>
        </w:tc>
        <w:tc>
          <w:tcPr>
            <w:tcW w:w="2212" w:type="dxa"/>
            <w:gridSpan w:val="2"/>
            <w:tcBorders>
              <w:top w:val="single" w:color="000000" w:sz="4" w:space="0"/>
              <w:bottom w:val="single" w:color="000000" w:sz="4" w:space="0"/>
              <w:right w:val="single" w:color="000000" w:sz="4" w:space="0"/>
            </w:tcBorders>
            <w:shd w:val="clear" w:color="auto" w:fill="EEECE1" w:themeFill="background2"/>
            <w:vAlign w:val="center"/>
          </w:tcPr>
          <w:p w14:paraId="15F7CC7E">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ascii="宋体" w:hAnsi="宋体" w:cs="宋体"/>
                <w:sz w:val="24"/>
              </w:rPr>
            </w:pPr>
            <w:r>
              <w:rPr>
                <w:rFonts w:hint="eastAsia" w:ascii="宋体" w:hAnsi="宋体" w:cs="宋体"/>
                <w:sz w:val="24"/>
              </w:rPr>
              <w:t>委托人及联系电话</w:t>
            </w:r>
          </w:p>
        </w:tc>
      </w:tr>
      <w:tr w14:paraId="3BBB1432">
        <w:tblPrEx>
          <w:tblCellMar>
            <w:top w:w="0" w:type="dxa"/>
            <w:left w:w="108" w:type="dxa"/>
            <w:bottom w:w="0" w:type="dxa"/>
            <w:right w:w="108" w:type="dxa"/>
          </w:tblCellMar>
        </w:tblPrEx>
        <w:trPr>
          <w:trHeight w:val="454" w:hRule="atLeast"/>
          <w:jc w:val="center"/>
        </w:trPr>
        <w:tc>
          <w:tcPr>
            <w:tcW w:w="1045" w:type="dxa"/>
            <w:tcBorders>
              <w:top w:val="single" w:color="000000" w:sz="4" w:space="0"/>
              <w:left w:val="single" w:color="000000" w:sz="4" w:space="0"/>
              <w:bottom w:val="single" w:color="000000" w:sz="4" w:space="0"/>
              <w:right w:val="single" w:color="000000" w:sz="4" w:space="0"/>
            </w:tcBorders>
            <w:vAlign w:val="center"/>
          </w:tcPr>
          <w:p w14:paraId="6A8D7C02">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hint="default" w:ascii="宋体" w:hAnsi="宋体" w:eastAsia="宋体" w:cs="宋体"/>
                <w:sz w:val="24"/>
                <w:lang w:val="en-US" w:eastAsia="zh-CN"/>
              </w:rPr>
            </w:pPr>
          </w:p>
        </w:tc>
        <w:tc>
          <w:tcPr>
            <w:tcW w:w="3465" w:type="dxa"/>
            <w:gridSpan w:val="3"/>
            <w:tcBorders>
              <w:top w:val="single" w:color="000000" w:sz="4" w:space="0"/>
              <w:bottom w:val="single" w:color="000000" w:sz="4" w:space="0"/>
              <w:right w:val="single" w:color="000000" w:sz="4" w:space="0"/>
            </w:tcBorders>
            <w:vAlign w:val="center"/>
          </w:tcPr>
          <w:p w14:paraId="376E747A">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ascii="宋体" w:hAnsi="宋体" w:cs="宋体"/>
                <w:sz w:val="24"/>
              </w:rPr>
            </w:pPr>
          </w:p>
        </w:tc>
        <w:tc>
          <w:tcPr>
            <w:tcW w:w="1365" w:type="dxa"/>
            <w:tcBorders>
              <w:top w:val="single" w:color="000000" w:sz="4" w:space="0"/>
              <w:bottom w:val="single" w:color="000000" w:sz="4" w:space="0"/>
              <w:right w:val="single" w:color="000000" w:sz="4" w:space="0"/>
            </w:tcBorders>
            <w:vAlign w:val="center"/>
          </w:tcPr>
          <w:p w14:paraId="5582EFE2">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ascii="宋体" w:hAnsi="宋体" w:cs="宋体"/>
                <w:sz w:val="24"/>
              </w:rPr>
            </w:pPr>
          </w:p>
        </w:tc>
        <w:tc>
          <w:tcPr>
            <w:tcW w:w="1230" w:type="dxa"/>
            <w:gridSpan w:val="2"/>
            <w:tcBorders>
              <w:top w:val="single" w:color="000000" w:sz="4" w:space="0"/>
              <w:bottom w:val="single" w:color="000000" w:sz="4" w:space="0"/>
              <w:right w:val="single" w:color="000000" w:sz="4" w:space="0"/>
            </w:tcBorders>
            <w:vAlign w:val="center"/>
          </w:tcPr>
          <w:p w14:paraId="5875D836">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ascii="宋体" w:hAnsi="宋体" w:cs="宋体"/>
                <w:sz w:val="24"/>
              </w:rPr>
            </w:pPr>
          </w:p>
        </w:tc>
        <w:tc>
          <w:tcPr>
            <w:tcW w:w="2212" w:type="dxa"/>
            <w:gridSpan w:val="2"/>
            <w:tcBorders>
              <w:top w:val="single" w:color="000000" w:sz="4" w:space="0"/>
              <w:bottom w:val="single" w:color="000000" w:sz="4" w:space="0"/>
              <w:right w:val="single" w:color="000000" w:sz="4" w:space="0"/>
            </w:tcBorders>
            <w:vAlign w:val="center"/>
          </w:tcPr>
          <w:p w14:paraId="6243AF6D">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ascii="宋体" w:hAnsi="宋体" w:cs="宋体"/>
                <w:sz w:val="24"/>
              </w:rPr>
            </w:pPr>
          </w:p>
        </w:tc>
      </w:tr>
      <w:tr w14:paraId="5CA7B7A9">
        <w:tblPrEx>
          <w:tblCellMar>
            <w:top w:w="0" w:type="dxa"/>
            <w:left w:w="108" w:type="dxa"/>
            <w:bottom w:w="0" w:type="dxa"/>
            <w:right w:w="108" w:type="dxa"/>
          </w:tblCellMar>
        </w:tblPrEx>
        <w:trPr>
          <w:trHeight w:val="454" w:hRule="atLeast"/>
          <w:jc w:val="center"/>
        </w:trPr>
        <w:tc>
          <w:tcPr>
            <w:tcW w:w="1045" w:type="dxa"/>
            <w:tcBorders>
              <w:top w:val="single" w:color="000000" w:sz="4" w:space="0"/>
              <w:left w:val="single" w:color="000000" w:sz="4" w:space="0"/>
              <w:bottom w:val="single" w:color="000000" w:sz="4" w:space="0"/>
              <w:right w:val="single" w:color="000000" w:sz="4" w:space="0"/>
            </w:tcBorders>
            <w:vAlign w:val="center"/>
          </w:tcPr>
          <w:p w14:paraId="5D26E82F">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ascii="宋体" w:hAnsi="宋体" w:cs="宋体"/>
                <w:sz w:val="24"/>
              </w:rPr>
            </w:pPr>
          </w:p>
        </w:tc>
        <w:tc>
          <w:tcPr>
            <w:tcW w:w="3465" w:type="dxa"/>
            <w:gridSpan w:val="3"/>
            <w:tcBorders>
              <w:top w:val="single" w:color="000000" w:sz="4" w:space="0"/>
              <w:bottom w:val="single" w:color="000000" w:sz="4" w:space="0"/>
              <w:right w:val="single" w:color="000000" w:sz="4" w:space="0"/>
            </w:tcBorders>
            <w:vAlign w:val="center"/>
          </w:tcPr>
          <w:p w14:paraId="19544106">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ascii="宋体" w:hAnsi="宋体" w:cs="宋体"/>
                <w:sz w:val="24"/>
              </w:rPr>
            </w:pPr>
          </w:p>
        </w:tc>
        <w:tc>
          <w:tcPr>
            <w:tcW w:w="1365" w:type="dxa"/>
            <w:tcBorders>
              <w:top w:val="single" w:color="000000" w:sz="4" w:space="0"/>
              <w:bottom w:val="single" w:color="000000" w:sz="4" w:space="0"/>
              <w:right w:val="single" w:color="000000" w:sz="4" w:space="0"/>
            </w:tcBorders>
            <w:vAlign w:val="center"/>
          </w:tcPr>
          <w:p w14:paraId="63EDD087">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ascii="宋体" w:hAnsi="宋体" w:cs="宋体"/>
                <w:sz w:val="24"/>
              </w:rPr>
            </w:pPr>
          </w:p>
        </w:tc>
        <w:tc>
          <w:tcPr>
            <w:tcW w:w="1230" w:type="dxa"/>
            <w:gridSpan w:val="2"/>
            <w:tcBorders>
              <w:top w:val="single" w:color="000000" w:sz="4" w:space="0"/>
              <w:bottom w:val="single" w:color="000000" w:sz="4" w:space="0"/>
              <w:right w:val="single" w:color="000000" w:sz="4" w:space="0"/>
            </w:tcBorders>
            <w:vAlign w:val="center"/>
          </w:tcPr>
          <w:p w14:paraId="5C317F21">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ascii="宋体" w:hAnsi="宋体" w:cs="宋体"/>
                <w:sz w:val="24"/>
              </w:rPr>
            </w:pPr>
          </w:p>
        </w:tc>
        <w:tc>
          <w:tcPr>
            <w:tcW w:w="2212" w:type="dxa"/>
            <w:gridSpan w:val="2"/>
            <w:tcBorders>
              <w:top w:val="single" w:color="000000" w:sz="4" w:space="0"/>
              <w:bottom w:val="single" w:color="000000" w:sz="4" w:space="0"/>
              <w:right w:val="single" w:color="000000" w:sz="4" w:space="0"/>
            </w:tcBorders>
            <w:vAlign w:val="center"/>
          </w:tcPr>
          <w:p w14:paraId="3D6E2AD1">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ascii="宋体" w:hAnsi="宋体" w:cs="宋体"/>
                <w:sz w:val="24"/>
              </w:rPr>
            </w:pPr>
          </w:p>
        </w:tc>
      </w:tr>
      <w:tr w14:paraId="29096E55">
        <w:tblPrEx>
          <w:tblCellMar>
            <w:top w:w="0" w:type="dxa"/>
            <w:left w:w="108" w:type="dxa"/>
            <w:bottom w:w="0" w:type="dxa"/>
            <w:right w:w="108" w:type="dxa"/>
          </w:tblCellMar>
        </w:tblPrEx>
        <w:trPr>
          <w:trHeight w:val="454" w:hRule="atLeast"/>
          <w:jc w:val="center"/>
        </w:trPr>
        <w:tc>
          <w:tcPr>
            <w:tcW w:w="1045" w:type="dxa"/>
            <w:tcBorders>
              <w:top w:val="single" w:color="000000" w:sz="4" w:space="0"/>
              <w:left w:val="single" w:color="000000" w:sz="4" w:space="0"/>
              <w:bottom w:val="single" w:color="000000" w:sz="4" w:space="0"/>
              <w:right w:val="single" w:color="000000" w:sz="4" w:space="0"/>
            </w:tcBorders>
            <w:vAlign w:val="center"/>
          </w:tcPr>
          <w:p w14:paraId="0B1C5858">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ascii="宋体" w:hAnsi="宋体" w:cs="宋体"/>
                <w:sz w:val="24"/>
              </w:rPr>
            </w:pPr>
          </w:p>
        </w:tc>
        <w:tc>
          <w:tcPr>
            <w:tcW w:w="3465" w:type="dxa"/>
            <w:gridSpan w:val="3"/>
            <w:tcBorders>
              <w:top w:val="single" w:color="000000" w:sz="4" w:space="0"/>
              <w:bottom w:val="single" w:color="000000" w:sz="4" w:space="0"/>
              <w:right w:val="single" w:color="000000" w:sz="4" w:space="0"/>
            </w:tcBorders>
            <w:vAlign w:val="center"/>
          </w:tcPr>
          <w:p w14:paraId="4CB9445F">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ascii="宋体" w:hAnsi="宋体" w:cs="宋体"/>
                <w:sz w:val="24"/>
              </w:rPr>
            </w:pPr>
          </w:p>
        </w:tc>
        <w:tc>
          <w:tcPr>
            <w:tcW w:w="1365" w:type="dxa"/>
            <w:tcBorders>
              <w:top w:val="single" w:color="000000" w:sz="4" w:space="0"/>
              <w:bottom w:val="single" w:color="000000" w:sz="4" w:space="0"/>
              <w:right w:val="single" w:color="000000" w:sz="4" w:space="0"/>
            </w:tcBorders>
            <w:vAlign w:val="center"/>
          </w:tcPr>
          <w:p w14:paraId="25FDF716">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ascii="宋体" w:hAnsi="宋体" w:cs="宋体"/>
                <w:sz w:val="24"/>
              </w:rPr>
            </w:pPr>
          </w:p>
        </w:tc>
        <w:tc>
          <w:tcPr>
            <w:tcW w:w="1230" w:type="dxa"/>
            <w:gridSpan w:val="2"/>
            <w:tcBorders>
              <w:top w:val="single" w:color="000000" w:sz="4" w:space="0"/>
              <w:bottom w:val="single" w:color="000000" w:sz="4" w:space="0"/>
              <w:right w:val="single" w:color="000000" w:sz="4" w:space="0"/>
            </w:tcBorders>
            <w:vAlign w:val="center"/>
          </w:tcPr>
          <w:p w14:paraId="4D014073">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ascii="宋体" w:hAnsi="宋体" w:cs="宋体"/>
                <w:sz w:val="24"/>
              </w:rPr>
            </w:pPr>
          </w:p>
        </w:tc>
        <w:tc>
          <w:tcPr>
            <w:tcW w:w="2212" w:type="dxa"/>
            <w:gridSpan w:val="2"/>
            <w:tcBorders>
              <w:top w:val="single" w:color="000000" w:sz="4" w:space="0"/>
              <w:bottom w:val="single" w:color="000000" w:sz="4" w:space="0"/>
              <w:right w:val="single" w:color="000000" w:sz="4" w:space="0"/>
            </w:tcBorders>
            <w:vAlign w:val="center"/>
          </w:tcPr>
          <w:p w14:paraId="10D29A53">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ascii="宋体" w:hAnsi="宋体" w:cs="宋体"/>
                <w:sz w:val="24"/>
              </w:rPr>
            </w:pPr>
          </w:p>
        </w:tc>
      </w:tr>
      <w:tr w14:paraId="1864A00C">
        <w:tblPrEx>
          <w:tblCellMar>
            <w:top w:w="0" w:type="dxa"/>
            <w:left w:w="108" w:type="dxa"/>
            <w:bottom w:w="0" w:type="dxa"/>
            <w:right w:w="108" w:type="dxa"/>
          </w:tblCellMar>
        </w:tblPrEx>
        <w:trPr>
          <w:trHeight w:val="454" w:hRule="atLeast"/>
          <w:jc w:val="center"/>
        </w:trPr>
        <w:tc>
          <w:tcPr>
            <w:tcW w:w="1045" w:type="dxa"/>
            <w:tcBorders>
              <w:top w:val="single" w:color="000000" w:sz="4" w:space="0"/>
              <w:left w:val="single" w:color="000000" w:sz="4" w:space="0"/>
              <w:bottom w:val="single" w:color="000000" w:sz="4" w:space="0"/>
              <w:right w:val="single" w:color="000000" w:sz="4" w:space="0"/>
            </w:tcBorders>
            <w:vAlign w:val="center"/>
          </w:tcPr>
          <w:p w14:paraId="424AEE21">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ascii="宋体" w:hAnsi="宋体" w:cs="宋体"/>
                <w:sz w:val="24"/>
              </w:rPr>
            </w:pPr>
          </w:p>
        </w:tc>
        <w:tc>
          <w:tcPr>
            <w:tcW w:w="3465" w:type="dxa"/>
            <w:gridSpan w:val="3"/>
            <w:tcBorders>
              <w:top w:val="single" w:color="000000" w:sz="4" w:space="0"/>
              <w:bottom w:val="single" w:color="000000" w:sz="4" w:space="0"/>
              <w:right w:val="single" w:color="000000" w:sz="4" w:space="0"/>
            </w:tcBorders>
            <w:vAlign w:val="center"/>
          </w:tcPr>
          <w:p w14:paraId="703AB11C">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ascii="宋体" w:hAnsi="宋体" w:cs="宋体"/>
                <w:sz w:val="24"/>
              </w:rPr>
            </w:pPr>
          </w:p>
        </w:tc>
        <w:tc>
          <w:tcPr>
            <w:tcW w:w="1365" w:type="dxa"/>
            <w:tcBorders>
              <w:top w:val="single" w:color="000000" w:sz="4" w:space="0"/>
              <w:bottom w:val="single" w:color="000000" w:sz="4" w:space="0"/>
              <w:right w:val="single" w:color="000000" w:sz="4" w:space="0"/>
            </w:tcBorders>
            <w:vAlign w:val="center"/>
          </w:tcPr>
          <w:p w14:paraId="5F765D5E">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ascii="宋体" w:hAnsi="宋体" w:cs="宋体"/>
                <w:sz w:val="24"/>
              </w:rPr>
            </w:pPr>
          </w:p>
        </w:tc>
        <w:tc>
          <w:tcPr>
            <w:tcW w:w="1230" w:type="dxa"/>
            <w:gridSpan w:val="2"/>
            <w:tcBorders>
              <w:top w:val="single" w:color="000000" w:sz="4" w:space="0"/>
              <w:bottom w:val="single" w:color="000000" w:sz="4" w:space="0"/>
              <w:right w:val="single" w:color="000000" w:sz="4" w:space="0"/>
            </w:tcBorders>
            <w:vAlign w:val="center"/>
          </w:tcPr>
          <w:p w14:paraId="42036030">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ascii="宋体" w:hAnsi="宋体" w:cs="宋体"/>
                <w:sz w:val="24"/>
              </w:rPr>
            </w:pPr>
          </w:p>
        </w:tc>
        <w:tc>
          <w:tcPr>
            <w:tcW w:w="2212" w:type="dxa"/>
            <w:gridSpan w:val="2"/>
            <w:tcBorders>
              <w:top w:val="single" w:color="000000" w:sz="4" w:space="0"/>
              <w:bottom w:val="single" w:color="000000" w:sz="4" w:space="0"/>
              <w:right w:val="single" w:color="000000" w:sz="4" w:space="0"/>
            </w:tcBorders>
            <w:vAlign w:val="center"/>
          </w:tcPr>
          <w:p w14:paraId="6C54B55A">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ascii="宋体" w:hAnsi="宋体" w:cs="宋体"/>
                <w:sz w:val="24"/>
              </w:rPr>
            </w:pPr>
          </w:p>
        </w:tc>
      </w:tr>
      <w:tr w14:paraId="38772D9A">
        <w:tblPrEx>
          <w:tblCellMar>
            <w:top w:w="0" w:type="dxa"/>
            <w:left w:w="108" w:type="dxa"/>
            <w:bottom w:w="0" w:type="dxa"/>
            <w:right w:w="108" w:type="dxa"/>
          </w:tblCellMar>
        </w:tblPrEx>
        <w:trPr>
          <w:trHeight w:val="454" w:hRule="atLeast"/>
          <w:jc w:val="center"/>
        </w:trPr>
        <w:tc>
          <w:tcPr>
            <w:tcW w:w="1045" w:type="dxa"/>
            <w:tcBorders>
              <w:top w:val="single" w:color="000000" w:sz="4" w:space="0"/>
              <w:left w:val="single" w:color="000000" w:sz="4" w:space="0"/>
              <w:bottom w:val="single" w:color="000000" w:sz="4" w:space="0"/>
              <w:right w:val="single" w:color="000000" w:sz="4" w:space="0"/>
            </w:tcBorders>
            <w:vAlign w:val="center"/>
          </w:tcPr>
          <w:p w14:paraId="253C7005">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ascii="宋体" w:hAnsi="宋体" w:cs="宋体"/>
                <w:sz w:val="24"/>
              </w:rPr>
            </w:pPr>
          </w:p>
        </w:tc>
        <w:tc>
          <w:tcPr>
            <w:tcW w:w="3465" w:type="dxa"/>
            <w:gridSpan w:val="3"/>
            <w:tcBorders>
              <w:top w:val="single" w:color="000000" w:sz="4" w:space="0"/>
              <w:bottom w:val="single" w:color="000000" w:sz="4" w:space="0"/>
              <w:right w:val="single" w:color="000000" w:sz="4" w:space="0"/>
            </w:tcBorders>
            <w:vAlign w:val="center"/>
          </w:tcPr>
          <w:p w14:paraId="7A5F7845">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ascii="宋体" w:hAnsi="宋体" w:cs="宋体"/>
                <w:sz w:val="24"/>
              </w:rPr>
            </w:pPr>
          </w:p>
        </w:tc>
        <w:tc>
          <w:tcPr>
            <w:tcW w:w="1365" w:type="dxa"/>
            <w:tcBorders>
              <w:top w:val="single" w:color="000000" w:sz="4" w:space="0"/>
              <w:bottom w:val="single" w:color="000000" w:sz="4" w:space="0"/>
              <w:right w:val="single" w:color="000000" w:sz="4" w:space="0"/>
            </w:tcBorders>
            <w:vAlign w:val="center"/>
          </w:tcPr>
          <w:p w14:paraId="5FE28943">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ascii="宋体" w:hAnsi="宋体" w:cs="宋体"/>
                <w:sz w:val="24"/>
              </w:rPr>
            </w:pPr>
          </w:p>
        </w:tc>
        <w:tc>
          <w:tcPr>
            <w:tcW w:w="1230" w:type="dxa"/>
            <w:gridSpan w:val="2"/>
            <w:tcBorders>
              <w:top w:val="single" w:color="000000" w:sz="4" w:space="0"/>
              <w:bottom w:val="single" w:color="000000" w:sz="4" w:space="0"/>
              <w:right w:val="single" w:color="000000" w:sz="4" w:space="0"/>
            </w:tcBorders>
            <w:vAlign w:val="center"/>
          </w:tcPr>
          <w:p w14:paraId="56222054">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ascii="宋体" w:hAnsi="宋体" w:cs="宋体"/>
                <w:sz w:val="24"/>
              </w:rPr>
            </w:pPr>
          </w:p>
        </w:tc>
        <w:tc>
          <w:tcPr>
            <w:tcW w:w="2212" w:type="dxa"/>
            <w:gridSpan w:val="2"/>
            <w:tcBorders>
              <w:top w:val="single" w:color="000000" w:sz="4" w:space="0"/>
              <w:bottom w:val="single" w:color="000000" w:sz="4" w:space="0"/>
              <w:right w:val="single" w:color="000000" w:sz="4" w:space="0"/>
            </w:tcBorders>
            <w:vAlign w:val="center"/>
          </w:tcPr>
          <w:p w14:paraId="2120586E">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ascii="宋体" w:hAnsi="宋体" w:cs="宋体"/>
                <w:sz w:val="24"/>
              </w:rPr>
            </w:pPr>
          </w:p>
        </w:tc>
      </w:tr>
      <w:tr w14:paraId="33621693">
        <w:tblPrEx>
          <w:tblCellMar>
            <w:top w:w="0" w:type="dxa"/>
            <w:left w:w="108" w:type="dxa"/>
            <w:bottom w:w="0" w:type="dxa"/>
            <w:right w:w="108" w:type="dxa"/>
          </w:tblCellMar>
        </w:tblPrEx>
        <w:trPr>
          <w:trHeight w:val="1066" w:hRule="atLeast"/>
          <w:jc w:val="center"/>
        </w:trPr>
        <w:tc>
          <w:tcPr>
            <w:tcW w:w="9317" w:type="dxa"/>
            <w:gridSpan w:val="9"/>
            <w:tcBorders>
              <w:top w:val="single" w:color="000000" w:sz="4" w:space="0"/>
              <w:left w:val="single" w:color="000000" w:sz="4" w:space="0"/>
              <w:bottom w:val="single" w:color="000000" w:sz="4" w:space="0"/>
              <w:right w:val="single" w:color="000000" w:sz="4" w:space="0"/>
            </w:tcBorders>
            <w:vAlign w:val="center"/>
          </w:tcPr>
          <w:p w14:paraId="36875A32">
            <w:pPr>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rPr>
                <w:rFonts w:hint="eastAsia" w:ascii="宋体" w:hAnsi="宋体" w:eastAsia="宋体" w:cs="宋体"/>
                <w:sz w:val="24"/>
                <w:lang w:eastAsia="zh-CN"/>
              </w:rPr>
            </w:pPr>
            <w:r>
              <w:rPr>
                <w:rFonts w:ascii="宋体" w:hAnsi="宋体"/>
                <w:sz w:val="24"/>
                <w:szCs w:val="24"/>
              </w:rPr>
              <w:t>奖惩情况</w:t>
            </w:r>
            <w:r>
              <w:rPr>
                <w:rFonts w:hint="eastAsia" w:ascii="宋体" w:hAnsi="宋体"/>
                <w:sz w:val="24"/>
                <w:szCs w:val="24"/>
                <w:lang w:eastAsia="zh-CN"/>
              </w:rPr>
              <w:t>：</w:t>
            </w:r>
          </w:p>
        </w:tc>
      </w:tr>
    </w:tbl>
    <w:p w14:paraId="137BB338">
      <w:pPr>
        <w:spacing w:line="500" w:lineRule="exact"/>
        <w:rPr>
          <w:rFonts w:hint="eastAsia" w:ascii="宋体" w:hAnsi="宋体" w:cs="宋体"/>
          <w:sz w:val="24"/>
        </w:rPr>
      </w:pPr>
      <w:r>
        <w:rPr>
          <w:rFonts w:ascii="宋体" w:hAnsi="宋体" w:cs="宋体"/>
          <w:sz w:val="24"/>
        </w:rPr>
        <w:t>注：</w:t>
      </w:r>
      <w:r>
        <w:rPr>
          <w:rFonts w:hint="eastAsia" w:ascii="宋体" w:hAnsi="宋体" w:cs="宋体"/>
          <w:sz w:val="24"/>
        </w:rPr>
        <w:t>1.本表后附拟委任管理人员的身份证、职称证书、执业资格证书（如有）、注册执业证书（如有）、社保证明、获奖证书（如有）、业绩证明（竣工验收证明）（如有）、其他相关证件（如有）的</w:t>
      </w:r>
      <w:r>
        <w:rPr>
          <w:rFonts w:hint="eastAsia" w:ascii="宋体" w:hAnsi="宋体" w:cs="宋体"/>
          <w:sz w:val="24"/>
          <w:lang w:eastAsia="zh-CN"/>
        </w:rPr>
        <w:t>扫描</w:t>
      </w:r>
      <w:r>
        <w:rPr>
          <w:rFonts w:hint="eastAsia" w:ascii="宋体" w:hAnsi="宋体" w:cs="宋体"/>
          <w:sz w:val="24"/>
        </w:rPr>
        <w:t>件，以上所有</w:t>
      </w:r>
      <w:r>
        <w:rPr>
          <w:rFonts w:hint="eastAsia" w:ascii="宋体" w:hAnsi="宋体" w:cs="宋体"/>
          <w:sz w:val="24"/>
          <w:lang w:eastAsia="zh-CN"/>
        </w:rPr>
        <w:t>扫描</w:t>
      </w:r>
      <w:r>
        <w:rPr>
          <w:rFonts w:hint="eastAsia" w:ascii="宋体" w:hAnsi="宋体" w:cs="宋体"/>
          <w:sz w:val="24"/>
        </w:rPr>
        <w:t>件加盖投标人公章。</w:t>
      </w:r>
    </w:p>
    <w:p w14:paraId="68490B6A">
      <w:pPr>
        <w:spacing w:line="500" w:lineRule="exact"/>
        <w:rPr>
          <w:rFonts w:ascii="宋体" w:hAnsi="宋体" w:cs="宋体"/>
          <w:sz w:val="24"/>
        </w:rPr>
      </w:pPr>
      <w:r>
        <w:rPr>
          <w:rFonts w:hint="eastAsia" w:ascii="宋体" w:hAnsi="宋体" w:cs="宋体"/>
          <w:sz w:val="24"/>
        </w:rPr>
        <w:t>2.投标人应保证其它所提供资料的真实性，否则一经查出，即取消中标资格。</w:t>
      </w:r>
    </w:p>
    <w:p w14:paraId="7BC807E7">
      <w:pPr>
        <w:spacing w:line="500" w:lineRule="exact"/>
        <w:rPr>
          <w:rFonts w:ascii="宋体" w:hAnsi="宋体" w:cs="宋体"/>
          <w:sz w:val="24"/>
        </w:rPr>
      </w:pPr>
    </w:p>
    <w:p w14:paraId="2C502150">
      <w:pPr>
        <w:spacing w:line="400" w:lineRule="exact"/>
        <w:ind w:firstLine="4340"/>
        <w:rPr>
          <w:rFonts w:ascii="宋体" w:hAnsi="宋体"/>
          <w:spacing w:val="4"/>
          <w:sz w:val="24"/>
          <w:u w:val="single"/>
        </w:rPr>
      </w:pPr>
      <w:r>
        <w:rPr>
          <w:rFonts w:ascii="宋体" w:hAnsi="宋体"/>
          <w:spacing w:val="4"/>
          <w:sz w:val="24"/>
        </w:rPr>
        <w:t>投标人：</w:t>
      </w:r>
      <w:r>
        <w:rPr>
          <w:rFonts w:ascii="宋体" w:hAnsi="宋体"/>
          <w:spacing w:val="4"/>
          <w:sz w:val="24"/>
          <w:u w:val="single"/>
        </w:rPr>
        <w:t>（盖章）</w:t>
      </w:r>
    </w:p>
    <w:p w14:paraId="33C2BCB4">
      <w:pPr>
        <w:spacing w:line="400" w:lineRule="exact"/>
        <w:ind w:firstLine="4464" w:firstLineChars="1800"/>
        <w:rPr>
          <w:rFonts w:ascii="宋体" w:hAnsi="宋体" w:cs="宋体"/>
          <w:b/>
          <w:bCs/>
          <w:spacing w:val="-6"/>
          <w:sz w:val="22"/>
        </w:rPr>
      </w:pPr>
      <w:r>
        <w:rPr>
          <w:rFonts w:ascii="宋体" w:hAnsi="宋体"/>
          <w:spacing w:val="4"/>
          <w:sz w:val="24"/>
        </w:rPr>
        <w:t>日期：   年  月  日</w:t>
      </w:r>
    </w:p>
    <w:p w14:paraId="0B5946F9">
      <w:pPr>
        <w:rPr>
          <w:rFonts w:ascii="宋体" w:hAnsi="宋体" w:cs="宋体"/>
          <w:b/>
          <w:bCs/>
          <w:spacing w:val="-6"/>
          <w:sz w:val="22"/>
        </w:rPr>
      </w:pPr>
    </w:p>
    <w:p w14:paraId="160B8050">
      <w:pPr>
        <w:pStyle w:val="4"/>
        <w:keepNext/>
        <w:keepLines/>
        <w:pageBreakBefore w:val="0"/>
        <w:widowControl w:val="0"/>
        <w:numPr>
          <w:ilvl w:val="0"/>
          <w:numId w:val="13"/>
        </w:numPr>
        <w:kinsoku/>
        <w:wordWrap/>
        <w:overflowPunct/>
        <w:topLinePunct w:val="0"/>
        <w:autoSpaceDE/>
        <w:autoSpaceDN/>
        <w:bidi w:val="0"/>
        <w:adjustRightInd/>
        <w:snapToGrid/>
        <w:spacing w:before="0" w:after="60" w:line="416" w:lineRule="auto"/>
        <w:ind w:left="0" w:leftChars="0" w:firstLine="420" w:firstLineChars="0"/>
        <w:jc w:val="left"/>
        <w:textAlignment w:val="auto"/>
        <w:outlineLvl w:val="2"/>
        <w:rPr>
          <w:rFonts w:hint="eastAsia"/>
          <w:kern w:val="0"/>
          <w:sz w:val="28"/>
          <w:szCs w:val="28"/>
        </w:rPr>
        <w:sectPr>
          <w:headerReference r:id="rId19" w:type="default"/>
          <w:footerReference r:id="rId20" w:type="default"/>
          <w:pgSz w:w="11906" w:h="16838"/>
          <w:pgMar w:top="1440" w:right="1134" w:bottom="1440" w:left="1134" w:header="851" w:footer="850" w:gutter="0"/>
          <w:pgNumType w:fmt="decimal"/>
          <w:cols w:space="720" w:num="1"/>
          <w:formProt w:val="0"/>
          <w:docGrid w:linePitch="100" w:charSpace="0"/>
        </w:sectPr>
      </w:pPr>
    </w:p>
    <w:p w14:paraId="46E2B28B">
      <w:pPr>
        <w:pStyle w:val="3"/>
        <w:keepNext/>
        <w:keepLines/>
        <w:pageBreakBefore w:val="0"/>
        <w:widowControl w:val="0"/>
        <w:numPr>
          <w:ilvl w:val="0"/>
          <w:numId w:val="7"/>
        </w:numPr>
        <w:kinsoku/>
        <w:wordWrap/>
        <w:overflowPunct/>
        <w:topLinePunct w:val="0"/>
        <w:autoSpaceDE/>
        <w:autoSpaceDN/>
        <w:bidi w:val="0"/>
        <w:adjustRightInd/>
        <w:snapToGrid/>
        <w:spacing w:before="60" w:after="60" w:line="416" w:lineRule="auto"/>
        <w:jc w:val="center"/>
        <w:textAlignment w:val="auto"/>
        <w:rPr>
          <w:rFonts w:hint="eastAsia"/>
        </w:rPr>
      </w:pPr>
      <w:r>
        <w:rPr>
          <w:rFonts w:hint="eastAsia"/>
        </w:rPr>
        <w:t>近年完成的</w:t>
      </w:r>
      <w:r>
        <w:rPr>
          <w:rFonts w:hint="eastAsia"/>
          <w:lang w:val="en-US" w:eastAsia="zh-CN"/>
        </w:rPr>
        <w:t>类似</w:t>
      </w:r>
      <w:r>
        <w:rPr>
          <w:rFonts w:hint="eastAsia"/>
        </w:rPr>
        <w:t>业绩情况表</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0"/>
        <w:gridCol w:w="6780"/>
      </w:tblGrid>
      <w:tr w14:paraId="15802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2180" w:type="dxa"/>
            <w:vAlign w:val="center"/>
          </w:tcPr>
          <w:p w14:paraId="3B6D6973">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vertAlign w:val="baseline"/>
              </w:rPr>
            </w:pPr>
            <w:r>
              <w:rPr>
                <w:rFonts w:hint="eastAsia" w:ascii="宋体" w:hAnsi="宋体" w:eastAsia="宋体" w:cs="宋体"/>
                <w:b w:val="0"/>
                <w:bCs w:val="0"/>
                <w:color w:val="000000"/>
                <w:sz w:val="24"/>
                <w:szCs w:val="24"/>
              </w:rPr>
              <w:t>项目名称</w:t>
            </w:r>
          </w:p>
        </w:tc>
        <w:tc>
          <w:tcPr>
            <w:tcW w:w="6780" w:type="dxa"/>
            <w:vAlign w:val="center"/>
          </w:tcPr>
          <w:p w14:paraId="0D7254FC">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vertAlign w:val="baseline"/>
              </w:rPr>
            </w:pPr>
          </w:p>
        </w:tc>
      </w:tr>
      <w:tr w14:paraId="7E4E0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2180" w:type="dxa"/>
            <w:vAlign w:val="center"/>
          </w:tcPr>
          <w:p w14:paraId="37127DFF">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vertAlign w:val="baseline"/>
              </w:rPr>
            </w:pPr>
            <w:r>
              <w:rPr>
                <w:rFonts w:hint="eastAsia" w:ascii="宋体" w:hAnsi="宋体" w:eastAsia="宋体" w:cs="宋体"/>
                <w:b w:val="0"/>
                <w:bCs w:val="0"/>
                <w:color w:val="000000"/>
                <w:sz w:val="24"/>
                <w:szCs w:val="24"/>
              </w:rPr>
              <w:t>项目所在地</w:t>
            </w:r>
          </w:p>
        </w:tc>
        <w:tc>
          <w:tcPr>
            <w:tcW w:w="6780" w:type="dxa"/>
            <w:vAlign w:val="center"/>
          </w:tcPr>
          <w:p w14:paraId="31E15C53">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vertAlign w:val="baseline"/>
              </w:rPr>
            </w:pPr>
          </w:p>
        </w:tc>
      </w:tr>
      <w:tr w14:paraId="5FE20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2180" w:type="dxa"/>
            <w:vAlign w:val="center"/>
          </w:tcPr>
          <w:p w14:paraId="06F5CA24">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vertAlign w:val="baseline"/>
              </w:rPr>
            </w:pPr>
            <w:r>
              <w:rPr>
                <w:rFonts w:hint="eastAsia" w:ascii="宋体" w:hAnsi="宋体" w:cs="宋体"/>
                <w:b w:val="0"/>
                <w:bCs w:val="0"/>
                <w:color w:val="000000"/>
                <w:sz w:val="24"/>
                <w:szCs w:val="24"/>
                <w:lang w:val="en-US" w:eastAsia="zh-CN"/>
              </w:rPr>
              <w:t>买方</w:t>
            </w:r>
            <w:r>
              <w:rPr>
                <w:rFonts w:hint="eastAsia" w:ascii="宋体" w:hAnsi="宋体" w:eastAsia="宋体" w:cs="宋体"/>
                <w:b w:val="0"/>
                <w:bCs w:val="0"/>
                <w:color w:val="000000"/>
                <w:sz w:val="24"/>
                <w:szCs w:val="24"/>
              </w:rPr>
              <w:t>名称</w:t>
            </w:r>
          </w:p>
        </w:tc>
        <w:tc>
          <w:tcPr>
            <w:tcW w:w="6780" w:type="dxa"/>
            <w:vAlign w:val="center"/>
          </w:tcPr>
          <w:p w14:paraId="63EF2230">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vertAlign w:val="baseline"/>
              </w:rPr>
            </w:pPr>
          </w:p>
        </w:tc>
      </w:tr>
      <w:tr w14:paraId="15719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2180" w:type="dxa"/>
            <w:vAlign w:val="center"/>
          </w:tcPr>
          <w:p w14:paraId="4343CEE0">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vertAlign w:val="baseline"/>
              </w:rPr>
            </w:pPr>
            <w:r>
              <w:rPr>
                <w:rFonts w:hint="eastAsia" w:ascii="宋体" w:hAnsi="宋体" w:eastAsia="宋体" w:cs="宋体"/>
                <w:b w:val="0"/>
                <w:bCs w:val="0"/>
                <w:color w:val="000000"/>
                <w:sz w:val="24"/>
                <w:szCs w:val="24"/>
              </w:rPr>
              <w:t>买方</w:t>
            </w:r>
            <w:r>
              <w:rPr>
                <w:rFonts w:hint="eastAsia" w:ascii="宋体" w:hAnsi="宋体" w:cs="宋体"/>
                <w:b w:val="0"/>
                <w:bCs w:val="0"/>
                <w:color w:val="000000"/>
                <w:sz w:val="24"/>
                <w:szCs w:val="24"/>
                <w:lang w:val="en-US" w:eastAsia="zh-CN"/>
              </w:rPr>
              <w:t>联系人及</w:t>
            </w:r>
            <w:r>
              <w:rPr>
                <w:rFonts w:hint="eastAsia" w:ascii="宋体" w:hAnsi="宋体" w:eastAsia="宋体" w:cs="宋体"/>
                <w:b w:val="0"/>
                <w:bCs w:val="0"/>
                <w:color w:val="000000"/>
                <w:sz w:val="24"/>
                <w:szCs w:val="24"/>
              </w:rPr>
              <w:t>电话</w:t>
            </w:r>
          </w:p>
        </w:tc>
        <w:tc>
          <w:tcPr>
            <w:tcW w:w="6780" w:type="dxa"/>
            <w:vAlign w:val="center"/>
          </w:tcPr>
          <w:p w14:paraId="5459D02A">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vertAlign w:val="baseline"/>
              </w:rPr>
            </w:pPr>
          </w:p>
        </w:tc>
      </w:tr>
      <w:tr w14:paraId="237E7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180" w:type="dxa"/>
            <w:vAlign w:val="center"/>
          </w:tcPr>
          <w:p w14:paraId="6A19E259">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vertAlign w:val="baseline"/>
              </w:rPr>
            </w:pPr>
            <w:r>
              <w:rPr>
                <w:rFonts w:hint="eastAsia" w:ascii="宋体" w:hAnsi="宋体" w:eastAsia="宋体" w:cs="宋体"/>
                <w:b w:val="0"/>
                <w:bCs w:val="0"/>
                <w:color w:val="000000"/>
                <w:sz w:val="24"/>
                <w:szCs w:val="24"/>
              </w:rPr>
              <w:t>合同价格</w:t>
            </w:r>
          </w:p>
        </w:tc>
        <w:tc>
          <w:tcPr>
            <w:tcW w:w="6780" w:type="dxa"/>
            <w:vAlign w:val="center"/>
          </w:tcPr>
          <w:p w14:paraId="7669D9DB">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vertAlign w:val="baseline"/>
              </w:rPr>
            </w:pPr>
          </w:p>
        </w:tc>
      </w:tr>
      <w:tr w14:paraId="253E5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180" w:type="dxa"/>
            <w:vAlign w:val="center"/>
          </w:tcPr>
          <w:p w14:paraId="56C24523">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合同签订时间</w:t>
            </w:r>
          </w:p>
        </w:tc>
        <w:tc>
          <w:tcPr>
            <w:tcW w:w="6780" w:type="dxa"/>
            <w:vAlign w:val="center"/>
          </w:tcPr>
          <w:p w14:paraId="31E7E89B">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vertAlign w:val="baseline"/>
              </w:rPr>
            </w:pPr>
          </w:p>
        </w:tc>
      </w:tr>
      <w:tr w14:paraId="5786F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180" w:type="dxa"/>
            <w:vAlign w:val="center"/>
          </w:tcPr>
          <w:p w14:paraId="35291015">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vertAlign w:val="baseline"/>
                <w:lang w:eastAsia="zh-CN"/>
              </w:rPr>
            </w:pPr>
            <w:r>
              <w:rPr>
                <w:rFonts w:hint="eastAsia" w:ascii="宋体" w:hAnsi="宋体" w:cs="宋体"/>
                <w:b w:val="0"/>
                <w:bCs w:val="0"/>
                <w:color w:val="000000"/>
                <w:sz w:val="24"/>
                <w:szCs w:val="24"/>
                <w:lang w:val="en-US" w:eastAsia="zh-CN"/>
              </w:rPr>
              <w:t>交货期</w:t>
            </w:r>
          </w:p>
        </w:tc>
        <w:tc>
          <w:tcPr>
            <w:tcW w:w="6780" w:type="dxa"/>
            <w:vAlign w:val="center"/>
          </w:tcPr>
          <w:p w14:paraId="46152E62">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vertAlign w:val="baseline"/>
              </w:rPr>
            </w:pPr>
          </w:p>
        </w:tc>
      </w:tr>
      <w:tr w14:paraId="53FFB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2180" w:type="dxa"/>
            <w:vAlign w:val="center"/>
          </w:tcPr>
          <w:p w14:paraId="1FCDACE0">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项目描述</w:t>
            </w:r>
          </w:p>
          <w:p w14:paraId="01ADBBD2">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b w:val="0"/>
                <w:bCs w:val="0"/>
                <w:color w:val="000000"/>
                <w:sz w:val="24"/>
                <w:szCs w:val="24"/>
                <w:lang w:val="en-US" w:eastAsia="zh-CN"/>
              </w:rPr>
            </w:pPr>
            <w:r>
              <w:rPr>
                <w:rFonts w:hint="eastAsia" w:ascii="宋体" w:hAnsi="宋体" w:cs="宋体"/>
                <w:b w:val="0"/>
                <w:bCs w:val="0"/>
                <w:color w:val="000000"/>
                <w:sz w:val="24"/>
                <w:szCs w:val="24"/>
                <w:lang w:val="en-US" w:eastAsia="zh-CN"/>
              </w:rPr>
              <w:t>(货物规格型号等)</w:t>
            </w:r>
          </w:p>
        </w:tc>
        <w:tc>
          <w:tcPr>
            <w:tcW w:w="6780" w:type="dxa"/>
            <w:vAlign w:val="center"/>
          </w:tcPr>
          <w:p w14:paraId="16295BBF">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vertAlign w:val="baseline"/>
              </w:rPr>
            </w:pPr>
          </w:p>
        </w:tc>
      </w:tr>
      <w:tr w14:paraId="70CC0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180" w:type="dxa"/>
            <w:vAlign w:val="center"/>
          </w:tcPr>
          <w:p w14:paraId="203C86F5">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val="0"/>
                <w:bCs w:val="0"/>
                <w:color w:val="000000"/>
                <w:sz w:val="24"/>
                <w:szCs w:val="24"/>
                <w:lang w:eastAsia="zh-CN"/>
              </w:rPr>
            </w:pPr>
            <w:r>
              <w:rPr>
                <w:rFonts w:hint="eastAsia" w:ascii="宋体" w:hAnsi="宋体" w:eastAsia="宋体" w:cs="宋体"/>
                <w:b w:val="0"/>
                <w:bCs w:val="0"/>
                <w:color w:val="000000"/>
                <w:sz w:val="24"/>
                <w:szCs w:val="24"/>
                <w:lang w:eastAsia="zh-CN"/>
              </w:rPr>
              <w:t>备注</w:t>
            </w:r>
          </w:p>
        </w:tc>
        <w:tc>
          <w:tcPr>
            <w:tcW w:w="6780" w:type="dxa"/>
            <w:vAlign w:val="center"/>
          </w:tcPr>
          <w:p w14:paraId="4CD5D54F">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vertAlign w:val="baseline"/>
              </w:rPr>
            </w:pPr>
          </w:p>
        </w:tc>
      </w:tr>
    </w:tbl>
    <w:p w14:paraId="0D09E1DF">
      <w:pPr>
        <w:bidi w:val="0"/>
      </w:pPr>
    </w:p>
    <w:p w14:paraId="0253A9A9">
      <w:pPr>
        <w:ind w:left="840" w:hanging="840"/>
        <w:rPr>
          <w:rFonts w:ascii="黑体" w:hAnsi="黑体" w:eastAsia="黑体"/>
          <w:sz w:val="24"/>
          <w:szCs w:val="24"/>
        </w:rPr>
      </w:pPr>
      <w:r>
        <w:rPr>
          <w:rFonts w:ascii="黑体" w:hAnsi="黑体" w:eastAsia="黑体"/>
          <w:sz w:val="24"/>
          <w:szCs w:val="24"/>
        </w:rPr>
        <w:t>注：1.每张表格只填写一个项目。</w:t>
      </w:r>
    </w:p>
    <w:p w14:paraId="3AA60A64">
      <w:pPr>
        <w:ind w:firstLine="480"/>
        <w:rPr>
          <w:rFonts w:ascii="黑体" w:hAnsi="黑体" w:eastAsia="黑体"/>
          <w:sz w:val="24"/>
          <w:szCs w:val="24"/>
        </w:rPr>
      </w:pPr>
      <w:r>
        <w:rPr>
          <w:rFonts w:ascii="黑体" w:hAnsi="黑体" w:eastAsia="黑体"/>
          <w:sz w:val="24"/>
          <w:szCs w:val="24"/>
        </w:rPr>
        <w:t>2.如近年来，投标人法人机构发生合法变更或重组或法人名称变更时，应提供相关部门的合法批件或其他相关证明材料来证明其所附业绩的继承性。</w:t>
      </w:r>
    </w:p>
    <w:p w14:paraId="64B39C4D">
      <w:pPr>
        <w:ind w:firstLine="480"/>
        <w:rPr>
          <w:rFonts w:ascii="黑体" w:hAnsi="黑体" w:eastAsia="黑体"/>
          <w:sz w:val="24"/>
          <w:szCs w:val="24"/>
        </w:rPr>
      </w:pPr>
      <w:r>
        <w:rPr>
          <w:rFonts w:hint="eastAsia" w:ascii="黑体" w:hAnsi="黑体" w:eastAsia="黑体"/>
          <w:sz w:val="24"/>
          <w:szCs w:val="24"/>
          <w:lang w:val="en-US" w:eastAsia="zh-CN"/>
        </w:rPr>
        <w:t>3</w:t>
      </w:r>
      <w:r>
        <w:rPr>
          <w:rFonts w:ascii="黑体" w:hAnsi="黑体" w:eastAsia="黑体"/>
          <w:sz w:val="24"/>
          <w:szCs w:val="24"/>
        </w:rPr>
        <w:t>.</w:t>
      </w:r>
      <w:r>
        <w:rPr>
          <w:rFonts w:hint="eastAsia" w:ascii="黑体" w:hAnsi="黑体" w:eastAsia="黑体"/>
          <w:sz w:val="24"/>
          <w:szCs w:val="24"/>
          <w:lang w:eastAsia="zh-CN"/>
        </w:rPr>
        <w:t>需按招标文件评分要求提供相应证明材料并</w:t>
      </w:r>
      <w:r>
        <w:rPr>
          <w:rFonts w:ascii="黑体" w:hAnsi="黑体" w:eastAsia="黑体"/>
          <w:sz w:val="24"/>
          <w:szCs w:val="24"/>
        </w:rPr>
        <w:t>加盖投标人单位公章。</w:t>
      </w:r>
    </w:p>
    <w:p w14:paraId="45B5ABD7">
      <w:pPr>
        <w:spacing w:line="340" w:lineRule="exact"/>
        <w:ind w:firstLine="420"/>
        <w:rPr>
          <w:rFonts w:ascii="黑体" w:hAnsi="黑体" w:eastAsia="黑体"/>
          <w:szCs w:val="21"/>
        </w:rPr>
      </w:pPr>
    </w:p>
    <w:p w14:paraId="4B0A009F">
      <w:pPr>
        <w:spacing w:line="400" w:lineRule="exact"/>
        <w:ind w:firstLine="420"/>
        <w:rPr>
          <w:rFonts w:ascii="黑体" w:hAnsi="黑体" w:eastAsia="黑体"/>
          <w:szCs w:val="21"/>
        </w:rPr>
      </w:pPr>
    </w:p>
    <w:p w14:paraId="5019D901">
      <w:pPr>
        <w:spacing w:line="380" w:lineRule="exact"/>
        <w:rPr>
          <w:b/>
          <w:sz w:val="28"/>
          <w:szCs w:val="28"/>
        </w:rPr>
      </w:pPr>
    </w:p>
    <w:p w14:paraId="2307050F">
      <w:pPr>
        <w:spacing w:line="520" w:lineRule="exact"/>
        <w:ind w:left="901" w:firstLine="2337"/>
        <w:jc w:val="left"/>
        <w:rPr>
          <w:rFonts w:ascii="宋体" w:hAnsi="宋体"/>
          <w:sz w:val="24"/>
          <w:u w:val="single"/>
        </w:rPr>
      </w:pPr>
      <w:r>
        <w:rPr>
          <w:rFonts w:ascii="宋体" w:hAnsi="宋体"/>
          <w:sz w:val="24"/>
        </w:rPr>
        <w:t>投标人</w:t>
      </w:r>
      <w:r>
        <w:rPr>
          <w:rFonts w:ascii="宋体" w:hAnsi="宋体"/>
          <w:sz w:val="28"/>
        </w:rPr>
        <w:t>：</w:t>
      </w:r>
      <w:r>
        <w:rPr>
          <w:rFonts w:ascii="宋体" w:hAnsi="宋体"/>
          <w:sz w:val="24"/>
          <w:u w:val="single"/>
        </w:rPr>
        <w:t>（盖章）</w:t>
      </w:r>
    </w:p>
    <w:p w14:paraId="5FA864AB">
      <w:pPr>
        <w:spacing w:line="520" w:lineRule="exact"/>
        <w:ind w:left="901" w:firstLine="2337"/>
        <w:jc w:val="left"/>
        <w:rPr>
          <w:rFonts w:ascii="宋体" w:hAnsi="宋体"/>
          <w:sz w:val="24"/>
          <w:u w:val="single"/>
        </w:rPr>
      </w:pPr>
      <w:r>
        <w:rPr>
          <w:rFonts w:ascii="宋体" w:hAnsi="宋体"/>
          <w:sz w:val="24"/>
        </w:rPr>
        <w:t>法定代表人（或委托代理人）：</w:t>
      </w:r>
      <w:r>
        <w:rPr>
          <w:rFonts w:ascii="宋体" w:hAnsi="宋体"/>
          <w:sz w:val="24"/>
          <w:u w:val="single"/>
        </w:rPr>
        <w:t xml:space="preserve">         （签字）</w:t>
      </w:r>
    </w:p>
    <w:p w14:paraId="413EC52E">
      <w:pPr>
        <w:spacing w:line="520" w:lineRule="exact"/>
        <w:ind w:left="901" w:firstLine="2337"/>
        <w:jc w:val="left"/>
        <w:rPr>
          <w:rFonts w:ascii="宋体" w:hAnsi="宋体"/>
          <w:spacing w:val="4"/>
          <w:sz w:val="24"/>
        </w:rPr>
      </w:pPr>
      <w:r>
        <w:rPr>
          <w:rFonts w:ascii="宋体" w:hAnsi="宋体"/>
          <w:spacing w:val="4"/>
          <w:sz w:val="24"/>
        </w:rPr>
        <w:t>日期：  年  月  日</w:t>
      </w:r>
    </w:p>
    <w:p w14:paraId="7A0B1D81">
      <w:pPr>
        <w:spacing w:line="520" w:lineRule="exact"/>
        <w:ind w:firstLine="4464"/>
        <w:rPr>
          <w:rFonts w:ascii="宋体" w:hAnsi="宋体"/>
          <w:spacing w:val="4"/>
          <w:sz w:val="24"/>
        </w:rPr>
      </w:pPr>
    </w:p>
    <w:p w14:paraId="0EB89701">
      <w:pPr>
        <w:pStyle w:val="3"/>
        <w:keepNext/>
        <w:keepLines/>
        <w:pageBreakBefore w:val="0"/>
        <w:widowControl w:val="0"/>
        <w:numPr>
          <w:ilvl w:val="0"/>
          <w:numId w:val="7"/>
        </w:numPr>
        <w:kinsoku/>
        <w:wordWrap/>
        <w:overflowPunct/>
        <w:topLinePunct w:val="0"/>
        <w:autoSpaceDE/>
        <w:autoSpaceDN/>
        <w:bidi w:val="0"/>
        <w:adjustRightInd/>
        <w:snapToGrid/>
        <w:spacing w:before="60" w:after="60" w:line="416" w:lineRule="auto"/>
        <w:jc w:val="center"/>
        <w:textAlignment w:val="auto"/>
        <w:rPr>
          <w:rFonts w:hint="eastAsia"/>
        </w:rPr>
      </w:pPr>
      <w:r>
        <w:rPr>
          <w:rFonts w:hint="eastAsia"/>
        </w:rPr>
        <w:t>企业信誉及荣誉</w:t>
      </w:r>
      <w:r>
        <w:rPr>
          <w:rFonts w:hint="eastAsia"/>
          <w:lang w:eastAsia="zh-CN"/>
        </w:rPr>
        <w:t>、</w:t>
      </w:r>
      <w:r>
        <w:rPr>
          <w:rFonts w:hint="eastAsia"/>
          <w:lang w:val="en-US" w:eastAsia="zh-CN"/>
        </w:rPr>
        <w:t>实力</w:t>
      </w:r>
      <w:r>
        <w:rPr>
          <w:rFonts w:hint="eastAsia"/>
        </w:rPr>
        <w:t>证明材料表</w:t>
      </w:r>
    </w:p>
    <w:tbl>
      <w:tblPr>
        <w:tblStyle w:val="29"/>
        <w:tblW w:w="9030" w:type="dxa"/>
        <w:tblInd w:w="108" w:type="dxa"/>
        <w:tblLayout w:type="fixed"/>
        <w:tblCellMar>
          <w:top w:w="0" w:type="dxa"/>
          <w:left w:w="108" w:type="dxa"/>
          <w:bottom w:w="0" w:type="dxa"/>
          <w:right w:w="108" w:type="dxa"/>
        </w:tblCellMar>
      </w:tblPr>
      <w:tblGrid>
        <w:gridCol w:w="2940"/>
        <w:gridCol w:w="3045"/>
        <w:gridCol w:w="3045"/>
      </w:tblGrid>
      <w:tr w14:paraId="624AF9A7">
        <w:tblPrEx>
          <w:tblCellMar>
            <w:top w:w="0" w:type="dxa"/>
            <w:left w:w="108" w:type="dxa"/>
            <w:bottom w:w="0" w:type="dxa"/>
            <w:right w:w="108" w:type="dxa"/>
          </w:tblCellMar>
        </w:tblPrEx>
        <w:trPr>
          <w:trHeight w:val="1010" w:hRule="atLeast"/>
        </w:trPr>
        <w:tc>
          <w:tcPr>
            <w:tcW w:w="2940" w:type="dxa"/>
            <w:tcBorders>
              <w:top w:val="single" w:color="000000" w:sz="12" w:space="0"/>
              <w:left w:val="single" w:color="000000" w:sz="12" w:space="0"/>
              <w:bottom w:val="single" w:color="000000" w:sz="12" w:space="0"/>
              <w:right w:val="single" w:color="000000" w:sz="12" w:space="0"/>
            </w:tcBorders>
            <w:vAlign w:val="center"/>
          </w:tcPr>
          <w:p w14:paraId="640AE754">
            <w:pPr>
              <w:widowControl w:val="0"/>
              <w:spacing w:before="0" w:after="0"/>
              <w:jc w:val="center"/>
              <w:rPr>
                <w:rFonts w:ascii="宋体" w:hAnsi="宋体"/>
                <w:sz w:val="24"/>
              </w:rPr>
            </w:pPr>
            <w:r>
              <w:rPr>
                <w:rFonts w:hint="eastAsia" w:ascii="宋体" w:hAnsi="宋体" w:cs="仿宋_GB2312"/>
                <w:sz w:val="24"/>
                <w:lang w:val="zh-CN"/>
              </w:rPr>
              <w:t>信誉及荣誉、实力</w:t>
            </w:r>
            <w:r>
              <w:rPr>
                <w:rFonts w:ascii="宋体" w:hAnsi="宋体" w:cs="仿宋_GB2312"/>
                <w:sz w:val="24"/>
                <w:lang w:val="zh-CN"/>
              </w:rPr>
              <w:t>内容</w:t>
            </w:r>
          </w:p>
        </w:tc>
        <w:tc>
          <w:tcPr>
            <w:tcW w:w="3045" w:type="dxa"/>
            <w:tcBorders>
              <w:top w:val="single" w:color="000000" w:sz="12" w:space="0"/>
              <w:left w:val="single" w:color="000000" w:sz="12" w:space="0"/>
              <w:bottom w:val="single" w:color="000000" w:sz="12" w:space="0"/>
              <w:right w:val="single" w:color="000000" w:sz="12" w:space="0"/>
            </w:tcBorders>
            <w:vAlign w:val="center"/>
          </w:tcPr>
          <w:p w14:paraId="7506344A">
            <w:pPr>
              <w:widowControl w:val="0"/>
              <w:spacing w:before="0" w:after="0"/>
              <w:jc w:val="center"/>
              <w:rPr>
                <w:rFonts w:ascii="宋体" w:hAnsi="宋体"/>
                <w:sz w:val="24"/>
                <w:szCs w:val="24"/>
              </w:rPr>
            </w:pPr>
            <w:r>
              <w:rPr>
                <w:spacing w:val="10"/>
                <w:sz w:val="24"/>
                <w:szCs w:val="24"/>
              </w:rPr>
              <w:t>证明材料</w:t>
            </w:r>
          </w:p>
        </w:tc>
        <w:tc>
          <w:tcPr>
            <w:tcW w:w="3045" w:type="dxa"/>
            <w:tcBorders>
              <w:top w:val="single" w:color="000000" w:sz="12" w:space="0"/>
              <w:left w:val="single" w:color="000000" w:sz="12" w:space="0"/>
              <w:bottom w:val="single" w:color="000000" w:sz="12" w:space="0"/>
              <w:right w:val="single" w:color="000000" w:sz="12" w:space="0"/>
            </w:tcBorders>
            <w:vAlign w:val="center"/>
          </w:tcPr>
          <w:p w14:paraId="02F23367">
            <w:pPr>
              <w:widowControl w:val="0"/>
              <w:spacing w:before="0" w:after="0" w:line="380" w:lineRule="exact"/>
              <w:ind w:left="278" w:hanging="278"/>
              <w:jc w:val="center"/>
              <w:rPr>
                <w:rFonts w:ascii="宋体" w:hAnsi="宋体" w:cs="仿宋_GB2312"/>
                <w:sz w:val="24"/>
                <w:lang w:val="zh-CN"/>
              </w:rPr>
            </w:pPr>
            <w:r>
              <w:rPr>
                <w:rFonts w:ascii="宋体" w:hAnsi="宋体" w:cs="仿宋_GB2312"/>
                <w:sz w:val="24"/>
                <w:lang w:val="zh-CN"/>
              </w:rPr>
              <w:t>投标人具备的</w:t>
            </w:r>
          </w:p>
          <w:p w14:paraId="5CBF30BD">
            <w:pPr>
              <w:widowControl w:val="0"/>
              <w:spacing w:before="0" w:after="0" w:line="380" w:lineRule="exact"/>
              <w:ind w:left="278" w:hanging="278"/>
              <w:jc w:val="center"/>
              <w:rPr>
                <w:rFonts w:ascii="宋体" w:hAnsi="宋体"/>
                <w:sz w:val="24"/>
              </w:rPr>
            </w:pPr>
            <w:r>
              <w:rPr>
                <w:rFonts w:ascii="宋体" w:hAnsi="宋体" w:cs="仿宋_GB2312"/>
                <w:sz w:val="24"/>
                <w:lang w:val="zh-CN"/>
              </w:rPr>
              <w:t>条件或说明</w:t>
            </w:r>
          </w:p>
        </w:tc>
      </w:tr>
      <w:tr w14:paraId="4CE694C3">
        <w:tblPrEx>
          <w:tblCellMar>
            <w:top w:w="0" w:type="dxa"/>
            <w:left w:w="108" w:type="dxa"/>
            <w:bottom w:w="0" w:type="dxa"/>
            <w:right w:w="108" w:type="dxa"/>
          </w:tblCellMar>
        </w:tblPrEx>
        <w:trPr>
          <w:trHeight w:val="1588" w:hRule="exact"/>
        </w:trPr>
        <w:tc>
          <w:tcPr>
            <w:tcW w:w="2940" w:type="dxa"/>
            <w:tcBorders>
              <w:top w:val="single" w:color="000000" w:sz="12" w:space="0"/>
              <w:left w:val="single" w:color="000000" w:sz="12" w:space="0"/>
              <w:bottom w:val="single" w:color="000000" w:sz="12" w:space="0"/>
              <w:right w:val="single" w:color="000000" w:sz="12" w:space="0"/>
            </w:tcBorders>
            <w:vAlign w:val="center"/>
          </w:tcPr>
          <w:p w14:paraId="1B0376F3">
            <w:pPr>
              <w:widowControl w:val="0"/>
              <w:spacing w:before="0" w:after="0"/>
              <w:rPr>
                <w:rFonts w:ascii="宋体" w:hAnsi="宋体" w:eastAsia="黑体"/>
                <w:b/>
                <w:bCs/>
                <w:sz w:val="30"/>
                <w:szCs w:val="30"/>
              </w:rPr>
            </w:pPr>
          </w:p>
          <w:p w14:paraId="00638013">
            <w:pPr>
              <w:widowControl w:val="0"/>
              <w:spacing w:before="0" w:after="0" w:line="440" w:lineRule="exact"/>
              <w:jc w:val="center"/>
              <w:rPr>
                <w:rFonts w:ascii="宋体" w:hAnsi="宋体"/>
                <w:spacing w:val="4"/>
                <w:sz w:val="24"/>
              </w:rPr>
            </w:pPr>
          </w:p>
        </w:tc>
        <w:tc>
          <w:tcPr>
            <w:tcW w:w="3045" w:type="dxa"/>
            <w:tcBorders>
              <w:top w:val="single" w:color="000000" w:sz="12" w:space="0"/>
              <w:left w:val="single" w:color="000000" w:sz="12" w:space="0"/>
              <w:bottom w:val="single" w:color="000000" w:sz="12" w:space="0"/>
              <w:right w:val="single" w:color="000000" w:sz="12" w:space="0"/>
            </w:tcBorders>
            <w:vAlign w:val="center"/>
          </w:tcPr>
          <w:p w14:paraId="55B3F7BB">
            <w:pPr>
              <w:widowControl w:val="0"/>
              <w:spacing w:before="0" w:after="0" w:line="440" w:lineRule="exact"/>
              <w:jc w:val="center"/>
              <w:rPr>
                <w:rFonts w:ascii="宋体" w:hAnsi="宋体"/>
                <w:spacing w:val="4"/>
                <w:sz w:val="24"/>
              </w:rPr>
            </w:pPr>
          </w:p>
        </w:tc>
        <w:tc>
          <w:tcPr>
            <w:tcW w:w="3045" w:type="dxa"/>
            <w:tcBorders>
              <w:top w:val="single" w:color="000000" w:sz="12" w:space="0"/>
              <w:left w:val="single" w:color="000000" w:sz="12" w:space="0"/>
              <w:bottom w:val="single" w:color="000000" w:sz="12" w:space="0"/>
              <w:right w:val="single" w:color="000000" w:sz="12" w:space="0"/>
            </w:tcBorders>
            <w:vAlign w:val="center"/>
          </w:tcPr>
          <w:p w14:paraId="2A1B07A8">
            <w:pPr>
              <w:widowControl w:val="0"/>
              <w:spacing w:before="0" w:after="0" w:line="380" w:lineRule="exact"/>
              <w:rPr>
                <w:rFonts w:ascii="宋体" w:hAnsi="宋体"/>
                <w:sz w:val="24"/>
              </w:rPr>
            </w:pPr>
          </w:p>
        </w:tc>
      </w:tr>
      <w:tr w14:paraId="4AF5CFFE">
        <w:tblPrEx>
          <w:tblCellMar>
            <w:top w:w="0" w:type="dxa"/>
            <w:left w:w="108" w:type="dxa"/>
            <w:bottom w:w="0" w:type="dxa"/>
            <w:right w:w="108" w:type="dxa"/>
          </w:tblCellMar>
        </w:tblPrEx>
        <w:trPr>
          <w:trHeight w:val="2336" w:hRule="exact"/>
        </w:trPr>
        <w:tc>
          <w:tcPr>
            <w:tcW w:w="2940" w:type="dxa"/>
            <w:tcBorders>
              <w:top w:val="single" w:color="000000" w:sz="12" w:space="0"/>
              <w:left w:val="single" w:color="000000" w:sz="12" w:space="0"/>
              <w:bottom w:val="single" w:color="000000" w:sz="12" w:space="0"/>
              <w:right w:val="single" w:color="000000" w:sz="12" w:space="0"/>
            </w:tcBorders>
            <w:vAlign w:val="center"/>
          </w:tcPr>
          <w:p w14:paraId="7B88F490">
            <w:pPr>
              <w:widowControl w:val="0"/>
              <w:spacing w:before="0" w:after="0" w:line="440" w:lineRule="exact"/>
              <w:jc w:val="center"/>
              <w:rPr>
                <w:rFonts w:ascii="宋体" w:hAnsi="宋体" w:cs="仿宋_GB2312"/>
                <w:sz w:val="24"/>
                <w:lang w:val="zh-CN"/>
              </w:rPr>
            </w:pPr>
          </w:p>
        </w:tc>
        <w:tc>
          <w:tcPr>
            <w:tcW w:w="3045" w:type="dxa"/>
            <w:tcBorders>
              <w:top w:val="single" w:color="000000" w:sz="12" w:space="0"/>
              <w:left w:val="single" w:color="000000" w:sz="12" w:space="0"/>
              <w:bottom w:val="single" w:color="000000" w:sz="12" w:space="0"/>
              <w:right w:val="single" w:color="000000" w:sz="12" w:space="0"/>
            </w:tcBorders>
            <w:vAlign w:val="center"/>
          </w:tcPr>
          <w:p w14:paraId="0B260D3F">
            <w:pPr>
              <w:widowControl w:val="0"/>
              <w:spacing w:before="0" w:after="0" w:line="440" w:lineRule="exact"/>
              <w:jc w:val="center"/>
              <w:rPr>
                <w:rFonts w:ascii="宋体" w:hAnsi="宋体"/>
                <w:spacing w:val="4"/>
                <w:sz w:val="24"/>
              </w:rPr>
            </w:pPr>
          </w:p>
        </w:tc>
        <w:tc>
          <w:tcPr>
            <w:tcW w:w="3045" w:type="dxa"/>
            <w:tcBorders>
              <w:top w:val="single" w:color="000000" w:sz="12" w:space="0"/>
              <w:left w:val="single" w:color="000000" w:sz="12" w:space="0"/>
              <w:bottom w:val="single" w:color="000000" w:sz="12" w:space="0"/>
              <w:right w:val="single" w:color="000000" w:sz="12" w:space="0"/>
            </w:tcBorders>
            <w:vAlign w:val="center"/>
          </w:tcPr>
          <w:p w14:paraId="72C58807">
            <w:pPr>
              <w:widowControl w:val="0"/>
              <w:spacing w:before="0" w:after="0" w:line="380" w:lineRule="exact"/>
              <w:rPr>
                <w:rFonts w:ascii="宋体" w:hAnsi="宋体"/>
                <w:sz w:val="24"/>
              </w:rPr>
            </w:pPr>
          </w:p>
        </w:tc>
      </w:tr>
    </w:tbl>
    <w:p w14:paraId="59D2CC22">
      <w:pPr>
        <w:spacing w:line="460" w:lineRule="exact"/>
        <w:ind w:firstLine="480"/>
        <w:rPr>
          <w:rFonts w:ascii="宋体" w:hAnsi="宋体" w:cs="宋体"/>
          <w:sz w:val="24"/>
          <w:szCs w:val="24"/>
        </w:rPr>
      </w:pPr>
      <w:r>
        <w:rPr>
          <w:rFonts w:ascii="宋体" w:hAnsi="宋体" w:cs="宋体"/>
          <w:sz w:val="24"/>
          <w:szCs w:val="24"/>
        </w:rPr>
        <w:t>注：本表后附与商务评分有关的企业信誉</w:t>
      </w:r>
      <w:r>
        <w:rPr>
          <w:rFonts w:hint="eastAsia" w:ascii="宋体" w:hAnsi="宋体" w:cs="宋体"/>
          <w:sz w:val="24"/>
          <w:szCs w:val="24"/>
          <w:lang w:eastAsia="zh-CN"/>
        </w:rPr>
        <w:t>、</w:t>
      </w:r>
      <w:r>
        <w:rPr>
          <w:rFonts w:ascii="宋体" w:hAnsi="宋体" w:cs="宋体"/>
          <w:sz w:val="24"/>
          <w:szCs w:val="24"/>
        </w:rPr>
        <w:t>荣誉</w:t>
      </w:r>
      <w:r>
        <w:rPr>
          <w:rFonts w:hint="eastAsia" w:ascii="宋体" w:hAnsi="宋体" w:cs="宋体"/>
          <w:sz w:val="24"/>
          <w:szCs w:val="24"/>
          <w:lang w:eastAsia="zh-CN"/>
        </w:rPr>
        <w:t>、</w:t>
      </w:r>
      <w:r>
        <w:rPr>
          <w:rFonts w:hint="eastAsia" w:ascii="宋体" w:hAnsi="宋体" w:cs="宋体"/>
          <w:sz w:val="24"/>
          <w:szCs w:val="24"/>
          <w:lang w:val="en-US" w:eastAsia="zh-CN"/>
        </w:rPr>
        <w:t>实力</w:t>
      </w:r>
      <w:r>
        <w:rPr>
          <w:rFonts w:ascii="宋体" w:hAnsi="宋体" w:cs="宋体"/>
          <w:sz w:val="24"/>
          <w:szCs w:val="24"/>
        </w:rPr>
        <w:t>证明材料</w:t>
      </w:r>
      <w:r>
        <w:rPr>
          <w:rFonts w:hint="eastAsia" w:ascii="宋体" w:hAnsi="宋体" w:cs="宋体"/>
          <w:sz w:val="24"/>
          <w:szCs w:val="24"/>
          <w:lang w:eastAsia="zh-CN"/>
        </w:rPr>
        <w:t>扫描</w:t>
      </w:r>
      <w:r>
        <w:rPr>
          <w:rFonts w:ascii="宋体" w:hAnsi="宋体" w:cs="宋体"/>
          <w:sz w:val="24"/>
          <w:szCs w:val="24"/>
        </w:rPr>
        <w:t>件（如果有），</w:t>
      </w:r>
      <w:r>
        <w:rPr>
          <w:rFonts w:hint="eastAsia" w:ascii="宋体" w:hAnsi="宋体" w:cs="宋体"/>
          <w:sz w:val="24"/>
          <w:szCs w:val="24"/>
        </w:rPr>
        <w:t>均须加盖投标人公章，</w:t>
      </w:r>
      <w:r>
        <w:rPr>
          <w:rFonts w:ascii="宋体" w:hAnsi="宋体" w:cs="宋体"/>
          <w:sz w:val="24"/>
          <w:szCs w:val="24"/>
        </w:rPr>
        <w:t>否则不予计分。</w:t>
      </w:r>
    </w:p>
    <w:p w14:paraId="43CC6CD7">
      <w:pPr>
        <w:spacing w:line="460" w:lineRule="exact"/>
        <w:ind w:firstLine="880"/>
        <w:rPr>
          <w:rFonts w:ascii="宋体" w:hAnsi="宋体"/>
          <w:sz w:val="24"/>
        </w:rPr>
      </w:pPr>
    </w:p>
    <w:p w14:paraId="3B137EF0">
      <w:pPr>
        <w:spacing w:line="460" w:lineRule="exact"/>
        <w:ind w:firstLine="880"/>
        <w:rPr>
          <w:rFonts w:ascii="宋体" w:hAnsi="宋体"/>
          <w:sz w:val="24"/>
        </w:rPr>
      </w:pPr>
    </w:p>
    <w:p w14:paraId="36866814">
      <w:pPr>
        <w:spacing w:line="460" w:lineRule="exact"/>
        <w:ind w:firstLine="880"/>
        <w:rPr>
          <w:rFonts w:ascii="宋体" w:hAnsi="宋体"/>
          <w:sz w:val="24"/>
        </w:rPr>
      </w:pPr>
    </w:p>
    <w:p w14:paraId="7BC83071">
      <w:pPr>
        <w:spacing w:line="460" w:lineRule="exact"/>
        <w:ind w:firstLine="880"/>
        <w:rPr>
          <w:rFonts w:ascii="宋体" w:hAnsi="宋体"/>
          <w:sz w:val="24"/>
        </w:rPr>
      </w:pPr>
    </w:p>
    <w:p w14:paraId="2B91DCC7">
      <w:pPr>
        <w:spacing w:line="460" w:lineRule="exact"/>
        <w:ind w:firstLine="880"/>
        <w:rPr>
          <w:rFonts w:ascii="宋体" w:hAnsi="宋体"/>
          <w:sz w:val="24"/>
        </w:rPr>
      </w:pPr>
    </w:p>
    <w:p w14:paraId="2B5EA5DF">
      <w:pPr>
        <w:spacing w:line="520" w:lineRule="exact"/>
        <w:ind w:left="901" w:firstLine="2337"/>
        <w:jc w:val="left"/>
        <w:rPr>
          <w:rFonts w:ascii="宋体" w:hAnsi="宋体"/>
          <w:sz w:val="24"/>
          <w:u w:val="single"/>
        </w:rPr>
      </w:pPr>
      <w:r>
        <w:rPr>
          <w:rFonts w:ascii="宋体" w:hAnsi="宋体"/>
          <w:sz w:val="24"/>
        </w:rPr>
        <w:t>投标人</w:t>
      </w:r>
      <w:r>
        <w:rPr>
          <w:rFonts w:ascii="宋体" w:hAnsi="宋体"/>
          <w:sz w:val="28"/>
        </w:rPr>
        <w:t>：</w:t>
      </w:r>
      <w:r>
        <w:rPr>
          <w:rFonts w:ascii="宋体" w:hAnsi="宋体"/>
          <w:sz w:val="24"/>
          <w:u w:val="single"/>
        </w:rPr>
        <w:t xml:space="preserve">                           （盖章）</w:t>
      </w:r>
    </w:p>
    <w:p w14:paraId="385A1510">
      <w:pPr>
        <w:spacing w:line="520" w:lineRule="exact"/>
        <w:ind w:left="901" w:firstLine="2337"/>
        <w:jc w:val="left"/>
        <w:rPr>
          <w:rFonts w:ascii="宋体" w:hAnsi="宋体"/>
          <w:sz w:val="24"/>
          <w:u w:val="single"/>
        </w:rPr>
      </w:pPr>
      <w:r>
        <w:rPr>
          <w:rFonts w:ascii="宋体" w:hAnsi="宋体"/>
          <w:sz w:val="24"/>
        </w:rPr>
        <w:t>法定代表人（或委托代理人）：</w:t>
      </w:r>
      <w:r>
        <w:rPr>
          <w:rFonts w:ascii="宋体" w:hAnsi="宋体"/>
          <w:sz w:val="24"/>
          <w:u w:val="single"/>
        </w:rPr>
        <w:t xml:space="preserve">         （签字）</w:t>
      </w:r>
    </w:p>
    <w:p w14:paraId="532B2A1E">
      <w:pPr>
        <w:spacing w:line="460" w:lineRule="exact"/>
        <w:ind w:firstLine="3280"/>
        <w:rPr>
          <w:rFonts w:ascii="宋体" w:hAnsi="宋体"/>
          <w:sz w:val="24"/>
        </w:rPr>
      </w:pPr>
      <w:r>
        <w:rPr>
          <w:rFonts w:ascii="宋体" w:hAnsi="宋体"/>
          <w:sz w:val="24"/>
        </w:rPr>
        <w:t xml:space="preserve">       </w:t>
      </w:r>
      <w:r>
        <w:rPr>
          <w:rFonts w:ascii="宋体" w:hAnsi="宋体"/>
          <w:spacing w:val="4"/>
          <w:sz w:val="24"/>
        </w:rPr>
        <w:t>日期：  年  月  日</w:t>
      </w:r>
    </w:p>
    <w:p w14:paraId="148D31B1">
      <w:pPr>
        <w:jc w:val="center"/>
        <w:rPr>
          <w:rFonts w:ascii="宋体" w:hAnsi="宋体" w:eastAsia="黑体"/>
          <w:b/>
          <w:bCs/>
          <w:sz w:val="30"/>
          <w:szCs w:val="30"/>
        </w:rPr>
      </w:pPr>
    </w:p>
    <w:p w14:paraId="65C13AD9">
      <w:pPr>
        <w:rPr>
          <w:rFonts w:ascii="宋体" w:hAnsi="宋体" w:eastAsia="黑体"/>
          <w:b/>
          <w:bCs/>
          <w:sz w:val="30"/>
          <w:szCs w:val="30"/>
        </w:rPr>
      </w:pPr>
    </w:p>
    <w:p w14:paraId="730F8379">
      <w:pPr>
        <w:rPr>
          <w:rFonts w:ascii="宋体" w:hAnsi="宋体" w:eastAsia="黑体"/>
          <w:b/>
          <w:bCs/>
          <w:sz w:val="30"/>
          <w:szCs w:val="30"/>
        </w:rPr>
      </w:pPr>
    </w:p>
    <w:p w14:paraId="5AB9A979">
      <w:pPr>
        <w:rPr>
          <w:rFonts w:ascii="宋体" w:hAnsi="宋体" w:eastAsia="黑体"/>
          <w:b/>
          <w:bCs/>
          <w:sz w:val="30"/>
          <w:szCs w:val="30"/>
        </w:rPr>
      </w:pPr>
    </w:p>
    <w:p w14:paraId="1AF225A8">
      <w:pPr>
        <w:pStyle w:val="3"/>
        <w:jc w:val="center"/>
        <w:rPr>
          <w:rFonts w:hint="eastAsia"/>
        </w:rPr>
        <w:sectPr>
          <w:headerReference r:id="rId21" w:type="default"/>
          <w:footerReference r:id="rId22" w:type="default"/>
          <w:pgSz w:w="11906" w:h="16838"/>
          <w:pgMar w:top="1440" w:right="1134" w:bottom="1440" w:left="1134" w:header="851" w:footer="850" w:gutter="0"/>
          <w:pgNumType w:fmt="decimal"/>
          <w:cols w:space="720" w:num="1"/>
          <w:formProt w:val="0"/>
          <w:docGrid w:linePitch="286" w:charSpace="0"/>
        </w:sectPr>
      </w:pPr>
    </w:p>
    <w:p w14:paraId="66A84144">
      <w:pPr>
        <w:pStyle w:val="3"/>
        <w:keepNext/>
        <w:keepLines/>
        <w:pageBreakBefore w:val="0"/>
        <w:widowControl w:val="0"/>
        <w:numPr>
          <w:ilvl w:val="0"/>
          <w:numId w:val="7"/>
        </w:numPr>
        <w:kinsoku/>
        <w:wordWrap/>
        <w:overflowPunct/>
        <w:topLinePunct w:val="0"/>
        <w:autoSpaceDE/>
        <w:autoSpaceDN/>
        <w:bidi w:val="0"/>
        <w:adjustRightInd/>
        <w:snapToGrid/>
        <w:spacing w:before="60" w:after="60" w:line="416" w:lineRule="auto"/>
        <w:jc w:val="center"/>
        <w:textAlignment w:val="auto"/>
        <w:rPr>
          <w:rFonts w:hint="eastAsia"/>
        </w:rPr>
      </w:pPr>
      <w:r>
        <w:rPr>
          <w:rFonts w:hint="eastAsia"/>
        </w:rPr>
        <w:t>投标人认为需要提供的其他资信材料</w:t>
      </w:r>
    </w:p>
    <w:p w14:paraId="0D26E2DE">
      <w:pPr>
        <w:spacing w:line="360" w:lineRule="exact"/>
        <w:jc w:val="center"/>
        <w:rPr>
          <w:rFonts w:hint="eastAsia"/>
          <w:b/>
          <w:sz w:val="32"/>
          <w:szCs w:val="32"/>
        </w:rPr>
      </w:pPr>
    </w:p>
    <w:p w14:paraId="1AF87AFE">
      <w:pPr>
        <w:bidi w:val="0"/>
        <w:jc w:val="center"/>
        <w:rPr>
          <w:rFonts w:hint="eastAsia"/>
          <w:sz w:val="24"/>
          <w:szCs w:val="24"/>
        </w:rPr>
      </w:pPr>
    </w:p>
    <w:p w14:paraId="78CDA933">
      <w:pPr>
        <w:bidi w:val="0"/>
        <w:jc w:val="center"/>
        <w:rPr>
          <w:rFonts w:hint="eastAsia"/>
          <w:sz w:val="24"/>
          <w:szCs w:val="24"/>
        </w:rPr>
      </w:pPr>
      <w:r>
        <w:rPr>
          <w:rFonts w:hint="eastAsia"/>
          <w:sz w:val="24"/>
          <w:szCs w:val="24"/>
        </w:rPr>
        <w:t>投标人根据招标文件认为需要提交的</w:t>
      </w:r>
      <w:r>
        <w:rPr>
          <w:rFonts w:hint="eastAsia"/>
          <w:sz w:val="24"/>
          <w:szCs w:val="24"/>
          <w:lang w:val="en-US" w:eastAsia="zh-CN"/>
        </w:rPr>
        <w:t>其他</w:t>
      </w:r>
      <w:r>
        <w:rPr>
          <w:rFonts w:hint="eastAsia"/>
          <w:sz w:val="24"/>
          <w:szCs w:val="24"/>
        </w:rPr>
        <w:t>资信材料（格式自定）。</w:t>
      </w:r>
    </w:p>
    <w:p w14:paraId="4D9BC61C">
      <w:pPr>
        <w:bidi w:val="0"/>
        <w:jc w:val="center"/>
        <w:rPr>
          <w:rFonts w:hint="eastAsia"/>
          <w:sz w:val="24"/>
          <w:szCs w:val="24"/>
        </w:rPr>
      </w:pPr>
    </w:p>
    <w:p w14:paraId="3660C3B9">
      <w:pPr>
        <w:bidi w:val="0"/>
        <w:jc w:val="center"/>
        <w:rPr>
          <w:rFonts w:hint="eastAsia"/>
          <w:sz w:val="24"/>
          <w:szCs w:val="24"/>
        </w:rPr>
      </w:pPr>
    </w:p>
    <w:p w14:paraId="1EED2F2C">
      <w:pPr>
        <w:bidi w:val="0"/>
        <w:jc w:val="center"/>
        <w:rPr>
          <w:rFonts w:hint="eastAsia"/>
          <w:sz w:val="24"/>
          <w:szCs w:val="24"/>
        </w:rPr>
      </w:pPr>
    </w:p>
    <w:p w14:paraId="6DC7ACF4">
      <w:pPr>
        <w:bidi w:val="0"/>
        <w:jc w:val="center"/>
        <w:rPr>
          <w:rFonts w:hint="eastAsia"/>
          <w:sz w:val="24"/>
          <w:szCs w:val="24"/>
        </w:rPr>
      </w:pPr>
    </w:p>
    <w:p w14:paraId="09BE2AD2">
      <w:pPr>
        <w:bidi w:val="0"/>
        <w:jc w:val="center"/>
        <w:rPr>
          <w:rFonts w:hint="eastAsia"/>
          <w:sz w:val="24"/>
          <w:szCs w:val="24"/>
        </w:rPr>
      </w:pPr>
    </w:p>
    <w:p w14:paraId="7CA74131">
      <w:pPr>
        <w:bidi w:val="0"/>
        <w:jc w:val="center"/>
        <w:rPr>
          <w:rFonts w:hint="eastAsia"/>
          <w:sz w:val="24"/>
          <w:szCs w:val="24"/>
        </w:rPr>
      </w:pPr>
    </w:p>
    <w:p w14:paraId="22C9FE03">
      <w:pPr>
        <w:bidi w:val="0"/>
        <w:jc w:val="center"/>
        <w:rPr>
          <w:rFonts w:hint="eastAsia"/>
          <w:sz w:val="24"/>
          <w:szCs w:val="24"/>
        </w:rPr>
      </w:pPr>
    </w:p>
    <w:p w14:paraId="02D47614">
      <w:pPr>
        <w:bidi w:val="0"/>
        <w:jc w:val="center"/>
        <w:rPr>
          <w:rFonts w:hint="eastAsia"/>
          <w:sz w:val="24"/>
          <w:szCs w:val="24"/>
        </w:rPr>
      </w:pPr>
    </w:p>
    <w:p w14:paraId="7F862415">
      <w:pPr>
        <w:bidi w:val="0"/>
        <w:rPr>
          <w:rFonts w:hint="eastAsia"/>
          <w:lang w:val="en-US" w:eastAsia="zh-CN"/>
        </w:rPr>
      </w:pPr>
    </w:p>
    <w:p w14:paraId="3913489E">
      <w:pPr>
        <w:pStyle w:val="3"/>
        <w:keepNext/>
        <w:keepLines/>
        <w:pageBreakBefore w:val="0"/>
        <w:widowControl w:val="0"/>
        <w:numPr>
          <w:ilvl w:val="0"/>
          <w:numId w:val="7"/>
        </w:numPr>
        <w:kinsoku/>
        <w:wordWrap/>
        <w:overflowPunct/>
        <w:topLinePunct w:val="0"/>
        <w:autoSpaceDE/>
        <w:autoSpaceDN/>
        <w:bidi w:val="0"/>
        <w:adjustRightInd/>
        <w:snapToGrid/>
        <w:spacing w:before="60" w:after="60" w:line="416" w:lineRule="auto"/>
        <w:jc w:val="center"/>
        <w:textAlignment w:val="auto"/>
        <w:rPr>
          <w:rFonts w:hint="default"/>
          <w:lang w:val="en-US" w:eastAsia="zh-CN"/>
        </w:rPr>
      </w:pPr>
      <w:r>
        <w:rPr>
          <w:rFonts w:hint="eastAsia"/>
          <w:lang w:val="en-US" w:eastAsia="zh-CN"/>
        </w:rPr>
        <w:t>其他资料（根据需要自行编写）</w:t>
      </w:r>
    </w:p>
    <w:p w14:paraId="042F871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14:paraId="2319C3F0">
      <w:pPr>
        <w:bidi w:val="0"/>
        <w:jc w:val="center"/>
        <w:rPr>
          <w:rFonts w:hint="eastAsia"/>
          <w:sz w:val="24"/>
          <w:szCs w:val="24"/>
        </w:rPr>
        <w:sectPr>
          <w:pgSz w:w="11906" w:h="16838"/>
          <w:pgMar w:top="1440" w:right="1134" w:bottom="1440" w:left="1134" w:header="851" w:footer="850" w:gutter="0"/>
          <w:pgNumType w:fmt="decimal"/>
          <w:cols w:space="720" w:num="1"/>
          <w:formProt w:val="0"/>
          <w:docGrid w:linePitch="286" w:charSpace="0"/>
        </w:sectPr>
      </w:pPr>
    </w:p>
    <w:p w14:paraId="294A5180">
      <w:pPr>
        <w:numPr>
          <w:ilvl w:val="0"/>
          <w:numId w:val="0"/>
        </w:numPr>
        <w:outlineLvl w:val="0"/>
        <w:rPr>
          <w:rFonts w:ascii="宋体" w:hAnsi="宋体"/>
          <w:b/>
          <w:sz w:val="24"/>
          <w:szCs w:val="28"/>
        </w:rPr>
      </w:pPr>
      <w:bookmarkStart w:id="138" w:name="_Toc17451"/>
      <w:bookmarkStart w:id="139" w:name="_Toc29490"/>
      <w:r>
        <w:rPr>
          <w:rFonts w:ascii="宋体" w:hAnsi="宋体"/>
          <w:b/>
          <w:sz w:val="24"/>
          <w:szCs w:val="28"/>
        </w:rPr>
        <w:t>附件一：问题澄清通知</w:t>
      </w:r>
      <w:bookmarkEnd w:id="138"/>
      <w:bookmarkEnd w:id="139"/>
    </w:p>
    <w:p w14:paraId="01E3E8F4">
      <w:pPr>
        <w:rPr>
          <w:rFonts w:ascii="宋体" w:hAnsi="宋体"/>
          <w:b/>
          <w:sz w:val="24"/>
          <w:szCs w:val="28"/>
        </w:rPr>
      </w:pPr>
    </w:p>
    <w:p w14:paraId="145F30E7">
      <w:pPr>
        <w:jc w:val="center"/>
        <w:outlineLvl w:val="9"/>
        <w:rPr>
          <w:rFonts w:ascii="宋体" w:hAnsi="宋体"/>
          <w:b/>
          <w:sz w:val="36"/>
          <w:szCs w:val="28"/>
        </w:rPr>
      </w:pPr>
      <w:bookmarkStart w:id="140" w:name="_Toc13010"/>
      <w:bookmarkStart w:id="141" w:name="_Toc29589"/>
      <w:r>
        <w:rPr>
          <w:rFonts w:ascii="宋体" w:hAnsi="宋体"/>
          <w:b/>
          <w:sz w:val="36"/>
          <w:szCs w:val="28"/>
        </w:rPr>
        <w:t>问题澄清通知</w:t>
      </w:r>
      <w:bookmarkEnd w:id="140"/>
      <w:bookmarkEnd w:id="141"/>
    </w:p>
    <w:p w14:paraId="3E5F4748">
      <w:pPr>
        <w:jc w:val="right"/>
        <w:rPr>
          <w:rFonts w:ascii="宋体" w:hAnsi="宋体"/>
          <w:sz w:val="22"/>
          <w:szCs w:val="28"/>
        </w:rPr>
      </w:pPr>
    </w:p>
    <w:p w14:paraId="129C7409">
      <w:pPr>
        <w:jc w:val="right"/>
        <w:rPr>
          <w:rFonts w:ascii="宋体" w:hAnsi="宋体"/>
          <w:sz w:val="22"/>
          <w:szCs w:val="28"/>
        </w:rPr>
      </w:pPr>
    </w:p>
    <w:p w14:paraId="6B0E11F9">
      <w:pPr>
        <w:jc w:val="right"/>
        <w:rPr>
          <w:rFonts w:ascii="宋体" w:hAnsi="宋体"/>
          <w:sz w:val="21"/>
          <w:szCs w:val="21"/>
        </w:rPr>
      </w:pPr>
      <w:r>
        <w:rPr>
          <w:rFonts w:ascii="宋体" w:hAnsi="宋体"/>
          <w:sz w:val="21"/>
          <w:szCs w:val="21"/>
        </w:rPr>
        <w:t>编号：</w:t>
      </w:r>
    </w:p>
    <w:p w14:paraId="5DF55A81">
      <w:pPr>
        <w:ind w:firstLine="110"/>
        <w:jc w:val="left"/>
        <w:rPr>
          <w:rFonts w:ascii="宋体" w:hAnsi="宋体"/>
          <w:sz w:val="21"/>
          <w:szCs w:val="21"/>
        </w:rPr>
      </w:pPr>
      <w:r>
        <w:rPr>
          <w:rFonts w:ascii="宋体" w:hAnsi="宋体"/>
          <w:sz w:val="21"/>
          <w:szCs w:val="21"/>
          <w:u w:val="single"/>
        </w:rPr>
        <w:t xml:space="preserve">    （投标人名称）</w:t>
      </w:r>
      <w:r>
        <w:rPr>
          <w:rFonts w:ascii="宋体" w:hAnsi="宋体"/>
          <w:sz w:val="21"/>
          <w:szCs w:val="21"/>
        </w:rPr>
        <w:t>：</w:t>
      </w:r>
    </w:p>
    <w:p w14:paraId="69E8F2A8">
      <w:pPr>
        <w:keepNext w:val="0"/>
        <w:keepLines w:val="0"/>
        <w:pageBreakBefore w:val="0"/>
        <w:widowControl w:val="0"/>
        <w:overflowPunct w:val="0"/>
        <w:bidi w:val="0"/>
        <w:snapToGrid/>
        <w:spacing w:line="360" w:lineRule="auto"/>
        <w:ind w:firstLine="440"/>
        <w:jc w:val="left"/>
        <w:textAlignment w:val="auto"/>
        <w:rPr>
          <w:rFonts w:ascii="宋体" w:hAnsi="宋体"/>
          <w:sz w:val="21"/>
          <w:szCs w:val="21"/>
        </w:rPr>
      </w:pPr>
      <w:r>
        <w:rPr>
          <w:rFonts w:ascii="宋体" w:hAnsi="宋体"/>
          <w:sz w:val="21"/>
          <w:szCs w:val="21"/>
          <w:u w:val="single"/>
        </w:rPr>
        <w:t xml:space="preserve">   （项目名称）</w:t>
      </w:r>
      <w:r>
        <w:rPr>
          <w:rFonts w:ascii="宋体" w:hAnsi="宋体"/>
          <w:sz w:val="21"/>
          <w:szCs w:val="21"/>
        </w:rPr>
        <w:t>标段</w:t>
      </w:r>
      <w:r>
        <w:rPr>
          <w:rFonts w:hint="eastAsia" w:ascii="宋体" w:hAnsi="宋体"/>
          <w:sz w:val="21"/>
          <w:szCs w:val="21"/>
          <w:lang w:val="en-US" w:eastAsia="zh-CN"/>
        </w:rPr>
        <w:t>货物</w:t>
      </w:r>
      <w:r>
        <w:rPr>
          <w:rFonts w:ascii="宋体" w:hAnsi="宋体"/>
          <w:sz w:val="21"/>
          <w:szCs w:val="21"/>
        </w:rPr>
        <w:t>招标的评标委员会，对你方的投标文件进行了仔细的审查，现需要你方对本通知说附质疑问卷中的问题以书面形式给予澄清、说明或者补正。</w:t>
      </w:r>
    </w:p>
    <w:p w14:paraId="193FA212">
      <w:pPr>
        <w:keepNext w:val="0"/>
        <w:keepLines w:val="0"/>
        <w:pageBreakBefore w:val="0"/>
        <w:widowControl w:val="0"/>
        <w:overflowPunct w:val="0"/>
        <w:bidi w:val="0"/>
        <w:snapToGrid/>
        <w:spacing w:line="360" w:lineRule="auto"/>
        <w:ind w:firstLine="440"/>
        <w:jc w:val="left"/>
        <w:textAlignment w:val="auto"/>
        <w:rPr>
          <w:rFonts w:ascii="宋体" w:hAnsi="宋体"/>
          <w:sz w:val="21"/>
          <w:szCs w:val="21"/>
        </w:rPr>
      </w:pPr>
      <w:r>
        <w:rPr>
          <w:rFonts w:ascii="宋体" w:hAnsi="宋体"/>
          <w:sz w:val="21"/>
          <w:szCs w:val="21"/>
        </w:rPr>
        <w:t>请将上述问题的澄清、说明或者补正于年月日时前密封递交至</w:t>
      </w:r>
      <w:r>
        <w:rPr>
          <w:rFonts w:ascii="宋体" w:hAnsi="宋体"/>
          <w:sz w:val="21"/>
          <w:szCs w:val="21"/>
          <w:u w:val="single"/>
        </w:rPr>
        <w:t>（详细地址）</w:t>
      </w:r>
      <w:r>
        <w:rPr>
          <w:rFonts w:ascii="宋体" w:hAnsi="宋体"/>
          <w:sz w:val="21"/>
          <w:szCs w:val="21"/>
        </w:rPr>
        <w:t>或发送邮件至</w:t>
      </w:r>
      <w:r>
        <w:rPr>
          <w:rFonts w:ascii="宋体" w:hAnsi="宋体"/>
          <w:sz w:val="21"/>
          <w:szCs w:val="21"/>
          <w:u w:val="single"/>
        </w:rPr>
        <w:t xml:space="preserve">    （邮箱）</w:t>
      </w:r>
      <w:r>
        <w:rPr>
          <w:rFonts w:ascii="宋体" w:hAnsi="宋体"/>
          <w:sz w:val="21"/>
          <w:szCs w:val="21"/>
        </w:rPr>
        <w:t>。采用邮件方式，应在年月日时前将原件递交至</w:t>
      </w:r>
      <w:r>
        <w:rPr>
          <w:rFonts w:ascii="宋体" w:hAnsi="宋体"/>
          <w:sz w:val="21"/>
          <w:szCs w:val="21"/>
          <w:u w:val="single"/>
        </w:rPr>
        <w:t xml:space="preserve">  （详细地址）</w:t>
      </w:r>
      <w:r>
        <w:rPr>
          <w:rFonts w:ascii="宋体" w:hAnsi="宋体"/>
          <w:sz w:val="21"/>
          <w:szCs w:val="21"/>
        </w:rPr>
        <w:t>。</w:t>
      </w:r>
    </w:p>
    <w:p w14:paraId="75012F2B">
      <w:pPr>
        <w:ind w:firstLine="440"/>
        <w:jc w:val="left"/>
        <w:rPr>
          <w:rFonts w:ascii="宋体" w:hAnsi="宋体"/>
          <w:sz w:val="21"/>
          <w:szCs w:val="21"/>
        </w:rPr>
      </w:pPr>
    </w:p>
    <w:p w14:paraId="75EA78F7">
      <w:pPr>
        <w:ind w:firstLine="440"/>
        <w:jc w:val="left"/>
        <w:rPr>
          <w:rFonts w:ascii="宋体" w:hAnsi="宋体"/>
          <w:sz w:val="21"/>
          <w:szCs w:val="21"/>
        </w:rPr>
      </w:pPr>
    </w:p>
    <w:p w14:paraId="2D99E2C9">
      <w:pPr>
        <w:ind w:firstLine="440"/>
        <w:jc w:val="left"/>
        <w:rPr>
          <w:rFonts w:ascii="宋体" w:hAnsi="宋体"/>
          <w:sz w:val="21"/>
          <w:szCs w:val="21"/>
        </w:rPr>
      </w:pPr>
    </w:p>
    <w:p w14:paraId="28AC9077">
      <w:pPr>
        <w:jc w:val="left"/>
        <w:rPr>
          <w:rFonts w:ascii="宋体" w:hAnsi="宋体"/>
          <w:sz w:val="21"/>
          <w:szCs w:val="21"/>
        </w:rPr>
      </w:pPr>
      <w:r>
        <w:rPr>
          <w:rFonts w:ascii="宋体" w:hAnsi="宋体"/>
          <w:sz w:val="21"/>
          <w:szCs w:val="21"/>
        </w:rPr>
        <w:t>附件：质疑问卷</w:t>
      </w:r>
    </w:p>
    <w:p w14:paraId="495335BE">
      <w:pPr>
        <w:jc w:val="left"/>
        <w:rPr>
          <w:rFonts w:ascii="宋体" w:hAnsi="宋体"/>
          <w:sz w:val="21"/>
          <w:szCs w:val="21"/>
        </w:rPr>
      </w:pPr>
    </w:p>
    <w:p w14:paraId="7B16D3B1">
      <w:pPr>
        <w:jc w:val="left"/>
        <w:rPr>
          <w:rFonts w:ascii="宋体" w:hAnsi="宋体"/>
          <w:sz w:val="21"/>
          <w:szCs w:val="21"/>
        </w:rPr>
      </w:pPr>
    </w:p>
    <w:p w14:paraId="4ABC0894">
      <w:pPr>
        <w:jc w:val="left"/>
        <w:rPr>
          <w:rFonts w:ascii="宋体" w:hAnsi="宋体"/>
          <w:sz w:val="21"/>
          <w:szCs w:val="21"/>
        </w:rPr>
      </w:pPr>
    </w:p>
    <w:p w14:paraId="1A3573E8">
      <w:pPr>
        <w:jc w:val="right"/>
        <w:rPr>
          <w:rFonts w:ascii="宋体" w:hAnsi="宋体"/>
          <w:sz w:val="21"/>
          <w:szCs w:val="21"/>
        </w:rPr>
      </w:pPr>
      <w:r>
        <w:rPr>
          <w:rFonts w:ascii="宋体" w:hAnsi="宋体"/>
          <w:sz w:val="21"/>
          <w:szCs w:val="21"/>
          <w:u w:val="single"/>
        </w:rPr>
        <w:t xml:space="preserve">    （项目名称）    </w:t>
      </w:r>
      <w:r>
        <w:rPr>
          <w:rFonts w:ascii="宋体" w:hAnsi="宋体"/>
          <w:sz w:val="21"/>
          <w:szCs w:val="21"/>
        </w:rPr>
        <w:t>标段</w:t>
      </w:r>
      <w:r>
        <w:rPr>
          <w:rFonts w:hint="eastAsia" w:ascii="宋体" w:hAnsi="宋体"/>
          <w:sz w:val="21"/>
          <w:szCs w:val="21"/>
          <w:lang w:eastAsia="zh-CN"/>
        </w:rPr>
        <w:t>货物</w:t>
      </w:r>
      <w:r>
        <w:rPr>
          <w:rFonts w:ascii="宋体" w:hAnsi="宋体"/>
          <w:sz w:val="21"/>
          <w:szCs w:val="21"/>
        </w:rPr>
        <w:t>招标评标委员会</w:t>
      </w:r>
    </w:p>
    <w:p w14:paraId="08AF7123">
      <w:pPr>
        <w:jc w:val="right"/>
        <w:rPr>
          <w:rFonts w:ascii="宋体" w:hAnsi="宋体"/>
          <w:sz w:val="21"/>
          <w:szCs w:val="21"/>
        </w:rPr>
      </w:pPr>
    </w:p>
    <w:p w14:paraId="065ADD48">
      <w:pPr>
        <w:ind w:right="440" w:firstLine="0"/>
        <w:jc w:val="center"/>
        <w:rPr>
          <w:rFonts w:ascii="宋体" w:hAnsi="宋体"/>
          <w:sz w:val="21"/>
          <w:szCs w:val="21"/>
        </w:rPr>
      </w:pPr>
      <w:r>
        <w:rPr>
          <w:rFonts w:ascii="宋体" w:hAnsi="宋体"/>
          <w:sz w:val="21"/>
          <w:szCs w:val="21"/>
        </w:rPr>
        <w:t xml:space="preserve">                          评标委员会主任：</w:t>
      </w:r>
      <w:r>
        <w:rPr>
          <w:rFonts w:ascii="宋体" w:hAnsi="宋体"/>
          <w:sz w:val="21"/>
          <w:szCs w:val="21"/>
          <w:u w:val="single"/>
        </w:rPr>
        <w:t xml:space="preserve">     </w:t>
      </w:r>
      <w:r>
        <w:rPr>
          <w:spacing w:val="6"/>
          <w:sz w:val="21"/>
          <w:szCs w:val="21"/>
          <w:u w:val="single"/>
        </w:rPr>
        <w:t>（签字）</w:t>
      </w:r>
    </w:p>
    <w:p w14:paraId="169C1F84">
      <w:pPr>
        <w:ind w:firstLine="4840"/>
        <w:rPr>
          <w:rFonts w:ascii="宋体" w:hAnsi="宋体"/>
          <w:sz w:val="21"/>
          <w:szCs w:val="21"/>
        </w:rPr>
      </w:pPr>
    </w:p>
    <w:p w14:paraId="43247D42">
      <w:pPr>
        <w:tabs>
          <w:tab w:val="left" w:pos="4860"/>
          <w:tab w:val="left" w:pos="9230"/>
        </w:tabs>
        <w:spacing w:before="156" w:after="0" w:line="360" w:lineRule="auto"/>
        <w:ind w:firstLine="4195"/>
        <w:rPr>
          <w:spacing w:val="6"/>
          <w:sz w:val="21"/>
          <w:szCs w:val="21"/>
          <w:u w:val="single"/>
        </w:rPr>
      </w:pPr>
      <w:r>
        <w:rPr>
          <w:spacing w:val="6"/>
          <w:sz w:val="21"/>
          <w:szCs w:val="21"/>
        </w:rPr>
        <w:t>监管部门代表：</w:t>
      </w:r>
      <w:r>
        <w:rPr>
          <w:spacing w:val="6"/>
          <w:sz w:val="21"/>
          <w:szCs w:val="21"/>
          <w:u w:val="single"/>
        </w:rPr>
        <w:t xml:space="preserve">      （签字）</w:t>
      </w:r>
    </w:p>
    <w:p w14:paraId="53C690E5">
      <w:pPr>
        <w:jc w:val="right"/>
        <w:rPr>
          <w:rFonts w:ascii="宋体" w:hAnsi="宋体"/>
          <w:sz w:val="21"/>
          <w:szCs w:val="21"/>
          <w:u w:val="single"/>
        </w:rPr>
      </w:pPr>
    </w:p>
    <w:p w14:paraId="48805DCF">
      <w:pPr>
        <w:jc w:val="center"/>
        <w:rPr>
          <w:rFonts w:ascii="宋体" w:hAnsi="宋体"/>
          <w:sz w:val="21"/>
          <w:szCs w:val="21"/>
        </w:rPr>
      </w:pPr>
      <w:r>
        <w:rPr>
          <w:rFonts w:ascii="宋体" w:hAnsi="宋体"/>
          <w:sz w:val="21"/>
          <w:szCs w:val="21"/>
        </w:rPr>
        <w:t xml:space="preserve">            日期：</w:t>
      </w:r>
      <w:r>
        <w:rPr>
          <w:rFonts w:ascii="宋体" w:hAnsi="宋体"/>
          <w:sz w:val="21"/>
          <w:szCs w:val="21"/>
          <w:u w:val="single"/>
        </w:rPr>
        <w:t xml:space="preserve">   </w:t>
      </w:r>
      <w:r>
        <w:rPr>
          <w:rFonts w:ascii="宋体" w:hAnsi="宋体"/>
          <w:sz w:val="21"/>
          <w:szCs w:val="21"/>
        </w:rPr>
        <w:t>年</w:t>
      </w:r>
      <w:r>
        <w:rPr>
          <w:rFonts w:ascii="宋体" w:hAnsi="宋体"/>
          <w:sz w:val="21"/>
          <w:szCs w:val="21"/>
          <w:u w:val="single"/>
        </w:rPr>
        <w:t xml:space="preserve">   </w:t>
      </w:r>
      <w:r>
        <w:rPr>
          <w:rFonts w:ascii="宋体" w:hAnsi="宋体"/>
          <w:sz w:val="21"/>
          <w:szCs w:val="21"/>
        </w:rPr>
        <w:t>月</w:t>
      </w:r>
      <w:r>
        <w:rPr>
          <w:rFonts w:ascii="宋体" w:hAnsi="宋体"/>
          <w:sz w:val="21"/>
          <w:szCs w:val="21"/>
          <w:u w:val="single"/>
        </w:rPr>
        <w:t xml:space="preserve">   </w:t>
      </w:r>
      <w:r>
        <w:rPr>
          <w:rFonts w:ascii="宋体" w:hAnsi="宋体"/>
          <w:sz w:val="21"/>
          <w:szCs w:val="21"/>
        </w:rPr>
        <w:t>日</w:t>
      </w:r>
    </w:p>
    <w:p w14:paraId="5871FD04">
      <w:pPr>
        <w:jc w:val="center"/>
        <w:rPr>
          <w:rFonts w:ascii="宋体" w:hAnsi="宋体"/>
          <w:sz w:val="22"/>
        </w:rPr>
      </w:pPr>
    </w:p>
    <w:p w14:paraId="6239F266">
      <w:pPr>
        <w:jc w:val="center"/>
        <w:rPr>
          <w:rFonts w:ascii="宋体" w:hAnsi="宋体"/>
          <w:sz w:val="22"/>
        </w:rPr>
      </w:pPr>
    </w:p>
    <w:p w14:paraId="63B21A73">
      <w:pPr>
        <w:jc w:val="center"/>
        <w:rPr>
          <w:rFonts w:ascii="宋体" w:hAnsi="宋体"/>
          <w:sz w:val="22"/>
        </w:rPr>
      </w:pPr>
    </w:p>
    <w:p w14:paraId="1B96D44F">
      <w:pPr>
        <w:jc w:val="center"/>
        <w:rPr>
          <w:rFonts w:ascii="宋体" w:hAnsi="宋体"/>
          <w:sz w:val="22"/>
        </w:rPr>
      </w:pPr>
    </w:p>
    <w:p w14:paraId="102BA471">
      <w:pPr>
        <w:jc w:val="center"/>
        <w:rPr>
          <w:rFonts w:ascii="宋体" w:hAnsi="宋体"/>
          <w:sz w:val="22"/>
        </w:rPr>
      </w:pPr>
    </w:p>
    <w:p w14:paraId="62E1FFD6">
      <w:pPr>
        <w:jc w:val="center"/>
        <w:rPr>
          <w:rFonts w:ascii="宋体" w:hAnsi="宋体"/>
          <w:sz w:val="22"/>
        </w:rPr>
      </w:pPr>
    </w:p>
    <w:p w14:paraId="27343382">
      <w:pPr>
        <w:jc w:val="center"/>
        <w:rPr>
          <w:rFonts w:ascii="宋体" w:hAnsi="宋体"/>
          <w:sz w:val="22"/>
        </w:rPr>
      </w:pPr>
    </w:p>
    <w:p w14:paraId="7775D08B">
      <w:pPr>
        <w:jc w:val="center"/>
        <w:rPr>
          <w:rFonts w:ascii="宋体" w:hAnsi="宋体"/>
          <w:b/>
          <w:sz w:val="24"/>
          <w:szCs w:val="28"/>
        </w:rPr>
      </w:pPr>
    </w:p>
    <w:p w14:paraId="5773B967">
      <w:pPr>
        <w:jc w:val="center"/>
        <w:rPr>
          <w:rFonts w:ascii="宋体" w:hAnsi="宋体"/>
          <w:b/>
          <w:sz w:val="24"/>
          <w:szCs w:val="28"/>
        </w:rPr>
      </w:pPr>
    </w:p>
    <w:p w14:paraId="7ED3C9C9">
      <w:pPr>
        <w:jc w:val="center"/>
        <w:rPr>
          <w:rFonts w:ascii="宋体" w:hAnsi="宋体"/>
          <w:b/>
          <w:sz w:val="24"/>
          <w:szCs w:val="28"/>
        </w:rPr>
      </w:pPr>
    </w:p>
    <w:p w14:paraId="5CBF0D98">
      <w:pPr>
        <w:jc w:val="center"/>
        <w:rPr>
          <w:rFonts w:ascii="宋体" w:hAnsi="宋体"/>
          <w:b/>
          <w:sz w:val="24"/>
          <w:szCs w:val="28"/>
        </w:rPr>
      </w:pPr>
    </w:p>
    <w:p w14:paraId="7A26BECA">
      <w:pPr>
        <w:jc w:val="center"/>
        <w:rPr>
          <w:rFonts w:ascii="宋体" w:hAnsi="宋体"/>
          <w:b/>
          <w:sz w:val="24"/>
          <w:szCs w:val="28"/>
        </w:rPr>
      </w:pPr>
    </w:p>
    <w:p w14:paraId="71A4C0E6">
      <w:pPr>
        <w:jc w:val="center"/>
        <w:rPr>
          <w:rFonts w:ascii="宋体" w:hAnsi="宋体"/>
          <w:b/>
          <w:sz w:val="24"/>
          <w:szCs w:val="28"/>
        </w:rPr>
      </w:pPr>
    </w:p>
    <w:p w14:paraId="615DE968">
      <w:pPr>
        <w:jc w:val="center"/>
        <w:rPr>
          <w:rFonts w:ascii="宋体" w:hAnsi="宋体"/>
          <w:b/>
          <w:sz w:val="24"/>
          <w:szCs w:val="28"/>
        </w:rPr>
      </w:pPr>
    </w:p>
    <w:p w14:paraId="503A209F">
      <w:pPr>
        <w:jc w:val="center"/>
        <w:rPr>
          <w:rFonts w:ascii="宋体" w:hAnsi="宋体"/>
          <w:b/>
          <w:sz w:val="24"/>
          <w:szCs w:val="28"/>
        </w:rPr>
      </w:pPr>
    </w:p>
    <w:p w14:paraId="68B632D1">
      <w:pPr>
        <w:numPr>
          <w:ilvl w:val="0"/>
          <w:numId w:val="0"/>
        </w:numPr>
        <w:jc w:val="left"/>
        <w:outlineLvl w:val="0"/>
        <w:rPr>
          <w:rFonts w:ascii="宋体" w:hAnsi="宋体"/>
          <w:b/>
          <w:sz w:val="24"/>
          <w:szCs w:val="28"/>
        </w:rPr>
        <w:sectPr>
          <w:headerReference r:id="rId23" w:type="default"/>
          <w:footerReference r:id="rId24" w:type="default"/>
          <w:pgSz w:w="11906" w:h="16838"/>
          <w:pgMar w:top="1247" w:right="1133" w:bottom="1247" w:left="1247" w:header="851" w:footer="850" w:gutter="0"/>
          <w:pgNumType w:fmt="decimal"/>
          <w:cols w:space="720" w:num="1"/>
          <w:formProt w:val="0"/>
          <w:docGrid w:type="lines" w:linePitch="312" w:charSpace="0"/>
        </w:sectPr>
      </w:pPr>
      <w:bookmarkStart w:id="142" w:name="_Toc6721"/>
    </w:p>
    <w:p w14:paraId="16C91EC2">
      <w:pPr>
        <w:numPr>
          <w:ilvl w:val="0"/>
          <w:numId w:val="0"/>
        </w:numPr>
        <w:jc w:val="left"/>
        <w:outlineLvl w:val="0"/>
        <w:rPr>
          <w:rFonts w:ascii="宋体" w:hAnsi="宋体"/>
          <w:sz w:val="22"/>
          <w:szCs w:val="28"/>
        </w:rPr>
      </w:pPr>
      <w:bookmarkStart w:id="143" w:name="_Toc32218"/>
      <w:r>
        <w:rPr>
          <w:rFonts w:ascii="宋体" w:hAnsi="宋体"/>
          <w:b/>
          <w:sz w:val="24"/>
          <w:szCs w:val="28"/>
        </w:rPr>
        <w:t>附件二：问题的澄清</w:t>
      </w:r>
      <w:bookmarkEnd w:id="142"/>
      <w:bookmarkEnd w:id="143"/>
    </w:p>
    <w:p w14:paraId="58BA1853">
      <w:pPr>
        <w:jc w:val="left"/>
        <w:rPr>
          <w:rFonts w:ascii="宋体" w:hAnsi="宋体"/>
          <w:b/>
          <w:sz w:val="28"/>
          <w:szCs w:val="28"/>
        </w:rPr>
      </w:pPr>
    </w:p>
    <w:p w14:paraId="4288C2D2">
      <w:pPr>
        <w:jc w:val="center"/>
        <w:outlineLvl w:val="9"/>
        <w:rPr>
          <w:rFonts w:ascii="宋体" w:hAnsi="宋体"/>
          <w:b/>
          <w:sz w:val="36"/>
          <w:szCs w:val="28"/>
        </w:rPr>
      </w:pPr>
      <w:bookmarkStart w:id="144" w:name="_Toc27390"/>
      <w:bookmarkStart w:id="145" w:name="_Toc27810"/>
      <w:r>
        <w:rPr>
          <w:rFonts w:ascii="宋体" w:hAnsi="宋体"/>
          <w:b/>
          <w:sz w:val="36"/>
          <w:szCs w:val="28"/>
        </w:rPr>
        <w:t>问题的澄清、说明或补正</w:t>
      </w:r>
      <w:bookmarkEnd w:id="144"/>
      <w:bookmarkEnd w:id="145"/>
    </w:p>
    <w:p w14:paraId="52145116">
      <w:pPr>
        <w:jc w:val="center"/>
        <w:rPr>
          <w:rFonts w:ascii="宋体" w:hAnsi="宋体"/>
          <w:b/>
          <w:sz w:val="36"/>
          <w:szCs w:val="28"/>
        </w:rPr>
      </w:pPr>
    </w:p>
    <w:p w14:paraId="0C8EF34C">
      <w:pPr>
        <w:jc w:val="right"/>
        <w:rPr>
          <w:rFonts w:ascii="宋体" w:hAnsi="宋体"/>
          <w:sz w:val="24"/>
          <w:szCs w:val="28"/>
          <w:u w:val="single"/>
        </w:rPr>
      </w:pPr>
      <w:r>
        <w:rPr>
          <w:rFonts w:ascii="宋体" w:hAnsi="宋体"/>
          <w:sz w:val="24"/>
          <w:szCs w:val="28"/>
        </w:rPr>
        <w:t>编号：</w:t>
      </w:r>
    </w:p>
    <w:p w14:paraId="0125A61D">
      <w:pPr>
        <w:spacing w:line="360" w:lineRule="auto"/>
        <w:jc w:val="left"/>
        <w:rPr>
          <w:rFonts w:ascii="宋体" w:hAnsi="宋体"/>
          <w:sz w:val="24"/>
          <w:szCs w:val="28"/>
        </w:rPr>
      </w:pPr>
      <w:r>
        <w:rPr>
          <w:rFonts w:ascii="宋体" w:hAnsi="宋体"/>
          <w:sz w:val="24"/>
          <w:szCs w:val="28"/>
          <w:u w:val="single"/>
        </w:rPr>
        <w:t xml:space="preserve">    （项目名称）</w:t>
      </w:r>
      <w:r>
        <w:rPr>
          <w:rFonts w:hint="eastAsia" w:ascii="宋体" w:hAnsi="宋体"/>
          <w:sz w:val="24"/>
          <w:szCs w:val="28"/>
          <w:u w:val="none"/>
        </w:rPr>
        <w:t>标段货物</w:t>
      </w:r>
      <w:r>
        <w:rPr>
          <w:rFonts w:ascii="宋体" w:hAnsi="宋体"/>
          <w:sz w:val="24"/>
          <w:szCs w:val="28"/>
        </w:rPr>
        <w:t>招标评标委员会：</w:t>
      </w:r>
    </w:p>
    <w:p w14:paraId="156AB684">
      <w:pPr>
        <w:spacing w:line="360" w:lineRule="auto"/>
        <w:jc w:val="left"/>
        <w:rPr>
          <w:rFonts w:ascii="宋体" w:hAnsi="宋体"/>
          <w:sz w:val="24"/>
          <w:szCs w:val="28"/>
        </w:rPr>
      </w:pPr>
      <w:r>
        <w:rPr>
          <w:rFonts w:ascii="宋体" w:hAnsi="宋体"/>
          <w:sz w:val="24"/>
          <w:szCs w:val="28"/>
        </w:rPr>
        <w:t>问题澄清通知（编号：）已收悉，现澄清、说明或者补正如下：</w:t>
      </w:r>
    </w:p>
    <w:p w14:paraId="5C939C43">
      <w:pPr>
        <w:spacing w:line="360" w:lineRule="auto"/>
        <w:jc w:val="left"/>
        <w:rPr>
          <w:rFonts w:ascii="宋体" w:hAnsi="宋体"/>
          <w:sz w:val="24"/>
          <w:szCs w:val="28"/>
        </w:rPr>
      </w:pPr>
      <w:r>
        <w:rPr>
          <w:rFonts w:ascii="宋体" w:hAnsi="宋体"/>
          <w:sz w:val="24"/>
          <w:szCs w:val="28"/>
        </w:rPr>
        <w:t>1.</w:t>
      </w:r>
    </w:p>
    <w:p w14:paraId="0E42CFEB">
      <w:pPr>
        <w:jc w:val="left"/>
        <w:rPr>
          <w:rFonts w:ascii="宋体" w:hAnsi="宋体"/>
          <w:sz w:val="28"/>
          <w:szCs w:val="28"/>
        </w:rPr>
      </w:pPr>
      <w:r>
        <w:rPr>
          <w:rFonts w:ascii="宋体" w:hAnsi="宋体"/>
          <w:sz w:val="28"/>
          <w:szCs w:val="28"/>
        </w:rPr>
        <w:t>2．</w:t>
      </w:r>
    </w:p>
    <w:p w14:paraId="0B6FE185">
      <w:pPr>
        <w:rPr>
          <w:rFonts w:ascii="宋体" w:hAnsi="宋体"/>
          <w:sz w:val="28"/>
          <w:szCs w:val="28"/>
        </w:rPr>
      </w:pPr>
      <w:r>
        <w:rPr>
          <w:rFonts w:ascii="宋体" w:hAnsi="宋体"/>
          <w:sz w:val="28"/>
          <w:szCs w:val="28"/>
        </w:rPr>
        <w:t>.......</w:t>
      </w:r>
    </w:p>
    <w:p w14:paraId="18C4D6D7">
      <w:pPr>
        <w:tabs>
          <w:tab w:val="left" w:pos="4860"/>
          <w:tab w:val="left" w:pos="9230"/>
        </w:tabs>
        <w:spacing w:before="156" w:after="0" w:line="360" w:lineRule="auto"/>
        <w:jc w:val="left"/>
        <w:rPr>
          <w:spacing w:val="6"/>
          <w:szCs w:val="21"/>
        </w:rPr>
      </w:pPr>
    </w:p>
    <w:p w14:paraId="7C2318D9">
      <w:pPr>
        <w:tabs>
          <w:tab w:val="left" w:pos="4860"/>
          <w:tab w:val="left" w:pos="9230"/>
        </w:tabs>
        <w:spacing w:before="156" w:after="0" w:line="360" w:lineRule="auto"/>
        <w:jc w:val="left"/>
        <w:rPr>
          <w:spacing w:val="6"/>
          <w:szCs w:val="21"/>
        </w:rPr>
      </w:pPr>
    </w:p>
    <w:p w14:paraId="0837F644">
      <w:pPr>
        <w:tabs>
          <w:tab w:val="left" w:pos="4860"/>
          <w:tab w:val="left" w:pos="9230"/>
        </w:tabs>
        <w:spacing w:before="156" w:after="0" w:line="360" w:lineRule="auto"/>
        <w:jc w:val="center"/>
        <w:rPr>
          <w:bCs/>
          <w:spacing w:val="6"/>
          <w:szCs w:val="21"/>
        </w:rPr>
      </w:pPr>
      <w:r>
        <w:rPr>
          <w:bCs/>
          <w:spacing w:val="6"/>
          <w:szCs w:val="21"/>
        </w:rPr>
        <w:t xml:space="preserve">                                投标人：</w:t>
      </w:r>
      <w:r>
        <w:rPr>
          <w:bCs/>
          <w:spacing w:val="10"/>
          <w:sz w:val="22"/>
          <w:u w:val="single"/>
        </w:rPr>
        <w:t xml:space="preserve">  单位全称    </w:t>
      </w:r>
      <w:r>
        <w:rPr>
          <w:rFonts w:ascii="宋体" w:hAnsi="宋体"/>
          <w:bCs/>
          <w:sz w:val="24"/>
          <w:u w:val="single"/>
        </w:rPr>
        <w:t>（盖单位章）</w:t>
      </w:r>
    </w:p>
    <w:p w14:paraId="6E2E6C22">
      <w:pPr>
        <w:tabs>
          <w:tab w:val="left" w:pos="4860"/>
          <w:tab w:val="left" w:pos="9230"/>
        </w:tabs>
        <w:spacing w:before="156" w:after="0" w:line="360" w:lineRule="auto"/>
        <w:jc w:val="center"/>
        <w:rPr>
          <w:bCs/>
          <w:spacing w:val="6"/>
          <w:szCs w:val="21"/>
        </w:rPr>
      </w:pPr>
      <w:r>
        <w:rPr>
          <w:bCs/>
          <w:spacing w:val="6"/>
          <w:szCs w:val="21"/>
        </w:rPr>
        <w:t xml:space="preserve">                                 法定代表人或其委托代理人：</w:t>
      </w:r>
      <w:r>
        <w:rPr>
          <w:bCs/>
          <w:spacing w:val="6"/>
          <w:szCs w:val="21"/>
          <w:u w:val="single"/>
        </w:rPr>
        <w:t xml:space="preserve">   （签字）</w:t>
      </w:r>
    </w:p>
    <w:p w14:paraId="69E47533">
      <w:pPr>
        <w:tabs>
          <w:tab w:val="left" w:pos="4860"/>
          <w:tab w:val="left" w:pos="9230"/>
        </w:tabs>
        <w:spacing w:before="156" w:after="0" w:line="360" w:lineRule="auto"/>
        <w:ind w:firstLine="4415"/>
        <w:rPr>
          <w:bCs/>
          <w:spacing w:val="6"/>
          <w:szCs w:val="21"/>
          <w:u w:val="single"/>
        </w:rPr>
      </w:pPr>
      <w:r>
        <w:rPr>
          <w:bCs/>
          <w:spacing w:val="6"/>
          <w:szCs w:val="21"/>
        </w:rPr>
        <w:t>监管部门代表：</w:t>
      </w:r>
      <w:r>
        <w:rPr>
          <w:bCs/>
          <w:spacing w:val="6"/>
          <w:szCs w:val="21"/>
          <w:u w:val="single"/>
        </w:rPr>
        <w:t xml:space="preserve">        （签字）</w:t>
      </w:r>
    </w:p>
    <w:p w14:paraId="199E0700">
      <w:pPr>
        <w:tabs>
          <w:tab w:val="left" w:pos="4860"/>
          <w:tab w:val="left" w:pos="9230"/>
        </w:tabs>
        <w:spacing w:before="156" w:after="0" w:line="360" w:lineRule="auto"/>
        <w:ind w:right="444" w:firstLine="4510"/>
        <w:rPr>
          <w:rFonts w:ascii="宋体" w:hAnsi="宋体"/>
          <w:sz w:val="22"/>
        </w:rPr>
      </w:pPr>
      <w:r>
        <w:rPr>
          <w:rFonts w:ascii="宋体" w:hAnsi="宋体"/>
          <w:sz w:val="22"/>
        </w:rPr>
        <w:t>日期：</w:t>
      </w:r>
      <w:r>
        <w:rPr>
          <w:rFonts w:ascii="宋体" w:hAnsi="宋体"/>
          <w:sz w:val="22"/>
          <w:u w:val="single"/>
        </w:rPr>
        <w:t xml:space="preserve">   </w:t>
      </w:r>
      <w:r>
        <w:rPr>
          <w:rFonts w:ascii="宋体" w:hAnsi="宋体"/>
          <w:sz w:val="22"/>
        </w:rPr>
        <w:t>年</w:t>
      </w:r>
      <w:r>
        <w:rPr>
          <w:rFonts w:ascii="宋体" w:hAnsi="宋体"/>
          <w:sz w:val="22"/>
          <w:u w:val="single"/>
        </w:rPr>
        <w:t xml:space="preserve">   </w:t>
      </w:r>
      <w:r>
        <w:rPr>
          <w:rFonts w:ascii="宋体" w:hAnsi="宋体"/>
          <w:sz w:val="22"/>
        </w:rPr>
        <w:t>月</w:t>
      </w:r>
      <w:r>
        <w:rPr>
          <w:rFonts w:ascii="宋体" w:hAnsi="宋体"/>
          <w:sz w:val="22"/>
          <w:u w:val="single"/>
        </w:rPr>
        <w:t xml:space="preserve">    </w:t>
      </w:r>
      <w:r>
        <w:rPr>
          <w:rFonts w:ascii="宋体" w:hAnsi="宋体"/>
          <w:sz w:val="22"/>
        </w:rPr>
        <w:t>日</w:t>
      </w:r>
    </w:p>
    <w:p w14:paraId="46591F3C">
      <w:pPr>
        <w:tabs>
          <w:tab w:val="left" w:pos="4860"/>
          <w:tab w:val="left" w:pos="9230"/>
        </w:tabs>
        <w:spacing w:before="156" w:after="0" w:line="360" w:lineRule="auto"/>
        <w:ind w:right="444" w:firstLine="4510"/>
        <w:rPr>
          <w:rFonts w:ascii="宋体" w:hAnsi="宋体"/>
          <w:sz w:val="22"/>
        </w:rPr>
      </w:pPr>
    </w:p>
    <w:p w14:paraId="1AF9934B">
      <w:pPr>
        <w:tabs>
          <w:tab w:val="left" w:pos="4860"/>
          <w:tab w:val="left" w:pos="9230"/>
        </w:tabs>
        <w:spacing w:before="156" w:after="0" w:line="360" w:lineRule="auto"/>
        <w:ind w:right="444" w:firstLine="4510"/>
        <w:rPr>
          <w:rFonts w:ascii="宋体" w:hAnsi="宋体"/>
          <w:sz w:val="22"/>
        </w:rPr>
      </w:pPr>
    </w:p>
    <w:p w14:paraId="46E76CA2">
      <w:pPr>
        <w:tabs>
          <w:tab w:val="left" w:pos="4860"/>
          <w:tab w:val="left" w:pos="9230"/>
        </w:tabs>
        <w:spacing w:before="156" w:after="0" w:line="360" w:lineRule="auto"/>
        <w:ind w:right="444" w:firstLine="4510"/>
        <w:rPr>
          <w:rFonts w:ascii="宋体" w:hAnsi="宋体"/>
          <w:sz w:val="22"/>
        </w:rPr>
        <w:sectPr>
          <w:pgSz w:w="11906" w:h="16838"/>
          <w:pgMar w:top="1247" w:right="1133" w:bottom="1247" w:left="1247" w:header="851" w:footer="850" w:gutter="0"/>
          <w:pgNumType w:fmt="decimal"/>
          <w:cols w:space="720" w:num="1"/>
          <w:formProt w:val="0"/>
          <w:docGrid w:type="lines" w:linePitch="312" w:charSpace="0"/>
        </w:sectPr>
      </w:pPr>
    </w:p>
    <w:p w14:paraId="2E6C8462">
      <w:pPr>
        <w:numPr>
          <w:ilvl w:val="0"/>
          <w:numId w:val="0"/>
        </w:numPr>
        <w:jc w:val="left"/>
        <w:outlineLvl w:val="0"/>
        <w:rPr>
          <w:rFonts w:hint="eastAsia" w:ascii="宋体" w:hAnsi="宋体"/>
          <w:b/>
          <w:sz w:val="24"/>
          <w:szCs w:val="28"/>
          <w:lang w:val="en-US" w:eastAsia="zh-CN"/>
        </w:rPr>
      </w:pPr>
      <w:bookmarkStart w:id="146" w:name="_Toc17844"/>
      <w:r>
        <w:rPr>
          <w:rFonts w:hint="eastAsia" w:ascii="宋体" w:hAnsi="宋体"/>
          <w:b/>
          <w:sz w:val="24"/>
          <w:szCs w:val="28"/>
        </w:rPr>
        <w:t>附件</w:t>
      </w:r>
      <w:r>
        <w:rPr>
          <w:rFonts w:hint="eastAsia" w:ascii="宋体" w:hAnsi="宋体"/>
          <w:b/>
          <w:sz w:val="24"/>
          <w:szCs w:val="28"/>
          <w:lang w:val="en-US" w:eastAsia="zh-CN"/>
        </w:rPr>
        <w:t>三：技术性能考核指标</w:t>
      </w:r>
      <w:bookmarkEnd w:id="146"/>
    </w:p>
    <w:p w14:paraId="485E667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highlight w:val="yellow"/>
        </w:rPr>
      </w:pPr>
    </w:p>
    <w:p w14:paraId="3E92464B">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center"/>
        <w:textAlignment w:val="auto"/>
        <w:rPr>
          <w:rFonts w:hint="eastAsia"/>
          <w:b w:val="0"/>
          <w:bCs/>
          <w:sz w:val="24"/>
          <w:highlight w:val="none"/>
        </w:rPr>
      </w:pPr>
      <w:r>
        <w:rPr>
          <w:rFonts w:hint="eastAsia"/>
          <w:b/>
          <w:bCs w:val="0"/>
          <w:sz w:val="36"/>
          <w:szCs w:val="32"/>
          <w:highlight w:val="none"/>
          <w:lang w:val="en-US" w:eastAsia="zh-CN"/>
        </w:rPr>
        <w:t>技术性能考核指标</w:t>
      </w:r>
    </w:p>
    <w:p w14:paraId="3D6811D3">
      <w:pPr>
        <w:tabs>
          <w:tab w:val="left" w:pos="4860"/>
          <w:tab w:val="left" w:pos="9230"/>
        </w:tabs>
        <w:spacing w:before="156" w:after="0" w:line="360" w:lineRule="auto"/>
        <w:ind w:right="444" w:firstLine="560" w:firstLineChars="200"/>
        <w:rPr>
          <w:rFonts w:hint="default"/>
          <w:b w:val="0"/>
          <w:bCs/>
          <w:sz w:val="28"/>
          <w:szCs w:val="24"/>
          <w:highlight w:val="none"/>
        </w:rPr>
      </w:pPr>
      <w:r>
        <w:rPr>
          <w:rFonts w:hint="eastAsia"/>
          <w:b w:val="0"/>
          <w:bCs/>
          <w:sz w:val="28"/>
          <w:szCs w:val="24"/>
          <w:highlight w:val="none"/>
        </w:rPr>
        <w:t>主要材料及技术参数:</w:t>
      </w:r>
    </w:p>
    <w:p w14:paraId="5BBA6E1C">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b w:val="0"/>
          <w:bCs/>
          <w:sz w:val="28"/>
          <w:szCs w:val="24"/>
          <w:highlight w:val="none"/>
        </w:rPr>
      </w:pPr>
      <w:r>
        <w:rPr>
          <w:rFonts w:hint="eastAsia"/>
          <w:b w:val="0"/>
          <w:bCs/>
          <w:sz w:val="28"/>
          <w:szCs w:val="24"/>
          <w:highlight w:val="none"/>
          <w:lang w:val="en-US" w:eastAsia="zh-CN"/>
        </w:rPr>
        <w:t>1.</w:t>
      </w:r>
      <w:r>
        <w:rPr>
          <w:rFonts w:hint="eastAsia"/>
          <w:b w:val="0"/>
          <w:bCs/>
          <w:sz w:val="28"/>
          <w:szCs w:val="24"/>
          <w:highlight w:val="none"/>
        </w:rPr>
        <w:t>网箱框架技术参数</w:t>
      </w:r>
      <w:r>
        <w:rPr>
          <w:rFonts w:hint="default"/>
          <w:b w:val="0"/>
          <w:bCs/>
          <w:sz w:val="28"/>
          <w:szCs w:val="24"/>
          <w:highlight w:val="none"/>
        </w:rPr>
        <w:t>：</w:t>
      </w:r>
    </w:p>
    <w:p w14:paraId="09DCB3F4">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b w:val="0"/>
          <w:bCs/>
          <w:sz w:val="28"/>
          <w:szCs w:val="24"/>
          <w:highlight w:val="none"/>
        </w:rPr>
      </w:pPr>
      <w:r>
        <w:rPr>
          <w:rFonts w:hint="default"/>
          <w:b w:val="0"/>
          <w:bCs/>
          <w:sz w:val="28"/>
          <w:szCs w:val="24"/>
          <w:highlight w:val="none"/>
        </w:rPr>
        <w:t>网箱类型：周长90米圆形HDPE网箱</w:t>
      </w:r>
    </w:p>
    <w:p w14:paraId="2D01F56A">
      <w:pPr>
        <w:keepNext w:val="0"/>
        <w:keepLines w:val="0"/>
        <w:pageBreakBefore w:val="0"/>
        <w:widowControl w:val="0"/>
        <w:kinsoku/>
        <w:wordWrap/>
        <w:overflowPunct/>
        <w:topLinePunct w:val="0"/>
        <w:autoSpaceDE/>
        <w:autoSpaceDN/>
        <w:bidi w:val="0"/>
        <w:adjustRightInd/>
        <w:snapToGrid/>
        <w:spacing w:line="360" w:lineRule="auto"/>
        <w:ind w:left="479" w:leftChars="228" w:firstLine="0" w:firstLineChars="0"/>
        <w:jc w:val="both"/>
        <w:textAlignment w:val="auto"/>
        <w:rPr>
          <w:rFonts w:hint="default"/>
          <w:b w:val="0"/>
          <w:bCs/>
          <w:sz w:val="28"/>
          <w:szCs w:val="24"/>
          <w:highlight w:val="none"/>
        </w:rPr>
      </w:pPr>
      <w:r>
        <w:rPr>
          <w:rFonts w:hint="default"/>
          <w:b w:val="0"/>
          <w:bCs/>
          <w:sz w:val="28"/>
          <w:szCs w:val="24"/>
          <w:highlight w:val="none"/>
        </w:rPr>
        <w:t>浮管材质及规格：HDPE100，直径为450mm，SDR13.6；采用专用高密度聚乙烯原料制造，不得添加再生料</w:t>
      </w:r>
    </w:p>
    <w:p w14:paraId="2FDC28FC">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b w:val="0"/>
          <w:bCs/>
          <w:sz w:val="28"/>
          <w:szCs w:val="24"/>
          <w:highlight w:val="none"/>
        </w:rPr>
      </w:pPr>
      <w:r>
        <w:rPr>
          <w:rFonts w:hint="default"/>
          <w:b w:val="0"/>
          <w:bCs/>
          <w:sz w:val="28"/>
          <w:szCs w:val="24"/>
          <w:highlight w:val="none"/>
        </w:rPr>
        <w:t>工字架规格：厚度≥30mm</w:t>
      </w:r>
    </w:p>
    <w:p w14:paraId="374D05A8">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b w:val="0"/>
          <w:bCs/>
          <w:sz w:val="28"/>
          <w:szCs w:val="24"/>
          <w:highlight w:val="none"/>
        </w:rPr>
      </w:pPr>
      <w:r>
        <w:rPr>
          <w:rFonts w:hint="default"/>
          <w:b w:val="0"/>
          <w:bCs/>
          <w:sz w:val="28"/>
          <w:szCs w:val="24"/>
          <w:highlight w:val="none"/>
        </w:rPr>
        <w:t>扶手管规格：直径≥140mm，SDR11</w:t>
      </w:r>
    </w:p>
    <w:p w14:paraId="283F1479">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b w:val="0"/>
          <w:bCs/>
          <w:sz w:val="28"/>
          <w:szCs w:val="24"/>
          <w:highlight w:val="none"/>
        </w:rPr>
      </w:pPr>
      <w:r>
        <w:rPr>
          <w:rFonts w:hint="default"/>
          <w:b w:val="0"/>
          <w:bCs/>
          <w:sz w:val="28"/>
          <w:szCs w:val="24"/>
          <w:highlight w:val="none"/>
        </w:rPr>
        <w:t>工字架数量：≥60个</w:t>
      </w:r>
    </w:p>
    <w:p w14:paraId="5C406919">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b w:val="0"/>
          <w:bCs/>
          <w:sz w:val="28"/>
          <w:szCs w:val="24"/>
          <w:highlight w:val="none"/>
        </w:rPr>
      </w:pPr>
      <w:r>
        <w:rPr>
          <w:rFonts w:hint="default"/>
          <w:b w:val="0"/>
          <w:bCs/>
          <w:sz w:val="28"/>
          <w:szCs w:val="24"/>
          <w:highlight w:val="none"/>
        </w:rPr>
        <w:t>使用寿命：至少10年以上</w:t>
      </w:r>
    </w:p>
    <w:p w14:paraId="4B04B9E7">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b w:val="0"/>
          <w:bCs/>
          <w:sz w:val="28"/>
          <w:szCs w:val="24"/>
          <w:highlight w:val="none"/>
        </w:rPr>
      </w:pPr>
      <w:r>
        <w:rPr>
          <w:rFonts w:hint="eastAsia"/>
          <w:b w:val="0"/>
          <w:bCs/>
          <w:sz w:val="28"/>
          <w:szCs w:val="24"/>
          <w:highlight w:val="none"/>
          <w:lang w:val="en-US" w:eastAsia="zh-CN"/>
        </w:rPr>
        <w:t>2.</w:t>
      </w:r>
      <w:r>
        <w:rPr>
          <w:rFonts w:hint="default"/>
          <w:b w:val="0"/>
          <w:bCs/>
          <w:sz w:val="28"/>
          <w:szCs w:val="24"/>
          <w:highlight w:val="none"/>
        </w:rPr>
        <w:t>网衣技术参数：</w:t>
      </w:r>
    </w:p>
    <w:p w14:paraId="32ACE08C">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b w:val="0"/>
          <w:bCs/>
          <w:sz w:val="28"/>
          <w:szCs w:val="24"/>
          <w:highlight w:val="none"/>
        </w:rPr>
      </w:pPr>
      <w:r>
        <w:rPr>
          <w:rFonts w:hint="default"/>
          <w:b w:val="0"/>
          <w:bCs/>
          <w:sz w:val="28"/>
          <w:szCs w:val="24"/>
          <w:highlight w:val="none"/>
        </w:rPr>
        <w:t>网衣形状：圆台型（上底周长87米、下底周长76米，网深7米）</w:t>
      </w:r>
    </w:p>
    <w:p w14:paraId="335D119A">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b w:val="0"/>
          <w:bCs/>
          <w:sz w:val="28"/>
          <w:szCs w:val="24"/>
          <w:highlight w:val="none"/>
        </w:rPr>
      </w:pPr>
      <w:r>
        <w:rPr>
          <w:rFonts w:hint="default"/>
          <w:b w:val="0"/>
          <w:bCs/>
          <w:sz w:val="28"/>
          <w:szCs w:val="24"/>
          <w:highlight w:val="none"/>
        </w:rPr>
        <w:t>网线规格：PE380D/90股x6.8cm，绞捻无结</w:t>
      </w:r>
    </w:p>
    <w:p w14:paraId="2354FEB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b w:val="0"/>
          <w:bCs/>
          <w:sz w:val="28"/>
          <w:szCs w:val="24"/>
          <w:highlight w:val="none"/>
        </w:rPr>
      </w:pPr>
      <w:r>
        <w:rPr>
          <w:rFonts w:hint="eastAsia"/>
          <w:b w:val="0"/>
          <w:bCs/>
          <w:sz w:val="28"/>
          <w:szCs w:val="24"/>
          <w:highlight w:val="none"/>
          <w:lang w:val="en-US" w:eastAsia="zh-CN"/>
        </w:rPr>
        <w:t>3.</w:t>
      </w:r>
      <w:r>
        <w:rPr>
          <w:rFonts w:hint="default"/>
          <w:b w:val="0"/>
          <w:bCs/>
          <w:sz w:val="28"/>
          <w:szCs w:val="24"/>
          <w:highlight w:val="none"/>
        </w:rPr>
        <w:t>拦饲料网技术参数：</w:t>
      </w:r>
    </w:p>
    <w:p w14:paraId="18D89A4A">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b w:val="0"/>
          <w:bCs/>
          <w:sz w:val="28"/>
          <w:szCs w:val="24"/>
          <w:highlight w:val="none"/>
        </w:rPr>
      </w:pPr>
      <w:r>
        <w:rPr>
          <w:rFonts w:hint="default"/>
          <w:b w:val="0"/>
          <w:bCs/>
          <w:sz w:val="28"/>
          <w:szCs w:val="24"/>
          <w:highlight w:val="none"/>
        </w:rPr>
        <w:t>尺寸：长90米，宽3米</w:t>
      </w:r>
    </w:p>
    <w:p w14:paraId="7F989F04">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b w:val="0"/>
          <w:bCs/>
          <w:sz w:val="28"/>
          <w:szCs w:val="24"/>
          <w:highlight w:val="none"/>
        </w:rPr>
      </w:pPr>
      <w:r>
        <w:rPr>
          <w:rFonts w:hint="default"/>
          <w:b w:val="0"/>
          <w:bCs/>
          <w:sz w:val="28"/>
          <w:szCs w:val="24"/>
          <w:highlight w:val="none"/>
        </w:rPr>
        <w:t>网线规格：PE240D/7股x0.7cm，经编无结网</w:t>
      </w:r>
    </w:p>
    <w:p w14:paraId="24F6855D">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b w:val="0"/>
          <w:bCs/>
          <w:sz w:val="28"/>
          <w:szCs w:val="24"/>
          <w:highlight w:val="none"/>
        </w:rPr>
      </w:pPr>
      <w:r>
        <w:rPr>
          <w:rFonts w:hint="eastAsia"/>
          <w:b w:val="0"/>
          <w:bCs/>
          <w:sz w:val="28"/>
          <w:szCs w:val="24"/>
          <w:highlight w:val="none"/>
          <w:lang w:val="en-US" w:eastAsia="zh-CN"/>
        </w:rPr>
        <w:t>4.</w:t>
      </w:r>
      <w:r>
        <w:rPr>
          <w:rFonts w:hint="default"/>
          <w:b w:val="0"/>
          <w:bCs/>
          <w:sz w:val="28"/>
          <w:szCs w:val="24"/>
          <w:highlight w:val="none"/>
        </w:rPr>
        <w:t>锚固系统技术参数：</w:t>
      </w:r>
    </w:p>
    <w:p w14:paraId="4BC58919">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b w:val="0"/>
          <w:bCs/>
          <w:sz w:val="28"/>
          <w:szCs w:val="24"/>
          <w:highlight w:val="none"/>
        </w:rPr>
      </w:pPr>
      <w:r>
        <w:rPr>
          <w:rFonts w:hint="default"/>
          <w:b w:val="0"/>
          <w:bCs/>
          <w:sz w:val="28"/>
          <w:szCs w:val="24"/>
          <w:highlight w:val="none"/>
        </w:rPr>
        <w:t>铁锚规格：700kg/个，共12个</w:t>
      </w:r>
    </w:p>
    <w:p w14:paraId="63884094">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b w:val="0"/>
          <w:bCs/>
          <w:sz w:val="28"/>
          <w:szCs w:val="24"/>
          <w:highlight w:val="none"/>
        </w:rPr>
      </w:pPr>
      <w:r>
        <w:rPr>
          <w:rFonts w:hint="default"/>
          <w:b w:val="0"/>
          <w:bCs/>
          <w:sz w:val="28"/>
          <w:szCs w:val="24"/>
          <w:highlight w:val="none"/>
        </w:rPr>
        <w:t>锚链规格：Φ25mm，长15米/条，共12条</w:t>
      </w:r>
    </w:p>
    <w:p w14:paraId="656FA597">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b w:val="0"/>
          <w:bCs/>
          <w:sz w:val="28"/>
          <w:szCs w:val="24"/>
          <w:highlight w:val="none"/>
        </w:rPr>
      </w:pPr>
      <w:r>
        <w:rPr>
          <w:rFonts w:hint="default"/>
          <w:b w:val="0"/>
          <w:bCs/>
          <w:sz w:val="28"/>
          <w:szCs w:val="24"/>
          <w:highlight w:val="none"/>
        </w:rPr>
        <w:t>锚绳规格：≥Φ45mm，锚绳长度≥100米，共12条</w:t>
      </w:r>
    </w:p>
    <w:p w14:paraId="708758C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ascii="宋体" w:hAnsi="宋体"/>
          <w:sz w:val="22"/>
        </w:rPr>
      </w:pPr>
      <w:r>
        <w:rPr>
          <w:rFonts w:hint="default"/>
          <w:b w:val="0"/>
          <w:bCs/>
          <w:sz w:val="28"/>
          <w:szCs w:val="24"/>
          <w:highlight w:val="none"/>
        </w:rPr>
        <w:t>固定方式：采用单口网箱铁锚固定的方式，网箱之间的锚绳不交叉</w:t>
      </w:r>
    </w:p>
    <w:sectPr>
      <w:pgSz w:w="11906" w:h="16838"/>
      <w:pgMar w:top="1247" w:right="1133" w:bottom="1247" w:left="1247" w:header="851" w:footer="850" w:gutter="0"/>
      <w:pgNumType w:fmt="decimal"/>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1"/>
    <w:family w:val="roman"/>
    <w:pitch w:val="default"/>
    <w:sig w:usb0="E00006FF" w:usb1="420024FF" w:usb2="02000000" w:usb3="00000000" w:csb0="2000019F" w:csb1="00000000"/>
  </w:font>
  <w:font w:name="Noto Sans Mono CJK SC">
    <w:altName w:val="Segoe Print"/>
    <w:panose1 w:val="00000000000000000000"/>
    <w:charset w:val="01"/>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roman"/>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 w:name="TimesNewRomanPSMT">
    <w:altName w:val="Times New Roman"/>
    <w:panose1 w:val="00000000000000000000"/>
    <w:charset w:val="00"/>
    <w:family w:val="auto"/>
    <w:pitch w:val="default"/>
    <w:sig w:usb0="00000000" w:usb1="00000000" w:usb2="00000000" w:usb3="00000000" w:csb0="00000000" w:csb1="00000000"/>
  </w:font>
  <w:font w:name="仿宋">
    <w:panose1 w:val="02010609060101010101"/>
    <w:charset w:val="86"/>
    <w:family w:val="roman"/>
    <w:pitch w:val="default"/>
    <w:sig w:usb0="800002BF" w:usb1="38CF7CFA" w:usb2="00000016" w:usb3="00000000" w:csb0="00040001" w:csb1="00000000"/>
  </w:font>
  <w:font w:name="仿宋_GB2312">
    <w:altName w:val="仿宋"/>
    <w:panose1 w:val="02010609030101010101"/>
    <w:charset w:val="86"/>
    <w:family w:val="roman"/>
    <w:pitch w:val="default"/>
    <w:sig w:usb0="00000000" w:usb1="00000000" w:usb2="00000000" w:usb3="00000000" w:csb0="00040000" w:csb1="00000000"/>
  </w:font>
  <w:font w:name="方正仿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Dutch801 Rm BT">
    <w:altName w:val="Times New Roman"/>
    <w:panose1 w:val="02020603060505020304"/>
    <w:charset w:val="01"/>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9952E">
    <w:pPr>
      <w:pStyle w:val="20"/>
    </w:pPr>
    <w:r>
      <mc:AlternateContent>
        <mc:Choice Requires="wps">
          <w:drawing>
            <wp:anchor distT="0" distB="0" distL="0" distR="0" simplePos="0" relativeHeight="251659264" behindDoc="1" locked="0" layoutInCell="0" allowOverlap="1">
              <wp:simplePos x="0" y="0"/>
              <wp:positionH relativeFrom="margin">
                <wp:align>center</wp:align>
              </wp:positionH>
              <wp:positionV relativeFrom="paragraph">
                <wp:posOffset>635</wp:posOffset>
              </wp:positionV>
              <wp:extent cx="114935" cy="158750"/>
              <wp:effectExtent l="0" t="0" r="0" b="0"/>
              <wp:wrapNone/>
              <wp:docPr id="1" name="矩形 1026"/>
              <wp:cNvGraphicFramePr/>
              <a:graphic xmlns:a="http://schemas.openxmlformats.org/drawingml/2006/main">
                <a:graphicData uri="http://schemas.microsoft.com/office/word/2010/wordprocessingShape">
                  <wps:wsp>
                    <wps:cNvSpPr/>
                    <wps:spPr>
                      <a:xfrm>
                        <a:off x="0" y="0"/>
                        <a:ext cx="114840" cy="158760"/>
                      </a:xfrm>
                      <a:prstGeom prst="rect">
                        <a:avLst/>
                      </a:prstGeom>
                      <a:noFill/>
                      <a:ln w="0">
                        <a:noFill/>
                      </a:ln>
                    </wps:spPr>
                    <wps:style>
                      <a:lnRef idx="0">
                        <a:srgbClr val="FFFFFF"/>
                      </a:lnRef>
                      <a:fillRef idx="0">
                        <a:srgbClr val="FFFFFF"/>
                      </a:fillRef>
                      <a:effectRef idx="0">
                        <a:srgbClr val="FFFFFF"/>
                      </a:effectRef>
                      <a:fontRef idx="minor"/>
                    </wps:style>
                    <wps:txbx>
                      <w:txbxContent>
                        <w:p w14:paraId="6227F0BC">
                          <w:pPr>
                            <w:pStyle w:val="76"/>
                          </w:pPr>
                        </w:p>
                      </w:txbxContent>
                    </wps:txbx>
                    <wps:bodyPr lIns="0" tIns="0" rIns="0" bIns="0" anchor="t" upright="1">
                      <a:spAutoFit/>
                    </wps:bodyPr>
                  </wps:wsp>
                </a:graphicData>
              </a:graphic>
            </wp:anchor>
          </w:drawing>
        </mc:Choice>
        <mc:Fallback>
          <w:pict>
            <v:rect id="矩形 1026" o:spid="_x0000_s1026" o:spt="1" style="position:absolute;left:0pt;margin-top:0.05pt;height:12.5pt;width:9.05pt;mso-position-horizontal:center;mso-position-horizontal-relative:margin;z-index:-251657216;mso-width-relative:page;mso-height-relative:page;" filled="f" stroked="f" coordsize="21600,21600" o:allowincell="f" o:gfxdata="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P4WWXc8AAAADAQAADwAAAAAAAAABACAAAAAiAAAAZHJzL2Rvd25yZXYueG1s&#10;UEsBAhQAFAAAAAgAh07iQArFEvvIAQAAkgMAAA4AAAAAAAAAAQAgAAAAHgEAAGRycy9lMm9Eb2Mu&#10;eG1sUEsFBgAAAAAGAAYAWQEAAFgFAAAAAA==&#10;">
              <v:fill on="f" focussize="0,0"/>
              <v:stroke on="f" weight="0pt"/>
              <v:imagedata o:title=""/>
              <o:lock v:ext="edit" aspectratio="f"/>
              <v:textbox inset="0mm,0mm,0mm,0mm" style="mso-fit-shape-to-text:t;">
                <w:txbxContent>
                  <w:p w14:paraId="6227F0BC">
                    <w:pPr>
                      <w:pStyle w:val="76"/>
                    </w:pPr>
                  </w:p>
                </w:txbxContent>
              </v:textbox>
            </v:rect>
          </w:pict>
        </mc:Fallback>
      </mc:AlternateContent>
    </w:r>
    <w:r>
      <mc:AlternateContent>
        <mc:Choice Requires="wps">
          <w:drawing>
            <wp:anchor distT="0" distB="0" distL="0" distR="0" simplePos="0" relativeHeight="251659264" behindDoc="1" locked="0" layoutInCell="0" allowOverlap="1">
              <wp:simplePos x="0" y="0"/>
              <wp:positionH relativeFrom="margin">
                <wp:align>center</wp:align>
              </wp:positionH>
              <wp:positionV relativeFrom="paragraph">
                <wp:posOffset>635</wp:posOffset>
              </wp:positionV>
              <wp:extent cx="1828800" cy="135890"/>
              <wp:effectExtent l="0" t="0" r="0" b="0"/>
              <wp:wrapNone/>
              <wp:docPr id="3" name="文本框6"/>
              <wp:cNvGraphicFramePr/>
              <a:graphic xmlns:a="http://schemas.openxmlformats.org/drawingml/2006/main">
                <a:graphicData uri="http://schemas.microsoft.com/office/word/2010/wordprocessingShape">
                  <wps:wsp>
                    <wps:cNvSpPr/>
                    <wps:spPr>
                      <a:xfrm>
                        <a:off x="0" y="0"/>
                        <a:ext cx="1828800" cy="135720"/>
                      </a:xfrm>
                      <a:prstGeom prst="rect">
                        <a:avLst/>
                      </a:prstGeom>
                      <a:noFill/>
                      <a:ln w="0">
                        <a:noFill/>
                      </a:ln>
                    </wps:spPr>
                    <wps:style>
                      <a:lnRef idx="0">
                        <a:srgbClr val="FFFFFF"/>
                      </a:lnRef>
                      <a:fillRef idx="0">
                        <a:srgbClr val="FFFFFF"/>
                      </a:fillRef>
                      <a:effectRef idx="0">
                        <a:srgbClr val="FFFFFF"/>
                      </a:effectRef>
                      <a:fontRef idx="minor"/>
                    </wps:style>
                    <wps:txbx>
                      <w:txbxContent>
                        <w:p w14:paraId="660B8033">
                          <w:pPr>
                            <w:pStyle w:val="76"/>
                            <w:snapToGrid w:val="0"/>
                            <w:rPr>
                              <w:sz w:val="18"/>
                            </w:rPr>
                          </w:pPr>
                        </w:p>
                      </w:txbxContent>
                    </wps:txbx>
                    <wps:bodyPr lIns="0" tIns="0" rIns="0" bIns="0" anchor="t" upright="1">
                      <a:spAutoFit/>
                    </wps:bodyPr>
                  </wps:wsp>
                </a:graphicData>
              </a:graphic>
            </wp:anchor>
          </w:drawing>
        </mc:Choice>
        <mc:Fallback>
          <w:pict>
            <v:rect id="文本框6" o:spid="_x0000_s1026" o:spt="1" style="position:absolute;left:0pt;margin-top:0.05pt;height:10.7pt;width:144pt;mso-position-horizontal:center;mso-position-horizontal-relative:margin;z-index:-251657216;mso-width-relative:page;mso-height-relative:page;" filled="f" stroked="f" coordsize="21600,21600" o:allowincell="f" o:gfxdata="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7YD4aM8AAAAEAQAADwAAAAAAAAABACAAAAAiAAAAZHJzL2Rvd25yZXYu&#10;eG1sUEsBAhQAFAAAAAgAh07iQB1zmhTLAQAAkgMAAA4AAAAAAAAAAQAgAAAAHgEAAGRycy9lMm9E&#10;b2MueG1sUEsFBgAAAAAGAAYAWQEAAFsFAAAAAA==&#10;">
              <v:fill on="f" focussize="0,0"/>
              <v:stroke on="f" weight="0pt"/>
              <v:imagedata o:title=""/>
              <o:lock v:ext="edit" aspectratio="f"/>
              <v:textbox inset="0mm,0mm,0mm,0mm" style="mso-fit-shape-to-text:t;">
                <w:txbxContent>
                  <w:p w14:paraId="660B8033">
                    <w:pPr>
                      <w:pStyle w:val="76"/>
                      <w:snapToGrid w:val="0"/>
                      <w:rPr>
                        <w:sz w:val="18"/>
                      </w:rPr>
                    </w:pPr>
                  </w:p>
                </w:txbxContent>
              </v:textbox>
            </v:rect>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80B4C">
    <w:pPr>
      <w:pStyle w:val="20"/>
      <w:tabs>
        <w:tab w:val="center" w:pos="4873"/>
        <w:tab w:val="clear" w:pos="4153"/>
      </w:tabs>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B4B81E">
                          <w:pPr>
                            <w:pStyle w:val="20"/>
                          </w:pPr>
                          <w:r>
                            <w:fldChar w:fldCharType="begin"/>
                          </w:r>
                          <w:r>
                            <w:instrText xml:space="preserve"> PAGE  \* MERGEFORMAT </w:instrText>
                          </w:r>
                          <w:r>
                            <w:fldChar w:fldCharType="separate"/>
                          </w:r>
                          <w:r>
                            <w:t>86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20B4B81E">
                    <w:pPr>
                      <w:pStyle w:val="20"/>
                    </w:pPr>
                    <w:r>
                      <w:fldChar w:fldCharType="begin"/>
                    </w:r>
                    <w:r>
                      <w:instrText xml:space="preserve"> PAGE  \* MERGEFORMAT </w:instrText>
                    </w:r>
                    <w:r>
                      <w:fldChar w:fldCharType="separate"/>
                    </w:r>
                    <w:r>
                      <w:t>86</w:t>
                    </w:r>
                    <w:r>
                      <w:fldChar w:fldCharType="end"/>
                    </w:r>
                  </w:p>
                </w:txbxContent>
              </v:textbox>
            </v:shape>
          </w:pict>
        </mc:Fallback>
      </mc:AlternateContent>
    </w:r>
    <w:r>
      <mc:AlternateContent>
        <mc:Choice Requires="wps">
          <w:drawing>
            <wp:anchor distT="0" distB="0" distL="0" distR="0" simplePos="0" relativeHeight="251659264" behindDoc="1" locked="0" layoutInCell="0" allowOverlap="1">
              <wp:simplePos x="0" y="0"/>
              <wp:positionH relativeFrom="margin">
                <wp:align>center</wp:align>
              </wp:positionH>
              <wp:positionV relativeFrom="paragraph">
                <wp:posOffset>635</wp:posOffset>
              </wp:positionV>
              <wp:extent cx="1828800" cy="135890"/>
              <wp:effectExtent l="0" t="0" r="0" b="0"/>
              <wp:wrapNone/>
              <wp:docPr id="53" name="文本框 17"/>
              <wp:cNvGraphicFramePr/>
              <a:graphic xmlns:a="http://schemas.openxmlformats.org/drawingml/2006/main">
                <a:graphicData uri="http://schemas.microsoft.com/office/word/2010/wordprocessingShape">
                  <wps:wsp>
                    <wps:cNvSpPr/>
                    <wps:spPr>
                      <a:xfrm>
                        <a:off x="0" y="0"/>
                        <a:ext cx="1828800" cy="135720"/>
                      </a:xfrm>
                      <a:prstGeom prst="rect">
                        <a:avLst/>
                      </a:prstGeom>
                      <a:noFill/>
                      <a:ln w="0">
                        <a:noFill/>
                      </a:ln>
                    </wps:spPr>
                    <wps:style>
                      <a:lnRef idx="0">
                        <a:srgbClr val="FFFFFF"/>
                      </a:lnRef>
                      <a:fillRef idx="0">
                        <a:srgbClr val="FFFFFF"/>
                      </a:fillRef>
                      <a:effectRef idx="0">
                        <a:srgbClr val="FFFFFF"/>
                      </a:effectRef>
                      <a:fontRef idx="minor"/>
                    </wps:style>
                    <wps:txbx>
                      <w:txbxContent>
                        <w:p w14:paraId="7EF32686">
                          <w:pPr>
                            <w:pStyle w:val="20"/>
                          </w:pPr>
                        </w:p>
                      </w:txbxContent>
                    </wps:txbx>
                    <wps:bodyPr lIns="0" tIns="0" rIns="0" bIns="0" anchor="t">
                      <a:spAutoFit/>
                    </wps:bodyPr>
                  </wps:wsp>
                </a:graphicData>
              </a:graphic>
            </wp:anchor>
          </w:drawing>
        </mc:Choice>
        <mc:Fallback>
          <w:pict>
            <v:rect id="文本框 17" o:spid="_x0000_s1026" o:spt="1" style="position:absolute;left:0pt;margin-top:0.05pt;height:10.7pt;width:144pt;mso-position-horizontal:center;mso-position-horizontal-relative:margin;z-index:-251657216;mso-width-relative:page;mso-height-relative:page;" filled="f" stroked="f" coordsize="21600,21600" o:allowincell="f" o:gfxdata="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7YD4aM8AAAAEAQAADwAAAAAAAAABACAAAAAiAAAAZHJzL2Rvd25yZXYueG1sUEsB&#10;AhQAFAAAAAgAh07iQHWZtbvFAQAAiQMAAA4AAAAAAAAAAQAgAAAAHgEAAGRycy9lMm9Eb2MueG1s&#10;UEsFBgAAAAAGAAYAWQEAAFUFAAAAAA==&#10;">
              <v:fill on="f" focussize="0,0"/>
              <v:stroke on="f" weight="0pt"/>
              <v:imagedata o:title=""/>
              <o:lock v:ext="edit" aspectratio="f"/>
              <v:textbox inset="0mm,0mm,0mm,0mm" style="mso-fit-shape-to-text:t;">
                <w:txbxContent>
                  <w:p w14:paraId="7EF32686">
                    <w:pPr>
                      <w:pStyle w:val="20"/>
                    </w:pPr>
                  </w:p>
                </w:txbxContent>
              </v:textbox>
            </v:rect>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7EB9B">
    <w:pPr>
      <w:pStyle w:val="20"/>
      <w:jc w:val="cente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C24114">
                          <w:pPr>
                            <w:pStyle w:val="20"/>
                          </w:pPr>
                          <w:r>
                            <w:fldChar w:fldCharType="begin"/>
                          </w:r>
                          <w:r>
                            <w:instrText xml:space="preserve"> PAGE  \* MERGEFORMAT </w:instrText>
                          </w:r>
                          <w:r>
                            <w:fldChar w:fldCharType="separate"/>
                          </w:r>
                          <w:r>
                            <w:t>89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45C24114">
                    <w:pPr>
                      <w:pStyle w:val="20"/>
                    </w:pPr>
                    <w:r>
                      <w:fldChar w:fldCharType="begin"/>
                    </w:r>
                    <w:r>
                      <w:instrText xml:space="preserve"> PAGE  \* MERGEFORMAT </w:instrText>
                    </w:r>
                    <w:r>
                      <w:fldChar w:fldCharType="separate"/>
                    </w:r>
                    <w:r>
                      <w:t>89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B9B86">
    <w:pPr>
      <w:pStyle w:val="20"/>
    </w:pPr>
    <w:r>
      <mc:AlternateContent>
        <mc:Choice Requires="wps">
          <w:drawing>
            <wp:anchor distT="0" distB="0" distL="0" distR="0" simplePos="0" relativeHeight="251660288" behindDoc="1" locked="0" layoutInCell="0" allowOverlap="1">
              <wp:simplePos x="0" y="0"/>
              <wp:positionH relativeFrom="margin">
                <wp:align>center</wp:align>
              </wp:positionH>
              <wp:positionV relativeFrom="paragraph">
                <wp:posOffset>635</wp:posOffset>
              </wp:positionV>
              <wp:extent cx="114935" cy="158750"/>
              <wp:effectExtent l="0" t="0" r="0" b="0"/>
              <wp:wrapNone/>
              <wp:docPr id="2" name="矩形 1026"/>
              <wp:cNvGraphicFramePr/>
              <a:graphic xmlns:a="http://schemas.openxmlformats.org/drawingml/2006/main">
                <a:graphicData uri="http://schemas.microsoft.com/office/word/2010/wordprocessingShape">
                  <wps:wsp>
                    <wps:cNvSpPr/>
                    <wps:spPr>
                      <a:xfrm>
                        <a:off x="0" y="0"/>
                        <a:ext cx="114840" cy="158760"/>
                      </a:xfrm>
                      <a:prstGeom prst="rect">
                        <a:avLst/>
                      </a:prstGeom>
                      <a:noFill/>
                      <a:ln w="0">
                        <a:noFill/>
                      </a:ln>
                    </wps:spPr>
                    <wps:style>
                      <a:lnRef idx="0">
                        <a:srgbClr val="FFFFFF"/>
                      </a:lnRef>
                      <a:fillRef idx="0">
                        <a:srgbClr val="FFFFFF"/>
                      </a:fillRef>
                      <a:effectRef idx="0">
                        <a:srgbClr val="FFFFFF"/>
                      </a:effectRef>
                      <a:fontRef idx="minor"/>
                    </wps:style>
                    <wps:txbx>
                      <w:txbxContent>
                        <w:p w14:paraId="1AE1D75C">
                          <w:pPr>
                            <w:pStyle w:val="76"/>
                          </w:pPr>
                        </w:p>
                      </w:txbxContent>
                    </wps:txbx>
                    <wps:bodyPr lIns="0" tIns="0" rIns="0" bIns="0" anchor="t" upright="1">
                      <a:spAutoFit/>
                    </wps:bodyPr>
                  </wps:wsp>
                </a:graphicData>
              </a:graphic>
            </wp:anchor>
          </w:drawing>
        </mc:Choice>
        <mc:Fallback>
          <w:pict>
            <v:rect id="矩形 1026" o:spid="_x0000_s1026" o:spt="1" style="position:absolute;left:0pt;margin-top:0.05pt;height:12.5pt;width:9.05pt;mso-position-horizontal:center;mso-position-horizontal-relative:margin;z-index:-251656192;mso-width-relative:page;mso-height-relative:page;" filled="f" stroked="f" coordsize="21600,21600" o:allowincell="f" o:gfxdata="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P4WWXc8AAAADAQAADwAAAAAAAAABACAAAAAiAAAAZHJzL2Rvd25yZXYueG1s&#10;UEsBAhQAFAAAAAgAh07iQGXtBjvIAQAAkgMAAA4AAAAAAAAAAQAgAAAAHgEAAGRycy9lMm9Eb2Mu&#10;eG1sUEsFBgAAAAAGAAYAWQEAAFgFAAAAAA==&#10;">
              <v:fill on="f" focussize="0,0"/>
              <v:stroke on="f" weight="0pt"/>
              <v:imagedata o:title=""/>
              <o:lock v:ext="edit" aspectratio="f"/>
              <v:textbox inset="0mm,0mm,0mm,0mm" style="mso-fit-shape-to-text:t;">
                <w:txbxContent>
                  <w:p w14:paraId="1AE1D75C">
                    <w:pPr>
                      <w:pStyle w:val="76"/>
                    </w:pPr>
                  </w:p>
                </w:txbxContent>
              </v:textbox>
            </v:rect>
          </w:pict>
        </mc:Fallback>
      </mc:AlternateContent>
    </w:r>
    <w:r>
      <mc:AlternateContent>
        <mc:Choice Requires="wps">
          <w:drawing>
            <wp:anchor distT="0" distB="0" distL="0" distR="0" simplePos="0" relativeHeight="251660288" behindDoc="1" locked="0" layoutInCell="0" allowOverlap="1">
              <wp:simplePos x="0" y="0"/>
              <wp:positionH relativeFrom="margin">
                <wp:align>center</wp:align>
              </wp:positionH>
              <wp:positionV relativeFrom="paragraph">
                <wp:posOffset>635</wp:posOffset>
              </wp:positionV>
              <wp:extent cx="1828800" cy="135890"/>
              <wp:effectExtent l="0" t="0" r="0" b="0"/>
              <wp:wrapNone/>
              <wp:docPr id="4" name="文本框6"/>
              <wp:cNvGraphicFramePr/>
              <a:graphic xmlns:a="http://schemas.openxmlformats.org/drawingml/2006/main">
                <a:graphicData uri="http://schemas.microsoft.com/office/word/2010/wordprocessingShape">
                  <wps:wsp>
                    <wps:cNvSpPr/>
                    <wps:spPr>
                      <a:xfrm>
                        <a:off x="0" y="0"/>
                        <a:ext cx="1828800" cy="135720"/>
                      </a:xfrm>
                      <a:prstGeom prst="rect">
                        <a:avLst/>
                      </a:prstGeom>
                      <a:noFill/>
                      <a:ln w="0">
                        <a:noFill/>
                      </a:ln>
                    </wps:spPr>
                    <wps:style>
                      <a:lnRef idx="0">
                        <a:srgbClr val="FFFFFF"/>
                      </a:lnRef>
                      <a:fillRef idx="0">
                        <a:srgbClr val="FFFFFF"/>
                      </a:fillRef>
                      <a:effectRef idx="0">
                        <a:srgbClr val="FFFFFF"/>
                      </a:effectRef>
                      <a:fontRef idx="minor"/>
                    </wps:style>
                    <wps:txbx>
                      <w:txbxContent>
                        <w:p w14:paraId="0A8E2EE2">
                          <w:pPr>
                            <w:pStyle w:val="76"/>
                            <w:snapToGrid w:val="0"/>
                            <w:rPr>
                              <w:sz w:val="18"/>
                            </w:rPr>
                          </w:pPr>
                        </w:p>
                      </w:txbxContent>
                    </wps:txbx>
                    <wps:bodyPr lIns="0" tIns="0" rIns="0" bIns="0" anchor="t" upright="1">
                      <a:spAutoFit/>
                    </wps:bodyPr>
                  </wps:wsp>
                </a:graphicData>
              </a:graphic>
            </wp:anchor>
          </w:drawing>
        </mc:Choice>
        <mc:Fallback>
          <w:pict>
            <v:rect id="文本框6" o:spid="_x0000_s1026" o:spt="1" style="position:absolute;left:0pt;margin-top:0.05pt;height:10.7pt;width:144pt;mso-position-horizontal:center;mso-position-horizontal-relative:margin;z-index:-251656192;mso-width-relative:page;mso-height-relative:page;" filled="f" stroked="f" coordsize="21600,21600" o:allowincell="f" o:gfxdata="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7YD4aM8AAAAEAQAADwAAAAAAAAABACAAAAAiAAAAZHJzL2Rvd25yZXYu&#10;eG1sUEsBAhQAFAAAAAgAh07iQKc9zw/LAQAAkgMAAA4AAAAAAAAAAQAgAAAAHgEAAGRycy9lMm9E&#10;b2MueG1sUEsFBgAAAAAGAAYAWQEAAFsFAAAAAA==&#10;">
              <v:fill on="f" focussize="0,0"/>
              <v:stroke on="f" weight="0pt"/>
              <v:imagedata o:title=""/>
              <o:lock v:ext="edit" aspectratio="f"/>
              <v:textbox inset="0mm,0mm,0mm,0mm" style="mso-fit-shape-to-text:t;">
                <w:txbxContent>
                  <w:p w14:paraId="0A8E2EE2">
                    <w:pPr>
                      <w:pStyle w:val="76"/>
                      <w:snapToGrid w:val="0"/>
                      <w:rPr>
                        <w:sz w:val="18"/>
                      </w:rPr>
                    </w:pP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ACE9E">
    <w:pPr>
      <w:spacing w:line="194" w:lineRule="auto"/>
      <w:ind w:left="5043" w:firstLine="0"/>
      <w:rPr>
        <w:rFonts w:eastAsia="Times New Roman"/>
        <w:sz w:val="17"/>
        <w:szCs w:val="17"/>
      </w:rPr>
    </w:pP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BB4BDF">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6CBB4BDF">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6E08E">
    <w:pPr>
      <w:spacing w:line="194" w:lineRule="auto"/>
      <w:ind w:left="5043" w:firstLine="0"/>
      <w:rPr>
        <w:rFonts w:eastAsia="Times New Roman"/>
        <w:sz w:val="17"/>
        <w:szCs w:val="17"/>
      </w:rPr>
    </w:pPr>
    <w:r>
      <w:rPr>
        <w:sz w:val="1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99CDED">
                          <w:pPr>
                            <w:pStyle w:val="20"/>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C99CDED">
                    <w:pPr>
                      <w:pStyle w:val="20"/>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A9991">
    <w:pPr>
      <w:pStyle w:val="20"/>
      <w:jc w:val="center"/>
      <w:rPr>
        <w:rFonts w:eastAsia="仿宋_GB2312"/>
        <w:sz w:val="24"/>
      </w:rPr>
    </w:pPr>
    <w:r>
      <w:rPr>
        <w:sz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BC6786">
                          <w:pPr>
                            <w:pStyle w:val="20"/>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4EBC6786">
                    <w:pPr>
                      <w:pStyle w:val="20"/>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975C7">
    <w:pPr>
      <w:pStyle w:val="20"/>
      <w:jc w:val="center"/>
      <w:rPr>
        <w:rFonts w:eastAsia="仿宋_GB2312"/>
        <w:sz w:val="24"/>
      </w:rPr>
    </w:pPr>
    <w:r>
      <w:rPr>
        <w:sz w:val="2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8325A0">
                          <w:pPr>
                            <w:pStyle w:val="20"/>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68325A0">
                    <w:pPr>
                      <w:pStyle w:val="20"/>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1E8A97">
    <w:pPr>
      <w:pStyle w:val="20"/>
      <w:tabs>
        <w:tab w:val="center" w:pos="4873"/>
        <w:tab w:val="clear" w:pos="4153"/>
      </w:tabs>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84F7A5">
                          <w:pPr>
                            <w:pStyle w:val="20"/>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1E84F7A5">
                    <w:pPr>
                      <w:pStyle w:val="20"/>
                    </w:pPr>
                    <w:r>
                      <w:fldChar w:fldCharType="begin"/>
                    </w:r>
                    <w:r>
                      <w:instrText xml:space="preserve"> PAGE  \* MERGEFORMAT </w:instrText>
                    </w:r>
                    <w:r>
                      <w:fldChar w:fldCharType="separate"/>
                    </w:r>
                    <w:r>
                      <w:t>77</w:t>
                    </w:r>
                    <w:r>
                      <w:fldChar w:fldCharType="end"/>
                    </w:r>
                  </w:p>
                </w:txbxContent>
              </v:textbox>
            </v:shape>
          </w:pict>
        </mc:Fallback>
      </mc:AlternateContent>
    </w:r>
    <w:r>
      <mc:AlternateContent>
        <mc:Choice Requires="wps">
          <w:drawing>
            <wp:anchor distT="0" distB="0" distL="0" distR="0" simplePos="0" relativeHeight="251659264" behindDoc="1" locked="0" layoutInCell="0" allowOverlap="1">
              <wp:simplePos x="0" y="0"/>
              <wp:positionH relativeFrom="margin">
                <wp:align>center</wp:align>
              </wp:positionH>
              <wp:positionV relativeFrom="paragraph">
                <wp:posOffset>635</wp:posOffset>
              </wp:positionV>
              <wp:extent cx="1828800" cy="135890"/>
              <wp:effectExtent l="0" t="0" r="0" b="0"/>
              <wp:wrapNone/>
              <wp:docPr id="57" name="文本框 19"/>
              <wp:cNvGraphicFramePr/>
              <a:graphic xmlns:a="http://schemas.openxmlformats.org/drawingml/2006/main">
                <a:graphicData uri="http://schemas.microsoft.com/office/word/2010/wordprocessingShape">
                  <wps:wsp>
                    <wps:cNvSpPr/>
                    <wps:spPr>
                      <a:xfrm>
                        <a:off x="0" y="0"/>
                        <a:ext cx="1828800" cy="135720"/>
                      </a:xfrm>
                      <a:prstGeom prst="rect">
                        <a:avLst/>
                      </a:prstGeom>
                      <a:noFill/>
                      <a:ln w="0">
                        <a:noFill/>
                      </a:ln>
                    </wps:spPr>
                    <wps:style>
                      <a:lnRef idx="0">
                        <a:srgbClr val="FFFFFF"/>
                      </a:lnRef>
                      <a:fillRef idx="0">
                        <a:srgbClr val="FFFFFF"/>
                      </a:fillRef>
                      <a:effectRef idx="0">
                        <a:srgbClr val="FFFFFF"/>
                      </a:effectRef>
                      <a:fontRef idx="minor"/>
                    </wps:style>
                    <wps:txbx>
                      <w:txbxContent>
                        <w:p w14:paraId="0124614D">
                          <w:pPr>
                            <w:pStyle w:val="20"/>
                          </w:pPr>
                        </w:p>
                      </w:txbxContent>
                    </wps:txbx>
                    <wps:bodyPr lIns="0" tIns="0" rIns="0" bIns="0" anchor="t">
                      <a:spAutoFit/>
                    </wps:bodyPr>
                  </wps:wsp>
                </a:graphicData>
              </a:graphic>
            </wp:anchor>
          </w:drawing>
        </mc:Choice>
        <mc:Fallback>
          <w:pict>
            <v:rect id="文本框 19" o:spid="_x0000_s1026" o:spt="1" style="position:absolute;left:0pt;margin-top:0.05pt;height:10.7pt;width:144pt;mso-position-horizontal:center;mso-position-horizontal-relative:margin;z-index:-251657216;mso-width-relative:page;mso-height-relative:page;" filled="f" stroked="f" coordsize="21600,21600" o:allowincell="f" o:gfxdata="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7YD4aM8AAAAEAQAADwAAAAAAAAABACAAAAAiAAAAZHJzL2Rvd25yZXYueG1sUEsB&#10;AhQAFAAAAAgAh07iQDTOjofFAQAAiQMAAA4AAAAAAAAAAQAgAAAAHgEAAGRycy9lMm9Eb2MueG1s&#10;UEsFBgAAAAAGAAYAWQEAAFUFAAAAAA==&#10;">
              <v:fill on="f" focussize="0,0"/>
              <v:stroke on="f" weight="0pt"/>
              <v:imagedata o:title=""/>
              <o:lock v:ext="edit" aspectratio="f"/>
              <v:textbox inset="0mm,0mm,0mm,0mm" style="mso-fit-shape-to-text:t;">
                <w:txbxContent>
                  <w:p w14:paraId="0124614D">
                    <w:pPr>
                      <w:pStyle w:val="20"/>
                    </w:pPr>
                  </w:p>
                </w:txbxContent>
              </v:textbox>
            </v:rect>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014CA">
    <w:pPr>
      <w:pStyle w:val="20"/>
      <w:jc w:val="center"/>
      <w:rPr>
        <w:rFonts w:eastAsia="仿宋_GB2312"/>
        <w:sz w:val="24"/>
      </w:rPr>
    </w:pPr>
    <w:r>
      <w:rPr>
        <w:sz w:val="24"/>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6E4ACD">
                          <w:pPr>
                            <w:pStyle w:val="20"/>
                          </w:pPr>
                          <w:r>
                            <w:fldChar w:fldCharType="begin"/>
                          </w:r>
                          <w:r>
                            <w:instrText xml:space="preserve"> PAGE  \* MERGEFORMAT </w:instrText>
                          </w:r>
                          <w:r>
                            <w:fldChar w:fldCharType="separate"/>
                          </w:r>
                          <w:r>
                            <w:t>82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576E4ACD">
                    <w:pPr>
                      <w:pStyle w:val="20"/>
                    </w:pPr>
                    <w:r>
                      <w:fldChar w:fldCharType="begin"/>
                    </w:r>
                    <w:r>
                      <w:instrText xml:space="preserve"> PAGE  \* MERGEFORMAT </w:instrText>
                    </w:r>
                    <w:r>
                      <w:fldChar w:fldCharType="separate"/>
                    </w:r>
                    <w:r>
                      <w:t>82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1BA97">
    <w:pPr>
      <w:pStyle w:val="20"/>
      <w:jc w:val="center"/>
      <w:rPr>
        <w:rFonts w:eastAsia="仿宋_GB2312"/>
        <w:sz w:val="24"/>
      </w:rPr>
    </w:pPr>
    <w:r>
      <w:rPr>
        <w:sz w:val="24"/>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E936B8">
                          <w:pPr>
                            <w:pStyle w:val="20"/>
                          </w:pPr>
                          <w:r>
                            <w:fldChar w:fldCharType="begin"/>
                          </w:r>
                          <w:r>
                            <w:instrText xml:space="preserve"> PAGE  \* MERGEFORMAT </w:instrText>
                          </w:r>
                          <w:r>
                            <w:fldChar w:fldCharType="separate"/>
                          </w:r>
                          <w:r>
                            <w:t>85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5CE936B8">
                    <w:pPr>
                      <w:pStyle w:val="20"/>
                    </w:pPr>
                    <w:r>
                      <w:fldChar w:fldCharType="begin"/>
                    </w:r>
                    <w:r>
                      <w:instrText xml:space="preserve"> PAGE  \* MERGEFORMAT </w:instrText>
                    </w:r>
                    <w:r>
                      <w:fldChar w:fldCharType="separate"/>
                    </w:r>
                    <w:r>
                      <w:t>85</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496FDA">
    <w:pPr>
      <w:pStyle w:val="21"/>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E777C">
    <w:pPr>
      <w:pBdr>
        <w:bottom w:val="single" w:color="auto" w:sz="4"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3F757">
    <w:pPr>
      <w:pStyle w:val="21"/>
      <w:pBdr>
        <w:bottom w:val="single" w:color="auto" w:sz="4"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06E53">
    <w:pPr>
      <w:pStyle w:val="21"/>
      <w:pBdr>
        <w:bottom w:val="single" w:color="auto" w:sz="4"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268E53">
    <w:pPr>
      <w:pStyle w:val="21"/>
      <w:pBdr>
        <w:bottom w:val="single" w:color="auto" w:sz="4"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FF54EB">
    <w:pPr>
      <w:pStyle w:val="21"/>
      <w:pBdr>
        <w:bottom w:val="single" w:color="auto" w:sz="4"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51966">
    <w:pPr>
      <w:pStyle w:val="21"/>
      <w:pBdr>
        <w:bottom w:val="single" w:color="auto" w:sz="4"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58ED97">
    <w:pPr>
      <w:pStyle w:val="21"/>
      <w:pBdr>
        <w:bottom w:val="single" w:color="auto" w:sz="4" w:space="0"/>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4D5C0">
    <w:pPr>
      <w:pStyle w:val="21"/>
      <w:pBdr>
        <w:bottom w:val="single" w:color="auto" w:sz="4" w:space="0"/>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0BD77">
    <w:pPr>
      <w:pStyle w:val="21"/>
      <w:pBdr>
        <w:bottom w:val="single" w:color="auto" w:sz="4"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AB38A0"/>
    <w:multiLevelType w:val="singleLevel"/>
    <w:tmpl w:val="92AB38A0"/>
    <w:lvl w:ilvl="0" w:tentative="0">
      <w:start w:val="1"/>
      <w:numFmt w:val="decimal"/>
      <w:lvlText w:val="%1."/>
      <w:lvlJc w:val="left"/>
      <w:pPr>
        <w:ind w:left="425" w:hanging="425"/>
      </w:pPr>
      <w:rPr>
        <w:rFonts w:hint="default"/>
      </w:rPr>
    </w:lvl>
  </w:abstractNum>
  <w:abstractNum w:abstractNumId="1">
    <w:nsid w:val="B4AC933F"/>
    <w:multiLevelType w:val="singleLevel"/>
    <w:tmpl w:val="B4AC933F"/>
    <w:lvl w:ilvl="0" w:tentative="0">
      <w:start w:val="1"/>
      <w:numFmt w:val="chineseCounting"/>
      <w:suff w:val="nothing"/>
      <w:lvlText w:val="%1、"/>
      <w:lvlJc w:val="left"/>
      <w:pPr>
        <w:ind w:left="0" w:firstLine="420"/>
      </w:pPr>
      <w:rPr>
        <w:rFonts w:hint="eastAsia"/>
      </w:rPr>
    </w:lvl>
  </w:abstractNum>
  <w:abstractNum w:abstractNumId="2">
    <w:nsid w:val="CC1F3149"/>
    <w:multiLevelType w:val="singleLevel"/>
    <w:tmpl w:val="CC1F3149"/>
    <w:lvl w:ilvl="0" w:tentative="0">
      <w:start w:val="1"/>
      <w:numFmt w:val="decimal"/>
      <w:suff w:val="nothing"/>
      <w:lvlText w:val="%1、"/>
      <w:lvlJc w:val="left"/>
    </w:lvl>
  </w:abstractNum>
  <w:abstractNum w:abstractNumId="3">
    <w:nsid w:val="DA741A3D"/>
    <w:multiLevelType w:val="singleLevel"/>
    <w:tmpl w:val="DA741A3D"/>
    <w:lvl w:ilvl="0" w:tentative="0">
      <w:start w:val="1"/>
      <w:numFmt w:val="decimal"/>
      <w:suff w:val="nothing"/>
      <w:lvlText w:val="%1、"/>
      <w:lvlJc w:val="left"/>
    </w:lvl>
  </w:abstractNum>
  <w:abstractNum w:abstractNumId="4">
    <w:nsid w:val="E424EF13"/>
    <w:multiLevelType w:val="singleLevel"/>
    <w:tmpl w:val="E424EF13"/>
    <w:lvl w:ilvl="0" w:tentative="0">
      <w:start w:val="1"/>
      <w:numFmt w:val="chineseCounting"/>
      <w:suff w:val="nothing"/>
      <w:lvlText w:val="（%1）"/>
      <w:lvlJc w:val="left"/>
      <w:pPr>
        <w:ind w:left="0" w:firstLine="420"/>
      </w:pPr>
      <w:rPr>
        <w:rFonts w:hint="eastAsia"/>
      </w:rPr>
    </w:lvl>
  </w:abstractNum>
  <w:abstractNum w:abstractNumId="5">
    <w:nsid w:val="F1E4A9C6"/>
    <w:multiLevelType w:val="singleLevel"/>
    <w:tmpl w:val="F1E4A9C6"/>
    <w:lvl w:ilvl="0" w:tentative="0">
      <w:start w:val="4"/>
      <w:numFmt w:val="chineseCounting"/>
      <w:suff w:val="nothing"/>
      <w:lvlText w:val="%1、"/>
      <w:lvlJc w:val="left"/>
      <w:rPr>
        <w:rFonts w:hint="eastAsia"/>
      </w:rPr>
    </w:lvl>
  </w:abstractNum>
  <w:abstractNum w:abstractNumId="6">
    <w:nsid w:val="1FB9B248"/>
    <w:multiLevelType w:val="singleLevel"/>
    <w:tmpl w:val="1FB9B248"/>
    <w:lvl w:ilvl="0" w:tentative="0">
      <w:start w:val="1"/>
      <w:numFmt w:val="decimal"/>
      <w:suff w:val="nothing"/>
      <w:lvlText w:val="%1、"/>
      <w:lvlJc w:val="left"/>
    </w:lvl>
  </w:abstractNum>
  <w:abstractNum w:abstractNumId="7">
    <w:nsid w:val="2601BDFF"/>
    <w:multiLevelType w:val="singleLevel"/>
    <w:tmpl w:val="2601BDFF"/>
    <w:lvl w:ilvl="0" w:tentative="0">
      <w:start w:val="1"/>
      <w:numFmt w:val="decimal"/>
      <w:suff w:val="nothing"/>
      <w:lvlText w:val="%1、"/>
      <w:lvlJc w:val="left"/>
    </w:lvl>
  </w:abstractNum>
  <w:abstractNum w:abstractNumId="8">
    <w:nsid w:val="2C5BA9B9"/>
    <w:multiLevelType w:val="singleLevel"/>
    <w:tmpl w:val="2C5BA9B9"/>
    <w:lvl w:ilvl="0" w:tentative="0">
      <w:start w:val="1"/>
      <w:numFmt w:val="chineseCounting"/>
      <w:suff w:val="nothing"/>
      <w:lvlText w:val="%1、"/>
      <w:lvlJc w:val="left"/>
      <w:pPr>
        <w:ind w:left="3570"/>
      </w:pPr>
      <w:rPr>
        <w:rFonts w:hint="eastAsia"/>
        <w:b/>
        <w:bCs/>
      </w:rPr>
    </w:lvl>
  </w:abstractNum>
  <w:abstractNum w:abstractNumId="9">
    <w:nsid w:val="2DE842CA"/>
    <w:multiLevelType w:val="multilevel"/>
    <w:tmpl w:val="2DE842CA"/>
    <w:lvl w:ilvl="0" w:tentative="0">
      <w:start w:val="1"/>
      <w:numFmt w:val="decimal"/>
      <w:lvlText w:val="%1."/>
      <w:lvlJc w:val="left"/>
      <w:pPr>
        <w:tabs>
          <w:tab w:val="left" w:pos="312"/>
        </w:tabs>
      </w:p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0">
    <w:nsid w:val="46ED02F1"/>
    <w:multiLevelType w:val="singleLevel"/>
    <w:tmpl w:val="46ED02F1"/>
    <w:lvl w:ilvl="0" w:tentative="0">
      <w:start w:val="1"/>
      <w:numFmt w:val="decimal"/>
      <w:suff w:val="nothing"/>
      <w:lvlText w:val="（%1）"/>
      <w:lvlJc w:val="left"/>
    </w:lvl>
  </w:abstractNum>
  <w:abstractNum w:abstractNumId="11">
    <w:nsid w:val="5ED99468"/>
    <w:multiLevelType w:val="singleLevel"/>
    <w:tmpl w:val="5ED99468"/>
    <w:lvl w:ilvl="0" w:tentative="0">
      <w:start w:val="1"/>
      <w:numFmt w:val="decimal"/>
      <w:lvlText w:val="%1."/>
      <w:lvlJc w:val="left"/>
      <w:pPr>
        <w:tabs>
          <w:tab w:val="left" w:pos="312"/>
        </w:tabs>
      </w:pPr>
    </w:lvl>
  </w:abstractNum>
  <w:abstractNum w:abstractNumId="12">
    <w:nsid w:val="7953B10A"/>
    <w:multiLevelType w:val="singleLevel"/>
    <w:tmpl w:val="7953B10A"/>
    <w:lvl w:ilvl="0" w:tentative="0">
      <w:start w:val="2"/>
      <w:numFmt w:val="decimal"/>
      <w:suff w:val="nothing"/>
      <w:lvlText w:val="%1、"/>
      <w:lvlJc w:val="left"/>
    </w:lvl>
  </w:abstractNum>
  <w:num w:numId="1">
    <w:abstractNumId w:val="9"/>
  </w:num>
  <w:num w:numId="2">
    <w:abstractNumId w:val="12"/>
  </w:num>
  <w:num w:numId="3">
    <w:abstractNumId w:val="10"/>
  </w:num>
  <w:num w:numId="4">
    <w:abstractNumId w:val="11"/>
  </w:num>
  <w:num w:numId="5">
    <w:abstractNumId w:val="1"/>
  </w:num>
  <w:num w:numId="6">
    <w:abstractNumId w:val="0"/>
  </w:num>
  <w:num w:numId="7">
    <w:abstractNumId w:val="5"/>
  </w:num>
  <w:num w:numId="8">
    <w:abstractNumId w:val="8"/>
  </w:num>
  <w:num w:numId="9">
    <w:abstractNumId w:val="2"/>
  </w:num>
  <w:num w:numId="10">
    <w:abstractNumId w:val="7"/>
  </w:num>
  <w:num w:numId="11">
    <w:abstractNumId w:val="3"/>
  </w:num>
  <w:num w:numId="12">
    <w:abstractNumId w:val="6"/>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autoHyphenation/>
  <w:displayHorizontalDrawingGridEvery w:val="1"/>
  <w:displayVerticalDrawingGridEvery w:val="1"/>
  <w:noPunctuationKerning w:val="1"/>
  <w:footnotePr>
    <w:footnote w:id="0"/>
    <w:footnote w:id="1"/>
  </w:foot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RhZGUxYzdjMTc4OTU4ZjM4N2ViMGExZTE4MGY4MGQifQ=="/>
  </w:docVars>
  <w:rsids>
    <w:rsidRoot w:val="00000000"/>
    <w:rsid w:val="00496DA9"/>
    <w:rsid w:val="016B34DF"/>
    <w:rsid w:val="01E94ABF"/>
    <w:rsid w:val="02B26E88"/>
    <w:rsid w:val="03796E36"/>
    <w:rsid w:val="055B6B36"/>
    <w:rsid w:val="058E05AC"/>
    <w:rsid w:val="07BF5418"/>
    <w:rsid w:val="083267E6"/>
    <w:rsid w:val="097C2F40"/>
    <w:rsid w:val="09B75096"/>
    <w:rsid w:val="0A764C3F"/>
    <w:rsid w:val="0B8621E0"/>
    <w:rsid w:val="0BE55EEB"/>
    <w:rsid w:val="0D053B0B"/>
    <w:rsid w:val="0FB9483D"/>
    <w:rsid w:val="101D3895"/>
    <w:rsid w:val="10250E97"/>
    <w:rsid w:val="10E75CC1"/>
    <w:rsid w:val="11767091"/>
    <w:rsid w:val="14902DA1"/>
    <w:rsid w:val="16F719C5"/>
    <w:rsid w:val="1784543D"/>
    <w:rsid w:val="17EA467D"/>
    <w:rsid w:val="18174B33"/>
    <w:rsid w:val="18940A6B"/>
    <w:rsid w:val="195F3D0F"/>
    <w:rsid w:val="19847AB1"/>
    <w:rsid w:val="1A1F2BFD"/>
    <w:rsid w:val="1C73609A"/>
    <w:rsid w:val="1F1254F4"/>
    <w:rsid w:val="205E01F7"/>
    <w:rsid w:val="21272AEF"/>
    <w:rsid w:val="220426D8"/>
    <w:rsid w:val="220D592A"/>
    <w:rsid w:val="235F050E"/>
    <w:rsid w:val="23863CED"/>
    <w:rsid w:val="23F21D95"/>
    <w:rsid w:val="25C70488"/>
    <w:rsid w:val="27216B8C"/>
    <w:rsid w:val="29810F6C"/>
    <w:rsid w:val="2CE718A8"/>
    <w:rsid w:val="2DB15E0A"/>
    <w:rsid w:val="2FA64EA8"/>
    <w:rsid w:val="30FF0C3A"/>
    <w:rsid w:val="314C7163"/>
    <w:rsid w:val="324769C5"/>
    <w:rsid w:val="358E3D0C"/>
    <w:rsid w:val="38673C95"/>
    <w:rsid w:val="39685A47"/>
    <w:rsid w:val="4139209C"/>
    <w:rsid w:val="42933B5E"/>
    <w:rsid w:val="433E3844"/>
    <w:rsid w:val="452C5874"/>
    <w:rsid w:val="469A7D07"/>
    <w:rsid w:val="47EA5D0A"/>
    <w:rsid w:val="47FB1128"/>
    <w:rsid w:val="48342FA7"/>
    <w:rsid w:val="48983741"/>
    <w:rsid w:val="4BE5250D"/>
    <w:rsid w:val="4C652494"/>
    <w:rsid w:val="4D007CB1"/>
    <w:rsid w:val="4E1041BA"/>
    <w:rsid w:val="4EF825E9"/>
    <w:rsid w:val="501E0C85"/>
    <w:rsid w:val="51F95691"/>
    <w:rsid w:val="53983854"/>
    <w:rsid w:val="544069B1"/>
    <w:rsid w:val="56130F62"/>
    <w:rsid w:val="58B02828"/>
    <w:rsid w:val="5A65381B"/>
    <w:rsid w:val="5C514191"/>
    <w:rsid w:val="5D0B428E"/>
    <w:rsid w:val="5D3C0225"/>
    <w:rsid w:val="5D9B1B67"/>
    <w:rsid w:val="5F3F29C6"/>
    <w:rsid w:val="5FC12851"/>
    <w:rsid w:val="618864BD"/>
    <w:rsid w:val="61ED6709"/>
    <w:rsid w:val="639017BD"/>
    <w:rsid w:val="64C46911"/>
    <w:rsid w:val="64E3228E"/>
    <w:rsid w:val="66540B05"/>
    <w:rsid w:val="6659436D"/>
    <w:rsid w:val="696F446B"/>
    <w:rsid w:val="6AA5655F"/>
    <w:rsid w:val="6CF7043C"/>
    <w:rsid w:val="6D2A3DCE"/>
    <w:rsid w:val="6D5B1EF3"/>
    <w:rsid w:val="6FB16C8E"/>
    <w:rsid w:val="707430C6"/>
    <w:rsid w:val="710B3308"/>
    <w:rsid w:val="77B238DE"/>
    <w:rsid w:val="78C20B82"/>
    <w:rsid w:val="7A3E6BD1"/>
    <w:rsid w:val="7BFE5B3E"/>
    <w:rsid w:val="7EB335D3"/>
  </w:rsids>
  <m:mathPr>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 w:semiHidden="0" w:name="heading 3" w:locked="1"/>
    <w:lsdException w:qFormat="1" w:unhideWhenUsed="0" w:uiPriority="0" w:semiHidden="0" w:name="heading 4" w:locked="1"/>
    <w:lsdException w:qFormat="1" w:unhideWhenUsed="0" w:uiPriority="0" w:semiHidden="0"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0" w:semiHidden="0" w:name="toc 4" w:locked="1"/>
    <w:lsdException w:qFormat="1" w:unhideWhenUsed="0" w:uiPriority="0" w:semiHidden="0" w:name="toc 5" w:locked="1"/>
    <w:lsdException w:uiPriority="39" w:name="toc 6" w:locked="1"/>
    <w:lsdException w:uiPriority="39" w:name="toc 7" w:locked="1"/>
    <w:lsdException w:uiPriority="39" w:name="toc 8" w:locked="1"/>
    <w:lsdException w:uiPriority="39" w:name="toc 9" w:locked="1"/>
    <w:lsdException w:qFormat="1" w:unhideWhenUsed="0" w:uiPriority="0" w:semiHidden="0" w:name="Normal Indent" w:locked="1"/>
    <w:lsdException w:uiPriority="99" w:name="footnote text" w:locked="1"/>
    <w:lsdException w:qFormat="1"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nhideWhenUsed="0" w:uiPriority="0"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0" w:semiHidden="0" w:name="annotation reference" w:locked="1"/>
    <w:lsdException w:uiPriority="99" w:name="line number" w:locked="1"/>
    <w:lsdException w:qFormat="1" w:unhideWhenUsed="0" w:uiPriority="0"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0" w:semiHidden="0" w:name="List"/>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qFormat="1" w:unhideWhenUsed="0" w:uiPriority="99" w:semiHidden="0" w:name="Salutation"/>
    <w:lsdException w:qFormat="1" w:unhideWhenUsed="0" w:uiPriority="99" w:semiHidden="0" w:name="Date"/>
    <w:lsdException w:qFormat="1" w:unhideWhenUsed="0" w:uiPriority="99" w:semiHidden="0" w:name="Body Text First Indent"/>
    <w:lsdException w:uiPriority="99" w:name="Body Text First Indent 2" w:locked="1"/>
    <w:lsdException w:uiPriority="99" w:name="Note Heading" w:locked="1"/>
    <w:lsdException w:qFormat="1" w:unhideWhenUsed="0" w:uiPriority="0" w:semiHidden="0" w:name="Body Text 2" w:locked="1"/>
    <w:lsdException w:uiPriority="99" w:name="Body Text 3" w:locked="1"/>
    <w:lsdException w:qFormat="1" w:unhideWhenUsed="0" w:uiPriority="0" w:semiHidden="0" w:name="Body Text Indent 2" w:locked="1"/>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ocked="1"/>
    <w:lsdException w:qFormat="1" w:unhideWhenUsed="0" w:uiPriority="99" w:semiHidden="0" w:name="Strong"/>
    <w:lsdException w:qFormat="1" w:unhideWhenUsed="0" w:uiPriority="20" w:semiHidden="0" w:name="Emphasis" w:locked="1"/>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uppressAutoHyphens/>
      <w:bidi w:val="0"/>
      <w:spacing w:before="0" w:after="0"/>
      <w:jc w:val="both"/>
    </w:pPr>
    <w:rPr>
      <w:rFonts w:ascii="Times New Roman" w:hAnsi="Times New Roman" w:eastAsia="宋体" w:cs="Times New Roman"/>
      <w:color w:val="auto"/>
      <w:kern w:val="2"/>
      <w:sz w:val="21"/>
      <w:szCs w:val="22"/>
      <w:lang w:val="en-US" w:eastAsia="zh-CN" w:bidi="ar-SA"/>
    </w:rPr>
  </w:style>
  <w:style w:type="paragraph" w:styleId="2">
    <w:name w:val="heading 1"/>
    <w:basedOn w:val="1"/>
    <w:next w:val="1"/>
    <w:autoRedefine/>
    <w:qFormat/>
    <w:uiPriority w:val="99"/>
    <w:pPr>
      <w:keepNext/>
      <w:keepLines/>
      <w:spacing w:before="340" w:after="330" w:line="578" w:lineRule="auto"/>
      <w:outlineLvl w:val="0"/>
    </w:pPr>
    <w:rPr>
      <w:b/>
      <w:bCs/>
      <w:kern w:val="2"/>
      <w:sz w:val="44"/>
      <w:szCs w:val="44"/>
    </w:rPr>
  </w:style>
  <w:style w:type="paragraph" w:styleId="3">
    <w:name w:val="heading 2"/>
    <w:basedOn w:val="1"/>
    <w:next w:val="1"/>
    <w:autoRedefine/>
    <w:qFormat/>
    <w:uiPriority w:val="99"/>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autoRedefine/>
    <w:qFormat/>
    <w:locked/>
    <w:uiPriority w:val="9"/>
    <w:pPr>
      <w:keepNext/>
      <w:keepLines/>
      <w:spacing w:before="260" w:after="260" w:line="415" w:lineRule="auto"/>
      <w:outlineLvl w:val="2"/>
    </w:pPr>
    <w:rPr>
      <w:b/>
      <w:bCs/>
      <w:sz w:val="32"/>
      <w:szCs w:val="32"/>
    </w:rPr>
  </w:style>
  <w:style w:type="paragraph" w:styleId="5">
    <w:name w:val="heading 4"/>
    <w:basedOn w:val="1"/>
    <w:next w:val="1"/>
    <w:autoRedefine/>
    <w:qFormat/>
    <w:locked/>
    <w:uiPriority w:val="0"/>
    <w:pPr>
      <w:keepNext/>
      <w:keepLines/>
      <w:spacing w:before="280" w:after="290" w:line="372" w:lineRule="auto"/>
      <w:outlineLvl w:val="3"/>
    </w:pPr>
    <w:rPr>
      <w:rFonts w:ascii="Cambria" w:hAnsi="Cambria"/>
      <w:b/>
      <w:bCs/>
      <w:sz w:val="28"/>
      <w:szCs w:val="28"/>
    </w:rPr>
  </w:style>
  <w:style w:type="paragraph" w:styleId="6">
    <w:name w:val="heading 5"/>
    <w:basedOn w:val="1"/>
    <w:next w:val="1"/>
    <w:autoRedefine/>
    <w:qFormat/>
    <w:locked/>
    <w:uiPriority w:val="0"/>
    <w:pPr>
      <w:keepNext/>
      <w:keepLines/>
      <w:spacing w:before="280" w:after="290" w:line="372" w:lineRule="auto"/>
      <w:outlineLvl w:val="4"/>
    </w:pPr>
    <w:rPr>
      <w:b/>
      <w:bCs/>
      <w:sz w:val="28"/>
      <w:szCs w:val="28"/>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7">
    <w:name w:val="caption"/>
    <w:basedOn w:val="1"/>
    <w:qFormat/>
    <w:uiPriority w:val="0"/>
    <w:pPr>
      <w:suppressLineNumbers/>
      <w:spacing w:before="120" w:after="120"/>
    </w:pPr>
    <w:rPr>
      <w:i/>
      <w:iCs/>
      <w:sz w:val="24"/>
      <w:szCs w:val="24"/>
    </w:rPr>
  </w:style>
  <w:style w:type="paragraph" w:styleId="8">
    <w:name w:val="Document Map"/>
    <w:basedOn w:val="1"/>
    <w:link w:val="55"/>
    <w:autoRedefine/>
    <w:qFormat/>
    <w:uiPriority w:val="99"/>
    <w:rPr>
      <w:rFonts w:ascii="宋体" w:hAnsi="宋体"/>
      <w:sz w:val="18"/>
      <w:szCs w:val="20"/>
    </w:rPr>
  </w:style>
  <w:style w:type="paragraph" w:styleId="9">
    <w:name w:val="annotation text"/>
    <w:basedOn w:val="1"/>
    <w:autoRedefine/>
    <w:semiHidden/>
    <w:unhideWhenUsed/>
    <w:qFormat/>
    <w:locked/>
    <w:uiPriority w:val="99"/>
    <w:pPr>
      <w:jc w:val="left"/>
    </w:pPr>
  </w:style>
  <w:style w:type="paragraph" w:styleId="10">
    <w:name w:val="Salutation"/>
    <w:basedOn w:val="1"/>
    <w:next w:val="1"/>
    <w:link w:val="39"/>
    <w:autoRedefine/>
    <w:qFormat/>
    <w:uiPriority w:val="99"/>
    <w:rPr>
      <w:sz w:val="24"/>
      <w:szCs w:val="20"/>
    </w:rPr>
  </w:style>
  <w:style w:type="paragraph" w:styleId="11">
    <w:name w:val="Body Text"/>
    <w:basedOn w:val="1"/>
    <w:link w:val="43"/>
    <w:autoRedefine/>
    <w:qFormat/>
    <w:uiPriority w:val="99"/>
    <w:pPr>
      <w:spacing w:before="0" w:after="120"/>
    </w:pPr>
    <w:rPr>
      <w:sz w:val="22"/>
      <w:szCs w:val="20"/>
    </w:rPr>
  </w:style>
  <w:style w:type="paragraph" w:styleId="12">
    <w:name w:val="Body Text Indent"/>
    <w:basedOn w:val="1"/>
    <w:link w:val="58"/>
    <w:autoRedefine/>
    <w:qFormat/>
    <w:uiPriority w:val="99"/>
    <w:pPr>
      <w:ind w:firstLine="420"/>
    </w:pPr>
    <w:rPr>
      <w:sz w:val="24"/>
    </w:rPr>
  </w:style>
  <w:style w:type="paragraph" w:styleId="13">
    <w:name w:val="toc 5"/>
    <w:basedOn w:val="1"/>
    <w:next w:val="1"/>
    <w:autoRedefine/>
    <w:qFormat/>
    <w:locked/>
    <w:uiPriority w:val="0"/>
    <w:pPr>
      <w:tabs>
        <w:tab w:val="right" w:leader="dot" w:pos="8296"/>
      </w:tabs>
      <w:ind w:left="1050" w:firstLine="0"/>
    </w:pPr>
  </w:style>
  <w:style w:type="paragraph" w:styleId="14">
    <w:name w:val="toc 3"/>
    <w:basedOn w:val="1"/>
    <w:next w:val="1"/>
    <w:autoRedefine/>
    <w:qFormat/>
    <w:uiPriority w:val="99"/>
    <w:pPr>
      <w:widowControl/>
      <w:spacing w:before="0" w:after="100" w:line="276" w:lineRule="auto"/>
      <w:ind w:left="440" w:firstLine="0"/>
      <w:jc w:val="left"/>
    </w:pPr>
    <w:rPr>
      <w:rFonts w:ascii="Calibri" w:hAnsi="Calibri"/>
      <w:kern w:val="0"/>
      <w:sz w:val="22"/>
    </w:rPr>
  </w:style>
  <w:style w:type="paragraph" w:styleId="15">
    <w:name w:val="Plain Text"/>
    <w:basedOn w:val="1"/>
    <w:next w:val="16"/>
    <w:link w:val="47"/>
    <w:autoRedefine/>
    <w:qFormat/>
    <w:uiPriority w:val="99"/>
    <w:pPr>
      <w:widowControl/>
      <w:ind w:left="1800" w:hanging="360"/>
      <w:jc w:val="left"/>
    </w:pPr>
    <w:rPr>
      <w:rFonts w:ascii="宋体" w:hAnsi="宋体"/>
      <w:kern w:val="0"/>
      <w:sz w:val="24"/>
      <w:szCs w:val="20"/>
    </w:rPr>
  </w:style>
  <w:style w:type="paragraph" w:customStyle="1" w:styleId="16">
    <w:name w:val="Default"/>
    <w:autoRedefine/>
    <w:qFormat/>
    <w:uiPriority w:val="99"/>
    <w:pPr>
      <w:widowControl w:val="0"/>
      <w:suppressAutoHyphens/>
      <w:bidi w:val="0"/>
      <w:spacing w:before="0" w:after="0"/>
      <w:jc w:val="left"/>
    </w:pPr>
    <w:rPr>
      <w:rFonts w:ascii="Times New Roman" w:hAnsi="Times New Roman" w:eastAsia="宋体" w:cs="Times New Roman"/>
      <w:color w:val="000000"/>
      <w:kern w:val="0"/>
      <w:sz w:val="24"/>
      <w:szCs w:val="24"/>
      <w:lang w:val="en-US" w:eastAsia="zh-CN" w:bidi="ar-SA"/>
    </w:rPr>
  </w:style>
  <w:style w:type="paragraph" w:styleId="17">
    <w:name w:val="Date"/>
    <w:basedOn w:val="1"/>
    <w:next w:val="1"/>
    <w:link w:val="48"/>
    <w:autoRedefine/>
    <w:qFormat/>
    <w:uiPriority w:val="99"/>
    <w:rPr>
      <w:sz w:val="24"/>
      <w:szCs w:val="20"/>
    </w:rPr>
  </w:style>
  <w:style w:type="paragraph" w:styleId="18">
    <w:name w:val="Body Text Indent 2"/>
    <w:basedOn w:val="1"/>
    <w:autoRedefine/>
    <w:qFormat/>
    <w:locked/>
    <w:uiPriority w:val="0"/>
    <w:pPr>
      <w:spacing w:before="0" w:after="120" w:line="480" w:lineRule="auto"/>
      <w:ind w:left="420" w:firstLine="0"/>
    </w:pPr>
    <w:rPr>
      <w:sz w:val="24"/>
      <w:szCs w:val="24"/>
    </w:rPr>
  </w:style>
  <w:style w:type="paragraph" w:styleId="19">
    <w:name w:val="Balloon Text"/>
    <w:basedOn w:val="1"/>
    <w:link w:val="42"/>
    <w:autoRedefine/>
    <w:qFormat/>
    <w:uiPriority w:val="99"/>
    <w:rPr>
      <w:kern w:val="0"/>
      <w:sz w:val="18"/>
      <w:szCs w:val="20"/>
    </w:rPr>
  </w:style>
  <w:style w:type="paragraph" w:styleId="20">
    <w:name w:val="footer"/>
    <w:basedOn w:val="1"/>
    <w:link w:val="52"/>
    <w:autoRedefine/>
    <w:qFormat/>
    <w:uiPriority w:val="99"/>
    <w:pPr>
      <w:tabs>
        <w:tab w:val="center" w:pos="4153"/>
        <w:tab w:val="right" w:pos="8306"/>
      </w:tabs>
      <w:snapToGrid w:val="0"/>
      <w:jc w:val="left"/>
    </w:pPr>
    <w:rPr>
      <w:kern w:val="0"/>
      <w:sz w:val="18"/>
      <w:szCs w:val="20"/>
    </w:rPr>
  </w:style>
  <w:style w:type="paragraph" w:styleId="21">
    <w:name w:val="header"/>
    <w:basedOn w:val="1"/>
    <w:link w:val="56"/>
    <w:autoRedefine/>
    <w:qFormat/>
    <w:uiPriority w:val="99"/>
    <w:pPr>
      <w:pBdr>
        <w:bottom w:val="single" w:color="000000" w:sz="6" w:space="1"/>
      </w:pBdr>
      <w:tabs>
        <w:tab w:val="center" w:pos="4153"/>
        <w:tab w:val="right" w:pos="8306"/>
      </w:tabs>
      <w:snapToGrid w:val="0"/>
      <w:jc w:val="center"/>
    </w:pPr>
    <w:rPr>
      <w:kern w:val="0"/>
      <w:sz w:val="18"/>
      <w:szCs w:val="20"/>
    </w:rPr>
  </w:style>
  <w:style w:type="paragraph" w:styleId="22">
    <w:name w:val="toc 1"/>
    <w:basedOn w:val="1"/>
    <w:next w:val="1"/>
    <w:autoRedefine/>
    <w:qFormat/>
    <w:uiPriority w:val="99"/>
    <w:pPr>
      <w:widowControl/>
      <w:spacing w:before="0" w:after="100" w:line="276" w:lineRule="auto"/>
      <w:jc w:val="left"/>
    </w:pPr>
    <w:rPr>
      <w:rFonts w:ascii="Calibri" w:hAnsi="Calibri"/>
      <w:kern w:val="0"/>
      <w:sz w:val="22"/>
    </w:rPr>
  </w:style>
  <w:style w:type="paragraph" w:styleId="23">
    <w:name w:val="toc 4"/>
    <w:basedOn w:val="1"/>
    <w:next w:val="1"/>
    <w:autoRedefine/>
    <w:qFormat/>
    <w:locked/>
    <w:uiPriority w:val="0"/>
    <w:pPr>
      <w:tabs>
        <w:tab w:val="left" w:pos="1890"/>
        <w:tab w:val="right" w:leader="dot" w:pos="8296"/>
      </w:tabs>
      <w:ind w:left="630" w:firstLine="0"/>
    </w:pPr>
  </w:style>
  <w:style w:type="paragraph" w:styleId="24">
    <w:name w:val="List"/>
    <w:basedOn w:val="11"/>
    <w:qFormat/>
    <w:uiPriority w:val="0"/>
  </w:style>
  <w:style w:type="paragraph" w:styleId="25">
    <w:name w:val="toc 2"/>
    <w:basedOn w:val="1"/>
    <w:next w:val="1"/>
    <w:autoRedefine/>
    <w:qFormat/>
    <w:uiPriority w:val="99"/>
    <w:pPr>
      <w:widowControl/>
      <w:spacing w:before="0" w:after="100" w:line="276" w:lineRule="auto"/>
      <w:ind w:left="220" w:firstLine="0"/>
      <w:jc w:val="left"/>
    </w:pPr>
    <w:rPr>
      <w:rFonts w:ascii="Calibri" w:hAnsi="Calibri"/>
      <w:kern w:val="0"/>
      <w:sz w:val="22"/>
    </w:rPr>
  </w:style>
  <w:style w:type="paragraph" w:styleId="26">
    <w:name w:val="Body Text 2"/>
    <w:basedOn w:val="1"/>
    <w:autoRedefine/>
    <w:qFormat/>
    <w:locked/>
    <w:uiPriority w:val="0"/>
    <w:pPr>
      <w:spacing w:line="400" w:lineRule="exact"/>
    </w:pPr>
    <w:rPr>
      <w:rFonts w:ascii="宋体" w:hAnsi="宋体"/>
      <w:sz w:val="24"/>
    </w:rPr>
  </w:style>
  <w:style w:type="paragraph" w:styleId="27">
    <w:name w:val="Normal (Web)"/>
    <w:basedOn w:val="1"/>
    <w:autoRedefine/>
    <w:qFormat/>
    <w:uiPriority w:val="99"/>
    <w:pPr>
      <w:widowControl/>
      <w:spacing w:beforeAutospacing="1" w:afterAutospacing="1"/>
      <w:jc w:val="left"/>
    </w:pPr>
    <w:rPr>
      <w:rFonts w:ascii="宋体" w:hAnsi="宋体"/>
      <w:kern w:val="0"/>
      <w:sz w:val="30"/>
      <w:szCs w:val="24"/>
    </w:rPr>
  </w:style>
  <w:style w:type="paragraph" w:styleId="28">
    <w:name w:val="Title"/>
    <w:basedOn w:val="1"/>
    <w:next w:val="1"/>
    <w:qFormat/>
    <w:locked/>
    <w:uiPriority w:val="0"/>
    <w:pPr>
      <w:spacing w:before="240" w:after="60"/>
      <w:jc w:val="center"/>
      <w:outlineLvl w:val="0"/>
    </w:pPr>
    <w:rPr>
      <w:rFonts w:ascii="Cambria" w:hAnsi="Cambria"/>
      <w:b/>
      <w:bCs/>
      <w:sz w:val="32"/>
      <w:szCs w:val="32"/>
    </w:rPr>
  </w:style>
  <w:style w:type="table" w:styleId="30">
    <w:name w:val="Table Grid"/>
    <w:basedOn w:val="29"/>
    <w:qFormat/>
    <w:uiPriority w:val="0"/>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99"/>
    <w:rPr>
      <w:rFonts w:cs="Times New Roman"/>
      <w:b/>
    </w:rPr>
  </w:style>
  <w:style w:type="character" w:styleId="33">
    <w:name w:val="page number"/>
    <w:basedOn w:val="31"/>
    <w:qFormat/>
    <w:locked/>
    <w:uiPriority w:val="0"/>
  </w:style>
  <w:style w:type="character" w:styleId="34">
    <w:name w:val="annotation reference"/>
    <w:qFormat/>
    <w:locked/>
    <w:uiPriority w:val="0"/>
    <w:rPr>
      <w:rFonts w:cs="Times New Roman"/>
      <w:sz w:val="21"/>
      <w:szCs w:val="21"/>
    </w:rPr>
  </w:style>
  <w:style w:type="character" w:customStyle="1" w:styleId="35">
    <w:name w:val="访问过的 Internet 链接"/>
    <w:qFormat/>
    <w:locked/>
    <w:uiPriority w:val="99"/>
    <w:rPr>
      <w:rFonts w:cs="Times New Roman"/>
      <w:color w:val="800080"/>
      <w:u w:val="none"/>
    </w:rPr>
  </w:style>
  <w:style w:type="character" w:customStyle="1" w:styleId="36">
    <w:name w:val="Internet 链接"/>
    <w:basedOn w:val="31"/>
    <w:qFormat/>
    <w:uiPriority w:val="99"/>
    <w:rPr>
      <w:rFonts w:cs="Times New Roman"/>
      <w:color w:val="0000FF"/>
      <w:u w:val="single"/>
    </w:rPr>
  </w:style>
  <w:style w:type="character" w:customStyle="1" w:styleId="37">
    <w:name w:val="正文文本 Char"/>
    <w:semiHidden/>
    <w:qFormat/>
    <w:locked/>
    <w:uiPriority w:val="99"/>
    <w:rPr>
      <w:kern w:val="2"/>
      <w:sz w:val="22"/>
    </w:rPr>
  </w:style>
  <w:style w:type="character" w:customStyle="1" w:styleId="38">
    <w:name w:val="称呼 Char"/>
    <w:qFormat/>
    <w:locked/>
    <w:uiPriority w:val="99"/>
    <w:rPr>
      <w:rFonts w:ascii="Times New Roman" w:hAnsi="Times New Roman"/>
      <w:kern w:val="2"/>
      <w:sz w:val="24"/>
    </w:rPr>
  </w:style>
  <w:style w:type="character" w:customStyle="1" w:styleId="39">
    <w:name w:val="称呼 字符"/>
    <w:link w:val="10"/>
    <w:semiHidden/>
    <w:qFormat/>
    <w:locked/>
    <w:uiPriority w:val="99"/>
    <w:rPr>
      <w:rFonts w:cs="Times New Roman"/>
    </w:rPr>
  </w:style>
  <w:style w:type="character" w:customStyle="1" w:styleId="40">
    <w:name w:val="文档结构图 Char"/>
    <w:semiHidden/>
    <w:qFormat/>
    <w:locked/>
    <w:uiPriority w:val="99"/>
    <w:rPr>
      <w:rFonts w:ascii="宋体" w:hAnsi="宋体"/>
      <w:kern w:val="2"/>
      <w:sz w:val="18"/>
    </w:rPr>
  </w:style>
  <w:style w:type="character" w:customStyle="1" w:styleId="41">
    <w:name w:val="日期 Char"/>
    <w:qFormat/>
    <w:locked/>
    <w:uiPriority w:val="99"/>
    <w:rPr>
      <w:rFonts w:ascii="Times New Roman" w:hAnsi="Times New Roman"/>
      <w:kern w:val="2"/>
      <w:sz w:val="24"/>
    </w:rPr>
  </w:style>
  <w:style w:type="character" w:customStyle="1" w:styleId="42">
    <w:name w:val="批注框文本 字符"/>
    <w:link w:val="19"/>
    <w:semiHidden/>
    <w:qFormat/>
    <w:locked/>
    <w:uiPriority w:val="99"/>
    <w:rPr>
      <w:rFonts w:cs="Times New Roman"/>
      <w:sz w:val="2"/>
    </w:rPr>
  </w:style>
  <w:style w:type="character" w:customStyle="1" w:styleId="43">
    <w:name w:val="正文文本 字符"/>
    <w:link w:val="11"/>
    <w:semiHidden/>
    <w:qFormat/>
    <w:locked/>
    <w:uiPriority w:val="99"/>
    <w:rPr>
      <w:rFonts w:cs="Times New Roman"/>
    </w:rPr>
  </w:style>
  <w:style w:type="character" w:customStyle="1" w:styleId="44">
    <w:name w:val="标题 2 字符"/>
    <w:qFormat/>
    <w:locked/>
    <w:uiPriority w:val="99"/>
    <w:rPr>
      <w:rFonts w:ascii="Arial" w:hAnsi="Arial" w:eastAsia="黑体" w:cs="Times New Roman"/>
      <w:b/>
      <w:kern w:val="2"/>
      <w:sz w:val="32"/>
    </w:rPr>
  </w:style>
  <w:style w:type="character" w:customStyle="1" w:styleId="45">
    <w:name w:val="标题 1 字符"/>
    <w:qFormat/>
    <w:locked/>
    <w:uiPriority w:val="99"/>
    <w:rPr>
      <w:rFonts w:cs="Times New Roman"/>
      <w:b/>
      <w:kern w:val="2"/>
      <w:sz w:val="44"/>
    </w:rPr>
  </w:style>
  <w:style w:type="character" w:customStyle="1" w:styleId="46">
    <w:name w:val="正文文本首行缩进 字符"/>
    <w:link w:val="12"/>
    <w:semiHidden/>
    <w:qFormat/>
    <w:locked/>
    <w:uiPriority w:val="99"/>
    <w:rPr>
      <w:rFonts w:cs="Times New Roman"/>
      <w:kern w:val="2"/>
      <w:sz w:val="22"/>
    </w:rPr>
  </w:style>
  <w:style w:type="character" w:customStyle="1" w:styleId="47">
    <w:name w:val="纯文本 字符"/>
    <w:link w:val="15"/>
    <w:semiHidden/>
    <w:qFormat/>
    <w:locked/>
    <w:uiPriority w:val="99"/>
    <w:rPr>
      <w:rFonts w:ascii="宋体" w:hAnsi="宋体" w:cs="Courier New"/>
      <w:sz w:val="21"/>
      <w:szCs w:val="21"/>
    </w:rPr>
  </w:style>
  <w:style w:type="character" w:customStyle="1" w:styleId="48">
    <w:name w:val="日期 字符"/>
    <w:link w:val="17"/>
    <w:semiHidden/>
    <w:qFormat/>
    <w:locked/>
    <w:uiPriority w:val="99"/>
    <w:rPr>
      <w:rFonts w:cs="Times New Roman"/>
    </w:rPr>
  </w:style>
  <w:style w:type="character" w:customStyle="1" w:styleId="49">
    <w:name w:val="页眉 Char"/>
    <w:qFormat/>
    <w:locked/>
    <w:uiPriority w:val="99"/>
    <w:rPr>
      <w:sz w:val="18"/>
    </w:rPr>
  </w:style>
  <w:style w:type="character" w:customStyle="1" w:styleId="50">
    <w:name w:val="纯文本 Char"/>
    <w:qFormat/>
    <w:locked/>
    <w:uiPriority w:val="99"/>
    <w:rPr>
      <w:rFonts w:ascii="宋体" w:hAnsi="宋体"/>
      <w:sz w:val="24"/>
    </w:rPr>
  </w:style>
  <w:style w:type="character" w:customStyle="1" w:styleId="51">
    <w:name w:val="页脚 Char"/>
    <w:qFormat/>
    <w:locked/>
    <w:uiPriority w:val="99"/>
    <w:rPr>
      <w:sz w:val="18"/>
    </w:rPr>
  </w:style>
  <w:style w:type="character" w:customStyle="1" w:styleId="52">
    <w:name w:val="页脚 字符"/>
    <w:link w:val="20"/>
    <w:semiHidden/>
    <w:qFormat/>
    <w:locked/>
    <w:uiPriority w:val="99"/>
    <w:rPr>
      <w:rFonts w:cs="Times New Roman"/>
      <w:sz w:val="18"/>
      <w:szCs w:val="18"/>
    </w:rPr>
  </w:style>
  <w:style w:type="character" w:customStyle="1" w:styleId="53">
    <w:name w:val="批注框文本 Char"/>
    <w:semiHidden/>
    <w:qFormat/>
    <w:locked/>
    <w:uiPriority w:val="99"/>
    <w:rPr>
      <w:sz w:val="18"/>
    </w:rPr>
  </w:style>
  <w:style w:type="character" w:customStyle="1" w:styleId="54">
    <w:name w:val="正文首行缩进 Char"/>
    <w:qFormat/>
    <w:locked/>
    <w:uiPriority w:val="99"/>
    <w:rPr>
      <w:rFonts w:ascii="Times New Roman" w:hAnsi="Times New Roman"/>
      <w:kern w:val="2"/>
      <w:sz w:val="24"/>
    </w:rPr>
  </w:style>
  <w:style w:type="character" w:customStyle="1" w:styleId="55">
    <w:name w:val="文档结构图 字符"/>
    <w:link w:val="8"/>
    <w:semiHidden/>
    <w:qFormat/>
    <w:locked/>
    <w:uiPriority w:val="99"/>
    <w:rPr>
      <w:rFonts w:cs="Times New Roman"/>
      <w:sz w:val="2"/>
    </w:rPr>
  </w:style>
  <w:style w:type="character" w:customStyle="1" w:styleId="56">
    <w:name w:val="页眉 字符"/>
    <w:link w:val="21"/>
    <w:semiHidden/>
    <w:qFormat/>
    <w:locked/>
    <w:uiPriority w:val="99"/>
    <w:rPr>
      <w:rFonts w:cs="Times New Roman"/>
      <w:sz w:val="18"/>
      <w:szCs w:val="18"/>
    </w:rPr>
  </w:style>
  <w:style w:type="character" w:customStyle="1" w:styleId="57">
    <w:name w:val="正文文本缩进 Char"/>
    <w:semiHidden/>
    <w:qFormat/>
    <w:uiPriority w:val="99"/>
    <w:rPr>
      <w:kern w:val="2"/>
      <w:sz w:val="21"/>
      <w:szCs w:val="22"/>
    </w:rPr>
  </w:style>
  <w:style w:type="character" w:customStyle="1" w:styleId="58">
    <w:name w:val="正文文本缩进 字符"/>
    <w:link w:val="12"/>
    <w:semiHidden/>
    <w:qFormat/>
    <w:locked/>
    <w:uiPriority w:val="0"/>
    <w:rPr>
      <w:kern w:val="2"/>
      <w:sz w:val="21"/>
    </w:rPr>
  </w:style>
  <w:style w:type="character" w:customStyle="1" w:styleId="59">
    <w:name w:val="font21"/>
    <w:basedOn w:val="31"/>
    <w:qFormat/>
    <w:uiPriority w:val="0"/>
    <w:rPr>
      <w:rFonts w:ascii="宋体" w:hAnsi="宋体" w:eastAsia="宋体" w:cs="宋体"/>
      <w:b/>
      <w:color w:val="000000"/>
      <w:sz w:val="36"/>
      <w:szCs w:val="36"/>
      <w:u w:val="none"/>
    </w:rPr>
  </w:style>
  <w:style w:type="character" w:customStyle="1" w:styleId="60">
    <w:name w:val="UserStyle_15"/>
    <w:qFormat/>
    <w:uiPriority w:val="0"/>
  </w:style>
  <w:style w:type="character" w:customStyle="1" w:styleId="61">
    <w:name w:val="font91"/>
    <w:basedOn w:val="31"/>
    <w:qFormat/>
    <w:uiPriority w:val="0"/>
    <w:rPr>
      <w:rFonts w:ascii="宋体" w:hAnsi="宋体" w:eastAsia="宋体" w:cs="宋体"/>
      <w:color w:val="000000"/>
      <w:sz w:val="28"/>
      <w:szCs w:val="28"/>
      <w:u w:val="none"/>
    </w:rPr>
  </w:style>
  <w:style w:type="character" w:customStyle="1" w:styleId="62">
    <w:name w:val="font51"/>
    <w:basedOn w:val="31"/>
    <w:qFormat/>
    <w:uiPriority w:val="0"/>
    <w:rPr>
      <w:rFonts w:ascii="宋体" w:hAnsi="宋体" w:eastAsia="宋体" w:cs="宋体"/>
      <w:color w:val="000000"/>
      <w:sz w:val="28"/>
      <w:szCs w:val="28"/>
      <w:u w:val="none"/>
    </w:rPr>
  </w:style>
  <w:style w:type="character" w:customStyle="1" w:styleId="63">
    <w:name w:val="font01"/>
    <w:basedOn w:val="31"/>
    <w:qFormat/>
    <w:uiPriority w:val="0"/>
    <w:rPr>
      <w:rFonts w:ascii="宋体" w:hAnsi="宋体" w:eastAsia="宋体" w:cs="宋体"/>
      <w:color w:val="000000"/>
      <w:sz w:val="24"/>
      <w:szCs w:val="24"/>
      <w:u w:val="single"/>
    </w:rPr>
  </w:style>
  <w:style w:type="character" w:customStyle="1" w:styleId="64">
    <w:name w:val="font31"/>
    <w:basedOn w:val="31"/>
    <w:qFormat/>
    <w:uiPriority w:val="0"/>
    <w:rPr>
      <w:rFonts w:ascii="宋体" w:hAnsi="宋体" w:eastAsia="宋体" w:cs="宋体"/>
      <w:color w:val="000000"/>
      <w:sz w:val="28"/>
      <w:szCs w:val="28"/>
      <w:u w:val="none"/>
    </w:rPr>
  </w:style>
  <w:style w:type="character" w:customStyle="1" w:styleId="65">
    <w:name w:val="NormalCharacter"/>
    <w:qFormat/>
    <w:uiPriority w:val="0"/>
  </w:style>
  <w:style w:type="character" w:customStyle="1" w:styleId="66">
    <w:name w:val="索引链接"/>
    <w:qFormat/>
    <w:uiPriority w:val="0"/>
  </w:style>
  <w:style w:type="paragraph" w:customStyle="1" w:styleId="67">
    <w:name w:val="标题样式"/>
    <w:basedOn w:val="1"/>
    <w:next w:val="11"/>
    <w:qFormat/>
    <w:uiPriority w:val="0"/>
    <w:pPr>
      <w:keepNext/>
      <w:spacing w:before="240" w:after="120"/>
    </w:pPr>
    <w:rPr>
      <w:rFonts w:ascii="Noto Sans Mono CJK SC" w:hAnsi="Noto Sans Mono CJK SC" w:eastAsia="Noto Sans Mono CJK SC" w:cs="Noto Sans Mono CJK SC"/>
      <w:sz w:val="28"/>
      <w:szCs w:val="28"/>
    </w:rPr>
  </w:style>
  <w:style w:type="paragraph" w:customStyle="1" w:styleId="68">
    <w:name w:val="索引"/>
    <w:basedOn w:val="1"/>
    <w:qFormat/>
    <w:uiPriority w:val="0"/>
    <w:pPr>
      <w:suppressLineNumbers/>
    </w:pPr>
    <w:rPr>
      <w:lang w:val="zh-CN" w:eastAsia="zh-CN" w:bidi="zh-CN"/>
    </w:rPr>
  </w:style>
  <w:style w:type="paragraph" w:customStyle="1" w:styleId="69">
    <w:name w:val="页眉与页脚"/>
    <w:basedOn w:val="1"/>
    <w:qFormat/>
    <w:uiPriority w:val="0"/>
  </w:style>
  <w:style w:type="paragraph" w:customStyle="1" w:styleId="70">
    <w:name w:val="_Style 2"/>
    <w:basedOn w:val="1"/>
    <w:autoRedefine/>
    <w:qFormat/>
    <w:uiPriority w:val="99"/>
    <w:pPr>
      <w:ind w:firstLine="420"/>
    </w:pPr>
    <w:rPr>
      <w:szCs w:val="24"/>
    </w:rPr>
  </w:style>
  <w:style w:type="paragraph" w:customStyle="1" w:styleId="71">
    <w:name w:val="TOC 标题1"/>
    <w:basedOn w:val="2"/>
    <w:next w:val="1"/>
    <w:autoRedefine/>
    <w:qFormat/>
    <w:uiPriority w:val="99"/>
    <w:pPr>
      <w:widowControl/>
      <w:spacing w:before="480" w:after="0" w:line="276" w:lineRule="auto"/>
      <w:jc w:val="left"/>
      <w:outlineLvl w:val="9"/>
    </w:pPr>
    <w:rPr>
      <w:rFonts w:ascii="Cambria" w:hAnsi="Cambria"/>
      <w:color w:val="365F91"/>
      <w:kern w:val="0"/>
      <w:sz w:val="28"/>
      <w:szCs w:val="28"/>
    </w:rPr>
  </w:style>
  <w:style w:type="paragraph" w:customStyle="1" w:styleId="72">
    <w:name w:val="列出段落1"/>
    <w:basedOn w:val="1"/>
    <w:autoRedefine/>
    <w:qFormat/>
    <w:uiPriority w:val="99"/>
    <w:pPr>
      <w:ind w:firstLine="420"/>
    </w:pPr>
  </w:style>
  <w:style w:type="paragraph" w:customStyle="1" w:styleId="73">
    <w:name w:val="_Style 7"/>
    <w:basedOn w:val="2"/>
    <w:next w:val="1"/>
    <w:autoRedefine/>
    <w:qFormat/>
    <w:uiPriority w:val="0"/>
    <w:pPr>
      <w:outlineLvl w:val="9"/>
    </w:pPr>
  </w:style>
  <w:style w:type="paragraph" w:customStyle="1" w:styleId="74">
    <w:name w:val="Table Text"/>
    <w:basedOn w:val="1"/>
    <w:autoRedefine/>
    <w:semiHidden/>
    <w:qFormat/>
    <w:uiPriority w:val="0"/>
    <w:rPr>
      <w:rFonts w:ascii="宋体" w:hAnsi="宋体" w:cs="宋体"/>
      <w:sz w:val="20"/>
      <w:szCs w:val="20"/>
      <w:lang w:eastAsia="en-US"/>
    </w:rPr>
  </w:style>
  <w:style w:type="paragraph" w:customStyle="1" w:styleId="75">
    <w:name w:val="WPSOffice手动目录 1"/>
    <w:autoRedefine/>
    <w:qFormat/>
    <w:uiPriority w:val="0"/>
    <w:pPr>
      <w:widowControl/>
      <w:suppressAutoHyphens/>
      <w:bidi w:val="0"/>
      <w:spacing w:before="0" w:after="0"/>
      <w:jc w:val="left"/>
    </w:pPr>
    <w:rPr>
      <w:rFonts w:ascii="Times New Roman" w:hAnsi="Times New Roman" w:eastAsia="宋体" w:cs="Times New Roman"/>
      <w:color w:val="auto"/>
      <w:kern w:val="0"/>
      <w:sz w:val="20"/>
      <w:szCs w:val="20"/>
      <w:lang w:val="en-US" w:eastAsia="zh-CN" w:bidi="ar-SA"/>
    </w:rPr>
  </w:style>
  <w:style w:type="paragraph" w:customStyle="1" w:styleId="76">
    <w:name w:val="框架内容"/>
    <w:basedOn w:val="1"/>
    <w:qFormat/>
    <w:uiPriority w:val="0"/>
  </w:style>
  <w:style w:type="table" w:customStyle="1" w:styleId="77">
    <w:name w:val="Table Normal"/>
    <w:semiHidden/>
    <w:unhideWhenUsed/>
    <w:qFormat/>
    <w:uiPriority w:val="0"/>
    <w:tblPr>
      <w:tblCellMar>
        <w:top w:w="0" w:type="dxa"/>
        <w:left w:w="0" w:type="dxa"/>
        <w:bottom w:w="0" w:type="dxa"/>
        <w:right w:w="0" w:type="dxa"/>
      </w:tblCellMar>
    </w:tblPr>
  </w:style>
  <w:style w:type="character" w:customStyle="1" w:styleId="78">
    <w:name w:val="black1"/>
    <w:qFormat/>
    <w:uiPriority w:val="0"/>
    <w:rPr>
      <w:color w:val="000000"/>
    </w:rPr>
  </w:style>
  <w:style w:type="paragraph" w:customStyle="1" w:styleId="79">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3.xml"/><Relationship Id="rId7" Type="http://schemas.openxmlformats.org/officeDocument/2006/relationships/header" Target="header2.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0" Type="http://schemas.openxmlformats.org/officeDocument/2006/relationships/fontTable" Target="fontTable.xml"/><Relationship Id="rId3" Type="http://schemas.openxmlformats.org/officeDocument/2006/relationships/footnotes" Target="footnotes.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image" Target="media/image1.wmf"/><Relationship Id="rId26" Type="http://schemas.openxmlformats.org/officeDocument/2006/relationships/oleObject" Target="embeddings/oleObject1.bin"/><Relationship Id="rId25" Type="http://schemas.openxmlformats.org/officeDocument/2006/relationships/theme" Target="theme/theme1.xml"/><Relationship Id="rId24" Type="http://schemas.openxmlformats.org/officeDocument/2006/relationships/footer" Target="footer11.xml"/><Relationship Id="rId23" Type="http://schemas.openxmlformats.org/officeDocument/2006/relationships/header" Target="header10.xml"/><Relationship Id="rId22" Type="http://schemas.openxmlformats.org/officeDocument/2006/relationships/footer" Target="footer10.xml"/><Relationship Id="rId21" Type="http://schemas.openxmlformats.org/officeDocument/2006/relationships/header" Target="header9.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8.xml"/><Relationship Id="rId17" Type="http://schemas.openxmlformats.org/officeDocument/2006/relationships/header" Target="header7.xml"/><Relationship Id="rId16" Type="http://schemas.openxmlformats.org/officeDocument/2006/relationships/footer" Target="footer7.xml"/><Relationship Id="rId15" Type="http://schemas.openxmlformats.org/officeDocument/2006/relationships/header" Target="header6.xml"/><Relationship Id="rId14" Type="http://schemas.openxmlformats.org/officeDocument/2006/relationships/footer" Target="footer6.xml"/><Relationship Id="rId13" Type="http://schemas.openxmlformats.org/officeDocument/2006/relationships/header" Target="header5.xml"/><Relationship Id="rId12" Type="http://schemas.openxmlformats.org/officeDocument/2006/relationships/footer" Target="footer5.xml"/><Relationship Id="rId11" Type="http://schemas.openxmlformats.org/officeDocument/2006/relationships/header" Target="header4.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93</Pages>
  <Words>48722</Words>
  <Characters>51415</Characters>
  <Paragraphs>1226</Paragraphs>
  <TotalTime>210</TotalTime>
  <ScaleCrop>false</ScaleCrop>
  <LinksUpToDate>false</LinksUpToDate>
  <CharactersWithSpaces>54813</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2020-07-06T03:42:00Z</dcterms:created>
  <dc:creator>Administrator</dc:creator>
  <cp:lastModifiedBy>婷</cp:lastModifiedBy>
  <cp:lastPrinted>2025-09-25T15:25:00Z</cp:lastPrinted>
  <dcterms:modified xsi:type="dcterms:W3CDTF">2025-10-31T08:23:33Z</dcterms:modified>
  <dc:title>茂名市站南片区永福路(天桥路至西粤南路)建设工程项目勘察设计</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3ADB605F171F435E8CD2ED0F763ED236_13</vt:lpwstr>
  </property>
  <property fmtid="{D5CDD505-2E9C-101B-9397-08002B2CF9AE}" pid="3" name="KSOProductBuildVer">
    <vt:lpwstr>2052-12.1.0.19770</vt:lpwstr>
  </property>
  <property fmtid="{D5CDD505-2E9C-101B-9397-08002B2CF9AE}" pid="4" name="KSOTemplateDocerSaveRecord">
    <vt:lpwstr>eyJoZGlkIjoiY2E3OTJmZTk5NGNhZGNhMTZmMzdiMDg3YTZmZDczOWEiLCJ1c2VySWQiOiIyMzc5NjUwMTgifQ==</vt:lpwstr>
  </property>
</Properties>
</file>