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E339">
      <w:pPr>
        <w:pStyle w:val="8"/>
        <w:rPr>
          <w:rFonts w:hAnsi="宋体" w:cs="宋体"/>
          <w:color w:val="auto"/>
          <w:highlight w:val="none"/>
        </w:rPr>
      </w:pPr>
    </w:p>
    <w:p w14:paraId="68569605">
      <w:pPr>
        <w:snapToGrid w:val="0"/>
        <w:spacing w:line="360" w:lineRule="auto"/>
        <w:jc w:val="center"/>
        <w:rPr>
          <w:rFonts w:cs="宋体"/>
          <w:b/>
          <w:color w:val="auto"/>
          <w:sz w:val="44"/>
          <w:szCs w:val="44"/>
          <w:highlight w:val="none"/>
        </w:rPr>
      </w:pPr>
    </w:p>
    <w:p w14:paraId="1F76C748">
      <w:pPr>
        <w:snapToGrid w:val="0"/>
        <w:spacing w:line="360" w:lineRule="auto"/>
        <w:jc w:val="center"/>
        <w:rPr>
          <w:rFonts w:ascii="宋体" w:hAnsi="宋体" w:cs="宋体"/>
          <w:color w:val="auto"/>
          <w:sz w:val="52"/>
          <w:szCs w:val="52"/>
          <w:highlight w:val="none"/>
          <w:u w:val="single"/>
        </w:rPr>
      </w:pPr>
      <w:r>
        <w:rPr>
          <w:rFonts w:hint="eastAsia" w:cs="宋体"/>
          <w:b/>
          <w:color w:val="auto"/>
          <w:sz w:val="52"/>
          <w:szCs w:val="52"/>
          <w:highlight w:val="none"/>
        </w:rPr>
        <w:t>黄埔区公安分局永和派出所扩建工程施工总承包</w:t>
      </w:r>
    </w:p>
    <w:p w14:paraId="6508B27B">
      <w:pPr>
        <w:pStyle w:val="8"/>
        <w:snapToGrid w:val="0"/>
        <w:spacing w:line="360" w:lineRule="auto"/>
        <w:rPr>
          <w:rFonts w:hAnsi="宋体" w:cs="宋体"/>
          <w:color w:val="auto"/>
          <w:highlight w:val="none"/>
        </w:rPr>
      </w:pPr>
    </w:p>
    <w:p w14:paraId="331119F2">
      <w:pPr>
        <w:pStyle w:val="8"/>
        <w:snapToGrid w:val="0"/>
        <w:spacing w:line="360" w:lineRule="auto"/>
        <w:rPr>
          <w:rFonts w:hAnsi="宋体" w:cs="宋体"/>
          <w:color w:val="auto"/>
          <w:sz w:val="36"/>
          <w:szCs w:val="36"/>
          <w:highlight w:val="none"/>
          <w:u w:val="single"/>
        </w:rPr>
      </w:pPr>
    </w:p>
    <w:p w14:paraId="336C125A">
      <w:pPr>
        <w:pStyle w:val="8"/>
        <w:rPr>
          <w:rFonts w:hAnsi="宋体" w:cs="宋体"/>
          <w:color w:val="auto"/>
          <w:sz w:val="36"/>
          <w:szCs w:val="36"/>
          <w:highlight w:val="none"/>
          <w:u w:val="single"/>
        </w:rPr>
      </w:pPr>
    </w:p>
    <w:p w14:paraId="20F82A7F">
      <w:pPr>
        <w:rPr>
          <w:rFonts w:hAnsi="宋体" w:cs="宋体"/>
          <w:color w:val="auto"/>
          <w:sz w:val="36"/>
          <w:szCs w:val="36"/>
          <w:highlight w:val="none"/>
          <w:u w:val="single"/>
        </w:rPr>
      </w:pPr>
    </w:p>
    <w:p w14:paraId="7929D098">
      <w:pPr>
        <w:pStyle w:val="8"/>
        <w:rPr>
          <w:color w:val="auto"/>
          <w:highlight w:val="none"/>
        </w:rPr>
      </w:pPr>
    </w:p>
    <w:p w14:paraId="78F06664">
      <w:pPr>
        <w:pStyle w:val="8"/>
        <w:snapToGrid w:val="0"/>
        <w:spacing w:line="360" w:lineRule="auto"/>
        <w:rPr>
          <w:rFonts w:hAnsi="宋体" w:cs="宋体"/>
          <w:color w:val="auto"/>
          <w:sz w:val="36"/>
          <w:szCs w:val="36"/>
          <w:highlight w:val="none"/>
          <w:u w:val="single"/>
        </w:rPr>
      </w:pPr>
    </w:p>
    <w:p w14:paraId="1ADB5C67">
      <w:pPr>
        <w:pStyle w:val="8"/>
        <w:snapToGrid w:val="0"/>
        <w:spacing w:line="360" w:lineRule="auto"/>
        <w:rPr>
          <w:rFonts w:hAnsi="宋体" w:cs="宋体"/>
          <w:color w:val="auto"/>
          <w:sz w:val="36"/>
          <w:szCs w:val="36"/>
          <w:highlight w:val="none"/>
          <w:u w:val="single"/>
        </w:rPr>
      </w:pPr>
    </w:p>
    <w:p w14:paraId="0B85B7A0">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招标公告</w:t>
      </w:r>
    </w:p>
    <w:p w14:paraId="2A0B5E96">
      <w:pPr>
        <w:snapToGrid w:val="0"/>
        <w:spacing w:line="360" w:lineRule="auto"/>
        <w:jc w:val="center"/>
        <w:rPr>
          <w:rFonts w:ascii="宋体" w:hAnsi="宋体" w:cs="宋体"/>
          <w:color w:val="auto"/>
          <w:sz w:val="32"/>
          <w:szCs w:val="32"/>
          <w:highlight w:val="none"/>
        </w:rPr>
      </w:pPr>
    </w:p>
    <w:p w14:paraId="17A928AB">
      <w:pPr>
        <w:snapToGrid w:val="0"/>
        <w:spacing w:line="360" w:lineRule="auto"/>
        <w:ind w:firstLine="2560" w:firstLineChars="800"/>
        <w:rPr>
          <w:rFonts w:ascii="宋体" w:hAnsi="宋体" w:cs="宋体"/>
          <w:color w:val="auto"/>
          <w:sz w:val="32"/>
          <w:szCs w:val="32"/>
          <w:highlight w:val="none"/>
        </w:rPr>
      </w:pPr>
    </w:p>
    <w:p w14:paraId="63128D87">
      <w:pPr>
        <w:snapToGrid w:val="0"/>
        <w:spacing w:line="360" w:lineRule="auto"/>
        <w:ind w:firstLine="1200" w:firstLineChars="400"/>
        <w:rPr>
          <w:rFonts w:ascii="宋体" w:hAnsi="宋体" w:cs="宋体"/>
          <w:color w:val="auto"/>
          <w:sz w:val="30"/>
          <w:szCs w:val="30"/>
          <w:highlight w:val="none"/>
        </w:rPr>
      </w:pPr>
    </w:p>
    <w:p w14:paraId="77544434">
      <w:pPr>
        <w:pStyle w:val="2"/>
        <w:ind w:firstLine="0"/>
        <w:rPr>
          <w:color w:val="auto"/>
          <w:highlight w:val="none"/>
        </w:rPr>
      </w:pPr>
    </w:p>
    <w:p w14:paraId="2F35F545">
      <w:pPr>
        <w:pStyle w:val="8"/>
        <w:snapToGrid w:val="0"/>
        <w:spacing w:line="360" w:lineRule="auto"/>
        <w:rPr>
          <w:rFonts w:hAnsi="宋体" w:cs="宋体"/>
          <w:color w:val="auto"/>
          <w:highlight w:val="none"/>
        </w:rPr>
      </w:pPr>
    </w:p>
    <w:p w14:paraId="74044EAC">
      <w:pPr>
        <w:snapToGrid w:val="0"/>
        <w:spacing w:line="460" w:lineRule="exact"/>
        <w:ind w:firstLine="1063" w:firstLineChars="353"/>
        <w:rPr>
          <w:rFonts w:ascii="宋体" w:hAnsi="宋体" w:cs="宋体"/>
          <w:b/>
          <w:color w:val="auto"/>
          <w:sz w:val="30"/>
          <w:szCs w:val="30"/>
          <w:highlight w:val="none"/>
        </w:rPr>
      </w:pPr>
      <w:r>
        <w:rPr>
          <w:rFonts w:hint="eastAsia" w:ascii="宋体" w:hAnsi="宋体" w:cs="宋体"/>
          <w:b/>
          <w:color w:val="auto"/>
          <w:sz w:val="30"/>
          <w:szCs w:val="30"/>
          <w:highlight w:val="none"/>
        </w:rPr>
        <w:t>招标人：</w:t>
      </w:r>
      <w:r>
        <w:rPr>
          <w:rFonts w:hint="eastAsia" w:ascii="宋体" w:hAnsi="宋体" w:cs="宋体"/>
          <w:b/>
          <w:color w:val="auto"/>
          <w:sz w:val="30"/>
          <w:szCs w:val="30"/>
          <w:highlight w:val="none"/>
          <w:u w:val="single"/>
        </w:rPr>
        <w:t>广州开发区财政投资建设项目管理中心</w:t>
      </w:r>
    </w:p>
    <w:p w14:paraId="774993A7">
      <w:pPr>
        <w:snapToGrid w:val="0"/>
        <w:spacing w:line="460" w:lineRule="exact"/>
        <w:ind w:firstLine="1063" w:firstLineChars="353"/>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u w:val="single"/>
        </w:rPr>
        <w:t>广东建发工程管理有限公司</w:t>
      </w:r>
    </w:p>
    <w:p w14:paraId="2BC3137C">
      <w:pPr>
        <w:snapToGrid w:val="0"/>
        <w:spacing w:line="460" w:lineRule="exact"/>
        <w:ind w:firstLine="1063" w:firstLineChars="353"/>
        <w:jc w:val="left"/>
        <w:rPr>
          <w:rFonts w:ascii="宋体" w:hAnsi="宋体" w:cs="宋体"/>
          <w:b/>
          <w:color w:val="auto"/>
          <w:sz w:val="30"/>
          <w:szCs w:val="30"/>
          <w:highlight w:val="none"/>
          <w:u w:val="single"/>
        </w:rPr>
      </w:pPr>
      <w:r>
        <w:rPr>
          <w:rFonts w:hint="eastAsia" w:ascii="宋体" w:hAnsi="宋体" w:cs="宋体"/>
          <w:b/>
          <w:color w:val="auto"/>
          <w:sz w:val="30"/>
          <w:szCs w:val="30"/>
          <w:highlight w:val="none"/>
        </w:rPr>
        <w:t>日期：</w:t>
      </w:r>
      <w:r>
        <w:rPr>
          <w:rFonts w:hint="eastAsia" w:ascii="宋体" w:hAnsi="宋体" w:cs="宋体"/>
          <w:b/>
          <w:color w:val="auto"/>
          <w:sz w:val="30"/>
          <w:szCs w:val="30"/>
          <w:highlight w:val="none"/>
          <w:u w:val="single"/>
        </w:rPr>
        <w:t>2025年</w:t>
      </w:r>
      <w:r>
        <w:rPr>
          <w:rFonts w:hint="eastAsia" w:ascii="宋体" w:hAnsi="宋体" w:cs="宋体"/>
          <w:b/>
          <w:color w:val="auto"/>
          <w:sz w:val="30"/>
          <w:szCs w:val="30"/>
          <w:highlight w:val="none"/>
          <w:u w:val="single"/>
          <w:lang w:val="en-US" w:eastAsia="zh-CN"/>
        </w:rPr>
        <w:t>10</w:t>
      </w:r>
      <w:r>
        <w:rPr>
          <w:rFonts w:hint="eastAsia" w:ascii="宋体" w:hAnsi="宋体" w:cs="宋体"/>
          <w:b/>
          <w:color w:val="auto"/>
          <w:sz w:val="30"/>
          <w:szCs w:val="30"/>
          <w:highlight w:val="none"/>
          <w:u w:val="single"/>
        </w:rPr>
        <w:t>月</w:t>
      </w:r>
    </w:p>
    <w:p w14:paraId="3F3E7B54">
      <w:pPr>
        <w:pStyle w:val="2"/>
        <w:ind w:firstLine="0"/>
        <w:rPr>
          <w:color w:val="auto"/>
          <w:sz w:val="18"/>
          <w:szCs w:val="18"/>
          <w:highlight w:val="none"/>
        </w:rPr>
      </w:pPr>
    </w:p>
    <w:p w14:paraId="3F4B1840">
      <w:pPr>
        <w:pStyle w:val="13"/>
        <w:snapToGrid w:val="0"/>
        <w:rPr>
          <w:rFonts w:cs="宋体"/>
          <w:b/>
          <w:color w:val="auto"/>
          <w:sz w:val="18"/>
          <w:szCs w:val="18"/>
          <w:highlight w:val="none"/>
        </w:rPr>
        <w:sectPr>
          <w:pgSz w:w="11906" w:h="16838"/>
          <w:pgMar w:top="1440" w:right="1440" w:bottom="1440" w:left="1440" w:header="851" w:footer="992" w:gutter="0"/>
          <w:cols w:space="425" w:num="1"/>
          <w:docGrid w:type="lines" w:linePitch="312" w:charSpace="0"/>
        </w:sectPr>
      </w:pPr>
    </w:p>
    <w:p w14:paraId="6CAA74BA">
      <w:pPr>
        <w:pStyle w:val="13"/>
        <w:snapToGrid w:val="0"/>
        <w:rPr>
          <w:rFonts w:cs="宋体"/>
          <w:b/>
          <w:color w:val="auto"/>
          <w:sz w:val="18"/>
          <w:szCs w:val="18"/>
          <w:highlight w:val="none"/>
          <w:u w:val="none"/>
        </w:rPr>
      </w:pPr>
    </w:p>
    <w:p w14:paraId="7BD7D070">
      <w:pPr>
        <w:pStyle w:val="13"/>
        <w:snapToGrid w:val="0"/>
        <w:spacing w:line="360" w:lineRule="auto"/>
        <w:jc w:val="center"/>
        <w:rPr>
          <w:rFonts w:cs="宋体"/>
          <w:b/>
          <w:color w:val="auto"/>
          <w:sz w:val="30"/>
          <w:szCs w:val="30"/>
          <w:highlight w:val="none"/>
          <w:u w:val="none"/>
        </w:rPr>
      </w:pPr>
      <w:r>
        <w:rPr>
          <w:rFonts w:hint="eastAsia" w:cs="宋体"/>
          <w:b/>
          <w:color w:val="auto"/>
          <w:sz w:val="30"/>
          <w:szCs w:val="30"/>
          <w:highlight w:val="none"/>
          <w:u w:val="none"/>
        </w:rPr>
        <w:t>黄埔区公安分局永和派出所扩建工程施工总承包</w:t>
      </w:r>
    </w:p>
    <w:p w14:paraId="3D0FF266">
      <w:pPr>
        <w:pStyle w:val="13"/>
        <w:snapToGrid w:val="0"/>
        <w:spacing w:line="360" w:lineRule="auto"/>
        <w:jc w:val="center"/>
        <w:rPr>
          <w:rFonts w:cs="宋体"/>
          <w:b/>
          <w:color w:val="auto"/>
          <w:sz w:val="30"/>
          <w:szCs w:val="30"/>
          <w:highlight w:val="none"/>
          <w:u w:val="none"/>
        </w:rPr>
      </w:pPr>
      <w:r>
        <w:rPr>
          <w:rFonts w:hint="eastAsia" w:cs="宋体"/>
          <w:b/>
          <w:color w:val="auto"/>
          <w:sz w:val="30"/>
          <w:szCs w:val="30"/>
          <w:highlight w:val="none"/>
          <w:u w:val="none"/>
        </w:rPr>
        <w:t>招标公告</w:t>
      </w:r>
    </w:p>
    <w:p w14:paraId="289B588A">
      <w:pPr>
        <w:pStyle w:val="13"/>
        <w:snapToGrid w:val="0"/>
        <w:ind w:right="25" w:rightChars="12"/>
        <w:jc w:val="center"/>
        <w:rPr>
          <w:rFonts w:cs="宋体"/>
          <w:b/>
          <w:color w:val="auto"/>
          <w:sz w:val="24"/>
          <w:highlight w:val="none"/>
          <w:u w:val="none"/>
        </w:rPr>
      </w:pPr>
    </w:p>
    <w:p w14:paraId="029DE76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rPr>
        <w:t>黄埔区发展改革局 广州开发区发展改革局关于黄埔区公安分局永和派出所扩建工程（修编）可行性研究报告的复函》（穗埔发改投批〔2023〕164号）</w:t>
      </w:r>
      <w:r>
        <w:rPr>
          <w:rFonts w:hint="eastAsia" w:ascii="宋体" w:hAnsi="宋体" w:cs="宋体"/>
          <w:color w:val="auto"/>
          <w:sz w:val="24"/>
          <w:szCs w:val="24"/>
          <w:highlight w:val="none"/>
        </w:rPr>
        <w:t>批准，并且图纸和技术资料满足施工需要，</w:t>
      </w:r>
      <w:r>
        <w:rPr>
          <w:rFonts w:hint="eastAsia" w:ascii="宋体" w:hAnsi="宋体" w:cs="宋体"/>
          <w:color w:val="auto"/>
          <w:spacing w:val="-2"/>
          <w:sz w:val="24"/>
          <w:szCs w:val="24"/>
          <w:highlight w:val="none"/>
          <w:u w:val="single"/>
        </w:rPr>
        <w:t>广州开发区财政投资建设项目管理中心</w:t>
      </w:r>
      <w:r>
        <w:rPr>
          <w:rFonts w:hint="eastAsia" w:ascii="宋体" w:hAnsi="宋体" w:cs="宋体"/>
          <w:color w:val="auto"/>
          <w:sz w:val="24"/>
          <w:szCs w:val="24"/>
          <w:highlight w:val="none"/>
        </w:rPr>
        <w:t>现对</w:t>
      </w:r>
      <w:r>
        <w:rPr>
          <w:rFonts w:hint="eastAsia" w:ascii="宋体" w:hAnsi="宋体" w:cs="宋体"/>
          <w:color w:val="auto"/>
          <w:sz w:val="24"/>
          <w:highlight w:val="none"/>
          <w:u w:val="single"/>
        </w:rPr>
        <w:t>黄埔区公安分局永和派出所扩建</w:t>
      </w:r>
      <w:r>
        <w:rPr>
          <w:rFonts w:hint="eastAsia" w:ascii="宋体" w:hAnsi="宋体" w:cs="宋体"/>
          <w:color w:val="auto"/>
          <w:sz w:val="24"/>
          <w:highlight w:val="none"/>
        </w:rPr>
        <w:t>工程</w:t>
      </w:r>
      <w:r>
        <w:rPr>
          <w:rFonts w:hint="eastAsia" w:ascii="宋体" w:hAnsi="宋体" w:cs="宋体"/>
          <w:color w:val="auto"/>
          <w:sz w:val="24"/>
          <w:szCs w:val="24"/>
          <w:highlight w:val="none"/>
        </w:rPr>
        <w:t>进行施工</w:t>
      </w:r>
      <w:r>
        <w:rPr>
          <w:rFonts w:hint="eastAsia" w:ascii="宋体" w:hAnsi="宋体" w:cs="宋体"/>
          <w:color w:val="auto"/>
          <w:sz w:val="24"/>
          <w:szCs w:val="24"/>
          <w:highlight w:val="none"/>
          <w:u w:val="single"/>
        </w:rPr>
        <w:t>总承包</w:t>
      </w:r>
      <w:r>
        <w:rPr>
          <w:rFonts w:hint="eastAsia" w:ascii="宋体" w:hAnsi="宋体" w:cs="宋体"/>
          <w:color w:val="auto"/>
          <w:sz w:val="24"/>
          <w:szCs w:val="24"/>
          <w:highlight w:val="none"/>
        </w:rPr>
        <w:t>公开招标，选定承包人。</w:t>
      </w:r>
    </w:p>
    <w:p w14:paraId="7274B665">
      <w:pPr>
        <w:tabs>
          <w:tab w:val="center" w:pos="4415"/>
        </w:tabs>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rPr>
        <w:t>黄埔区公安分局永和派出所扩建工程施工总承包</w:t>
      </w:r>
    </w:p>
    <w:p w14:paraId="2DF25866">
      <w:pPr>
        <w:snapToGrid w:val="0"/>
        <w:spacing w:line="360" w:lineRule="auto"/>
        <w:ind w:left="420" w:leftChars="200"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rPr>
        <w:t>2020-440112-47-01-083114</w:t>
      </w:r>
    </w:p>
    <w:p w14:paraId="2F7DEE36">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pacing w:val="-2"/>
          <w:sz w:val="24"/>
          <w:szCs w:val="24"/>
          <w:highlight w:val="none"/>
          <w:u w:val="single"/>
        </w:rPr>
        <w:t>广州开发区财政投资建设项目管理中心</w:t>
      </w:r>
    </w:p>
    <w:p w14:paraId="4082C26D">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张工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020-28068874 </w:t>
      </w:r>
    </w:p>
    <w:p w14:paraId="7280CE86">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广州科学城科学大道162号创意大厦B2主楼三楼</w:t>
      </w:r>
    </w:p>
    <w:p w14:paraId="144D408C">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广东建发工程管理有限公司</w:t>
      </w:r>
    </w:p>
    <w:p w14:paraId="4EE73CBB">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陈工、甘工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020-34801616、13928870338、13560104599</w:t>
      </w:r>
    </w:p>
    <w:p w14:paraId="13F2E4CD">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highlight w:val="none"/>
          <w:u w:val="single"/>
        </w:rPr>
        <w:t>广州市番禺区市桥桥兴大道457号</w:t>
      </w:r>
    </w:p>
    <w:p w14:paraId="49578EC3">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广州开发区建设工程招投标管理办公室（广州市黄埔区建设工程招投标管理办公室）</w:t>
      </w:r>
    </w:p>
    <w:p w14:paraId="08806DB6">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020-82181336</w:t>
      </w:r>
    </w:p>
    <w:p w14:paraId="0D524F1F">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广州黄埔区科学城水西路30号汇丽写字楼4楼</w:t>
      </w:r>
    </w:p>
    <w:p w14:paraId="2854F652">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广州市黄埔区</w:t>
      </w:r>
    </w:p>
    <w:p w14:paraId="59B6096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四、项目概况：</w:t>
      </w:r>
      <w:bookmarkStart w:id="0" w:name="OLE_LINK1"/>
      <w:r>
        <w:rPr>
          <w:rFonts w:hint="eastAsia" w:ascii="宋体" w:hAnsi="宋体" w:cs="宋体"/>
          <w:color w:val="auto"/>
          <w:sz w:val="24"/>
          <w:highlight w:val="none"/>
          <w:u w:val="single"/>
        </w:rPr>
        <w:t>本项目拟在派出所内部北侧新建一栋6层附属楼，新建建筑面积2822平方米，其中地上建筑面积2325平方米，地下建筑面积497平方米；对既有建筑进行装修改造，改造面积约1742平方米。拆除改造原有停车棚、犬舍、部分花基、围墙等内容，新增充电桩停车位15泊等。</w:t>
      </w:r>
      <w:r>
        <w:rPr>
          <w:rFonts w:hint="eastAsia" w:ascii="宋体" w:hAnsi="宋体" w:cs="宋体"/>
          <w:color w:val="auto"/>
          <w:sz w:val="24"/>
          <w:szCs w:val="24"/>
          <w:highlight w:val="none"/>
          <w:u w:val="single"/>
        </w:rPr>
        <w:t>概算总投资</w:t>
      </w:r>
      <w:r>
        <w:rPr>
          <w:rFonts w:hint="eastAsia" w:ascii="宋体" w:hAnsi="宋体" w:cs="宋体"/>
          <w:color w:val="auto"/>
          <w:sz w:val="24"/>
          <w:highlight w:val="none"/>
          <w:u w:val="single"/>
        </w:rPr>
        <w:t>为1870.96万元，其中建安工程费为1475.42万元</w:t>
      </w:r>
      <w:r>
        <w:rPr>
          <w:rFonts w:hint="eastAsia" w:ascii="宋体" w:hAnsi="宋体" w:cs="宋体"/>
          <w:color w:val="auto"/>
          <w:sz w:val="24"/>
          <w:szCs w:val="24"/>
          <w:highlight w:val="none"/>
          <w:u w:val="single"/>
        </w:rPr>
        <w:t>。</w:t>
      </w:r>
      <w:bookmarkEnd w:id="0"/>
    </w:p>
    <w:p w14:paraId="5BE6E39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14:paraId="25D68DDD">
      <w:pPr>
        <w:snapToGrid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1、本工程划分为1个标段。</w:t>
      </w:r>
    </w:p>
    <w:p w14:paraId="31E2847E">
      <w:pPr>
        <w:autoSpaceDN w:val="0"/>
        <w:snapToGrid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2、招标内容及规模：</w:t>
      </w:r>
      <w:r>
        <w:rPr>
          <w:rFonts w:hint="eastAsia" w:ascii="宋体" w:hAnsi="宋体" w:cs="宋体"/>
          <w:color w:val="auto"/>
          <w:sz w:val="24"/>
          <w:highlight w:val="none"/>
          <w:u w:val="single"/>
        </w:rPr>
        <w:t>本项目拟在派出所内部北侧新建一栋</w:t>
      </w:r>
      <w:r>
        <w:rPr>
          <w:rFonts w:ascii="宋体" w:hAnsi="宋体" w:cs="宋体"/>
          <w:color w:val="auto"/>
          <w:sz w:val="24"/>
          <w:highlight w:val="none"/>
          <w:u w:val="single"/>
        </w:rPr>
        <w:t>6层附属楼，新建建筑面</w:t>
      </w:r>
      <w:r>
        <w:rPr>
          <w:rFonts w:hint="eastAsia" w:ascii="宋体" w:hAnsi="宋体" w:cs="宋体"/>
          <w:color w:val="auto"/>
          <w:sz w:val="24"/>
          <w:highlight w:val="none"/>
          <w:u w:val="single"/>
        </w:rPr>
        <w:t>积</w:t>
      </w:r>
      <w:r>
        <w:rPr>
          <w:rFonts w:ascii="宋体" w:hAnsi="宋体" w:cs="宋体"/>
          <w:color w:val="auto"/>
          <w:sz w:val="24"/>
          <w:highlight w:val="none"/>
          <w:u w:val="single"/>
        </w:rPr>
        <w:t>2822平方米，其中地上建筑面积2325平方米，地下建筑面积497平方米；对既有建筑进行装修改造，改造面积约1742平方米。拆除改造原有停车棚、犬舍、部分花基、围墙等内容，新增充电桩停车位15泊等。工程内容包括土建及装修工程、电气工程、给排水工程、消防工程、弱电工程、空调通风工程和室外工程等</w:t>
      </w:r>
      <w:r>
        <w:rPr>
          <w:rFonts w:hint="eastAsia" w:ascii="宋体" w:hAnsi="宋体" w:cs="宋体"/>
          <w:color w:val="auto"/>
          <w:sz w:val="24"/>
          <w:highlight w:val="none"/>
          <w:u w:val="single"/>
        </w:rPr>
        <w:t>，</w:t>
      </w:r>
      <w:r>
        <w:rPr>
          <w:rFonts w:hint="eastAsia" w:ascii="宋体" w:hAnsi="宋体" w:cs="宋体"/>
          <w:color w:val="auto"/>
          <w:sz w:val="24"/>
          <w:szCs w:val="24"/>
          <w:highlight w:val="none"/>
          <w:u w:val="single"/>
        </w:rPr>
        <w:t>具体以工程量清单及图纸为准。</w:t>
      </w:r>
    </w:p>
    <w:p w14:paraId="4FCBF9DE">
      <w:pPr>
        <w:snapToGrid w:val="0"/>
        <w:spacing w:line="360" w:lineRule="auto"/>
        <w:ind w:firstLine="480" w:firstLineChars="200"/>
        <w:contextualSpacing/>
        <w:rPr>
          <w:rFonts w:ascii="宋体" w:hAnsi="宋体" w:cs="宋体"/>
          <w:color w:val="auto"/>
          <w:sz w:val="24"/>
          <w:szCs w:val="24"/>
          <w:highlight w:val="none"/>
          <w:u w:val="single"/>
        </w:rPr>
      </w:pPr>
      <w:r>
        <w:rPr>
          <w:rFonts w:ascii="宋体" w:hAnsi="宋体" w:cs="宋体"/>
          <w:color w:val="auto"/>
          <w:sz w:val="24"/>
          <w:szCs w:val="24"/>
          <w:highlight w:val="none"/>
          <w:u w:val="single"/>
        </w:rPr>
        <w:t>3、最高投标限价：</w:t>
      </w:r>
      <w:r>
        <w:rPr>
          <w:rFonts w:hint="eastAsia" w:ascii="宋体" w:hAnsi="宋体" w:cs="宋体"/>
          <w:color w:val="auto"/>
          <w:sz w:val="24"/>
          <w:szCs w:val="24"/>
          <w:highlight w:val="none"/>
          <w:u w:val="single"/>
        </w:rPr>
        <w:t>14730907.02元。本工程根据国家和省有关计价规范设置最高投标限价。详见招标人最终发出的《最高投标限价公布函》，投标总报价超过最高投标限价的投标文件将被拒绝。</w:t>
      </w:r>
    </w:p>
    <w:p w14:paraId="3C392DB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区财政资金</w:t>
      </w:r>
      <w:r>
        <w:rPr>
          <w:rFonts w:hint="eastAsia" w:ascii="宋体" w:hAnsi="宋体" w:cs="宋体"/>
          <w:color w:val="auto"/>
          <w:sz w:val="24"/>
          <w:szCs w:val="24"/>
          <w:highlight w:val="none"/>
        </w:rPr>
        <w:t>。</w:t>
      </w:r>
    </w:p>
    <w:p w14:paraId="3F0EEC7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14:paraId="0EAB6C5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14:paraId="655B5B3A">
      <w:pPr>
        <w:wordWrap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01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7BBF01A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14:paraId="00A30E6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4778BA9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01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3CCE781F">
      <w:pPr>
        <w:snapToGrid w:val="0"/>
        <w:spacing w:line="360" w:lineRule="auto"/>
        <w:ind w:firstLine="2258" w:firstLineChars="941"/>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1AC961F6">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bookmarkStart w:id="1" w:name="_GoBack"/>
      <w:bookmarkEnd w:id="1"/>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14:paraId="6469DFF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1F88972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65AB641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广州交易集团有限公司（广州公共资源交易中心）网站最新指引</w:t>
      </w:r>
      <w:r>
        <w:rPr>
          <w:rFonts w:hint="eastAsia" w:ascii="宋体" w:hAnsi="宋体" w:cs="宋体"/>
          <w:color w:val="auto"/>
          <w:sz w:val="24"/>
          <w:szCs w:val="24"/>
          <w:highlight w:val="none"/>
        </w:rPr>
        <w:t>。</w:t>
      </w:r>
    </w:p>
    <w:p w14:paraId="26CA967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6、在投标登记时，投标人应按要求在交易系统中填写《施工项目管理团队人员信息表》</w:t>
      </w:r>
      <w:r>
        <w:rPr>
          <w:rFonts w:hint="eastAsia" w:ascii="宋体" w:hAnsi="宋体" w:cs="宋体"/>
          <w:color w:val="auto"/>
          <w:sz w:val="24"/>
          <w:szCs w:val="24"/>
          <w:highlight w:val="none"/>
          <w:u w:val="single"/>
        </w:rPr>
        <w:t>（详见招标文件第四章投标文件格式）</w:t>
      </w:r>
      <w:r>
        <w:rPr>
          <w:rFonts w:hint="eastAsia" w:ascii="宋体" w:hAnsi="宋体" w:cs="宋体"/>
          <w:color w:val="auto"/>
          <w:sz w:val="24"/>
          <w:szCs w:val="24"/>
          <w:highlight w:val="none"/>
        </w:rPr>
        <w:t>，表中的项目管理团队人员信息作为投标文件的一部分，将由交易系统提取后供各相关单位在中标人履约时进行比对、查核。</w:t>
      </w:r>
    </w:p>
    <w:p w14:paraId="452D8B37">
      <w:pPr>
        <w:snapToGrid w:val="0"/>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7、投标担保：本项目不收投标保证金。</w:t>
      </w:r>
    </w:p>
    <w:p w14:paraId="1B3D99A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3891DA8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14:paraId="2CBDF1E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14:paraId="508C3F3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r>
        <w:rPr>
          <w:rFonts w:hint="eastAsia" w:ascii="宋体" w:hAnsi="宋体" w:cs="宋体"/>
          <w:color w:val="auto"/>
          <w:sz w:val="24"/>
          <w:szCs w:val="24"/>
          <w:highlight w:val="none"/>
          <w:u w:val="single"/>
        </w:rPr>
        <w:t>要求提供法定代表人证明书；委托投标的还应提供法人授权委托证明书及被授权委托人离投标截止时间最近的至少1个月（2025年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月或</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月）在本单位缴纳的社保证明文件。</w:t>
      </w:r>
    </w:p>
    <w:p w14:paraId="59F1ECF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2、投标人均具有独立法人资格，按国家法律经营。</w:t>
      </w:r>
    </w:p>
    <w:p w14:paraId="553AD24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3、投标人均持有建设行政主管部门颁发的有效期内的企业资质证书及安全生产许可证。</w:t>
      </w:r>
    </w:p>
    <w:p w14:paraId="1DADEEB1">
      <w:pPr>
        <w:snapToGrid w:val="0"/>
        <w:spacing w:line="360" w:lineRule="auto"/>
        <w:ind w:firstLine="480" w:firstLineChars="200"/>
        <w:rPr>
          <w:rFonts w:ascii="宋体" w:hAnsi="宋体" w:cs="宋体"/>
          <w:i/>
          <w:color w:val="auto"/>
          <w:sz w:val="24"/>
          <w:szCs w:val="24"/>
          <w:highlight w:val="none"/>
        </w:rPr>
      </w:pPr>
      <w:r>
        <w:rPr>
          <w:rFonts w:hint="eastAsia" w:ascii="宋体" w:hAnsi="宋体" w:cs="宋体"/>
          <w:color w:val="auto"/>
          <w:sz w:val="24"/>
          <w:szCs w:val="24"/>
          <w:highlight w:val="none"/>
        </w:rPr>
        <w:t>4、投标人应具备以下资质：</w:t>
      </w:r>
    </w:p>
    <w:p w14:paraId="5AEADC17">
      <w:pPr>
        <w:pStyle w:val="6"/>
        <w:tabs>
          <w:tab w:val="left" w:pos="7867"/>
          <w:tab w:val="left" w:pos="9071"/>
          <w:tab w:val="left" w:pos="9313"/>
        </w:tabs>
        <w:kinsoku w:val="0"/>
        <w:overflowPunct w:val="0"/>
        <w:snapToGrid w:val="0"/>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投标人</w:t>
      </w:r>
      <w:r>
        <w:rPr>
          <w:rFonts w:hint="eastAsia" w:ascii="宋体" w:hAnsi="宋体" w:cs="宋体"/>
          <w:color w:val="auto"/>
          <w:sz w:val="24"/>
          <w:szCs w:val="24"/>
          <w:highlight w:val="none"/>
        </w:rPr>
        <w:t>具有</w:t>
      </w:r>
      <w:r>
        <w:rPr>
          <w:rFonts w:hint="eastAsia" w:ascii="宋体" w:hAnsi="宋体" w:cs="宋体"/>
          <w:color w:val="auto"/>
          <w:spacing w:val="-6"/>
          <w:sz w:val="24"/>
          <w:szCs w:val="24"/>
          <w:highlight w:val="none"/>
        </w:rPr>
        <w:t>承接本工程所需的</w:t>
      </w:r>
      <w:r>
        <w:rPr>
          <w:rFonts w:hint="eastAsia" w:ascii="宋体" w:hAnsi="宋体" w:cs="宋体"/>
          <w:b/>
          <w:bCs/>
          <w:color w:val="auto"/>
          <w:spacing w:val="-6"/>
          <w:sz w:val="24"/>
          <w:szCs w:val="24"/>
          <w:highlight w:val="none"/>
          <w:u w:val="single"/>
        </w:rPr>
        <w:t>建筑工程施工总承包三级</w:t>
      </w:r>
      <w:r>
        <w:rPr>
          <w:rFonts w:hint="eastAsia" w:ascii="宋体" w:hAnsi="宋体" w:cs="宋体"/>
          <w:color w:val="auto"/>
          <w:spacing w:val="-6"/>
          <w:sz w:val="24"/>
          <w:szCs w:val="24"/>
          <w:highlight w:val="none"/>
        </w:rPr>
        <w:t>或以上级别施工总承包资质</w:t>
      </w:r>
      <w:r>
        <w:rPr>
          <w:rFonts w:hint="eastAsia" w:ascii="宋体" w:hAnsi="宋体" w:cs="宋体"/>
          <w:color w:val="auto"/>
          <w:sz w:val="24"/>
          <w:szCs w:val="24"/>
          <w:highlight w:val="none"/>
        </w:rPr>
        <w:t>。投标人拟担任本工程项目负责人的人员为：</w:t>
      </w:r>
      <w:r>
        <w:rPr>
          <w:rFonts w:hint="eastAsia" w:ascii="宋体" w:hAnsi="宋体" w:cs="宋体"/>
          <w:b/>
          <w:bCs/>
          <w:color w:val="auto"/>
          <w:sz w:val="24"/>
          <w:szCs w:val="24"/>
          <w:highlight w:val="none"/>
          <w:u w:val="single"/>
        </w:rPr>
        <w:t>建筑工程</w:t>
      </w:r>
      <w:r>
        <w:rPr>
          <w:rFonts w:hint="eastAsia" w:ascii="宋体" w:hAnsi="宋体" w:cs="宋体"/>
          <w:bCs/>
          <w:color w:val="auto"/>
          <w:sz w:val="24"/>
          <w:szCs w:val="24"/>
          <w:highlight w:val="none"/>
        </w:rPr>
        <w:t>专业</w:t>
      </w:r>
      <w:r>
        <w:rPr>
          <w:rFonts w:hint="eastAsia" w:ascii="宋体" w:hAnsi="宋体" w:cs="宋体"/>
          <w:b/>
          <w:bCs/>
          <w:color w:val="auto"/>
          <w:sz w:val="24"/>
          <w:szCs w:val="24"/>
          <w:highlight w:val="none"/>
          <w:u w:val="single"/>
        </w:rPr>
        <w:t>二级</w:t>
      </w:r>
      <w:r>
        <w:rPr>
          <w:rFonts w:hint="eastAsia" w:ascii="宋体" w:hAnsi="宋体" w:cs="宋体"/>
          <w:color w:val="auto"/>
          <w:spacing w:val="-6"/>
          <w:sz w:val="24"/>
          <w:szCs w:val="24"/>
          <w:highlight w:val="none"/>
        </w:rPr>
        <w:t>或以上级别的</w:t>
      </w:r>
      <w:r>
        <w:rPr>
          <w:rFonts w:hint="eastAsia" w:ascii="宋体" w:hAnsi="宋体" w:cs="宋体"/>
          <w:color w:val="auto"/>
          <w:sz w:val="24"/>
          <w:szCs w:val="24"/>
          <w:highlight w:val="none"/>
        </w:rPr>
        <w:t>注册建造师。</w:t>
      </w:r>
    </w:p>
    <w:p w14:paraId="78DBC4A8">
      <w:pPr>
        <w:pStyle w:val="6"/>
        <w:tabs>
          <w:tab w:val="left" w:pos="7867"/>
          <w:tab w:val="left" w:pos="9071"/>
          <w:tab w:val="left" w:pos="9313"/>
        </w:tabs>
        <w:kinsoku w:val="0"/>
        <w:overflowPunct w:val="0"/>
        <w:snapToGrid w:val="0"/>
        <w:spacing w:line="360" w:lineRule="auto"/>
        <w:ind w:firstLine="480" w:firstLineChars="200"/>
        <w:rPr>
          <w:rFonts w:ascii="宋体" w:hAnsi="宋体"/>
          <w:color w:val="auto"/>
          <w:kern w:val="2"/>
          <w:sz w:val="24"/>
          <w:szCs w:val="22"/>
          <w:highlight w:val="none"/>
        </w:rPr>
      </w:pPr>
      <w:r>
        <w:rPr>
          <w:rFonts w:hint="eastAsia" w:ascii="宋体" w:hAnsi="宋体"/>
          <w:color w:val="auto"/>
          <w:kern w:val="2"/>
          <w:sz w:val="24"/>
          <w:szCs w:val="22"/>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3A4A878">
      <w:pPr>
        <w:snapToGrid w:val="0"/>
        <w:spacing w:line="360" w:lineRule="auto"/>
        <w:ind w:firstLine="480" w:firstLineChars="200"/>
        <w:rPr>
          <w:rFonts w:ascii="宋体" w:hAnsi="宋体"/>
          <w:color w:val="auto"/>
          <w:spacing w:val="-5"/>
          <w:sz w:val="24"/>
          <w:szCs w:val="24"/>
          <w:highlight w:val="none"/>
          <w:u w:val="single"/>
        </w:rPr>
      </w:pPr>
      <w:r>
        <w:rPr>
          <w:rFonts w:hint="eastAsia" w:ascii="宋体" w:hAnsi="宋体"/>
          <w:color w:val="auto"/>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b/>
          <w:bCs/>
          <w:color w:val="auto"/>
          <w:spacing w:val="-5"/>
          <w:sz w:val="24"/>
          <w:szCs w:val="24"/>
          <w:highlight w:val="none"/>
          <w:u w:val="single"/>
        </w:rPr>
        <w:t>相关注意事项如下</w:t>
      </w:r>
      <w:r>
        <w:rPr>
          <w:rFonts w:hint="eastAsia" w:ascii="宋体" w:hAnsi="宋体"/>
          <w:color w:val="auto"/>
          <w:spacing w:val="-5"/>
          <w:sz w:val="24"/>
          <w:szCs w:val="24"/>
          <w:highlight w:val="none"/>
          <w:u w:val="single"/>
        </w:rPr>
        <w:t>：</w:t>
      </w:r>
    </w:p>
    <w:p w14:paraId="3CC3102B">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（一）投标人按照上述规定办理了资质延期或换领新证，在投标截止前已取得新证的，投标人须在投标文件中提供经核准延期后的新资质证书。</w:t>
      </w:r>
    </w:p>
    <w:p w14:paraId="6617CE64">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76982D19">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5172C057">
      <w:pPr>
        <w:snapToGrid w:val="0"/>
        <w:spacing w:line="360" w:lineRule="auto"/>
        <w:ind w:firstLine="480" w:firstLineChars="200"/>
        <w:rPr>
          <w:color w:val="auto"/>
          <w:sz w:val="24"/>
          <w:highlight w:val="none"/>
          <w:u w:val="single"/>
        </w:rPr>
      </w:pPr>
      <w:r>
        <w:rPr>
          <w:rFonts w:hint="eastAsia" w:ascii="宋体" w:hAnsi="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2C520C95">
      <w:pPr>
        <w:snapToGrid w:val="0"/>
        <w:spacing w:line="360" w:lineRule="auto"/>
        <w:ind w:firstLine="480" w:firstLineChars="200"/>
        <w:rPr>
          <w:color w:val="auto"/>
          <w:sz w:val="24"/>
          <w:highlight w:val="none"/>
        </w:rPr>
      </w:pPr>
      <w:r>
        <w:rPr>
          <w:rFonts w:hint="eastAsia"/>
          <w:color w:val="auto"/>
          <w:sz w:val="24"/>
          <w:highlight w:val="none"/>
        </w:rPr>
        <w:t>②根据</w:t>
      </w:r>
      <w:r>
        <w:rPr>
          <w:rFonts w:hint="eastAsia" w:ascii="宋体" w:hAnsi="宋体"/>
          <w:color w:val="auto"/>
          <w:sz w:val="24"/>
          <w:highlight w:val="none"/>
        </w:rPr>
        <w:t>《住房和城乡建设部办公厅关于全面实行一级建造师电子注册证书的通知》（建办市〔2021〕40号），自2022年1月1日起，一级建造</w:t>
      </w:r>
      <w:r>
        <w:rPr>
          <w:rFonts w:hint="eastAsia"/>
          <w:color w:val="auto"/>
          <w:sz w:val="24"/>
          <w:highlight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548F213">
      <w:pPr>
        <w:snapToGrid w:val="0"/>
        <w:spacing w:line="360" w:lineRule="auto"/>
        <w:ind w:firstLine="480" w:firstLineChars="200"/>
        <w:rPr>
          <w:color w:val="auto"/>
          <w:sz w:val="24"/>
          <w:highlight w:val="none"/>
        </w:rPr>
      </w:pPr>
      <w:r>
        <w:rPr>
          <w:rFonts w:hint="eastAsia"/>
          <w:color w:val="auto"/>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59D1640">
      <w:pPr>
        <w:pStyle w:val="6"/>
        <w:overflowPunct w:val="0"/>
        <w:snapToGrid w:val="0"/>
        <w:spacing w:after="0" w:line="360" w:lineRule="auto"/>
        <w:ind w:firstLine="460" w:firstLineChars="200"/>
        <w:rPr>
          <w:rFonts w:ascii="宋体" w:hAnsi="宋体"/>
          <w:color w:val="auto"/>
          <w:spacing w:val="-5"/>
          <w:sz w:val="24"/>
          <w:szCs w:val="24"/>
          <w:highlight w:val="none"/>
        </w:rPr>
      </w:pPr>
      <w:r>
        <w:rPr>
          <w:rFonts w:hint="eastAsia" w:ascii="宋体" w:hAnsi="宋体"/>
          <w:color w:val="auto"/>
          <w:spacing w:val="-5"/>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7D1D7F07">
      <w:pPr>
        <w:numPr>
          <w:ilvl w:val="0"/>
          <w:numId w:val="1"/>
        </w:numPr>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项目负责人持有</w:t>
      </w:r>
      <w:r>
        <w:rPr>
          <w:rFonts w:hint="eastAsia" w:ascii="宋体" w:hAnsi="宋体"/>
          <w:color w:val="auto"/>
          <w:sz w:val="24"/>
          <w:szCs w:val="24"/>
          <w:highlight w:val="none"/>
          <w:u w:val="single"/>
        </w:rPr>
        <w:t>有效期内的</w:t>
      </w:r>
      <w:r>
        <w:rPr>
          <w:rFonts w:hint="eastAsia" w:ascii="宋体" w:hAnsi="宋体"/>
          <w:color w:val="auto"/>
          <w:sz w:val="24"/>
          <w:szCs w:val="24"/>
          <w:highlight w:val="none"/>
        </w:rPr>
        <w:t>安全生产考核合格证（B类）或建筑施工企业项目负责人安全生产考核合格证书。</w:t>
      </w:r>
    </w:p>
    <w:p w14:paraId="64D88983">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6576E89">
      <w:pPr>
        <w:pStyle w:val="22"/>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kern w:val="2"/>
          <w:sz w:val="24"/>
          <w:szCs w:val="24"/>
          <w:highlight w:val="none"/>
          <w:u w:val="single"/>
        </w:rPr>
        <w:t>具有建筑</w:t>
      </w:r>
      <w:r>
        <w:rPr>
          <w:rFonts w:hint="eastAsia" w:ascii="宋体" w:hAnsi="宋体" w:eastAsia="宋体" w:cs="宋体"/>
          <w:color w:val="auto"/>
          <w:kern w:val="2"/>
          <w:sz w:val="24"/>
          <w:szCs w:val="24"/>
          <w:highlight w:val="none"/>
          <w:u w:val="single"/>
          <w:lang w:eastAsia="zh-CN"/>
        </w:rPr>
        <w:t>工程</w:t>
      </w:r>
      <w:r>
        <w:rPr>
          <w:rFonts w:hint="eastAsia" w:ascii="宋体" w:hAnsi="宋体" w:eastAsia="宋体" w:cs="宋体"/>
          <w:color w:val="auto"/>
          <w:kern w:val="2"/>
          <w:sz w:val="24"/>
          <w:szCs w:val="24"/>
          <w:highlight w:val="none"/>
          <w:u w:val="single"/>
        </w:rPr>
        <w:t>类专业中级或以上职称</w:t>
      </w:r>
      <w:r>
        <w:rPr>
          <w:rFonts w:hint="eastAsia" w:ascii="宋体" w:hAnsi="宋体" w:eastAsia="宋体" w:cs="宋体"/>
          <w:color w:val="auto"/>
          <w:sz w:val="24"/>
          <w:szCs w:val="24"/>
          <w:highlight w:val="none"/>
          <w:u w:val="single"/>
        </w:rPr>
        <w:t>。</w:t>
      </w:r>
    </w:p>
    <w:p w14:paraId="262F906B">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olor w:val="auto"/>
          <w:kern w:val="0"/>
          <w:sz w:val="24"/>
          <w:szCs w:val="24"/>
          <w:highlight w:val="none"/>
          <w:u w:val="single"/>
        </w:rPr>
        <w:t>拟配备的</w:t>
      </w:r>
      <w:r>
        <w:rPr>
          <w:rFonts w:hint="eastAsia" w:ascii="宋体" w:hAnsi="宋体"/>
          <w:color w:val="auto"/>
          <w:sz w:val="24"/>
          <w:szCs w:val="24"/>
          <w:highlight w:val="none"/>
        </w:rPr>
        <w:t>专职安全员须具有</w:t>
      </w:r>
      <w:r>
        <w:rPr>
          <w:rFonts w:hint="eastAsia" w:ascii="宋体" w:hAnsi="宋体"/>
          <w:color w:val="auto"/>
          <w:sz w:val="24"/>
          <w:szCs w:val="24"/>
          <w:highlight w:val="none"/>
          <w:u w:val="single"/>
        </w:rPr>
        <w:t>有效期内的</w:t>
      </w:r>
      <w:r>
        <w:rPr>
          <w:rFonts w:hint="eastAsia" w:ascii="宋体" w:hAnsi="宋体"/>
          <w:color w:val="auto"/>
          <w:sz w:val="24"/>
          <w:szCs w:val="24"/>
          <w:highlight w:val="none"/>
        </w:rPr>
        <w:t>安全生产考核合格证（C类）或建筑施工企业专职安全生产管理人员安全生产考核合格证书</w:t>
      </w:r>
      <w:r>
        <w:rPr>
          <w:rFonts w:hint="eastAsia" w:ascii="宋体" w:hAnsi="宋体"/>
          <w:color w:val="auto"/>
          <w:kern w:val="0"/>
          <w:sz w:val="24"/>
          <w:highlight w:val="none"/>
          <w:u w:val="single"/>
        </w:rPr>
        <w:t>（C3）</w:t>
      </w:r>
      <w:r>
        <w:rPr>
          <w:rFonts w:hint="eastAsia" w:ascii="宋体" w:hAnsi="宋体" w:cs="宋体"/>
          <w:color w:val="auto"/>
          <w:kern w:val="0"/>
          <w:sz w:val="24"/>
          <w:highlight w:val="none"/>
          <w:u w:val="single"/>
        </w:rPr>
        <w:t>，项目负责人和专职安全员不为同一人</w:t>
      </w:r>
      <w:r>
        <w:rPr>
          <w:rFonts w:hint="eastAsia" w:ascii="宋体" w:hAnsi="宋体" w:cs="宋体"/>
          <w:color w:val="auto"/>
          <w:kern w:val="0"/>
          <w:sz w:val="24"/>
          <w:szCs w:val="24"/>
          <w:highlight w:val="none"/>
        </w:rPr>
        <w:t>。</w:t>
      </w:r>
    </w:p>
    <w:p w14:paraId="5904FB93">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93801C3">
      <w:pPr>
        <w:snapToGrid w:val="0"/>
        <w:spacing w:line="360" w:lineRule="auto"/>
        <w:ind w:firstLine="480" w:firstLineChars="200"/>
        <w:rPr>
          <w:rFonts w:ascii="宋体" w:hAnsi="宋体" w:cs="宋体"/>
          <w:strike/>
          <w:color w:val="auto"/>
          <w:sz w:val="24"/>
          <w:szCs w:val="24"/>
          <w:highlight w:val="none"/>
        </w:rPr>
      </w:pPr>
      <w:r>
        <w:rPr>
          <w:rFonts w:ascii="宋体" w:hAnsi="宋体" w:cs="宋体"/>
          <w:color w:val="auto"/>
          <w:kern w:val="0"/>
          <w:sz w:val="24"/>
          <w:szCs w:val="24"/>
          <w:highlight w:val="none"/>
          <w:u w:val="single"/>
        </w:rPr>
        <w:t>8</w:t>
      </w:r>
      <w:r>
        <w:rPr>
          <w:rFonts w:hint="eastAsia" w:ascii="宋体" w:hAnsi="宋体" w:cs="宋体"/>
          <w:color w:val="auto"/>
          <w:sz w:val="24"/>
          <w:szCs w:val="24"/>
          <w:highlight w:val="none"/>
        </w:rPr>
        <w:t>、投标人已按照附件一的内容签署盖章的</w:t>
      </w:r>
      <w:r>
        <w:rPr>
          <w:rFonts w:hint="eastAsia" w:ascii="宋体" w:hAnsi="宋体" w:cs="宋体"/>
          <w:color w:val="auto"/>
          <w:sz w:val="24"/>
          <w:szCs w:val="24"/>
          <w:highlight w:val="none"/>
          <w:u w:val="single"/>
        </w:rPr>
        <w:t>《投标人声明》</w:t>
      </w:r>
      <w:r>
        <w:rPr>
          <w:rFonts w:hint="eastAsia" w:ascii="宋体" w:hAnsi="宋体" w:cs="宋体"/>
          <w:color w:val="auto"/>
          <w:sz w:val="24"/>
          <w:szCs w:val="24"/>
          <w:highlight w:val="none"/>
        </w:rPr>
        <w:t>。</w:t>
      </w:r>
    </w:p>
    <w:p w14:paraId="28E2DC41">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9</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本项目不接受联合体投标</w:t>
      </w:r>
      <w:r>
        <w:rPr>
          <w:rFonts w:hint="eastAsia" w:ascii="宋体" w:hAnsi="宋体" w:cs="宋体"/>
          <w:color w:val="auto"/>
          <w:sz w:val="24"/>
          <w:szCs w:val="24"/>
          <w:highlight w:val="none"/>
        </w:rPr>
        <w:t>。</w:t>
      </w:r>
    </w:p>
    <w:p w14:paraId="24118097">
      <w:pPr>
        <w:wordWrap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10</w:t>
      </w:r>
      <w:r>
        <w:rPr>
          <w:rFonts w:hint="eastAsia" w:ascii="宋体" w:hAnsi="宋体" w:cs="宋体"/>
          <w:color w:val="auto"/>
          <w:sz w:val="24"/>
          <w:szCs w:val="24"/>
          <w:highlight w:val="none"/>
        </w:rPr>
        <w:t>、</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hint="eastAsia" w:ascii="宋体" w:hAnsi="宋体"/>
          <w:color w:val="auto"/>
          <w:sz w:val="24"/>
          <w:highlight w:val="none"/>
          <w:u w:val="single"/>
        </w:rPr>
        <w:t>网址：</w:t>
      </w:r>
      <w:r>
        <w:rPr>
          <w:rFonts w:ascii="宋体" w:hAnsi="宋体"/>
          <w:color w:val="auto"/>
          <w:sz w:val="24"/>
          <w:highlight w:val="none"/>
          <w:u w:val="single"/>
        </w:rPr>
        <w:t>https://zfcj.gz.gov.cn/zwgk/zsdwxxgkzl/gzsjzyglfwzx/bszy/content/post_10313002.html</w:t>
      </w:r>
      <w:r>
        <w:rPr>
          <w:rFonts w:hint="eastAsia" w:ascii="宋体" w:hAnsi="宋体"/>
          <w:color w:val="auto"/>
          <w:kern w:val="2"/>
          <w:sz w:val="24"/>
          <w:szCs w:val="22"/>
          <w:highlight w:val="none"/>
          <w:u w:val="none"/>
        </w:rPr>
        <w:t>）</w:t>
      </w:r>
      <w:r>
        <w:rPr>
          <w:rFonts w:hint="eastAsia" w:ascii="宋体" w:hAnsi="宋体" w:cs="宋体"/>
          <w:color w:val="auto"/>
          <w:kern w:val="2"/>
          <w:sz w:val="24"/>
          <w:szCs w:val="24"/>
          <w:highlight w:val="none"/>
        </w:rPr>
        <w:t>。</w:t>
      </w:r>
    </w:p>
    <w:p w14:paraId="6008F52F">
      <w:pPr>
        <w:snapToGrid w:val="0"/>
        <w:spacing w:line="360" w:lineRule="auto"/>
        <w:ind w:firstLine="480" w:firstLineChars="200"/>
        <w:contextualSpacing/>
        <w:rPr>
          <w:rFonts w:ascii="宋体" w:hAnsi="宋体" w:cs="宋体"/>
          <w:color w:val="auto"/>
          <w:sz w:val="24"/>
          <w:szCs w:val="24"/>
          <w:highlight w:val="none"/>
          <w:u w:val="single"/>
        </w:rPr>
      </w:pPr>
      <w:r>
        <w:rPr>
          <w:rFonts w:ascii="宋体" w:hAnsi="宋体" w:cs="宋体"/>
          <w:color w:val="auto"/>
          <w:kern w:val="2"/>
          <w:sz w:val="24"/>
          <w:szCs w:val="24"/>
          <w:highlight w:val="none"/>
          <w:u w:val="single"/>
        </w:rPr>
        <w:t>11、投标人</w:t>
      </w:r>
      <w:r>
        <w:rPr>
          <w:rFonts w:hint="eastAsia" w:ascii="宋体" w:hAnsi="宋体" w:cs="宋体"/>
          <w:color w:val="auto"/>
          <w:sz w:val="24"/>
          <w:szCs w:val="24"/>
          <w:highlight w:val="none"/>
        </w:rPr>
        <w:t>未在以往工程中因不充分履约行为被本项目招标人书面拒绝投标的</w:t>
      </w:r>
      <w:r>
        <w:rPr>
          <w:rFonts w:hint="eastAsia" w:ascii="宋体" w:hAnsi="宋体" w:cs="宋体"/>
          <w:color w:val="auto"/>
          <w:sz w:val="24"/>
          <w:szCs w:val="24"/>
          <w:highlight w:val="none"/>
          <w:u w:val="single"/>
        </w:rPr>
        <w:t>（在拒绝投标的期限内）</w:t>
      </w:r>
      <w:r>
        <w:rPr>
          <w:rFonts w:hint="eastAsia" w:ascii="宋体" w:hAnsi="宋体" w:cs="宋体"/>
          <w:color w:val="auto"/>
          <w:kern w:val="2"/>
          <w:sz w:val="24"/>
          <w:szCs w:val="24"/>
          <w:highlight w:val="none"/>
          <w:u w:val="single"/>
        </w:rPr>
        <w:t>。</w:t>
      </w:r>
      <w:r>
        <w:rPr>
          <w:rFonts w:hint="eastAsia" w:ascii="宋体" w:hAnsi="宋体" w:cs="宋体"/>
          <w:color w:val="auto"/>
          <w:sz w:val="24"/>
          <w:szCs w:val="24"/>
          <w:highlight w:val="none"/>
          <w:u w:val="single"/>
        </w:rPr>
        <w:t>注：投标人无需提供资料，资格审查时，按招标公告附件二《被招标人拒绝投标的企业名单》进行评审</w:t>
      </w:r>
      <w:r>
        <w:rPr>
          <w:rFonts w:hint="eastAsia" w:ascii="宋体" w:hAnsi="宋体" w:cs="宋体"/>
          <w:color w:val="auto"/>
          <w:sz w:val="24"/>
          <w:szCs w:val="24"/>
          <w:highlight w:val="none"/>
        </w:rPr>
        <w:t>。</w:t>
      </w:r>
    </w:p>
    <w:p w14:paraId="130ABBEC">
      <w:pPr>
        <w:snapToGrid w:val="0"/>
        <w:spacing w:line="360" w:lineRule="auto"/>
        <w:ind w:firstLine="480" w:firstLineChars="200"/>
        <w:contextualSpacing/>
        <w:rPr>
          <w:rFonts w:ascii="宋体" w:hAnsi="宋体" w:cs="宋体"/>
          <w:color w:val="auto"/>
          <w:sz w:val="24"/>
          <w:szCs w:val="24"/>
          <w:highlight w:val="none"/>
        </w:rPr>
      </w:pPr>
      <w:r>
        <w:rPr>
          <w:rFonts w:ascii="宋体" w:hAnsi="宋体" w:cs="宋体"/>
          <w:color w:val="auto"/>
          <w:kern w:val="2"/>
          <w:sz w:val="24"/>
          <w:szCs w:val="24"/>
          <w:highlight w:val="none"/>
          <w:u w:val="single"/>
        </w:rPr>
        <w:t>1</w:t>
      </w:r>
      <w:r>
        <w:rPr>
          <w:rFonts w:hint="eastAsia" w:ascii="宋体" w:hAnsi="宋体" w:cs="宋体"/>
          <w:color w:val="auto"/>
          <w:sz w:val="24"/>
          <w:szCs w:val="24"/>
          <w:highlight w:val="none"/>
          <w:u w:val="single"/>
        </w:rPr>
        <w:t>2</w:t>
      </w:r>
      <w:r>
        <w:rPr>
          <w:rFonts w:hint="eastAsia" w:ascii="宋体" w:hAnsi="宋体" w:cs="宋体"/>
          <w:color w:val="auto"/>
          <w:kern w:val="2"/>
          <w:sz w:val="24"/>
          <w:szCs w:val="24"/>
          <w:highlight w:val="none"/>
        </w:rPr>
        <w:t>、投标人</w:t>
      </w:r>
      <w:r>
        <w:rPr>
          <w:rFonts w:hint="eastAsia" w:ascii="宋体" w:hAnsi="宋体" w:cs="宋体"/>
          <w:color w:val="auto"/>
          <w:sz w:val="24"/>
          <w:szCs w:val="24"/>
          <w:highlight w:val="none"/>
        </w:rPr>
        <w:t>未出现以下情形：与其它投标人的单位负责人为同一人或者存在控股、管理关系的</w:t>
      </w:r>
      <w:r>
        <w:rPr>
          <w:rFonts w:hint="eastAsia" w:ascii="宋体" w:hAnsi="宋体"/>
          <w:color w:val="auto"/>
          <w:sz w:val="24"/>
          <w:szCs w:val="24"/>
          <w:highlight w:val="none"/>
        </w:rPr>
        <w:t>（按投标人提供的《投标人声明》第九条内容进行评审）</w:t>
      </w:r>
      <w:r>
        <w:rPr>
          <w:rFonts w:hint="eastAsia" w:ascii="宋体" w:hAnsi="宋体" w:cs="宋体"/>
          <w:color w:val="auto"/>
          <w:sz w:val="24"/>
          <w:szCs w:val="24"/>
          <w:highlight w:val="none"/>
        </w:rPr>
        <w:t>。如不同投标申请人出现单位负责人为同一人或者存在控股、管理关系的情形，则</w:t>
      </w:r>
      <w:r>
        <w:rPr>
          <w:rFonts w:hint="eastAsia" w:ascii="宋体" w:hAnsi="宋体" w:cs="宋体"/>
          <w:color w:val="auto"/>
          <w:sz w:val="24"/>
          <w:szCs w:val="24"/>
          <w:highlight w:val="none"/>
          <w:u w:val="single"/>
        </w:rPr>
        <w:t>均按不符合投标人合格条件处理</w:t>
      </w:r>
      <w:r>
        <w:rPr>
          <w:rFonts w:hint="eastAsia" w:ascii="宋体" w:hAnsi="宋体" w:cs="宋体"/>
          <w:color w:val="auto"/>
          <w:sz w:val="24"/>
          <w:szCs w:val="24"/>
          <w:highlight w:val="none"/>
        </w:rPr>
        <w:t>。</w:t>
      </w:r>
    </w:p>
    <w:p w14:paraId="37A8C46B">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kern w:val="2"/>
          <w:sz w:val="24"/>
          <w:szCs w:val="24"/>
          <w:highlight w:val="none"/>
          <w:u w:val="single"/>
        </w:rPr>
        <w:t>若投标人未列全符合相关条件的单位，但同时未列全的相关单位未参与本项目投标的，不视为该投标人违反了本条规定，不作为对其投标文件进行无效标处理的依据。</w:t>
      </w:r>
    </w:p>
    <w:p w14:paraId="36BFBDA9">
      <w:pPr>
        <w:snapToGrid w:val="0"/>
        <w:spacing w:line="360" w:lineRule="auto"/>
        <w:ind w:firstLine="480" w:firstLineChars="200"/>
        <w:rPr>
          <w:rFonts w:ascii="宋体" w:hAnsi="宋体" w:cs="宋体"/>
          <w:color w:val="auto"/>
          <w:sz w:val="24"/>
          <w:szCs w:val="24"/>
          <w:highlight w:val="none"/>
        </w:rPr>
      </w:pPr>
      <w:r>
        <w:rPr>
          <w:rFonts w:ascii="宋体" w:hAnsi="宋体" w:cs="宋体"/>
          <w:color w:val="auto"/>
          <w:kern w:val="2"/>
          <w:sz w:val="24"/>
          <w:szCs w:val="24"/>
          <w:highlight w:val="none"/>
          <w:u w:val="single"/>
        </w:rPr>
        <w:t>13</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在投标截止时间前</w:t>
      </w:r>
      <w:r>
        <w:rPr>
          <w:rFonts w:hint="eastAsia" w:ascii="宋体" w:hAnsi="宋体"/>
          <w:color w:val="auto"/>
          <w:sz w:val="24"/>
          <w:highlight w:val="none"/>
          <w:u w:val="single"/>
        </w:rPr>
        <w:t>，</w:t>
      </w:r>
      <w:r>
        <w:rPr>
          <w:rFonts w:hint="eastAsia" w:ascii="宋体" w:hAnsi="宋体"/>
          <w:color w:val="auto"/>
          <w:kern w:val="2"/>
          <w:sz w:val="24"/>
          <w:szCs w:val="22"/>
          <w:highlight w:val="none"/>
          <w:u w:val="single"/>
        </w:rPr>
        <w:t>投标人</w:t>
      </w:r>
      <w:r>
        <w:rPr>
          <w:rFonts w:hint="eastAsia" w:ascii="宋体" w:hAnsi="宋体" w:cs="宋体"/>
          <w:color w:val="auto"/>
          <w:sz w:val="24"/>
          <w:szCs w:val="24"/>
          <w:highlight w:val="none"/>
        </w:rPr>
        <w:t>未被列入拖欠农民工工资失信联合惩戒对象名单和失信被执行人。</w:t>
      </w:r>
      <w:r>
        <w:rPr>
          <w:rFonts w:hint="eastAsia" w:ascii="宋体" w:hAnsi="宋体" w:cs="宋体"/>
          <w:color w:val="auto"/>
          <w:sz w:val="24"/>
          <w:szCs w:val="24"/>
          <w:highlight w:val="none"/>
          <w:u w:val="single"/>
        </w:rPr>
        <w:t>注：投标人无需提供资料，按投标截止时间广州交易集团有限公司（广州公共资源交易中心）交易系统比对的结果进行评审</w:t>
      </w:r>
      <w:r>
        <w:rPr>
          <w:rFonts w:hint="eastAsia" w:ascii="宋体" w:hAnsi="宋体" w:cs="宋体"/>
          <w:color w:val="auto"/>
          <w:sz w:val="24"/>
          <w:szCs w:val="24"/>
          <w:highlight w:val="none"/>
        </w:rPr>
        <w:t>。</w:t>
      </w:r>
    </w:p>
    <w:p w14:paraId="44EE268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olor w:val="auto"/>
          <w:sz w:val="24"/>
          <w:highlight w:val="none"/>
        </w:rPr>
        <w:t>未在招标公告第九条单列的资审合格条件</w:t>
      </w:r>
      <w:r>
        <w:rPr>
          <w:rFonts w:hint="eastAsia" w:ascii="宋体" w:hAnsi="宋体"/>
          <w:color w:val="auto"/>
          <w:sz w:val="24"/>
          <w:highlight w:val="none"/>
          <w:u w:val="single"/>
        </w:rPr>
        <w:t>（投标人合格条件）</w:t>
      </w:r>
      <w:r>
        <w:rPr>
          <w:rFonts w:hint="eastAsia" w:ascii="宋体" w:hAnsi="宋体"/>
          <w:color w:val="auto"/>
          <w:sz w:val="24"/>
          <w:highlight w:val="none"/>
        </w:rPr>
        <w:t>，不作为资审不合格的依据</w:t>
      </w:r>
      <w:r>
        <w:rPr>
          <w:rFonts w:hint="eastAsia" w:ascii="宋体" w:hAnsi="宋体" w:cs="宋体"/>
          <w:color w:val="auto"/>
          <w:sz w:val="24"/>
          <w:szCs w:val="24"/>
          <w:highlight w:val="none"/>
        </w:rPr>
        <w:t>。</w:t>
      </w:r>
    </w:p>
    <w:p w14:paraId="613D9BE4">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14:paraId="4822B073">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r>
        <w:rPr>
          <w:rFonts w:hint="eastAsia" w:ascii="宋体" w:hAnsi="宋体" w:cs="宋体"/>
          <w:color w:val="auto"/>
          <w:sz w:val="24"/>
          <w:szCs w:val="24"/>
          <w:highlight w:val="none"/>
          <w:u w:val="single"/>
        </w:rPr>
        <w:t>及评标工作。本工程采用评定分离方式确定中标人</w:t>
      </w:r>
      <w:r>
        <w:rPr>
          <w:rFonts w:hint="eastAsia" w:ascii="宋体" w:hAnsi="宋体" w:cs="宋体"/>
          <w:color w:val="auto"/>
          <w:sz w:val="24"/>
          <w:szCs w:val="24"/>
          <w:highlight w:val="none"/>
        </w:rPr>
        <w:t>。</w:t>
      </w:r>
    </w:p>
    <w:p w14:paraId="7C092525">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交易平台和广东省招标投标监管网公示，公示时间不得少于3日。</w:t>
      </w:r>
    </w:p>
    <w:p w14:paraId="3BBAA652">
      <w:pPr>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十二、</w:t>
      </w:r>
      <w:r>
        <w:rPr>
          <w:rFonts w:hint="eastAsia" w:ascii="宋体" w:hAnsi="宋体"/>
          <w:color w:val="auto"/>
          <w:sz w:val="24"/>
          <w:highlight w:val="none"/>
        </w:rPr>
        <w:t>满足资格审查合格条件的投标人不足3名或通过有效性审查的投标人不足3名时为招标失败。招标人分析招标失败原因，修正招标方案，重新组织招标</w:t>
      </w:r>
      <w:r>
        <w:rPr>
          <w:rFonts w:hint="eastAsia" w:ascii="宋体" w:hAnsi="宋体" w:cs="宋体"/>
          <w:color w:val="auto"/>
          <w:sz w:val="24"/>
          <w:szCs w:val="24"/>
          <w:highlight w:val="none"/>
        </w:rPr>
        <w:t>。</w:t>
      </w:r>
    </w:p>
    <w:p w14:paraId="3DFB0A0E">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color w:val="auto"/>
          <w:sz w:val="24"/>
          <w:szCs w:val="24"/>
          <w:highlight w:val="none"/>
        </w:rPr>
        <w:t>。</w:t>
      </w:r>
    </w:p>
    <w:p w14:paraId="71E3246B">
      <w:pPr>
        <w:snapToGrid/>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F1DD71F">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70572530">
      <w:pPr>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w:t>
      </w:r>
      <w:r>
        <w:rPr>
          <w:rFonts w:hint="eastAsia" w:ascii="宋体" w:hAnsi="宋体"/>
          <w:color w:val="auto"/>
          <w:sz w:val="24"/>
          <w:highlight w:val="none"/>
        </w:rPr>
        <w:t>潜在投标人或利害关系人对本招标公告及招标文件有异议的，应当在投标截止时间10日前向招标人书面提出</w:t>
      </w:r>
      <w:r>
        <w:rPr>
          <w:rFonts w:hint="eastAsia" w:ascii="宋体" w:hAnsi="宋体" w:cs="宋体"/>
          <w:color w:val="auto"/>
          <w:sz w:val="24"/>
          <w:szCs w:val="24"/>
          <w:highlight w:val="none"/>
        </w:rPr>
        <w:t>。</w:t>
      </w:r>
    </w:p>
    <w:p w14:paraId="44436B4F">
      <w:pPr>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bCs/>
          <w:color w:val="auto"/>
          <w:sz w:val="24"/>
          <w:szCs w:val="24"/>
          <w:highlight w:val="none"/>
          <w:u w:val="single"/>
        </w:rPr>
        <w:t>广州开发区财政投资建设项目管理中心</w:t>
      </w:r>
    </w:p>
    <w:p w14:paraId="651BC354">
      <w:pPr>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rPr>
        <w:t>异议受理电话：</w:t>
      </w:r>
      <w:r>
        <w:rPr>
          <w:rFonts w:hint="eastAsia" w:ascii="宋体" w:hAnsi="宋体" w:cs="宋体"/>
          <w:color w:val="auto"/>
          <w:sz w:val="24"/>
          <w:szCs w:val="24"/>
          <w:highlight w:val="none"/>
          <w:u w:val="single"/>
        </w:rPr>
        <w:t xml:space="preserve"> 020-28068874 </w:t>
      </w:r>
    </w:p>
    <w:p w14:paraId="59AD4139">
      <w:pPr>
        <w:snapToGrid/>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张工</w:t>
      </w:r>
    </w:p>
    <w:p w14:paraId="3A50625E">
      <w:pPr>
        <w:snapToGrid/>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地址：</w:t>
      </w:r>
      <w:r>
        <w:rPr>
          <w:rFonts w:hint="eastAsia" w:ascii="宋体" w:hAnsi="宋体"/>
          <w:color w:val="auto"/>
          <w:sz w:val="24"/>
          <w:highlight w:val="none"/>
          <w:u w:val="single"/>
        </w:rPr>
        <w:t>广州科学城科学大道162号创意大厦B2主楼三楼</w:t>
      </w:r>
    </w:p>
    <w:p w14:paraId="5E0052BD">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注：潜在投标人或利害关系人可以通过线下或线上的形式提出异议。线上提出异议的，应通过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交易平台提交，招标人也应通过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交易平台答复线上提出的异议。具体按照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交易平台相关指南进行操作。作出答复前，应当暂停招标投标活动。</w:t>
      </w:r>
    </w:p>
    <w:p w14:paraId="4F0499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w:t>
      </w:r>
      <w:r>
        <w:rPr>
          <w:rFonts w:hint="eastAsia" w:ascii="宋体" w:hAnsi="宋体"/>
          <w:color w:val="auto"/>
          <w:sz w:val="24"/>
          <w:highlight w:val="none"/>
        </w:rPr>
        <w:t>本公告在广州交易集团有限公司（广州公共资源交易中心）网站（网址：http://www.gzggzy.cn）、广东省招标投标监管网（网址：</w:t>
      </w:r>
      <w:r>
        <w:rPr>
          <w:rFonts w:ascii="宋体" w:hAnsi="宋体"/>
          <w:color w:val="auto"/>
          <w:sz w:val="24"/>
          <w:highlight w:val="none"/>
        </w:rPr>
        <w:t>https://zbtb.gd.gov.cn</w:t>
      </w:r>
      <w:r>
        <w:rPr>
          <w:rFonts w:hint="eastAsia" w:ascii="宋体" w:hAnsi="宋体"/>
          <w:color w:val="auto"/>
          <w:sz w:val="24"/>
          <w:highlight w:val="none"/>
        </w:rPr>
        <w:t>/）和中国招标投标公共服务平台（网址：http://www.cebpubservice.com/）发布，本公告的修改、补充，在广州交易集团有限公司（广州公共资源交易中心）网站</w:t>
      </w:r>
      <w:r>
        <w:rPr>
          <w:rFonts w:hint="eastAsia" w:ascii="宋体" w:hAnsi="宋体"/>
          <w:color w:val="auto"/>
          <w:sz w:val="24"/>
          <w:highlight w:val="none"/>
          <w:u w:val="single"/>
        </w:rPr>
        <w:t>及广东省招标投标监管网</w:t>
      </w:r>
      <w:r>
        <w:rPr>
          <w:rFonts w:hint="eastAsia" w:ascii="宋体" w:hAnsi="宋体"/>
          <w:color w:val="auto"/>
          <w:sz w:val="24"/>
          <w:highlight w:val="none"/>
        </w:rPr>
        <w:t>发布</w:t>
      </w:r>
      <w:r>
        <w:rPr>
          <w:rFonts w:hint="eastAsia" w:ascii="宋体" w:hAnsi="宋体" w:cs="宋体"/>
          <w:color w:val="auto"/>
          <w:sz w:val="24"/>
          <w:szCs w:val="24"/>
          <w:highlight w:val="none"/>
        </w:rPr>
        <w:t>。</w:t>
      </w:r>
    </w:p>
    <w:p w14:paraId="088EB8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color w:val="auto"/>
          <w:sz w:val="24"/>
          <w:szCs w:val="24"/>
          <w:highlight w:val="none"/>
        </w:rPr>
        <w:t>。</w:t>
      </w:r>
    </w:p>
    <w:p w14:paraId="0AB56AC6">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十八、</w:t>
      </w:r>
      <w:r>
        <w:rPr>
          <w:rFonts w:hint="eastAsia" w:ascii="宋体" w:hAnsi="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招标人如需发布补充公告的，以最后发布的补充公告时间起计算编制投标文件时间。招标人应综合考虑节假日因素，合理确定投标人编制投标文件所需要的时间，如遇春节、五一、十一等长假，建议招标人结合项目特点和实际需要适当延长备标期。</w:t>
      </w:r>
      <w:r>
        <w:rPr>
          <w:rFonts w:hint="eastAsia" w:ascii="宋体" w:hAnsi="宋体"/>
          <w:color w:val="auto"/>
          <w:sz w:val="24"/>
          <w:highlight w:val="none"/>
          <w:u w:val="single"/>
        </w:rPr>
        <w:t>如招标人需发布补充公告的，以最后发布的补充公告的时间起计算编制投标文件时间，并需在招标答疑中明确说明。</w:t>
      </w:r>
    </w:p>
    <w:p w14:paraId="2FAA0FF2">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特别提示：</w:t>
      </w:r>
      <w:r>
        <w:rPr>
          <w:rFonts w:hint="eastAsia" w:ascii="宋体"/>
          <w:color w:val="auto"/>
          <w:sz w:val="24"/>
          <w:highlight w:val="none"/>
        </w:rPr>
        <w:t>投标人在本项目招标人的工程项目中存在下列行为的，将被拒绝</w:t>
      </w:r>
      <w:r>
        <w:rPr>
          <w:rFonts w:hint="eastAsia" w:ascii="宋体" w:hAnsi="宋体" w:cs="宋体"/>
          <w:color w:val="auto"/>
          <w:sz w:val="24"/>
          <w:szCs w:val="24"/>
          <w:highlight w:val="none"/>
          <w:u w:val="single"/>
        </w:rPr>
        <w:t>三个月或以上</w:t>
      </w:r>
      <w:r>
        <w:rPr>
          <w:rFonts w:hint="eastAsia" w:ascii="宋体"/>
          <w:color w:val="auto"/>
          <w:sz w:val="24"/>
          <w:highlight w:val="none"/>
        </w:rPr>
        <w:t>参</w:t>
      </w:r>
      <w:r>
        <w:rPr>
          <w:rFonts w:hint="eastAsia" w:ascii="宋体" w:hAnsi="宋体" w:cs="宋体"/>
          <w:color w:val="auto"/>
          <w:sz w:val="24"/>
          <w:szCs w:val="24"/>
          <w:highlight w:val="none"/>
        </w:rPr>
        <w:t>与招标人后续工程投标。（</w:t>
      </w:r>
      <w:r>
        <w:rPr>
          <w:rFonts w:hint="eastAsia" w:ascii="宋体" w:hAnsi="宋体" w:cs="宋体"/>
          <w:color w:val="auto"/>
          <w:sz w:val="24"/>
          <w:szCs w:val="24"/>
          <w:highlight w:val="none"/>
          <w:u w:val="single"/>
        </w:rPr>
        <w:t>注：拒绝投标时限自招标人发出通知之日起计</w:t>
      </w:r>
      <w:r>
        <w:rPr>
          <w:rFonts w:hint="eastAsia" w:ascii="宋体" w:hAnsi="宋体" w:cs="宋体"/>
          <w:color w:val="auto"/>
          <w:sz w:val="24"/>
          <w:szCs w:val="24"/>
          <w:highlight w:val="none"/>
        </w:rPr>
        <w:t>）：</w:t>
      </w:r>
    </w:p>
    <w:p w14:paraId="427174A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25B7BF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18573A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4EE10E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14:paraId="1C805D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14:paraId="37A1A1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6.存在少放、不放业绩、奖项等客观评审资料，减少自身竞争力情形的；</w:t>
      </w:r>
    </w:p>
    <w:p w14:paraId="5DD2F6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7.存在行贿情形的；</w:t>
      </w:r>
    </w:p>
    <w:p w14:paraId="5DC4BC9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8.拖欠农民工工资的；</w:t>
      </w:r>
    </w:p>
    <w:p w14:paraId="191F82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9.未按照国家、省、市有关建筑施工实名制管理和工人工资支付分账管理的规定执行，被行政监管部门通报或处罚的；</w:t>
      </w:r>
    </w:p>
    <w:p w14:paraId="4198E9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10.中标人在项目实施过程中选取的专业分包单位或劳务企业或劳务班组长与投标时不一致的；</w:t>
      </w:r>
    </w:p>
    <w:p w14:paraId="635828B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11.本项目投标时拟派的专职安全员在其他项目中有任职且在本项目开工前未完成更换确保专职安全员只在本项目上任职的；</w:t>
      </w:r>
    </w:p>
    <w:p w14:paraId="4C493FBE">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12.中标人未按规定购买安全生产责任保险的；</w:t>
      </w:r>
    </w:p>
    <w:p w14:paraId="7E6292C0">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13.中标人在项目实施过程中因不诚信或不充分履约达到合同列明的拒绝投标程度的；</w:t>
      </w:r>
    </w:p>
    <w:p w14:paraId="17324494">
      <w:pPr>
        <w:snapToGrid/>
        <w:spacing w:line="360" w:lineRule="auto"/>
        <w:ind w:firstLine="480" w:firstLineChars="200"/>
        <w:contextualSpacing w:val="0"/>
        <w:rPr>
          <w:rFonts w:ascii="宋体" w:hAnsi="宋体" w:cs="宋体"/>
          <w:color w:val="auto"/>
          <w:sz w:val="24"/>
          <w:szCs w:val="24"/>
          <w:highlight w:val="none"/>
          <w:u w:val="single"/>
        </w:rPr>
      </w:pPr>
      <w:r>
        <w:rPr>
          <w:rFonts w:hint="eastAsia" w:ascii="宋体" w:hAnsi="宋体"/>
          <w:color w:val="auto"/>
          <w:sz w:val="24"/>
          <w:highlight w:val="none"/>
          <w:u w:val="single"/>
        </w:rPr>
        <w:t>14.其他法定情形。</w:t>
      </w:r>
    </w:p>
    <w:p w14:paraId="34433B97">
      <w:pPr>
        <w:pStyle w:val="8"/>
        <w:spacing w:line="360" w:lineRule="auto"/>
        <w:rPr>
          <w:color w:val="auto"/>
          <w:highlight w:val="none"/>
        </w:rPr>
      </w:pPr>
    </w:p>
    <w:p w14:paraId="4A96D1B5">
      <w:pPr>
        <w:spacing w:line="360" w:lineRule="auto"/>
        <w:rPr>
          <w:color w:val="auto"/>
          <w:highlight w:val="none"/>
        </w:rPr>
      </w:pPr>
    </w:p>
    <w:p w14:paraId="71A59690">
      <w:pPr>
        <w:snapToGrid w:val="0"/>
        <w:spacing w:line="360" w:lineRule="auto"/>
        <w:ind w:firstLine="3120" w:firstLineChars="1300"/>
        <w:contextualSpacing/>
        <w:jc w:val="right"/>
        <w:rPr>
          <w:rFonts w:ascii="宋体" w:hAnsi="宋体" w:cs="宋体"/>
          <w:color w:val="auto"/>
          <w:sz w:val="24"/>
          <w:szCs w:val="24"/>
          <w:highlight w:val="none"/>
        </w:rPr>
      </w:pPr>
      <w:r>
        <w:rPr>
          <w:rFonts w:hint="eastAsia" w:ascii="宋体" w:hAnsi="宋体" w:cs="宋体"/>
          <w:color w:val="auto"/>
          <w:sz w:val="24"/>
          <w:szCs w:val="24"/>
          <w:highlight w:val="none"/>
        </w:rPr>
        <w:t>招标单位：广州开发区财政投资建设项目管理中心</w:t>
      </w:r>
    </w:p>
    <w:p w14:paraId="50970E1F">
      <w:pPr>
        <w:snapToGrid w:val="0"/>
        <w:spacing w:line="360" w:lineRule="auto"/>
        <w:ind w:firstLine="4320" w:firstLineChars="1800"/>
        <w:contextualSpacing/>
        <w:jc w:val="right"/>
        <w:rPr>
          <w:rFonts w:ascii="宋体" w:hAnsi="宋体" w:cs="宋体"/>
          <w:color w:val="auto"/>
          <w:sz w:val="24"/>
          <w:szCs w:val="24"/>
          <w:highlight w:val="none"/>
        </w:rPr>
      </w:pPr>
      <w:r>
        <w:rPr>
          <w:rFonts w:hint="eastAsia" w:ascii="宋体" w:hAnsi="宋体" w:cs="宋体"/>
          <w:color w:val="auto"/>
          <w:sz w:val="24"/>
          <w:szCs w:val="24"/>
          <w:highlight w:val="none"/>
        </w:rPr>
        <w:t>招标代理机构：广东建发工程管理有限公司</w:t>
      </w:r>
    </w:p>
    <w:p w14:paraId="13C41B8C">
      <w:pPr>
        <w:wordWrap w:val="0"/>
        <w:snapToGrid w:val="0"/>
        <w:spacing w:line="360" w:lineRule="auto"/>
        <w:ind w:firstLine="4320" w:firstLineChars="1800"/>
        <w:contextualSpacing/>
        <w:jc w:val="right"/>
        <w:rPr>
          <w:rFonts w:ascii="宋体" w:hAnsi="宋体" w:cs="宋体"/>
          <w:color w:val="auto"/>
          <w:sz w:val="24"/>
          <w:szCs w:val="24"/>
          <w:highlight w:val="none"/>
        </w:rPr>
      </w:pPr>
      <w:r>
        <w:rPr>
          <w:rFonts w:hint="eastAsia" w:ascii="宋体" w:hAnsi="宋体" w:cs="宋体"/>
          <w:color w:val="auto"/>
          <w:sz w:val="24"/>
          <w:szCs w:val="24"/>
          <w:highlight w:val="none"/>
        </w:rPr>
        <w:t>日期：2025年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w:t>
      </w:r>
    </w:p>
    <w:p w14:paraId="594B23E1">
      <w:pPr>
        <w:snapToGrid w:val="0"/>
        <w:spacing w:line="360" w:lineRule="auto"/>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14:paraId="17D41E4B">
      <w:pPr>
        <w:spacing w:line="360" w:lineRule="auto"/>
        <w:jc w:val="center"/>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14:paraId="50F767A1">
      <w:pPr>
        <w:snapToGrid w:val="0"/>
        <w:jc w:val="center"/>
        <w:rPr>
          <w:rFonts w:ascii="宋体" w:hAnsi="宋体" w:cs="宋体"/>
          <w:b/>
          <w:color w:val="auto"/>
          <w:sz w:val="24"/>
          <w:szCs w:val="24"/>
          <w:highlight w:val="none"/>
        </w:rPr>
      </w:pPr>
    </w:p>
    <w:p w14:paraId="2B89BCC8">
      <w:pPr>
        <w:pStyle w:val="22"/>
        <w:snapToGrid w:val="0"/>
        <w:ind w:firstLine="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w:t>
      </w:r>
      <w:r>
        <w:rPr>
          <w:rFonts w:hint="eastAsia" w:ascii="宋体" w:hAnsi="宋体" w:eastAsia="宋体" w:cs="宋体"/>
          <w:color w:val="auto"/>
          <w:spacing w:val="-2"/>
          <w:sz w:val="24"/>
          <w:szCs w:val="24"/>
          <w:highlight w:val="none"/>
          <w:u w:val="single"/>
        </w:rPr>
        <w:t>广州开发区财政投资建设项目管理中心及广</w:t>
      </w:r>
      <w:r>
        <w:rPr>
          <w:rFonts w:hint="eastAsia" w:ascii="宋体" w:hAnsi="宋体" w:eastAsia="宋体" w:cs="宋体"/>
          <w:color w:val="auto"/>
          <w:sz w:val="24"/>
          <w:szCs w:val="24"/>
          <w:highlight w:val="none"/>
          <w:u w:val="single"/>
        </w:rPr>
        <w:t>州开发区建设工程招投标管理办公室（广州市黄埔区建设工程招投标管理办公室）</w:t>
      </w:r>
      <w:r>
        <w:rPr>
          <w:rFonts w:hint="eastAsia" w:ascii="宋体" w:hAnsi="宋体" w:eastAsia="宋体"/>
          <w:color w:val="auto"/>
          <w:sz w:val="24"/>
          <w:szCs w:val="24"/>
          <w:highlight w:val="none"/>
        </w:rPr>
        <w:t>：</w:t>
      </w:r>
    </w:p>
    <w:p w14:paraId="050F1A02">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黄埔区公安分局永和派出所扩建工程施工总承包</w:t>
      </w:r>
      <w:r>
        <w:rPr>
          <w:rFonts w:hint="eastAsia" w:ascii="宋体" w:hAnsi="宋体" w:eastAsia="宋体"/>
          <w:color w:val="auto"/>
          <w:sz w:val="24"/>
          <w:szCs w:val="24"/>
          <w:highlight w:val="none"/>
        </w:rPr>
        <w:t>投标工作，作出郑重声明：</w:t>
      </w:r>
    </w:p>
    <w:p w14:paraId="59957070">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582A8C29">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DAB1662">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47B77DBB">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3154090B">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23C9B9F2">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A63FFB6">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4D27E41C">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96ADD92">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1412A908">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71797EA2">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12DAC9C7">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0512D058">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2C2C9493">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62B75C2">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80DEFE7">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33F57D98">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4097604">
      <w:pPr>
        <w:pStyle w:val="22"/>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77B1D02F">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750672BC">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D8D68B8">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69F415F6">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CA69147">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八、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5DA1117">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九、</w:t>
      </w:r>
      <w:r>
        <w:rPr>
          <w:rFonts w:hint="eastAsia" w:ascii="宋体" w:hAnsi="宋体" w:eastAsia="宋体"/>
          <w:b/>
          <w:bCs/>
          <w:color w:val="auto"/>
          <w:sz w:val="24"/>
          <w:szCs w:val="24"/>
          <w:highlight w:val="none"/>
        </w:rPr>
        <w:t>与本公司单位负责人为同一人或者与本公司存在控股、管理关系的其他单位包括：</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olor w:val="auto"/>
          <w:sz w:val="24"/>
          <w:szCs w:val="24"/>
          <w:highlight w:val="none"/>
          <w:u w:val="single"/>
        </w:rPr>
        <w:t>若投标人未列全符合相关条件的单位，但同时未列全的相关单位未参与本项目投标的，不视为该投标人违反了招标公告第九条</w:t>
      </w:r>
      <w:r>
        <w:rPr>
          <w:rFonts w:hint="eastAsia" w:ascii="宋体" w:hAnsi="宋体" w:eastAsia="宋体"/>
          <w:color w:val="auto"/>
          <w:kern w:val="0"/>
          <w:sz w:val="24"/>
          <w:szCs w:val="24"/>
          <w:highlight w:val="none"/>
          <w:u w:val="single"/>
        </w:rPr>
        <w:t>第</w:t>
      </w:r>
      <w:r>
        <w:rPr>
          <w:rFonts w:ascii="宋体" w:hAnsi="宋体" w:eastAsia="宋体"/>
          <w:color w:val="auto"/>
          <w:kern w:val="0"/>
          <w:sz w:val="24"/>
          <w:szCs w:val="24"/>
          <w:highlight w:val="none"/>
          <w:u w:val="single"/>
        </w:rPr>
        <w:t>12</w:t>
      </w:r>
      <w:r>
        <w:rPr>
          <w:rFonts w:hint="eastAsia" w:ascii="宋体" w:hAnsi="宋体" w:eastAsia="宋体"/>
          <w:color w:val="auto"/>
          <w:kern w:val="0"/>
          <w:sz w:val="24"/>
          <w:szCs w:val="24"/>
          <w:highlight w:val="none"/>
          <w:u w:val="single"/>
        </w:rPr>
        <w:t>点</w:t>
      </w:r>
      <w:r>
        <w:rPr>
          <w:rFonts w:hint="eastAsia" w:ascii="宋体" w:hAnsi="宋体" w:eastAsia="宋体"/>
          <w:color w:val="auto"/>
          <w:sz w:val="24"/>
          <w:szCs w:val="24"/>
          <w:highlight w:val="none"/>
          <w:u w:val="single"/>
        </w:rPr>
        <w:t>的规定，不作为对其投标文件进行无效标处理的依据。</w:t>
      </w:r>
      <w:r>
        <w:rPr>
          <w:rFonts w:hint="eastAsia" w:ascii="宋体" w:hAnsi="宋体" w:eastAsia="宋体"/>
          <w:color w:val="auto"/>
          <w:sz w:val="24"/>
          <w:szCs w:val="24"/>
          <w:highlight w:val="none"/>
        </w:rPr>
        <w:t>）</w:t>
      </w:r>
    </w:p>
    <w:p w14:paraId="5B02FF6E">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4854CD38">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26795804">
      <w:pPr>
        <w:pStyle w:val="22"/>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46D0F86">
      <w:pPr>
        <w:pStyle w:val="2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十三、本公司承诺，中标后不委托近两年因伪造检测数据、出具虚假检测报告被各级建设行政主管部门或市场监督管理部门行政处罚或通报的检测单位负责本项目的检测工作。</w:t>
      </w:r>
    </w:p>
    <w:p w14:paraId="566B7D51">
      <w:pPr>
        <w:pStyle w:val="22"/>
        <w:rPr>
          <w:rFonts w:ascii="宋体" w:hAnsi="宋体" w:eastAsia="宋体"/>
          <w:color w:val="auto"/>
          <w:sz w:val="24"/>
          <w:szCs w:val="24"/>
          <w:highlight w:val="none"/>
        </w:rPr>
      </w:pPr>
      <w:r>
        <w:rPr>
          <w:rFonts w:hint="eastAsia" w:ascii="宋体" w:hAnsi="宋体" w:eastAsia="宋体"/>
          <w:color w:val="auto"/>
          <w:sz w:val="24"/>
          <w:szCs w:val="24"/>
          <w:highlight w:val="none"/>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25BB7472">
      <w:pPr>
        <w:pStyle w:val="22"/>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五</w:t>
      </w:r>
      <w:r>
        <w:rPr>
          <w:rFonts w:hint="eastAsia" w:ascii="宋体" w:hAnsi="宋体" w:eastAsia="宋体"/>
          <w:color w:val="auto"/>
          <w:sz w:val="24"/>
          <w:szCs w:val="24"/>
          <w:highlight w:val="none"/>
        </w:rPr>
        <w:t>、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72C6FBF8">
      <w:pPr>
        <w:pStyle w:val="22"/>
        <w:widowControl/>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5749822">
      <w:pPr>
        <w:pStyle w:val="22"/>
        <w:widowControl/>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六</w:t>
      </w:r>
      <w:r>
        <w:rPr>
          <w:rFonts w:hint="eastAsia" w:ascii="宋体" w:hAnsi="宋体" w:eastAsia="宋体"/>
          <w:color w:val="auto"/>
          <w:sz w:val="24"/>
          <w:szCs w:val="24"/>
          <w:highlight w:val="none"/>
        </w:rPr>
        <w:t>、本公司或拟派项目负责人、拟派专职安全员未因安全生产违法行为或失信行为被有关行政主管部门采取本行业或者职业禁入等联合惩戒措施（有效期内）。</w:t>
      </w:r>
    </w:p>
    <w:p w14:paraId="20727900">
      <w:pPr>
        <w:pStyle w:val="22"/>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七</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59724CE7">
      <w:pPr>
        <w:pStyle w:val="22"/>
        <w:snapToGrid w:val="0"/>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十八、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B87AFFF">
      <w:pPr>
        <w:pStyle w:val="22"/>
        <w:ind w:firstLine="480" w:firstLineChars="200"/>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十九、</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4A42CE87">
      <w:pPr>
        <w:snapToGrid w:val="0"/>
        <w:ind w:left="629" w:right="1449" w:firstLine="480" w:firstLineChars="200"/>
        <w:jc w:val="both"/>
        <w:rPr>
          <w:rFonts w:ascii="宋体" w:hAnsi="宋体" w:eastAsia="宋体" w:cs="宋体"/>
          <w:color w:val="auto"/>
          <w:sz w:val="24"/>
          <w:szCs w:val="24"/>
          <w:highlight w:val="none"/>
        </w:rPr>
      </w:pPr>
      <w:r>
        <w:rPr>
          <w:rFonts w:hint="eastAsia" w:ascii="宋体" w:hAnsi="宋体" w:cs="宋体"/>
          <w:color w:val="auto"/>
          <w:kern w:val="0"/>
          <w:sz w:val="24"/>
          <w:szCs w:val="24"/>
          <w:highlight w:val="none"/>
        </w:rPr>
        <w:t>特此声明。</w:t>
      </w:r>
    </w:p>
    <w:p w14:paraId="1AD36BD8">
      <w:pPr>
        <w:pStyle w:val="22"/>
        <w:snapToGrid w:val="0"/>
        <w:ind w:right="1179"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声明企业（公章）：</w:t>
      </w:r>
    </w:p>
    <w:p w14:paraId="41B9B7D3">
      <w:pPr>
        <w:pStyle w:val="22"/>
        <w:snapToGrid w:val="0"/>
        <w:ind w:right="1179"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或授权代理人</w:t>
      </w:r>
      <w:r>
        <w:rPr>
          <w:rFonts w:hint="eastAsia" w:ascii="宋体" w:hAnsi="宋体" w:eastAsia="宋体" w:cs="宋体"/>
          <w:color w:val="auto"/>
          <w:sz w:val="24"/>
          <w:szCs w:val="24"/>
          <w:highlight w:val="none"/>
        </w:rPr>
        <w:t>签字：</w:t>
      </w:r>
    </w:p>
    <w:p w14:paraId="24EC835E">
      <w:pPr>
        <w:pStyle w:val="22"/>
        <w:snapToGrid w:val="0"/>
        <w:ind w:right="1179"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14:paraId="092B1E41">
      <w:pPr>
        <w:pStyle w:val="22"/>
        <w:snapToGrid w:val="0"/>
        <w:ind w:right="1179" w:firstLine="4560" w:firstLineChars="1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14:paraId="65D7C7C9">
      <w:pPr>
        <w:pStyle w:val="22"/>
        <w:snapToGrid w:val="0"/>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0773476">
      <w:pPr>
        <w:rPr>
          <w:rFonts w:hint="eastAsia" w:ascii="宋体" w:hAnsi="宋体" w:cs="宋体"/>
          <w:b/>
          <w:bCs/>
          <w:color w:val="auto"/>
          <w:sz w:val="24"/>
          <w:szCs w:val="24"/>
          <w:highlight w:val="none"/>
        </w:rPr>
      </w:pPr>
    </w:p>
    <w:p w14:paraId="4F261CB9">
      <w:pPr>
        <w:rPr>
          <w:rFonts w:hint="eastAsia" w:ascii="宋体" w:hAnsi="宋体" w:cs="宋体"/>
          <w:b/>
          <w:bCs/>
          <w:color w:val="auto"/>
          <w:sz w:val="24"/>
          <w:szCs w:val="24"/>
          <w:highlight w:val="none"/>
        </w:rPr>
      </w:pPr>
    </w:p>
    <w:p w14:paraId="200C09AE">
      <w:pPr>
        <w:rPr>
          <w:rFonts w:hint="eastAsia" w:ascii="宋体" w:hAnsi="宋体" w:cs="宋体"/>
          <w:b/>
          <w:bCs/>
          <w:color w:val="auto"/>
          <w:sz w:val="24"/>
          <w:szCs w:val="24"/>
          <w:highlight w:val="none"/>
        </w:rPr>
      </w:pPr>
    </w:p>
    <w:p w14:paraId="715DF1BE">
      <w:pPr>
        <w:rPr>
          <w:rFonts w:hint="eastAsia" w:ascii="宋体" w:hAnsi="宋体" w:cs="宋体"/>
          <w:b/>
          <w:bCs/>
          <w:color w:val="auto"/>
          <w:sz w:val="24"/>
          <w:szCs w:val="24"/>
          <w:highlight w:val="none"/>
        </w:rPr>
      </w:pPr>
    </w:p>
    <w:p w14:paraId="7A7AD907">
      <w:pPr>
        <w:rPr>
          <w:rFonts w:hint="eastAsia" w:ascii="宋体" w:hAnsi="宋体" w:cs="宋体"/>
          <w:b/>
          <w:bCs/>
          <w:color w:val="auto"/>
          <w:sz w:val="24"/>
          <w:szCs w:val="24"/>
          <w:highlight w:val="none"/>
        </w:rPr>
      </w:pPr>
    </w:p>
    <w:p w14:paraId="521798F8">
      <w:pPr>
        <w:rPr>
          <w:rFonts w:hint="eastAsia" w:ascii="宋体" w:hAnsi="宋体" w:cs="宋体"/>
          <w:b/>
          <w:bCs/>
          <w:color w:val="auto"/>
          <w:sz w:val="24"/>
          <w:szCs w:val="24"/>
          <w:highlight w:val="none"/>
        </w:rPr>
      </w:pPr>
    </w:p>
    <w:p w14:paraId="329CBF9F">
      <w:pPr>
        <w:rPr>
          <w:rFonts w:hint="eastAsia" w:ascii="宋体" w:hAnsi="宋体" w:cs="宋体"/>
          <w:b/>
          <w:bCs/>
          <w:color w:val="auto"/>
          <w:sz w:val="24"/>
          <w:szCs w:val="24"/>
          <w:highlight w:val="none"/>
        </w:rPr>
      </w:pPr>
    </w:p>
    <w:p w14:paraId="3E2B41B6">
      <w:pPr>
        <w:rPr>
          <w:rFonts w:hint="eastAsia" w:ascii="宋体" w:hAnsi="宋体" w:cs="宋体"/>
          <w:b/>
          <w:bCs/>
          <w:color w:val="auto"/>
          <w:sz w:val="24"/>
          <w:szCs w:val="24"/>
          <w:highlight w:val="none"/>
        </w:rPr>
      </w:pPr>
    </w:p>
    <w:p w14:paraId="073890D9">
      <w:pPr>
        <w:rPr>
          <w:rFonts w:hint="eastAsia" w:ascii="宋体" w:hAnsi="宋体" w:cs="宋体"/>
          <w:b/>
          <w:bCs/>
          <w:color w:val="auto"/>
          <w:sz w:val="24"/>
          <w:szCs w:val="24"/>
          <w:highlight w:val="none"/>
        </w:rPr>
      </w:pPr>
    </w:p>
    <w:p w14:paraId="3DE34536">
      <w:pPr>
        <w:rPr>
          <w:rFonts w:hint="eastAsia" w:ascii="宋体" w:hAnsi="宋体" w:cs="宋体"/>
          <w:b/>
          <w:bCs/>
          <w:color w:val="auto"/>
          <w:sz w:val="24"/>
          <w:szCs w:val="24"/>
          <w:highlight w:val="none"/>
        </w:rPr>
      </w:pPr>
    </w:p>
    <w:p w14:paraId="634ABBD1">
      <w:pPr>
        <w:rPr>
          <w:rFonts w:hint="eastAsia" w:ascii="宋体" w:hAnsi="宋体" w:cs="宋体"/>
          <w:b/>
          <w:bCs/>
          <w:color w:val="auto"/>
          <w:sz w:val="24"/>
          <w:szCs w:val="24"/>
          <w:highlight w:val="none"/>
        </w:rPr>
      </w:pPr>
    </w:p>
    <w:p w14:paraId="4950145E">
      <w:pPr>
        <w:rPr>
          <w:rFonts w:hint="eastAsia" w:ascii="宋体" w:hAnsi="宋体" w:cs="宋体"/>
          <w:b/>
          <w:bCs/>
          <w:color w:val="auto"/>
          <w:sz w:val="24"/>
          <w:szCs w:val="24"/>
          <w:highlight w:val="none"/>
        </w:rPr>
      </w:pPr>
    </w:p>
    <w:p w14:paraId="0C824E7B">
      <w:pPr>
        <w:rPr>
          <w:rFonts w:hint="eastAsia" w:ascii="宋体" w:hAnsi="宋体" w:cs="宋体"/>
          <w:b/>
          <w:bCs/>
          <w:color w:val="auto"/>
          <w:sz w:val="24"/>
          <w:szCs w:val="24"/>
          <w:highlight w:val="none"/>
        </w:rPr>
      </w:pPr>
    </w:p>
    <w:p w14:paraId="04DC2202">
      <w:pPr>
        <w:rPr>
          <w:rFonts w:hint="eastAsia" w:ascii="宋体" w:hAnsi="宋体" w:cs="宋体"/>
          <w:b/>
          <w:bCs/>
          <w:color w:val="auto"/>
          <w:sz w:val="24"/>
          <w:szCs w:val="24"/>
          <w:highlight w:val="none"/>
        </w:rPr>
      </w:pPr>
    </w:p>
    <w:p w14:paraId="7CB433E7">
      <w:pPr>
        <w:rPr>
          <w:rFonts w:hint="eastAsia" w:ascii="宋体" w:hAnsi="宋体" w:cs="宋体"/>
          <w:b/>
          <w:bCs/>
          <w:color w:val="auto"/>
          <w:sz w:val="24"/>
          <w:szCs w:val="24"/>
          <w:highlight w:val="none"/>
        </w:rPr>
      </w:pPr>
    </w:p>
    <w:p w14:paraId="66EE66F3">
      <w:pPr>
        <w:rPr>
          <w:rFonts w:hint="eastAsia" w:ascii="宋体" w:hAnsi="宋体" w:cs="宋体"/>
          <w:b/>
          <w:bCs/>
          <w:color w:val="auto"/>
          <w:sz w:val="24"/>
          <w:szCs w:val="24"/>
          <w:highlight w:val="none"/>
        </w:rPr>
      </w:pPr>
    </w:p>
    <w:p w14:paraId="58385BEC">
      <w:pPr>
        <w:rPr>
          <w:rFonts w:hint="eastAsia" w:ascii="宋体" w:hAnsi="宋体" w:cs="宋体"/>
          <w:b/>
          <w:bCs/>
          <w:color w:val="auto"/>
          <w:sz w:val="24"/>
          <w:szCs w:val="24"/>
          <w:highlight w:val="none"/>
        </w:rPr>
      </w:pPr>
    </w:p>
    <w:p w14:paraId="5ACF96A4">
      <w:pPr>
        <w:rPr>
          <w:rFonts w:hint="eastAsia" w:ascii="宋体" w:hAnsi="宋体" w:cs="宋体"/>
          <w:b/>
          <w:bCs/>
          <w:color w:val="auto"/>
          <w:sz w:val="24"/>
          <w:szCs w:val="24"/>
          <w:highlight w:val="none"/>
        </w:rPr>
      </w:pPr>
    </w:p>
    <w:p w14:paraId="021D5DBC">
      <w:pPr>
        <w:rPr>
          <w:rFonts w:hint="eastAsia" w:ascii="宋体" w:hAnsi="宋体" w:cs="宋体"/>
          <w:b/>
          <w:bCs/>
          <w:color w:val="auto"/>
          <w:sz w:val="24"/>
          <w:szCs w:val="24"/>
          <w:highlight w:val="none"/>
        </w:rPr>
      </w:pPr>
    </w:p>
    <w:p w14:paraId="1F82F2B4">
      <w:pPr>
        <w:rPr>
          <w:rFonts w:hint="eastAsia" w:ascii="宋体" w:hAnsi="宋体" w:cs="宋体"/>
          <w:b/>
          <w:bCs/>
          <w:color w:val="auto"/>
          <w:sz w:val="24"/>
          <w:szCs w:val="24"/>
          <w:highlight w:val="none"/>
        </w:rPr>
      </w:pPr>
    </w:p>
    <w:p w14:paraId="0D393DC2">
      <w:pPr>
        <w:rPr>
          <w:rFonts w:hint="eastAsia" w:ascii="宋体" w:hAnsi="宋体" w:cs="宋体"/>
          <w:b/>
          <w:bCs/>
          <w:color w:val="auto"/>
          <w:sz w:val="24"/>
          <w:szCs w:val="24"/>
          <w:highlight w:val="none"/>
        </w:rPr>
      </w:pPr>
    </w:p>
    <w:p w14:paraId="7DC71A4D">
      <w:pPr>
        <w:rPr>
          <w:rFonts w:hint="eastAsia" w:ascii="宋体" w:hAnsi="宋体" w:cs="宋体"/>
          <w:b/>
          <w:bCs/>
          <w:color w:val="auto"/>
          <w:sz w:val="24"/>
          <w:szCs w:val="24"/>
          <w:highlight w:val="none"/>
        </w:rPr>
      </w:pPr>
    </w:p>
    <w:p w14:paraId="021ECFA3">
      <w:pPr>
        <w:rPr>
          <w:rFonts w:hint="eastAsia" w:ascii="宋体" w:hAnsi="宋体" w:cs="宋体"/>
          <w:b/>
          <w:bCs/>
          <w:color w:val="auto"/>
          <w:sz w:val="24"/>
          <w:szCs w:val="24"/>
          <w:highlight w:val="none"/>
        </w:rPr>
      </w:pPr>
    </w:p>
    <w:p w14:paraId="6A62EF4F">
      <w:pPr>
        <w:rPr>
          <w:rFonts w:hint="eastAsia" w:ascii="宋体" w:hAnsi="宋体" w:cs="宋体"/>
          <w:b/>
          <w:bCs/>
          <w:color w:val="auto"/>
          <w:sz w:val="24"/>
          <w:szCs w:val="24"/>
          <w:highlight w:val="none"/>
        </w:rPr>
      </w:pPr>
    </w:p>
    <w:p w14:paraId="30E49681">
      <w:pPr>
        <w:rPr>
          <w:rFonts w:hint="eastAsia" w:ascii="宋体" w:hAnsi="宋体" w:cs="宋体"/>
          <w:b/>
          <w:bCs/>
          <w:color w:val="auto"/>
          <w:sz w:val="24"/>
          <w:szCs w:val="24"/>
          <w:highlight w:val="none"/>
        </w:rPr>
      </w:pPr>
    </w:p>
    <w:p w14:paraId="20F43C4E">
      <w:pPr>
        <w:rPr>
          <w:rFonts w:hint="eastAsia" w:ascii="宋体" w:hAnsi="宋体" w:cs="宋体"/>
          <w:b/>
          <w:bCs/>
          <w:color w:val="auto"/>
          <w:sz w:val="24"/>
          <w:szCs w:val="24"/>
          <w:highlight w:val="none"/>
        </w:rPr>
      </w:pPr>
    </w:p>
    <w:p w14:paraId="72BD512C">
      <w:pPr>
        <w:rPr>
          <w:rFonts w:hint="eastAsia" w:ascii="宋体" w:hAnsi="宋体" w:cs="宋体"/>
          <w:b/>
          <w:bCs/>
          <w:color w:val="auto"/>
          <w:sz w:val="24"/>
          <w:szCs w:val="24"/>
          <w:highlight w:val="none"/>
        </w:rPr>
      </w:pPr>
    </w:p>
    <w:p w14:paraId="25BCA8EB">
      <w:pPr>
        <w:rPr>
          <w:rFonts w:hint="eastAsia" w:ascii="宋体" w:hAnsi="宋体" w:cs="宋体"/>
          <w:b/>
          <w:bCs/>
          <w:color w:val="auto"/>
          <w:sz w:val="24"/>
          <w:szCs w:val="24"/>
          <w:highlight w:val="none"/>
        </w:rPr>
      </w:pPr>
    </w:p>
    <w:p w14:paraId="7EA074AC">
      <w:pPr>
        <w:rPr>
          <w:rFonts w:hint="eastAsia" w:ascii="宋体" w:hAnsi="宋体" w:cs="宋体"/>
          <w:b/>
          <w:bCs/>
          <w:color w:val="auto"/>
          <w:sz w:val="24"/>
          <w:szCs w:val="24"/>
          <w:highlight w:val="none"/>
        </w:rPr>
      </w:pPr>
    </w:p>
    <w:p w14:paraId="28A931F5">
      <w:pPr>
        <w:rPr>
          <w:rFonts w:hint="eastAsia" w:ascii="宋体" w:hAnsi="宋体" w:cs="宋体"/>
          <w:b/>
          <w:bCs/>
          <w:color w:val="auto"/>
          <w:sz w:val="24"/>
          <w:szCs w:val="24"/>
          <w:highlight w:val="none"/>
        </w:rPr>
      </w:pPr>
    </w:p>
    <w:p w14:paraId="4710ECBB">
      <w:pPr>
        <w:rPr>
          <w:rFonts w:hint="eastAsia" w:ascii="宋体" w:hAnsi="宋体" w:cs="宋体"/>
          <w:b/>
          <w:bCs/>
          <w:color w:val="auto"/>
          <w:sz w:val="24"/>
          <w:szCs w:val="24"/>
          <w:highlight w:val="none"/>
        </w:rPr>
      </w:pPr>
    </w:p>
    <w:p w14:paraId="7FB74C62">
      <w:pPr>
        <w:rPr>
          <w:rFonts w:hint="eastAsia" w:ascii="宋体" w:hAnsi="宋体" w:cs="宋体"/>
          <w:b/>
          <w:bCs/>
          <w:color w:val="auto"/>
          <w:sz w:val="24"/>
          <w:szCs w:val="24"/>
          <w:highlight w:val="none"/>
        </w:rPr>
      </w:pPr>
    </w:p>
    <w:p w14:paraId="6801984A">
      <w:pPr>
        <w:rPr>
          <w:rFonts w:hint="eastAsia" w:ascii="宋体" w:hAnsi="宋体" w:cs="宋体"/>
          <w:b/>
          <w:bCs/>
          <w:color w:val="auto"/>
          <w:sz w:val="24"/>
          <w:szCs w:val="24"/>
          <w:highlight w:val="none"/>
        </w:rPr>
      </w:pPr>
    </w:p>
    <w:p w14:paraId="34E47582">
      <w:pPr>
        <w:rPr>
          <w:rFonts w:hint="eastAsia" w:ascii="宋体" w:hAnsi="宋体" w:cs="宋体"/>
          <w:b/>
          <w:bCs/>
          <w:color w:val="auto"/>
          <w:sz w:val="24"/>
          <w:szCs w:val="24"/>
          <w:highlight w:val="none"/>
        </w:rPr>
      </w:pPr>
    </w:p>
    <w:p w14:paraId="63F376AA">
      <w:pPr>
        <w:rPr>
          <w:rFonts w:hint="eastAsia" w:ascii="宋体" w:hAnsi="宋体" w:cs="宋体"/>
          <w:b/>
          <w:bCs/>
          <w:color w:val="auto"/>
          <w:sz w:val="24"/>
          <w:szCs w:val="24"/>
          <w:highlight w:val="none"/>
        </w:rPr>
      </w:pPr>
    </w:p>
    <w:p w14:paraId="6A05F18F">
      <w:pPr>
        <w:rPr>
          <w:rFonts w:hint="eastAsia" w:ascii="宋体" w:hAnsi="宋体" w:cs="宋体"/>
          <w:b/>
          <w:bCs/>
          <w:color w:val="auto"/>
          <w:sz w:val="24"/>
          <w:szCs w:val="24"/>
          <w:highlight w:val="none"/>
        </w:rPr>
      </w:pPr>
    </w:p>
    <w:p w14:paraId="288E818D">
      <w:pPr>
        <w:rPr>
          <w:rFonts w:hint="eastAsia" w:ascii="宋体" w:hAnsi="宋体" w:cs="宋体"/>
          <w:b/>
          <w:bCs/>
          <w:color w:val="auto"/>
          <w:sz w:val="24"/>
          <w:szCs w:val="24"/>
          <w:highlight w:val="none"/>
        </w:rPr>
      </w:pPr>
    </w:p>
    <w:p w14:paraId="4236EC55">
      <w:pPr>
        <w:rPr>
          <w:rFonts w:hint="eastAsia" w:ascii="宋体" w:hAnsi="宋体" w:cs="宋体"/>
          <w:b/>
          <w:bCs/>
          <w:color w:val="auto"/>
          <w:sz w:val="24"/>
          <w:szCs w:val="24"/>
          <w:highlight w:val="none"/>
        </w:rPr>
      </w:pPr>
    </w:p>
    <w:p w14:paraId="0925631E">
      <w:pPr>
        <w:rPr>
          <w:rFonts w:hint="eastAsia" w:ascii="宋体" w:hAnsi="宋体" w:cs="宋体"/>
          <w:b/>
          <w:bCs/>
          <w:color w:val="auto"/>
          <w:sz w:val="24"/>
          <w:szCs w:val="24"/>
          <w:highlight w:val="none"/>
        </w:rPr>
      </w:pPr>
    </w:p>
    <w:p w14:paraId="4FEE9CBF">
      <w:pPr>
        <w:rPr>
          <w:rFonts w:hint="eastAsia" w:ascii="宋体" w:hAnsi="宋体" w:cs="宋体"/>
          <w:b/>
          <w:bCs/>
          <w:color w:val="auto"/>
          <w:sz w:val="24"/>
          <w:szCs w:val="24"/>
          <w:highlight w:val="none"/>
        </w:rPr>
      </w:pPr>
    </w:p>
    <w:p w14:paraId="333CB67F">
      <w:pPr>
        <w:rPr>
          <w:rFonts w:ascii="宋体" w:hAnsi="宋体" w:cs="宋体"/>
          <w:b/>
          <w:bCs/>
          <w:color w:val="auto"/>
          <w:sz w:val="24"/>
          <w:szCs w:val="24"/>
          <w:highlight w:val="none"/>
        </w:rPr>
      </w:pPr>
      <w:r>
        <w:rPr>
          <w:rFonts w:hint="eastAsia" w:ascii="宋体" w:hAnsi="宋体" w:cs="宋体"/>
          <w:b/>
          <w:bCs/>
          <w:color w:val="auto"/>
          <w:sz w:val="24"/>
          <w:szCs w:val="24"/>
          <w:highlight w:val="none"/>
        </w:rPr>
        <w:t>附件二：</w:t>
      </w:r>
    </w:p>
    <w:p w14:paraId="556E3F5B">
      <w:pPr>
        <w:pStyle w:val="6"/>
        <w:rPr>
          <w:rFonts w:ascii="宋体" w:hAnsi="宋体" w:cs="宋体"/>
          <w:b/>
          <w:bCs/>
          <w:color w:val="auto"/>
          <w:sz w:val="24"/>
          <w:szCs w:val="24"/>
          <w:highlight w:val="none"/>
        </w:rPr>
      </w:pPr>
    </w:p>
    <w:p w14:paraId="00A486CB">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被招标人拒绝投标的企业名单</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849"/>
        <w:gridCol w:w="4626"/>
      </w:tblGrid>
      <w:tr w14:paraId="7012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11" w:type="dxa"/>
            <w:vAlign w:val="center"/>
          </w:tcPr>
          <w:p w14:paraId="5EC7D54A">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849" w:type="dxa"/>
            <w:vAlign w:val="center"/>
          </w:tcPr>
          <w:p w14:paraId="6366D3BD">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企业名称</w:t>
            </w:r>
          </w:p>
        </w:tc>
        <w:tc>
          <w:tcPr>
            <w:tcW w:w="4626" w:type="dxa"/>
            <w:vAlign w:val="center"/>
          </w:tcPr>
          <w:p w14:paraId="4244E17F">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限制投标期限</w:t>
            </w:r>
          </w:p>
        </w:tc>
      </w:tr>
      <w:tr w14:paraId="716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11" w:type="dxa"/>
            <w:vAlign w:val="center"/>
          </w:tcPr>
          <w:p w14:paraId="748E5497">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849" w:type="dxa"/>
            <w:shd w:val="clear" w:color="auto" w:fill="auto"/>
            <w:vAlign w:val="center"/>
          </w:tcPr>
          <w:p w14:paraId="4CAA671D">
            <w:pPr>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lang w:eastAsia="zh-CN"/>
              </w:rPr>
              <w:t>无</w:t>
            </w:r>
          </w:p>
        </w:tc>
        <w:tc>
          <w:tcPr>
            <w:tcW w:w="4626" w:type="dxa"/>
            <w:shd w:val="clear" w:color="auto" w:fill="auto"/>
            <w:vAlign w:val="center"/>
          </w:tcPr>
          <w:p w14:paraId="067B02EE">
            <w:pPr>
              <w:tabs>
                <w:tab w:val="left" w:pos="4200"/>
              </w:tabs>
              <w:adjustRightInd w:val="0"/>
              <w:snapToGrid w:val="0"/>
              <w:spacing w:line="276" w:lineRule="auto"/>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lang w:eastAsia="zh-CN"/>
              </w:rPr>
              <w:t>无</w:t>
            </w:r>
          </w:p>
        </w:tc>
      </w:tr>
    </w:tbl>
    <w:p w14:paraId="676976FE">
      <w:pPr>
        <w:rPr>
          <w:color w:val="auto"/>
          <w:highlight w:val="none"/>
        </w:rPr>
      </w:pPr>
      <w:r>
        <w:rPr>
          <w:rFonts w:hint="eastAsia" w:ascii="宋体" w:hAnsi="宋体"/>
          <w:color w:val="auto"/>
          <w:sz w:val="24"/>
          <w:szCs w:val="24"/>
          <w:highlight w:val="none"/>
        </w:rPr>
        <w:t>注：以上限制投标时间期限以截标时间为准。</w:t>
      </w:r>
    </w:p>
    <w:p w14:paraId="11143F03">
      <w:pPr>
        <w:topLinePunct/>
        <w:spacing w:line="360" w:lineRule="auto"/>
        <w:ind w:right="240"/>
        <w:jc w:val="left"/>
        <w:rPr>
          <w:color w:val="auto"/>
          <w:highlight w:val="none"/>
        </w:rPr>
      </w:pPr>
    </w:p>
    <w:sectPr>
      <w:footerReference r:id="rId3" w:type="default"/>
      <w:pgSz w:w="11906" w:h="16838"/>
      <w:pgMar w:top="1213" w:right="1440" w:bottom="1270" w:left="1440" w:header="851" w:footer="93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01C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8930B0">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A8930B0">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0B25"/>
    <w:multiLevelType w:val="singleLevel"/>
    <w:tmpl w:val="B5F30B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53FCD"/>
    <w:rsid w:val="00071695"/>
    <w:rsid w:val="000A7DB5"/>
    <w:rsid w:val="000E289B"/>
    <w:rsid w:val="001128F2"/>
    <w:rsid w:val="00120D91"/>
    <w:rsid w:val="00172A27"/>
    <w:rsid w:val="00177821"/>
    <w:rsid w:val="001A7F0F"/>
    <w:rsid w:val="001D51F4"/>
    <w:rsid w:val="001F0922"/>
    <w:rsid w:val="00216526"/>
    <w:rsid w:val="0021750B"/>
    <w:rsid w:val="00274C8D"/>
    <w:rsid w:val="002E4C68"/>
    <w:rsid w:val="002F7368"/>
    <w:rsid w:val="003131F3"/>
    <w:rsid w:val="00314104"/>
    <w:rsid w:val="00355189"/>
    <w:rsid w:val="00356250"/>
    <w:rsid w:val="00364642"/>
    <w:rsid w:val="00373A61"/>
    <w:rsid w:val="003C62ED"/>
    <w:rsid w:val="003D5956"/>
    <w:rsid w:val="00435ED4"/>
    <w:rsid w:val="00453365"/>
    <w:rsid w:val="004E52C5"/>
    <w:rsid w:val="00556D33"/>
    <w:rsid w:val="00562057"/>
    <w:rsid w:val="005A5C87"/>
    <w:rsid w:val="005E6000"/>
    <w:rsid w:val="00602110"/>
    <w:rsid w:val="0062060A"/>
    <w:rsid w:val="006635BA"/>
    <w:rsid w:val="0066500F"/>
    <w:rsid w:val="006A3029"/>
    <w:rsid w:val="00746D3D"/>
    <w:rsid w:val="00786B13"/>
    <w:rsid w:val="007D323E"/>
    <w:rsid w:val="007F0512"/>
    <w:rsid w:val="00863EBB"/>
    <w:rsid w:val="008C68FC"/>
    <w:rsid w:val="00904DF4"/>
    <w:rsid w:val="00915D89"/>
    <w:rsid w:val="00931140"/>
    <w:rsid w:val="00960B01"/>
    <w:rsid w:val="00975C15"/>
    <w:rsid w:val="009776E0"/>
    <w:rsid w:val="009A3ED8"/>
    <w:rsid w:val="009B196D"/>
    <w:rsid w:val="009D3B5C"/>
    <w:rsid w:val="009E44A6"/>
    <w:rsid w:val="00A26E60"/>
    <w:rsid w:val="00A735CA"/>
    <w:rsid w:val="00AD5964"/>
    <w:rsid w:val="00B1480C"/>
    <w:rsid w:val="00B8290A"/>
    <w:rsid w:val="00BB4D08"/>
    <w:rsid w:val="00BE5873"/>
    <w:rsid w:val="00C402D2"/>
    <w:rsid w:val="00C61558"/>
    <w:rsid w:val="00C72660"/>
    <w:rsid w:val="00C96EEA"/>
    <w:rsid w:val="00CA7C86"/>
    <w:rsid w:val="00CC37DF"/>
    <w:rsid w:val="00CC7120"/>
    <w:rsid w:val="00CF021A"/>
    <w:rsid w:val="00D143C8"/>
    <w:rsid w:val="00D5026B"/>
    <w:rsid w:val="00D50C9D"/>
    <w:rsid w:val="00E43046"/>
    <w:rsid w:val="00EC3870"/>
    <w:rsid w:val="00F11456"/>
    <w:rsid w:val="00F24EA1"/>
    <w:rsid w:val="00F6402F"/>
    <w:rsid w:val="00FC300D"/>
    <w:rsid w:val="00FD39EB"/>
    <w:rsid w:val="00FE2474"/>
    <w:rsid w:val="00FE546A"/>
    <w:rsid w:val="00FF4C6E"/>
    <w:rsid w:val="014632E9"/>
    <w:rsid w:val="015669F9"/>
    <w:rsid w:val="02B5507D"/>
    <w:rsid w:val="02D273D5"/>
    <w:rsid w:val="03072618"/>
    <w:rsid w:val="030744A0"/>
    <w:rsid w:val="037C7140"/>
    <w:rsid w:val="039025E0"/>
    <w:rsid w:val="04573FE1"/>
    <w:rsid w:val="047F34B4"/>
    <w:rsid w:val="05551D4C"/>
    <w:rsid w:val="057B6D61"/>
    <w:rsid w:val="06B56999"/>
    <w:rsid w:val="06F51BFA"/>
    <w:rsid w:val="07500520"/>
    <w:rsid w:val="07A61789"/>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3118BF"/>
    <w:rsid w:val="11FF1F94"/>
    <w:rsid w:val="12123119"/>
    <w:rsid w:val="12371157"/>
    <w:rsid w:val="1240015F"/>
    <w:rsid w:val="12EC3B91"/>
    <w:rsid w:val="131466C1"/>
    <w:rsid w:val="13975C49"/>
    <w:rsid w:val="14D709D0"/>
    <w:rsid w:val="151D4008"/>
    <w:rsid w:val="15360DFF"/>
    <w:rsid w:val="155C2C94"/>
    <w:rsid w:val="15AE7982"/>
    <w:rsid w:val="15B63FD5"/>
    <w:rsid w:val="1661290A"/>
    <w:rsid w:val="16C776C0"/>
    <w:rsid w:val="16ED44DA"/>
    <w:rsid w:val="171D7052"/>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7C488C"/>
    <w:rsid w:val="1D904318"/>
    <w:rsid w:val="1E9F5110"/>
    <w:rsid w:val="1F15637C"/>
    <w:rsid w:val="1F875694"/>
    <w:rsid w:val="1F912978"/>
    <w:rsid w:val="1F9D4088"/>
    <w:rsid w:val="1FF37E48"/>
    <w:rsid w:val="20247C84"/>
    <w:rsid w:val="20251AEC"/>
    <w:rsid w:val="20DB7AF0"/>
    <w:rsid w:val="21206326"/>
    <w:rsid w:val="21304210"/>
    <w:rsid w:val="214F0EF5"/>
    <w:rsid w:val="216552BF"/>
    <w:rsid w:val="218C4F9A"/>
    <w:rsid w:val="22287B3C"/>
    <w:rsid w:val="22506B62"/>
    <w:rsid w:val="230A028E"/>
    <w:rsid w:val="23A928A1"/>
    <w:rsid w:val="23A9303C"/>
    <w:rsid w:val="23D5390C"/>
    <w:rsid w:val="24A509CC"/>
    <w:rsid w:val="25110665"/>
    <w:rsid w:val="252C0894"/>
    <w:rsid w:val="2596506B"/>
    <w:rsid w:val="25B72A81"/>
    <w:rsid w:val="267145F8"/>
    <w:rsid w:val="271779E7"/>
    <w:rsid w:val="27642191"/>
    <w:rsid w:val="28126853"/>
    <w:rsid w:val="28FB4835"/>
    <w:rsid w:val="294F4B81"/>
    <w:rsid w:val="2A10072A"/>
    <w:rsid w:val="2A6A7752"/>
    <w:rsid w:val="2AD67248"/>
    <w:rsid w:val="2AFE794D"/>
    <w:rsid w:val="2B824FB1"/>
    <w:rsid w:val="2C25463E"/>
    <w:rsid w:val="2C2A3701"/>
    <w:rsid w:val="2C757CC8"/>
    <w:rsid w:val="2C7843EE"/>
    <w:rsid w:val="2CD1422D"/>
    <w:rsid w:val="2CE27494"/>
    <w:rsid w:val="2CFE13AF"/>
    <w:rsid w:val="2DEA32EF"/>
    <w:rsid w:val="2E36044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F63F68"/>
    <w:rsid w:val="35926521"/>
    <w:rsid w:val="366C6D72"/>
    <w:rsid w:val="366C746F"/>
    <w:rsid w:val="36AC0FA1"/>
    <w:rsid w:val="37A60062"/>
    <w:rsid w:val="37F70D96"/>
    <w:rsid w:val="385C275B"/>
    <w:rsid w:val="387B36A1"/>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20D0511"/>
    <w:rsid w:val="42616650"/>
    <w:rsid w:val="4263727A"/>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8207CAC"/>
    <w:rsid w:val="484F02A2"/>
    <w:rsid w:val="497E544C"/>
    <w:rsid w:val="49B1480E"/>
    <w:rsid w:val="4A3F0305"/>
    <w:rsid w:val="4B496972"/>
    <w:rsid w:val="4BD737A1"/>
    <w:rsid w:val="4C9E3A9F"/>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23C08E8"/>
    <w:rsid w:val="534F55FA"/>
    <w:rsid w:val="552D196B"/>
    <w:rsid w:val="55F65DB3"/>
    <w:rsid w:val="566A2B12"/>
    <w:rsid w:val="566F6BDB"/>
    <w:rsid w:val="573E3070"/>
    <w:rsid w:val="58086A58"/>
    <w:rsid w:val="5830622B"/>
    <w:rsid w:val="58DB7EEE"/>
    <w:rsid w:val="59253FEA"/>
    <w:rsid w:val="59257BDF"/>
    <w:rsid w:val="59AA292D"/>
    <w:rsid w:val="59E74508"/>
    <w:rsid w:val="5A9B1234"/>
    <w:rsid w:val="5AC94305"/>
    <w:rsid w:val="5B0311A3"/>
    <w:rsid w:val="5B5639C9"/>
    <w:rsid w:val="5B7C4881"/>
    <w:rsid w:val="5C147E8B"/>
    <w:rsid w:val="5C6F4632"/>
    <w:rsid w:val="5CA419EB"/>
    <w:rsid w:val="5D0F685E"/>
    <w:rsid w:val="5D785E49"/>
    <w:rsid w:val="5DDD2180"/>
    <w:rsid w:val="5E074193"/>
    <w:rsid w:val="5E4C500D"/>
    <w:rsid w:val="5E7460DD"/>
    <w:rsid w:val="602F37F0"/>
    <w:rsid w:val="61155B0D"/>
    <w:rsid w:val="612C0F72"/>
    <w:rsid w:val="6166423A"/>
    <w:rsid w:val="61932B55"/>
    <w:rsid w:val="61EA27BB"/>
    <w:rsid w:val="61F45CEA"/>
    <w:rsid w:val="6210774E"/>
    <w:rsid w:val="62630D14"/>
    <w:rsid w:val="629C40D8"/>
    <w:rsid w:val="62A768B8"/>
    <w:rsid w:val="62BE0E1B"/>
    <w:rsid w:val="632E0677"/>
    <w:rsid w:val="633B6B34"/>
    <w:rsid w:val="6420218A"/>
    <w:rsid w:val="64232087"/>
    <w:rsid w:val="642B10E5"/>
    <w:rsid w:val="65137FE1"/>
    <w:rsid w:val="656E5DB3"/>
    <w:rsid w:val="664722A7"/>
    <w:rsid w:val="66906C82"/>
    <w:rsid w:val="66A03D4A"/>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CD408D"/>
    <w:rsid w:val="6FE96E37"/>
    <w:rsid w:val="70F13BF7"/>
    <w:rsid w:val="7122661A"/>
    <w:rsid w:val="71267CAF"/>
    <w:rsid w:val="718D0958"/>
    <w:rsid w:val="71E66BB5"/>
    <w:rsid w:val="727E6F0A"/>
    <w:rsid w:val="72B94828"/>
    <w:rsid w:val="72F507CF"/>
    <w:rsid w:val="733C794D"/>
    <w:rsid w:val="734070EE"/>
    <w:rsid w:val="738F2EB8"/>
    <w:rsid w:val="739B4217"/>
    <w:rsid w:val="73EC333A"/>
    <w:rsid w:val="73EF2989"/>
    <w:rsid w:val="73F931FD"/>
    <w:rsid w:val="743C59D7"/>
    <w:rsid w:val="745A2C6C"/>
    <w:rsid w:val="74AA44AE"/>
    <w:rsid w:val="757A242C"/>
    <w:rsid w:val="75894C92"/>
    <w:rsid w:val="766765CC"/>
    <w:rsid w:val="76797F74"/>
    <w:rsid w:val="76C01EBB"/>
    <w:rsid w:val="76E557A9"/>
    <w:rsid w:val="77EC7614"/>
    <w:rsid w:val="77F47BCD"/>
    <w:rsid w:val="786C0708"/>
    <w:rsid w:val="78A30A89"/>
    <w:rsid w:val="78D047C3"/>
    <w:rsid w:val="79F503F9"/>
    <w:rsid w:val="7ABC5200"/>
    <w:rsid w:val="7B55601C"/>
    <w:rsid w:val="7C3E4EBC"/>
    <w:rsid w:val="7D362912"/>
    <w:rsid w:val="7DBB5BA6"/>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rFonts w:ascii="Calibri" w:hAnsi="Calibri"/>
      <w:kern w:val="44"/>
      <w:sz w:val="28"/>
      <w:szCs w:val="28"/>
    </w:rPr>
  </w:style>
  <w:style w:type="paragraph" w:styleId="4">
    <w:name w:val="heading 2"/>
    <w:basedOn w:val="1"/>
    <w:next w:val="1"/>
    <w:link w:val="30"/>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等线"/>
      <w:szCs w:val="20"/>
    </w:rPr>
  </w:style>
  <w:style w:type="paragraph" w:styleId="5">
    <w:name w:val="annotation text"/>
    <w:basedOn w:val="1"/>
    <w:link w:val="26"/>
    <w:qFormat/>
    <w:uiPriority w:val="0"/>
    <w:pPr>
      <w:jc w:val="left"/>
    </w:pPr>
  </w:style>
  <w:style w:type="paragraph" w:styleId="6">
    <w:name w:val="Body Text"/>
    <w:basedOn w:val="1"/>
    <w:next w:val="7"/>
    <w:qFormat/>
    <w:uiPriority w:val="0"/>
    <w:pPr>
      <w:spacing w:after="120"/>
    </w:pPr>
    <w:rPr>
      <w:kern w:val="0"/>
      <w:sz w:val="20"/>
      <w:szCs w:val="20"/>
    </w:rPr>
  </w:style>
  <w:style w:type="paragraph" w:styleId="7">
    <w:name w:val="toc 5"/>
    <w:basedOn w:val="1"/>
    <w:next w:val="1"/>
    <w:unhideWhenUsed/>
    <w:qFormat/>
    <w:uiPriority w:val="39"/>
    <w:pPr>
      <w:ind w:left="1680" w:leftChars="800"/>
    </w:pPr>
    <w:rPr>
      <w:szCs w:val="24"/>
    </w:rPr>
  </w:style>
  <w:style w:type="paragraph" w:styleId="8">
    <w:name w:val="Plain Text"/>
    <w:basedOn w:val="1"/>
    <w:next w:val="1"/>
    <w:qFormat/>
    <w:uiPriority w:val="0"/>
    <w:rPr>
      <w:rFonts w:ascii="宋体" w:hAnsi="Courier New"/>
      <w:kern w:val="0"/>
      <w:sz w:val="20"/>
      <w:szCs w:val="20"/>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27"/>
    <w:qFormat/>
    <w:uiPriority w:val="0"/>
    <w:rPr>
      <w:b/>
      <w:bCs/>
    </w:rPr>
  </w:style>
  <w:style w:type="character" w:styleId="18">
    <w:name w:val="Strong"/>
    <w:basedOn w:val="17"/>
    <w:qFormat/>
    <w:uiPriority w:val="0"/>
    <w:rPr>
      <w:b/>
    </w:rPr>
  </w:style>
  <w:style w:type="character" w:styleId="19">
    <w:name w:val="page number"/>
    <w:qFormat/>
    <w:uiPriority w:val="0"/>
    <w:rPr>
      <w:rFonts w:ascii="等线" w:hAnsi="等线" w:eastAsia="等线" w:cs="Times New Roman"/>
    </w:rPr>
  </w:style>
  <w:style w:type="character" w:styleId="20">
    <w:name w:val="Hyperlink"/>
    <w:qFormat/>
    <w:uiPriority w:val="0"/>
    <w:rPr>
      <w:color w:val="0000FF"/>
      <w:u w:val="single"/>
    </w:rPr>
  </w:style>
  <w:style w:type="character" w:styleId="21">
    <w:name w:val="annotation reference"/>
    <w:basedOn w:val="17"/>
    <w:qFormat/>
    <w:uiPriority w:val="0"/>
    <w:rPr>
      <w:sz w:val="21"/>
      <w:szCs w:val="21"/>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发文落款"/>
    <w:basedOn w:val="22"/>
    <w:qFormat/>
    <w:uiPriority w:val="0"/>
    <w:pPr>
      <w:ind w:left="4094" w:right="607" w:firstLine="0"/>
      <w:jc w:val="center"/>
    </w:pPr>
  </w:style>
  <w:style w:type="character" w:customStyle="1" w:styleId="24">
    <w:name w:val="批注框文本 Char"/>
    <w:basedOn w:val="17"/>
    <w:link w:val="9"/>
    <w:qFormat/>
    <w:uiPriority w:val="0"/>
    <w:rPr>
      <w:kern w:val="2"/>
      <w:sz w:val="18"/>
      <w:szCs w:val="18"/>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6">
    <w:name w:val="批注文字 Char"/>
    <w:basedOn w:val="17"/>
    <w:link w:val="5"/>
    <w:qFormat/>
    <w:uiPriority w:val="0"/>
    <w:rPr>
      <w:kern w:val="2"/>
      <w:sz w:val="21"/>
      <w:szCs w:val="22"/>
    </w:rPr>
  </w:style>
  <w:style w:type="character" w:customStyle="1" w:styleId="27">
    <w:name w:val="批注主题 Char"/>
    <w:basedOn w:val="26"/>
    <w:link w:val="15"/>
    <w:qFormat/>
    <w:uiPriority w:val="0"/>
    <w:rPr>
      <w:kern w:val="2"/>
      <w:sz w:val="21"/>
      <w:szCs w:val="22"/>
    </w:rPr>
  </w:style>
  <w:style w:type="paragraph" w:customStyle="1" w:styleId="2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30">
    <w:name w:val="标题 2 Char"/>
    <w:link w:val="4"/>
    <w:autoRedefine/>
    <w:qFormat/>
    <w:uiPriority w:val="0"/>
    <w:rPr>
      <w:rFonts w:ascii="Arial" w:hAnsi="Arial"/>
      <w:b/>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10881</Words>
  <Characters>11411</Characters>
  <Lines>125</Lines>
  <Paragraphs>35</Paragraphs>
  <TotalTime>6</TotalTime>
  <ScaleCrop>false</ScaleCrop>
  <LinksUpToDate>false</LinksUpToDate>
  <CharactersWithSpaces>11447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2025-09-11T02:03:00Z</dcterms:created>
  <dc:creator>侠名</dc:creator>
  <cp:lastModifiedBy>NTKO</cp:lastModifiedBy>
  <cp:lastPrinted>2025-08-29T05:55:00Z</cp:lastPrinted>
  <dcterms:modified xsi:type="dcterms:W3CDTF">2025-10-31T08:59:55Z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FE253FB6E0F247C9A6B122E0F5904FBC_13</vt:lpwstr>
  </property>
  <property fmtid="{D5CDD505-2E9C-101B-9397-08002B2CF9AE}" pid="4" name="KSOTemplateDocerSaveRecord">
    <vt:lpwstr>eyJoZGlkIjoiMmIzMTM0MWI4NmI4YWZiZTcwNjgwYTIzN2YxYjM5OGIiLCJ1c2VySWQiOiIxMDE4MTExOTk5In0=</vt:lpwstr>
  </property>
</Properties>
</file>